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559"/>
      </w:tblGrid>
      <w:tr w:rsidR="000E7B1B" w14:paraId="76B79173" w14:textId="77777777" w:rsidTr="00871300">
        <w:trPr>
          <w:cantSplit/>
        </w:trPr>
        <w:tc>
          <w:tcPr>
            <w:tcW w:w="4054" w:type="dxa"/>
            <w:gridSpan w:val="3"/>
            <w:shd w:val="clear" w:color="auto" w:fill="auto"/>
          </w:tcPr>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71300" w14:paraId="50D9F049" w14:textId="77777777" w:rsidTr="00FA2769">
              <w:trPr>
                <w:cantSplit/>
              </w:trPr>
              <w:tc>
                <w:tcPr>
                  <w:tcW w:w="3982" w:type="dxa"/>
                  <w:gridSpan w:val="3"/>
                  <w:shd w:val="clear" w:color="auto" w:fill="auto"/>
                </w:tcPr>
                <w:p w14:paraId="733EF214" w14:textId="77777777" w:rsidR="00871300" w:rsidRDefault="00871300" w:rsidP="00871300">
                  <w:pPr>
                    <w:pStyle w:val="SNREPUBLIQUE"/>
                  </w:pPr>
                  <w:r>
                    <w:t>RÉPUBLIQUE FRANÇAISE</w:t>
                  </w:r>
                </w:p>
              </w:tc>
            </w:tr>
            <w:tr w:rsidR="00871300" w14:paraId="5BF060B9" w14:textId="77777777" w:rsidTr="00FA2769">
              <w:trPr>
                <w:cantSplit/>
                <w:trHeight w:hRule="exact" w:val="113"/>
              </w:trPr>
              <w:tc>
                <w:tcPr>
                  <w:tcW w:w="1527" w:type="dxa"/>
                  <w:shd w:val="clear" w:color="auto" w:fill="auto"/>
                </w:tcPr>
                <w:p w14:paraId="53E406A5" w14:textId="77777777" w:rsidR="00871300" w:rsidRDefault="00871300" w:rsidP="00871300">
                  <w:pPr>
                    <w:snapToGrid w:val="0"/>
                  </w:pPr>
                </w:p>
              </w:tc>
              <w:tc>
                <w:tcPr>
                  <w:tcW w:w="968" w:type="dxa"/>
                  <w:tcBorders>
                    <w:bottom w:val="single" w:sz="1" w:space="0" w:color="000000"/>
                  </w:tcBorders>
                  <w:shd w:val="clear" w:color="auto" w:fill="auto"/>
                </w:tcPr>
                <w:p w14:paraId="6DDFD7E2" w14:textId="77777777" w:rsidR="00871300" w:rsidRDefault="00871300" w:rsidP="00871300">
                  <w:pPr>
                    <w:snapToGrid w:val="0"/>
                  </w:pPr>
                </w:p>
              </w:tc>
              <w:tc>
                <w:tcPr>
                  <w:tcW w:w="1487" w:type="dxa"/>
                  <w:shd w:val="clear" w:color="auto" w:fill="auto"/>
                </w:tcPr>
                <w:p w14:paraId="3F69E12D" w14:textId="77777777" w:rsidR="00871300" w:rsidRDefault="00871300" w:rsidP="00871300">
                  <w:pPr>
                    <w:snapToGrid w:val="0"/>
                  </w:pPr>
                </w:p>
              </w:tc>
            </w:tr>
            <w:tr w:rsidR="00871300" w14:paraId="499792B9" w14:textId="77777777" w:rsidTr="00FA2769">
              <w:trPr>
                <w:cantSplit/>
              </w:trPr>
              <w:tc>
                <w:tcPr>
                  <w:tcW w:w="3982" w:type="dxa"/>
                  <w:gridSpan w:val="3"/>
                  <w:shd w:val="clear" w:color="auto" w:fill="auto"/>
                </w:tcPr>
                <w:p w14:paraId="2FBB9032" w14:textId="77777777" w:rsidR="00871300" w:rsidRDefault="00871300" w:rsidP="00871300">
                  <w:pPr>
                    <w:pStyle w:val="SNTimbre"/>
                  </w:pPr>
                  <w:r>
                    <w:t>Ministère de la transition écologique, de l’énergie, du climat et de la prévention des risques</w:t>
                  </w:r>
                </w:p>
              </w:tc>
            </w:tr>
            <w:tr w:rsidR="00871300" w14:paraId="77EDF1B7" w14:textId="77777777" w:rsidTr="00FA2769">
              <w:trPr>
                <w:cantSplit/>
                <w:trHeight w:hRule="exact" w:val="227"/>
              </w:trPr>
              <w:tc>
                <w:tcPr>
                  <w:tcW w:w="1527" w:type="dxa"/>
                  <w:shd w:val="clear" w:color="auto" w:fill="auto"/>
                </w:tcPr>
                <w:p w14:paraId="56E4A4C3" w14:textId="77777777" w:rsidR="00871300" w:rsidRDefault="00871300" w:rsidP="00871300">
                  <w:pPr>
                    <w:snapToGrid w:val="0"/>
                  </w:pPr>
                </w:p>
              </w:tc>
              <w:tc>
                <w:tcPr>
                  <w:tcW w:w="968" w:type="dxa"/>
                  <w:tcBorders>
                    <w:bottom w:val="single" w:sz="1" w:space="0" w:color="000000"/>
                  </w:tcBorders>
                  <w:shd w:val="clear" w:color="auto" w:fill="auto"/>
                </w:tcPr>
                <w:p w14:paraId="1C91B9B7" w14:textId="77777777" w:rsidR="00871300" w:rsidRDefault="00871300" w:rsidP="00871300">
                  <w:pPr>
                    <w:snapToGrid w:val="0"/>
                  </w:pPr>
                </w:p>
              </w:tc>
              <w:tc>
                <w:tcPr>
                  <w:tcW w:w="1487" w:type="dxa"/>
                  <w:shd w:val="clear" w:color="auto" w:fill="auto"/>
                </w:tcPr>
                <w:p w14:paraId="1D8E5209" w14:textId="77777777" w:rsidR="00871300" w:rsidRDefault="00871300" w:rsidP="00871300">
                  <w:pPr>
                    <w:snapToGrid w:val="0"/>
                  </w:pPr>
                </w:p>
              </w:tc>
            </w:tr>
          </w:tbl>
          <w:p w14:paraId="387B8C06" w14:textId="1CC0E30E" w:rsidR="000E7B1B" w:rsidRPr="000E7B1B" w:rsidRDefault="000E7B1B" w:rsidP="000E7B1B">
            <w:pPr>
              <w:pStyle w:val="SNSignatureGauche"/>
              <w:ind w:left="0"/>
            </w:pPr>
          </w:p>
        </w:tc>
      </w:tr>
      <w:tr w:rsidR="00E772BD" w14:paraId="4D135863" w14:textId="77777777" w:rsidTr="00871300">
        <w:trPr>
          <w:cantSplit/>
          <w:trHeight w:hRule="exact" w:val="227"/>
        </w:trPr>
        <w:tc>
          <w:tcPr>
            <w:tcW w:w="1527" w:type="dxa"/>
            <w:shd w:val="clear" w:color="auto" w:fill="auto"/>
          </w:tcPr>
          <w:p w14:paraId="042CAB90" w14:textId="77777777" w:rsidR="00E02A22" w:rsidRDefault="00E02A22">
            <w:pPr>
              <w:snapToGrid w:val="0"/>
            </w:pPr>
          </w:p>
        </w:tc>
        <w:tc>
          <w:tcPr>
            <w:tcW w:w="968" w:type="dxa"/>
            <w:shd w:val="clear" w:color="auto" w:fill="auto"/>
          </w:tcPr>
          <w:p w14:paraId="40BE6E5B" w14:textId="77777777" w:rsidR="00E02A22" w:rsidRDefault="00E02A22">
            <w:pPr>
              <w:snapToGrid w:val="0"/>
            </w:pPr>
          </w:p>
        </w:tc>
        <w:tc>
          <w:tcPr>
            <w:tcW w:w="1559" w:type="dxa"/>
            <w:shd w:val="clear" w:color="auto" w:fill="auto"/>
          </w:tcPr>
          <w:p w14:paraId="649C77FE" w14:textId="77777777" w:rsidR="00E02A22" w:rsidRDefault="00E02A22">
            <w:pPr>
              <w:snapToGrid w:val="0"/>
            </w:pPr>
          </w:p>
        </w:tc>
      </w:tr>
      <w:tr w:rsidR="00E02A22" w14:paraId="20110193" w14:textId="77777777" w:rsidTr="00871300">
        <w:trPr>
          <w:cantSplit/>
          <w:trHeight w:hRule="exact" w:val="227"/>
        </w:trPr>
        <w:tc>
          <w:tcPr>
            <w:tcW w:w="1527" w:type="dxa"/>
            <w:shd w:val="clear" w:color="auto" w:fill="auto"/>
          </w:tcPr>
          <w:p w14:paraId="57CCB206" w14:textId="77777777" w:rsidR="00E02A22" w:rsidRDefault="00E02A22">
            <w:pPr>
              <w:snapToGrid w:val="0"/>
            </w:pPr>
          </w:p>
        </w:tc>
        <w:tc>
          <w:tcPr>
            <w:tcW w:w="968" w:type="dxa"/>
            <w:shd w:val="clear" w:color="auto" w:fill="auto"/>
          </w:tcPr>
          <w:p w14:paraId="62D677E1" w14:textId="77777777" w:rsidR="00E02A22" w:rsidRDefault="00E02A22">
            <w:pPr>
              <w:snapToGrid w:val="0"/>
            </w:pPr>
          </w:p>
        </w:tc>
        <w:tc>
          <w:tcPr>
            <w:tcW w:w="1559" w:type="dxa"/>
            <w:shd w:val="clear" w:color="auto" w:fill="auto"/>
          </w:tcPr>
          <w:p w14:paraId="58C1DB90" w14:textId="77777777" w:rsidR="00E02A22" w:rsidRDefault="00E02A22">
            <w:pPr>
              <w:snapToGrid w:val="0"/>
            </w:pPr>
          </w:p>
        </w:tc>
      </w:tr>
    </w:tbl>
    <w:p w14:paraId="47AA0A16" w14:textId="532F1EF5" w:rsidR="00DA3383" w:rsidRPr="00AA0926" w:rsidRDefault="00E02A22" w:rsidP="00661E7E">
      <w:pPr>
        <w:spacing w:before="120" w:after="120"/>
        <w:jc w:val="center"/>
        <w:rPr>
          <w:b/>
        </w:rPr>
      </w:pPr>
      <w:r w:rsidRPr="00AA0926">
        <w:rPr>
          <w:b/>
        </w:rPr>
        <w:t xml:space="preserve">Arrêté du </w:t>
      </w:r>
      <w:proofErr w:type="spellStart"/>
      <w:r w:rsidR="00721036">
        <w:rPr>
          <w:b/>
        </w:rPr>
        <w:t>xxxx</w:t>
      </w:r>
      <w:proofErr w:type="spellEnd"/>
      <w:r w:rsidRPr="00AA0926">
        <w:rPr>
          <w:b/>
        </w:rPr>
        <w:t xml:space="preserve">           </w:t>
      </w:r>
    </w:p>
    <w:p w14:paraId="5DEE2B6C" w14:textId="664FF59B" w:rsidR="00231C2A" w:rsidRPr="00E53B39" w:rsidRDefault="00E02A22" w:rsidP="00231C2A">
      <w:pPr>
        <w:spacing w:before="240"/>
        <w:jc w:val="center"/>
        <w:rPr>
          <w:b/>
          <w:color w:val="000000"/>
          <w:lang w:eastAsia="fr-FR"/>
        </w:rPr>
      </w:pPr>
      <w:proofErr w:type="gramStart"/>
      <w:r w:rsidRPr="00E53B39">
        <w:rPr>
          <w:b/>
        </w:rPr>
        <w:t>modifiant</w:t>
      </w:r>
      <w:proofErr w:type="gramEnd"/>
      <w:r w:rsidRPr="00E53B39">
        <w:rPr>
          <w:b/>
        </w:rPr>
        <w:t xml:space="preserve"> </w:t>
      </w:r>
      <w:r w:rsidR="00721036">
        <w:rPr>
          <w:b/>
          <w:bCs/>
          <w:color w:val="000000"/>
          <w:lang w:eastAsia="fr-FR"/>
        </w:rPr>
        <w:t>l’arrêté ministériel du 3 août 2018 relatif aux installations de combustion d’une puissance thermique nominale totale supérieure ou égale à 50 MW soumises à autorisation au titre de la rubrique 3110</w:t>
      </w:r>
    </w:p>
    <w:p w14:paraId="1B64830C" w14:textId="562CE4A1" w:rsidR="00E02A22" w:rsidRDefault="00E02A22" w:rsidP="00231C2A">
      <w:pPr>
        <w:jc w:val="center"/>
        <w:rPr>
          <w:b/>
          <w:i/>
          <w:iCs/>
        </w:rPr>
      </w:pPr>
      <w:r>
        <w:t>NOR :</w:t>
      </w:r>
      <w:r w:rsidR="00F004AC">
        <w:t xml:space="preserve"> </w:t>
      </w:r>
    </w:p>
    <w:p w14:paraId="7A042152" w14:textId="168665A7" w:rsidR="00E02A22" w:rsidRDefault="00E02A22" w:rsidP="00A86DB4">
      <w:pPr>
        <w:spacing w:before="720" w:after="120"/>
        <w:ind w:firstLine="720"/>
        <w:jc w:val="both"/>
        <w:rPr>
          <w:b/>
          <w:bCs/>
          <w:i/>
          <w:iCs/>
        </w:rPr>
      </w:pPr>
      <w:r>
        <w:rPr>
          <w:b/>
          <w:bCs/>
          <w:i/>
          <w:iCs/>
        </w:rPr>
        <w:t xml:space="preserve">Publics </w:t>
      </w:r>
      <w:r w:rsidRPr="0064090F">
        <w:rPr>
          <w:b/>
          <w:bCs/>
          <w:i/>
          <w:iCs/>
        </w:rPr>
        <w:t>concernés :</w:t>
      </w:r>
      <w:r w:rsidRPr="0064090F">
        <w:rPr>
          <w:i/>
          <w:iCs/>
        </w:rPr>
        <w:t xml:space="preserve"> exploitants d'installations classées pour la protec</w:t>
      </w:r>
      <w:r w:rsidR="00661E7E" w:rsidRPr="0064090F">
        <w:rPr>
          <w:i/>
          <w:iCs/>
        </w:rPr>
        <w:t>tion de l'environnement (ICPE</w:t>
      </w:r>
      <w:r w:rsidR="00231C2A">
        <w:rPr>
          <w:i/>
          <w:iCs/>
        </w:rPr>
        <w:t>)</w:t>
      </w:r>
      <w:r w:rsidR="00F95B07">
        <w:rPr>
          <w:i/>
          <w:iCs/>
        </w:rPr>
        <w:t xml:space="preserve"> soumis à la rubrique </w:t>
      </w:r>
      <w:r w:rsidR="00721036">
        <w:rPr>
          <w:i/>
          <w:iCs/>
        </w:rPr>
        <w:t>3110</w:t>
      </w:r>
    </w:p>
    <w:p w14:paraId="01B2BB73" w14:textId="79B79859" w:rsidR="00231C2A" w:rsidRPr="00231C2A" w:rsidRDefault="00E02A22">
      <w:pPr>
        <w:pStyle w:val="Contenudetableau"/>
        <w:spacing w:before="119"/>
        <w:ind w:firstLine="720"/>
        <w:rPr>
          <w:lang w:eastAsia="fr-FR"/>
        </w:rPr>
      </w:pPr>
      <w:r>
        <w:rPr>
          <w:b/>
          <w:bCs/>
          <w:i/>
          <w:iCs/>
        </w:rPr>
        <w:t>Objet</w:t>
      </w:r>
      <w:r w:rsidR="00231C2A">
        <w:rPr>
          <w:b/>
          <w:bCs/>
          <w:i/>
          <w:iCs/>
        </w:rPr>
        <w:t xml:space="preserve"> : </w:t>
      </w:r>
      <w:r w:rsidR="00231C2A" w:rsidRPr="00231C2A">
        <w:rPr>
          <w:i/>
          <w:iCs/>
          <w:lang w:eastAsia="fr-FR"/>
        </w:rPr>
        <w:t xml:space="preserve">prescriptions générales applicables aux </w:t>
      </w:r>
      <w:r w:rsidR="008C74D6">
        <w:rPr>
          <w:i/>
          <w:iCs/>
          <w:lang w:eastAsia="fr-FR"/>
        </w:rPr>
        <w:t xml:space="preserve">grandes </w:t>
      </w:r>
      <w:r w:rsidR="00231C2A" w:rsidRPr="00231C2A">
        <w:rPr>
          <w:i/>
          <w:iCs/>
          <w:lang w:eastAsia="fr-FR"/>
        </w:rPr>
        <w:t>installations de combustion.</w:t>
      </w:r>
    </w:p>
    <w:p w14:paraId="1620F59E" w14:textId="3AA9B9A4" w:rsidR="00231C2A" w:rsidRDefault="00E02A22">
      <w:pPr>
        <w:spacing w:before="120"/>
        <w:ind w:firstLine="720"/>
        <w:jc w:val="both"/>
        <w:rPr>
          <w:b/>
          <w:bCs/>
          <w:i/>
          <w:iCs/>
        </w:rPr>
      </w:pPr>
      <w:r>
        <w:rPr>
          <w:b/>
          <w:bCs/>
          <w:i/>
          <w:iCs/>
        </w:rPr>
        <w:t>Entrée en vigueur :</w:t>
      </w:r>
      <w:r>
        <w:rPr>
          <w:i/>
          <w:iCs/>
        </w:rPr>
        <w:t xml:space="preserve"> le texte entre en vigueur le lendemain de sa publication.</w:t>
      </w:r>
    </w:p>
    <w:p w14:paraId="23DFF7B7" w14:textId="3CDD06F7" w:rsidR="00231C2A" w:rsidRPr="00231C2A" w:rsidRDefault="00E02A22" w:rsidP="00A86DB4">
      <w:pPr>
        <w:ind w:firstLine="720"/>
        <w:jc w:val="both"/>
        <w:rPr>
          <w:color w:val="000000"/>
          <w:lang w:eastAsia="fr-FR"/>
        </w:rPr>
      </w:pPr>
      <w:r>
        <w:rPr>
          <w:b/>
          <w:bCs/>
          <w:i/>
          <w:iCs/>
        </w:rPr>
        <w:t>Notice :</w:t>
      </w:r>
      <w:r>
        <w:rPr>
          <w:i/>
          <w:iCs/>
        </w:rPr>
        <w:t xml:space="preserve"> </w:t>
      </w:r>
      <w:r w:rsidR="00231C2A" w:rsidRPr="00231C2A">
        <w:rPr>
          <w:i/>
          <w:iCs/>
          <w:color w:val="000000"/>
          <w:lang w:eastAsia="fr-FR"/>
        </w:rPr>
        <w:t xml:space="preserve">le présent arrêté modifie les prescriptions générales contenues dans </w:t>
      </w:r>
      <w:r w:rsidR="00721036">
        <w:rPr>
          <w:i/>
          <w:iCs/>
          <w:color w:val="000000"/>
          <w:lang w:eastAsia="fr-FR"/>
        </w:rPr>
        <w:t>l’arrêté ministériel du 3 août 2018 relatif aux installations de combustion d’une puissance thermique nominale totale supérieure ou égale à 50 MW soumises à autorisation au titre de la rubrique 3110</w:t>
      </w:r>
      <w:r w:rsidR="001F73E3">
        <w:rPr>
          <w:i/>
          <w:iCs/>
          <w:color w:val="000000"/>
          <w:lang w:eastAsia="fr-FR"/>
        </w:rPr>
        <w:t xml:space="preserve"> pour y intégrer les dispositions relatives à </w:t>
      </w:r>
      <w:r w:rsidR="001F73E3" w:rsidRPr="001F73E3">
        <w:rPr>
          <w:i/>
          <w:iCs/>
          <w:color w:val="000000"/>
          <w:lang w:eastAsia="fr-FR"/>
        </w:rPr>
        <w:t>la décision d’exécution (UE) n°</w:t>
      </w:r>
      <w:r w:rsidR="008C74D6">
        <w:rPr>
          <w:i/>
          <w:iCs/>
          <w:color w:val="000000"/>
          <w:lang w:eastAsia="fr-FR"/>
        </w:rPr>
        <w:t xml:space="preserve"> </w:t>
      </w:r>
      <w:r w:rsidR="001F73E3" w:rsidRPr="001F73E3">
        <w:rPr>
          <w:i/>
          <w:iCs/>
          <w:color w:val="000000"/>
          <w:lang w:eastAsia="fr-FR"/>
        </w:rPr>
        <w:t xml:space="preserve">2021/2326 du 30 novembre 2021 de la </w:t>
      </w:r>
      <w:r w:rsidR="008C74D6">
        <w:rPr>
          <w:i/>
          <w:iCs/>
          <w:color w:val="000000"/>
          <w:lang w:eastAsia="fr-FR"/>
        </w:rPr>
        <w:t>C</w:t>
      </w:r>
      <w:r w:rsidR="008C74D6" w:rsidRPr="001F73E3">
        <w:rPr>
          <w:i/>
          <w:iCs/>
          <w:color w:val="000000"/>
          <w:lang w:eastAsia="fr-FR"/>
        </w:rPr>
        <w:t xml:space="preserve">ommission </w:t>
      </w:r>
      <w:r w:rsidR="001F73E3" w:rsidRPr="001F73E3">
        <w:rPr>
          <w:i/>
          <w:iCs/>
          <w:color w:val="000000"/>
          <w:lang w:eastAsia="fr-FR"/>
        </w:rPr>
        <w:t>établissant les conditions sur les meilleures techniques disponibles (MTD)</w:t>
      </w:r>
      <w:r w:rsidR="001F73E3">
        <w:rPr>
          <w:i/>
          <w:iCs/>
          <w:color w:val="000000"/>
          <w:lang w:eastAsia="fr-FR"/>
        </w:rPr>
        <w:t xml:space="preserve"> </w:t>
      </w:r>
      <w:r w:rsidR="001F73E3" w:rsidRPr="001F73E3">
        <w:rPr>
          <w:i/>
          <w:iCs/>
          <w:color w:val="000000"/>
          <w:lang w:eastAsia="fr-FR"/>
        </w:rPr>
        <w:t>pour les grandes installations de combustion</w:t>
      </w:r>
      <w:r w:rsidR="001F73E3">
        <w:rPr>
          <w:i/>
          <w:iCs/>
          <w:color w:val="000000"/>
          <w:lang w:eastAsia="fr-FR"/>
        </w:rPr>
        <w:t xml:space="preserve"> (BREF LCP)</w:t>
      </w:r>
      <w:r w:rsidR="00721036">
        <w:rPr>
          <w:i/>
          <w:iCs/>
          <w:color w:val="000000"/>
          <w:lang w:eastAsia="fr-FR"/>
        </w:rPr>
        <w:t>.</w:t>
      </w:r>
    </w:p>
    <w:p w14:paraId="351DA8DA" w14:textId="5F60555F" w:rsidR="00E02A22" w:rsidRDefault="00E02A22" w:rsidP="00A86DB4">
      <w:pPr>
        <w:pStyle w:val="Contenudetableau"/>
        <w:spacing w:after="120"/>
        <w:ind w:firstLine="720"/>
        <w:rPr>
          <w:b/>
          <w:bCs/>
        </w:rPr>
      </w:pPr>
      <w:r>
        <w:rPr>
          <w:b/>
          <w:bCs/>
          <w:i/>
          <w:iCs/>
        </w:rPr>
        <w:t>Références :</w:t>
      </w:r>
      <w:r>
        <w:rPr>
          <w:i/>
          <w:iCs/>
        </w:rPr>
        <w:t xml:space="preserve"> le texte modifié par le présent arrêté peut être consulté</w:t>
      </w:r>
      <w:r w:rsidR="00447372">
        <w:rPr>
          <w:i/>
          <w:iCs/>
        </w:rPr>
        <w:t>,</w:t>
      </w:r>
      <w:r>
        <w:rPr>
          <w:i/>
          <w:iCs/>
        </w:rPr>
        <w:t xml:space="preserve"> dans </w:t>
      </w:r>
      <w:r w:rsidR="00447372">
        <w:rPr>
          <w:i/>
          <w:iCs/>
        </w:rPr>
        <w:t>s</w:t>
      </w:r>
      <w:r w:rsidR="00721036">
        <w:rPr>
          <w:i/>
          <w:iCs/>
        </w:rPr>
        <w:t>a</w:t>
      </w:r>
      <w:r w:rsidR="00447372">
        <w:rPr>
          <w:i/>
          <w:iCs/>
        </w:rPr>
        <w:t xml:space="preserve"> </w:t>
      </w:r>
      <w:r>
        <w:rPr>
          <w:i/>
          <w:iCs/>
        </w:rPr>
        <w:t>rédaction issue de cette modification</w:t>
      </w:r>
      <w:r w:rsidR="00447372">
        <w:rPr>
          <w:i/>
          <w:iCs/>
        </w:rPr>
        <w:t>,</w:t>
      </w:r>
      <w:r>
        <w:rPr>
          <w:i/>
          <w:iCs/>
        </w:rPr>
        <w:t xml:space="preserve"> sur le site Légifrance </w:t>
      </w:r>
      <w:r>
        <w:rPr>
          <w:iCs/>
        </w:rPr>
        <w:t>(http://www.legifrance.gouv.fr).</w:t>
      </w:r>
      <w:r>
        <w:rPr>
          <w:i/>
          <w:iCs/>
        </w:rPr>
        <w:t xml:space="preserve"> </w:t>
      </w:r>
    </w:p>
    <w:p w14:paraId="4DE3786E" w14:textId="3A503985" w:rsidR="00E02A22" w:rsidRDefault="008E6B2E">
      <w:pPr>
        <w:spacing w:before="720" w:after="240"/>
        <w:ind w:firstLine="720"/>
        <w:jc w:val="both"/>
        <w:rPr>
          <w:b/>
          <w:bCs/>
        </w:rPr>
      </w:pPr>
      <w:r>
        <w:rPr>
          <w:b/>
          <w:bCs/>
        </w:rPr>
        <w:t xml:space="preserve">La </w:t>
      </w:r>
      <w:r w:rsidR="00E02A22">
        <w:rPr>
          <w:b/>
          <w:bCs/>
        </w:rPr>
        <w:t>ministre de la transition écologique</w:t>
      </w:r>
      <w:r w:rsidR="008C74D6">
        <w:rPr>
          <w:b/>
          <w:bCs/>
        </w:rPr>
        <w:t>,</w:t>
      </w:r>
      <w:r w:rsidR="009F0646">
        <w:rPr>
          <w:b/>
          <w:bCs/>
        </w:rPr>
        <w:t xml:space="preserve"> </w:t>
      </w:r>
      <w:r>
        <w:rPr>
          <w:b/>
          <w:bCs/>
        </w:rPr>
        <w:t>de l’énergie, du climat et de la prévention des risques</w:t>
      </w:r>
      <w:r w:rsidR="00E02A22" w:rsidRPr="008477AD">
        <w:rPr>
          <w:b/>
          <w:bCs/>
        </w:rPr>
        <w:t>,</w:t>
      </w:r>
    </w:p>
    <w:p w14:paraId="409C753F" w14:textId="3CF912BA" w:rsidR="00702EF7" w:rsidRPr="00702EF7" w:rsidRDefault="00702EF7" w:rsidP="00702EF7">
      <w:pPr>
        <w:suppressAutoHyphens w:val="0"/>
        <w:spacing w:before="119" w:after="119"/>
        <w:ind w:firstLine="720"/>
        <w:jc w:val="both"/>
        <w:rPr>
          <w:color w:val="000000"/>
          <w:lang w:eastAsia="fr-FR"/>
        </w:rPr>
      </w:pPr>
      <w:r w:rsidRPr="00702EF7">
        <w:rPr>
          <w:color w:val="000000"/>
          <w:lang w:eastAsia="fr-FR"/>
        </w:rPr>
        <w:t>Vu la directive 2010/75/UE</w:t>
      </w:r>
      <w:r w:rsidR="0007641F">
        <w:rPr>
          <w:color w:val="000000"/>
          <w:lang w:eastAsia="fr-FR"/>
        </w:rPr>
        <w:t xml:space="preserve"> </w:t>
      </w:r>
      <w:r w:rsidRPr="00702EF7">
        <w:rPr>
          <w:color w:val="000000"/>
          <w:lang w:eastAsia="fr-FR"/>
        </w:rPr>
        <w:t xml:space="preserve">du 24 novembre 2010 </w:t>
      </w:r>
      <w:r w:rsidR="008C74D6">
        <w:rPr>
          <w:color w:val="000000"/>
          <w:lang w:eastAsia="fr-FR"/>
        </w:rPr>
        <w:t>modifiée</w:t>
      </w:r>
      <w:r w:rsidR="008C74D6" w:rsidRPr="00702EF7">
        <w:rPr>
          <w:color w:val="000000"/>
          <w:lang w:eastAsia="fr-FR"/>
        </w:rPr>
        <w:t xml:space="preserve"> </w:t>
      </w:r>
      <w:r w:rsidRPr="00702EF7">
        <w:rPr>
          <w:color w:val="000000"/>
          <w:lang w:eastAsia="fr-FR"/>
        </w:rPr>
        <w:t>relative aux émissions industrielles (prévention et réduction intégrées de la pollution) ;</w:t>
      </w:r>
    </w:p>
    <w:p w14:paraId="48F51610" w14:textId="69E73C48" w:rsidR="00702EF7" w:rsidRPr="00702EF7" w:rsidRDefault="00702EF7" w:rsidP="00702EF7">
      <w:pPr>
        <w:suppressAutoHyphens w:val="0"/>
        <w:spacing w:before="119" w:after="119"/>
        <w:ind w:firstLine="720"/>
        <w:jc w:val="both"/>
        <w:rPr>
          <w:color w:val="000000"/>
          <w:lang w:eastAsia="fr-FR"/>
        </w:rPr>
      </w:pPr>
      <w:r w:rsidRPr="00702EF7">
        <w:rPr>
          <w:color w:val="000000"/>
          <w:lang w:eastAsia="fr-FR"/>
        </w:rPr>
        <w:t>Vu la décision d'exécution de la Commission n° 2012/249/UE du 7 mai 2012 concernant la détermination des périodes de démarrage et d'arrêt aux fins de la directive 2010/75/UE du Parlement européen et du Conseil relative aux émissions industrielles ;</w:t>
      </w:r>
    </w:p>
    <w:p w14:paraId="3ED12089" w14:textId="4F4BB8FB" w:rsidR="008E6B2E" w:rsidRPr="00702EF7" w:rsidRDefault="00702EF7" w:rsidP="00702EF7">
      <w:pPr>
        <w:suppressAutoHyphens w:val="0"/>
        <w:spacing w:before="119" w:after="119"/>
        <w:ind w:firstLine="720"/>
        <w:jc w:val="both"/>
        <w:rPr>
          <w:color w:val="000000"/>
          <w:lang w:eastAsia="fr-FR"/>
        </w:rPr>
      </w:pPr>
      <w:r w:rsidRPr="00702EF7">
        <w:rPr>
          <w:color w:val="000000"/>
          <w:lang w:eastAsia="fr-FR"/>
        </w:rPr>
        <w:t>Vu la décision d’exécution (UE) n°</w:t>
      </w:r>
      <w:r w:rsidR="008C74D6">
        <w:rPr>
          <w:color w:val="000000"/>
          <w:lang w:eastAsia="fr-FR"/>
        </w:rPr>
        <w:t xml:space="preserve"> </w:t>
      </w:r>
      <w:r w:rsidRPr="00702EF7">
        <w:rPr>
          <w:color w:val="000000"/>
          <w:lang w:eastAsia="fr-FR"/>
        </w:rPr>
        <w:t xml:space="preserve">2021/2326 du 30 novembre 2021 de la </w:t>
      </w:r>
      <w:r w:rsidR="0007641F">
        <w:rPr>
          <w:color w:val="000000"/>
          <w:lang w:eastAsia="fr-FR"/>
        </w:rPr>
        <w:t>C</w:t>
      </w:r>
      <w:r w:rsidR="0007641F" w:rsidRPr="00702EF7">
        <w:rPr>
          <w:color w:val="000000"/>
          <w:lang w:eastAsia="fr-FR"/>
        </w:rPr>
        <w:t xml:space="preserve">ommission </w:t>
      </w:r>
      <w:r w:rsidRPr="00702EF7">
        <w:rPr>
          <w:color w:val="000000"/>
          <w:lang w:eastAsia="fr-FR"/>
        </w:rPr>
        <w:t>établissant les conditions sur les meilleures techniques disponibles (MTD), au titre de la directive 2010/75/UE du Parlement européen et du Conseil pour les grandes installations de combustion ;</w:t>
      </w:r>
    </w:p>
    <w:p w14:paraId="08E61CA3" w14:textId="1ACD67FE" w:rsidR="00231C2A" w:rsidRDefault="00231C2A" w:rsidP="00231C2A">
      <w:pPr>
        <w:suppressAutoHyphens w:val="0"/>
        <w:spacing w:before="119" w:after="119"/>
        <w:ind w:firstLine="720"/>
        <w:jc w:val="both"/>
        <w:rPr>
          <w:color w:val="000000"/>
          <w:lang w:eastAsia="fr-FR"/>
        </w:rPr>
      </w:pPr>
      <w:r w:rsidRPr="00231C2A">
        <w:rPr>
          <w:color w:val="000000"/>
          <w:lang w:eastAsia="fr-FR"/>
        </w:rPr>
        <w:t>Vu le code de l'environnement, notamment son livre V ;</w:t>
      </w:r>
    </w:p>
    <w:p w14:paraId="1052FC9D" w14:textId="77777777" w:rsidR="008C74D6" w:rsidRPr="001565D6" w:rsidRDefault="008C74D6" w:rsidP="008C74D6">
      <w:pPr>
        <w:spacing w:after="240"/>
        <w:ind w:firstLine="720"/>
        <w:jc w:val="both"/>
        <w:rPr>
          <w:color w:val="000000"/>
          <w:lang w:eastAsia="fr-FR"/>
        </w:rPr>
      </w:pPr>
      <w:r w:rsidRPr="001565D6">
        <w:rPr>
          <w:color w:val="000000"/>
          <w:lang w:eastAsia="fr-FR"/>
        </w:rPr>
        <w:t>Vu l’arrêté du 2 février 1998 relatif aux prélèvements et à la consommation d'eau ainsi qu'aux émissions de toute nature des installations classées pour la protection de l'environnement soumises à autorisation</w:t>
      </w:r>
    </w:p>
    <w:p w14:paraId="041E22FD" w14:textId="4BCC4580" w:rsidR="00231C2A" w:rsidRPr="00231C2A" w:rsidRDefault="00231C2A" w:rsidP="00702EF7">
      <w:pPr>
        <w:suppressAutoHyphens w:val="0"/>
        <w:spacing w:before="119" w:after="119"/>
        <w:ind w:firstLine="720"/>
        <w:jc w:val="both"/>
        <w:rPr>
          <w:color w:val="000000"/>
          <w:lang w:eastAsia="fr-FR"/>
        </w:rPr>
      </w:pPr>
      <w:r w:rsidRPr="00231C2A">
        <w:rPr>
          <w:color w:val="000000"/>
          <w:lang w:eastAsia="fr-FR"/>
        </w:rPr>
        <w:lastRenderedPageBreak/>
        <w:t xml:space="preserve">Vu l’arrêté du 3 août 2018 relatif aux installations de combustion d’une puissance thermique nominale totale </w:t>
      </w:r>
      <w:r w:rsidR="00702EF7">
        <w:rPr>
          <w:color w:val="000000"/>
          <w:lang w:eastAsia="fr-FR"/>
        </w:rPr>
        <w:t>supérieure ou égale</w:t>
      </w:r>
      <w:r w:rsidRPr="00231C2A">
        <w:rPr>
          <w:color w:val="000000"/>
          <w:lang w:eastAsia="fr-FR"/>
        </w:rPr>
        <w:t xml:space="preserve"> à 50 MW soumises à autorisation au titre de</w:t>
      </w:r>
      <w:r w:rsidR="00702EF7">
        <w:rPr>
          <w:color w:val="000000"/>
          <w:lang w:eastAsia="fr-FR"/>
        </w:rPr>
        <w:t xml:space="preserve"> la</w:t>
      </w:r>
      <w:r w:rsidRPr="00231C2A">
        <w:rPr>
          <w:color w:val="000000"/>
          <w:lang w:eastAsia="fr-FR"/>
        </w:rPr>
        <w:t xml:space="preserve"> rubrique</w:t>
      </w:r>
      <w:r w:rsidR="00702EF7">
        <w:rPr>
          <w:color w:val="000000"/>
          <w:lang w:eastAsia="fr-FR"/>
        </w:rPr>
        <w:t xml:space="preserve"> </w:t>
      </w:r>
      <w:r w:rsidRPr="00231C2A">
        <w:rPr>
          <w:color w:val="000000"/>
          <w:lang w:eastAsia="fr-FR"/>
        </w:rPr>
        <w:t>3110 ;</w:t>
      </w:r>
    </w:p>
    <w:p w14:paraId="573C31E5" w14:textId="29A7398D" w:rsidR="00231C2A" w:rsidRPr="00231C2A" w:rsidRDefault="00231C2A" w:rsidP="00231C2A">
      <w:pPr>
        <w:suppressAutoHyphens w:val="0"/>
        <w:spacing w:before="119" w:after="119"/>
        <w:ind w:firstLine="709"/>
        <w:jc w:val="both"/>
        <w:rPr>
          <w:color w:val="000000"/>
          <w:lang w:eastAsia="fr-FR"/>
        </w:rPr>
      </w:pPr>
      <w:r w:rsidRPr="00231C2A">
        <w:rPr>
          <w:color w:val="000000"/>
          <w:lang w:eastAsia="fr-FR"/>
        </w:rPr>
        <w:t xml:space="preserve">Vu l’avis du </w:t>
      </w:r>
      <w:r w:rsidR="00022E86">
        <w:rPr>
          <w:color w:val="000000"/>
          <w:lang w:eastAsia="fr-FR"/>
        </w:rPr>
        <w:t>C</w:t>
      </w:r>
      <w:r w:rsidR="00022E86" w:rsidRPr="00231C2A">
        <w:rPr>
          <w:color w:val="000000"/>
          <w:lang w:eastAsia="fr-FR"/>
        </w:rPr>
        <w:t xml:space="preserve">onseil </w:t>
      </w:r>
      <w:r w:rsidRPr="00231C2A">
        <w:rPr>
          <w:color w:val="000000"/>
          <w:lang w:eastAsia="fr-FR"/>
        </w:rPr>
        <w:t>supérieur de la prévention des risques technologiques du</w:t>
      </w:r>
      <w:r w:rsidR="00022E86" w:rsidRPr="00702EF7">
        <w:rPr>
          <w:color w:val="000000"/>
          <w:highlight w:val="yellow"/>
          <w:lang w:eastAsia="fr-FR"/>
        </w:rPr>
        <w:t> </w:t>
      </w:r>
      <w:r w:rsidR="00F24EAF">
        <w:rPr>
          <w:color w:val="000000"/>
          <w:highlight w:val="yellow"/>
          <w:lang w:eastAsia="fr-FR"/>
        </w:rPr>
        <w:t xml:space="preserve">   </w:t>
      </w:r>
      <w:proofErr w:type="gramStart"/>
      <w:r w:rsidR="00F24EAF">
        <w:rPr>
          <w:color w:val="000000"/>
          <w:highlight w:val="yellow"/>
          <w:lang w:eastAsia="fr-FR"/>
        </w:rPr>
        <w:t xml:space="preserve">   </w:t>
      </w:r>
      <w:r w:rsidR="00022E86" w:rsidRPr="00702EF7">
        <w:rPr>
          <w:color w:val="000000"/>
          <w:highlight w:val="yellow"/>
          <w:lang w:eastAsia="fr-FR"/>
        </w:rPr>
        <w:t>;</w:t>
      </w:r>
      <w:proofErr w:type="gramEnd"/>
    </w:p>
    <w:p w14:paraId="3B531182" w14:textId="280BFF9F" w:rsidR="00231C2A" w:rsidRDefault="00231C2A" w:rsidP="00231C2A">
      <w:pPr>
        <w:suppressAutoHyphens w:val="0"/>
        <w:spacing w:before="119" w:after="119"/>
        <w:ind w:firstLine="709"/>
        <w:jc w:val="both"/>
        <w:rPr>
          <w:color w:val="000000"/>
          <w:lang w:eastAsia="fr-FR"/>
        </w:rPr>
      </w:pPr>
      <w:r w:rsidRPr="00231C2A">
        <w:rPr>
          <w:color w:val="000000"/>
          <w:lang w:eastAsia="fr-FR"/>
        </w:rPr>
        <w:t xml:space="preserve">Vu l’avis du </w:t>
      </w:r>
      <w:r w:rsidR="00022E86">
        <w:rPr>
          <w:color w:val="000000"/>
          <w:lang w:eastAsia="fr-FR"/>
        </w:rPr>
        <w:t>C</w:t>
      </w:r>
      <w:r w:rsidR="00022E86" w:rsidRPr="00231C2A">
        <w:rPr>
          <w:color w:val="000000"/>
          <w:lang w:eastAsia="fr-FR"/>
        </w:rPr>
        <w:t xml:space="preserve">onseil </w:t>
      </w:r>
      <w:r w:rsidRPr="00231C2A">
        <w:rPr>
          <w:color w:val="000000"/>
          <w:lang w:eastAsia="fr-FR"/>
        </w:rPr>
        <w:t xml:space="preserve">national d’évaluation des normes </w:t>
      </w:r>
      <w:r w:rsidRPr="00F24EAF">
        <w:rPr>
          <w:color w:val="000000"/>
          <w:highlight w:val="yellow"/>
          <w:lang w:eastAsia="fr-FR"/>
        </w:rPr>
        <w:t>du</w:t>
      </w:r>
      <w:r w:rsidR="00F24EAF">
        <w:rPr>
          <w:color w:val="000000"/>
          <w:lang w:eastAsia="fr-FR"/>
        </w:rPr>
        <w:t xml:space="preserve">       </w:t>
      </w:r>
      <w:proofErr w:type="gramStart"/>
      <w:r w:rsidR="00F24EAF">
        <w:rPr>
          <w:color w:val="000000"/>
          <w:lang w:eastAsia="fr-FR"/>
        </w:rPr>
        <w:t xml:space="preserve">   </w:t>
      </w:r>
      <w:r w:rsidR="00022E86" w:rsidRPr="00011067">
        <w:rPr>
          <w:color w:val="000000"/>
          <w:lang w:eastAsia="fr-FR"/>
        </w:rPr>
        <w:t>;</w:t>
      </w:r>
      <w:proofErr w:type="gramEnd"/>
    </w:p>
    <w:p w14:paraId="46C3329E" w14:textId="27045C36" w:rsidR="00C00766" w:rsidRDefault="00C00766" w:rsidP="002B0DC1">
      <w:pPr>
        <w:suppressAutoHyphens w:val="0"/>
        <w:spacing w:before="119" w:after="119"/>
        <w:ind w:firstLine="720"/>
        <w:jc w:val="both"/>
        <w:rPr>
          <w:shd w:val="clear" w:color="auto" w:fill="FFFFFF"/>
        </w:rPr>
      </w:pPr>
      <w:r w:rsidRPr="00C00766">
        <w:rPr>
          <w:shd w:val="clear" w:color="auto" w:fill="FFFFFF"/>
        </w:rPr>
        <w:t>Vu les observatio</w:t>
      </w:r>
      <w:r w:rsidRPr="0050152D">
        <w:rPr>
          <w:shd w:val="clear" w:color="auto" w:fill="FFFFFF"/>
        </w:rPr>
        <w:t xml:space="preserve">ns formulées lors de la consultation du public réalisée </w:t>
      </w:r>
      <w:r w:rsidRPr="00F24EAF">
        <w:rPr>
          <w:highlight w:val="yellow"/>
          <w:shd w:val="clear" w:color="auto" w:fill="FFFFFF"/>
        </w:rPr>
        <w:t>du</w:t>
      </w:r>
      <w:r w:rsidR="00F24EAF">
        <w:rPr>
          <w:shd w:val="clear" w:color="auto" w:fill="FFFFFF"/>
        </w:rPr>
        <w:t xml:space="preserve">    </w:t>
      </w:r>
      <w:proofErr w:type="gramStart"/>
      <w:r w:rsidR="00F24EAF">
        <w:rPr>
          <w:shd w:val="clear" w:color="auto" w:fill="FFFFFF"/>
        </w:rPr>
        <w:t xml:space="preserve">  </w:t>
      </w:r>
      <w:r w:rsidRPr="00C00766">
        <w:rPr>
          <w:shd w:val="clear" w:color="auto" w:fill="FFFFFF"/>
        </w:rPr>
        <w:t>,</w:t>
      </w:r>
      <w:proofErr w:type="gramEnd"/>
      <w:r w:rsidRPr="00C00766">
        <w:rPr>
          <w:shd w:val="clear" w:color="auto" w:fill="FFFFFF"/>
        </w:rPr>
        <w:t xml:space="preserve"> en application de </w:t>
      </w:r>
      <w:hyperlink r:id="rId8" w:anchor="Article_L._123-19-1" w:history="1">
        <w:r w:rsidRPr="00C00766">
          <w:rPr>
            <w:rStyle w:val="SNTimbreCar"/>
            <w:shd w:val="clear" w:color="auto" w:fill="FFFFFF"/>
          </w:rPr>
          <w:t>l'article L. 123-19-1 du code de l'environnement</w:t>
        </w:r>
      </w:hyperlink>
      <w:r w:rsidRPr="00C00766">
        <w:rPr>
          <w:shd w:val="clear" w:color="auto" w:fill="FFFFFF"/>
        </w:rPr>
        <w:t> ;</w:t>
      </w:r>
    </w:p>
    <w:p w14:paraId="6D525416" w14:textId="612271ED" w:rsidR="008C74D6" w:rsidRDefault="008C74D6" w:rsidP="002B0DC1">
      <w:pPr>
        <w:suppressAutoHyphens w:val="0"/>
        <w:spacing w:before="119" w:after="119"/>
        <w:ind w:firstLine="720"/>
        <w:jc w:val="both"/>
        <w:rPr>
          <w:shd w:val="clear" w:color="auto" w:fill="FFFFFF"/>
        </w:rPr>
      </w:pPr>
      <w:r>
        <w:rPr>
          <w:shd w:val="clear" w:color="auto" w:fill="FFFFFF"/>
        </w:rPr>
        <w:t>Vu l’avis des ministres concernés ;</w:t>
      </w:r>
    </w:p>
    <w:p w14:paraId="4979A5C6" w14:textId="7B3399B8" w:rsidR="00C00766" w:rsidRPr="00C00766" w:rsidRDefault="00C00766" w:rsidP="002B0DC1">
      <w:pPr>
        <w:suppressAutoHyphens w:val="0"/>
        <w:spacing w:after="240"/>
        <w:ind w:firstLine="708"/>
        <w:rPr>
          <w:shd w:val="clear" w:color="auto" w:fill="FFFFFF"/>
        </w:rPr>
      </w:pPr>
      <w:r w:rsidRPr="00C00766">
        <w:rPr>
          <w:shd w:val="clear" w:color="auto" w:fill="FFFFFF"/>
        </w:rPr>
        <w:t>Vu l'avis des organisations professionnelles concernées</w:t>
      </w:r>
      <w:r w:rsidR="00447372">
        <w:rPr>
          <w:shd w:val="clear" w:color="auto" w:fill="FFFFFF"/>
        </w:rPr>
        <w:t>,</w:t>
      </w:r>
    </w:p>
    <w:p w14:paraId="73DF22EF" w14:textId="77777777" w:rsidR="00E02A22" w:rsidRDefault="00E02A22" w:rsidP="002B0DC1">
      <w:pPr>
        <w:pStyle w:val="SNRapport"/>
      </w:pPr>
      <w:r>
        <w:t>Arrête :</w:t>
      </w:r>
    </w:p>
    <w:p w14:paraId="5900910B" w14:textId="00CBBA7B" w:rsidR="000C039C" w:rsidRPr="000C039C" w:rsidRDefault="000C039C" w:rsidP="002B0DC1">
      <w:pPr>
        <w:jc w:val="center"/>
        <w:rPr>
          <w:b/>
          <w:bCs/>
          <w:i/>
          <w:iCs/>
        </w:rPr>
      </w:pPr>
      <w:r w:rsidRPr="000C039C">
        <w:rPr>
          <w:b/>
          <w:bCs/>
        </w:rPr>
        <w:t xml:space="preserve">Article </w:t>
      </w:r>
      <w:r w:rsidRPr="000C039C">
        <w:rPr>
          <w:b/>
          <w:bCs/>
          <w:i/>
          <w:iCs/>
        </w:rPr>
        <w:fldChar w:fldCharType="begin"/>
      </w:r>
      <w:r w:rsidRPr="000C039C">
        <w:rPr>
          <w:b/>
          <w:bCs/>
        </w:rPr>
        <w:instrText xml:space="preserve"> SEQ Article \* ARABIC </w:instrText>
      </w:r>
      <w:r w:rsidRPr="000C039C">
        <w:rPr>
          <w:b/>
          <w:bCs/>
          <w:i/>
          <w:iCs/>
        </w:rPr>
        <w:fldChar w:fldCharType="separate"/>
      </w:r>
      <w:r w:rsidR="00871300">
        <w:rPr>
          <w:b/>
          <w:bCs/>
          <w:noProof/>
        </w:rPr>
        <w:t>1</w:t>
      </w:r>
      <w:r w:rsidRPr="000C039C">
        <w:rPr>
          <w:b/>
          <w:bCs/>
          <w:i/>
          <w:iCs/>
        </w:rPr>
        <w:fldChar w:fldCharType="end"/>
      </w:r>
      <w:r w:rsidRPr="000C039C">
        <w:rPr>
          <w:b/>
          <w:bCs/>
          <w:vertAlign w:val="superscript"/>
        </w:rPr>
        <w:t>er</w:t>
      </w:r>
    </w:p>
    <w:p w14:paraId="6EC1D594" w14:textId="354133B9" w:rsidR="00231C2A" w:rsidRDefault="00231C2A" w:rsidP="002B0DC1">
      <w:pPr>
        <w:suppressAutoHyphens w:val="0"/>
        <w:spacing w:before="100" w:beforeAutospacing="1" w:after="119"/>
        <w:jc w:val="both"/>
        <w:rPr>
          <w:color w:val="000000"/>
          <w:lang w:eastAsia="fr-FR"/>
        </w:rPr>
      </w:pPr>
      <w:r w:rsidRPr="002B0DC1">
        <w:rPr>
          <w:color w:val="000000"/>
          <w:lang w:eastAsia="fr-FR"/>
        </w:rPr>
        <w:t>L’</w:t>
      </w:r>
      <w:r w:rsidR="00041BEF" w:rsidRPr="002B0DC1">
        <w:rPr>
          <w:color w:val="000000"/>
          <w:lang w:eastAsia="fr-FR"/>
        </w:rPr>
        <w:t>article 1</w:t>
      </w:r>
      <w:r w:rsidR="00041BEF" w:rsidRPr="002B0DC1">
        <w:rPr>
          <w:color w:val="000000"/>
          <w:vertAlign w:val="superscript"/>
          <w:lang w:eastAsia="fr-FR"/>
        </w:rPr>
        <w:t>er</w:t>
      </w:r>
      <w:r w:rsidR="00041BEF" w:rsidRPr="002B0DC1">
        <w:rPr>
          <w:color w:val="000000"/>
          <w:lang w:eastAsia="fr-FR"/>
        </w:rPr>
        <w:t xml:space="preserve"> de l’</w:t>
      </w:r>
      <w:r w:rsidRPr="002B0DC1">
        <w:rPr>
          <w:color w:val="000000"/>
          <w:lang w:eastAsia="fr-FR"/>
        </w:rPr>
        <w:t>arrêté du 3 août 2018</w:t>
      </w:r>
      <w:r w:rsidRPr="00231C2A">
        <w:rPr>
          <w:color w:val="000000"/>
          <w:lang w:eastAsia="fr-FR"/>
        </w:rPr>
        <w:t xml:space="preserve"> </w:t>
      </w:r>
      <w:r w:rsidR="0007641F">
        <w:rPr>
          <w:color w:val="000000"/>
          <w:lang w:eastAsia="fr-FR"/>
        </w:rPr>
        <w:t>susvisé</w:t>
      </w:r>
      <w:r w:rsidR="00702EF7" w:rsidRPr="00231C2A">
        <w:rPr>
          <w:color w:val="000000"/>
          <w:lang w:eastAsia="fr-FR"/>
        </w:rPr>
        <w:t> </w:t>
      </w:r>
      <w:r w:rsidR="00495E9C">
        <w:rPr>
          <w:color w:val="000000"/>
          <w:lang w:eastAsia="fr-FR"/>
        </w:rPr>
        <w:t>est ainsi modifié :</w:t>
      </w:r>
    </w:p>
    <w:p w14:paraId="75EE2D53" w14:textId="01517FEE" w:rsidR="00037F18" w:rsidRPr="0064646E" w:rsidRDefault="006A72C4" w:rsidP="002B0DC1">
      <w:pPr>
        <w:suppressAutoHyphens w:val="0"/>
        <w:spacing w:before="100" w:beforeAutospacing="1" w:after="119"/>
        <w:jc w:val="both"/>
        <w:rPr>
          <w:bCs/>
          <w:color w:val="000000"/>
          <w:lang w:eastAsia="fr-FR"/>
        </w:rPr>
      </w:pPr>
      <w:r>
        <w:rPr>
          <w:bCs/>
          <w:color w:val="000000"/>
          <w:lang w:eastAsia="fr-FR"/>
        </w:rPr>
        <w:t>1°</w:t>
      </w:r>
      <w:r w:rsidR="008C74D6">
        <w:rPr>
          <w:bCs/>
          <w:color w:val="000000"/>
          <w:lang w:eastAsia="fr-FR"/>
        </w:rPr>
        <w:t xml:space="preserve"> Un </w:t>
      </w:r>
      <w:r w:rsidR="00424C89" w:rsidRPr="0064646E">
        <w:rPr>
          <w:bCs/>
          <w:color w:val="000000"/>
          <w:lang w:eastAsia="fr-FR"/>
        </w:rPr>
        <w:t xml:space="preserve">alinéa </w:t>
      </w:r>
      <w:r w:rsidR="00037F18" w:rsidRPr="0064646E">
        <w:rPr>
          <w:bCs/>
          <w:color w:val="000000"/>
          <w:lang w:eastAsia="fr-FR"/>
        </w:rPr>
        <w:t>« </w:t>
      </w:r>
      <w:r w:rsidR="00041BEF" w:rsidRPr="0064646E">
        <w:rPr>
          <w:bCs/>
          <w:color w:val="000000"/>
          <w:lang w:eastAsia="fr-FR"/>
        </w:rPr>
        <w:t>D</w:t>
      </w:r>
      <w:r w:rsidR="00037F18" w:rsidRPr="0064646E">
        <w:rPr>
          <w:bCs/>
          <w:color w:val="000000"/>
          <w:lang w:eastAsia="fr-FR"/>
        </w:rPr>
        <w:t>éfinition</w:t>
      </w:r>
      <w:r w:rsidR="00041BEF" w:rsidRPr="0064646E">
        <w:rPr>
          <w:bCs/>
          <w:color w:val="000000"/>
          <w:lang w:eastAsia="fr-FR"/>
        </w:rPr>
        <w:t>s</w:t>
      </w:r>
      <w:r w:rsidR="00037F18" w:rsidRPr="0064646E">
        <w:rPr>
          <w:bCs/>
          <w:color w:val="000000"/>
          <w:lang w:eastAsia="fr-FR"/>
        </w:rPr>
        <w:t> » est inséré avant le premier alinéa.</w:t>
      </w:r>
    </w:p>
    <w:p w14:paraId="3ECF6430" w14:textId="5B57B5A2" w:rsidR="00037F18" w:rsidRPr="0064646E" w:rsidRDefault="006A72C4" w:rsidP="002B0DC1">
      <w:pPr>
        <w:suppressAutoHyphens w:val="0"/>
        <w:spacing w:before="100" w:beforeAutospacing="1" w:after="119"/>
        <w:jc w:val="both"/>
        <w:rPr>
          <w:bCs/>
          <w:color w:val="000000"/>
          <w:lang w:eastAsia="fr-FR"/>
        </w:rPr>
      </w:pPr>
      <w:r>
        <w:rPr>
          <w:bCs/>
          <w:color w:val="000000"/>
          <w:lang w:eastAsia="fr-FR"/>
        </w:rPr>
        <w:t>2°</w:t>
      </w:r>
      <w:r w:rsidR="00041BEF" w:rsidRPr="0064646E">
        <w:rPr>
          <w:bCs/>
          <w:color w:val="000000"/>
          <w:lang w:eastAsia="fr-FR"/>
        </w:rPr>
        <w:t xml:space="preserve"> </w:t>
      </w:r>
      <w:r w:rsidR="0007641F">
        <w:rPr>
          <w:bCs/>
          <w:color w:val="000000"/>
          <w:lang w:eastAsia="fr-FR"/>
        </w:rPr>
        <w:t>Le quinzième alinéa est complété par les</w:t>
      </w:r>
      <w:r w:rsidR="00037F18" w:rsidRPr="0064646E">
        <w:rPr>
          <w:bCs/>
          <w:color w:val="000000"/>
          <w:lang w:eastAsia="fr-FR"/>
        </w:rPr>
        <w:t xml:space="preserve"> mots</w:t>
      </w:r>
      <w:r w:rsidR="008C74D6">
        <w:rPr>
          <w:bCs/>
          <w:color w:val="000000"/>
          <w:lang w:eastAsia="fr-FR"/>
        </w:rPr>
        <w:t> :</w:t>
      </w:r>
      <w:r w:rsidR="00037F18" w:rsidRPr="0064646E">
        <w:rPr>
          <w:bCs/>
          <w:color w:val="000000"/>
          <w:lang w:eastAsia="fr-FR"/>
        </w:rPr>
        <w:t xml:space="preserve"> « à l’exception des moteurs, des turbines à gaz et des fours ou réchauffeurs industriels ; ».</w:t>
      </w:r>
    </w:p>
    <w:p w14:paraId="7C1638E1" w14:textId="5954A28C" w:rsidR="00763000" w:rsidRPr="00037F18" w:rsidRDefault="006A72C4" w:rsidP="002B0DC1">
      <w:pPr>
        <w:suppressAutoHyphens w:val="0"/>
        <w:spacing w:before="100" w:beforeAutospacing="1" w:after="119"/>
        <w:jc w:val="both"/>
        <w:rPr>
          <w:color w:val="000000"/>
          <w:lang w:eastAsia="fr-FR"/>
        </w:rPr>
      </w:pPr>
      <w:r>
        <w:rPr>
          <w:bCs/>
          <w:color w:val="000000"/>
          <w:lang w:eastAsia="fr-FR"/>
        </w:rPr>
        <w:t>3°</w:t>
      </w:r>
      <w:r w:rsidR="00037F18" w:rsidRPr="0064646E">
        <w:rPr>
          <w:bCs/>
          <w:color w:val="000000"/>
          <w:lang w:eastAsia="fr-FR"/>
        </w:rPr>
        <w:t xml:space="preserve"> </w:t>
      </w:r>
      <w:r w:rsidR="00702EF7" w:rsidRPr="0064646E">
        <w:rPr>
          <w:bCs/>
          <w:color w:val="000000"/>
          <w:lang w:eastAsia="fr-FR"/>
        </w:rPr>
        <w:t>Après</w:t>
      </w:r>
      <w:r w:rsidR="007D497D" w:rsidRPr="0064646E">
        <w:rPr>
          <w:bCs/>
          <w:color w:val="000000"/>
          <w:lang w:eastAsia="fr-FR"/>
        </w:rPr>
        <w:t xml:space="preserve"> le </w:t>
      </w:r>
      <w:r w:rsidR="00702EF7" w:rsidRPr="0064646E">
        <w:rPr>
          <w:bCs/>
          <w:color w:val="000000"/>
          <w:lang w:eastAsia="fr-FR"/>
        </w:rPr>
        <w:t>dix-</w:t>
      </w:r>
      <w:r w:rsidR="00041BEF" w:rsidRPr="0064646E">
        <w:rPr>
          <w:bCs/>
          <w:color w:val="000000"/>
          <w:lang w:eastAsia="fr-FR"/>
        </w:rPr>
        <w:t>septième</w:t>
      </w:r>
      <w:r w:rsidR="007D497D" w:rsidRPr="0064646E">
        <w:rPr>
          <w:bCs/>
          <w:color w:val="000000"/>
          <w:lang w:eastAsia="fr-FR"/>
        </w:rPr>
        <w:t xml:space="preserve"> alinéa, </w:t>
      </w:r>
      <w:r w:rsidR="00286964" w:rsidRPr="0064646E">
        <w:rPr>
          <w:bCs/>
          <w:color w:val="000000"/>
          <w:lang w:eastAsia="fr-FR"/>
        </w:rPr>
        <w:t>entre les définitions des termes</w:t>
      </w:r>
      <w:r w:rsidR="008C74D6">
        <w:rPr>
          <w:bCs/>
          <w:color w:val="000000"/>
          <w:lang w:eastAsia="fr-FR"/>
        </w:rPr>
        <w:t> :</w:t>
      </w:r>
      <w:r w:rsidR="00286964" w:rsidRPr="0064646E">
        <w:rPr>
          <w:bCs/>
          <w:color w:val="000000"/>
          <w:lang w:eastAsia="fr-FR"/>
        </w:rPr>
        <w:t xml:space="preserve"> « combustible déterminant » et « heures</w:t>
      </w:r>
      <w:r w:rsidR="00286964" w:rsidRPr="00037F18">
        <w:rPr>
          <w:color w:val="000000"/>
          <w:lang w:eastAsia="fr-FR"/>
        </w:rPr>
        <w:t xml:space="preserve"> d’exploitation », </w:t>
      </w:r>
      <w:r w:rsidR="008C74D6">
        <w:rPr>
          <w:color w:val="000000"/>
          <w:lang w:eastAsia="fr-FR"/>
        </w:rPr>
        <w:t xml:space="preserve">les alinéas suivants </w:t>
      </w:r>
      <w:r w:rsidR="00702EF7" w:rsidRPr="00037F18">
        <w:rPr>
          <w:color w:val="000000"/>
          <w:lang w:eastAsia="fr-FR"/>
        </w:rPr>
        <w:t xml:space="preserve">sont </w:t>
      </w:r>
      <w:r w:rsidR="00DF54EE">
        <w:rPr>
          <w:color w:val="000000"/>
          <w:lang w:eastAsia="fr-FR"/>
        </w:rPr>
        <w:t>ajoutés</w:t>
      </w:r>
      <w:r w:rsidR="00DF54EE" w:rsidRPr="00037F18">
        <w:rPr>
          <w:color w:val="000000"/>
          <w:lang w:eastAsia="fr-FR"/>
        </w:rPr>
        <w:t> </w:t>
      </w:r>
      <w:r w:rsidR="00702EF7" w:rsidRPr="00037F18">
        <w:rPr>
          <w:color w:val="000000"/>
          <w:lang w:eastAsia="fr-FR"/>
        </w:rPr>
        <w:t>:</w:t>
      </w:r>
    </w:p>
    <w:p w14:paraId="291BEA12" w14:textId="73FF9B2F" w:rsidR="00037F18" w:rsidRPr="00037F18" w:rsidRDefault="00037F18" w:rsidP="002B0DC1">
      <w:pPr>
        <w:spacing w:after="240"/>
        <w:jc w:val="both"/>
        <w:rPr>
          <w:color w:val="000000"/>
          <w:lang w:eastAsia="fr-FR"/>
        </w:rPr>
      </w:pPr>
      <w:r>
        <w:rPr>
          <w:color w:val="000000"/>
          <w:lang w:eastAsia="fr-FR"/>
        </w:rPr>
        <w:t>« </w:t>
      </w:r>
      <w:r w:rsidRPr="00037F18">
        <w:rPr>
          <w:color w:val="000000"/>
          <w:lang w:eastAsia="fr-FR"/>
        </w:rPr>
        <w:t xml:space="preserve">- « Combustible de raffinerie » : </w:t>
      </w:r>
      <w:r w:rsidR="00857400">
        <w:rPr>
          <w:color w:val="000000"/>
          <w:lang w:eastAsia="fr-FR"/>
        </w:rPr>
        <w:t>m</w:t>
      </w:r>
      <w:r w:rsidR="00857400" w:rsidRPr="00037F18">
        <w:rPr>
          <w:color w:val="000000"/>
          <w:lang w:eastAsia="fr-FR"/>
        </w:rPr>
        <w:t xml:space="preserve">atière </w:t>
      </w:r>
      <w:r w:rsidRPr="00037F18">
        <w:rPr>
          <w:color w:val="000000"/>
          <w:lang w:eastAsia="fr-FR"/>
        </w:rPr>
        <w:t>combustible solide, liquide ou gazeuse résultant des phases de distillation et de conversion du raffinage du pétrole brut. Exemples : le gaz de raffinerie, le gaz de synthèse, les huiles de raffinerie et le coke de pétrole</w:t>
      </w:r>
      <w:r>
        <w:rPr>
          <w:color w:val="000000"/>
          <w:lang w:eastAsia="fr-FR"/>
        </w:rPr>
        <w:t> ;</w:t>
      </w:r>
    </w:p>
    <w:p w14:paraId="2EEF726E" w14:textId="7F40DB45" w:rsidR="00037F18" w:rsidRPr="00037F18" w:rsidRDefault="00037F18" w:rsidP="002B0DC1">
      <w:pPr>
        <w:spacing w:after="240"/>
        <w:jc w:val="both"/>
        <w:rPr>
          <w:color w:val="000000"/>
          <w:lang w:eastAsia="fr-FR"/>
        </w:rPr>
      </w:pPr>
      <w:r>
        <w:rPr>
          <w:color w:val="000000"/>
          <w:lang w:eastAsia="fr-FR"/>
        </w:rPr>
        <w:t>« </w:t>
      </w:r>
      <w:r w:rsidRPr="00037F18">
        <w:rPr>
          <w:color w:val="000000"/>
          <w:lang w:eastAsia="fr-FR"/>
        </w:rPr>
        <w:t xml:space="preserve">- « Combustibles issus de l’industrie chimique » : </w:t>
      </w:r>
      <w:r w:rsidR="00857400">
        <w:rPr>
          <w:color w:val="000000"/>
          <w:lang w:eastAsia="fr-FR"/>
        </w:rPr>
        <w:t>s</w:t>
      </w:r>
      <w:r w:rsidR="00857400" w:rsidRPr="00037F18">
        <w:rPr>
          <w:color w:val="000000"/>
          <w:lang w:eastAsia="fr-FR"/>
        </w:rPr>
        <w:t>ous</w:t>
      </w:r>
      <w:r w:rsidRPr="00037F18">
        <w:rPr>
          <w:color w:val="000000"/>
          <w:lang w:eastAsia="fr-FR"/>
        </w:rPr>
        <w:t xml:space="preserve">-produits gazeux ou liquides générés par l'industrie (pétro-)chimique et utilisés comme combustibles </w:t>
      </w:r>
      <w:r w:rsidRPr="00792B82">
        <w:rPr>
          <w:color w:val="000000"/>
          <w:lang w:eastAsia="fr-FR"/>
        </w:rPr>
        <w:t>non commerciaux</w:t>
      </w:r>
      <w:r w:rsidRPr="00037F18">
        <w:rPr>
          <w:color w:val="000000"/>
          <w:lang w:eastAsia="fr-FR"/>
        </w:rPr>
        <w:t xml:space="preserve"> dans les installations de combustion ;</w:t>
      </w:r>
    </w:p>
    <w:p w14:paraId="53EEA1A1" w14:textId="77777777" w:rsidR="00037F18" w:rsidRDefault="00037F18" w:rsidP="002B0DC1">
      <w:pPr>
        <w:jc w:val="both"/>
        <w:rPr>
          <w:color w:val="000000"/>
          <w:lang w:eastAsia="fr-FR"/>
        </w:rPr>
      </w:pPr>
      <w:r>
        <w:rPr>
          <w:color w:val="000000"/>
          <w:lang w:eastAsia="fr-FR"/>
        </w:rPr>
        <w:t>« </w:t>
      </w:r>
      <w:r w:rsidRPr="00037F18">
        <w:rPr>
          <w:color w:val="000000"/>
          <w:lang w:eastAsia="fr-FR"/>
        </w:rPr>
        <w:t xml:space="preserve">- « Fioul domestique » : </w:t>
      </w:r>
    </w:p>
    <w:p w14:paraId="6DC29023" w14:textId="682BE293" w:rsidR="00037F18" w:rsidRPr="00037F18" w:rsidRDefault="00037F18" w:rsidP="002B0DC1">
      <w:pPr>
        <w:jc w:val="both"/>
        <w:rPr>
          <w:color w:val="000000"/>
          <w:lang w:eastAsia="fr-FR"/>
        </w:rPr>
      </w:pPr>
      <w:r>
        <w:rPr>
          <w:color w:val="000000"/>
          <w:lang w:eastAsia="fr-FR"/>
        </w:rPr>
        <w:t>« </w:t>
      </w:r>
      <w:proofErr w:type="gramStart"/>
      <w:r w:rsidRPr="00037F18">
        <w:rPr>
          <w:color w:val="000000"/>
          <w:lang w:eastAsia="fr-FR"/>
        </w:rPr>
        <w:t>a</w:t>
      </w:r>
      <w:proofErr w:type="gramEnd"/>
      <w:r w:rsidRPr="00037F18">
        <w:rPr>
          <w:color w:val="000000"/>
          <w:lang w:eastAsia="fr-FR"/>
        </w:rPr>
        <w:t>) tout combustible liquide, dérivé du pétrole, classé dans la nomenclature combinée NC relative au tarif douanier commun, sous les codes NC 2710 19 25, 2710 19 29, 2710 19 47, 2710 19 48, 2710 20 17 ou 2710 20 19</w:t>
      </w:r>
      <w:r w:rsidR="00827ABD">
        <w:rPr>
          <w:color w:val="000000"/>
          <w:lang w:eastAsia="fr-FR"/>
        </w:rPr>
        <w:t xml:space="preserve"> </w:t>
      </w:r>
      <w:r w:rsidRPr="00037F18">
        <w:rPr>
          <w:color w:val="000000"/>
          <w:lang w:eastAsia="fr-FR"/>
        </w:rPr>
        <w:t xml:space="preserve">; ou </w:t>
      </w:r>
    </w:p>
    <w:p w14:paraId="5C207C69" w14:textId="3C55FD46" w:rsidR="00037F18" w:rsidRPr="00037F18" w:rsidRDefault="00037F18" w:rsidP="002B0DC1">
      <w:pPr>
        <w:pStyle w:val="Titre4"/>
        <w:spacing w:before="0"/>
        <w:jc w:val="both"/>
        <w:rPr>
          <w:rFonts w:ascii="Times New Roman" w:eastAsia="Times New Roman" w:hAnsi="Times New Roman" w:cs="Times New Roman"/>
          <w:i w:val="0"/>
          <w:iCs w:val="0"/>
          <w:color w:val="000000" w:themeColor="text1"/>
          <w:lang w:eastAsia="fr-FR"/>
        </w:rPr>
      </w:pPr>
      <w:r>
        <w:rPr>
          <w:rFonts w:ascii="Times New Roman" w:eastAsia="Times New Roman" w:hAnsi="Times New Roman" w:cs="Times New Roman"/>
          <w:i w:val="0"/>
          <w:iCs w:val="0"/>
          <w:color w:val="000000"/>
          <w:lang w:eastAsia="fr-FR"/>
        </w:rPr>
        <w:t>« </w:t>
      </w:r>
      <w:proofErr w:type="gramStart"/>
      <w:r w:rsidRPr="00037F18">
        <w:rPr>
          <w:rFonts w:ascii="Times New Roman" w:eastAsia="Times New Roman" w:hAnsi="Times New Roman" w:cs="Times New Roman"/>
          <w:i w:val="0"/>
          <w:iCs w:val="0"/>
          <w:color w:val="000000"/>
          <w:lang w:eastAsia="fr-FR"/>
        </w:rPr>
        <w:t>b</w:t>
      </w:r>
      <w:proofErr w:type="gramEnd"/>
      <w:r w:rsidRPr="00037F18">
        <w:rPr>
          <w:rFonts w:ascii="Times New Roman" w:eastAsia="Times New Roman" w:hAnsi="Times New Roman" w:cs="Times New Roman"/>
          <w:i w:val="0"/>
          <w:iCs w:val="0"/>
          <w:color w:val="000000"/>
          <w:lang w:eastAsia="fr-FR"/>
        </w:rPr>
        <w:t>) tout combustible liquide, dérivé du pétrole, dont moins de 65 % en volume (pertes comprises) distillent à 250 °C et dont au moins 85 % en volume (pertes comprises) distillent à 350 °C selon la méthode ASTM D86 ;</w:t>
      </w:r>
    </w:p>
    <w:p w14:paraId="65519EFC" w14:textId="77777777" w:rsidR="00037F18" w:rsidRPr="00037F18" w:rsidRDefault="00037F18" w:rsidP="002B0DC1">
      <w:pPr>
        <w:rPr>
          <w:color w:val="000000" w:themeColor="text1"/>
          <w:lang w:eastAsia="fr-FR"/>
        </w:rPr>
      </w:pPr>
    </w:p>
    <w:p w14:paraId="6C8DA0AE" w14:textId="77777777" w:rsidR="00037F18" w:rsidRDefault="00037F18" w:rsidP="002B0DC1">
      <w:pPr>
        <w:pStyle w:val="Titre4"/>
        <w:jc w:val="both"/>
        <w:rPr>
          <w:rFonts w:ascii="Times New Roman" w:hAnsi="Times New Roman" w:cs="Times New Roman"/>
          <w:i w:val="0"/>
          <w:color w:val="000000" w:themeColor="text1"/>
        </w:rPr>
      </w:pPr>
      <w:r>
        <w:rPr>
          <w:rFonts w:ascii="Times New Roman" w:hAnsi="Times New Roman" w:cs="Times New Roman"/>
          <w:i w:val="0"/>
          <w:color w:val="000000" w:themeColor="text1"/>
        </w:rPr>
        <w:lastRenderedPageBreak/>
        <w:t>« </w:t>
      </w:r>
      <w:r w:rsidRPr="00037F18">
        <w:rPr>
          <w:rFonts w:ascii="Times New Roman" w:hAnsi="Times New Roman" w:cs="Times New Roman"/>
          <w:i w:val="0"/>
          <w:color w:val="000000" w:themeColor="text1"/>
        </w:rPr>
        <w:t xml:space="preserve">- « Fioul lourd » : </w:t>
      </w:r>
    </w:p>
    <w:p w14:paraId="074D1765" w14:textId="7EFA8A03" w:rsidR="00037F18" w:rsidRPr="00037F18" w:rsidRDefault="00037F18" w:rsidP="002B0DC1">
      <w:pPr>
        <w:pStyle w:val="Titre4"/>
        <w:jc w:val="both"/>
        <w:rPr>
          <w:rFonts w:ascii="Times New Roman" w:hAnsi="Times New Roman" w:cs="Times New Roman"/>
          <w:b/>
          <w:i w:val="0"/>
          <w:color w:val="000000" w:themeColor="text1"/>
        </w:rPr>
      </w:pPr>
      <w:r>
        <w:rPr>
          <w:rFonts w:ascii="Times New Roman" w:hAnsi="Times New Roman" w:cs="Times New Roman"/>
          <w:i w:val="0"/>
          <w:color w:val="000000" w:themeColor="text1"/>
        </w:rPr>
        <w:t>« </w:t>
      </w:r>
      <w:proofErr w:type="gramStart"/>
      <w:r w:rsidRPr="00037F18">
        <w:rPr>
          <w:rFonts w:ascii="Times New Roman" w:hAnsi="Times New Roman" w:cs="Times New Roman"/>
          <w:i w:val="0"/>
          <w:color w:val="000000" w:themeColor="text1"/>
        </w:rPr>
        <w:t>a</w:t>
      </w:r>
      <w:proofErr w:type="gramEnd"/>
      <w:r w:rsidRPr="00037F18">
        <w:rPr>
          <w:rFonts w:ascii="Times New Roman" w:hAnsi="Times New Roman" w:cs="Times New Roman"/>
          <w:i w:val="0"/>
          <w:color w:val="000000" w:themeColor="text1"/>
        </w:rPr>
        <w:t xml:space="preserve">) tout combustible liquide, dérivé du pétrole, classé dans la nomenclature combinée NC relative au tarif douanier commun, sous les codes NC 2710 19 51 à 2710 19 68, 2710 20 31, 2710 20 35 ou 2710 20 39 ; ou </w:t>
      </w:r>
    </w:p>
    <w:p w14:paraId="33873C1C" w14:textId="6D4520B0" w:rsidR="00037F18" w:rsidRDefault="00037F18" w:rsidP="002B0DC1">
      <w:pPr>
        <w:pStyle w:val="Titre4"/>
        <w:jc w:val="both"/>
        <w:rPr>
          <w:rFonts w:ascii="Times New Roman" w:hAnsi="Times New Roman" w:cs="Times New Roman"/>
          <w:i w:val="0"/>
          <w:color w:val="000000" w:themeColor="text1"/>
        </w:rPr>
      </w:pPr>
      <w:r>
        <w:rPr>
          <w:rFonts w:ascii="Times New Roman" w:hAnsi="Times New Roman" w:cs="Times New Roman"/>
          <w:i w:val="0"/>
          <w:color w:val="000000" w:themeColor="text1"/>
        </w:rPr>
        <w:t>« </w:t>
      </w:r>
      <w:proofErr w:type="gramStart"/>
      <w:r w:rsidRPr="00037F18">
        <w:rPr>
          <w:rFonts w:ascii="Times New Roman" w:hAnsi="Times New Roman" w:cs="Times New Roman"/>
          <w:i w:val="0"/>
          <w:color w:val="000000" w:themeColor="text1"/>
        </w:rPr>
        <w:t>b</w:t>
      </w:r>
      <w:proofErr w:type="gramEnd"/>
      <w:r w:rsidRPr="00037F18">
        <w:rPr>
          <w:rFonts w:ascii="Times New Roman" w:hAnsi="Times New Roman" w:cs="Times New Roman"/>
          <w:i w:val="0"/>
          <w:color w:val="000000" w:themeColor="text1"/>
        </w:rPr>
        <w:t>) tout combustible liquide, dérivé du pétrole, autre que le fioul domestique défini au point ci-dessus, appartenant, du fait de ses limites de distillation, à la catégorie des fiouls lourds destinés à être utilisés comme combustibles et dont moins de 65 % en volume (pertes comprises) distillent à 250 °C selon la méthode ASTM D86. Si la distillation ne peut pas être déterminée selon la méthode ASTM D86, le produit pétrolier est également classé dans la catégorie des fiouls lourds ;</w:t>
      </w:r>
    </w:p>
    <w:p w14:paraId="100402D7" w14:textId="04EDB22C" w:rsidR="00D04EF0" w:rsidRDefault="00D04EF0" w:rsidP="00D04EF0"/>
    <w:p w14:paraId="790B0D7E" w14:textId="77777777" w:rsidR="00D04EF0" w:rsidRPr="00037F18" w:rsidRDefault="00D04EF0" w:rsidP="00D04EF0">
      <w:pPr>
        <w:jc w:val="both"/>
        <w:rPr>
          <w:color w:val="000000"/>
          <w:lang w:eastAsia="fr-FR"/>
        </w:rPr>
      </w:pPr>
      <w:r>
        <w:rPr>
          <w:color w:val="000000"/>
          <w:lang w:eastAsia="fr-FR"/>
        </w:rPr>
        <w:t>« </w:t>
      </w:r>
      <w:r w:rsidRPr="00037F18">
        <w:rPr>
          <w:color w:val="000000"/>
          <w:lang w:eastAsia="fr-FR"/>
        </w:rPr>
        <w:t xml:space="preserve">- « Fours ou réchauffeurs industriels » : </w:t>
      </w:r>
      <w:r>
        <w:rPr>
          <w:color w:val="000000"/>
          <w:lang w:eastAsia="fr-FR"/>
        </w:rPr>
        <w:t>l</w:t>
      </w:r>
      <w:r w:rsidRPr="00037F18">
        <w:rPr>
          <w:color w:val="000000"/>
          <w:lang w:eastAsia="fr-FR"/>
        </w:rPr>
        <w:t>es fours ou réchauffeurs industriels sont :</w:t>
      </w:r>
    </w:p>
    <w:p w14:paraId="38118193" w14:textId="717F1A55" w:rsidR="00D04EF0" w:rsidRPr="00037F18" w:rsidRDefault="00D04EF0" w:rsidP="00D04EF0">
      <w:pPr>
        <w:ind w:left="708"/>
        <w:jc w:val="both"/>
        <w:rPr>
          <w:color w:val="000000"/>
        </w:rPr>
      </w:pPr>
      <w:r>
        <w:rPr>
          <w:color w:val="000000"/>
        </w:rPr>
        <w:t xml:space="preserve">« - </w:t>
      </w:r>
      <w:r w:rsidRPr="00037F18">
        <w:rPr>
          <w:color w:val="000000"/>
        </w:rPr>
        <w:t xml:space="preserve">des installations de combustion dont les fumées sont utilisées pour le traitement thermique d'objets ou de matières de départ par un mécanisme de chauffage par contact direct (par exemple, four à ciment et à chaux, four de verrerie, four à asphalte, procédé de séchage, réacteur utilisé dans l'industrie (pétro)chimique, four de traitement des métaux ferreux) (appareils exclus du champ du présent arrêté), </w:t>
      </w:r>
      <w:proofErr w:type="gramStart"/>
      <w:r w:rsidRPr="00037F18">
        <w:rPr>
          <w:color w:val="000000"/>
        </w:rPr>
        <w:t>ou</w:t>
      </w:r>
      <w:proofErr w:type="gramEnd"/>
      <w:r>
        <w:rPr>
          <w:color w:val="000000"/>
        </w:rPr>
        <w:t> ;</w:t>
      </w:r>
    </w:p>
    <w:p w14:paraId="12A4C656" w14:textId="1AA7DC7A" w:rsidR="00D04EF0" w:rsidRPr="00037F18" w:rsidRDefault="00D04EF0" w:rsidP="00D04EF0">
      <w:pPr>
        <w:ind w:left="708"/>
        <w:jc w:val="both"/>
        <w:rPr>
          <w:color w:val="000000"/>
        </w:rPr>
      </w:pPr>
      <w:r>
        <w:rPr>
          <w:color w:val="000000"/>
        </w:rPr>
        <w:t xml:space="preserve">« - des réchauffeurs et fours industriels indirects : </w:t>
      </w:r>
      <w:r w:rsidRPr="00037F18">
        <w:rPr>
          <w:color w:val="000000"/>
        </w:rPr>
        <w:t>des installations de combustion dont la chaleur est transférée par rayonnement ou convection à des objets ou matières de départ à travers une paroi pleine sans l'intermédiaire d'un fluide caloporteur [par exemple, batterie de fours à coke, cowper, four ou réacteur servant à chauffer un flux utilisé dans l'industrie (pétro) chimique</w:t>
      </w:r>
      <w:r w:rsidR="008C74D6">
        <w:rPr>
          <w:color w:val="000000"/>
        </w:rPr>
        <w:t>,</w:t>
      </w:r>
      <w:r w:rsidRPr="00037F18">
        <w:rPr>
          <w:color w:val="000000"/>
        </w:rPr>
        <w:t xml:space="preserve"> tel que four de craquage, four ou réchauffeur industriel utilisé pour la regazéification du gaz naturel liquéfié (GNL) dans les terminaux GNL].</w:t>
      </w:r>
    </w:p>
    <w:p w14:paraId="565B918F" w14:textId="77777777" w:rsidR="00864961" w:rsidRDefault="00D04EF0" w:rsidP="002B0DC1">
      <w:pPr>
        <w:spacing w:after="240"/>
        <w:jc w:val="both"/>
        <w:rPr>
          <w:lang w:eastAsia="fr-FR"/>
        </w:rPr>
      </w:pPr>
      <w:r>
        <w:rPr>
          <w:lang w:eastAsia="fr-FR"/>
        </w:rPr>
        <w:t>« </w:t>
      </w:r>
      <w:r w:rsidRPr="00037F18">
        <w:rPr>
          <w:lang w:eastAsia="fr-FR"/>
        </w:rPr>
        <w:t>Du fait de l'application de bonnes pratiques de valorisation énergétique, les fours ou réchauffeurs industriels peuvent être associés à un système de production de vapeur/d'électricité. Il s'agit d'une caractéristique propre à la conception du four ou réchauffeur industriel qui ne saurait être considérée isolément ;</w:t>
      </w:r>
    </w:p>
    <w:p w14:paraId="04844AAD" w14:textId="681A5C80" w:rsidR="00037F18" w:rsidRPr="0064646E" w:rsidRDefault="00037F18" w:rsidP="002B0DC1">
      <w:pPr>
        <w:spacing w:after="240"/>
        <w:jc w:val="both"/>
        <w:rPr>
          <w:rFonts w:eastAsiaTheme="majorEastAsia"/>
          <w:iCs/>
          <w:color w:val="000000" w:themeColor="text1"/>
        </w:rPr>
      </w:pPr>
      <w:r>
        <w:rPr>
          <w:rFonts w:eastAsiaTheme="majorEastAsia"/>
          <w:iCs/>
          <w:color w:val="000000" w:themeColor="text1"/>
        </w:rPr>
        <w:t>« </w:t>
      </w:r>
      <w:r w:rsidRPr="00037F18">
        <w:rPr>
          <w:rFonts w:eastAsiaTheme="majorEastAsia"/>
          <w:iCs/>
          <w:color w:val="000000" w:themeColor="text1"/>
        </w:rPr>
        <w:t>- « </w:t>
      </w:r>
      <w:r w:rsidRPr="0064646E">
        <w:rPr>
          <w:rFonts w:eastAsiaTheme="majorEastAsia"/>
          <w:iCs/>
          <w:color w:val="000000" w:themeColor="text1"/>
        </w:rPr>
        <w:t>gaz sidérurgiques » : gaz de haut fourneau, gaz de cokerie, gaz de convertisseur à l'oxygène ;</w:t>
      </w:r>
      <w:r w:rsidR="00DF54EE">
        <w:rPr>
          <w:rFonts w:eastAsiaTheme="majorEastAsia"/>
          <w:iCs/>
          <w:color w:val="000000" w:themeColor="text1"/>
        </w:rPr>
        <w:t> ».</w:t>
      </w:r>
    </w:p>
    <w:p w14:paraId="3ED13CB5" w14:textId="11EC0CD8" w:rsidR="00495E9C" w:rsidRPr="0064646E" w:rsidRDefault="006A72C4" w:rsidP="002B0DC1">
      <w:pPr>
        <w:suppressAutoHyphens w:val="0"/>
        <w:spacing w:before="100" w:beforeAutospacing="1" w:after="119"/>
        <w:jc w:val="both"/>
        <w:rPr>
          <w:color w:val="000000"/>
          <w:lang w:eastAsia="fr-FR"/>
        </w:rPr>
      </w:pPr>
      <w:r>
        <w:rPr>
          <w:color w:val="000000"/>
          <w:lang w:eastAsia="fr-FR"/>
        </w:rPr>
        <w:t>4°</w:t>
      </w:r>
      <w:r w:rsidR="00041BEF" w:rsidRPr="0064646E">
        <w:rPr>
          <w:color w:val="000000"/>
          <w:lang w:eastAsia="fr-FR"/>
        </w:rPr>
        <w:t xml:space="preserve"> </w:t>
      </w:r>
      <w:r w:rsidR="00286964" w:rsidRPr="0064646E">
        <w:rPr>
          <w:color w:val="000000"/>
          <w:lang w:eastAsia="fr-FR"/>
        </w:rPr>
        <w:t>Après le dix-</w:t>
      </w:r>
      <w:r w:rsidR="00037F18" w:rsidRPr="0064646E">
        <w:rPr>
          <w:color w:val="000000"/>
          <w:lang w:eastAsia="fr-FR"/>
        </w:rPr>
        <w:t>huit</w:t>
      </w:r>
      <w:r w:rsidR="00286964" w:rsidRPr="0064646E">
        <w:rPr>
          <w:color w:val="000000"/>
          <w:lang w:eastAsia="fr-FR"/>
        </w:rPr>
        <w:t>ième alinéa,</w:t>
      </w:r>
      <w:r w:rsidR="00447372" w:rsidRPr="0064646E">
        <w:rPr>
          <w:color w:val="000000"/>
          <w:lang w:eastAsia="fr-FR"/>
        </w:rPr>
        <w:t xml:space="preserve"> </w:t>
      </w:r>
      <w:r w:rsidR="00827ABD">
        <w:rPr>
          <w:color w:val="000000"/>
          <w:lang w:eastAsia="fr-FR"/>
        </w:rPr>
        <w:t>l’alinéa suivant</w:t>
      </w:r>
      <w:r w:rsidR="00827ABD" w:rsidRPr="0064646E">
        <w:rPr>
          <w:color w:val="000000"/>
          <w:lang w:eastAsia="fr-FR"/>
        </w:rPr>
        <w:t xml:space="preserve"> </w:t>
      </w:r>
      <w:r w:rsidR="00495E9C" w:rsidRPr="0064646E">
        <w:rPr>
          <w:color w:val="000000"/>
          <w:lang w:eastAsia="fr-FR"/>
        </w:rPr>
        <w:t xml:space="preserve">est </w:t>
      </w:r>
      <w:proofErr w:type="gramStart"/>
      <w:r w:rsidR="00DF54EE">
        <w:rPr>
          <w:color w:val="000000"/>
          <w:lang w:eastAsia="fr-FR"/>
        </w:rPr>
        <w:t>ajouté</w:t>
      </w:r>
      <w:r w:rsidR="00495E9C" w:rsidRPr="0064646E">
        <w:rPr>
          <w:color w:val="000000"/>
          <w:lang w:eastAsia="fr-FR"/>
        </w:rPr>
        <w:t>:</w:t>
      </w:r>
      <w:proofErr w:type="gramEnd"/>
    </w:p>
    <w:p w14:paraId="56F631D6" w14:textId="2A9C875A" w:rsidR="00286964" w:rsidRPr="0064646E" w:rsidRDefault="00286964" w:rsidP="002B0DC1">
      <w:pPr>
        <w:spacing w:after="240"/>
        <w:jc w:val="both"/>
        <w:rPr>
          <w:lang w:eastAsia="fr-FR"/>
        </w:rPr>
      </w:pPr>
      <w:r w:rsidRPr="0064646E">
        <w:rPr>
          <w:lang w:eastAsia="fr-FR"/>
        </w:rPr>
        <w:t>« - « Installation autonome » : installations pour lesquelles l'exploitation de l'installation de combustion dépend seulement de la demande de production d'énergie</w:t>
      </w:r>
      <w:r w:rsidR="00037F18" w:rsidRPr="0064646E">
        <w:rPr>
          <w:lang w:eastAsia="fr-FR"/>
        </w:rPr>
        <w:t xml:space="preserve"> ; </w:t>
      </w:r>
      <w:r w:rsidRPr="0064646E">
        <w:rPr>
          <w:lang w:eastAsia="fr-FR"/>
        </w:rPr>
        <w:t>»</w:t>
      </w:r>
      <w:r w:rsidR="00037F18" w:rsidRPr="0064646E">
        <w:rPr>
          <w:lang w:eastAsia="fr-FR"/>
        </w:rPr>
        <w:t>.</w:t>
      </w:r>
    </w:p>
    <w:p w14:paraId="5201425D" w14:textId="6DB58E9C" w:rsidR="00037F18" w:rsidRPr="0064646E" w:rsidRDefault="006A72C4" w:rsidP="002B0DC1">
      <w:pPr>
        <w:spacing w:after="240"/>
        <w:jc w:val="both"/>
        <w:rPr>
          <w:lang w:eastAsia="fr-FR"/>
        </w:rPr>
      </w:pPr>
      <w:r>
        <w:rPr>
          <w:lang w:eastAsia="fr-FR"/>
        </w:rPr>
        <w:t>5°</w:t>
      </w:r>
      <w:r w:rsidR="00041BEF" w:rsidRPr="0064646E">
        <w:rPr>
          <w:lang w:eastAsia="fr-FR"/>
        </w:rPr>
        <w:t xml:space="preserve"> </w:t>
      </w:r>
      <w:r w:rsidR="00037F18" w:rsidRPr="0064646E">
        <w:rPr>
          <w:lang w:eastAsia="fr-FR"/>
        </w:rPr>
        <w:t xml:space="preserve">Après le vingtième alinéa, </w:t>
      </w:r>
      <w:r w:rsidR="004A6AB3">
        <w:rPr>
          <w:lang w:eastAsia="fr-FR"/>
        </w:rPr>
        <w:t>l’alinéa</w:t>
      </w:r>
      <w:r w:rsidR="00037F18" w:rsidRPr="0064646E">
        <w:rPr>
          <w:lang w:eastAsia="fr-FR"/>
        </w:rPr>
        <w:t xml:space="preserve"> suivant </w:t>
      </w:r>
      <w:r w:rsidR="004F3B1E">
        <w:rPr>
          <w:lang w:eastAsia="fr-FR"/>
        </w:rPr>
        <w:t>est</w:t>
      </w:r>
      <w:r w:rsidR="004F3B1E" w:rsidRPr="0064646E">
        <w:rPr>
          <w:lang w:eastAsia="fr-FR"/>
        </w:rPr>
        <w:t xml:space="preserve"> </w:t>
      </w:r>
      <w:r w:rsidR="00DF54EE">
        <w:rPr>
          <w:lang w:eastAsia="fr-FR"/>
        </w:rPr>
        <w:t>ajouté</w:t>
      </w:r>
      <w:r w:rsidR="00037F18" w:rsidRPr="0064646E">
        <w:rPr>
          <w:lang w:eastAsia="fr-FR"/>
        </w:rPr>
        <w:t> :</w:t>
      </w:r>
    </w:p>
    <w:p w14:paraId="2FC51511" w14:textId="6838AE4D" w:rsidR="00037F18" w:rsidRPr="00F24EAF" w:rsidRDefault="00B00F17" w:rsidP="002B0DC1">
      <w:pPr>
        <w:spacing w:after="240"/>
        <w:jc w:val="both"/>
        <w:rPr>
          <w:color w:val="000000"/>
          <w:lang w:eastAsia="fr-FR"/>
        </w:rPr>
      </w:pPr>
      <w:r>
        <w:rPr>
          <w:color w:val="000000"/>
          <w:lang w:eastAsia="fr-FR"/>
        </w:rPr>
        <w:t>« </w:t>
      </w:r>
      <w:r w:rsidR="00037F18" w:rsidRPr="00037F18">
        <w:rPr>
          <w:color w:val="000000"/>
          <w:lang w:eastAsia="fr-FR"/>
        </w:rPr>
        <w:t xml:space="preserve">- « Installation de postcombustion » : </w:t>
      </w:r>
      <w:r w:rsidR="00857400">
        <w:rPr>
          <w:color w:val="000000"/>
          <w:lang w:eastAsia="fr-FR"/>
        </w:rPr>
        <w:t>s</w:t>
      </w:r>
      <w:r w:rsidR="00857400" w:rsidRPr="00037F18">
        <w:rPr>
          <w:color w:val="000000"/>
          <w:lang w:eastAsia="fr-FR"/>
        </w:rPr>
        <w:t xml:space="preserve">ystème </w:t>
      </w:r>
      <w:r w:rsidR="00037F18" w:rsidRPr="00037F18">
        <w:rPr>
          <w:color w:val="000000"/>
          <w:lang w:eastAsia="fr-FR"/>
        </w:rPr>
        <w:t>conçu pour l'épuration des fumées par combustion</w:t>
      </w:r>
      <w:r w:rsidR="0056456F">
        <w:rPr>
          <w:color w:val="000000"/>
          <w:lang w:eastAsia="fr-FR"/>
        </w:rPr>
        <w:t xml:space="preserve"> </w:t>
      </w:r>
      <w:r w:rsidR="00827ABD" w:rsidRPr="00037F18">
        <w:rPr>
          <w:color w:val="000000"/>
          <w:lang w:eastAsia="fr-FR"/>
        </w:rPr>
        <w:t>tel qu'un système d'oxydation thermique (incinérateur de gaz résiduaires)</w:t>
      </w:r>
      <w:r w:rsidR="00037F18" w:rsidRPr="00037F18">
        <w:rPr>
          <w:color w:val="000000"/>
          <w:lang w:eastAsia="fr-FR"/>
        </w:rPr>
        <w:t xml:space="preserve">, qui n'est pas exploité comme une installation de combustion autonome, et qui est utilisé pour éliminer les polluants (par exemple les </w:t>
      </w:r>
      <w:r w:rsidR="0056456F">
        <w:rPr>
          <w:color w:val="000000"/>
          <w:lang w:eastAsia="fr-FR"/>
        </w:rPr>
        <w:t>composés organiques volatils</w:t>
      </w:r>
      <w:r w:rsidR="00037F18" w:rsidRPr="00037F18">
        <w:rPr>
          <w:color w:val="000000"/>
          <w:lang w:eastAsia="fr-FR"/>
        </w:rPr>
        <w:t xml:space="preserve">) des fumées, avec ou sans récupération de la chaleur produite. Les techniques de combustion étagée, où chaque étape de la combustion se déroule dans une chambre séparée - ce qui est susceptible de conférer différentes caractéristiques au processus de combustion (par exemple, rapport combustible/air, profil de température) - sont considérées comme intégrées dans le procédé de combustion et ne sont pas assimilées à des installations de postcombustion. De la même manière, lorsque des gaz générés par un four ou réchauffeur industriel ou par un autre procédé de combustion sont ensuite oxydés dans une autre installation de combustion dans le but de récupérer leur valeur énergétique (avec ou sans recours à un combustible auxiliaire) en vue de produire de l'électricité, de la vapeur, de l'eau ou de l'huile chaude ou de l'énergie mécanique, cette dernière installation n'est pas considérée comme une installation de </w:t>
      </w:r>
      <w:r w:rsidR="00037F18" w:rsidRPr="00F24EAF">
        <w:rPr>
          <w:color w:val="000000"/>
          <w:lang w:eastAsia="fr-FR"/>
        </w:rPr>
        <w:t>postcombustion</w:t>
      </w:r>
      <w:r w:rsidR="00041BEF" w:rsidRPr="00F24EAF">
        <w:rPr>
          <w:color w:val="000000"/>
          <w:lang w:eastAsia="fr-FR"/>
        </w:rPr>
        <w:t>. »</w:t>
      </w:r>
      <w:r w:rsidR="00DF54EE">
        <w:rPr>
          <w:color w:val="000000"/>
          <w:lang w:eastAsia="fr-FR"/>
        </w:rPr>
        <w:t>.</w:t>
      </w:r>
    </w:p>
    <w:p w14:paraId="7D8B6A15" w14:textId="0A5D948B" w:rsidR="00BD5D36" w:rsidRPr="0064646E" w:rsidRDefault="006A72C4" w:rsidP="002B0DC1">
      <w:pPr>
        <w:jc w:val="both"/>
        <w:rPr>
          <w:bCs/>
          <w:lang w:eastAsia="fr-FR"/>
        </w:rPr>
      </w:pPr>
      <w:r>
        <w:rPr>
          <w:bCs/>
          <w:lang w:eastAsia="fr-FR"/>
        </w:rPr>
        <w:t>6°</w:t>
      </w:r>
      <w:r w:rsidR="00041BEF" w:rsidRPr="0064646E">
        <w:rPr>
          <w:bCs/>
          <w:lang w:eastAsia="fr-FR"/>
        </w:rPr>
        <w:t xml:space="preserve"> </w:t>
      </w:r>
      <w:r w:rsidR="00286964" w:rsidRPr="0064646E">
        <w:rPr>
          <w:bCs/>
          <w:lang w:eastAsia="fr-FR"/>
        </w:rPr>
        <w:t>Après le vingt-</w:t>
      </w:r>
      <w:r w:rsidR="00A7638A" w:rsidRPr="0064646E">
        <w:rPr>
          <w:bCs/>
          <w:lang w:eastAsia="fr-FR"/>
        </w:rPr>
        <w:t>et-unième</w:t>
      </w:r>
      <w:r w:rsidR="00286964" w:rsidRPr="0064646E">
        <w:rPr>
          <w:bCs/>
          <w:lang w:eastAsia="fr-FR"/>
        </w:rPr>
        <w:t xml:space="preserve"> alinéa, l</w:t>
      </w:r>
      <w:r w:rsidR="00A7638A" w:rsidRPr="0064646E">
        <w:rPr>
          <w:bCs/>
          <w:lang w:eastAsia="fr-FR"/>
        </w:rPr>
        <w:t>es</w:t>
      </w:r>
      <w:r w:rsidR="00286964" w:rsidRPr="0064646E">
        <w:rPr>
          <w:bCs/>
          <w:lang w:eastAsia="fr-FR"/>
        </w:rPr>
        <w:t xml:space="preserve"> </w:t>
      </w:r>
      <w:r w:rsidR="0056456F">
        <w:rPr>
          <w:bCs/>
          <w:lang w:eastAsia="fr-FR"/>
        </w:rPr>
        <w:t>alinéas</w:t>
      </w:r>
      <w:r w:rsidR="0056456F" w:rsidRPr="0064646E">
        <w:rPr>
          <w:bCs/>
          <w:lang w:eastAsia="fr-FR"/>
        </w:rPr>
        <w:t xml:space="preserve"> </w:t>
      </w:r>
      <w:r w:rsidR="00286964" w:rsidRPr="0064646E">
        <w:rPr>
          <w:bCs/>
          <w:lang w:eastAsia="fr-FR"/>
        </w:rPr>
        <w:t>suivant</w:t>
      </w:r>
      <w:r w:rsidR="00A7638A" w:rsidRPr="0064646E">
        <w:rPr>
          <w:bCs/>
          <w:lang w:eastAsia="fr-FR"/>
        </w:rPr>
        <w:t>s</w:t>
      </w:r>
      <w:r w:rsidR="00286964" w:rsidRPr="0064646E">
        <w:rPr>
          <w:bCs/>
          <w:lang w:eastAsia="fr-FR"/>
        </w:rPr>
        <w:t xml:space="preserve"> s</w:t>
      </w:r>
      <w:r w:rsidR="00A7638A" w:rsidRPr="0064646E">
        <w:rPr>
          <w:bCs/>
          <w:lang w:eastAsia="fr-FR"/>
        </w:rPr>
        <w:t>on</w:t>
      </w:r>
      <w:r w:rsidR="00286964" w:rsidRPr="0064646E">
        <w:rPr>
          <w:bCs/>
          <w:lang w:eastAsia="fr-FR"/>
        </w:rPr>
        <w:t xml:space="preserve">t </w:t>
      </w:r>
      <w:r w:rsidR="00DF54EE">
        <w:rPr>
          <w:bCs/>
          <w:lang w:eastAsia="fr-FR"/>
        </w:rPr>
        <w:t>ajoutés</w:t>
      </w:r>
      <w:r w:rsidR="00DF54EE" w:rsidRPr="0064646E">
        <w:rPr>
          <w:bCs/>
          <w:lang w:eastAsia="fr-FR"/>
        </w:rPr>
        <w:t> </w:t>
      </w:r>
      <w:r w:rsidR="00286964" w:rsidRPr="0064646E">
        <w:rPr>
          <w:bCs/>
          <w:lang w:eastAsia="fr-FR"/>
        </w:rPr>
        <w:t>:</w:t>
      </w:r>
    </w:p>
    <w:p w14:paraId="3B4C323A" w14:textId="48567FC0" w:rsidR="00286964" w:rsidRPr="0064646E" w:rsidRDefault="00286964" w:rsidP="002B0DC1">
      <w:pPr>
        <w:jc w:val="both"/>
        <w:rPr>
          <w:bCs/>
          <w:lang w:eastAsia="fr-FR"/>
        </w:rPr>
      </w:pPr>
    </w:p>
    <w:p w14:paraId="211C96E0" w14:textId="352C2EA7" w:rsidR="00286964" w:rsidRPr="0064646E" w:rsidRDefault="00286964" w:rsidP="002B0DC1">
      <w:pPr>
        <w:spacing w:after="240"/>
        <w:jc w:val="both"/>
        <w:rPr>
          <w:bCs/>
          <w:lang w:eastAsia="fr-FR"/>
        </w:rPr>
      </w:pPr>
      <w:r w:rsidRPr="0064646E">
        <w:rPr>
          <w:bCs/>
          <w:lang w:eastAsia="fr-FR"/>
        </w:rPr>
        <w:t>« - « Mesure en continu » : mesures réalisées à l’aide d’un système de mesure automatisé installé à demeure sur le site ; </w:t>
      </w:r>
    </w:p>
    <w:p w14:paraId="11318288" w14:textId="6AA35F97" w:rsidR="00A7638A" w:rsidRPr="0064646E" w:rsidRDefault="00A7638A" w:rsidP="002B0DC1">
      <w:pPr>
        <w:spacing w:after="240"/>
        <w:jc w:val="both"/>
        <w:rPr>
          <w:bCs/>
          <w:color w:val="000000"/>
          <w:lang w:eastAsia="fr-FR"/>
        </w:rPr>
      </w:pPr>
      <w:r w:rsidRPr="0064646E">
        <w:rPr>
          <w:bCs/>
          <w:color w:val="000000"/>
          <w:lang w:eastAsia="fr-FR"/>
        </w:rPr>
        <w:t xml:space="preserve">« - « Mesures périodiques » : </w:t>
      </w:r>
      <w:r w:rsidR="00857400">
        <w:rPr>
          <w:bCs/>
          <w:color w:val="000000"/>
          <w:lang w:eastAsia="fr-FR"/>
        </w:rPr>
        <w:t>d</w:t>
      </w:r>
      <w:r w:rsidR="00857400" w:rsidRPr="0064646E">
        <w:rPr>
          <w:bCs/>
          <w:color w:val="000000"/>
          <w:lang w:eastAsia="fr-FR"/>
        </w:rPr>
        <w:t xml:space="preserve">étermination </w:t>
      </w:r>
      <w:r w:rsidRPr="0064646E">
        <w:rPr>
          <w:bCs/>
          <w:color w:val="000000"/>
          <w:lang w:eastAsia="fr-FR"/>
        </w:rPr>
        <w:t>d'une grandeur à mesurer (grandeur particulière soumise au mesurage) à intervalles de temps donnés ; ».</w:t>
      </w:r>
    </w:p>
    <w:p w14:paraId="6D170E2D" w14:textId="508C2C74" w:rsidR="00555C38" w:rsidRPr="0064646E" w:rsidRDefault="006A72C4" w:rsidP="002B0DC1">
      <w:pPr>
        <w:jc w:val="both"/>
        <w:rPr>
          <w:bCs/>
          <w:lang w:eastAsia="fr-FR"/>
        </w:rPr>
      </w:pPr>
      <w:r>
        <w:rPr>
          <w:bCs/>
        </w:rPr>
        <w:t>7°</w:t>
      </w:r>
      <w:r w:rsidR="00BD5D36" w:rsidRPr="0064646E">
        <w:rPr>
          <w:bCs/>
        </w:rPr>
        <w:t xml:space="preserve"> </w:t>
      </w:r>
      <w:r w:rsidR="00286964" w:rsidRPr="0064646E">
        <w:rPr>
          <w:bCs/>
          <w:lang w:eastAsia="fr-FR"/>
        </w:rPr>
        <w:t xml:space="preserve">Après le vingt-quatrième alinéa, </w:t>
      </w:r>
      <w:r w:rsidR="00827ABD">
        <w:rPr>
          <w:bCs/>
          <w:lang w:eastAsia="fr-FR"/>
        </w:rPr>
        <w:t>l’alinéa suivant</w:t>
      </w:r>
      <w:r w:rsidR="00DF54EE">
        <w:rPr>
          <w:bCs/>
          <w:lang w:eastAsia="fr-FR"/>
        </w:rPr>
        <w:t xml:space="preserve"> est ajouté</w:t>
      </w:r>
      <w:r w:rsidR="00041BEF" w:rsidRPr="0064646E">
        <w:rPr>
          <w:bCs/>
          <w:lang w:eastAsia="fr-FR"/>
        </w:rPr>
        <w:t xml:space="preserve"> </w:t>
      </w:r>
      <w:r w:rsidR="00286964" w:rsidRPr="0064646E">
        <w:rPr>
          <w:bCs/>
          <w:lang w:eastAsia="fr-FR"/>
        </w:rPr>
        <w:t>:</w:t>
      </w:r>
    </w:p>
    <w:p w14:paraId="611A964F" w14:textId="54054EE8" w:rsidR="00041BEF" w:rsidRPr="0064646E" w:rsidRDefault="00041BEF" w:rsidP="002B0DC1">
      <w:pPr>
        <w:jc w:val="both"/>
        <w:rPr>
          <w:bCs/>
          <w:lang w:eastAsia="fr-FR"/>
        </w:rPr>
      </w:pPr>
    </w:p>
    <w:p w14:paraId="6B284BE3" w14:textId="281FE35D" w:rsidR="00041BEF" w:rsidRPr="0064646E" w:rsidRDefault="00041BEF" w:rsidP="002B0DC1">
      <w:pPr>
        <w:spacing w:after="240"/>
        <w:jc w:val="both"/>
        <w:rPr>
          <w:bCs/>
          <w:color w:val="000000"/>
          <w:lang w:eastAsia="fr-FR"/>
        </w:rPr>
      </w:pPr>
      <w:r w:rsidRPr="0064646E">
        <w:rPr>
          <w:bCs/>
          <w:color w:val="000000"/>
          <w:lang w:eastAsia="fr-FR"/>
        </w:rPr>
        <w:t xml:space="preserve">« - « Phases de démarrage et d’arrêt » : </w:t>
      </w:r>
      <w:r w:rsidR="00857400">
        <w:rPr>
          <w:bCs/>
          <w:color w:val="000000"/>
          <w:lang w:eastAsia="fr-FR"/>
        </w:rPr>
        <w:t>p</w:t>
      </w:r>
      <w:r w:rsidR="00857400" w:rsidRPr="0064646E">
        <w:rPr>
          <w:bCs/>
          <w:color w:val="000000"/>
          <w:lang w:eastAsia="fr-FR"/>
        </w:rPr>
        <w:t xml:space="preserve">ériodes </w:t>
      </w:r>
      <w:r w:rsidRPr="0064646E">
        <w:rPr>
          <w:bCs/>
          <w:color w:val="000000"/>
          <w:lang w:eastAsia="fr-FR"/>
        </w:rPr>
        <w:t>de fonctionnement d'une installation, telles que définies par les dispositions de la décision d'exécution 2012/249/UE de la Commission du 7 mai 2012</w:t>
      </w:r>
      <w:r w:rsidR="0056456F">
        <w:rPr>
          <w:bCs/>
          <w:color w:val="000000"/>
          <w:lang w:eastAsia="fr-FR"/>
        </w:rPr>
        <w:t xml:space="preserve"> susvisé</w:t>
      </w:r>
      <w:r w:rsidR="00827ABD">
        <w:rPr>
          <w:bCs/>
          <w:color w:val="000000"/>
          <w:lang w:eastAsia="fr-FR"/>
        </w:rPr>
        <w:t>e</w:t>
      </w:r>
      <w:r w:rsidRPr="0064646E">
        <w:rPr>
          <w:bCs/>
          <w:color w:val="000000"/>
          <w:lang w:eastAsia="fr-FR"/>
        </w:rPr>
        <w:t>. »</w:t>
      </w:r>
      <w:r w:rsidR="00DF54EE">
        <w:rPr>
          <w:bCs/>
          <w:color w:val="000000"/>
          <w:lang w:eastAsia="fr-FR"/>
        </w:rPr>
        <w:t>.</w:t>
      </w:r>
    </w:p>
    <w:p w14:paraId="6AB0FDEF" w14:textId="4F4C2F4D" w:rsidR="00041BEF" w:rsidRPr="0064646E" w:rsidRDefault="006A72C4" w:rsidP="002B0DC1">
      <w:pPr>
        <w:jc w:val="both"/>
        <w:rPr>
          <w:bCs/>
          <w:lang w:eastAsia="fr-FR"/>
        </w:rPr>
      </w:pPr>
      <w:r>
        <w:rPr>
          <w:bCs/>
          <w:lang w:eastAsia="fr-FR"/>
        </w:rPr>
        <w:t>8°</w:t>
      </w:r>
      <w:r w:rsidR="00041BEF" w:rsidRPr="0064646E">
        <w:rPr>
          <w:bCs/>
          <w:lang w:eastAsia="fr-FR"/>
        </w:rPr>
        <w:t xml:space="preserve"> Après le vingt-neuvième alinéa, </w:t>
      </w:r>
      <w:r w:rsidR="00BE0E90">
        <w:rPr>
          <w:bCs/>
          <w:lang w:eastAsia="fr-FR"/>
        </w:rPr>
        <w:t xml:space="preserve">les alinéas suivants </w:t>
      </w:r>
      <w:r w:rsidR="00041BEF" w:rsidRPr="0064646E">
        <w:rPr>
          <w:bCs/>
          <w:lang w:eastAsia="fr-FR"/>
        </w:rPr>
        <w:t>sont ajoutés :</w:t>
      </w:r>
    </w:p>
    <w:p w14:paraId="650E2EB5" w14:textId="77777777" w:rsidR="00041BEF" w:rsidRPr="0064646E" w:rsidRDefault="00041BEF" w:rsidP="002B0DC1">
      <w:pPr>
        <w:jc w:val="both"/>
        <w:rPr>
          <w:bCs/>
          <w:lang w:eastAsia="fr-FR"/>
        </w:rPr>
      </w:pPr>
    </w:p>
    <w:p w14:paraId="4E49EE63" w14:textId="27B5718B" w:rsidR="00857400" w:rsidRPr="00857400" w:rsidRDefault="00857400" w:rsidP="00DF54EE">
      <w:pPr>
        <w:suppressAutoHyphens w:val="0"/>
        <w:spacing w:after="120"/>
        <w:jc w:val="both"/>
        <w:rPr>
          <w:bCs/>
          <w:color w:val="000000"/>
          <w:lang w:eastAsia="fr-FR"/>
        </w:rPr>
      </w:pPr>
      <w:r>
        <w:rPr>
          <w:bCs/>
          <w:color w:val="000000"/>
          <w:lang w:eastAsia="fr-FR"/>
        </w:rPr>
        <w:t>« - « QAL » : p</w:t>
      </w:r>
      <w:r w:rsidRPr="00857400">
        <w:rPr>
          <w:bCs/>
          <w:color w:val="000000"/>
          <w:lang w:eastAsia="fr-FR"/>
        </w:rPr>
        <w:t>rocédures métrologiques relatives à la qualité des systèmes de mesurage automatique des émissions dans l’air. Ces procédures comportent généralement trois niveaux d’assurance qualité :</w:t>
      </w:r>
    </w:p>
    <w:p w14:paraId="054B1865" w14:textId="0C0C2DEF" w:rsidR="00857400" w:rsidRPr="00857400" w:rsidRDefault="00DF54EE" w:rsidP="00DF54EE">
      <w:pPr>
        <w:suppressAutoHyphens w:val="0"/>
        <w:spacing w:after="120"/>
        <w:ind w:left="708"/>
        <w:jc w:val="both"/>
        <w:rPr>
          <w:bCs/>
          <w:color w:val="000000"/>
          <w:lang w:eastAsia="fr-FR"/>
        </w:rPr>
      </w:pPr>
      <w:r>
        <w:rPr>
          <w:bCs/>
          <w:color w:val="000000"/>
          <w:lang w:eastAsia="fr-FR"/>
        </w:rPr>
        <w:t>« </w:t>
      </w:r>
      <w:r w:rsidR="00857400" w:rsidRPr="00857400">
        <w:rPr>
          <w:bCs/>
          <w:color w:val="000000"/>
          <w:lang w:eastAsia="fr-FR"/>
        </w:rPr>
        <w:t>-</w:t>
      </w:r>
      <w:r w:rsidR="00857400">
        <w:rPr>
          <w:bCs/>
          <w:color w:val="000000"/>
          <w:lang w:eastAsia="fr-FR"/>
        </w:rPr>
        <w:t xml:space="preserve"> </w:t>
      </w:r>
      <w:r w:rsidR="00857400" w:rsidRPr="00857400">
        <w:rPr>
          <w:bCs/>
          <w:color w:val="000000"/>
          <w:lang w:eastAsia="fr-FR"/>
        </w:rPr>
        <w:t>QAL 1 : aptitude de l’appareil de mesure à effectuer le mesurage qui lui est dévolu (paramètre et composition des effluents gazeux) ;</w:t>
      </w:r>
    </w:p>
    <w:p w14:paraId="2CF398A9" w14:textId="1AFF9DFF" w:rsidR="00857400" w:rsidRPr="00857400" w:rsidRDefault="00DF54EE" w:rsidP="00DF54EE">
      <w:pPr>
        <w:suppressAutoHyphens w:val="0"/>
        <w:spacing w:after="120"/>
        <w:ind w:left="708"/>
        <w:jc w:val="both"/>
        <w:rPr>
          <w:bCs/>
          <w:color w:val="000000"/>
          <w:lang w:eastAsia="fr-FR"/>
        </w:rPr>
      </w:pPr>
      <w:r>
        <w:rPr>
          <w:bCs/>
          <w:color w:val="000000"/>
          <w:lang w:eastAsia="fr-FR"/>
        </w:rPr>
        <w:t>« </w:t>
      </w:r>
      <w:r w:rsidR="00857400" w:rsidRPr="00857400">
        <w:rPr>
          <w:bCs/>
          <w:color w:val="000000"/>
          <w:lang w:eastAsia="fr-FR"/>
        </w:rPr>
        <w:t>-</w:t>
      </w:r>
      <w:r w:rsidR="00857400">
        <w:rPr>
          <w:bCs/>
          <w:color w:val="000000"/>
          <w:lang w:eastAsia="fr-FR"/>
        </w:rPr>
        <w:t xml:space="preserve"> </w:t>
      </w:r>
      <w:r w:rsidR="00857400" w:rsidRPr="00857400">
        <w:rPr>
          <w:bCs/>
          <w:color w:val="000000"/>
          <w:lang w:eastAsia="fr-FR"/>
        </w:rPr>
        <w:t>QAL 2 : détermination de la fonction d’étalonnage, de sa variabilité, et test de la variabilité des valeurs mesurées par l’appareil de mesure par rapport à l’incertitude maximale admissible ;</w:t>
      </w:r>
    </w:p>
    <w:p w14:paraId="5D5FF279" w14:textId="174143E1" w:rsidR="00857400" w:rsidRDefault="00DF54EE" w:rsidP="00DF54EE">
      <w:pPr>
        <w:suppressAutoHyphens w:val="0"/>
        <w:spacing w:after="240"/>
        <w:ind w:left="708"/>
        <w:jc w:val="both"/>
        <w:rPr>
          <w:bCs/>
          <w:color w:val="000000"/>
          <w:lang w:eastAsia="fr-FR"/>
        </w:rPr>
      </w:pPr>
      <w:r>
        <w:rPr>
          <w:bCs/>
          <w:color w:val="000000"/>
          <w:lang w:eastAsia="fr-FR"/>
        </w:rPr>
        <w:t>« </w:t>
      </w:r>
      <w:r w:rsidR="00857400" w:rsidRPr="00857400">
        <w:rPr>
          <w:bCs/>
          <w:color w:val="000000"/>
          <w:lang w:eastAsia="fr-FR"/>
        </w:rPr>
        <w:t>-</w:t>
      </w:r>
      <w:r w:rsidR="00857400">
        <w:rPr>
          <w:bCs/>
          <w:color w:val="000000"/>
          <w:lang w:eastAsia="fr-FR"/>
        </w:rPr>
        <w:t xml:space="preserve"> </w:t>
      </w:r>
      <w:r w:rsidR="00857400" w:rsidRPr="00857400">
        <w:rPr>
          <w:bCs/>
          <w:color w:val="000000"/>
          <w:lang w:eastAsia="fr-FR"/>
        </w:rPr>
        <w:t>QAL 3 : contrôle périodique de la dérive et de la fidélité des mesures de l’appareil en fonctionnement ;</w:t>
      </w:r>
    </w:p>
    <w:p w14:paraId="41EE2355" w14:textId="2E42C1E8" w:rsidR="00041BEF" w:rsidRPr="0064646E" w:rsidRDefault="00041BEF" w:rsidP="002B0DC1">
      <w:pPr>
        <w:suppressAutoHyphens w:val="0"/>
        <w:spacing w:after="240"/>
        <w:jc w:val="both"/>
        <w:rPr>
          <w:bCs/>
          <w:color w:val="000000"/>
          <w:lang w:eastAsia="fr-FR"/>
        </w:rPr>
      </w:pPr>
      <w:r w:rsidRPr="0064646E">
        <w:rPr>
          <w:bCs/>
          <w:color w:val="000000"/>
          <w:lang w:eastAsia="fr-FR"/>
        </w:rPr>
        <w:t xml:space="preserve">« - « Rendement électrique net » : </w:t>
      </w:r>
      <w:r w:rsidR="00857400">
        <w:rPr>
          <w:bCs/>
          <w:color w:val="000000"/>
          <w:lang w:eastAsia="fr-FR"/>
        </w:rPr>
        <w:t>r</w:t>
      </w:r>
      <w:r w:rsidR="00857400" w:rsidRPr="0064646E">
        <w:rPr>
          <w:bCs/>
          <w:color w:val="000000"/>
          <w:lang w:eastAsia="fr-FR"/>
        </w:rPr>
        <w:t xml:space="preserve">apport </w:t>
      </w:r>
      <w:r w:rsidRPr="0064646E">
        <w:rPr>
          <w:bCs/>
          <w:color w:val="000000"/>
          <w:lang w:eastAsia="fr-FR"/>
        </w:rPr>
        <w:t>entre la puissance électrique nette (l'électricité produite du côté haute tension du transformateur principal moins l'énergie importée — par exemple, pour la consommation des systèmes auxiliaires) et l'énergie fournie par le combustible/la charge (sous la forme du pouvoir calorifique inférieur du combustible/de la charge) aux limites de l'</w:t>
      </w:r>
      <w:r w:rsidR="004D32D4">
        <w:rPr>
          <w:bCs/>
          <w:color w:val="000000"/>
          <w:lang w:eastAsia="fr-FR"/>
        </w:rPr>
        <w:t>appareil</w:t>
      </w:r>
      <w:r w:rsidRPr="0064646E">
        <w:rPr>
          <w:bCs/>
          <w:color w:val="000000"/>
          <w:lang w:eastAsia="fr-FR"/>
        </w:rPr>
        <w:t xml:space="preserve"> de combustion, sur une période de temps donnée ;</w:t>
      </w:r>
    </w:p>
    <w:p w14:paraId="67CE5821" w14:textId="5215A205" w:rsidR="00041BEF" w:rsidRPr="0064646E" w:rsidRDefault="00041BEF" w:rsidP="002B0DC1">
      <w:pPr>
        <w:suppressAutoHyphens w:val="0"/>
        <w:spacing w:after="240"/>
        <w:jc w:val="both"/>
        <w:rPr>
          <w:bCs/>
          <w:color w:val="000000"/>
          <w:lang w:eastAsia="fr-FR"/>
        </w:rPr>
      </w:pPr>
      <w:r w:rsidRPr="0064646E">
        <w:rPr>
          <w:bCs/>
          <w:color w:val="000000"/>
          <w:lang w:eastAsia="fr-FR"/>
        </w:rPr>
        <w:t xml:space="preserve">« - « Rendement mécanique net » : </w:t>
      </w:r>
      <w:r w:rsidR="00857400">
        <w:rPr>
          <w:bCs/>
          <w:color w:val="000000"/>
          <w:lang w:eastAsia="fr-FR"/>
        </w:rPr>
        <w:t>r</w:t>
      </w:r>
      <w:r w:rsidR="00857400" w:rsidRPr="0064646E">
        <w:rPr>
          <w:bCs/>
          <w:color w:val="000000"/>
          <w:lang w:eastAsia="fr-FR"/>
        </w:rPr>
        <w:t xml:space="preserve">apport </w:t>
      </w:r>
      <w:r w:rsidRPr="0064646E">
        <w:rPr>
          <w:bCs/>
          <w:color w:val="000000"/>
          <w:lang w:eastAsia="fr-FR"/>
        </w:rPr>
        <w:t>entre la puissance mécanique et la puissance thermique fournie par le combustible ;</w:t>
      </w:r>
    </w:p>
    <w:p w14:paraId="7217EB89" w14:textId="0498912C" w:rsidR="00041BEF" w:rsidRPr="0064646E" w:rsidRDefault="00041BEF" w:rsidP="002B0DC1">
      <w:pPr>
        <w:suppressAutoHyphens w:val="0"/>
        <w:spacing w:after="240"/>
        <w:jc w:val="both"/>
        <w:rPr>
          <w:bCs/>
          <w:color w:val="000000"/>
          <w:lang w:eastAsia="fr-FR"/>
        </w:rPr>
      </w:pPr>
      <w:r w:rsidRPr="0064646E">
        <w:rPr>
          <w:bCs/>
          <w:color w:val="000000"/>
          <w:lang w:eastAsia="fr-FR"/>
        </w:rPr>
        <w:t xml:space="preserve">« - « Résidus » : </w:t>
      </w:r>
      <w:r w:rsidR="00857400">
        <w:rPr>
          <w:bCs/>
          <w:color w:val="000000"/>
          <w:lang w:eastAsia="fr-FR"/>
        </w:rPr>
        <w:t>s</w:t>
      </w:r>
      <w:r w:rsidR="00857400" w:rsidRPr="0064646E">
        <w:rPr>
          <w:bCs/>
          <w:color w:val="000000"/>
          <w:lang w:eastAsia="fr-FR"/>
        </w:rPr>
        <w:t xml:space="preserve">ubstances </w:t>
      </w:r>
      <w:r w:rsidRPr="0064646E">
        <w:rPr>
          <w:bCs/>
          <w:color w:val="000000"/>
          <w:lang w:eastAsia="fr-FR"/>
        </w:rPr>
        <w:t>ou objets produits par les activités relevant du champ d'application du présent document, tels que déchets ou sous-produits ; »</w:t>
      </w:r>
      <w:r w:rsidR="00DF54EE">
        <w:rPr>
          <w:bCs/>
          <w:color w:val="000000"/>
          <w:lang w:eastAsia="fr-FR"/>
        </w:rPr>
        <w:t>.</w:t>
      </w:r>
    </w:p>
    <w:p w14:paraId="56F01AB2" w14:textId="621895DD" w:rsidR="00041BEF" w:rsidRPr="0064646E" w:rsidRDefault="006A72C4" w:rsidP="002B0DC1">
      <w:pPr>
        <w:jc w:val="both"/>
        <w:rPr>
          <w:bCs/>
          <w:lang w:eastAsia="fr-FR"/>
        </w:rPr>
      </w:pPr>
      <w:r>
        <w:rPr>
          <w:bCs/>
          <w:lang w:eastAsia="fr-FR"/>
        </w:rPr>
        <w:t>9°</w:t>
      </w:r>
      <w:r w:rsidR="00041BEF" w:rsidRPr="0064646E">
        <w:rPr>
          <w:bCs/>
          <w:lang w:eastAsia="fr-FR"/>
        </w:rPr>
        <w:t xml:space="preserve"> Après le trentième alinéa, les </w:t>
      </w:r>
      <w:r w:rsidR="00DF54EE">
        <w:rPr>
          <w:bCs/>
          <w:lang w:eastAsia="fr-FR"/>
        </w:rPr>
        <w:t>définitions</w:t>
      </w:r>
      <w:r w:rsidR="00DF54EE" w:rsidRPr="0064646E">
        <w:rPr>
          <w:bCs/>
          <w:lang w:eastAsia="fr-FR"/>
        </w:rPr>
        <w:t xml:space="preserve"> </w:t>
      </w:r>
      <w:r w:rsidR="00041BEF" w:rsidRPr="0064646E">
        <w:rPr>
          <w:bCs/>
          <w:lang w:eastAsia="fr-FR"/>
        </w:rPr>
        <w:t>suivant</w:t>
      </w:r>
      <w:r w:rsidR="00DF54EE">
        <w:rPr>
          <w:bCs/>
          <w:lang w:eastAsia="fr-FR"/>
        </w:rPr>
        <w:t>e</w:t>
      </w:r>
      <w:r w:rsidR="00041BEF" w:rsidRPr="0064646E">
        <w:rPr>
          <w:bCs/>
          <w:lang w:eastAsia="fr-FR"/>
        </w:rPr>
        <w:t>s sont ajouté</w:t>
      </w:r>
      <w:r w:rsidR="00DF54EE">
        <w:rPr>
          <w:bCs/>
          <w:lang w:eastAsia="fr-FR"/>
        </w:rPr>
        <w:t>e</w:t>
      </w:r>
      <w:r w:rsidR="00041BEF" w:rsidRPr="0064646E">
        <w:rPr>
          <w:bCs/>
          <w:lang w:eastAsia="fr-FR"/>
        </w:rPr>
        <w:t>s :</w:t>
      </w:r>
    </w:p>
    <w:p w14:paraId="6F3ABB5D" w14:textId="3B32E2F6" w:rsidR="00041BEF" w:rsidRPr="0064646E" w:rsidRDefault="00041BEF" w:rsidP="002B0DC1">
      <w:pPr>
        <w:jc w:val="both"/>
        <w:rPr>
          <w:bCs/>
          <w:lang w:eastAsia="fr-FR"/>
        </w:rPr>
      </w:pPr>
    </w:p>
    <w:p w14:paraId="39B52724" w14:textId="43030B67" w:rsidR="00041BEF" w:rsidRPr="0064646E" w:rsidRDefault="00041BEF" w:rsidP="002B0DC1">
      <w:pPr>
        <w:spacing w:after="240"/>
        <w:jc w:val="both"/>
        <w:rPr>
          <w:bCs/>
        </w:rPr>
      </w:pPr>
      <w:r w:rsidRPr="0064646E">
        <w:rPr>
          <w:bCs/>
          <w:color w:val="000000"/>
          <w:lang w:eastAsia="fr-FR"/>
        </w:rPr>
        <w:t xml:space="preserve">« - « Système de désulfuration des fumées (FGD) » : </w:t>
      </w:r>
      <w:r w:rsidR="00857400">
        <w:rPr>
          <w:bCs/>
        </w:rPr>
        <w:t>s</w:t>
      </w:r>
      <w:r w:rsidR="00857400" w:rsidRPr="0064646E">
        <w:rPr>
          <w:bCs/>
        </w:rPr>
        <w:t xml:space="preserve">ystème </w:t>
      </w:r>
      <w:r w:rsidRPr="0064646E">
        <w:rPr>
          <w:bCs/>
        </w:rPr>
        <w:t xml:space="preserve">consistant en une ou plusieurs techniques de réduction des émissions, dont le but est de réduire le niveau des émissions de </w:t>
      </w:r>
      <w:proofErr w:type="spellStart"/>
      <w:r w:rsidRPr="0064646E">
        <w:rPr>
          <w:bCs/>
        </w:rPr>
        <w:t>SOx</w:t>
      </w:r>
      <w:proofErr w:type="spellEnd"/>
      <w:r w:rsidRPr="0064646E">
        <w:rPr>
          <w:bCs/>
        </w:rPr>
        <w:t xml:space="preserve"> provenant d'une installation de combustion ;</w:t>
      </w:r>
    </w:p>
    <w:p w14:paraId="75AB5815" w14:textId="7D2BD0E1" w:rsidR="00041BEF" w:rsidRPr="0064646E" w:rsidRDefault="00041BEF" w:rsidP="002B0DC1">
      <w:pPr>
        <w:spacing w:after="240"/>
        <w:jc w:val="both"/>
        <w:rPr>
          <w:bCs/>
          <w:color w:val="000000"/>
          <w:lang w:eastAsia="fr-FR"/>
        </w:rPr>
      </w:pPr>
      <w:r w:rsidRPr="0064646E">
        <w:rPr>
          <w:bCs/>
          <w:color w:val="000000"/>
          <w:lang w:eastAsia="fr-FR"/>
        </w:rPr>
        <w:t xml:space="preserve">« - « Système de désulfuration des fumées (FGD) - existant » : </w:t>
      </w:r>
      <w:r w:rsidR="00857400">
        <w:rPr>
          <w:bCs/>
          <w:color w:val="000000"/>
          <w:lang w:eastAsia="fr-FR"/>
        </w:rPr>
        <w:t>s</w:t>
      </w:r>
      <w:r w:rsidR="00857400" w:rsidRPr="0064646E">
        <w:rPr>
          <w:bCs/>
          <w:color w:val="000000"/>
          <w:lang w:eastAsia="fr-FR"/>
        </w:rPr>
        <w:t xml:space="preserve">ystème </w:t>
      </w:r>
      <w:r w:rsidRPr="0064646E">
        <w:rPr>
          <w:bCs/>
          <w:color w:val="000000"/>
          <w:lang w:eastAsia="fr-FR"/>
        </w:rPr>
        <w:t>de désulfuration des fumées (FGD) qui n'est pas un nouveau système de FGD ;</w:t>
      </w:r>
    </w:p>
    <w:p w14:paraId="495F0CD2" w14:textId="43C0BAF0" w:rsidR="00041BEF" w:rsidRPr="00041BEF" w:rsidRDefault="00041BEF" w:rsidP="002B0DC1">
      <w:pPr>
        <w:spacing w:after="240"/>
        <w:jc w:val="both"/>
        <w:rPr>
          <w:color w:val="000000"/>
          <w:lang w:eastAsia="fr-FR"/>
        </w:rPr>
      </w:pPr>
      <w:r>
        <w:rPr>
          <w:color w:val="000000"/>
          <w:lang w:eastAsia="fr-FR"/>
        </w:rPr>
        <w:t>« </w:t>
      </w:r>
      <w:r w:rsidRPr="00041BEF">
        <w:rPr>
          <w:color w:val="000000"/>
          <w:lang w:eastAsia="fr-FR"/>
        </w:rPr>
        <w:t xml:space="preserve">- « Système de désulfuration des fumées (FGD) - nouveau » : </w:t>
      </w:r>
      <w:bookmarkStart w:id="0" w:name="_Hlk179873625"/>
      <w:r w:rsidR="00857400">
        <w:rPr>
          <w:color w:val="000000"/>
          <w:lang w:eastAsia="fr-FR"/>
        </w:rPr>
        <w:t>s</w:t>
      </w:r>
      <w:r w:rsidR="00857400" w:rsidRPr="00041BEF">
        <w:rPr>
          <w:color w:val="000000"/>
          <w:lang w:eastAsia="fr-FR"/>
        </w:rPr>
        <w:t xml:space="preserve">ystème </w:t>
      </w:r>
      <w:r w:rsidRPr="00041BEF">
        <w:rPr>
          <w:color w:val="000000"/>
          <w:lang w:eastAsia="fr-FR"/>
        </w:rPr>
        <w:t>de désulfuration des fumées (FGD) équipant une installation</w:t>
      </w:r>
      <w:r w:rsidR="008E6B2E">
        <w:rPr>
          <w:color w:val="000000"/>
          <w:lang w:eastAsia="fr-FR"/>
        </w:rPr>
        <w:t xml:space="preserve"> dont l’autorisation a été délivrée à compter du 17 août 2017</w:t>
      </w:r>
      <w:r w:rsidRPr="00041BEF">
        <w:rPr>
          <w:color w:val="000000"/>
          <w:lang w:eastAsia="fr-FR"/>
        </w:rPr>
        <w:t xml:space="preserve">, ou système FGD dont au moins une technique de réduction des émissions a été mise en place ou totalement remplacée </w:t>
      </w:r>
      <w:r w:rsidR="003959F5">
        <w:rPr>
          <w:color w:val="000000"/>
          <w:lang w:eastAsia="fr-FR"/>
        </w:rPr>
        <w:t>à compter du</w:t>
      </w:r>
      <w:r w:rsidR="008E6B2E">
        <w:rPr>
          <w:color w:val="000000"/>
          <w:lang w:eastAsia="fr-FR"/>
        </w:rPr>
        <w:t xml:space="preserve"> </w:t>
      </w:r>
      <w:r w:rsidRPr="00041BEF">
        <w:rPr>
          <w:color w:val="000000"/>
          <w:lang w:eastAsia="fr-FR"/>
        </w:rPr>
        <w:t>17 août 2017 </w:t>
      </w:r>
      <w:bookmarkEnd w:id="0"/>
      <w:r w:rsidRPr="00041BEF">
        <w:rPr>
          <w:color w:val="000000"/>
          <w:lang w:eastAsia="fr-FR"/>
        </w:rPr>
        <w:t>;</w:t>
      </w:r>
    </w:p>
    <w:p w14:paraId="31A3B553" w14:textId="110B62E9" w:rsidR="00471A22" w:rsidRDefault="00041BEF" w:rsidP="002B0DC1">
      <w:pPr>
        <w:spacing w:after="240"/>
        <w:jc w:val="both"/>
        <w:rPr>
          <w:color w:val="000000"/>
          <w:lang w:eastAsia="fr-FR"/>
        </w:rPr>
      </w:pPr>
      <w:r>
        <w:rPr>
          <w:color w:val="000000"/>
          <w:lang w:eastAsia="fr-FR"/>
        </w:rPr>
        <w:t>« -</w:t>
      </w:r>
      <w:r w:rsidRPr="00041BEF">
        <w:rPr>
          <w:color w:val="000000"/>
          <w:lang w:eastAsia="fr-FR"/>
        </w:rPr>
        <w:t xml:space="preserve"> « Système prédictif de surveillance des émissions (PEMS) » : </w:t>
      </w:r>
      <w:r w:rsidR="00857400">
        <w:rPr>
          <w:color w:val="000000"/>
          <w:lang w:eastAsia="fr-FR"/>
        </w:rPr>
        <w:t>s</w:t>
      </w:r>
      <w:r w:rsidR="00857400" w:rsidRPr="00041BEF">
        <w:rPr>
          <w:color w:val="000000"/>
          <w:lang w:eastAsia="fr-FR"/>
        </w:rPr>
        <w:t xml:space="preserve">ystème </w:t>
      </w:r>
      <w:r w:rsidRPr="00041BEF">
        <w:rPr>
          <w:color w:val="000000"/>
          <w:lang w:eastAsia="fr-FR"/>
        </w:rPr>
        <w:t xml:space="preserve">servant à déterminer de manière continue la concentration d'un polluant dans une source d'émissions, à partir d'un certain nombre de paramètres de procédé caractéristiques qui font l'objet d'une surveillance continue (par exemple, </w:t>
      </w:r>
      <w:r w:rsidRPr="00F24EAF">
        <w:rPr>
          <w:color w:val="000000"/>
          <w:lang w:eastAsia="fr-FR"/>
        </w:rPr>
        <w:t xml:space="preserve">la consommation de combustibles gazeux, le rapport air/combustible) et des données relatives </w:t>
      </w:r>
      <w:r w:rsidRPr="0064646E">
        <w:rPr>
          <w:color w:val="000000"/>
          <w:lang w:eastAsia="fr-FR"/>
        </w:rPr>
        <w:t>à la qualité du combustible ou de la charge (teneur en soufre, par exemple) ; </w:t>
      </w:r>
    </w:p>
    <w:p w14:paraId="5E7BC368" w14:textId="34F3A79A" w:rsidR="00041BEF" w:rsidRPr="0064646E" w:rsidRDefault="00471A22" w:rsidP="002B0DC1">
      <w:pPr>
        <w:spacing w:after="240"/>
        <w:jc w:val="both"/>
        <w:rPr>
          <w:color w:val="000000"/>
          <w:lang w:eastAsia="fr-FR"/>
        </w:rPr>
      </w:pPr>
      <w:r>
        <w:rPr>
          <w:color w:val="000000"/>
          <w:lang w:eastAsia="fr-FR"/>
        </w:rPr>
        <w:t>« </w:t>
      </w:r>
      <w:r w:rsidRPr="00471A22">
        <w:rPr>
          <w:color w:val="000000"/>
          <w:lang w:eastAsia="fr-FR"/>
        </w:rPr>
        <w:t xml:space="preserve">- « Test annuel de surveillance (AST) » : </w:t>
      </w:r>
      <w:r w:rsidR="00857400">
        <w:rPr>
          <w:color w:val="000000"/>
          <w:lang w:eastAsia="fr-FR"/>
        </w:rPr>
        <w:t>p</w:t>
      </w:r>
      <w:r w:rsidRPr="00471A22">
        <w:rPr>
          <w:color w:val="000000"/>
          <w:lang w:eastAsia="fr-FR"/>
        </w:rPr>
        <w:t>rocédure utilisée pour déterminer si l’incertitude des valeurs mesurées à l’aide de l’appareil de mesure répond toujours aux critères d’incertitude et si la fonction d’étalonnage obtenue au cours des tests d’assurance qualité reste valide ;</w:t>
      </w:r>
      <w:r>
        <w:rPr>
          <w:color w:val="000000"/>
          <w:lang w:eastAsia="fr-FR"/>
        </w:rPr>
        <w:t xml:space="preserve"> </w:t>
      </w:r>
      <w:r w:rsidR="00041BEF" w:rsidRPr="0064646E">
        <w:rPr>
          <w:color w:val="000000"/>
          <w:lang w:eastAsia="fr-FR"/>
        </w:rPr>
        <w:t>»</w:t>
      </w:r>
      <w:r w:rsidR="00DF54EE">
        <w:rPr>
          <w:color w:val="000000"/>
          <w:lang w:eastAsia="fr-FR"/>
        </w:rPr>
        <w:t>.</w:t>
      </w:r>
    </w:p>
    <w:p w14:paraId="2A39BABB" w14:textId="3CBCF6CB" w:rsidR="00041BEF" w:rsidRPr="0064646E" w:rsidRDefault="006A72C4" w:rsidP="002B0DC1">
      <w:pPr>
        <w:jc w:val="both"/>
        <w:rPr>
          <w:lang w:eastAsia="fr-FR"/>
        </w:rPr>
      </w:pPr>
      <w:r>
        <w:rPr>
          <w:lang w:eastAsia="fr-FR"/>
        </w:rPr>
        <w:t>10°</w:t>
      </w:r>
      <w:r w:rsidR="00041BEF" w:rsidRPr="0064646E">
        <w:rPr>
          <w:lang w:eastAsia="fr-FR"/>
        </w:rPr>
        <w:t xml:space="preserve"> Après le trente-et-unième alinéa, les </w:t>
      </w:r>
      <w:r w:rsidR="003959F5">
        <w:rPr>
          <w:lang w:eastAsia="fr-FR"/>
        </w:rPr>
        <w:t>alinéas suivants</w:t>
      </w:r>
      <w:r w:rsidR="00041BEF" w:rsidRPr="0064646E">
        <w:rPr>
          <w:lang w:eastAsia="fr-FR"/>
        </w:rPr>
        <w:t xml:space="preserve"> sont ajoutés :</w:t>
      </w:r>
    </w:p>
    <w:p w14:paraId="4F03D842" w14:textId="618C36F0" w:rsidR="00041BEF" w:rsidRPr="0064646E" w:rsidRDefault="00041BEF" w:rsidP="002B0DC1">
      <w:pPr>
        <w:jc w:val="both"/>
        <w:rPr>
          <w:lang w:eastAsia="fr-FR"/>
        </w:rPr>
      </w:pPr>
    </w:p>
    <w:p w14:paraId="11A4C316" w14:textId="7EE9B1F8" w:rsidR="00041BEF" w:rsidRDefault="00041BEF" w:rsidP="002B0DC1">
      <w:pPr>
        <w:spacing w:after="240"/>
        <w:jc w:val="both"/>
        <w:rPr>
          <w:color w:val="000000"/>
          <w:lang w:eastAsia="fr-FR"/>
        </w:rPr>
      </w:pPr>
      <w:r w:rsidRPr="0064646E">
        <w:rPr>
          <w:color w:val="000000"/>
          <w:lang w:eastAsia="fr-FR"/>
        </w:rPr>
        <w:t xml:space="preserve">« - « Turbine à gaz à cycle combiné (CCGT) » : </w:t>
      </w:r>
      <w:r w:rsidR="00857400">
        <w:rPr>
          <w:color w:val="000000"/>
          <w:lang w:eastAsia="fr-FR"/>
        </w:rPr>
        <w:t>u</w:t>
      </w:r>
      <w:r w:rsidR="00857400" w:rsidRPr="0064646E">
        <w:rPr>
          <w:color w:val="000000"/>
          <w:lang w:eastAsia="fr-FR"/>
        </w:rPr>
        <w:t xml:space="preserve">ne </w:t>
      </w:r>
      <w:r w:rsidRPr="0064646E">
        <w:rPr>
          <w:color w:val="000000"/>
          <w:lang w:eastAsia="fr-FR"/>
        </w:rPr>
        <w:t xml:space="preserve">CCTG est une installation de combustion dans laquelle deux cycles thermodynamiques sont utilisés (à savoir le cycle </w:t>
      </w:r>
      <w:proofErr w:type="spellStart"/>
      <w:r w:rsidRPr="0064646E">
        <w:rPr>
          <w:color w:val="000000"/>
          <w:lang w:eastAsia="fr-FR"/>
        </w:rPr>
        <w:t>Brayton</w:t>
      </w:r>
      <w:proofErr w:type="spellEnd"/>
      <w:r w:rsidRPr="0064646E">
        <w:rPr>
          <w:color w:val="000000"/>
          <w:lang w:eastAsia="fr-FR"/>
        </w:rPr>
        <w:t xml:space="preserve"> et le cycle Rankine)</w:t>
      </w:r>
      <w:r w:rsidR="00BE0E90">
        <w:rPr>
          <w:color w:val="000000"/>
          <w:lang w:eastAsia="fr-FR"/>
        </w:rPr>
        <w:t xml:space="preserve"> </w:t>
      </w:r>
      <w:r w:rsidRPr="0064646E">
        <w:rPr>
          <w:color w:val="000000"/>
          <w:lang w:eastAsia="fr-FR"/>
        </w:rPr>
        <w:t xml:space="preserve">; dans une CCGT, la chaleur provenant des fumées d'une turbine à </w:t>
      </w:r>
      <w:r w:rsidR="009952AB">
        <w:rPr>
          <w:color w:val="000000"/>
          <w:lang w:eastAsia="fr-FR"/>
        </w:rPr>
        <w:t>vapeur</w:t>
      </w:r>
      <w:r w:rsidR="009952AB" w:rsidRPr="0064646E">
        <w:rPr>
          <w:color w:val="000000"/>
          <w:lang w:eastAsia="fr-FR"/>
        </w:rPr>
        <w:t xml:space="preserve"> </w:t>
      </w:r>
      <w:r w:rsidRPr="0064646E">
        <w:rPr>
          <w:color w:val="000000"/>
          <w:lang w:eastAsia="fr-FR"/>
        </w:rPr>
        <w:t xml:space="preserve">(fonctionnant selon le cycle </w:t>
      </w:r>
      <w:proofErr w:type="spellStart"/>
      <w:r w:rsidRPr="0064646E">
        <w:rPr>
          <w:color w:val="000000"/>
          <w:lang w:eastAsia="fr-FR"/>
        </w:rPr>
        <w:t>Brayton</w:t>
      </w:r>
      <w:proofErr w:type="spellEnd"/>
      <w:r w:rsidRPr="0064646E">
        <w:rPr>
          <w:color w:val="000000"/>
          <w:lang w:eastAsia="fr-FR"/>
        </w:rPr>
        <w:t xml:space="preserve"> pour produire de l'électricité) est convertie en énergie utile dans un générateur de vapeur à récupération de chaleur (HRSG), où elle sert à produire de la vapeur qui se détend ensuite dans une turbine à </w:t>
      </w:r>
      <w:r w:rsidR="00847B04">
        <w:rPr>
          <w:color w:val="000000"/>
          <w:lang w:eastAsia="fr-FR"/>
        </w:rPr>
        <w:t>vapeur</w:t>
      </w:r>
      <w:r w:rsidR="00847B04" w:rsidRPr="0064646E">
        <w:rPr>
          <w:color w:val="000000"/>
          <w:lang w:eastAsia="fr-FR"/>
        </w:rPr>
        <w:t xml:space="preserve"> </w:t>
      </w:r>
      <w:r w:rsidRPr="0064646E">
        <w:rPr>
          <w:color w:val="000000"/>
          <w:lang w:eastAsia="fr-FR"/>
        </w:rPr>
        <w:t>(fonctionnant selon le cycle Rankine pour produire de l'électricité supplémentaire). Dans le présent arrêté, une CCGT désigne les configurations avec ou sans combustion supplémentaire dans le HRSG ;</w:t>
      </w:r>
    </w:p>
    <w:p w14:paraId="055D88E1" w14:textId="77777777" w:rsidR="009B784E" w:rsidRDefault="009B784E" w:rsidP="002B0DC1">
      <w:pPr>
        <w:spacing w:after="240"/>
        <w:jc w:val="both"/>
        <w:rPr>
          <w:color w:val="000000"/>
          <w:lang w:eastAsia="fr-FR"/>
        </w:rPr>
      </w:pPr>
      <w:r>
        <w:rPr>
          <w:color w:val="000000"/>
          <w:lang w:eastAsia="fr-FR"/>
        </w:rPr>
        <w:t>« </w:t>
      </w:r>
      <w:r w:rsidRPr="00037F18">
        <w:rPr>
          <w:color w:val="000000"/>
          <w:lang w:eastAsia="fr-FR"/>
        </w:rPr>
        <w:t>- « </w:t>
      </w:r>
      <w:r>
        <w:rPr>
          <w:color w:val="000000"/>
          <w:lang w:eastAsia="fr-FR"/>
        </w:rPr>
        <w:t>Utilisation</w:t>
      </w:r>
      <w:r w:rsidRPr="00037F18">
        <w:rPr>
          <w:color w:val="000000"/>
          <w:lang w:eastAsia="fr-FR"/>
        </w:rPr>
        <w:t xml:space="preserve"> totale nette de combustible » : </w:t>
      </w:r>
      <w:r>
        <w:rPr>
          <w:color w:val="000000"/>
          <w:lang w:eastAsia="fr-FR"/>
        </w:rPr>
        <w:t>r</w:t>
      </w:r>
      <w:r w:rsidRPr="00037F18">
        <w:rPr>
          <w:color w:val="000000"/>
          <w:lang w:eastAsia="fr-FR"/>
        </w:rPr>
        <w:t>apport entre l'énergie nette produite [électricité, eau chaude, vapeur, énergie mécanique produite moins énergie électrique ou thermique importée (par exemple, pour la consommation des systèmes auxiliaires)] et l'énergie fournie par le combustible (exprimée en tant que pouvoir calorifique inférieur du combustible) aux limites de l'</w:t>
      </w:r>
      <w:r>
        <w:rPr>
          <w:color w:val="000000"/>
          <w:lang w:eastAsia="fr-FR"/>
        </w:rPr>
        <w:t>appareil</w:t>
      </w:r>
      <w:r w:rsidRPr="00037F18">
        <w:rPr>
          <w:color w:val="000000"/>
          <w:lang w:eastAsia="fr-FR"/>
        </w:rPr>
        <w:t xml:space="preserve"> de combustion, sur une période de temps donnée ;</w:t>
      </w:r>
    </w:p>
    <w:p w14:paraId="560A5BF9" w14:textId="2823ED91" w:rsidR="00041BEF" w:rsidRPr="0064646E" w:rsidRDefault="00041BEF" w:rsidP="002B0DC1">
      <w:pPr>
        <w:spacing w:after="240"/>
        <w:jc w:val="both"/>
        <w:rPr>
          <w:color w:val="000000"/>
          <w:lang w:eastAsia="fr-FR"/>
        </w:rPr>
      </w:pPr>
      <w:r w:rsidRPr="0064646E">
        <w:rPr>
          <w:color w:val="000000"/>
          <w:lang w:eastAsia="fr-FR"/>
        </w:rPr>
        <w:t xml:space="preserve">« - « Valeur limite d’émission en moyenne journalière » : moyenne sur une période de 24 heures des moyennes horaires validées obtenues par </w:t>
      </w:r>
      <w:r w:rsidR="00E32B4A">
        <w:rPr>
          <w:color w:val="000000"/>
          <w:lang w:eastAsia="fr-FR"/>
        </w:rPr>
        <w:t xml:space="preserve">la </w:t>
      </w:r>
      <w:r w:rsidRPr="0064646E">
        <w:rPr>
          <w:color w:val="000000"/>
          <w:lang w:eastAsia="fr-FR"/>
        </w:rPr>
        <w:t>mesure en continu ;</w:t>
      </w:r>
    </w:p>
    <w:p w14:paraId="66773865" w14:textId="5DF25748" w:rsidR="00041BEF" w:rsidRDefault="00041BEF" w:rsidP="002B0DC1">
      <w:pPr>
        <w:spacing w:after="240"/>
        <w:jc w:val="both"/>
        <w:rPr>
          <w:color w:val="000000"/>
          <w:lang w:eastAsia="fr-FR"/>
        </w:rPr>
      </w:pPr>
      <w:r w:rsidRPr="0064646E">
        <w:rPr>
          <w:color w:val="000000"/>
          <w:lang w:eastAsia="fr-FR"/>
        </w:rPr>
        <w:t>« - « Valeur limite</w:t>
      </w:r>
      <w:r w:rsidRPr="00041BEF">
        <w:rPr>
          <w:color w:val="000000"/>
          <w:lang w:eastAsia="fr-FR"/>
        </w:rPr>
        <w:t xml:space="preserve"> d’émission en moyenne annuelle » : </w:t>
      </w:r>
      <w:r w:rsidR="006A72C4" w:rsidRPr="006A72C4">
        <w:rPr>
          <w:color w:val="000000"/>
          <w:lang w:eastAsia="fr-FR"/>
        </w:rPr>
        <w:t>valeur moyenne de trois mesures consécutives d’au moins 30 minutes chacune</w:t>
      </w:r>
      <w:r w:rsidR="006A72C4">
        <w:rPr>
          <w:rStyle w:val="Appelnotedebasdep"/>
          <w:color w:val="000000"/>
          <w:lang w:eastAsia="fr-FR"/>
        </w:rPr>
        <w:footnoteReference w:id="1"/>
      </w:r>
      <w:r w:rsidR="006A72C4" w:rsidRPr="006A72C4">
        <w:rPr>
          <w:color w:val="000000"/>
          <w:lang w:eastAsia="fr-FR"/>
        </w:rPr>
        <w:t xml:space="preserve"> ;</w:t>
      </w:r>
      <w:r w:rsidR="006A72C4">
        <w:rPr>
          <w:color w:val="000000"/>
          <w:lang w:eastAsia="fr-FR"/>
        </w:rPr>
        <w:t xml:space="preserve"> </w:t>
      </w:r>
      <w:r w:rsidRPr="00041BEF">
        <w:rPr>
          <w:color w:val="000000"/>
          <w:lang w:eastAsia="fr-FR"/>
        </w:rPr>
        <w:t>»</w:t>
      </w:r>
      <w:r w:rsidR="000C039C">
        <w:rPr>
          <w:color w:val="000000"/>
          <w:lang w:eastAsia="fr-FR"/>
        </w:rPr>
        <w:t>.</w:t>
      </w:r>
    </w:p>
    <w:p w14:paraId="64E567C3" w14:textId="7238524C" w:rsidR="000C039C" w:rsidRPr="000C039C" w:rsidRDefault="000C039C" w:rsidP="002B0DC1">
      <w:pPr>
        <w:jc w:val="center"/>
        <w:rPr>
          <w:b/>
          <w:bCs/>
          <w:i/>
          <w:iCs/>
          <w:color w:val="000000"/>
          <w:lang w:eastAsia="fr-FR"/>
        </w:rPr>
      </w:pPr>
      <w:r w:rsidRPr="000C039C">
        <w:rPr>
          <w:b/>
          <w:bCs/>
        </w:rPr>
        <w:t xml:space="preserve">Article </w:t>
      </w:r>
      <w:r w:rsidRPr="000C039C">
        <w:rPr>
          <w:b/>
          <w:bCs/>
          <w:i/>
          <w:iCs/>
        </w:rPr>
        <w:fldChar w:fldCharType="begin"/>
      </w:r>
      <w:r w:rsidRPr="000C039C">
        <w:rPr>
          <w:b/>
          <w:bCs/>
        </w:rPr>
        <w:instrText xml:space="preserve"> SEQ Article \* ARABIC </w:instrText>
      </w:r>
      <w:r w:rsidRPr="000C039C">
        <w:rPr>
          <w:b/>
          <w:bCs/>
          <w:i/>
          <w:iCs/>
        </w:rPr>
        <w:fldChar w:fldCharType="separate"/>
      </w:r>
      <w:r w:rsidR="00871300">
        <w:rPr>
          <w:b/>
          <w:bCs/>
          <w:noProof/>
        </w:rPr>
        <w:t>2</w:t>
      </w:r>
      <w:r w:rsidRPr="000C039C">
        <w:rPr>
          <w:b/>
          <w:bCs/>
          <w:i/>
          <w:iCs/>
        </w:rPr>
        <w:fldChar w:fldCharType="end"/>
      </w:r>
    </w:p>
    <w:p w14:paraId="6B3E761F" w14:textId="77777777" w:rsidR="008B4CF9" w:rsidRDefault="008B4CF9" w:rsidP="002B0DC1">
      <w:pPr>
        <w:suppressAutoHyphens w:val="0"/>
        <w:jc w:val="both"/>
        <w:rPr>
          <w:color w:val="000000"/>
          <w:lang w:eastAsia="fr-FR"/>
        </w:rPr>
      </w:pPr>
    </w:p>
    <w:p w14:paraId="53868626" w14:textId="557E598E" w:rsidR="00286964" w:rsidRDefault="00286964" w:rsidP="002B0DC1">
      <w:pPr>
        <w:suppressAutoHyphens w:val="0"/>
        <w:jc w:val="both"/>
        <w:rPr>
          <w:color w:val="000000"/>
          <w:lang w:eastAsia="fr-FR"/>
        </w:rPr>
      </w:pPr>
      <w:r w:rsidRPr="00645CFB">
        <w:rPr>
          <w:color w:val="000000"/>
          <w:lang w:eastAsia="fr-FR"/>
        </w:rPr>
        <w:t>L’article 2 de</w:t>
      </w:r>
      <w:r>
        <w:rPr>
          <w:color w:val="000000"/>
          <w:lang w:eastAsia="fr-FR"/>
        </w:rPr>
        <w:t xml:space="preserve"> l’arrêté susvisé </w:t>
      </w:r>
      <w:r w:rsidRPr="00702EF7">
        <w:rPr>
          <w:color w:val="000000"/>
          <w:lang w:eastAsia="fr-FR"/>
        </w:rPr>
        <w:t>est ainsi modifié :</w:t>
      </w:r>
    </w:p>
    <w:p w14:paraId="78B0ACF4" w14:textId="77777777" w:rsidR="008B4CF9" w:rsidRDefault="008B4CF9" w:rsidP="002B0DC1">
      <w:pPr>
        <w:suppressAutoHyphens w:val="0"/>
        <w:jc w:val="both"/>
        <w:rPr>
          <w:b/>
          <w:color w:val="000000"/>
          <w:lang w:eastAsia="fr-FR"/>
        </w:rPr>
      </w:pPr>
    </w:p>
    <w:p w14:paraId="4371FCED" w14:textId="72907A84" w:rsidR="000C039C" w:rsidRDefault="006A72C4" w:rsidP="002B0DC1">
      <w:pPr>
        <w:suppressAutoHyphens w:val="0"/>
        <w:jc w:val="both"/>
        <w:rPr>
          <w:bCs/>
          <w:color w:val="000000"/>
          <w:lang w:eastAsia="fr-FR"/>
        </w:rPr>
      </w:pPr>
      <w:r>
        <w:rPr>
          <w:bCs/>
          <w:color w:val="000000"/>
          <w:lang w:eastAsia="fr-FR"/>
        </w:rPr>
        <w:t>1°</w:t>
      </w:r>
      <w:r w:rsidR="000C039C" w:rsidRPr="0064646E">
        <w:rPr>
          <w:bCs/>
          <w:color w:val="000000"/>
          <w:lang w:eastAsia="fr-FR"/>
        </w:rPr>
        <w:t xml:space="preserve"> </w:t>
      </w:r>
      <w:r w:rsidR="006F55B3">
        <w:rPr>
          <w:bCs/>
          <w:color w:val="000000"/>
          <w:lang w:eastAsia="fr-FR"/>
        </w:rPr>
        <w:t xml:space="preserve">Un </w:t>
      </w:r>
      <w:r w:rsidR="00424C89" w:rsidRPr="0064646E">
        <w:rPr>
          <w:bCs/>
          <w:color w:val="000000"/>
          <w:lang w:eastAsia="fr-FR"/>
        </w:rPr>
        <w:t xml:space="preserve">alinéa </w:t>
      </w:r>
      <w:r w:rsidR="000C039C" w:rsidRPr="0064646E">
        <w:rPr>
          <w:bCs/>
          <w:color w:val="000000"/>
          <w:lang w:eastAsia="fr-FR"/>
        </w:rPr>
        <w:t>« Acronymes » est inséré avant le premier alinéa.</w:t>
      </w:r>
    </w:p>
    <w:p w14:paraId="2B122BCA" w14:textId="77777777" w:rsidR="008B4CF9" w:rsidRDefault="008B4CF9" w:rsidP="002B0DC1">
      <w:pPr>
        <w:suppressAutoHyphens w:val="0"/>
        <w:jc w:val="both"/>
        <w:rPr>
          <w:bCs/>
          <w:color w:val="000000"/>
          <w:lang w:eastAsia="fr-FR"/>
        </w:rPr>
      </w:pPr>
    </w:p>
    <w:p w14:paraId="45D4A9F6" w14:textId="7B7A0398" w:rsidR="008B4CF9" w:rsidRDefault="006A72C4" w:rsidP="002B0DC1">
      <w:pPr>
        <w:suppressAutoHyphens w:val="0"/>
        <w:jc w:val="both"/>
        <w:rPr>
          <w:bCs/>
          <w:color w:val="000000"/>
          <w:lang w:eastAsia="fr-FR"/>
        </w:rPr>
      </w:pPr>
      <w:r>
        <w:rPr>
          <w:bCs/>
          <w:color w:val="000000"/>
          <w:lang w:eastAsia="fr-FR"/>
        </w:rPr>
        <w:t>2°</w:t>
      </w:r>
      <w:r w:rsidR="008B4CF9">
        <w:rPr>
          <w:bCs/>
          <w:color w:val="000000"/>
          <w:lang w:eastAsia="fr-FR"/>
        </w:rPr>
        <w:t xml:space="preserve"> Après le premier alinéa est inséré l’alinéa suivant :</w:t>
      </w:r>
    </w:p>
    <w:p w14:paraId="399C38A1" w14:textId="4E224EFE" w:rsidR="008B4CF9" w:rsidRPr="0064646E" w:rsidRDefault="008B4CF9" w:rsidP="002B0DC1">
      <w:pPr>
        <w:suppressAutoHyphens w:val="0"/>
        <w:jc w:val="both"/>
        <w:rPr>
          <w:bCs/>
          <w:color w:val="000000"/>
          <w:lang w:eastAsia="fr-FR"/>
        </w:rPr>
      </w:pPr>
      <w:r>
        <w:rPr>
          <w:bCs/>
          <w:color w:val="000000"/>
          <w:lang w:eastAsia="fr-FR"/>
        </w:rPr>
        <w:t>« - A, M, J » : annuel, mensuel, journalier ; ».</w:t>
      </w:r>
    </w:p>
    <w:p w14:paraId="6EB20B93" w14:textId="0700FA6D" w:rsidR="00041BEF" w:rsidRPr="0064646E" w:rsidRDefault="00041BEF" w:rsidP="002B0DC1">
      <w:pPr>
        <w:jc w:val="both"/>
        <w:rPr>
          <w:bCs/>
          <w:color w:val="000000"/>
          <w:lang w:eastAsia="fr-FR"/>
        </w:rPr>
      </w:pPr>
    </w:p>
    <w:p w14:paraId="58C57CFC" w14:textId="39A7D4E9" w:rsidR="00286964" w:rsidRDefault="006A72C4" w:rsidP="002B0DC1">
      <w:pPr>
        <w:jc w:val="both"/>
        <w:rPr>
          <w:bCs/>
          <w:color w:val="000000"/>
          <w:lang w:eastAsia="fr-FR"/>
        </w:rPr>
      </w:pPr>
      <w:r>
        <w:rPr>
          <w:bCs/>
          <w:color w:val="000000"/>
          <w:lang w:eastAsia="fr-FR"/>
        </w:rPr>
        <w:t>3°</w:t>
      </w:r>
      <w:r w:rsidR="000C039C" w:rsidRPr="0064646E">
        <w:rPr>
          <w:bCs/>
          <w:color w:val="000000"/>
          <w:lang w:eastAsia="fr-FR"/>
        </w:rPr>
        <w:t xml:space="preserve"> </w:t>
      </w:r>
      <w:r w:rsidR="00982C6D" w:rsidRPr="0064646E">
        <w:rPr>
          <w:bCs/>
          <w:color w:val="000000"/>
          <w:lang w:eastAsia="fr-FR"/>
        </w:rPr>
        <w:t xml:space="preserve">Après le deuxième alinéa, </w:t>
      </w:r>
      <w:r w:rsidR="00471A22">
        <w:rPr>
          <w:bCs/>
          <w:color w:val="000000"/>
          <w:lang w:eastAsia="fr-FR"/>
        </w:rPr>
        <w:t>sont</w:t>
      </w:r>
      <w:r w:rsidR="00471A22" w:rsidRPr="0064646E">
        <w:rPr>
          <w:bCs/>
          <w:color w:val="000000"/>
          <w:lang w:eastAsia="fr-FR"/>
        </w:rPr>
        <w:t xml:space="preserve"> </w:t>
      </w:r>
      <w:r w:rsidR="00982C6D" w:rsidRPr="0064646E">
        <w:rPr>
          <w:bCs/>
          <w:color w:val="000000"/>
          <w:lang w:eastAsia="fr-FR"/>
        </w:rPr>
        <w:t>inséré</w:t>
      </w:r>
      <w:r w:rsidR="00471A22">
        <w:rPr>
          <w:bCs/>
          <w:color w:val="000000"/>
          <w:lang w:eastAsia="fr-FR"/>
        </w:rPr>
        <w:t>s</w:t>
      </w:r>
      <w:r w:rsidR="00982C6D" w:rsidRPr="0064646E">
        <w:rPr>
          <w:bCs/>
          <w:color w:val="000000"/>
          <w:lang w:eastAsia="fr-FR"/>
        </w:rPr>
        <w:t xml:space="preserve"> l</w:t>
      </w:r>
      <w:r w:rsidR="00471A22">
        <w:rPr>
          <w:bCs/>
          <w:color w:val="000000"/>
          <w:lang w:eastAsia="fr-FR"/>
        </w:rPr>
        <w:t xml:space="preserve">es </w:t>
      </w:r>
      <w:r w:rsidR="00982C6D" w:rsidRPr="0064646E">
        <w:rPr>
          <w:bCs/>
          <w:color w:val="000000"/>
          <w:lang w:eastAsia="fr-FR"/>
        </w:rPr>
        <w:t>alinéa</w:t>
      </w:r>
      <w:r w:rsidR="00471A22">
        <w:rPr>
          <w:bCs/>
          <w:color w:val="000000"/>
          <w:lang w:eastAsia="fr-FR"/>
        </w:rPr>
        <w:t>s</w:t>
      </w:r>
      <w:r w:rsidR="00982C6D" w:rsidRPr="0064646E">
        <w:rPr>
          <w:bCs/>
          <w:color w:val="000000"/>
          <w:lang w:eastAsia="fr-FR"/>
        </w:rPr>
        <w:t xml:space="preserve"> suivant</w:t>
      </w:r>
      <w:r w:rsidR="00471A22">
        <w:rPr>
          <w:bCs/>
          <w:color w:val="000000"/>
          <w:lang w:eastAsia="fr-FR"/>
        </w:rPr>
        <w:t>s</w:t>
      </w:r>
      <w:r w:rsidR="00982C6D" w:rsidRPr="0064646E">
        <w:rPr>
          <w:bCs/>
          <w:color w:val="000000"/>
          <w:lang w:eastAsia="fr-FR"/>
        </w:rPr>
        <w:t> :</w:t>
      </w:r>
    </w:p>
    <w:p w14:paraId="3D96FDF0" w14:textId="64336B11" w:rsidR="00471A22" w:rsidRPr="0064646E" w:rsidRDefault="00471A22" w:rsidP="002B0DC1">
      <w:pPr>
        <w:jc w:val="both"/>
        <w:rPr>
          <w:bCs/>
          <w:color w:val="000000"/>
          <w:lang w:eastAsia="fr-FR"/>
        </w:rPr>
      </w:pPr>
      <w:r>
        <w:rPr>
          <w:bCs/>
          <w:color w:val="000000"/>
          <w:lang w:eastAsia="fr-FR"/>
        </w:rPr>
        <w:t>« - AST : test annuel de surveillance ;</w:t>
      </w:r>
    </w:p>
    <w:p w14:paraId="7672DEF6" w14:textId="1728C8DF" w:rsidR="00982C6D" w:rsidRPr="0064646E" w:rsidRDefault="00982C6D" w:rsidP="002B0DC1">
      <w:pPr>
        <w:jc w:val="both"/>
        <w:rPr>
          <w:bCs/>
          <w:color w:val="000000"/>
          <w:lang w:eastAsia="fr-FR"/>
        </w:rPr>
      </w:pPr>
      <w:r w:rsidRPr="0064646E">
        <w:rPr>
          <w:bCs/>
          <w:color w:val="000000"/>
          <w:lang w:eastAsia="fr-FR"/>
        </w:rPr>
        <w:t>« - CCGT : turbine à gaz à cycle combiné, avec ou sans combustion supplémentaire ; ».</w:t>
      </w:r>
    </w:p>
    <w:p w14:paraId="12AED015" w14:textId="0923DEA9" w:rsidR="00982C6D" w:rsidRPr="0064646E" w:rsidRDefault="00982C6D" w:rsidP="002B0DC1">
      <w:pPr>
        <w:jc w:val="both"/>
        <w:rPr>
          <w:bCs/>
          <w:color w:val="000000"/>
          <w:lang w:eastAsia="fr-FR"/>
        </w:rPr>
      </w:pPr>
    </w:p>
    <w:p w14:paraId="3D30CB06" w14:textId="65A56410" w:rsidR="000C039C" w:rsidRPr="0064646E" w:rsidRDefault="006A72C4" w:rsidP="002B0DC1">
      <w:pPr>
        <w:jc w:val="both"/>
        <w:rPr>
          <w:bCs/>
          <w:color w:val="000000"/>
          <w:lang w:eastAsia="fr-FR"/>
        </w:rPr>
      </w:pPr>
      <w:r>
        <w:rPr>
          <w:bCs/>
          <w:color w:val="000000"/>
          <w:lang w:eastAsia="fr-FR"/>
        </w:rPr>
        <w:t>4°</w:t>
      </w:r>
      <w:r w:rsidR="000C039C" w:rsidRPr="0064646E">
        <w:rPr>
          <w:bCs/>
          <w:color w:val="000000"/>
          <w:lang w:eastAsia="fr-FR"/>
        </w:rPr>
        <w:t xml:space="preserve"> Après le troisième alinéa, est inséré l’alinéa suivant :</w:t>
      </w:r>
    </w:p>
    <w:p w14:paraId="6C0D4616" w14:textId="6BDD48AE" w:rsidR="000C039C" w:rsidRDefault="000C039C" w:rsidP="002B0DC1">
      <w:pPr>
        <w:jc w:val="both"/>
        <w:rPr>
          <w:bCs/>
          <w:color w:val="000000"/>
          <w:lang w:eastAsia="fr-FR"/>
        </w:rPr>
      </w:pPr>
      <w:r w:rsidRPr="0064646E">
        <w:rPr>
          <w:bCs/>
          <w:color w:val="000000"/>
          <w:lang w:eastAsia="fr-FR"/>
        </w:rPr>
        <w:t>« - « CHP » : récupération de chaleur par cogénération ; ».</w:t>
      </w:r>
    </w:p>
    <w:p w14:paraId="233A2610" w14:textId="08D2E831" w:rsidR="00C53797" w:rsidRDefault="00C53797" w:rsidP="002B0DC1">
      <w:pPr>
        <w:jc w:val="both"/>
        <w:rPr>
          <w:bCs/>
          <w:color w:val="000000"/>
          <w:lang w:eastAsia="fr-FR"/>
        </w:rPr>
      </w:pPr>
    </w:p>
    <w:p w14:paraId="1E225201" w14:textId="2340C43C" w:rsidR="00C53797" w:rsidRDefault="006A72C4" w:rsidP="002B0DC1">
      <w:pPr>
        <w:jc w:val="both"/>
        <w:rPr>
          <w:bCs/>
          <w:color w:val="000000"/>
          <w:lang w:eastAsia="fr-FR"/>
        </w:rPr>
      </w:pPr>
      <w:r>
        <w:rPr>
          <w:bCs/>
          <w:color w:val="000000"/>
          <w:lang w:eastAsia="fr-FR"/>
        </w:rPr>
        <w:t>5°</w:t>
      </w:r>
      <w:r w:rsidR="00C53797">
        <w:rPr>
          <w:bCs/>
          <w:color w:val="000000"/>
          <w:lang w:eastAsia="fr-FR"/>
        </w:rPr>
        <w:t xml:space="preserve"> Après le cinquième alinéa, </w:t>
      </w:r>
      <w:r w:rsidR="006E7F9C">
        <w:rPr>
          <w:bCs/>
          <w:color w:val="000000"/>
          <w:lang w:eastAsia="fr-FR"/>
        </w:rPr>
        <w:t>sont</w:t>
      </w:r>
      <w:r w:rsidR="00C53797">
        <w:rPr>
          <w:bCs/>
          <w:color w:val="000000"/>
          <w:lang w:eastAsia="fr-FR"/>
        </w:rPr>
        <w:t xml:space="preserve"> inséré</w:t>
      </w:r>
      <w:r w:rsidR="006E7F9C">
        <w:rPr>
          <w:bCs/>
          <w:color w:val="000000"/>
          <w:lang w:eastAsia="fr-FR"/>
        </w:rPr>
        <w:t>s</w:t>
      </w:r>
      <w:r w:rsidR="00C53797">
        <w:rPr>
          <w:bCs/>
          <w:color w:val="000000"/>
          <w:lang w:eastAsia="fr-FR"/>
        </w:rPr>
        <w:t xml:space="preserve"> l</w:t>
      </w:r>
      <w:r w:rsidR="006E7F9C">
        <w:rPr>
          <w:bCs/>
          <w:color w:val="000000"/>
          <w:lang w:eastAsia="fr-FR"/>
        </w:rPr>
        <w:t xml:space="preserve">es </w:t>
      </w:r>
      <w:r w:rsidR="00C53797">
        <w:rPr>
          <w:bCs/>
          <w:color w:val="000000"/>
          <w:lang w:eastAsia="fr-FR"/>
        </w:rPr>
        <w:t>alinéa</w:t>
      </w:r>
      <w:r w:rsidR="006E7F9C">
        <w:rPr>
          <w:bCs/>
          <w:color w:val="000000"/>
          <w:lang w:eastAsia="fr-FR"/>
        </w:rPr>
        <w:t>s</w:t>
      </w:r>
      <w:r w:rsidR="00C53797">
        <w:rPr>
          <w:bCs/>
          <w:color w:val="000000"/>
          <w:lang w:eastAsia="fr-FR"/>
        </w:rPr>
        <w:t xml:space="preserve"> suivant</w:t>
      </w:r>
      <w:r w:rsidR="006E7F9C">
        <w:rPr>
          <w:bCs/>
          <w:color w:val="000000"/>
          <w:lang w:eastAsia="fr-FR"/>
        </w:rPr>
        <w:t>s</w:t>
      </w:r>
      <w:r w:rsidR="00C53797">
        <w:rPr>
          <w:bCs/>
          <w:color w:val="000000"/>
          <w:lang w:eastAsia="fr-FR"/>
        </w:rPr>
        <w:t> :</w:t>
      </w:r>
    </w:p>
    <w:p w14:paraId="2C35ABCA" w14:textId="065DDB30" w:rsidR="00C53797" w:rsidRDefault="00C53797" w:rsidP="002B0DC1">
      <w:pPr>
        <w:jc w:val="both"/>
        <w:rPr>
          <w:bCs/>
          <w:color w:val="000000"/>
          <w:lang w:eastAsia="fr-FR"/>
        </w:rPr>
      </w:pPr>
      <w:r>
        <w:rPr>
          <w:bCs/>
          <w:color w:val="000000"/>
          <w:lang w:eastAsia="fr-FR"/>
        </w:rPr>
        <w:t>« - « COG » : gaz de cokerie ; »</w:t>
      </w:r>
      <w:r w:rsidR="006E7F9C">
        <w:rPr>
          <w:bCs/>
          <w:color w:val="000000"/>
          <w:lang w:eastAsia="fr-FR"/>
        </w:rPr>
        <w:t> ;</w:t>
      </w:r>
    </w:p>
    <w:p w14:paraId="59AE6753" w14:textId="3D3E7445" w:rsidR="006E7F9C" w:rsidRDefault="006E7F9C" w:rsidP="002B0DC1">
      <w:pPr>
        <w:jc w:val="both"/>
        <w:rPr>
          <w:bCs/>
          <w:color w:val="000000"/>
          <w:lang w:eastAsia="fr-FR"/>
        </w:rPr>
      </w:pPr>
      <w:r>
        <w:rPr>
          <w:bCs/>
          <w:color w:val="000000"/>
          <w:lang w:eastAsia="fr-FR"/>
        </w:rPr>
        <w:t>« </w:t>
      </w:r>
      <w:r w:rsidRPr="006E7F9C">
        <w:rPr>
          <w:bCs/>
          <w:color w:val="000000"/>
          <w:lang w:eastAsia="fr-FR"/>
        </w:rPr>
        <w:t>- « COV » : composés organiques volatils ;</w:t>
      </w:r>
      <w:r>
        <w:rPr>
          <w:bCs/>
          <w:color w:val="000000"/>
          <w:lang w:eastAsia="fr-FR"/>
        </w:rPr>
        <w:t> ».</w:t>
      </w:r>
    </w:p>
    <w:p w14:paraId="1FFF3DD4" w14:textId="1DF3C1CA" w:rsidR="006E7F9C" w:rsidRDefault="006E7F9C" w:rsidP="002B0DC1">
      <w:pPr>
        <w:jc w:val="both"/>
        <w:rPr>
          <w:bCs/>
          <w:color w:val="000000"/>
          <w:lang w:eastAsia="fr-FR"/>
        </w:rPr>
      </w:pPr>
    </w:p>
    <w:p w14:paraId="2B5E18B5" w14:textId="554EB0DE" w:rsidR="006E7F9C" w:rsidRDefault="006A72C4" w:rsidP="002B0DC1">
      <w:pPr>
        <w:jc w:val="both"/>
        <w:rPr>
          <w:bCs/>
          <w:color w:val="000000"/>
          <w:lang w:eastAsia="fr-FR"/>
        </w:rPr>
      </w:pPr>
      <w:r>
        <w:rPr>
          <w:bCs/>
          <w:color w:val="000000"/>
          <w:lang w:eastAsia="fr-FR"/>
        </w:rPr>
        <w:t>6°</w:t>
      </w:r>
      <w:r w:rsidR="006E7F9C">
        <w:rPr>
          <w:bCs/>
          <w:color w:val="000000"/>
          <w:lang w:eastAsia="fr-FR"/>
        </w:rPr>
        <w:t xml:space="preserve"> Après le sixième alinéa est inséré l’alinéa suivant :</w:t>
      </w:r>
    </w:p>
    <w:p w14:paraId="6A18655C" w14:textId="111F45A6" w:rsidR="006E7F9C" w:rsidRDefault="006E7F9C" w:rsidP="002B0DC1">
      <w:pPr>
        <w:jc w:val="both"/>
        <w:rPr>
          <w:bCs/>
          <w:color w:val="000000"/>
          <w:lang w:eastAsia="fr-FR"/>
        </w:rPr>
      </w:pPr>
      <w:r>
        <w:rPr>
          <w:bCs/>
          <w:color w:val="000000"/>
          <w:lang w:eastAsia="fr-FR"/>
        </w:rPr>
        <w:t>« </w:t>
      </w:r>
      <w:r w:rsidRPr="006E7F9C">
        <w:rPr>
          <w:bCs/>
          <w:color w:val="000000"/>
          <w:lang w:eastAsia="fr-FR"/>
        </w:rPr>
        <w:t>- « COVT » : composés organiques volatils totaux ;</w:t>
      </w:r>
      <w:r>
        <w:rPr>
          <w:bCs/>
          <w:color w:val="000000"/>
          <w:lang w:eastAsia="fr-FR"/>
        </w:rPr>
        <w:t> ».</w:t>
      </w:r>
    </w:p>
    <w:p w14:paraId="1B9ABC08" w14:textId="1A2C45DE" w:rsidR="008B4CF9" w:rsidRDefault="008B4CF9" w:rsidP="002B0DC1">
      <w:pPr>
        <w:jc w:val="both"/>
        <w:rPr>
          <w:bCs/>
          <w:color w:val="000000"/>
          <w:lang w:eastAsia="fr-FR"/>
        </w:rPr>
      </w:pPr>
    </w:p>
    <w:p w14:paraId="2F8109A6" w14:textId="1DF85321" w:rsidR="008B4CF9" w:rsidRDefault="006A72C4" w:rsidP="002B0DC1">
      <w:pPr>
        <w:jc w:val="both"/>
        <w:rPr>
          <w:bCs/>
          <w:color w:val="000000"/>
          <w:lang w:eastAsia="fr-FR"/>
        </w:rPr>
      </w:pPr>
      <w:r>
        <w:rPr>
          <w:bCs/>
          <w:color w:val="000000"/>
          <w:lang w:eastAsia="fr-FR"/>
        </w:rPr>
        <w:t>7°</w:t>
      </w:r>
      <w:r w:rsidR="008B4CF9">
        <w:rPr>
          <w:bCs/>
          <w:color w:val="000000"/>
          <w:lang w:eastAsia="fr-FR"/>
        </w:rPr>
        <w:t xml:space="preserve"> Après le septième alinéa est inséré l’alinéa suivant :</w:t>
      </w:r>
    </w:p>
    <w:p w14:paraId="159C8C51" w14:textId="0BBC2AC1" w:rsidR="008B4CF9" w:rsidRPr="0064646E" w:rsidRDefault="008B4CF9" w:rsidP="002B0DC1">
      <w:pPr>
        <w:jc w:val="both"/>
        <w:rPr>
          <w:bCs/>
          <w:color w:val="000000"/>
          <w:lang w:eastAsia="fr-FR"/>
        </w:rPr>
      </w:pPr>
      <w:r>
        <w:rPr>
          <w:bCs/>
          <w:color w:val="000000"/>
          <w:lang w:eastAsia="fr-FR"/>
        </w:rPr>
        <w:t>« - DEM/ARR » : démarrage / arrêt ; »</w:t>
      </w:r>
      <w:r w:rsidR="00C53797">
        <w:rPr>
          <w:bCs/>
          <w:color w:val="000000"/>
          <w:lang w:eastAsia="fr-FR"/>
        </w:rPr>
        <w:t>.</w:t>
      </w:r>
    </w:p>
    <w:p w14:paraId="7B17198F" w14:textId="05107BBA" w:rsidR="000C039C" w:rsidRPr="0064646E" w:rsidRDefault="000C039C" w:rsidP="002B0DC1">
      <w:pPr>
        <w:jc w:val="both"/>
        <w:rPr>
          <w:bCs/>
          <w:color w:val="000000"/>
          <w:lang w:eastAsia="fr-FR"/>
        </w:rPr>
      </w:pPr>
    </w:p>
    <w:p w14:paraId="4E44E7AE" w14:textId="2D202DCF" w:rsidR="001F3B3E" w:rsidRDefault="006A72C4" w:rsidP="002B0DC1">
      <w:pPr>
        <w:jc w:val="both"/>
        <w:rPr>
          <w:bCs/>
          <w:color w:val="000000"/>
          <w:lang w:eastAsia="fr-FR"/>
        </w:rPr>
      </w:pPr>
      <w:r>
        <w:rPr>
          <w:bCs/>
          <w:color w:val="000000"/>
          <w:lang w:eastAsia="fr-FR"/>
        </w:rPr>
        <w:t>8°</w:t>
      </w:r>
      <w:r w:rsidR="001F3B3E">
        <w:rPr>
          <w:bCs/>
          <w:color w:val="000000"/>
          <w:lang w:eastAsia="fr-FR"/>
        </w:rPr>
        <w:t xml:space="preserve"> Après le huitième alinéa, est inséré l’alinéa suivant :</w:t>
      </w:r>
    </w:p>
    <w:p w14:paraId="725A7A11" w14:textId="48ED33A5" w:rsidR="001F3B3E" w:rsidRDefault="001F3B3E" w:rsidP="002B0DC1">
      <w:pPr>
        <w:jc w:val="both"/>
        <w:rPr>
          <w:bCs/>
          <w:color w:val="000000"/>
          <w:lang w:eastAsia="fr-FR"/>
        </w:rPr>
      </w:pPr>
      <w:r>
        <w:rPr>
          <w:bCs/>
          <w:color w:val="000000"/>
          <w:lang w:eastAsia="fr-FR"/>
        </w:rPr>
        <w:t>« - « FGD » : système de désulfuration des fumées ; ».</w:t>
      </w:r>
    </w:p>
    <w:p w14:paraId="6C7DCB73" w14:textId="77777777" w:rsidR="001F3B3E" w:rsidRDefault="001F3B3E" w:rsidP="002B0DC1">
      <w:pPr>
        <w:jc w:val="both"/>
        <w:rPr>
          <w:bCs/>
          <w:color w:val="000000"/>
          <w:lang w:eastAsia="fr-FR"/>
        </w:rPr>
      </w:pPr>
    </w:p>
    <w:p w14:paraId="360C0416" w14:textId="6C90002D" w:rsidR="00982C6D" w:rsidRPr="0064646E" w:rsidRDefault="006A72C4" w:rsidP="002B0DC1">
      <w:pPr>
        <w:jc w:val="both"/>
        <w:rPr>
          <w:bCs/>
          <w:color w:val="000000"/>
          <w:lang w:eastAsia="fr-FR"/>
        </w:rPr>
      </w:pPr>
      <w:r>
        <w:rPr>
          <w:bCs/>
          <w:color w:val="000000"/>
          <w:lang w:eastAsia="fr-FR"/>
        </w:rPr>
        <w:t>9°</w:t>
      </w:r>
      <w:r w:rsidR="00982C6D" w:rsidRPr="0064646E">
        <w:rPr>
          <w:bCs/>
          <w:color w:val="000000"/>
          <w:lang w:eastAsia="fr-FR"/>
        </w:rPr>
        <w:t xml:space="preserve"> Après le treizième alinéa, entre les acronymes « MEST » et « N</w:t>
      </w:r>
      <w:r w:rsidR="00982C6D" w:rsidRPr="006F55B3">
        <w:rPr>
          <w:bCs/>
          <w:color w:val="000000"/>
          <w:vertAlign w:val="subscript"/>
          <w:lang w:eastAsia="fr-FR"/>
        </w:rPr>
        <w:t>2</w:t>
      </w:r>
      <w:r w:rsidR="00982C6D" w:rsidRPr="0064646E">
        <w:rPr>
          <w:bCs/>
          <w:color w:val="000000"/>
          <w:lang w:eastAsia="fr-FR"/>
        </w:rPr>
        <w:t xml:space="preserve">O », </w:t>
      </w:r>
      <w:r w:rsidR="00DF54EE">
        <w:rPr>
          <w:bCs/>
          <w:color w:val="000000"/>
          <w:lang w:eastAsia="fr-FR"/>
        </w:rPr>
        <w:t xml:space="preserve">est inséré </w:t>
      </w:r>
      <w:r w:rsidR="00982C6D" w:rsidRPr="0064646E">
        <w:rPr>
          <w:bCs/>
          <w:color w:val="000000"/>
          <w:lang w:eastAsia="fr-FR"/>
        </w:rPr>
        <w:t>l’alinéa suivant</w:t>
      </w:r>
      <w:r w:rsidR="000C039C" w:rsidRPr="0064646E">
        <w:rPr>
          <w:bCs/>
          <w:color w:val="000000"/>
          <w:lang w:eastAsia="fr-FR"/>
        </w:rPr>
        <w:t xml:space="preserve"> </w:t>
      </w:r>
      <w:r w:rsidR="00982C6D" w:rsidRPr="0064646E">
        <w:rPr>
          <w:bCs/>
          <w:color w:val="000000"/>
          <w:lang w:eastAsia="fr-FR"/>
        </w:rPr>
        <w:t>:</w:t>
      </w:r>
    </w:p>
    <w:p w14:paraId="7EA1184D" w14:textId="329C6FFC" w:rsidR="00982C6D" w:rsidRPr="0064646E" w:rsidRDefault="00982C6D" w:rsidP="002B0DC1">
      <w:pPr>
        <w:jc w:val="both"/>
        <w:rPr>
          <w:bCs/>
          <w:color w:val="000000"/>
          <w:lang w:eastAsia="fr-FR"/>
        </w:rPr>
      </w:pPr>
      <w:r w:rsidRPr="0064646E">
        <w:rPr>
          <w:bCs/>
          <w:color w:val="000000"/>
          <w:lang w:eastAsia="fr-FR"/>
        </w:rPr>
        <w:t>« - « MTD » : meilleures techniques disponibles</w:t>
      </w:r>
      <w:r w:rsidR="000C039C" w:rsidRPr="0064646E">
        <w:rPr>
          <w:bCs/>
          <w:color w:val="000000"/>
          <w:lang w:eastAsia="fr-FR"/>
        </w:rPr>
        <w:t> ;</w:t>
      </w:r>
      <w:r w:rsidRPr="0064646E">
        <w:rPr>
          <w:bCs/>
          <w:color w:val="000000"/>
          <w:lang w:eastAsia="fr-FR"/>
        </w:rPr>
        <w:t> ».</w:t>
      </w:r>
    </w:p>
    <w:p w14:paraId="7EA7840F" w14:textId="3A7F6E24" w:rsidR="00982C6D" w:rsidRPr="0064646E" w:rsidRDefault="00982C6D" w:rsidP="002B0DC1">
      <w:pPr>
        <w:jc w:val="both"/>
        <w:rPr>
          <w:bCs/>
          <w:color w:val="000000"/>
          <w:lang w:eastAsia="fr-FR"/>
        </w:rPr>
      </w:pPr>
    </w:p>
    <w:p w14:paraId="45B13CB6" w14:textId="47BDABD5" w:rsidR="00982C6D" w:rsidRPr="0064646E" w:rsidRDefault="006A72C4" w:rsidP="002B0DC1">
      <w:pPr>
        <w:jc w:val="both"/>
        <w:rPr>
          <w:bCs/>
          <w:color w:val="000000"/>
          <w:lang w:eastAsia="fr-FR"/>
        </w:rPr>
      </w:pPr>
      <w:r>
        <w:rPr>
          <w:bCs/>
          <w:color w:val="000000"/>
          <w:lang w:eastAsia="fr-FR"/>
        </w:rPr>
        <w:t>10°</w:t>
      </w:r>
      <w:r w:rsidR="00982C6D" w:rsidRPr="0064646E">
        <w:rPr>
          <w:bCs/>
          <w:color w:val="000000"/>
          <w:lang w:eastAsia="fr-FR"/>
        </w:rPr>
        <w:t xml:space="preserve"> Après le quinzième alinéa, entre les acronymes « </w:t>
      </w:r>
      <w:r w:rsidR="00CF4BE2" w:rsidRPr="0064646E">
        <w:rPr>
          <w:bCs/>
          <w:color w:val="000000"/>
          <w:lang w:eastAsia="fr-FR"/>
        </w:rPr>
        <w:t>NO</w:t>
      </w:r>
      <w:r w:rsidR="00CF4BE2">
        <w:rPr>
          <w:bCs/>
          <w:color w:val="000000"/>
          <w:lang w:eastAsia="fr-FR"/>
        </w:rPr>
        <w:t>x</w:t>
      </w:r>
      <w:r w:rsidR="00BE0E90">
        <w:rPr>
          <w:bCs/>
          <w:color w:val="000000"/>
          <w:lang w:eastAsia="fr-FR"/>
        </w:rPr>
        <w:t xml:space="preserve"> </w:t>
      </w:r>
      <w:r w:rsidR="00982C6D" w:rsidRPr="0064646E">
        <w:rPr>
          <w:bCs/>
          <w:color w:val="000000"/>
          <w:lang w:eastAsia="fr-FR"/>
        </w:rPr>
        <w:t xml:space="preserve">» et « P », </w:t>
      </w:r>
      <w:r w:rsidR="00DF54EE">
        <w:rPr>
          <w:bCs/>
          <w:color w:val="000000"/>
          <w:lang w:eastAsia="fr-FR"/>
        </w:rPr>
        <w:t>sont insérés</w:t>
      </w:r>
      <w:r w:rsidR="00982C6D" w:rsidRPr="0064646E">
        <w:rPr>
          <w:bCs/>
          <w:color w:val="000000"/>
          <w:lang w:eastAsia="fr-FR"/>
        </w:rPr>
        <w:t xml:space="preserve"> les alinéas suivants :</w:t>
      </w:r>
    </w:p>
    <w:p w14:paraId="53CE1255" w14:textId="2ED20A2E" w:rsidR="00982C6D" w:rsidRPr="0064646E" w:rsidRDefault="00982C6D" w:rsidP="002B0DC1">
      <w:pPr>
        <w:jc w:val="both"/>
        <w:rPr>
          <w:bCs/>
          <w:color w:val="000000"/>
          <w:lang w:eastAsia="fr-FR"/>
        </w:rPr>
      </w:pPr>
      <w:r w:rsidRPr="0064646E">
        <w:rPr>
          <w:bCs/>
          <w:color w:val="000000"/>
          <w:lang w:eastAsia="fr-FR"/>
        </w:rPr>
        <w:t>« - « OCGT » : turbine à gaz à circuit ouvert</w:t>
      </w:r>
      <w:r w:rsidR="000C039C" w:rsidRPr="0064646E">
        <w:rPr>
          <w:bCs/>
          <w:color w:val="000000"/>
          <w:lang w:eastAsia="fr-FR"/>
        </w:rPr>
        <w:t> ;</w:t>
      </w:r>
    </w:p>
    <w:p w14:paraId="5DA61211" w14:textId="4BA35638" w:rsidR="00982C6D" w:rsidRPr="0064646E" w:rsidRDefault="00982C6D" w:rsidP="002B0DC1">
      <w:pPr>
        <w:jc w:val="both"/>
        <w:rPr>
          <w:bCs/>
          <w:color w:val="000000"/>
          <w:lang w:eastAsia="fr-FR"/>
        </w:rPr>
      </w:pPr>
      <w:r w:rsidRPr="0064646E">
        <w:rPr>
          <w:bCs/>
          <w:color w:val="000000"/>
          <w:lang w:eastAsia="fr-FR"/>
        </w:rPr>
        <w:t>« - « OTNOC » : conditions d’exploitation autres que normales ; »</w:t>
      </w:r>
      <w:r w:rsidR="00BE0E90">
        <w:rPr>
          <w:bCs/>
          <w:color w:val="000000"/>
          <w:lang w:eastAsia="fr-FR"/>
        </w:rPr>
        <w:t>.</w:t>
      </w:r>
    </w:p>
    <w:p w14:paraId="382206C3" w14:textId="77777777" w:rsidR="00982C6D" w:rsidRPr="0064646E" w:rsidRDefault="00982C6D" w:rsidP="002B0DC1">
      <w:pPr>
        <w:jc w:val="both"/>
        <w:rPr>
          <w:bCs/>
          <w:color w:val="000000"/>
          <w:lang w:eastAsia="fr-FR"/>
        </w:rPr>
      </w:pPr>
    </w:p>
    <w:p w14:paraId="29F3320E" w14:textId="78925C65" w:rsidR="00982C6D" w:rsidRPr="0064646E" w:rsidRDefault="006A72C4" w:rsidP="002B0DC1">
      <w:pPr>
        <w:jc w:val="both"/>
        <w:rPr>
          <w:bCs/>
          <w:color w:val="000000"/>
          <w:lang w:eastAsia="fr-FR"/>
        </w:rPr>
      </w:pPr>
      <w:r>
        <w:rPr>
          <w:bCs/>
          <w:color w:val="000000"/>
          <w:lang w:eastAsia="fr-FR"/>
        </w:rPr>
        <w:t>11°</w:t>
      </w:r>
      <w:r w:rsidR="00982C6D" w:rsidRPr="0064646E">
        <w:rPr>
          <w:bCs/>
          <w:color w:val="000000"/>
          <w:lang w:eastAsia="fr-FR"/>
        </w:rPr>
        <w:t xml:space="preserve"> Après le seizième alinéa, entre les acronymes « P » et « PM</w:t>
      </w:r>
      <w:r w:rsidR="00982C6D" w:rsidRPr="00CF4BE2">
        <w:rPr>
          <w:bCs/>
          <w:color w:val="000000"/>
          <w:vertAlign w:val="subscript"/>
          <w:lang w:eastAsia="fr-FR"/>
        </w:rPr>
        <w:t>10</w:t>
      </w:r>
      <w:r w:rsidR="00982C6D" w:rsidRPr="0064646E">
        <w:rPr>
          <w:bCs/>
          <w:color w:val="000000"/>
          <w:lang w:eastAsia="fr-FR"/>
        </w:rPr>
        <w:t> », est inséré l’alinéa suivant :</w:t>
      </w:r>
    </w:p>
    <w:p w14:paraId="2E5348D1" w14:textId="1137CF95" w:rsidR="00982C6D" w:rsidRPr="0064646E" w:rsidRDefault="00982C6D" w:rsidP="002B0DC1">
      <w:pPr>
        <w:jc w:val="both"/>
        <w:rPr>
          <w:bCs/>
          <w:color w:val="000000"/>
          <w:lang w:eastAsia="fr-FR"/>
        </w:rPr>
      </w:pPr>
      <w:r w:rsidRPr="0064646E">
        <w:rPr>
          <w:bCs/>
          <w:color w:val="000000"/>
          <w:lang w:eastAsia="fr-FR"/>
        </w:rPr>
        <w:t>« - « PCI » : pouvoir calorifique inférieur ; »</w:t>
      </w:r>
    </w:p>
    <w:p w14:paraId="252339A2" w14:textId="5CEC6A3B" w:rsidR="00982C6D" w:rsidRPr="0064646E" w:rsidRDefault="00982C6D" w:rsidP="002B0DC1">
      <w:pPr>
        <w:jc w:val="both"/>
        <w:rPr>
          <w:bCs/>
          <w:color w:val="000000"/>
          <w:lang w:eastAsia="fr-FR"/>
        </w:rPr>
      </w:pPr>
    </w:p>
    <w:p w14:paraId="603A5F16" w14:textId="171344EB" w:rsidR="00982C6D" w:rsidRPr="0064646E" w:rsidRDefault="006A72C4" w:rsidP="002B0DC1">
      <w:pPr>
        <w:jc w:val="both"/>
        <w:rPr>
          <w:bCs/>
          <w:color w:val="000000"/>
          <w:lang w:eastAsia="fr-FR"/>
        </w:rPr>
      </w:pPr>
      <w:r>
        <w:rPr>
          <w:bCs/>
          <w:color w:val="000000"/>
          <w:lang w:eastAsia="fr-FR"/>
        </w:rPr>
        <w:t>12°</w:t>
      </w:r>
      <w:r w:rsidR="00982C6D" w:rsidRPr="0064646E">
        <w:rPr>
          <w:bCs/>
          <w:color w:val="000000"/>
          <w:lang w:eastAsia="fr-FR"/>
        </w:rPr>
        <w:t xml:space="preserve"> Après le dix-septième alinéa, entre les acronymes « PM</w:t>
      </w:r>
      <w:r w:rsidR="00982C6D" w:rsidRPr="00CF4BE2">
        <w:rPr>
          <w:bCs/>
          <w:color w:val="000000"/>
          <w:vertAlign w:val="subscript"/>
          <w:lang w:eastAsia="fr-FR"/>
        </w:rPr>
        <w:t>10 </w:t>
      </w:r>
      <w:r w:rsidR="00982C6D" w:rsidRPr="0064646E">
        <w:rPr>
          <w:bCs/>
          <w:color w:val="000000"/>
          <w:lang w:eastAsia="fr-FR"/>
        </w:rPr>
        <w:t>» et « SO</w:t>
      </w:r>
      <w:r w:rsidR="00982C6D" w:rsidRPr="00CF4BE2">
        <w:rPr>
          <w:bCs/>
          <w:color w:val="000000"/>
          <w:vertAlign w:val="subscript"/>
          <w:lang w:eastAsia="fr-FR"/>
        </w:rPr>
        <w:t>2</w:t>
      </w:r>
      <w:r w:rsidR="00982C6D" w:rsidRPr="0064646E">
        <w:rPr>
          <w:bCs/>
          <w:color w:val="000000"/>
          <w:lang w:eastAsia="fr-FR"/>
        </w:rPr>
        <w:t xml:space="preserve"> », </w:t>
      </w:r>
      <w:r w:rsidR="00BE0E90">
        <w:rPr>
          <w:bCs/>
          <w:color w:val="000000"/>
          <w:lang w:eastAsia="fr-FR"/>
        </w:rPr>
        <w:t>sont</w:t>
      </w:r>
      <w:r w:rsidR="00BE0E90" w:rsidRPr="0064646E">
        <w:rPr>
          <w:bCs/>
          <w:color w:val="000000"/>
          <w:lang w:eastAsia="fr-FR"/>
        </w:rPr>
        <w:t xml:space="preserve"> </w:t>
      </w:r>
      <w:r w:rsidR="00982C6D" w:rsidRPr="0064646E">
        <w:rPr>
          <w:bCs/>
          <w:color w:val="000000"/>
          <w:lang w:eastAsia="fr-FR"/>
        </w:rPr>
        <w:t>inséré</w:t>
      </w:r>
      <w:r w:rsidR="00BE0E90">
        <w:rPr>
          <w:bCs/>
          <w:color w:val="000000"/>
          <w:lang w:eastAsia="fr-FR"/>
        </w:rPr>
        <w:t>s</w:t>
      </w:r>
      <w:r w:rsidR="00982C6D" w:rsidRPr="0064646E">
        <w:rPr>
          <w:bCs/>
          <w:color w:val="000000"/>
          <w:lang w:eastAsia="fr-FR"/>
        </w:rPr>
        <w:t xml:space="preserve"> les alinéas suivants :</w:t>
      </w:r>
    </w:p>
    <w:p w14:paraId="515FD9BA" w14:textId="73A4AED0" w:rsidR="00982C6D" w:rsidRDefault="00982C6D" w:rsidP="002B0DC1">
      <w:pPr>
        <w:jc w:val="both"/>
        <w:rPr>
          <w:bCs/>
          <w:color w:val="000000"/>
          <w:lang w:eastAsia="fr-FR"/>
        </w:rPr>
      </w:pPr>
      <w:r w:rsidRPr="0064646E">
        <w:rPr>
          <w:bCs/>
          <w:color w:val="000000"/>
          <w:lang w:eastAsia="fr-FR"/>
        </w:rPr>
        <w:t xml:space="preserve">« - « PEMS » : </w:t>
      </w:r>
      <w:r w:rsidR="009A621C">
        <w:rPr>
          <w:bCs/>
          <w:color w:val="000000"/>
          <w:lang w:eastAsia="fr-FR"/>
        </w:rPr>
        <w:t>s</w:t>
      </w:r>
      <w:r w:rsidR="009A621C" w:rsidRPr="0064646E">
        <w:rPr>
          <w:bCs/>
          <w:color w:val="000000"/>
          <w:lang w:eastAsia="fr-FR"/>
        </w:rPr>
        <w:t xml:space="preserve">ystème </w:t>
      </w:r>
      <w:r w:rsidRPr="0064646E">
        <w:rPr>
          <w:bCs/>
          <w:color w:val="000000"/>
          <w:lang w:eastAsia="fr-FR"/>
        </w:rPr>
        <w:t>prédictif de surveillance des émissions ;</w:t>
      </w:r>
    </w:p>
    <w:p w14:paraId="7E67AA5D" w14:textId="20901F53" w:rsidR="00857400" w:rsidRPr="0064646E" w:rsidRDefault="00857400" w:rsidP="002B0DC1">
      <w:pPr>
        <w:jc w:val="both"/>
        <w:rPr>
          <w:bCs/>
          <w:color w:val="000000"/>
          <w:lang w:eastAsia="fr-FR"/>
        </w:rPr>
      </w:pPr>
      <w:r>
        <w:rPr>
          <w:bCs/>
          <w:color w:val="000000"/>
          <w:lang w:eastAsia="fr-FR"/>
        </w:rPr>
        <w:t xml:space="preserve">« - « QAL » : </w:t>
      </w:r>
      <w:r w:rsidR="009A621C">
        <w:rPr>
          <w:bCs/>
          <w:color w:val="000000"/>
          <w:lang w:eastAsia="fr-FR"/>
        </w:rPr>
        <w:t>n</w:t>
      </w:r>
      <w:r>
        <w:rPr>
          <w:bCs/>
          <w:color w:val="000000"/>
          <w:lang w:eastAsia="fr-FR"/>
        </w:rPr>
        <w:t>iveau d’assurance qualité ;</w:t>
      </w:r>
    </w:p>
    <w:p w14:paraId="1474F111" w14:textId="62E17B0E" w:rsidR="00982C6D" w:rsidRPr="0064646E" w:rsidRDefault="00982C6D" w:rsidP="002B0DC1">
      <w:pPr>
        <w:jc w:val="both"/>
        <w:rPr>
          <w:bCs/>
          <w:color w:val="000000"/>
          <w:lang w:eastAsia="fr-FR"/>
        </w:rPr>
      </w:pPr>
      <w:r w:rsidRPr="0064646E">
        <w:rPr>
          <w:bCs/>
          <w:color w:val="000000"/>
          <w:lang w:eastAsia="fr-FR"/>
        </w:rPr>
        <w:t xml:space="preserve">« - « SCR » : </w:t>
      </w:r>
      <w:r w:rsidR="009A621C">
        <w:rPr>
          <w:bCs/>
          <w:color w:val="000000"/>
          <w:lang w:eastAsia="fr-FR"/>
        </w:rPr>
        <w:t>r</w:t>
      </w:r>
      <w:r w:rsidR="009A621C" w:rsidRPr="0064646E">
        <w:rPr>
          <w:bCs/>
          <w:color w:val="000000"/>
          <w:lang w:eastAsia="fr-FR"/>
        </w:rPr>
        <w:t xml:space="preserve">éduction </w:t>
      </w:r>
      <w:r w:rsidRPr="0064646E">
        <w:rPr>
          <w:bCs/>
          <w:color w:val="000000"/>
          <w:lang w:eastAsia="fr-FR"/>
        </w:rPr>
        <w:t>catalytique sélective ;</w:t>
      </w:r>
    </w:p>
    <w:p w14:paraId="6550DC76" w14:textId="7D580EDE" w:rsidR="00982C6D" w:rsidRPr="0064646E" w:rsidRDefault="00982C6D" w:rsidP="002B0DC1">
      <w:pPr>
        <w:jc w:val="both"/>
        <w:rPr>
          <w:bCs/>
          <w:color w:val="000000"/>
          <w:lang w:eastAsia="fr-FR"/>
        </w:rPr>
      </w:pPr>
      <w:r w:rsidRPr="0064646E">
        <w:rPr>
          <w:bCs/>
          <w:color w:val="000000"/>
          <w:lang w:eastAsia="fr-FR"/>
        </w:rPr>
        <w:t>« - « SME » : système de management environnemental ;</w:t>
      </w:r>
    </w:p>
    <w:p w14:paraId="7FEF9B18" w14:textId="1F047C6F" w:rsidR="00982C6D" w:rsidRPr="00982C6D" w:rsidRDefault="00982C6D" w:rsidP="002B0DC1">
      <w:pPr>
        <w:jc w:val="both"/>
        <w:rPr>
          <w:color w:val="000000"/>
          <w:lang w:eastAsia="fr-FR"/>
        </w:rPr>
      </w:pPr>
      <w:r w:rsidRPr="00982C6D">
        <w:rPr>
          <w:color w:val="000000"/>
          <w:lang w:eastAsia="fr-FR"/>
        </w:rPr>
        <w:t>« - « SNCR » : réduction non catalytique sélective ; ».</w:t>
      </w:r>
    </w:p>
    <w:p w14:paraId="74B4367E" w14:textId="4EC9F9E6" w:rsidR="00982C6D" w:rsidRDefault="00982C6D" w:rsidP="002B0DC1">
      <w:pPr>
        <w:jc w:val="both"/>
        <w:rPr>
          <w:color w:val="000000"/>
          <w:lang w:eastAsia="fr-FR"/>
        </w:rPr>
      </w:pPr>
    </w:p>
    <w:p w14:paraId="3584CC2A" w14:textId="0753EA6E" w:rsidR="000C039C" w:rsidRPr="000C039C" w:rsidRDefault="000C039C" w:rsidP="002B0DC1">
      <w:pPr>
        <w:jc w:val="center"/>
        <w:rPr>
          <w:b/>
          <w:bCs/>
          <w:i/>
          <w:iCs/>
          <w:color w:val="000000"/>
          <w:lang w:eastAsia="fr-FR"/>
        </w:rPr>
      </w:pPr>
      <w:r w:rsidRPr="000C039C">
        <w:rPr>
          <w:b/>
          <w:bCs/>
        </w:rPr>
        <w:t xml:space="preserve">Article </w:t>
      </w:r>
      <w:r w:rsidRPr="000C039C">
        <w:rPr>
          <w:b/>
          <w:bCs/>
          <w:i/>
          <w:iCs/>
        </w:rPr>
        <w:fldChar w:fldCharType="begin"/>
      </w:r>
      <w:r w:rsidRPr="000C039C">
        <w:rPr>
          <w:b/>
          <w:bCs/>
        </w:rPr>
        <w:instrText xml:space="preserve"> SEQ Article \* ARABIC </w:instrText>
      </w:r>
      <w:r w:rsidRPr="000C039C">
        <w:rPr>
          <w:b/>
          <w:bCs/>
          <w:i/>
          <w:iCs/>
        </w:rPr>
        <w:fldChar w:fldCharType="separate"/>
      </w:r>
      <w:r w:rsidR="00871300">
        <w:rPr>
          <w:b/>
          <w:bCs/>
          <w:noProof/>
        </w:rPr>
        <w:t>3</w:t>
      </w:r>
      <w:r w:rsidRPr="000C039C">
        <w:rPr>
          <w:b/>
          <w:bCs/>
          <w:i/>
          <w:iCs/>
        </w:rPr>
        <w:fldChar w:fldCharType="end"/>
      </w:r>
    </w:p>
    <w:p w14:paraId="7343B0AA" w14:textId="77777777" w:rsidR="00EF3ABD" w:rsidRDefault="00EF3ABD" w:rsidP="002B0DC1">
      <w:pPr>
        <w:jc w:val="both"/>
        <w:rPr>
          <w:color w:val="000000"/>
          <w:lang w:eastAsia="fr-FR"/>
        </w:rPr>
      </w:pPr>
      <w:bookmarkStart w:id="1" w:name="_Hlk170141193"/>
    </w:p>
    <w:p w14:paraId="2B38E372" w14:textId="12254A34" w:rsidR="00982C6D" w:rsidRDefault="00982C6D" w:rsidP="002B0DC1">
      <w:pPr>
        <w:jc w:val="both"/>
        <w:rPr>
          <w:color w:val="000000"/>
          <w:lang w:eastAsia="fr-FR"/>
        </w:rPr>
      </w:pPr>
      <w:r>
        <w:rPr>
          <w:color w:val="000000"/>
          <w:lang w:eastAsia="fr-FR"/>
        </w:rPr>
        <w:t>L’intitulé de la section 2</w:t>
      </w:r>
      <w:r w:rsidR="00EF3ABD">
        <w:rPr>
          <w:color w:val="000000"/>
          <w:lang w:eastAsia="fr-FR"/>
        </w:rPr>
        <w:t>, du chapitre 1</w:t>
      </w:r>
      <w:r w:rsidR="00EF3ABD" w:rsidRPr="00EF3ABD">
        <w:rPr>
          <w:color w:val="000000"/>
          <w:vertAlign w:val="superscript"/>
          <w:lang w:eastAsia="fr-FR"/>
        </w:rPr>
        <w:t>er</w:t>
      </w:r>
      <w:r w:rsidR="00EF3ABD">
        <w:rPr>
          <w:color w:val="000000"/>
          <w:lang w:eastAsia="fr-FR"/>
        </w:rPr>
        <w:t xml:space="preserve"> du titre </w:t>
      </w:r>
      <w:r w:rsidR="00BE0E90">
        <w:rPr>
          <w:color w:val="000000"/>
          <w:lang w:eastAsia="fr-FR"/>
        </w:rPr>
        <w:t>I</w:t>
      </w:r>
      <w:r w:rsidR="00BE0E90" w:rsidRPr="00EF3ABD">
        <w:rPr>
          <w:color w:val="000000"/>
          <w:vertAlign w:val="superscript"/>
          <w:lang w:eastAsia="fr-FR"/>
        </w:rPr>
        <w:t>er</w:t>
      </w:r>
      <w:r w:rsidR="00BE0E90">
        <w:rPr>
          <w:color w:val="000000"/>
          <w:lang w:eastAsia="fr-FR"/>
        </w:rPr>
        <w:t xml:space="preserve"> </w:t>
      </w:r>
      <w:r>
        <w:rPr>
          <w:color w:val="000000"/>
          <w:lang w:eastAsia="fr-FR"/>
        </w:rPr>
        <w:t>de l’arrêté susvisé est modifié ainsi :</w:t>
      </w:r>
    </w:p>
    <w:p w14:paraId="0A75D32F" w14:textId="12C26F30" w:rsidR="00982C6D" w:rsidRDefault="00982C6D" w:rsidP="002B0DC1">
      <w:pPr>
        <w:jc w:val="both"/>
        <w:rPr>
          <w:color w:val="000000"/>
          <w:lang w:eastAsia="fr-FR"/>
        </w:rPr>
      </w:pPr>
      <w:r w:rsidRPr="000C039C">
        <w:rPr>
          <w:color w:val="000000"/>
          <w:lang w:eastAsia="fr-FR"/>
        </w:rPr>
        <w:t xml:space="preserve">« Section 2 : </w:t>
      </w:r>
      <w:r w:rsidR="00BE0E90">
        <w:rPr>
          <w:color w:val="000000"/>
          <w:lang w:eastAsia="fr-FR"/>
        </w:rPr>
        <w:t>c</w:t>
      </w:r>
      <w:r w:rsidR="00BE0E90" w:rsidRPr="000C039C">
        <w:rPr>
          <w:color w:val="000000"/>
          <w:lang w:eastAsia="fr-FR"/>
        </w:rPr>
        <w:t>hamp</w:t>
      </w:r>
      <w:r w:rsidR="000C039C" w:rsidRPr="000C039C">
        <w:rPr>
          <w:color w:val="000000"/>
          <w:lang w:eastAsia="fr-FR"/>
        </w:rPr>
        <w:t>,</w:t>
      </w:r>
      <w:r w:rsidRPr="000C039C">
        <w:rPr>
          <w:color w:val="000000"/>
          <w:lang w:eastAsia="fr-FR"/>
        </w:rPr>
        <w:t xml:space="preserve"> conditions d’application et généralités (Articles 3 à 5-2) »</w:t>
      </w:r>
      <w:r w:rsidR="000C039C" w:rsidRPr="000C039C">
        <w:rPr>
          <w:color w:val="000000"/>
          <w:lang w:eastAsia="fr-FR"/>
        </w:rPr>
        <w:t>.</w:t>
      </w:r>
    </w:p>
    <w:bookmarkEnd w:id="1"/>
    <w:p w14:paraId="56E3FBE2" w14:textId="0342F313" w:rsidR="000C039C" w:rsidRDefault="000C039C" w:rsidP="002B0DC1">
      <w:pPr>
        <w:jc w:val="both"/>
        <w:rPr>
          <w:color w:val="000000"/>
          <w:lang w:eastAsia="fr-FR"/>
        </w:rPr>
      </w:pPr>
    </w:p>
    <w:p w14:paraId="3A73CC43" w14:textId="69A4A0FB" w:rsidR="000C039C" w:rsidRPr="000C039C" w:rsidRDefault="000C039C" w:rsidP="002B0DC1">
      <w:pPr>
        <w:jc w:val="center"/>
        <w:rPr>
          <w:b/>
          <w:bCs/>
          <w:i/>
          <w:iCs/>
          <w:color w:val="000000"/>
          <w:lang w:eastAsia="fr-FR"/>
        </w:rPr>
      </w:pPr>
      <w:r w:rsidRPr="000C039C">
        <w:rPr>
          <w:b/>
          <w:bCs/>
        </w:rPr>
        <w:t xml:space="preserve">Article </w:t>
      </w:r>
      <w:r w:rsidRPr="000C039C">
        <w:rPr>
          <w:b/>
          <w:bCs/>
          <w:i/>
          <w:iCs/>
        </w:rPr>
        <w:fldChar w:fldCharType="begin"/>
      </w:r>
      <w:r w:rsidRPr="000C039C">
        <w:rPr>
          <w:b/>
          <w:bCs/>
        </w:rPr>
        <w:instrText xml:space="preserve"> SEQ Article \* ARABIC </w:instrText>
      </w:r>
      <w:r w:rsidRPr="000C039C">
        <w:rPr>
          <w:b/>
          <w:bCs/>
          <w:i/>
          <w:iCs/>
        </w:rPr>
        <w:fldChar w:fldCharType="separate"/>
      </w:r>
      <w:r w:rsidR="00871300">
        <w:rPr>
          <w:b/>
          <w:bCs/>
          <w:noProof/>
        </w:rPr>
        <w:t>4</w:t>
      </w:r>
      <w:r w:rsidRPr="000C039C">
        <w:rPr>
          <w:b/>
          <w:bCs/>
          <w:i/>
          <w:iCs/>
        </w:rPr>
        <w:fldChar w:fldCharType="end"/>
      </w:r>
    </w:p>
    <w:p w14:paraId="2B9A3A3C" w14:textId="1BF8B3F7" w:rsidR="00982C6D" w:rsidRDefault="00982C6D" w:rsidP="002B0DC1">
      <w:pPr>
        <w:jc w:val="both"/>
        <w:rPr>
          <w:color w:val="000000"/>
          <w:lang w:eastAsia="fr-FR"/>
        </w:rPr>
      </w:pPr>
    </w:p>
    <w:p w14:paraId="2F1CC8B3" w14:textId="600DE190" w:rsidR="00982C6D" w:rsidRDefault="00982C6D" w:rsidP="002B0DC1">
      <w:pPr>
        <w:jc w:val="both"/>
        <w:rPr>
          <w:color w:val="000000"/>
          <w:lang w:eastAsia="fr-FR"/>
        </w:rPr>
      </w:pPr>
      <w:r w:rsidRPr="00645CFB">
        <w:rPr>
          <w:color w:val="000000"/>
          <w:lang w:eastAsia="fr-FR"/>
        </w:rPr>
        <w:t>L’article 3 de l’arrêté</w:t>
      </w:r>
      <w:r w:rsidRPr="000C039C">
        <w:rPr>
          <w:color w:val="000000"/>
          <w:lang w:eastAsia="fr-FR"/>
        </w:rPr>
        <w:t xml:space="preserve"> susvisé est ainsi modifié :</w:t>
      </w:r>
    </w:p>
    <w:p w14:paraId="63B89027" w14:textId="3D90721D" w:rsidR="000C039C" w:rsidRPr="0064646E" w:rsidRDefault="006A72C4" w:rsidP="002B0DC1">
      <w:pPr>
        <w:suppressAutoHyphens w:val="0"/>
        <w:spacing w:before="100" w:beforeAutospacing="1" w:after="119"/>
        <w:jc w:val="both"/>
        <w:rPr>
          <w:color w:val="000000"/>
          <w:lang w:eastAsia="fr-FR"/>
        </w:rPr>
      </w:pPr>
      <w:r>
        <w:rPr>
          <w:color w:val="000000"/>
          <w:lang w:eastAsia="fr-FR"/>
        </w:rPr>
        <w:t>1°</w:t>
      </w:r>
      <w:r w:rsidR="000C039C" w:rsidRPr="0064646E">
        <w:rPr>
          <w:color w:val="000000"/>
          <w:lang w:eastAsia="fr-FR"/>
        </w:rPr>
        <w:t xml:space="preserve"> </w:t>
      </w:r>
      <w:r w:rsidR="00CF4BE2">
        <w:rPr>
          <w:color w:val="000000"/>
          <w:lang w:eastAsia="fr-FR"/>
        </w:rPr>
        <w:t xml:space="preserve">Un </w:t>
      </w:r>
      <w:r w:rsidR="00CF4BE2" w:rsidRPr="0064646E">
        <w:rPr>
          <w:color w:val="000000"/>
          <w:lang w:eastAsia="fr-FR"/>
        </w:rPr>
        <w:t xml:space="preserve">alinéa </w:t>
      </w:r>
      <w:r w:rsidR="000C039C" w:rsidRPr="0064646E">
        <w:rPr>
          <w:color w:val="000000"/>
          <w:lang w:eastAsia="fr-FR"/>
        </w:rPr>
        <w:t xml:space="preserve">« Champ d’application, entrée en vigueur, spécificités » </w:t>
      </w:r>
      <w:r w:rsidR="00424C89" w:rsidRPr="0064646E">
        <w:rPr>
          <w:color w:val="000000"/>
          <w:lang w:eastAsia="fr-FR"/>
        </w:rPr>
        <w:t>e</w:t>
      </w:r>
      <w:r w:rsidR="000C039C" w:rsidRPr="0064646E">
        <w:rPr>
          <w:color w:val="000000"/>
          <w:lang w:eastAsia="fr-FR"/>
        </w:rPr>
        <w:t>st inséré avant le premier alinéa.</w:t>
      </w:r>
    </w:p>
    <w:p w14:paraId="10406352" w14:textId="5F04EE7D" w:rsidR="000C039C" w:rsidRPr="0064646E" w:rsidRDefault="006A72C4" w:rsidP="002B0DC1">
      <w:pPr>
        <w:spacing w:before="100" w:beforeAutospacing="1" w:after="120"/>
        <w:jc w:val="both"/>
        <w:rPr>
          <w:color w:val="000000"/>
          <w:lang w:eastAsia="fr-FR"/>
        </w:rPr>
      </w:pPr>
      <w:r>
        <w:rPr>
          <w:color w:val="000000"/>
          <w:lang w:eastAsia="fr-FR"/>
        </w:rPr>
        <w:t>2°</w:t>
      </w:r>
      <w:r w:rsidR="000C039C" w:rsidRPr="0064646E">
        <w:rPr>
          <w:color w:val="000000"/>
          <w:lang w:eastAsia="fr-FR"/>
        </w:rPr>
        <w:t xml:space="preserve"> </w:t>
      </w:r>
      <w:r w:rsidR="00DB03CA" w:rsidRPr="0064646E">
        <w:rPr>
          <w:color w:val="000000"/>
          <w:lang w:eastAsia="fr-FR"/>
        </w:rPr>
        <w:t>Le IV de l’article 3 est modifié comme suit :</w:t>
      </w:r>
    </w:p>
    <w:p w14:paraId="50DA7C85" w14:textId="4F46A755" w:rsidR="00DB03CA" w:rsidRPr="00F24EAF" w:rsidRDefault="00DB03CA" w:rsidP="002B0DC1">
      <w:pPr>
        <w:pStyle w:val="Titredetableau"/>
        <w:numPr>
          <w:ilvl w:val="0"/>
          <w:numId w:val="5"/>
        </w:numPr>
        <w:spacing w:before="100" w:beforeAutospacing="1" w:after="120"/>
        <w:jc w:val="both"/>
        <w:rPr>
          <w:b w:val="0"/>
          <w:bCs w:val="0"/>
          <w:color w:val="000000"/>
        </w:rPr>
      </w:pPr>
      <w:proofErr w:type="gramStart"/>
      <w:r w:rsidRPr="00F24EAF">
        <w:rPr>
          <w:b w:val="0"/>
          <w:bCs w:val="0"/>
          <w:color w:val="000000"/>
        </w:rPr>
        <w:t>les</w:t>
      </w:r>
      <w:proofErr w:type="gramEnd"/>
      <w:r w:rsidRPr="00F24EAF">
        <w:rPr>
          <w:b w:val="0"/>
          <w:bCs w:val="0"/>
          <w:color w:val="000000"/>
        </w:rPr>
        <w:t xml:space="preserve"> mots</w:t>
      </w:r>
      <w:r w:rsidR="00CF4BE2">
        <w:rPr>
          <w:b w:val="0"/>
          <w:bCs w:val="0"/>
          <w:color w:val="000000"/>
        </w:rPr>
        <w:t> :</w:t>
      </w:r>
      <w:r w:rsidRPr="00F24EAF">
        <w:rPr>
          <w:b w:val="0"/>
          <w:bCs w:val="0"/>
          <w:color w:val="000000"/>
        </w:rPr>
        <w:t> « aux installations de combustion pour lesquels » sont remplacés par les mots</w:t>
      </w:r>
      <w:r w:rsidR="00BE0E90">
        <w:rPr>
          <w:b w:val="0"/>
          <w:bCs w:val="0"/>
          <w:color w:val="000000"/>
        </w:rPr>
        <w:t xml:space="preserve"> : </w:t>
      </w:r>
      <w:r w:rsidRPr="00F24EAF">
        <w:rPr>
          <w:b w:val="0"/>
          <w:bCs w:val="0"/>
          <w:color w:val="000000"/>
        </w:rPr>
        <w:t>« aux installations de combustion pour lesquelles » ;</w:t>
      </w:r>
    </w:p>
    <w:p w14:paraId="4F37C22F" w14:textId="6745CDEC" w:rsidR="00A450A9" w:rsidRPr="00F24EAF" w:rsidRDefault="00DB03CA" w:rsidP="002B0DC1">
      <w:pPr>
        <w:pStyle w:val="Titredetableau"/>
        <w:numPr>
          <w:ilvl w:val="0"/>
          <w:numId w:val="5"/>
        </w:numPr>
        <w:spacing w:before="100" w:beforeAutospacing="1" w:after="120"/>
        <w:jc w:val="both"/>
        <w:rPr>
          <w:b w:val="0"/>
          <w:bCs w:val="0"/>
          <w:color w:val="000000"/>
        </w:rPr>
      </w:pPr>
      <w:proofErr w:type="gramStart"/>
      <w:r w:rsidRPr="00F24EAF">
        <w:rPr>
          <w:b w:val="0"/>
          <w:bCs w:val="0"/>
          <w:color w:val="000000"/>
        </w:rPr>
        <w:t>après</w:t>
      </w:r>
      <w:proofErr w:type="gramEnd"/>
      <w:r w:rsidRPr="00F24EAF">
        <w:rPr>
          <w:b w:val="0"/>
          <w:bCs w:val="0"/>
          <w:color w:val="000000"/>
        </w:rPr>
        <w:t xml:space="preserve"> les mots</w:t>
      </w:r>
      <w:r w:rsidR="00CF4BE2">
        <w:rPr>
          <w:b w:val="0"/>
          <w:bCs w:val="0"/>
          <w:color w:val="000000"/>
        </w:rPr>
        <w:t> :</w:t>
      </w:r>
      <w:r w:rsidRPr="00F24EAF">
        <w:rPr>
          <w:b w:val="0"/>
          <w:bCs w:val="0"/>
          <w:color w:val="000000"/>
        </w:rPr>
        <w:t> « de l’arrêté du 26 août 2013 » est inséré le mot « relatif » ;</w:t>
      </w:r>
    </w:p>
    <w:p w14:paraId="17A0644C" w14:textId="26E0EEFC" w:rsidR="003456E3" w:rsidRDefault="00A450A9" w:rsidP="002B0DC1">
      <w:pPr>
        <w:pStyle w:val="Titredetableau"/>
        <w:numPr>
          <w:ilvl w:val="0"/>
          <w:numId w:val="5"/>
        </w:numPr>
        <w:spacing w:before="100" w:beforeAutospacing="1"/>
        <w:ind w:left="714" w:hanging="357"/>
        <w:jc w:val="both"/>
        <w:rPr>
          <w:b w:val="0"/>
          <w:bCs w:val="0"/>
          <w:color w:val="000000"/>
        </w:rPr>
      </w:pPr>
      <w:r w:rsidRPr="002B0DC1">
        <w:rPr>
          <w:b w:val="0"/>
          <w:bCs w:val="0"/>
          <w:color w:val="000000"/>
        </w:rPr>
        <w:t>l</w:t>
      </w:r>
      <w:r w:rsidR="00DB03CA" w:rsidRPr="002B0DC1">
        <w:rPr>
          <w:b w:val="0"/>
          <w:bCs w:val="0"/>
          <w:color w:val="000000"/>
        </w:rPr>
        <w:t xml:space="preserve">es </w:t>
      </w:r>
      <w:r w:rsidR="00CF4BE2">
        <w:rPr>
          <w:b w:val="0"/>
          <w:bCs w:val="0"/>
          <w:color w:val="000000"/>
        </w:rPr>
        <w:t xml:space="preserve">phrases : </w:t>
      </w:r>
      <w:r w:rsidRPr="002B0DC1">
        <w:rPr>
          <w:b w:val="0"/>
          <w:bCs w:val="0"/>
          <w:color w:val="000000"/>
        </w:rPr>
        <w:t>« Au-delà de 17 500 heures d'exploitation ou après le 31 décembre 2023, l'exploitation de ces installations est possible sous réserve d'obtenir une nouvelle autorisation du préfet qui nécessite le dépôt d'une nouvelle demande prévue à l'</w:t>
      </w:r>
      <w:hyperlink r:id="rId9" w:tooltip="Code de l" w:history="1">
        <w:r w:rsidRPr="002B0DC1">
          <w:rPr>
            <w:rStyle w:val="SNTimbreCar"/>
            <w:b w:val="0"/>
            <w:bCs w:val="0"/>
            <w:color w:val="4A5E81"/>
          </w:rPr>
          <w:t>article R. 181-46 du code de l'environnement</w:t>
        </w:r>
      </w:hyperlink>
      <w:r w:rsidRPr="002B0DC1">
        <w:rPr>
          <w:b w:val="0"/>
          <w:bCs w:val="0"/>
          <w:color w:val="000000"/>
        </w:rPr>
        <w:t>. L'installation est alors considérée comme une installation nouvelle et elle est soumise aux dispositions du présent arrêté en fonction de la date de cette dernière autorisation. » sont remplacé</w:t>
      </w:r>
      <w:r w:rsidR="00CF4BE2">
        <w:rPr>
          <w:b w:val="0"/>
          <w:bCs w:val="0"/>
          <w:color w:val="000000"/>
        </w:rPr>
        <w:t>e</w:t>
      </w:r>
      <w:r w:rsidRPr="002B0DC1">
        <w:rPr>
          <w:b w:val="0"/>
          <w:bCs w:val="0"/>
          <w:color w:val="000000"/>
        </w:rPr>
        <w:t xml:space="preserve">s par les </w:t>
      </w:r>
      <w:r w:rsidR="00CF4BE2">
        <w:rPr>
          <w:b w:val="0"/>
          <w:bCs w:val="0"/>
          <w:color w:val="000000"/>
        </w:rPr>
        <w:t>phrases :</w:t>
      </w:r>
      <w:r w:rsidR="00CF4BE2" w:rsidRPr="002B0DC1">
        <w:rPr>
          <w:b w:val="0"/>
          <w:bCs w:val="0"/>
          <w:color w:val="000000"/>
        </w:rPr>
        <w:t xml:space="preserve"> </w:t>
      </w:r>
      <w:r w:rsidR="00DB03CA" w:rsidRPr="002B0DC1">
        <w:rPr>
          <w:b w:val="0"/>
          <w:bCs w:val="0"/>
          <w:color w:val="000000"/>
        </w:rPr>
        <w:t>« </w:t>
      </w:r>
      <w:r w:rsidRPr="002B0DC1">
        <w:rPr>
          <w:b w:val="0"/>
          <w:bCs w:val="0"/>
          <w:color w:val="000000"/>
        </w:rPr>
        <w:t>Au-delà de 17 500 heures d'exploitation ou après le 31 décembre 2023, l'exploitation de ces installations est possible sous réserve d'obtenir une nouvelle autorisation du préfet ou une actualisation de l’arrêté préfectoral qui nécessite le dépôt d'une nouvelle demande ou d’un dossier de porter à connaissance, conformément aux dispositions prévues à l'</w:t>
      </w:r>
      <w:hyperlink r:id="rId10" w:history="1">
        <w:r w:rsidRPr="002B0DC1">
          <w:rPr>
            <w:b w:val="0"/>
            <w:bCs w:val="0"/>
            <w:color w:val="4A5E81"/>
            <w:u w:val="single"/>
          </w:rPr>
          <w:t>article R. 181-46 du code de l'environnement</w:t>
        </w:r>
      </w:hyperlink>
      <w:r w:rsidRPr="002B0DC1">
        <w:rPr>
          <w:b w:val="0"/>
          <w:bCs w:val="0"/>
          <w:color w:val="000000"/>
        </w:rPr>
        <w:t> . L'installation est alors soumise</w:t>
      </w:r>
      <w:r w:rsidRPr="00F24EAF">
        <w:rPr>
          <w:b w:val="0"/>
          <w:bCs w:val="0"/>
          <w:color w:val="000000"/>
        </w:rPr>
        <w:t xml:space="preserve"> aux dispositions du présent arrêté en fonction de la date de cette dernière autorisation ou de ce dernier arrêté préfectoral. » </w:t>
      </w:r>
    </w:p>
    <w:p w14:paraId="1E49FC30" w14:textId="77777777" w:rsidR="003456E3" w:rsidRPr="003456E3" w:rsidRDefault="003456E3" w:rsidP="002B0DC1">
      <w:pPr>
        <w:pStyle w:val="Titredetableau"/>
        <w:ind w:left="357"/>
        <w:jc w:val="both"/>
        <w:rPr>
          <w:b w:val="0"/>
          <w:bCs w:val="0"/>
          <w:color w:val="000000"/>
        </w:rPr>
      </w:pPr>
    </w:p>
    <w:p w14:paraId="42897742" w14:textId="64628055" w:rsidR="004A2E1D" w:rsidRDefault="006A72C4" w:rsidP="002B0DC1">
      <w:pPr>
        <w:pStyle w:val="Titredetableau"/>
        <w:jc w:val="both"/>
        <w:rPr>
          <w:b w:val="0"/>
          <w:bCs w:val="0"/>
          <w:color w:val="000000"/>
        </w:rPr>
      </w:pPr>
      <w:r>
        <w:rPr>
          <w:b w:val="0"/>
          <w:bCs w:val="0"/>
          <w:color w:val="000000"/>
        </w:rPr>
        <w:t>3°</w:t>
      </w:r>
      <w:r w:rsidR="00731C30" w:rsidRPr="00731C30">
        <w:rPr>
          <w:b w:val="0"/>
          <w:bCs w:val="0"/>
          <w:color w:val="000000"/>
        </w:rPr>
        <w:t xml:space="preserve"> Le</w:t>
      </w:r>
      <w:r w:rsidR="004A2E1D" w:rsidRPr="00731C30">
        <w:rPr>
          <w:b w:val="0"/>
          <w:bCs w:val="0"/>
          <w:color w:val="000000"/>
        </w:rPr>
        <w:t xml:space="preserve"> V</w:t>
      </w:r>
      <w:r w:rsidR="00731C30" w:rsidRPr="00731C30">
        <w:rPr>
          <w:b w:val="0"/>
          <w:bCs w:val="0"/>
          <w:color w:val="000000"/>
        </w:rPr>
        <w:t xml:space="preserve"> de l’article 3 est modifié comme suit :</w:t>
      </w:r>
    </w:p>
    <w:p w14:paraId="44F4F5B2" w14:textId="010BE91E" w:rsidR="00731C30" w:rsidRDefault="00020FF2" w:rsidP="002B0DC1">
      <w:pPr>
        <w:pStyle w:val="Titredetableau"/>
        <w:numPr>
          <w:ilvl w:val="0"/>
          <w:numId w:val="5"/>
        </w:numPr>
        <w:ind w:left="714" w:hanging="357"/>
        <w:jc w:val="both"/>
        <w:rPr>
          <w:b w:val="0"/>
          <w:bCs w:val="0"/>
          <w:color w:val="000000"/>
        </w:rPr>
      </w:pPr>
      <w:proofErr w:type="gramStart"/>
      <w:r>
        <w:rPr>
          <w:b w:val="0"/>
          <w:bCs w:val="0"/>
          <w:color w:val="000000"/>
        </w:rPr>
        <w:t>les</w:t>
      </w:r>
      <w:proofErr w:type="gramEnd"/>
      <w:r>
        <w:rPr>
          <w:b w:val="0"/>
          <w:bCs w:val="0"/>
          <w:color w:val="000000"/>
        </w:rPr>
        <w:t xml:space="preserve"> </w:t>
      </w:r>
      <w:r w:rsidR="00731C30">
        <w:rPr>
          <w:b w:val="0"/>
          <w:bCs w:val="0"/>
          <w:color w:val="000000"/>
        </w:rPr>
        <w:t>mots : « L’ensemble des » sont remplacés par les mots : « Les » ;</w:t>
      </w:r>
    </w:p>
    <w:p w14:paraId="0C06635F" w14:textId="40FAC5FE" w:rsidR="00731C30" w:rsidRDefault="00020FF2" w:rsidP="002B0DC1">
      <w:pPr>
        <w:pStyle w:val="Titredetableau"/>
        <w:numPr>
          <w:ilvl w:val="0"/>
          <w:numId w:val="5"/>
        </w:numPr>
        <w:jc w:val="both"/>
        <w:rPr>
          <w:b w:val="0"/>
          <w:bCs w:val="0"/>
          <w:color w:val="000000"/>
        </w:rPr>
      </w:pPr>
      <w:proofErr w:type="gramStart"/>
      <w:r>
        <w:rPr>
          <w:b w:val="0"/>
          <w:bCs w:val="0"/>
          <w:color w:val="000000"/>
        </w:rPr>
        <w:t>les</w:t>
      </w:r>
      <w:proofErr w:type="gramEnd"/>
      <w:r>
        <w:rPr>
          <w:b w:val="0"/>
          <w:bCs w:val="0"/>
          <w:color w:val="000000"/>
        </w:rPr>
        <w:t xml:space="preserve"> </w:t>
      </w:r>
      <w:r w:rsidR="00731C30">
        <w:rPr>
          <w:b w:val="0"/>
          <w:bCs w:val="0"/>
          <w:color w:val="000000"/>
        </w:rPr>
        <w:t>mots : « y compris aux appareils d’une puissance thermique nominale inférieure à 15 MW. » sont supprimés.</w:t>
      </w:r>
    </w:p>
    <w:p w14:paraId="64C4E477" w14:textId="77777777" w:rsidR="00B3743E" w:rsidRDefault="00B3743E" w:rsidP="00B3743E">
      <w:pPr>
        <w:pStyle w:val="Titredetableau"/>
        <w:ind w:left="360"/>
        <w:jc w:val="both"/>
        <w:rPr>
          <w:b w:val="0"/>
          <w:bCs w:val="0"/>
          <w:color w:val="000000"/>
        </w:rPr>
      </w:pPr>
    </w:p>
    <w:p w14:paraId="1056AAFE" w14:textId="5869811A" w:rsidR="00A450A9" w:rsidRPr="0064646E" w:rsidRDefault="006A72C4" w:rsidP="002B0DC1">
      <w:pPr>
        <w:jc w:val="both"/>
      </w:pPr>
      <w:r>
        <w:t>4°</w:t>
      </w:r>
      <w:r w:rsidR="00A450A9" w:rsidRPr="0064646E">
        <w:t xml:space="preserve"> Le VI de l’article 3 est supprimé.</w:t>
      </w:r>
    </w:p>
    <w:p w14:paraId="2E7841A0" w14:textId="77777777" w:rsidR="00A450A9" w:rsidRPr="0064646E" w:rsidRDefault="00A450A9" w:rsidP="002B0DC1">
      <w:pPr>
        <w:jc w:val="both"/>
      </w:pPr>
    </w:p>
    <w:p w14:paraId="354DFF61" w14:textId="1D48D6E6" w:rsidR="004A7E8A" w:rsidRPr="007F0619" w:rsidRDefault="006A72C4" w:rsidP="002B0DC1">
      <w:pPr>
        <w:jc w:val="both"/>
      </w:pPr>
      <w:r>
        <w:t>5°</w:t>
      </w:r>
      <w:r w:rsidR="00A450A9" w:rsidRPr="0064646E">
        <w:t xml:space="preserve"> </w:t>
      </w:r>
      <w:r w:rsidR="001565D6">
        <w:t>L’article 3 est complété par les alinéas suivants :</w:t>
      </w:r>
    </w:p>
    <w:p w14:paraId="3001592C" w14:textId="3C57FBF1" w:rsidR="00A450A9" w:rsidRPr="00731C30" w:rsidRDefault="00A450A9" w:rsidP="00CF4BE2">
      <w:pPr>
        <w:jc w:val="both"/>
        <w:rPr>
          <w:color w:val="000000"/>
          <w:lang w:eastAsia="fr-FR"/>
        </w:rPr>
      </w:pPr>
      <w:r w:rsidRPr="00731C30">
        <w:t>« </w:t>
      </w:r>
      <w:r w:rsidRPr="00731C30">
        <w:rPr>
          <w:color w:val="000000"/>
          <w:lang w:eastAsia="fr-FR"/>
        </w:rPr>
        <w:t>VI. – Les installations entrant dans le champ d’application du présent arrêté appliquent la décision d’exécution 2021/</w:t>
      </w:r>
      <w:r w:rsidR="00974C65">
        <w:rPr>
          <w:color w:val="000000"/>
          <w:lang w:eastAsia="fr-FR"/>
        </w:rPr>
        <w:t>2326</w:t>
      </w:r>
      <w:r w:rsidR="00974C65" w:rsidRPr="00731C30">
        <w:rPr>
          <w:color w:val="000000"/>
          <w:lang w:eastAsia="fr-FR"/>
        </w:rPr>
        <w:t xml:space="preserve"> </w:t>
      </w:r>
      <w:r w:rsidRPr="00731C30">
        <w:rPr>
          <w:color w:val="000000"/>
          <w:lang w:eastAsia="fr-FR"/>
        </w:rPr>
        <w:t>du 30 novembre 2021</w:t>
      </w:r>
      <w:r w:rsidR="00CF4BE2">
        <w:rPr>
          <w:color w:val="000000"/>
          <w:lang w:eastAsia="fr-FR"/>
        </w:rPr>
        <w:t xml:space="preserve"> </w:t>
      </w:r>
      <w:r w:rsidR="00CF4BE2" w:rsidRPr="00CF4BE2">
        <w:rPr>
          <w:color w:val="000000"/>
          <w:lang w:eastAsia="fr-FR"/>
        </w:rPr>
        <w:t>établissant les conclusions sur les meilleures techniques disponibles (MTD), au titre de la directive</w:t>
      </w:r>
      <w:r w:rsidR="00CF4BE2">
        <w:rPr>
          <w:color w:val="000000"/>
          <w:lang w:eastAsia="fr-FR"/>
        </w:rPr>
        <w:t xml:space="preserve"> </w:t>
      </w:r>
      <w:r w:rsidR="00CF4BE2" w:rsidRPr="00CF4BE2">
        <w:rPr>
          <w:color w:val="000000"/>
          <w:lang w:eastAsia="fr-FR"/>
        </w:rPr>
        <w:t>2010/75/UE du Parlement européen et du Conseil, pour les grandes installations de combustion</w:t>
      </w:r>
      <w:r w:rsidR="00731C30" w:rsidRPr="00731C30">
        <w:rPr>
          <w:color w:val="000000"/>
          <w:lang w:eastAsia="fr-FR"/>
        </w:rPr>
        <w:t>.</w:t>
      </w:r>
      <w:r w:rsidRPr="00731C30">
        <w:rPr>
          <w:color w:val="000000"/>
          <w:lang w:eastAsia="fr-FR"/>
        </w:rPr>
        <w:t xml:space="preserve"> </w:t>
      </w:r>
    </w:p>
    <w:p w14:paraId="41054DA9" w14:textId="729C4E6E" w:rsidR="00731C30" w:rsidRDefault="00731C30" w:rsidP="002B0DC1">
      <w:pPr>
        <w:jc w:val="both"/>
        <w:rPr>
          <w:color w:val="000000"/>
          <w:lang w:eastAsia="fr-FR"/>
        </w:rPr>
      </w:pPr>
      <w:r>
        <w:rPr>
          <w:color w:val="000000"/>
          <w:lang w:eastAsia="fr-FR"/>
        </w:rPr>
        <w:t>« </w:t>
      </w:r>
      <w:r w:rsidRPr="00731C30">
        <w:rPr>
          <w:color w:val="000000"/>
          <w:lang w:eastAsia="fr-FR"/>
        </w:rPr>
        <w:t>Les dispositions de la décision d’exécution 2021/</w:t>
      </w:r>
      <w:r w:rsidR="00974C65">
        <w:rPr>
          <w:color w:val="000000"/>
          <w:lang w:eastAsia="fr-FR"/>
        </w:rPr>
        <w:t>2326</w:t>
      </w:r>
      <w:r w:rsidR="00974C65" w:rsidRPr="00731C30">
        <w:rPr>
          <w:color w:val="000000"/>
          <w:lang w:eastAsia="fr-FR"/>
        </w:rPr>
        <w:t xml:space="preserve"> </w:t>
      </w:r>
      <w:r w:rsidRPr="00731C30">
        <w:rPr>
          <w:color w:val="000000"/>
          <w:lang w:eastAsia="fr-FR"/>
        </w:rPr>
        <w:t xml:space="preserve">du 30 novembre 2021 </w:t>
      </w:r>
      <w:r w:rsidR="00CF4BE2">
        <w:rPr>
          <w:color w:val="000000"/>
          <w:lang w:eastAsia="fr-FR"/>
        </w:rPr>
        <w:t xml:space="preserve">susmentionnée </w:t>
      </w:r>
      <w:r w:rsidRPr="00731C30">
        <w:rPr>
          <w:color w:val="000000"/>
          <w:lang w:eastAsia="fr-FR"/>
        </w:rPr>
        <w:t>ne s’appliquent pas à certaines parties de l’installation de combustion :</w:t>
      </w:r>
    </w:p>
    <w:p w14:paraId="167B782E" w14:textId="4339E6F5" w:rsidR="00731C30" w:rsidRDefault="00731C30" w:rsidP="002B0DC1">
      <w:pPr>
        <w:ind w:firstLine="708"/>
        <w:jc w:val="both"/>
        <w:rPr>
          <w:color w:val="000000"/>
          <w:lang w:eastAsia="fr-FR"/>
        </w:rPr>
      </w:pPr>
      <w:r>
        <w:rPr>
          <w:color w:val="000000"/>
          <w:lang w:eastAsia="fr-FR"/>
        </w:rPr>
        <w:t>« - aux appareils de combustion de puissance thermique nominale inférieure à 15 MW ;</w:t>
      </w:r>
    </w:p>
    <w:p w14:paraId="4F69665B" w14:textId="69A8C818" w:rsidR="00731C30" w:rsidRPr="00731C30" w:rsidRDefault="00731C30" w:rsidP="002B0DC1">
      <w:pPr>
        <w:ind w:firstLine="708"/>
        <w:jc w:val="both"/>
        <w:rPr>
          <w:color w:val="000000"/>
          <w:lang w:eastAsia="fr-FR"/>
        </w:rPr>
      </w:pPr>
      <w:r>
        <w:rPr>
          <w:color w:val="000000"/>
          <w:lang w:eastAsia="fr-FR"/>
        </w:rPr>
        <w:t>« - aux réchauffeurs et fours industriels indirects.</w:t>
      </w:r>
    </w:p>
    <w:p w14:paraId="15A131EB" w14:textId="42CF3A10" w:rsidR="000E66CB" w:rsidRPr="007F0619" w:rsidRDefault="000E66CB" w:rsidP="002B0DC1">
      <w:pPr>
        <w:pStyle w:val="Titredetableau"/>
        <w:ind w:left="714"/>
        <w:jc w:val="both"/>
        <w:rPr>
          <w:b w:val="0"/>
          <w:bCs w:val="0"/>
          <w:color w:val="000000"/>
        </w:rPr>
      </w:pPr>
    </w:p>
    <w:p w14:paraId="24A52650" w14:textId="3EF3BC7A" w:rsidR="00A450A9" w:rsidRPr="007F0619" w:rsidRDefault="00F45576" w:rsidP="002B0DC1">
      <w:pPr>
        <w:jc w:val="both"/>
        <w:rPr>
          <w:color w:val="000000"/>
          <w:lang w:eastAsia="fr-FR"/>
        </w:rPr>
      </w:pPr>
      <w:r w:rsidRPr="00B476F8">
        <w:rPr>
          <w:color w:val="000000"/>
          <w:lang w:eastAsia="fr-FR"/>
        </w:rPr>
        <w:t>« </w:t>
      </w:r>
      <w:r w:rsidR="00A450A9" w:rsidRPr="00B476F8">
        <w:rPr>
          <w:color w:val="000000"/>
          <w:lang w:eastAsia="fr-FR"/>
        </w:rPr>
        <w:t xml:space="preserve">VII. </w:t>
      </w:r>
      <w:r w:rsidR="00BE0E90">
        <w:rPr>
          <w:color w:val="000000"/>
          <w:lang w:eastAsia="fr-FR"/>
        </w:rPr>
        <w:t xml:space="preserve">- </w:t>
      </w:r>
      <w:r w:rsidR="00A450A9" w:rsidRPr="00B476F8">
        <w:rPr>
          <w:color w:val="000000"/>
          <w:lang w:eastAsia="fr-FR"/>
        </w:rPr>
        <w:t xml:space="preserve">Les modalités d’entrée en vigueur </w:t>
      </w:r>
      <w:r w:rsidR="00A127D5" w:rsidRPr="00B476F8">
        <w:rPr>
          <w:color w:val="000000"/>
          <w:lang w:eastAsia="fr-FR"/>
        </w:rPr>
        <w:t>du</w:t>
      </w:r>
      <w:r w:rsidR="00E04749" w:rsidRPr="00B476F8">
        <w:rPr>
          <w:color w:val="000000"/>
          <w:lang w:eastAsia="fr-FR"/>
        </w:rPr>
        <w:t xml:space="preserve"> </w:t>
      </w:r>
      <w:r w:rsidR="00A450A9" w:rsidRPr="00B476F8">
        <w:rPr>
          <w:color w:val="000000"/>
          <w:lang w:eastAsia="fr-FR"/>
        </w:rPr>
        <w:t>point VI sont les suivantes :</w:t>
      </w:r>
    </w:p>
    <w:p w14:paraId="6EBB95EA" w14:textId="6DCDE332" w:rsidR="00A450A9" w:rsidRPr="007F0619" w:rsidRDefault="00F45576" w:rsidP="002B0DC1">
      <w:pPr>
        <w:pStyle w:val="Titredetableau"/>
        <w:spacing w:after="240"/>
        <w:ind w:left="720"/>
        <w:jc w:val="both"/>
        <w:rPr>
          <w:b w:val="0"/>
          <w:bCs w:val="0"/>
          <w:color w:val="000000"/>
        </w:rPr>
      </w:pPr>
      <w:r>
        <w:rPr>
          <w:b w:val="0"/>
          <w:bCs w:val="0"/>
          <w:color w:val="000000"/>
        </w:rPr>
        <w:t xml:space="preserve">« - </w:t>
      </w:r>
      <w:r w:rsidR="00A450A9" w:rsidRPr="007F0619">
        <w:rPr>
          <w:b w:val="0"/>
          <w:bCs w:val="0"/>
          <w:color w:val="000000"/>
        </w:rPr>
        <w:t xml:space="preserve">les prescriptions sont immédiatement applicables aux installations de combustion </w:t>
      </w:r>
      <w:r w:rsidR="00DE637B">
        <w:rPr>
          <w:b w:val="0"/>
          <w:bCs w:val="0"/>
          <w:color w:val="000000"/>
        </w:rPr>
        <w:t>dont l’autorisation a été délivrée</w:t>
      </w:r>
      <w:r w:rsidR="00DE637B" w:rsidRPr="007F0619">
        <w:rPr>
          <w:b w:val="0"/>
          <w:bCs w:val="0"/>
          <w:color w:val="000000"/>
        </w:rPr>
        <w:t xml:space="preserve"> </w:t>
      </w:r>
      <w:r w:rsidR="00A450A9" w:rsidRPr="007F0619">
        <w:rPr>
          <w:b w:val="0"/>
          <w:bCs w:val="0"/>
          <w:color w:val="000000"/>
        </w:rPr>
        <w:t>à compter du 17 août 2017</w:t>
      </w:r>
      <w:r w:rsidR="00F82B07">
        <w:rPr>
          <w:b w:val="0"/>
          <w:bCs w:val="0"/>
          <w:color w:val="000000"/>
        </w:rPr>
        <w:t xml:space="preserve"> </w:t>
      </w:r>
      <w:r w:rsidR="00A450A9" w:rsidRPr="007F0619">
        <w:rPr>
          <w:b w:val="0"/>
          <w:bCs w:val="0"/>
          <w:color w:val="000000"/>
        </w:rPr>
        <w:t>;</w:t>
      </w:r>
    </w:p>
    <w:p w14:paraId="2D731D75" w14:textId="549D9508" w:rsidR="00A450A9" w:rsidRPr="007F0619" w:rsidRDefault="00F45576" w:rsidP="002B0DC1">
      <w:pPr>
        <w:pStyle w:val="Titredetableau"/>
        <w:spacing w:after="240"/>
        <w:ind w:left="720"/>
        <w:jc w:val="both"/>
        <w:rPr>
          <w:b w:val="0"/>
          <w:bCs w:val="0"/>
          <w:color w:val="000000"/>
        </w:rPr>
      </w:pPr>
      <w:r>
        <w:rPr>
          <w:b w:val="0"/>
          <w:bCs w:val="0"/>
          <w:color w:val="000000"/>
        </w:rPr>
        <w:t xml:space="preserve">« - </w:t>
      </w:r>
      <w:r w:rsidR="00A450A9" w:rsidRPr="007F0619">
        <w:rPr>
          <w:b w:val="0"/>
          <w:bCs w:val="0"/>
          <w:color w:val="000000"/>
        </w:rPr>
        <w:t xml:space="preserve">les prescriptions sont immédiatement applicables aux extensions ou </w:t>
      </w:r>
      <w:r w:rsidR="004F3B1E" w:rsidRPr="00BE0E90">
        <w:rPr>
          <w:b w:val="0"/>
          <w:bCs w:val="0"/>
          <w:color w:val="000000"/>
        </w:rPr>
        <w:t>aux</w:t>
      </w:r>
      <w:r w:rsidR="004F3B1E" w:rsidRPr="004F3B1E">
        <w:rPr>
          <w:b w:val="0"/>
          <w:bCs w:val="0"/>
          <w:color w:val="000000"/>
        </w:rPr>
        <w:t xml:space="preserve"> modifications d’installations de combustion ayant conduit au dépôt d'une nouvelle demande d'autorisation en application de l'article R. 181-46 du code de l'environnement</w:t>
      </w:r>
      <w:r w:rsidR="00A450A9" w:rsidRPr="007F0619">
        <w:rPr>
          <w:b w:val="0"/>
          <w:bCs w:val="0"/>
          <w:color w:val="000000"/>
        </w:rPr>
        <w:t xml:space="preserve">, lorsque ces extensions ou </w:t>
      </w:r>
      <w:r w:rsidR="00F639A2">
        <w:rPr>
          <w:b w:val="0"/>
          <w:bCs w:val="0"/>
          <w:color w:val="000000"/>
        </w:rPr>
        <w:t xml:space="preserve">ces </w:t>
      </w:r>
      <w:r w:rsidR="004F3B1E">
        <w:rPr>
          <w:b w:val="0"/>
          <w:bCs w:val="0"/>
          <w:color w:val="000000"/>
        </w:rPr>
        <w:t>modifications ont fait l’objet d’un arrêté d’autorisation</w:t>
      </w:r>
      <w:r w:rsidR="00A450A9" w:rsidRPr="007F0619">
        <w:rPr>
          <w:b w:val="0"/>
          <w:bCs w:val="0"/>
          <w:color w:val="000000"/>
        </w:rPr>
        <w:t xml:space="preserve"> </w:t>
      </w:r>
      <w:r w:rsidR="0069416E">
        <w:rPr>
          <w:b w:val="0"/>
          <w:bCs w:val="0"/>
          <w:color w:val="000000"/>
        </w:rPr>
        <w:t>délivré</w:t>
      </w:r>
      <w:r w:rsidR="00DE637B" w:rsidRPr="00F639A2">
        <w:rPr>
          <w:b w:val="0"/>
          <w:bCs w:val="0"/>
          <w:color w:val="000000"/>
        </w:rPr>
        <w:t xml:space="preserve"> à compter du</w:t>
      </w:r>
      <w:r w:rsidR="00A450A9" w:rsidRPr="007F0619">
        <w:rPr>
          <w:b w:val="0"/>
          <w:bCs w:val="0"/>
          <w:color w:val="000000"/>
        </w:rPr>
        <w:t xml:space="preserve"> 17 août 2017 ;</w:t>
      </w:r>
    </w:p>
    <w:p w14:paraId="4378034D" w14:textId="3209AE32" w:rsidR="00A450A9" w:rsidRPr="007F0619" w:rsidRDefault="00F45576" w:rsidP="002B0DC1">
      <w:pPr>
        <w:pStyle w:val="Titredetableau"/>
        <w:spacing w:after="240"/>
        <w:ind w:left="720"/>
        <w:jc w:val="both"/>
        <w:rPr>
          <w:b w:val="0"/>
          <w:bCs w:val="0"/>
          <w:color w:val="000000"/>
        </w:rPr>
      </w:pPr>
      <w:r>
        <w:rPr>
          <w:b w:val="0"/>
          <w:bCs w:val="0"/>
          <w:color w:val="000000"/>
        </w:rPr>
        <w:t xml:space="preserve">« - </w:t>
      </w:r>
      <w:r w:rsidR="00A450A9" w:rsidRPr="007F0619">
        <w:rPr>
          <w:b w:val="0"/>
          <w:bCs w:val="0"/>
          <w:color w:val="000000"/>
        </w:rPr>
        <w:t xml:space="preserve">les prescriptions sont applicables aux installations de combustion </w:t>
      </w:r>
      <w:r w:rsidR="004F3B1E" w:rsidRPr="004F3B1E">
        <w:rPr>
          <w:b w:val="0"/>
          <w:bCs w:val="0"/>
          <w:color w:val="000000"/>
        </w:rPr>
        <w:t>dont l’autorisation a été délivrée</w:t>
      </w:r>
      <w:r w:rsidR="00A450A9" w:rsidRPr="007F0619">
        <w:rPr>
          <w:b w:val="0"/>
          <w:bCs w:val="0"/>
          <w:color w:val="000000"/>
        </w:rPr>
        <w:t xml:space="preserve"> </w:t>
      </w:r>
      <w:r w:rsidR="00DE637B" w:rsidRPr="00F639A2">
        <w:rPr>
          <w:b w:val="0"/>
          <w:bCs w:val="0"/>
          <w:color w:val="000000"/>
        </w:rPr>
        <w:t>avant le</w:t>
      </w:r>
      <w:r w:rsidR="00DE637B" w:rsidRPr="007F0619">
        <w:rPr>
          <w:b w:val="0"/>
          <w:bCs w:val="0"/>
          <w:color w:val="000000"/>
        </w:rPr>
        <w:t xml:space="preserve"> </w:t>
      </w:r>
      <w:r w:rsidR="00A450A9" w:rsidRPr="007F0619">
        <w:rPr>
          <w:b w:val="0"/>
          <w:bCs w:val="0"/>
          <w:color w:val="000000"/>
        </w:rPr>
        <w:t>17 août 2017</w:t>
      </w:r>
      <w:r w:rsidR="0069416E">
        <w:rPr>
          <w:b w:val="0"/>
          <w:bCs w:val="0"/>
          <w:color w:val="000000"/>
          <w:shd w:val="clear" w:color="auto" w:fill="FFFFFF"/>
        </w:rPr>
        <w:t xml:space="preserve"> et</w:t>
      </w:r>
      <w:r w:rsidR="0069416E" w:rsidRPr="007F0619">
        <w:rPr>
          <w:b w:val="0"/>
          <w:bCs w:val="0"/>
          <w:color w:val="000000"/>
          <w:shd w:val="clear" w:color="auto" w:fill="FFFFFF"/>
        </w:rPr>
        <w:t xml:space="preserve"> </w:t>
      </w:r>
      <w:r w:rsidR="00A450A9" w:rsidRPr="007F0619">
        <w:rPr>
          <w:b w:val="0"/>
          <w:bCs w:val="0"/>
          <w:color w:val="000000"/>
          <w:shd w:val="clear" w:color="auto" w:fill="FFFFFF"/>
        </w:rPr>
        <w:t>dont les conclusions sur les meilleures techniques disponibles relatives à la rubrique principale prévues à l'article R. 515-61 du code de l'environnement sont celles de la décision d'exécution 2021/2326</w:t>
      </w:r>
      <w:r w:rsidR="001565D6">
        <w:rPr>
          <w:b w:val="0"/>
          <w:bCs w:val="0"/>
          <w:color w:val="000000"/>
          <w:shd w:val="clear" w:color="auto" w:fill="FFFFFF"/>
        </w:rPr>
        <w:t xml:space="preserve"> susmentionnée</w:t>
      </w:r>
      <w:r w:rsidR="00A450A9" w:rsidRPr="007F0619">
        <w:rPr>
          <w:b w:val="0"/>
          <w:bCs w:val="0"/>
          <w:color w:val="000000"/>
          <w:shd w:val="clear" w:color="auto" w:fill="FFFFFF"/>
        </w:rPr>
        <w:t>, à compter du 17 août 2021</w:t>
      </w:r>
      <w:r w:rsidR="001565D6">
        <w:rPr>
          <w:b w:val="0"/>
          <w:bCs w:val="0"/>
          <w:color w:val="000000"/>
          <w:shd w:val="clear" w:color="auto" w:fill="FFFFFF"/>
        </w:rPr>
        <w:t xml:space="preserve"> </w:t>
      </w:r>
      <w:r w:rsidR="00A450A9" w:rsidRPr="007F0619">
        <w:rPr>
          <w:b w:val="0"/>
          <w:bCs w:val="0"/>
          <w:color w:val="000000"/>
          <w:shd w:val="clear" w:color="auto" w:fill="FFFFFF"/>
        </w:rPr>
        <w:t>;</w:t>
      </w:r>
    </w:p>
    <w:p w14:paraId="6E237244" w14:textId="782BCF83" w:rsidR="00A450A9" w:rsidRPr="007F0619" w:rsidRDefault="00F45576" w:rsidP="002B0DC1">
      <w:pPr>
        <w:pStyle w:val="Titredetableau"/>
        <w:spacing w:after="240"/>
        <w:ind w:left="720"/>
        <w:jc w:val="both"/>
        <w:rPr>
          <w:b w:val="0"/>
          <w:bCs w:val="0"/>
          <w:color w:val="000000"/>
        </w:rPr>
      </w:pPr>
      <w:r>
        <w:rPr>
          <w:b w:val="0"/>
          <w:bCs w:val="0"/>
          <w:color w:val="000000"/>
        </w:rPr>
        <w:t xml:space="preserve">« - </w:t>
      </w:r>
      <w:r w:rsidR="00BC55FD">
        <w:rPr>
          <w:b w:val="0"/>
          <w:bCs w:val="0"/>
          <w:color w:val="000000"/>
        </w:rPr>
        <w:t xml:space="preserve">les prescriptions sont applicables aux </w:t>
      </w:r>
      <w:r w:rsidR="00A450A9" w:rsidRPr="007F0619">
        <w:rPr>
          <w:b w:val="0"/>
          <w:bCs w:val="0"/>
          <w:color w:val="000000"/>
        </w:rPr>
        <w:t xml:space="preserve">installations de combustion </w:t>
      </w:r>
      <w:r w:rsidR="00C40620">
        <w:rPr>
          <w:b w:val="0"/>
          <w:bCs w:val="0"/>
          <w:color w:val="000000"/>
        </w:rPr>
        <w:t xml:space="preserve">dont l’autorisation a été délivrée </w:t>
      </w:r>
      <w:r w:rsidR="00DE637B" w:rsidRPr="00F639A2">
        <w:rPr>
          <w:b w:val="0"/>
          <w:bCs w:val="0"/>
          <w:color w:val="000000"/>
        </w:rPr>
        <w:t>avant le</w:t>
      </w:r>
      <w:r w:rsidR="00A450A9" w:rsidRPr="007F0619">
        <w:rPr>
          <w:b w:val="0"/>
          <w:bCs w:val="0"/>
          <w:color w:val="000000"/>
        </w:rPr>
        <w:t xml:space="preserve"> 17 août 2017</w:t>
      </w:r>
      <w:r w:rsidR="00BC55FD">
        <w:rPr>
          <w:b w:val="0"/>
          <w:bCs w:val="0"/>
          <w:color w:val="000000"/>
        </w:rPr>
        <w:t xml:space="preserve"> </w:t>
      </w:r>
      <w:r w:rsidR="0069416E">
        <w:rPr>
          <w:b w:val="0"/>
          <w:bCs w:val="0"/>
          <w:color w:val="000000"/>
        </w:rPr>
        <w:t>et</w:t>
      </w:r>
      <w:r w:rsidR="0069416E" w:rsidRPr="007F0619">
        <w:rPr>
          <w:b w:val="0"/>
          <w:bCs w:val="0"/>
          <w:color w:val="000000"/>
        </w:rPr>
        <w:t xml:space="preserve"> </w:t>
      </w:r>
      <w:r w:rsidR="00A450A9" w:rsidRPr="007F0619">
        <w:rPr>
          <w:b w:val="0"/>
          <w:bCs w:val="0"/>
          <w:color w:val="000000"/>
        </w:rPr>
        <w:t>dont les conclusions sur les meilleures techniques disponibles relatives à la rubrique principale prévue R.</w:t>
      </w:r>
      <w:r w:rsidR="00D9011B">
        <w:rPr>
          <w:b w:val="0"/>
          <w:bCs w:val="0"/>
          <w:color w:val="000000"/>
        </w:rPr>
        <w:t xml:space="preserve"> </w:t>
      </w:r>
      <w:r w:rsidR="00A450A9" w:rsidRPr="007F0619">
        <w:rPr>
          <w:b w:val="0"/>
          <w:bCs w:val="0"/>
          <w:color w:val="000000"/>
        </w:rPr>
        <w:t>515-61 du code de l’environnement ne sont pas celles de la décision 2021/2326</w:t>
      </w:r>
      <w:r w:rsidR="001565D6">
        <w:rPr>
          <w:b w:val="0"/>
          <w:bCs w:val="0"/>
          <w:color w:val="000000"/>
        </w:rPr>
        <w:t xml:space="preserve"> susmentionnée</w:t>
      </w:r>
      <w:r w:rsidR="00424EA3">
        <w:rPr>
          <w:b w:val="0"/>
          <w:bCs w:val="0"/>
          <w:color w:val="000000"/>
        </w:rPr>
        <w:t>,</w:t>
      </w:r>
      <w:r w:rsidR="00A450A9" w:rsidRPr="007F0619">
        <w:rPr>
          <w:b w:val="0"/>
          <w:bCs w:val="0"/>
          <w:color w:val="000000"/>
        </w:rPr>
        <w:t xml:space="preserve"> dans les conditions suivantes :</w:t>
      </w:r>
    </w:p>
    <w:p w14:paraId="60E39DFA" w14:textId="6DAFC9A7" w:rsidR="00A450A9" w:rsidRPr="007F0619" w:rsidRDefault="00F45576" w:rsidP="002B0DC1">
      <w:pPr>
        <w:pStyle w:val="Titredetableau"/>
        <w:spacing w:after="240"/>
        <w:ind w:left="1440"/>
        <w:jc w:val="both"/>
        <w:rPr>
          <w:b w:val="0"/>
          <w:bCs w:val="0"/>
          <w:color w:val="000000"/>
        </w:rPr>
      </w:pPr>
      <w:r>
        <w:rPr>
          <w:b w:val="0"/>
          <w:bCs w:val="0"/>
          <w:color w:val="000000"/>
        </w:rPr>
        <w:t xml:space="preserve">« - </w:t>
      </w:r>
      <w:r w:rsidR="00A450A9" w:rsidRPr="007F0619">
        <w:rPr>
          <w:b w:val="0"/>
          <w:bCs w:val="0"/>
          <w:color w:val="000000"/>
        </w:rPr>
        <w:t xml:space="preserve">quatre ans après la parution au </w:t>
      </w:r>
      <w:r w:rsidR="00A450A9" w:rsidRPr="007F0619">
        <w:rPr>
          <w:b w:val="0"/>
          <w:bCs w:val="0"/>
          <w:i/>
          <w:color w:val="000000"/>
        </w:rPr>
        <w:t xml:space="preserve">Journal </w:t>
      </w:r>
      <w:r w:rsidR="00DE637B">
        <w:rPr>
          <w:b w:val="0"/>
          <w:bCs w:val="0"/>
          <w:i/>
          <w:color w:val="000000"/>
        </w:rPr>
        <w:t>o</w:t>
      </w:r>
      <w:r w:rsidR="00DE637B" w:rsidRPr="007F0619">
        <w:rPr>
          <w:b w:val="0"/>
          <w:bCs w:val="0"/>
          <w:i/>
          <w:color w:val="000000"/>
        </w:rPr>
        <w:t>fficiel</w:t>
      </w:r>
      <w:r w:rsidR="00DE637B" w:rsidRPr="007F0619">
        <w:rPr>
          <w:b w:val="0"/>
          <w:bCs w:val="0"/>
          <w:color w:val="000000"/>
        </w:rPr>
        <w:t xml:space="preserve"> </w:t>
      </w:r>
      <w:r w:rsidR="00A450A9" w:rsidRPr="007F0619">
        <w:rPr>
          <w:b w:val="0"/>
          <w:bCs w:val="0"/>
          <w:color w:val="000000"/>
        </w:rPr>
        <w:t>d</w:t>
      </w:r>
      <w:r w:rsidR="00A450A9" w:rsidRPr="007F0619">
        <w:rPr>
          <w:b w:val="0"/>
          <w:bCs w:val="0"/>
          <w:color w:val="000000"/>
          <w:shd w:val="clear" w:color="auto" w:fill="FFFFFF"/>
        </w:rPr>
        <w:t xml:space="preserve">e l'Union européenne, de la </w:t>
      </w:r>
      <w:r w:rsidR="00A450A9" w:rsidRPr="002B0DC1">
        <w:rPr>
          <w:b w:val="0"/>
          <w:bCs w:val="0"/>
          <w:color w:val="000000"/>
        </w:rPr>
        <w:t>décision d'exécution établissant les conclusions sur les meilleures techniques disponibles relatives à la rubrique principale prévue à l'article R. 515-61 du même code, lorsque ces conclusions sont publiées postérieurement au 17 août 2017</w:t>
      </w:r>
      <w:r w:rsidR="00A450A9" w:rsidRPr="007F0619">
        <w:rPr>
          <w:b w:val="0"/>
          <w:bCs w:val="0"/>
          <w:color w:val="000000"/>
          <w:shd w:val="clear" w:color="auto" w:fill="FFFFFF"/>
        </w:rPr>
        <w:t> ;</w:t>
      </w:r>
    </w:p>
    <w:p w14:paraId="173062A7" w14:textId="27094337" w:rsidR="00A450A9" w:rsidRPr="007F0619" w:rsidRDefault="00F45576" w:rsidP="002B0DC1">
      <w:pPr>
        <w:pStyle w:val="Titredetableau"/>
        <w:spacing w:after="240"/>
        <w:ind w:left="1440"/>
        <w:jc w:val="both"/>
        <w:rPr>
          <w:b w:val="0"/>
          <w:bCs w:val="0"/>
          <w:color w:val="000000"/>
        </w:rPr>
      </w:pPr>
      <w:r w:rsidRPr="002B0DC1">
        <w:rPr>
          <w:b w:val="0"/>
          <w:bCs w:val="0"/>
          <w:color w:val="000000"/>
        </w:rPr>
        <w:t xml:space="preserve">« - </w:t>
      </w:r>
      <w:r w:rsidR="00A450A9" w:rsidRPr="002B0DC1">
        <w:rPr>
          <w:b w:val="0"/>
          <w:bCs w:val="0"/>
          <w:color w:val="000000"/>
        </w:rPr>
        <w:t xml:space="preserve">à compter du 17 août 2021, lorsque la parution au </w:t>
      </w:r>
      <w:r w:rsidR="00A450A9" w:rsidRPr="00DE637B">
        <w:rPr>
          <w:b w:val="0"/>
          <w:bCs w:val="0"/>
          <w:i/>
          <w:iCs/>
          <w:color w:val="000000"/>
        </w:rPr>
        <w:t>Journal officiel</w:t>
      </w:r>
      <w:r w:rsidR="00A450A9" w:rsidRPr="002B0DC1">
        <w:rPr>
          <w:b w:val="0"/>
          <w:bCs w:val="0"/>
          <w:color w:val="000000"/>
        </w:rPr>
        <w:t xml:space="preserve"> de l'Union européenne de la décision d'exécution établissant les conclusions sur les meilleures techniques disponibles relatives à la rubrique principale prévue à l'article R. 515-61 du même code est intervenue entre le 17 août 2015 et le 17 août 2017.</w:t>
      </w:r>
      <w:r w:rsidR="00A450A9" w:rsidRPr="007F0619">
        <w:rPr>
          <w:b w:val="0"/>
          <w:bCs w:val="0"/>
          <w:color w:val="000000"/>
          <w:shd w:val="clear" w:color="auto" w:fill="FFFFFF"/>
        </w:rPr>
        <w:t xml:space="preserve"> </w:t>
      </w:r>
    </w:p>
    <w:p w14:paraId="20155A72" w14:textId="68101D35" w:rsidR="00A450A9" w:rsidRPr="007F0619" w:rsidRDefault="00F45576" w:rsidP="002B0DC1">
      <w:pPr>
        <w:pStyle w:val="Titredetableau"/>
        <w:spacing w:after="240"/>
        <w:jc w:val="both"/>
        <w:rPr>
          <w:b w:val="0"/>
          <w:bCs w:val="0"/>
          <w:color w:val="000000"/>
        </w:rPr>
      </w:pPr>
      <w:r>
        <w:rPr>
          <w:b w:val="0"/>
          <w:bCs w:val="0"/>
          <w:color w:val="000000"/>
        </w:rPr>
        <w:t>« </w:t>
      </w:r>
      <w:r w:rsidR="00A450A9" w:rsidRPr="007F0619">
        <w:rPr>
          <w:b w:val="0"/>
          <w:bCs w:val="0"/>
          <w:color w:val="000000"/>
        </w:rPr>
        <w:t xml:space="preserve">A la date prévue par le présent </w:t>
      </w:r>
      <w:r w:rsidR="00F82B07">
        <w:rPr>
          <w:b w:val="0"/>
          <w:bCs w:val="0"/>
          <w:color w:val="000000"/>
        </w:rPr>
        <w:t>point</w:t>
      </w:r>
      <w:r w:rsidR="00A450A9" w:rsidRPr="007F0619">
        <w:rPr>
          <w:b w:val="0"/>
          <w:bCs w:val="0"/>
          <w:color w:val="000000"/>
        </w:rPr>
        <w:t>, l’exploitant met en œuvre les meilleures techniques disponibles telles que décrites dans le présent arrêté ou garantissant un niveau de protection de l’environnement équivalent dans les conditions fixées au II de l’article R. 515-62 du même code, sauf si l’arrêté préfectoral fixe des prescriptions particulières en application de l’article R.</w:t>
      </w:r>
      <w:r w:rsidR="000125F2">
        <w:rPr>
          <w:b w:val="0"/>
          <w:bCs w:val="0"/>
          <w:color w:val="000000"/>
        </w:rPr>
        <w:t xml:space="preserve"> </w:t>
      </w:r>
      <w:r w:rsidR="00A450A9" w:rsidRPr="007F0619">
        <w:rPr>
          <w:b w:val="0"/>
          <w:bCs w:val="0"/>
          <w:color w:val="000000"/>
        </w:rPr>
        <w:t>515-63 du même code.</w:t>
      </w:r>
      <w:r>
        <w:rPr>
          <w:b w:val="0"/>
          <w:bCs w:val="0"/>
          <w:color w:val="000000"/>
        </w:rPr>
        <w:t> </w:t>
      </w:r>
    </w:p>
    <w:p w14:paraId="38C91952" w14:textId="63A67552" w:rsidR="00A450A9" w:rsidRPr="00A450A9" w:rsidRDefault="00F45576" w:rsidP="002B0DC1">
      <w:pPr>
        <w:spacing w:after="240"/>
        <w:jc w:val="both"/>
      </w:pPr>
      <w:r>
        <w:rPr>
          <w:color w:val="000000"/>
          <w:lang w:eastAsia="fr-FR"/>
        </w:rPr>
        <w:t>« </w:t>
      </w:r>
      <w:r w:rsidR="00A450A9" w:rsidRPr="007F0619">
        <w:rPr>
          <w:color w:val="000000"/>
          <w:lang w:eastAsia="fr-FR"/>
        </w:rPr>
        <w:t xml:space="preserve">VIII. – Les dispositions </w:t>
      </w:r>
      <w:r w:rsidR="00F639A2">
        <w:rPr>
          <w:color w:val="000000"/>
          <w:lang w:eastAsia="fr-FR"/>
        </w:rPr>
        <w:t>du II</w:t>
      </w:r>
      <w:r w:rsidR="00F32355">
        <w:rPr>
          <w:color w:val="000000"/>
          <w:lang w:eastAsia="fr-FR"/>
        </w:rPr>
        <w:t xml:space="preserve"> </w:t>
      </w:r>
      <w:r w:rsidR="00A450A9" w:rsidRPr="007F0619">
        <w:rPr>
          <w:color w:val="000000"/>
          <w:lang w:eastAsia="fr-FR"/>
        </w:rPr>
        <w:t>de l’article 6 bis</w:t>
      </w:r>
      <w:r w:rsidR="00283A55" w:rsidRPr="00283A55">
        <w:rPr>
          <w:color w:val="000000"/>
          <w:lang w:eastAsia="fr-FR"/>
        </w:rPr>
        <w:t xml:space="preserve"> </w:t>
      </w:r>
      <w:r w:rsidR="00283A55" w:rsidRPr="007F0619">
        <w:rPr>
          <w:color w:val="000000"/>
          <w:lang w:eastAsia="fr-FR"/>
        </w:rPr>
        <w:t>de l’arrêté du 2 février 1998 susvisé</w:t>
      </w:r>
      <w:r w:rsidR="007F0619" w:rsidRPr="007F0619">
        <w:rPr>
          <w:color w:val="000000"/>
          <w:lang w:eastAsia="fr-FR"/>
        </w:rPr>
        <w:t>,</w:t>
      </w:r>
      <w:r w:rsidR="007F0619" w:rsidRPr="007F0619">
        <w:t xml:space="preserve"> </w:t>
      </w:r>
      <w:r w:rsidR="007F0619" w:rsidRPr="007F0619">
        <w:rPr>
          <w:color w:val="000000"/>
          <w:lang w:eastAsia="fr-FR"/>
        </w:rPr>
        <w:t>relatives à la mise en œuvre des meilleures techniques disponibles,</w:t>
      </w:r>
      <w:r w:rsidR="00A450A9" w:rsidRPr="007F0619">
        <w:rPr>
          <w:color w:val="000000"/>
          <w:lang w:eastAsia="fr-FR"/>
        </w:rPr>
        <w:t xml:space="preserve"> s’appliquent.</w:t>
      </w:r>
      <w:r>
        <w:rPr>
          <w:color w:val="000000"/>
          <w:lang w:eastAsia="fr-FR"/>
        </w:rPr>
        <w:t> »</w:t>
      </w:r>
    </w:p>
    <w:p w14:paraId="733FF72F" w14:textId="77777777" w:rsidR="00A450A9" w:rsidRDefault="00A450A9" w:rsidP="002B0DC1">
      <w:pPr>
        <w:jc w:val="center"/>
      </w:pPr>
    </w:p>
    <w:p w14:paraId="4FC4BCE3" w14:textId="0D16745C" w:rsidR="00A450A9" w:rsidRPr="00A450A9" w:rsidRDefault="00A450A9" w:rsidP="002B0DC1">
      <w:pPr>
        <w:jc w:val="center"/>
        <w:rPr>
          <w:b/>
          <w:bCs/>
          <w:i/>
          <w:iCs/>
        </w:rPr>
      </w:pPr>
      <w:r w:rsidRPr="00A450A9">
        <w:rPr>
          <w:b/>
          <w:bCs/>
        </w:rPr>
        <w:t xml:space="preserve">Article </w:t>
      </w:r>
      <w:r w:rsidRPr="00A450A9">
        <w:rPr>
          <w:b/>
          <w:bCs/>
          <w:i/>
          <w:iCs/>
        </w:rPr>
        <w:fldChar w:fldCharType="begin"/>
      </w:r>
      <w:r w:rsidRPr="00A450A9">
        <w:rPr>
          <w:b/>
          <w:bCs/>
        </w:rPr>
        <w:instrText xml:space="preserve"> SEQ Article \* ARABIC </w:instrText>
      </w:r>
      <w:r w:rsidRPr="00A450A9">
        <w:rPr>
          <w:b/>
          <w:bCs/>
          <w:i/>
          <w:iCs/>
        </w:rPr>
        <w:fldChar w:fldCharType="separate"/>
      </w:r>
      <w:r w:rsidR="00871300">
        <w:rPr>
          <w:b/>
          <w:bCs/>
          <w:noProof/>
        </w:rPr>
        <w:t>5</w:t>
      </w:r>
      <w:r w:rsidRPr="00A450A9">
        <w:rPr>
          <w:b/>
          <w:bCs/>
          <w:i/>
          <w:iCs/>
        </w:rPr>
        <w:fldChar w:fldCharType="end"/>
      </w:r>
    </w:p>
    <w:p w14:paraId="1F2CE1AF" w14:textId="77777777" w:rsidR="00CB51BD" w:rsidRDefault="00CB51BD" w:rsidP="002B0DC1">
      <w:pPr>
        <w:jc w:val="both"/>
        <w:rPr>
          <w:color w:val="000000"/>
          <w:lang w:eastAsia="fr-FR"/>
        </w:rPr>
      </w:pPr>
    </w:p>
    <w:p w14:paraId="1D14EFFB" w14:textId="70398608" w:rsidR="00A450A9" w:rsidRDefault="00A450A9" w:rsidP="002B0DC1">
      <w:pPr>
        <w:jc w:val="both"/>
        <w:rPr>
          <w:color w:val="000000"/>
          <w:lang w:eastAsia="fr-FR"/>
        </w:rPr>
      </w:pPr>
      <w:r w:rsidRPr="00645CFB">
        <w:rPr>
          <w:color w:val="000000"/>
          <w:lang w:eastAsia="fr-FR"/>
        </w:rPr>
        <w:t>L’article 4 de l’arrêté susvisé</w:t>
      </w:r>
      <w:r w:rsidRPr="000C039C">
        <w:rPr>
          <w:color w:val="000000"/>
          <w:lang w:eastAsia="fr-FR"/>
        </w:rPr>
        <w:t xml:space="preserve"> est </w:t>
      </w:r>
      <w:r w:rsidR="00B476F8">
        <w:rPr>
          <w:color w:val="000000"/>
          <w:lang w:eastAsia="fr-FR"/>
        </w:rPr>
        <w:t>remplacé</w:t>
      </w:r>
      <w:r w:rsidR="00B476F8" w:rsidRPr="000C039C">
        <w:rPr>
          <w:color w:val="000000"/>
          <w:lang w:eastAsia="fr-FR"/>
        </w:rPr>
        <w:t> </w:t>
      </w:r>
      <w:r w:rsidR="00F32355">
        <w:rPr>
          <w:color w:val="000000"/>
          <w:lang w:eastAsia="fr-FR"/>
        </w:rPr>
        <w:t xml:space="preserve">par les dispositions suivantes </w:t>
      </w:r>
      <w:r w:rsidRPr="000C039C">
        <w:rPr>
          <w:color w:val="000000"/>
          <w:lang w:eastAsia="fr-FR"/>
        </w:rPr>
        <w:t>:</w:t>
      </w:r>
    </w:p>
    <w:p w14:paraId="170BCA6D" w14:textId="3A6172DE" w:rsidR="00B476F8" w:rsidRDefault="00B476F8" w:rsidP="002B0DC1">
      <w:pPr>
        <w:jc w:val="both"/>
        <w:rPr>
          <w:color w:val="000000"/>
          <w:lang w:eastAsia="fr-FR"/>
        </w:rPr>
      </w:pPr>
    </w:p>
    <w:p w14:paraId="5D12F2ED" w14:textId="4C4E17A0" w:rsidR="00B476F8" w:rsidRPr="001565D6" w:rsidRDefault="00B476F8" w:rsidP="002B0DC1">
      <w:pPr>
        <w:jc w:val="both"/>
        <w:rPr>
          <w:i/>
          <w:iCs/>
          <w:color w:val="000000"/>
          <w:lang w:eastAsia="fr-FR"/>
        </w:rPr>
      </w:pPr>
      <w:r>
        <w:rPr>
          <w:color w:val="000000"/>
          <w:lang w:eastAsia="fr-FR"/>
        </w:rPr>
        <w:t xml:space="preserve">« </w:t>
      </w:r>
      <w:r w:rsidR="001565D6" w:rsidRPr="001565D6">
        <w:rPr>
          <w:i/>
          <w:iCs/>
          <w:color w:val="000000"/>
          <w:lang w:eastAsia="fr-FR"/>
        </w:rPr>
        <w:t xml:space="preserve">Art. 4. - </w:t>
      </w:r>
      <w:r w:rsidRPr="00F32355">
        <w:rPr>
          <w:color w:val="000000"/>
          <w:lang w:eastAsia="fr-FR"/>
        </w:rPr>
        <w:t>Extension, modification</w:t>
      </w:r>
    </w:p>
    <w:p w14:paraId="6E3E8F88" w14:textId="77777777" w:rsidR="00B476F8" w:rsidRDefault="00B476F8" w:rsidP="002B0DC1">
      <w:pPr>
        <w:jc w:val="both"/>
        <w:rPr>
          <w:color w:val="000000"/>
          <w:lang w:eastAsia="fr-FR"/>
        </w:rPr>
      </w:pPr>
    </w:p>
    <w:p w14:paraId="43AF76D1" w14:textId="665D8468" w:rsidR="00B476F8" w:rsidRPr="00B476F8" w:rsidRDefault="00B476F8" w:rsidP="002B0DC1">
      <w:pPr>
        <w:jc w:val="both"/>
        <w:rPr>
          <w:color w:val="000000"/>
          <w:lang w:eastAsia="fr-FR"/>
        </w:rPr>
      </w:pPr>
      <w:r>
        <w:rPr>
          <w:color w:val="000000"/>
          <w:lang w:eastAsia="fr-FR"/>
        </w:rPr>
        <w:t>« </w:t>
      </w:r>
      <w:r w:rsidRPr="00B476F8">
        <w:rPr>
          <w:color w:val="000000"/>
          <w:lang w:eastAsia="fr-FR"/>
        </w:rPr>
        <w:t>I. - Lors de l'extension d'une installation de combustion, les valeurs limites d'émission applicables à la partie agrandie de l’installation sont déterminées en fonction de la date d’autorisation ou de mise en service de la partie agrandie (selon les cas) et sont déterminées en fonction de la puissance thermique nominale totale de l'ensemble de l'installation de combustion.</w:t>
      </w:r>
    </w:p>
    <w:p w14:paraId="1EA05265" w14:textId="77777777" w:rsidR="00B476F8" w:rsidRDefault="00B476F8" w:rsidP="002B0DC1">
      <w:pPr>
        <w:jc w:val="both"/>
        <w:rPr>
          <w:color w:val="000000"/>
          <w:lang w:eastAsia="fr-FR"/>
        </w:rPr>
      </w:pPr>
    </w:p>
    <w:p w14:paraId="3D6E0904" w14:textId="31B57663" w:rsidR="00B476F8" w:rsidRPr="00B476F8" w:rsidRDefault="00B476F8" w:rsidP="002B0DC1">
      <w:pPr>
        <w:jc w:val="both"/>
        <w:rPr>
          <w:color w:val="000000"/>
          <w:lang w:eastAsia="fr-FR"/>
        </w:rPr>
      </w:pPr>
      <w:r>
        <w:rPr>
          <w:color w:val="000000"/>
          <w:lang w:eastAsia="fr-FR"/>
        </w:rPr>
        <w:t>« </w:t>
      </w:r>
      <w:r w:rsidRPr="00B476F8">
        <w:rPr>
          <w:color w:val="000000"/>
          <w:lang w:eastAsia="fr-FR"/>
        </w:rPr>
        <w:t>II. - Lors de la modification d'une installation de combustion ayant conduit au dépôt d'une nouvelle demande d'autorisation en application de l'article R. 181-46 du code de l'environnement, les valeurs limites d'émission applicables à la partie de l'installation qui a été modifiée sont déterminées en fonction de la date d’autorisation de la modification de l’installation. Elles sont déterminées par rapport à la puissance thermique nominale totale de l'ensemble de l'installation de combustion.</w:t>
      </w:r>
    </w:p>
    <w:p w14:paraId="305DB541" w14:textId="77777777" w:rsidR="00B476F8" w:rsidRDefault="00B476F8" w:rsidP="002B0DC1">
      <w:pPr>
        <w:jc w:val="both"/>
        <w:rPr>
          <w:color w:val="000000"/>
          <w:lang w:eastAsia="fr-FR"/>
        </w:rPr>
      </w:pPr>
    </w:p>
    <w:p w14:paraId="415CB72B" w14:textId="0641D841" w:rsidR="00B476F8" w:rsidRPr="00B476F8" w:rsidRDefault="00B476F8" w:rsidP="002B0DC1">
      <w:pPr>
        <w:jc w:val="both"/>
        <w:rPr>
          <w:color w:val="000000"/>
          <w:lang w:eastAsia="fr-FR"/>
        </w:rPr>
      </w:pPr>
      <w:r>
        <w:rPr>
          <w:color w:val="000000"/>
          <w:lang w:eastAsia="fr-FR"/>
        </w:rPr>
        <w:t>« </w:t>
      </w:r>
      <w:r w:rsidRPr="00B476F8">
        <w:rPr>
          <w:color w:val="000000"/>
          <w:lang w:eastAsia="fr-FR"/>
        </w:rPr>
        <w:t xml:space="preserve">III. – Lorsqu’un combustible utilisé par un appareil de combustion correspond à du charbon, </w:t>
      </w:r>
      <w:r w:rsidR="001443A3">
        <w:rPr>
          <w:color w:val="000000"/>
          <w:lang w:eastAsia="fr-FR"/>
        </w:rPr>
        <w:t>du</w:t>
      </w:r>
      <w:r w:rsidRPr="00B476F8">
        <w:rPr>
          <w:color w:val="000000"/>
          <w:lang w:eastAsia="fr-FR"/>
        </w:rPr>
        <w:t xml:space="preserve"> lignite, de la biomasse, du fioul domestique, du fioul lourd, du gaz naturel, des gaz sidérurgiques ou des combustibles issus de procédés de l’industrie chimique, et que ce combustible est substitué par un autre combustible non cité précédemment, sans modification de l’appareil de combustion, alors, les valeurs limites d’émission applicables au nouveau combustible respectent les valeurs citées aux articles 10, 11, 12 et 13, sans être supérieures à celle du combustible auquel il vient de se substituer.</w:t>
      </w:r>
    </w:p>
    <w:p w14:paraId="7E7B7C9F" w14:textId="77777777" w:rsidR="00B476F8" w:rsidRDefault="00B476F8" w:rsidP="002B0DC1">
      <w:pPr>
        <w:jc w:val="both"/>
        <w:rPr>
          <w:color w:val="000000"/>
          <w:lang w:eastAsia="fr-FR"/>
        </w:rPr>
      </w:pPr>
    </w:p>
    <w:p w14:paraId="1CEBC8DC" w14:textId="5DF714FA" w:rsidR="00B476F8" w:rsidRPr="00B476F8" w:rsidRDefault="00B476F8" w:rsidP="002B0DC1">
      <w:pPr>
        <w:jc w:val="both"/>
        <w:rPr>
          <w:color w:val="000000"/>
          <w:lang w:eastAsia="fr-FR"/>
        </w:rPr>
      </w:pPr>
      <w:r>
        <w:rPr>
          <w:color w:val="000000"/>
          <w:lang w:eastAsia="fr-FR"/>
        </w:rPr>
        <w:t>« </w:t>
      </w:r>
      <w:r w:rsidRPr="00B476F8">
        <w:rPr>
          <w:color w:val="000000"/>
          <w:lang w:eastAsia="fr-FR"/>
        </w:rPr>
        <w:t xml:space="preserve">Le préfet peut fixer des valeurs limites d’émission différentes par arrêté préfectoral, au vu d'une justification fournie par l'exploitant comprenant notamment une étude technico-économique, sans toutefois dépasser les valeurs limites d’émission fixées aux </w:t>
      </w:r>
      <w:r w:rsidR="000125F2">
        <w:rPr>
          <w:color w:val="000000"/>
          <w:lang w:eastAsia="fr-FR"/>
        </w:rPr>
        <w:t xml:space="preserve">I des </w:t>
      </w:r>
      <w:r w:rsidRPr="00B476F8">
        <w:rPr>
          <w:color w:val="000000"/>
          <w:lang w:eastAsia="fr-FR"/>
        </w:rPr>
        <w:t>articles 10, 11 et 12 du présent arrêté.</w:t>
      </w:r>
    </w:p>
    <w:p w14:paraId="6C1FDB94" w14:textId="77777777" w:rsidR="00B476F8" w:rsidRDefault="00B476F8" w:rsidP="002B0DC1">
      <w:pPr>
        <w:jc w:val="both"/>
        <w:rPr>
          <w:color w:val="000000"/>
          <w:lang w:eastAsia="fr-FR"/>
        </w:rPr>
      </w:pPr>
    </w:p>
    <w:p w14:paraId="47807C20" w14:textId="75E06F17" w:rsidR="00B476F8" w:rsidRDefault="00B476F8" w:rsidP="002B0DC1">
      <w:pPr>
        <w:jc w:val="both"/>
        <w:rPr>
          <w:color w:val="000000"/>
          <w:lang w:eastAsia="fr-FR"/>
        </w:rPr>
      </w:pPr>
      <w:r>
        <w:rPr>
          <w:color w:val="000000"/>
          <w:lang w:eastAsia="fr-FR"/>
        </w:rPr>
        <w:t>« </w:t>
      </w:r>
      <w:r w:rsidRPr="00B476F8">
        <w:rPr>
          <w:color w:val="000000"/>
          <w:lang w:eastAsia="fr-FR"/>
        </w:rPr>
        <w:t>Cette disposition est applicable</w:t>
      </w:r>
      <w:r w:rsidR="00E82BEF">
        <w:rPr>
          <w:color w:val="000000"/>
          <w:lang w:eastAsia="fr-FR"/>
        </w:rPr>
        <w:t xml:space="preserve"> </w:t>
      </w:r>
      <w:bookmarkStart w:id="2" w:name="_Hlk177741254"/>
      <w:r w:rsidR="00E82BEF">
        <w:rPr>
          <w:color w:val="000000"/>
          <w:lang w:eastAsia="fr-FR"/>
        </w:rPr>
        <w:t>aux dossiers de modification de combustibles déposés</w:t>
      </w:r>
      <w:r w:rsidRPr="00B476F8">
        <w:rPr>
          <w:color w:val="000000"/>
          <w:lang w:eastAsia="fr-FR"/>
        </w:rPr>
        <w:t xml:space="preserve"> </w:t>
      </w:r>
      <w:bookmarkEnd w:id="2"/>
      <w:r w:rsidRPr="00B476F8">
        <w:rPr>
          <w:color w:val="000000"/>
          <w:lang w:eastAsia="fr-FR"/>
        </w:rPr>
        <w:t xml:space="preserve">à compter du </w:t>
      </w:r>
      <w:r w:rsidRPr="00424EA3">
        <w:rPr>
          <w:color w:val="000000"/>
          <w:lang w:eastAsia="fr-FR"/>
        </w:rPr>
        <w:t>1</w:t>
      </w:r>
      <w:r w:rsidRPr="00424EA3">
        <w:rPr>
          <w:color w:val="000000"/>
          <w:vertAlign w:val="superscript"/>
          <w:lang w:eastAsia="fr-FR"/>
        </w:rPr>
        <w:t>er</w:t>
      </w:r>
      <w:r w:rsidR="00E97B2F" w:rsidRPr="00424EA3">
        <w:rPr>
          <w:color w:val="000000"/>
          <w:lang w:eastAsia="fr-FR"/>
        </w:rPr>
        <w:t xml:space="preserve"> </w:t>
      </w:r>
      <w:r w:rsidR="00424EA3" w:rsidRPr="00424EA3">
        <w:rPr>
          <w:color w:val="000000"/>
          <w:lang w:eastAsia="fr-FR"/>
        </w:rPr>
        <w:t xml:space="preserve">juillet </w:t>
      </w:r>
      <w:r w:rsidRPr="00424EA3">
        <w:rPr>
          <w:color w:val="000000"/>
          <w:lang w:eastAsia="fr-FR"/>
        </w:rPr>
        <w:t>2025</w:t>
      </w:r>
      <w:r w:rsidRPr="00B476F8">
        <w:rPr>
          <w:color w:val="000000"/>
          <w:lang w:eastAsia="fr-FR"/>
        </w:rPr>
        <w:t>.</w:t>
      </w:r>
      <w:r>
        <w:rPr>
          <w:color w:val="000000"/>
          <w:lang w:eastAsia="fr-FR"/>
        </w:rPr>
        <w:t> »</w:t>
      </w:r>
    </w:p>
    <w:p w14:paraId="3A666B35" w14:textId="77777777" w:rsidR="00C30799" w:rsidRDefault="00C30799" w:rsidP="002B0DC1">
      <w:pPr>
        <w:jc w:val="both"/>
      </w:pPr>
    </w:p>
    <w:p w14:paraId="16C2A52A" w14:textId="5A5984CF" w:rsidR="00A450A9" w:rsidRPr="00A450A9" w:rsidRDefault="00A450A9" w:rsidP="002B0DC1">
      <w:pPr>
        <w:jc w:val="center"/>
        <w:rPr>
          <w:b/>
          <w:bCs/>
          <w:i/>
          <w:iCs/>
        </w:rPr>
      </w:pPr>
      <w:r w:rsidRPr="00A450A9">
        <w:rPr>
          <w:b/>
          <w:bCs/>
        </w:rPr>
        <w:t xml:space="preserve">Article </w:t>
      </w:r>
      <w:r w:rsidRPr="00A450A9">
        <w:rPr>
          <w:b/>
          <w:bCs/>
          <w:i/>
          <w:iCs/>
        </w:rPr>
        <w:fldChar w:fldCharType="begin"/>
      </w:r>
      <w:r w:rsidRPr="00A450A9">
        <w:rPr>
          <w:b/>
          <w:bCs/>
        </w:rPr>
        <w:instrText xml:space="preserve"> SEQ Article \* ARABIC </w:instrText>
      </w:r>
      <w:r w:rsidRPr="00A450A9">
        <w:rPr>
          <w:b/>
          <w:bCs/>
          <w:i/>
          <w:iCs/>
        </w:rPr>
        <w:fldChar w:fldCharType="separate"/>
      </w:r>
      <w:r w:rsidR="00871300">
        <w:rPr>
          <w:b/>
          <w:bCs/>
          <w:noProof/>
        </w:rPr>
        <w:t>6</w:t>
      </w:r>
      <w:r w:rsidRPr="00A450A9">
        <w:rPr>
          <w:b/>
          <w:bCs/>
          <w:i/>
          <w:iCs/>
        </w:rPr>
        <w:fldChar w:fldCharType="end"/>
      </w:r>
    </w:p>
    <w:p w14:paraId="4FC121CF" w14:textId="77777777" w:rsidR="00436652" w:rsidRDefault="00436652" w:rsidP="002B0DC1">
      <w:pPr>
        <w:jc w:val="both"/>
        <w:rPr>
          <w:color w:val="000000"/>
          <w:lang w:eastAsia="fr-FR"/>
        </w:rPr>
      </w:pPr>
    </w:p>
    <w:p w14:paraId="3537272D" w14:textId="316A22AD" w:rsidR="001E47C8" w:rsidRDefault="001E47C8" w:rsidP="002B0DC1">
      <w:pPr>
        <w:jc w:val="both"/>
        <w:rPr>
          <w:color w:val="000000"/>
          <w:lang w:eastAsia="fr-FR"/>
        </w:rPr>
      </w:pPr>
      <w:r w:rsidRPr="00645CFB">
        <w:rPr>
          <w:color w:val="000000"/>
          <w:lang w:eastAsia="fr-FR"/>
        </w:rPr>
        <w:t>L’article 5 de l’arrêté</w:t>
      </w:r>
      <w:r w:rsidRPr="000C039C">
        <w:rPr>
          <w:color w:val="000000"/>
          <w:lang w:eastAsia="fr-FR"/>
        </w:rPr>
        <w:t xml:space="preserve"> susvisé est ainsi modifié :</w:t>
      </w:r>
    </w:p>
    <w:p w14:paraId="1FE6B15B" w14:textId="72029167" w:rsidR="001E47C8" w:rsidRPr="009952AB" w:rsidRDefault="006A72C4" w:rsidP="002B0DC1">
      <w:pPr>
        <w:suppressAutoHyphens w:val="0"/>
        <w:spacing w:before="100" w:beforeAutospacing="1" w:after="119"/>
        <w:jc w:val="both"/>
        <w:rPr>
          <w:color w:val="000000"/>
          <w:lang w:eastAsia="fr-FR"/>
        </w:rPr>
      </w:pPr>
      <w:r>
        <w:rPr>
          <w:color w:val="000000"/>
          <w:lang w:eastAsia="fr-FR"/>
        </w:rPr>
        <w:t>1°</w:t>
      </w:r>
      <w:r w:rsidR="001E47C8" w:rsidRPr="009952AB">
        <w:rPr>
          <w:color w:val="000000"/>
          <w:lang w:eastAsia="fr-FR"/>
        </w:rPr>
        <w:t xml:space="preserve"> </w:t>
      </w:r>
      <w:r w:rsidR="00F32355" w:rsidRPr="009952AB">
        <w:rPr>
          <w:color w:val="000000"/>
          <w:lang w:eastAsia="fr-FR"/>
        </w:rPr>
        <w:t xml:space="preserve">Un alinéa </w:t>
      </w:r>
      <w:r w:rsidR="001E47C8" w:rsidRPr="009952AB">
        <w:rPr>
          <w:color w:val="000000"/>
          <w:lang w:eastAsia="fr-FR"/>
        </w:rPr>
        <w:t xml:space="preserve">« Prescriptions supplémentaires, dérogation » </w:t>
      </w:r>
      <w:r w:rsidR="00424C89" w:rsidRPr="009952AB">
        <w:rPr>
          <w:color w:val="000000"/>
          <w:lang w:eastAsia="fr-FR"/>
        </w:rPr>
        <w:t>e</w:t>
      </w:r>
      <w:r w:rsidR="001E47C8" w:rsidRPr="009952AB">
        <w:rPr>
          <w:color w:val="000000"/>
          <w:lang w:eastAsia="fr-FR"/>
        </w:rPr>
        <w:t>st inséré avant le premier alinéa.</w:t>
      </w:r>
    </w:p>
    <w:p w14:paraId="36AA0505" w14:textId="17E105E8" w:rsidR="001E47C8" w:rsidRPr="009952AB" w:rsidRDefault="006A72C4" w:rsidP="002B0DC1">
      <w:pPr>
        <w:suppressAutoHyphens w:val="0"/>
        <w:spacing w:before="100" w:beforeAutospacing="1" w:after="119"/>
        <w:jc w:val="both"/>
        <w:rPr>
          <w:color w:val="000000"/>
          <w:lang w:eastAsia="fr-FR"/>
        </w:rPr>
      </w:pPr>
      <w:r>
        <w:rPr>
          <w:color w:val="000000"/>
          <w:lang w:eastAsia="fr-FR"/>
        </w:rPr>
        <w:t>2°</w:t>
      </w:r>
      <w:r w:rsidR="001E47C8" w:rsidRPr="009952AB">
        <w:rPr>
          <w:color w:val="000000"/>
          <w:lang w:eastAsia="fr-FR"/>
        </w:rPr>
        <w:t xml:space="preserve"> </w:t>
      </w:r>
      <w:r w:rsidR="00F32355" w:rsidRPr="009952AB">
        <w:rPr>
          <w:color w:val="000000"/>
          <w:lang w:eastAsia="fr-FR"/>
        </w:rPr>
        <w:t xml:space="preserve">Le </w:t>
      </w:r>
      <w:r w:rsidR="001E47C8" w:rsidRPr="009952AB">
        <w:rPr>
          <w:color w:val="000000"/>
          <w:lang w:eastAsia="fr-FR"/>
        </w:rPr>
        <w:t>I est complété par l’alinéa suivant :</w:t>
      </w:r>
    </w:p>
    <w:p w14:paraId="649FCCB4" w14:textId="36612943" w:rsidR="001E47C8" w:rsidRPr="009952AB" w:rsidRDefault="001E47C8" w:rsidP="002B0DC1">
      <w:pPr>
        <w:spacing w:after="240"/>
        <w:jc w:val="both"/>
        <w:rPr>
          <w:color w:val="000000"/>
          <w:lang w:eastAsia="fr-FR"/>
        </w:rPr>
      </w:pPr>
      <w:r w:rsidRPr="009952AB">
        <w:rPr>
          <w:color w:val="000000"/>
          <w:lang w:eastAsia="fr-FR"/>
        </w:rPr>
        <w:t>« L’exploitant respecte les dispositions de l’article 2</w:t>
      </w:r>
      <w:r w:rsidR="00283A55" w:rsidRPr="009952AB">
        <w:rPr>
          <w:color w:val="000000"/>
          <w:lang w:eastAsia="fr-FR"/>
        </w:rPr>
        <w:t xml:space="preserve"> de l’arrêté du 2 février 1998 susvisé</w:t>
      </w:r>
      <w:r w:rsidR="006F72E2" w:rsidRPr="009952AB">
        <w:rPr>
          <w:color w:val="000000"/>
          <w:lang w:eastAsia="fr-FR"/>
        </w:rPr>
        <w:t xml:space="preserve">, </w:t>
      </w:r>
      <w:bookmarkStart w:id="3" w:name="_Hlk167819165"/>
      <w:r w:rsidR="006F72E2" w:rsidRPr="009952AB">
        <w:rPr>
          <w:color w:val="000000"/>
          <w:lang w:eastAsia="fr-FR"/>
        </w:rPr>
        <w:t>relatives à la conception, l’aménagement, l’entretien et l’exploitation des installations</w:t>
      </w:r>
      <w:bookmarkEnd w:id="3"/>
      <w:r w:rsidR="009C0F09" w:rsidRPr="009952AB">
        <w:rPr>
          <w:color w:val="000000"/>
          <w:lang w:eastAsia="fr-FR"/>
        </w:rPr>
        <w:t xml:space="preserve">. </w:t>
      </w:r>
      <w:r w:rsidRPr="009952AB">
        <w:rPr>
          <w:color w:val="000000"/>
          <w:lang w:eastAsia="fr-FR"/>
        </w:rPr>
        <w:t>»</w:t>
      </w:r>
    </w:p>
    <w:p w14:paraId="2AED87B4" w14:textId="6D00FC28" w:rsidR="001E47C8" w:rsidRPr="009952AB" w:rsidRDefault="006A72C4" w:rsidP="002B0DC1">
      <w:pPr>
        <w:suppressAutoHyphens w:val="0"/>
        <w:spacing w:before="100" w:beforeAutospacing="1" w:after="119"/>
        <w:jc w:val="both"/>
        <w:rPr>
          <w:color w:val="000000"/>
          <w:lang w:eastAsia="fr-FR"/>
        </w:rPr>
      </w:pPr>
      <w:r>
        <w:rPr>
          <w:color w:val="000000"/>
          <w:lang w:eastAsia="fr-FR"/>
        </w:rPr>
        <w:t>3°</w:t>
      </w:r>
      <w:r w:rsidR="006F70DC" w:rsidRPr="009952AB">
        <w:rPr>
          <w:color w:val="000000"/>
          <w:lang w:eastAsia="fr-FR"/>
        </w:rPr>
        <w:t xml:space="preserve"> A</w:t>
      </w:r>
      <w:r w:rsidR="006E544A" w:rsidRPr="009952AB">
        <w:rPr>
          <w:color w:val="000000"/>
          <w:lang w:eastAsia="fr-FR"/>
        </w:rPr>
        <w:t>u</w:t>
      </w:r>
      <w:r w:rsidR="006F70DC" w:rsidRPr="009952AB">
        <w:rPr>
          <w:color w:val="000000"/>
          <w:lang w:eastAsia="fr-FR"/>
        </w:rPr>
        <w:t xml:space="preserve"> II, après les mots</w:t>
      </w:r>
      <w:r w:rsidR="006E544A" w:rsidRPr="009952AB">
        <w:rPr>
          <w:color w:val="000000"/>
          <w:lang w:eastAsia="fr-FR"/>
        </w:rPr>
        <w:t> :</w:t>
      </w:r>
      <w:r w:rsidR="006F70DC" w:rsidRPr="009952AB">
        <w:rPr>
          <w:color w:val="000000"/>
          <w:lang w:eastAsia="fr-FR"/>
        </w:rPr>
        <w:t xml:space="preserve"> « fixé</w:t>
      </w:r>
      <w:r w:rsidR="00F32355" w:rsidRPr="009952AB">
        <w:rPr>
          <w:color w:val="000000"/>
          <w:lang w:eastAsia="fr-FR"/>
        </w:rPr>
        <w:t>e</w:t>
      </w:r>
      <w:r w:rsidR="006F70DC" w:rsidRPr="009952AB">
        <w:rPr>
          <w:color w:val="000000"/>
          <w:lang w:eastAsia="fr-FR"/>
        </w:rPr>
        <w:t xml:space="preserve">s </w:t>
      </w:r>
      <w:r w:rsidR="006E544A" w:rsidRPr="009952AB">
        <w:rPr>
          <w:color w:val="000000"/>
          <w:lang w:eastAsia="fr-FR"/>
        </w:rPr>
        <w:t>d</w:t>
      </w:r>
      <w:r w:rsidR="006F70DC" w:rsidRPr="009952AB">
        <w:rPr>
          <w:color w:val="000000"/>
          <w:lang w:eastAsia="fr-FR"/>
        </w:rPr>
        <w:t>ans le présent arrêté », sont insérés les mots</w:t>
      </w:r>
      <w:r w:rsidR="006E544A" w:rsidRPr="009952AB">
        <w:rPr>
          <w:color w:val="000000"/>
          <w:lang w:eastAsia="fr-FR"/>
        </w:rPr>
        <w:t xml:space="preserve"> : </w:t>
      </w:r>
      <w:r w:rsidR="006F70DC" w:rsidRPr="009952AB">
        <w:rPr>
          <w:color w:val="000000"/>
          <w:lang w:eastAsia="fr-FR"/>
        </w:rPr>
        <w:t>« </w:t>
      </w:r>
      <w:r w:rsidR="000125F2" w:rsidRPr="009952AB">
        <w:rPr>
          <w:color w:val="000000"/>
          <w:lang w:eastAsia="fr-FR"/>
        </w:rPr>
        <w:t xml:space="preserve">aux I des </w:t>
      </w:r>
      <w:r w:rsidR="006F70DC" w:rsidRPr="009952AB">
        <w:rPr>
          <w:color w:val="000000"/>
          <w:lang w:eastAsia="fr-FR"/>
        </w:rPr>
        <w:t>articles 10, 11, 12 ».</w:t>
      </w:r>
    </w:p>
    <w:p w14:paraId="6DD35E03" w14:textId="5350E520" w:rsidR="006F70DC" w:rsidRDefault="006A72C4" w:rsidP="002B0DC1">
      <w:pPr>
        <w:suppressAutoHyphens w:val="0"/>
        <w:spacing w:before="100" w:beforeAutospacing="1" w:after="119"/>
        <w:jc w:val="both"/>
        <w:rPr>
          <w:bCs/>
          <w:color w:val="000000"/>
          <w:lang w:eastAsia="fr-FR"/>
        </w:rPr>
      </w:pPr>
      <w:r>
        <w:rPr>
          <w:color w:val="000000"/>
          <w:lang w:eastAsia="fr-FR"/>
        </w:rPr>
        <w:t>4°</w:t>
      </w:r>
      <w:r w:rsidR="006F70DC" w:rsidRPr="009952AB">
        <w:rPr>
          <w:color w:val="000000"/>
          <w:lang w:eastAsia="fr-FR"/>
        </w:rPr>
        <w:t xml:space="preserve"> L’article</w:t>
      </w:r>
      <w:r w:rsidR="006F70DC">
        <w:rPr>
          <w:bCs/>
          <w:color w:val="000000"/>
          <w:lang w:eastAsia="fr-FR"/>
        </w:rPr>
        <w:t xml:space="preserve"> 5 est complété </w:t>
      </w:r>
      <w:r w:rsidR="0052232D">
        <w:rPr>
          <w:bCs/>
          <w:color w:val="000000"/>
          <w:lang w:eastAsia="fr-FR"/>
        </w:rPr>
        <w:t>par les alinéas suivants</w:t>
      </w:r>
      <w:r w:rsidR="006F70DC">
        <w:rPr>
          <w:bCs/>
          <w:color w:val="000000"/>
          <w:lang w:eastAsia="fr-FR"/>
        </w:rPr>
        <w:t> :</w:t>
      </w:r>
    </w:p>
    <w:p w14:paraId="481747FB" w14:textId="14B254E3" w:rsidR="00417A57" w:rsidRPr="00417A57" w:rsidRDefault="006F70DC" w:rsidP="002B0DC1">
      <w:pPr>
        <w:jc w:val="both"/>
        <w:rPr>
          <w:color w:val="000000"/>
          <w:lang w:eastAsia="fr-FR"/>
        </w:rPr>
      </w:pPr>
      <w:r>
        <w:rPr>
          <w:color w:val="000000"/>
          <w:lang w:eastAsia="fr-FR"/>
        </w:rPr>
        <w:t>« </w:t>
      </w:r>
      <w:r w:rsidRPr="006F70DC">
        <w:rPr>
          <w:color w:val="000000"/>
          <w:lang w:eastAsia="fr-FR"/>
        </w:rPr>
        <w:t xml:space="preserve">III. </w:t>
      </w:r>
      <w:r w:rsidR="00417A57" w:rsidRPr="00417A57">
        <w:rPr>
          <w:color w:val="000000"/>
          <w:lang w:eastAsia="fr-FR"/>
        </w:rPr>
        <w:t xml:space="preserve">- Sous réserve du respect des dispositions prévues par les articles R. 515-60 à R. 515-69 du code de l'environnement, l'exploitant peut solliciter une dérogation afin </w:t>
      </w:r>
      <w:r w:rsidR="002A7995">
        <w:rPr>
          <w:color w:val="000000"/>
          <w:lang w:eastAsia="fr-FR"/>
        </w:rPr>
        <w:t>que soient définies</w:t>
      </w:r>
      <w:r w:rsidR="00417A57" w:rsidRPr="00417A57">
        <w:rPr>
          <w:color w:val="000000"/>
          <w:lang w:eastAsia="fr-FR"/>
        </w:rPr>
        <w:t xml:space="preserve"> des valeurs limites d'émissions qui excèdent les valeurs fixées par les articles suivants du présent arrêté :</w:t>
      </w:r>
    </w:p>
    <w:p w14:paraId="403138CF" w14:textId="0835C9A7" w:rsidR="00417A57" w:rsidRPr="00417A57" w:rsidRDefault="00417A57" w:rsidP="002B0DC1">
      <w:pPr>
        <w:jc w:val="both"/>
        <w:rPr>
          <w:color w:val="000000"/>
          <w:lang w:eastAsia="fr-FR"/>
        </w:rPr>
      </w:pPr>
      <w:r>
        <w:rPr>
          <w:color w:val="000000"/>
          <w:lang w:eastAsia="fr-FR"/>
        </w:rPr>
        <w:t>« </w:t>
      </w:r>
      <w:r w:rsidRPr="00417A57">
        <w:rPr>
          <w:color w:val="000000"/>
          <w:lang w:eastAsia="fr-FR"/>
        </w:rPr>
        <w:t>-</w:t>
      </w:r>
      <w:r w:rsidRPr="00417A57">
        <w:rPr>
          <w:color w:val="000000"/>
          <w:lang w:eastAsia="fr-FR"/>
        </w:rPr>
        <w:tab/>
        <w:t>pour les émissions dans l’air :</w:t>
      </w:r>
    </w:p>
    <w:p w14:paraId="63748469" w14:textId="45119013" w:rsidR="003A2F0B" w:rsidRPr="003A2F0B" w:rsidRDefault="003A2F0B" w:rsidP="002B0DC1">
      <w:pPr>
        <w:ind w:left="360"/>
        <w:jc w:val="both"/>
        <w:rPr>
          <w:rFonts w:eastAsiaTheme="minorEastAsia"/>
          <w:color w:val="000000"/>
        </w:rPr>
      </w:pPr>
      <w:r>
        <w:rPr>
          <w:rFonts w:eastAsiaTheme="minorEastAsia"/>
          <w:color w:val="000000"/>
        </w:rPr>
        <w:t xml:space="preserve">« - </w:t>
      </w:r>
      <w:r w:rsidRPr="003A2F0B">
        <w:rPr>
          <w:rFonts w:eastAsiaTheme="minorEastAsia"/>
          <w:color w:val="000000"/>
        </w:rPr>
        <w:t xml:space="preserve">aux II des articles 10, 11 et 12 pour les </w:t>
      </w:r>
      <w:proofErr w:type="spellStart"/>
      <w:r w:rsidRPr="003A2F0B">
        <w:rPr>
          <w:rFonts w:eastAsiaTheme="minorEastAsia"/>
          <w:color w:val="000000"/>
        </w:rPr>
        <w:t>SOx</w:t>
      </w:r>
      <w:proofErr w:type="spellEnd"/>
      <w:r w:rsidRPr="003A2F0B">
        <w:rPr>
          <w:rFonts w:eastAsiaTheme="minorEastAsia"/>
          <w:color w:val="000000"/>
        </w:rPr>
        <w:t>, NOx et poussières ;</w:t>
      </w:r>
    </w:p>
    <w:p w14:paraId="0808959A" w14:textId="6658DCE9" w:rsidR="003A2F0B" w:rsidRPr="003A2F0B" w:rsidRDefault="003A2F0B" w:rsidP="002B0DC1">
      <w:pPr>
        <w:ind w:left="360"/>
        <w:jc w:val="both"/>
        <w:rPr>
          <w:rFonts w:eastAsiaTheme="minorEastAsia"/>
          <w:color w:val="000000"/>
        </w:rPr>
      </w:pPr>
      <w:r>
        <w:rPr>
          <w:rFonts w:eastAsiaTheme="minorEastAsia"/>
          <w:color w:val="000000"/>
        </w:rPr>
        <w:t xml:space="preserve">« - </w:t>
      </w:r>
      <w:r w:rsidRPr="003A2F0B">
        <w:rPr>
          <w:rFonts w:eastAsiaTheme="minorEastAsia"/>
          <w:color w:val="000000"/>
        </w:rPr>
        <w:t>au b) du I de l’article 13 pour le NH</w:t>
      </w:r>
      <w:r w:rsidRPr="00CC2267">
        <w:rPr>
          <w:rFonts w:eastAsiaTheme="minorEastAsia"/>
          <w:color w:val="000000"/>
          <w:vertAlign w:val="subscript"/>
        </w:rPr>
        <w:t>3</w:t>
      </w:r>
      <w:r w:rsidRPr="003A2F0B">
        <w:rPr>
          <w:rFonts w:eastAsiaTheme="minorEastAsia"/>
          <w:color w:val="000000"/>
        </w:rPr>
        <w:t xml:space="preserve"> ;</w:t>
      </w:r>
    </w:p>
    <w:p w14:paraId="4C5FE62C" w14:textId="16267628" w:rsidR="003A2F0B" w:rsidRPr="003A2F0B" w:rsidRDefault="003A2F0B" w:rsidP="002B0DC1">
      <w:pPr>
        <w:ind w:left="360"/>
        <w:jc w:val="both"/>
        <w:rPr>
          <w:rFonts w:eastAsiaTheme="minorEastAsia"/>
          <w:color w:val="000000"/>
        </w:rPr>
      </w:pPr>
      <w:r>
        <w:rPr>
          <w:rFonts w:eastAsiaTheme="minorEastAsia"/>
          <w:color w:val="000000"/>
        </w:rPr>
        <w:t xml:space="preserve">« - </w:t>
      </w:r>
      <w:r w:rsidRPr="003A2F0B">
        <w:rPr>
          <w:rFonts w:eastAsiaTheme="minorEastAsia"/>
          <w:color w:val="000000"/>
        </w:rPr>
        <w:t xml:space="preserve">au point b) </w:t>
      </w:r>
      <w:r w:rsidR="00CC2267">
        <w:rPr>
          <w:rFonts w:eastAsiaTheme="minorEastAsia"/>
          <w:color w:val="000000"/>
        </w:rPr>
        <w:t xml:space="preserve">du III de l’article 13 </w:t>
      </w:r>
      <w:r w:rsidRPr="003A2F0B">
        <w:rPr>
          <w:rFonts w:eastAsiaTheme="minorEastAsia"/>
          <w:color w:val="000000"/>
        </w:rPr>
        <w:t>et aux 3</w:t>
      </w:r>
      <w:r w:rsidRPr="00CC2267">
        <w:rPr>
          <w:rFonts w:eastAsiaTheme="minorEastAsia"/>
          <w:color w:val="000000"/>
          <w:vertAlign w:val="superscript"/>
        </w:rPr>
        <w:t>ème</w:t>
      </w:r>
      <w:r w:rsidRPr="003A2F0B">
        <w:rPr>
          <w:rFonts w:eastAsiaTheme="minorEastAsia"/>
          <w:color w:val="000000"/>
        </w:rPr>
        <w:t>, 4</w:t>
      </w:r>
      <w:r w:rsidRPr="00CC2267">
        <w:rPr>
          <w:rFonts w:eastAsiaTheme="minorEastAsia"/>
          <w:color w:val="000000"/>
          <w:vertAlign w:val="superscript"/>
        </w:rPr>
        <w:t>ème</w:t>
      </w:r>
      <w:r w:rsidRPr="003A2F0B">
        <w:rPr>
          <w:rFonts w:eastAsiaTheme="minorEastAsia"/>
          <w:color w:val="000000"/>
        </w:rPr>
        <w:t xml:space="preserve"> et 5</w:t>
      </w:r>
      <w:r w:rsidRPr="00CC2267">
        <w:rPr>
          <w:rFonts w:eastAsiaTheme="minorEastAsia"/>
          <w:color w:val="000000"/>
          <w:vertAlign w:val="superscript"/>
        </w:rPr>
        <w:t>ème</w:t>
      </w:r>
      <w:r w:rsidRPr="003A2F0B">
        <w:rPr>
          <w:rFonts w:eastAsiaTheme="minorEastAsia"/>
          <w:color w:val="000000"/>
        </w:rPr>
        <w:t xml:space="preserve"> alinéas du point c) du </w:t>
      </w:r>
      <w:proofErr w:type="gramStart"/>
      <w:r w:rsidRPr="003A2F0B">
        <w:rPr>
          <w:rFonts w:eastAsiaTheme="minorEastAsia"/>
          <w:color w:val="000000"/>
        </w:rPr>
        <w:t>III  de</w:t>
      </w:r>
      <w:proofErr w:type="gramEnd"/>
      <w:r w:rsidRPr="003A2F0B">
        <w:rPr>
          <w:rFonts w:eastAsiaTheme="minorEastAsia"/>
          <w:color w:val="000000"/>
        </w:rPr>
        <w:t xml:space="preserve"> l’article 13 pour le CH</w:t>
      </w:r>
      <w:r w:rsidRPr="00CC2267">
        <w:rPr>
          <w:rFonts w:eastAsiaTheme="minorEastAsia"/>
          <w:color w:val="000000"/>
          <w:vertAlign w:val="subscript"/>
        </w:rPr>
        <w:t>4</w:t>
      </w:r>
      <w:r w:rsidRPr="003A2F0B">
        <w:rPr>
          <w:rFonts w:eastAsiaTheme="minorEastAsia"/>
          <w:color w:val="000000"/>
        </w:rPr>
        <w:t xml:space="preserve"> ; </w:t>
      </w:r>
    </w:p>
    <w:p w14:paraId="160E0CCA" w14:textId="223250B2" w:rsidR="003A2F0B" w:rsidRPr="003A2F0B" w:rsidRDefault="003A2F0B" w:rsidP="002B0DC1">
      <w:pPr>
        <w:ind w:left="360"/>
        <w:jc w:val="both"/>
        <w:rPr>
          <w:rFonts w:eastAsiaTheme="minorEastAsia"/>
          <w:color w:val="000000"/>
        </w:rPr>
      </w:pPr>
      <w:r>
        <w:rPr>
          <w:rFonts w:eastAsiaTheme="minorEastAsia"/>
          <w:color w:val="000000"/>
        </w:rPr>
        <w:t xml:space="preserve">« - </w:t>
      </w:r>
      <w:r w:rsidRPr="003A2F0B">
        <w:rPr>
          <w:rFonts w:eastAsiaTheme="minorEastAsia"/>
          <w:color w:val="000000"/>
        </w:rPr>
        <w:t xml:space="preserve">aux points b) et c) du IV de l’article 13 pour </w:t>
      </w:r>
      <w:proofErr w:type="spellStart"/>
      <w:r w:rsidRPr="003A2F0B">
        <w:rPr>
          <w:rFonts w:eastAsiaTheme="minorEastAsia"/>
          <w:color w:val="000000"/>
        </w:rPr>
        <w:t>HCl</w:t>
      </w:r>
      <w:proofErr w:type="spellEnd"/>
      <w:r w:rsidRPr="003A2F0B">
        <w:rPr>
          <w:rFonts w:eastAsiaTheme="minorEastAsia"/>
          <w:color w:val="000000"/>
        </w:rPr>
        <w:t xml:space="preserve"> et HF ; </w:t>
      </w:r>
    </w:p>
    <w:p w14:paraId="340D5CF4" w14:textId="7A1FC024" w:rsidR="003A2F0B" w:rsidRPr="003A2F0B" w:rsidRDefault="003A2F0B" w:rsidP="002B0DC1">
      <w:pPr>
        <w:ind w:left="360"/>
        <w:jc w:val="both"/>
        <w:rPr>
          <w:rFonts w:eastAsiaTheme="minorEastAsia"/>
          <w:color w:val="000000"/>
        </w:rPr>
      </w:pPr>
      <w:r>
        <w:rPr>
          <w:rFonts w:eastAsiaTheme="minorEastAsia"/>
          <w:color w:val="000000"/>
        </w:rPr>
        <w:t xml:space="preserve">« - </w:t>
      </w:r>
      <w:r w:rsidRPr="003A2F0B">
        <w:rPr>
          <w:rFonts w:eastAsiaTheme="minorEastAsia"/>
          <w:color w:val="000000"/>
        </w:rPr>
        <w:t>au point b) du V de l’article 13 pour les dioxines et furanes ;</w:t>
      </w:r>
    </w:p>
    <w:p w14:paraId="287D7846" w14:textId="2F1B1BB1" w:rsidR="003A2F0B" w:rsidRDefault="003A2F0B" w:rsidP="002B0DC1">
      <w:pPr>
        <w:ind w:left="360"/>
        <w:jc w:val="both"/>
        <w:rPr>
          <w:rFonts w:eastAsiaTheme="minorEastAsia"/>
          <w:color w:val="000000"/>
        </w:rPr>
      </w:pPr>
      <w:r>
        <w:rPr>
          <w:rFonts w:eastAsiaTheme="minorEastAsia"/>
          <w:color w:val="000000"/>
        </w:rPr>
        <w:t xml:space="preserve">« - </w:t>
      </w:r>
      <w:r w:rsidRPr="003A2F0B">
        <w:rPr>
          <w:rFonts w:eastAsiaTheme="minorEastAsia"/>
          <w:color w:val="000000"/>
        </w:rPr>
        <w:t xml:space="preserve">au point b) du VI de l’article 13 pour le mercure (Hg) ; </w:t>
      </w:r>
    </w:p>
    <w:p w14:paraId="3D1EAC8F" w14:textId="21071A02" w:rsidR="00417A57" w:rsidRPr="003A2F0B" w:rsidRDefault="00417A57" w:rsidP="002B0DC1">
      <w:pPr>
        <w:jc w:val="both"/>
        <w:rPr>
          <w:color w:val="000000"/>
        </w:rPr>
      </w:pPr>
      <w:proofErr w:type="gramStart"/>
      <w:r w:rsidRPr="003A2F0B">
        <w:rPr>
          <w:color w:val="000000"/>
        </w:rPr>
        <w:t>«  -</w:t>
      </w:r>
      <w:proofErr w:type="gramEnd"/>
      <w:r w:rsidRPr="003A2F0B">
        <w:rPr>
          <w:color w:val="000000"/>
        </w:rPr>
        <w:tab/>
        <w:t>pour les eaux issues du traitement des fumées :</w:t>
      </w:r>
    </w:p>
    <w:p w14:paraId="5CCEC86F" w14:textId="65B58BAA" w:rsidR="00417A57" w:rsidRPr="00417A57" w:rsidRDefault="00417A57" w:rsidP="002B0DC1">
      <w:pPr>
        <w:pStyle w:val="Paragraphedeliste"/>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 xml:space="preserve">« - </w:t>
      </w:r>
      <w:r w:rsidR="00974C65">
        <w:rPr>
          <w:rFonts w:ascii="Times New Roman" w:hAnsi="Times New Roman"/>
          <w:color w:val="000000"/>
          <w:sz w:val="24"/>
          <w:szCs w:val="24"/>
        </w:rPr>
        <w:t xml:space="preserve">à l’article </w:t>
      </w:r>
      <w:r w:rsidRPr="00417A57">
        <w:rPr>
          <w:rFonts w:ascii="Times New Roman" w:hAnsi="Times New Roman"/>
          <w:color w:val="000000"/>
          <w:sz w:val="24"/>
          <w:szCs w:val="24"/>
        </w:rPr>
        <w:t>46 pour le Pb, Hg, ions fluorures, Zn (colonne « eaux issues du traitement des fumées</w:t>
      </w:r>
      <w:r>
        <w:rPr>
          <w:rFonts w:ascii="Times New Roman" w:hAnsi="Times New Roman"/>
          <w:color w:val="000000"/>
          <w:sz w:val="24"/>
          <w:szCs w:val="24"/>
        </w:rPr>
        <w:t> »</w:t>
      </w:r>
      <w:r w:rsidRPr="00417A57">
        <w:rPr>
          <w:rFonts w:ascii="Times New Roman" w:hAnsi="Times New Roman"/>
          <w:color w:val="000000"/>
          <w:sz w:val="24"/>
          <w:szCs w:val="24"/>
        </w:rPr>
        <w:t>).</w:t>
      </w:r>
    </w:p>
    <w:p w14:paraId="27482D53" w14:textId="77777777" w:rsidR="00417A57" w:rsidRDefault="00417A57" w:rsidP="002B0DC1">
      <w:pPr>
        <w:jc w:val="both"/>
        <w:rPr>
          <w:color w:val="000000"/>
          <w:lang w:eastAsia="fr-FR"/>
        </w:rPr>
      </w:pPr>
    </w:p>
    <w:p w14:paraId="03EC260A" w14:textId="55073672" w:rsidR="00417A57" w:rsidRPr="00417A57" w:rsidRDefault="00417A57" w:rsidP="002B0DC1">
      <w:pPr>
        <w:jc w:val="both"/>
        <w:rPr>
          <w:color w:val="000000"/>
          <w:lang w:eastAsia="fr-FR"/>
        </w:rPr>
      </w:pPr>
      <w:r>
        <w:rPr>
          <w:color w:val="000000"/>
          <w:lang w:eastAsia="fr-FR"/>
        </w:rPr>
        <w:t>« </w:t>
      </w:r>
      <w:r w:rsidRPr="00417A57">
        <w:rPr>
          <w:color w:val="000000"/>
          <w:lang w:eastAsia="fr-FR"/>
        </w:rPr>
        <w:t>Lorsque la valeur limite d'émission sollicitée excède les niveaux d'émission associés aux conclusions sur les meilleures techniques disponibles de la décision d'exécution 2021/2326</w:t>
      </w:r>
      <w:r w:rsidR="002A7995">
        <w:rPr>
          <w:color w:val="000000"/>
          <w:lang w:eastAsia="fr-FR"/>
        </w:rPr>
        <w:t xml:space="preserve"> susmentionnée</w:t>
      </w:r>
      <w:r w:rsidRPr="00417A57">
        <w:rPr>
          <w:color w:val="000000"/>
          <w:lang w:eastAsia="fr-FR"/>
        </w:rPr>
        <w:t xml:space="preserve">, la demande de l'exploitant est formulée et instruite dans les formes prévues au I de l'article L. 515-29 du code de l'environnement et selon la procédure prévue au R. 515-68 du même code. </w:t>
      </w:r>
    </w:p>
    <w:p w14:paraId="7084BD49" w14:textId="77777777" w:rsidR="00424EA3" w:rsidRDefault="00424EA3" w:rsidP="002B0DC1">
      <w:pPr>
        <w:jc w:val="both"/>
        <w:rPr>
          <w:color w:val="000000"/>
          <w:lang w:eastAsia="fr-FR"/>
        </w:rPr>
      </w:pPr>
    </w:p>
    <w:p w14:paraId="157C0DB3" w14:textId="71CA6A0C" w:rsidR="00417A57" w:rsidRPr="00417A57" w:rsidRDefault="00424EA3" w:rsidP="002B0DC1">
      <w:pPr>
        <w:jc w:val="both"/>
        <w:rPr>
          <w:color w:val="000000"/>
          <w:lang w:eastAsia="fr-FR"/>
        </w:rPr>
      </w:pPr>
      <w:r>
        <w:rPr>
          <w:color w:val="000000"/>
          <w:lang w:eastAsia="fr-FR"/>
        </w:rPr>
        <w:t xml:space="preserve">« IV. - </w:t>
      </w:r>
      <w:r w:rsidR="00210190" w:rsidRPr="00210190">
        <w:rPr>
          <w:color w:val="000000"/>
          <w:lang w:eastAsia="fr-FR"/>
        </w:rPr>
        <w:t>Après avis du Conseil supérieur de la prévention des risques technologiques</w:t>
      </w:r>
      <w:r w:rsidR="00417A57" w:rsidRPr="00417A57">
        <w:rPr>
          <w:color w:val="000000"/>
          <w:lang w:eastAsia="fr-FR"/>
        </w:rPr>
        <w:t>, l’exploitant peut solliciter une valeur limite d’émission supérieure aux valeurs limites fixées dans les articles suivants :</w:t>
      </w:r>
    </w:p>
    <w:p w14:paraId="53264B1E" w14:textId="540D5979" w:rsidR="00417A57" w:rsidRPr="00417A57" w:rsidRDefault="00417A57" w:rsidP="002B0DC1">
      <w:pPr>
        <w:jc w:val="both"/>
        <w:rPr>
          <w:color w:val="000000"/>
          <w:lang w:eastAsia="fr-FR"/>
        </w:rPr>
      </w:pPr>
      <w:r>
        <w:rPr>
          <w:color w:val="000000"/>
          <w:lang w:eastAsia="fr-FR"/>
        </w:rPr>
        <w:t>« </w:t>
      </w:r>
      <w:r w:rsidRPr="00417A57">
        <w:rPr>
          <w:color w:val="000000"/>
          <w:lang w:eastAsia="fr-FR"/>
        </w:rPr>
        <w:t>-</w:t>
      </w:r>
      <w:r w:rsidRPr="00417A57">
        <w:rPr>
          <w:color w:val="000000"/>
          <w:lang w:eastAsia="fr-FR"/>
        </w:rPr>
        <w:tab/>
      </w:r>
      <w:r>
        <w:rPr>
          <w:color w:val="000000"/>
          <w:lang w:eastAsia="fr-FR"/>
        </w:rPr>
        <w:t>p</w:t>
      </w:r>
      <w:r w:rsidRPr="00417A57">
        <w:rPr>
          <w:color w:val="000000"/>
          <w:lang w:eastAsia="fr-FR"/>
        </w:rPr>
        <w:t>our les émissions dans l’air :</w:t>
      </w:r>
    </w:p>
    <w:p w14:paraId="069FC337" w14:textId="415E5787" w:rsidR="00417A57" w:rsidRPr="00417A57" w:rsidRDefault="00417A57" w:rsidP="002B0DC1">
      <w:pPr>
        <w:pStyle w:val="Paragraphedeliste"/>
        <w:ind w:left="708"/>
        <w:jc w:val="both"/>
        <w:rPr>
          <w:rFonts w:ascii="Times New Roman" w:hAnsi="Times New Roman"/>
          <w:color w:val="000000"/>
          <w:sz w:val="24"/>
          <w:szCs w:val="24"/>
        </w:rPr>
      </w:pPr>
      <w:r>
        <w:rPr>
          <w:rFonts w:ascii="Times New Roman" w:hAnsi="Times New Roman"/>
          <w:color w:val="000000"/>
          <w:sz w:val="24"/>
          <w:szCs w:val="24"/>
        </w:rPr>
        <w:t xml:space="preserve">« - </w:t>
      </w:r>
      <w:r w:rsidR="00D9011B">
        <w:rPr>
          <w:rFonts w:ascii="Times New Roman" w:hAnsi="Times New Roman"/>
          <w:color w:val="000000"/>
          <w:sz w:val="24"/>
          <w:szCs w:val="24"/>
        </w:rPr>
        <w:t xml:space="preserve">au point a) du I de l’article </w:t>
      </w:r>
      <w:r w:rsidRPr="00417A57">
        <w:rPr>
          <w:rFonts w:ascii="Times New Roman" w:hAnsi="Times New Roman"/>
          <w:color w:val="000000"/>
          <w:sz w:val="24"/>
          <w:szCs w:val="24"/>
        </w:rPr>
        <w:t>13 pour le NH</w:t>
      </w:r>
      <w:r w:rsidRPr="00D9011B">
        <w:rPr>
          <w:rFonts w:ascii="Times New Roman" w:hAnsi="Times New Roman"/>
          <w:color w:val="000000"/>
          <w:sz w:val="24"/>
          <w:szCs w:val="24"/>
          <w:vertAlign w:val="subscript"/>
        </w:rPr>
        <w:t>3</w:t>
      </w:r>
      <w:r w:rsidRPr="00417A57">
        <w:rPr>
          <w:rFonts w:ascii="Times New Roman" w:hAnsi="Times New Roman"/>
          <w:color w:val="000000"/>
          <w:sz w:val="24"/>
          <w:szCs w:val="24"/>
        </w:rPr>
        <w:t xml:space="preserve"> ;</w:t>
      </w:r>
    </w:p>
    <w:p w14:paraId="3A10D08D" w14:textId="1A6068BE" w:rsidR="00417A57" w:rsidRPr="00417A57" w:rsidRDefault="00417A57" w:rsidP="002B0DC1">
      <w:pPr>
        <w:pStyle w:val="Paragraphedeliste"/>
        <w:ind w:left="708"/>
        <w:jc w:val="both"/>
        <w:rPr>
          <w:rFonts w:ascii="Times New Roman" w:hAnsi="Times New Roman"/>
          <w:color w:val="000000"/>
          <w:sz w:val="24"/>
          <w:szCs w:val="24"/>
        </w:rPr>
      </w:pPr>
      <w:r>
        <w:rPr>
          <w:rFonts w:ascii="Times New Roman" w:hAnsi="Times New Roman"/>
          <w:color w:val="000000"/>
          <w:sz w:val="24"/>
          <w:szCs w:val="24"/>
        </w:rPr>
        <w:t xml:space="preserve">« - </w:t>
      </w:r>
      <w:r w:rsidR="00D9011B">
        <w:rPr>
          <w:rFonts w:ascii="Times New Roman" w:hAnsi="Times New Roman"/>
          <w:color w:val="000000"/>
          <w:sz w:val="24"/>
          <w:szCs w:val="24"/>
        </w:rPr>
        <w:t xml:space="preserve">au point a) du </w:t>
      </w:r>
      <w:r w:rsidRPr="00417A57">
        <w:rPr>
          <w:rFonts w:ascii="Times New Roman" w:hAnsi="Times New Roman"/>
          <w:color w:val="000000"/>
          <w:sz w:val="24"/>
          <w:szCs w:val="24"/>
        </w:rPr>
        <w:t>IV</w:t>
      </w:r>
      <w:r w:rsidR="00D9011B">
        <w:rPr>
          <w:rFonts w:ascii="Times New Roman" w:hAnsi="Times New Roman"/>
          <w:color w:val="000000"/>
          <w:sz w:val="24"/>
          <w:szCs w:val="24"/>
        </w:rPr>
        <w:t xml:space="preserve"> de l’article 13</w:t>
      </w:r>
      <w:r w:rsidRPr="00417A57">
        <w:rPr>
          <w:rFonts w:ascii="Times New Roman" w:hAnsi="Times New Roman"/>
          <w:color w:val="000000"/>
          <w:sz w:val="24"/>
          <w:szCs w:val="24"/>
        </w:rPr>
        <w:t xml:space="preserve"> du présent arrêté pour le </w:t>
      </w:r>
      <w:proofErr w:type="spellStart"/>
      <w:r w:rsidRPr="00417A57">
        <w:rPr>
          <w:rFonts w:ascii="Times New Roman" w:hAnsi="Times New Roman"/>
          <w:color w:val="000000"/>
          <w:sz w:val="24"/>
          <w:szCs w:val="24"/>
        </w:rPr>
        <w:t>HCl</w:t>
      </w:r>
      <w:proofErr w:type="spellEnd"/>
      <w:r w:rsidRPr="00417A57">
        <w:rPr>
          <w:rFonts w:ascii="Times New Roman" w:hAnsi="Times New Roman"/>
          <w:color w:val="000000"/>
          <w:sz w:val="24"/>
          <w:szCs w:val="24"/>
        </w:rPr>
        <w:t xml:space="preserve"> et le HF ;</w:t>
      </w:r>
    </w:p>
    <w:p w14:paraId="321D7436" w14:textId="5B509BE0" w:rsidR="00417A57" w:rsidRPr="00417A57" w:rsidRDefault="00417A57" w:rsidP="002B0DC1">
      <w:pPr>
        <w:pStyle w:val="Paragraphedeliste"/>
        <w:ind w:left="708"/>
        <w:jc w:val="both"/>
        <w:rPr>
          <w:rFonts w:ascii="Times New Roman" w:hAnsi="Times New Roman"/>
          <w:color w:val="000000"/>
          <w:sz w:val="24"/>
          <w:szCs w:val="24"/>
        </w:rPr>
      </w:pPr>
      <w:r>
        <w:rPr>
          <w:rFonts w:ascii="Times New Roman" w:hAnsi="Times New Roman"/>
          <w:color w:val="000000"/>
          <w:sz w:val="24"/>
          <w:szCs w:val="24"/>
        </w:rPr>
        <w:t xml:space="preserve">« - </w:t>
      </w:r>
      <w:r w:rsidR="00D9011B">
        <w:rPr>
          <w:rFonts w:ascii="Times New Roman" w:hAnsi="Times New Roman"/>
          <w:color w:val="000000"/>
          <w:sz w:val="24"/>
          <w:szCs w:val="24"/>
        </w:rPr>
        <w:t xml:space="preserve">au point a) du V de l’article </w:t>
      </w:r>
      <w:r w:rsidRPr="00417A57">
        <w:rPr>
          <w:rFonts w:ascii="Times New Roman" w:hAnsi="Times New Roman"/>
          <w:color w:val="000000"/>
          <w:sz w:val="24"/>
          <w:szCs w:val="24"/>
        </w:rPr>
        <w:t>13 du présent arrêté pour les dioxines et furanes ;</w:t>
      </w:r>
    </w:p>
    <w:p w14:paraId="2EFFFDEE" w14:textId="3E78C54E" w:rsidR="00417A57" w:rsidRPr="00D9011B" w:rsidRDefault="00417A57" w:rsidP="002B0DC1">
      <w:pPr>
        <w:pStyle w:val="Paragraphedeliste"/>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 </w:t>
      </w:r>
      <w:r w:rsidR="00D9011B">
        <w:rPr>
          <w:rFonts w:ascii="Times New Roman" w:hAnsi="Times New Roman"/>
          <w:color w:val="000000"/>
          <w:sz w:val="24"/>
          <w:szCs w:val="24"/>
        </w:rPr>
        <w:t xml:space="preserve">au point a) du </w:t>
      </w:r>
      <w:r w:rsidRPr="00417A57">
        <w:rPr>
          <w:rFonts w:ascii="Times New Roman" w:hAnsi="Times New Roman"/>
          <w:color w:val="000000"/>
          <w:sz w:val="24"/>
          <w:szCs w:val="24"/>
        </w:rPr>
        <w:t>VI</w:t>
      </w:r>
      <w:r w:rsidRPr="00D9011B">
        <w:rPr>
          <w:rFonts w:ascii="Times New Roman" w:hAnsi="Times New Roman"/>
          <w:color w:val="000000"/>
          <w:sz w:val="24"/>
          <w:szCs w:val="24"/>
        </w:rPr>
        <w:t xml:space="preserve"> </w:t>
      </w:r>
      <w:r w:rsidR="00D9011B" w:rsidRPr="00D9011B">
        <w:rPr>
          <w:rFonts w:ascii="Times New Roman" w:hAnsi="Times New Roman"/>
          <w:color w:val="000000"/>
          <w:sz w:val="24"/>
          <w:szCs w:val="24"/>
        </w:rPr>
        <w:t>de l’article 13</w:t>
      </w:r>
      <w:r w:rsidRPr="00D9011B">
        <w:rPr>
          <w:rFonts w:ascii="Times New Roman" w:hAnsi="Times New Roman"/>
          <w:color w:val="000000"/>
          <w:sz w:val="24"/>
          <w:szCs w:val="24"/>
        </w:rPr>
        <w:t xml:space="preserve"> du présent arrêté pour le Hg ;</w:t>
      </w:r>
    </w:p>
    <w:p w14:paraId="2DBD63C9" w14:textId="5B16C426" w:rsidR="00417A57" w:rsidRPr="00417A57" w:rsidRDefault="00417A57" w:rsidP="002B0DC1">
      <w:pPr>
        <w:jc w:val="both"/>
        <w:rPr>
          <w:color w:val="000000"/>
          <w:lang w:eastAsia="fr-FR"/>
        </w:rPr>
      </w:pPr>
      <w:r>
        <w:rPr>
          <w:color w:val="000000"/>
          <w:lang w:eastAsia="fr-FR"/>
        </w:rPr>
        <w:t>« </w:t>
      </w:r>
      <w:r w:rsidRPr="00417A57">
        <w:rPr>
          <w:color w:val="000000"/>
          <w:lang w:eastAsia="fr-FR"/>
        </w:rPr>
        <w:t>-</w:t>
      </w:r>
      <w:r w:rsidRPr="00417A57">
        <w:rPr>
          <w:color w:val="000000"/>
          <w:lang w:eastAsia="fr-FR"/>
        </w:rPr>
        <w:tab/>
      </w:r>
      <w:r>
        <w:rPr>
          <w:color w:val="000000"/>
          <w:lang w:eastAsia="fr-FR"/>
        </w:rPr>
        <w:t>p</w:t>
      </w:r>
      <w:r w:rsidRPr="00417A57">
        <w:rPr>
          <w:color w:val="000000"/>
          <w:lang w:eastAsia="fr-FR"/>
        </w:rPr>
        <w:t>our les eaux issues du traitement des fumées :</w:t>
      </w:r>
    </w:p>
    <w:p w14:paraId="55A9E511" w14:textId="492091A3" w:rsidR="00417A57" w:rsidRPr="00417A57" w:rsidRDefault="00417A57" w:rsidP="002B0DC1">
      <w:pPr>
        <w:ind w:firstLine="708"/>
        <w:jc w:val="both"/>
        <w:rPr>
          <w:color w:val="000000"/>
          <w:lang w:eastAsia="fr-FR"/>
        </w:rPr>
      </w:pPr>
      <w:r>
        <w:rPr>
          <w:color w:val="000000"/>
          <w:lang w:eastAsia="fr-FR"/>
        </w:rPr>
        <w:t xml:space="preserve">« - </w:t>
      </w:r>
      <w:r w:rsidR="00974C65">
        <w:rPr>
          <w:color w:val="000000"/>
          <w:lang w:eastAsia="fr-FR"/>
        </w:rPr>
        <w:t xml:space="preserve">à l’article </w:t>
      </w:r>
      <w:r w:rsidRPr="00417A57">
        <w:rPr>
          <w:color w:val="000000"/>
          <w:lang w:eastAsia="fr-FR"/>
        </w:rPr>
        <w:t>46 pour le Pb, Hg, ions fluorures, Zn (colonne « toutes installations »).</w:t>
      </w:r>
    </w:p>
    <w:p w14:paraId="2318B88F" w14:textId="77777777" w:rsidR="00417A57" w:rsidRDefault="00417A57" w:rsidP="002B0DC1">
      <w:pPr>
        <w:jc w:val="both"/>
        <w:rPr>
          <w:color w:val="000000"/>
          <w:lang w:eastAsia="fr-FR"/>
        </w:rPr>
      </w:pPr>
    </w:p>
    <w:p w14:paraId="09C4A9FE" w14:textId="5C164089" w:rsidR="00CB51BD" w:rsidRPr="00CB51BD" w:rsidRDefault="00417A57" w:rsidP="002B0DC1">
      <w:pPr>
        <w:jc w:val="both"/>
        <w:rPr>
          <w:color w:val="000000"/>
          <w:lang w:eastAsia="fr-FR"/>
        </w:rPr>
      </w:pPr>
      <w:r>
        <w:rPr>
          <w:color w:val="000000"/>
          <w:lang w:eastAsia="fr-FR"/>
        </w:rPr>
        <w:t>« </w:t>
      </w:r>
      <w:r w:rsidRPr="00417A57">
        <w:rPr>
          <w:color w:val="000000"/>
          <w:lang w:eastAsia="fr-FR"/>
        </w:rPr>
        <w:t xml:space="preserve">V. - L’exploitant respecte les niveaux d’efficacité énergétique fixés à l’article 41-3 du présent arrêté. Le préfet peut fixer une valeur différente par arrêté préfectoral, sous réserve du respect </w:t>
      </w:r>
      <w:r w:rsidR="002A7995">
        <w:rPr>
          <w:color w:val="000000"/>
          <w:lang w:eastAsia="fr-FR"/>
        </w:rPr>
        <w:t xml:space="preserve">du II </w:t>
      </w:r>
      <w:r w:rsidRPr="00417A57">
        <w:rPr>
          <w:color w:val="000000"/>
          <w:lang w:eastAsia="fr-FR"/>
        </w:rPr>
        <w:t>de l'article R. 515-62, au vu d'une justification fournie par l'exploitant comprenant notamment une étude technico-économique.</w:t>
      </w:r>
      <w:r w:rsidR="00CB51BD" w:rsidRPr="00CB51BD">
        <w:rPr>
          <w:color w:val="000000"/>
          <w:lang w:eastAsia="fr-FR"/>
        </w:rPr>
        <w:t> »</w:t>
      </w:r>
    </w:p>
    <w:p w14:paraId="5B6DD084" w14:textId="1EE53A90" w:rsidR="001E47C8" w:rsidRDefault="001E47C8" w:rsidP="002B0DC1"/>
    <w:p w14:paraId="5B045B49" w14:textId="4591FA48" w:rsidR="001E47C8" w:rsidRPr="001E47C8" w:rsidRDefault="001E47C8"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7</w:t>
      </w:r>
      <w:r w:rsidRPr="001E47C8">
        <w:rPr>
          <w:b/>
          <w:bCs/>
          <w:i/>
          <w:iCs/>
        </w:rPr>
        <w:fldChar w:fldCharType="end"/>
      </w:r>
    </w:p>
    <w:p w14:paraId="29F1BB7C" w14:textId="77777777" w:rsidR="00417A57" w:rsidRDefault="00417A57" w:rsidP="002B0DC1"/>
    <w:p w14:paraId="3C7E1B2A" w14:textId="74E2555D" w:rsidR="001E47C8" w:rsidRDefault="006F70DC" w:rsidP="002B0DC1">
      <w:pPr>
        <w:rPr>
          <w:i/>
          <w:iCs/>
        </w:rPr>
      </w:pPr>
      <w:r>
        <w:t>Après l’article 5 de l’arrêté susvisé sont insérés les articles suivants :</w:t>
      </w:r>
    </w:p>
    <w:p w14:paraId="54827E5A" w14:textId="54F570AF" w:rsidR="006F70DC" w:rsidRPr="00B07376" w:rsidRDefault="006F70DC" w:rsidP="002B0DC1">
      <w:pPr>
        <w:spacing w:after="240"/>
        <w:jc w:val="both"/>
        <w:rPr>
          <w:color w:val="000000"/>
          <w:lang w:eastAsia="fr-FR"/>
        </w:rPr>
      </w:pPr>
      <w:r w:rsidRPr="00645CFB">
        <w:rPr>
          <w:color w:val="000000"/>
          <w:lang w:eastAsia="fr-FR"/>
        </w:rPr>
        <w:t>« </w:t>
      </w:r>
      <w:r w:rsidR="00F403B4" w:rsidRPr="00F32355">
        <w:rPr>
          <w:i/>
          <w:iCs/>
          <w:color w:val="000000"/>
          <w:lang w:eastAsia="fr-FR"/>
        </w:rPr>
        <w:t>Art.</w:t>
      </w:r>
      <w:r w:rsidR="00864961">
        <w:rPr>
          <w:i/>
          <w:iCs/>
          <w:color w:val="000000"/>
          <w:lang w:eastAsia="fr-FR"/>
        </w:rPr>
        <w:t xml:space="preserve"> </w:t>
      </w:r>
      <w:r w:rsidRPr="00F32355">
        <w:rPr>
          <w:i/>
          <w:iCs/>
          <w:color w:val="000000"/>
          <w:lang w:eastAsia="fr-FR"/>
        </w:rPr>
        <w:t>5-1</w:t>
      </w:r>
      <w:r w:rsidR="003C2D9C">
        <w:rPr>
          <w:i/>
          <w:iCs/>
          <w:color w:val="000000"/>
          <w:lang w:eastAsia="fr-FR"/>
        </w:rPr>
        <w:t>.</w:t>
      </w:r>
      <w:r w:rsidRPr="006F70DC">
        <w:rPr>
          <w:color w:val="000000"/>
          <w:lang w:eastAsia="fr-FR"/>
        </w:rPr>
        <w:t> </w:t>
      </w:r>
      <w:r w:rsidR="00F32355">
        <w:rPr>
          <w:b/>
          <w:bCs/>
          <w:color w:val="000000"/>
          <w:lang w:eastAsia="fr-FR"/>
        </w:rPr>
        <w:t xml:space="preserve">- </w:t>
      </w:r>
      <w:r w:rsidRPr="00B07376">
        <w:rPr>
          <w:color w:val="000000"/>
          <w:lang w:eastAsia="fr-FR"/>
        </w:rPr>
        <w:t>Système de management environnemental</w:t>
      </w:r>
    </w:p>
    <w:p w14:paraId="2D362B39" w14:textId="30CDDB9C" w:rsidR="006F70DC" w:rsidRPr="00F24EAF" w:rsidRDefault="006F70DC" w:rsidP="009952AB">
      <w:pPr>
        <w:spacing w:after="60"/>
        <w:jc w:val="both"/>
        <w:rPr>
          <w:color w:val="000000"/>
          <w:lang w:eastAsia="fr-FR"/>
        </w:rPr>
      </w:pPr>
      <w:r>
        <w:rPr>
          <w:color w:val="000000"/>
          <w:lang w:eastAsia="fr-FR"/>
        </w:rPr>
        <w:t>« </w:t>
      </w:r>
      <w:r w:rsidRPr="006F70DC">
        <w:rPr>
          <w:color w:val="000000"/>
          <w:lang w:eastAsia="fr-FR"/>
        </w:rPr>
        <w:t xml:space="preserve">Dans les délais mentionnés </w:t>
      </w:r>
      <w:r w:rsidR="00D9011B">
        <w:rPr>
          <w:color w:val="000000"/>
          <w:lang w:eastAsia="fr-FR"/>
        </w:rPr>
        <w:t>au VII de l’article 3</w:t>
      </w:r>
      <w:r w:rsidRPr="006F70DC">
        <w:rPr>
          <w:color w:val="000000"/>
          <w:lang w:eastAsia="fr-FR"/>
        </w:rPr>
        <w:t xml:space="preserve">, l’exploitant met en place un système de management environnemental (SME) présentant toutes les caractéristiques suivantes, et proportionné à la nature, l’ampleur et à la complexité de l’installation, ainsi </w:t>
      </w:r>
      <w:r w:rsidR="00F403B4">
        <w:rPr>
          <w:color w:val="000000"/>
          <w:lang w:eastAsia="fr-FR"/>
        </w:rPr>
        <w:t>qu’à son</w:t>
      </w:r>
      <w:r w:rsidRPr="006F70DC">
        <w:rPr>
          <w:color w:val="000000"/>
          <w:lang w:eastAsia="fr-FR"/>
        </w:rPr>
        <w:t xml:space="preserve"> impact potentiel sur </w:t>
      </w:r>
      <w:r w:rsidRPr="00F24EAF">
        <w:rPr>
          <w:color w:val="000000"/>
          <w:lang w:eastAsia="fr-FR"/>
        </w:rPr>
        <w:t>l’environnement :</w:t>
      </w:r>
    </w:p>
    <w:p w14:paraId="12250319" w14:textId="64378FD5"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i</w:t>
      </w:r>
      <w:proofErr w:type="gramEnd"/>
      <w:r w:rsidRPr="00F24EAF">
        <w:rPr>
          <w:b w:val="0"/>
          <w:bCs w:val="0"/>
        </w:rPr>
        <w:t xml:space="preserve">) engagement de la direction, y compris à son plus haut niveau ; </w:t>
      </w:r>
    </w:p>
    <w:p w14:paraId="30F4A44F" w14:textId="0BA34EEE" w:rsidR="006F70DC" w:rsidRPr="00F24EAF" w:rsidRDefault="006F70DC" w:rsidP="009952AB">
      <w:pPr>
        <w:pStyle w:val="Titredetableau"/>
        <w:spacing w:after="60"/>
        <w:ind w:left="708"/>
        <w:jc w:val="both"/>
        <w:rPr>
          <w:b w:val="0"/>
          <w:bCs w:val="0"/>
          <w:color w:val="000000"/>
        </w:rPr>
      </w:pPr>
      <w:r w:rsidRPr="00F24EAF">
        <w:rPr>
          <w:b w:val="0"/>
          <w:bCs w:val="0"/>
        </w:rPr>
        <w:t>« </w:t>
      </w:r>
      <w:proofErr w:type="gramStart"/>
      <w:r w:rsidRPr="00F24EAF">
        <w:rPr>
          <w:b w:val="0"/>
          <w:bCs w:val="0"/>
        </w:rPr>
        <w:t>ii</w:t>
      </w:r>
      <w:proofErr w:type="gramEnd"/>
      <w:r w:rsidRPr="00F24EAF">
        <w:rPr>
          <w:b w:val="0"/>
          <w:bCs w:val="0"/>
        </w:rPr>
        <w:t xml:space="preserve">) définition, par la direction, d'une politique environnementale intégrant le principe d'amélioration continue des performances environnementales de l'installation ; </w:t>
      </w:r>
    </w:p>
    <w:p w14:paraId="34503674" w14:textId="60F66019" w:rsidR="006F70DC" w:rsidRPr="00F24EAF" w:rsidRDefault="006F70DC" w:rsidP="009952AB">
      <w:pPr>
        <w:pStyle w:val="Titredetableau"/>
        <w:spacing w:after="60"/>
        <w:ind w:left="708"/>
        <w:jc w:val="both"/>
        <w:rPr>
          <w:b w:val="0"/>
          <w:bCs w:val="0"/>
          <w:color w:val="000000"/>
        </w:rPr>
      </w:pPr>
      <w:r w:rsidRPr="00F24EAF">
        <w:rPr>
          <w:b w:val="0"/>
          <w:bCs w:val="0"/>
        </w:rPr>
        <w:t>« </w:t>
      </w:r>
      <w:proofErr w:type="gramStart"/>
      <w:r w:rsidRPr="00F24EAF">
        <w:rPr>
          <w:b w:val="0"/>
          <w:bCs w:val="0"/>
        </w:rPr>
        <w:t>iii</w:t>
      </w:r>
      <w:proofErr w:type="gramEnd"/>
      <w:r w:rsidRPr="00F24EAF">
        <w:rPr>
          <w:b w:val="0"/>
          <w:bCs w:val="0"/>
        </w:rPr>
        <w:t xml:space="preserve">) planification et mise en place des procédures nécessaires, fixation d'objectifs et de cibles, planification financière et investissement ; </w:t>
      </w:r>
    </w:p>
    <w:p w14:paraId="0445CC1F" w14:textId="54DE92F7" w:rsidR="006F70DC" w:rsidRPr="00F24EAF" w:rsidRDefault="006F70DC" w:rsidP="009952AB">
      <w:pPr>
        <w:pStyle w:val="Titredetableau"/>
        <w:spacing w:after="60"/>
        <w:ind w:left="708"/>
        <w:jc w:val="both"/>
        <w:rPr>
          <w:b w:val="0"/>
          <w:bCs w:val="0"/>
          <w:color w:val="000000"/>
        </w:rPr>
      </w:pPr>
      <w:r w:rsidRPr="00F24EAF">
        <w:rPr>
          <w:b w:val="0"/>
          <w:bCs w:val="0"/>
        </w:rPr>
        <w:t>« </w:t>
      </w:r>
      <w:proofErr w:type="gramStart"/>
      <w:r w:rsidRPr="00F24EAF">
        <w:rPr>
          <w:b w:val="0"/>
          <w:bCs w:val="0"/>
        </w:rPr>
        <w:t>iv</w:t>
      </w:r>
      <w:proofErr w:type="gramEnd"/>
      <w:r w:rsidRPr="00F24EAF">
        <w:rPr>
          <w:b w:val="0"/>
          <w:bCs w:val="0"/>
        </w:rPr>
        <w:t xml:space="preserve">) mise en œuvre des procédures, prenant particulièrement en considération les aspects suivants : </w:t>
      </w:r>
    </w:p>
    <w:p w14:paraId="04B47BC9" w14:textId="454C22AC"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a</w:t>
      </w:r>
      <w:proofErr w:type="gramEnd"/>
      <w:r w:rsidRPr="00F24EAF">
        <w:rPr>
          <w:b w:val="0"/>
          <w:bCs w:val="0"/>
        </w:rPr>
        <w:t xml:space="preserve">) organisation et responsabilité ; </w:t>
      </w:r>
    </w:p>
    <w:p w14:paraId="1AFD7C2E" w14:textId="0BEF443A" w:rsidR="006F70DC" w:rsidRPr="00F24EAF" w:rsidRDefault="006F70DC" w:rsidP="009952AB">
      <w:pPr>
        <w:pStyle w:val="Titredetableau"/>
        <w:shd w:val="clear" w:color="auto" w:fill="FFFFFF"/>
        <w:spacing w:after="60"/>
        <w:ind w:left="1044"/>
        <w:jc w:val="both"/>
        <w:rPr>
          <w:b w:val="0"/>
          <w:bCs w:val="0"/>
        </w:rPr>
      </w:pPr>
      <w:r w:rsidRPr="00F24EAF">
        <w:rPr>
          <w:b w:val="0"/>
          <w:bCs w:val="0"/>
        </w:rPr>
        <w:t>« </w:t>
      </w:r>
      <w:proofErr w:type="gramStart"/>
      <w:r w:rsidRPr="00F24EAF">
        <w:rPr>
          <w:b w:val="0"/>
          <w:bCs w:val="0"/>
        </w:rPr>
        <w:t>b</w:t>
      </w:r>
      <w:proofErr w:type="gramEnd"/>
      <w:r w:rsidRPr="00F24EAF">
        <w:rPr>
          <w:b w:val="0"/>
          <w:bCs w:val="0"/>
        </w:rPr>
        <w:t xml:space="preserve">) recrutement, formation, sensibilisation et compétence ; </w:t>
      </w:r>
    </w:p>
    <w:p w14:paraId="09919FFF" w14:textId="6601FBC1"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c</w:t>
      </w:r>
      <w:proofErr w:type="gramEnd"/>
      <w:r w:rsidRPr="00F24EAF">
        <w:rPr>
          <w:b w:val="0"/>
          <w:bCs w:val="0"/>
        </w:rPr>
        <w:t xml:space="preserve">) communication ; </w:t>
      </w:r>
    </w:p>
    <w:p w14:paraId="32B39E5A" w14:textId="03CB9F37"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d</w:t>
      </w:r>
      <w:proofErr w:type="gramEnd"/>
      <w:r w:rsidRPr="00F24EAF">
        <w:rPr>
          <w:b w:val="0"/>
          <w:bCs w:val="0"/>
        </w:rPr>
        <w:t xml:space="preserve">) participation du personnel ; </w:t>
      </w:r>
    </w:p>
    <w:p w14:paraId="2FCEBCAF" w14:textId="0925C22B"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e</w:t>
      </w:r>
      <w:proofErr w:type="gramEnd"/>
      <w:r w:rsidRPr="00F24EAF">
        <w:rPr>
          <w:b w:val="0"/>
          <w:bCs w:val="0"/>
        </w:rPr>
        <w:t xml:space="preserve">) documentation ; </w:t>
      </w:r>
    </w:p>
    <w:p w14:paraId="2929652F" w14:textId="6C8C59E7"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f</w:t>
      </w:r>
      <w:proofErr w:type="gramEnd"/>
      <w:r w:rsidRPr="00F24EAF">
        <w:rPr>
          <w:b w:val="0"/>
          <w:bCs w:val="0"/>
        </w:rPr>
        <w:t xml:space="preserve">) contrôle efficace des procédés ; </w:t>
      </w:r>
    </w:p>
    <w:p w14:paraId="341B8D39" w14:textId="4FF9C819"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g</w:t>
      </w:r>
      <w:proofErr w:type="gramEnd"/>
      <w:r w:rsidRPr="00F24EAF">
        <w:rPr>
          <w:b w:val="0"/>
          <w:bCs w:val="0"/>
        </w:rPr>
        <w:t xml:space="preserve">) programmes de maintenance </w:t>
      </w:r>
      <w:r w:rsidR="007156DE">
        <w:rPr>
          <w:b w:val="0"/>
          <w:bCs w:val="0"/>
        </w:rPr>
        <w:t>préventive</w:t>
      </w:r>
      <w:r w:rsidR="007156DE" w:rsidRPr="00F24EAF">
        <w:rPr>
          <w:b w:val="0"/>
          <w:bCs w:val="0"/>
        </w:rPr>
        <w:t xml:space="preserve"> </w:t>
      </w:r>
      <w:r w:rsidRPr="00F24EAF">
        <w:rPr>
          <w:b w:val="0"/>
          <w:bCs w:val="0"/>
        </w:rPr>
        <w:t xml:space="preserve">; </w:t>
      </w:r>
    </w:p>
    <w:p w14:paraId="200592AF" w14:textId="1FBF6746"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h</w:t>
      </w:r>
      <w:proofErr w:type="gramEnd"/>
      <w:r w:rsidRPr="00F24EAF">
        <w:rPr>
          <w:b w:val="0"/>
          <w:bCs w:val="0"/>
        </w:rPr>
        <w:t xml:space="preserve">) préparation et réaction aux situations d'urgence ; </w:t>
      </w:r>
    </w:p>
    <w:p w14:paraId="10D90849" w14:textId="7A2FA586"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i</w:t>
      </w:r>
      <w:proofErr w:type="gramEnd"/>
      <w:r w:rsidRPr="00F24EAF">
        <w:rPr>
          <w:b w:val="0"/>
          <w:bCs w:val="0"/>
        </w:rPr>
        <w:t xml:space="preserve">) respect de la législation sur l'environnement ; </w:t>
      </w:r>
    </w:p>
    <w:p w14:paraId="711FA1A6" w14:textId="094A54B7"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v</w:t>
      </w:r>
      <w:proofErr w:type="gramEnd"/>
      <w:r w:rsidRPr="00F24EAF">
        <w:rPr>
          <w:b w:val="0"/>
          <w:bCs w:val="0"/>
        </w:rPr>
        <w:t xml:space="preserve">) contrôle des performances et mise en œuvre de mesures correctives, les aspects suivants étant plus particulièrement pris en considération : </w:t>
      </w:r>
    </w:p>
    <w:p w14:paraId="658941EE" w14:textId="1C9526AA"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a</w:t>
      </w:r>
      <w:proofErr w:type="gramEnd"/>
      <w:r w:rsidRPr="00F24EAF">
        <w:rPr>
          <w:b w:val="0"/>
          <w:bCs w:val="0"/>
        </w:rPr>
        <w:t>) surveillance et mesure</w:t>
      </w:r>
      <w:r w:rsidR="00F32355">
        <w:rPr>
          <w:b w:val="0"/>
          <w:bCs w:val="0"/>
        </w:rPr>
        <w:t xml:space="preserve"> </w:t>
      </w:r>
      <w:r w:rsidRPr="00F24EAF">
        <w:rPr>
          <w:b w:val="0"/>
          <w:bCs w:val="0"/>
        </w:rPr>
        <w:t xml:space="preserve">; </w:t>
      </w:r>
    </w:p>
    <w:p w14:paraId="5DB34590" w14:textId="6945F5CE"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b</w:t>
      </w:r>
      <w:proofErr w:type="gramEnd"/>
      <w:r w:rsidRPr="00F24EAF">
        <w:rPr>
          <w:b w:val="0"/>
          <w:bCs w:val="0"/>
        </w:rPr>
        <w:t xml:space="preserve">) mesures correctives et préventives ; </w:t>
      </w:r>
    </w:p>
    <w:p w14:paraId="41809A0D" w14:textId="54DA6BC5"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c</w:t>
      </w:r>
      <w:proofErr w:type="gramEnd"/>
      <w:r w:rsidRPr="00F24EAF">
        <w:rPr>
          <w:b w:val="0"/>
          <w:bCs w:val="0"/>
        </w:rPr>
        <w:t xml:space="preserve">) tenue de registres ; </w:t>
      </w:r>
    </w:p>
    <w:p w14:paraId="7DA2BE69" w14:textId="42E208CF"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d</w:t>
      </w:r>
      <w:proofErr w:type="gramEnd"/>
      <w:r w:rsidRPr="00F24EAF">
        <w:rPr>
          <w:b w:val="0"/>
          <w:bCs w:val="0"/>
        </w:rPr>
        <w:t xml:space="preserve">) audit interne et externe indépendant (si possible) pour déterminer si le SME respecte les modalités prévues et a été correctement mis en œuvre et tenu à jour ; </w:t>
      </w:r>
    </w:p>
    <w:p w14:paraId="676FAC3E" w14:textId="69B82C77"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vi</w:t>
      </w:r>
      <w:proofErr w:type="gramEnd"/>
      <w:r w:rsidRPr="00F24EAF">
        <w:rPr>
          <w:b w:val="0"/>
          <w:bCs w:val="0"/>
        </w:rPr>
        <w:t xml:space="preserve">) revue du SME et de sa pertinence, de son adéquation et de son efficacité, par la direction ; </w:t>
      </w:r>
    </w:p>
    <w:p w14:paraId="422FA828" w14:textId="4BC6F820"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vii</w:t>
      </w:r>
      <w:proofErr w:type="gramEnd"/>
      <w:r w:rsidRPr="00F24EAF">
        <w:rPr>
          <w:b w:val="0"/>
          <w:bCs w:val="0"/>
        </w:rPr>
        <w:t xml:space="preserve">) suivi de la mise au point de technologies plus propres ; </w:t>
      </w:r>
    </w:p>
    <w:p w14:paraId="3952D402" w14:textId="6B83830B"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viii</w:t>
      </w:r>
      <w:proofErr w:type="gramEnd"/>
      <w:r w:rsidRPr="00F24EAF">
        <w:rPr>
          <w:b w:val="0"/>
          <w:bCs w:val="0"/>
        </w:rPr>
        <w:t>) prise en compte de l'impact sur l'environnement de la mise à l'arrêt définitif d'une installation dès le stade de sa conception et pendant toute la durée de son exploitation, notamment :</w:t>
      </w:r>
    </w:p>
    <w:p w14:paraId="399C2386" w14:textId="5CA34C53"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a</w:t>
      </w:r>
      <w:proofErr w:type="gramEnd"/>
      <w:r w:rsidRPr="00F24EAF">
        <w:rPr>
          <w:b w:val="0"/>
          <w:bCs w:val="0"/>
        </w:rPr>
        <w:t xml:space="preserve">) éviter les structures souterraines ; </w:t>
      </w:r>
    </w:p>
    <w:p w14:paraId="360B9A81" w14:textId="323E14A7"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b</w:t>
      </w:r>
      <w:proofErr w:type="gramEnd"/>
      <w:r w:rsidRPr="00F24EAF">
        <w:rPr>
          <w:b w:val="0"/>
          <w:bCs w:val="0"/>
        </w:rPr>
        <w:t xml:space="preserve">) opter pour des caractéristiques qui facilitent le démontage ; </w:t>
      </w:r>
    </w:p>
    <w:p w14:paraId="763323FF" w14:textId="4472AA76"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c</w:t>
      </w:r>
      <w:proofErr w:type="gramEnd"/>
      <w:r w:rsidRPr="00F24EAF">
        <w:rPr>
          <w:b w:val="0"/>
          <w:bCs w:val="0"/>
        </w:rPr>
        <w:t xml:space="preserve">) choisir des </w:t>
      </w:r>
      <w:r w:rsidR="00F403B4">
        <w:rPr>
          <w:b w:val="0"/>
          <w:bCs w:val="0"/>
        </w:rPr>
        <w:t>matériaux</w:t>
      </w:r>
      <w:r w:rsidR="00F403B4" w:rsidRPr="00F24EAF">
        <w:rPr>
          <w:b w:val="0"/>
          <w:bCs w:val="0"/>
        </w:rPr>
        <w:t xml:space="preserve"> </w:t>
      </w:r>
      <w:r w:rsidRPr="00F24EAF">
        <w:rPr>
          <w:b w:val="0"/>
          <w:bCs w:val="0"/>
        </w:rPr>
        <w:t xml:space="preserve">de surface qui facilitent la décontamination ; </w:t>
      </w:r>
    </w:p>
    <w:p w14:paraId="22F8E560" w14:textId="002B0214"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d</w:t>
      </w:r>
      <w:proofErr w:type="gramEnd"/>
      <w:r w:rsidRPr="00F24EAF">
        <w:rPr>
          <w:b w:val="0"/>
          <w:bCs w:val="0"/>
        </w:rPr>
        <w:t xml:space="preserve">) recourir à une configuration des équipements qui évite le piégeage de substances chimiques et facilite leur évacuation par lavage ou nettoyage ; </w:t>
      </w:r>
    </w:p>
    <w:p w14:paraId="4184518B" w14:textId="4AC329F4"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e</w:t>
      </w:r>
      <w:proofErr w:type="gramEnd"/>
      <w:r w:rsidRPr="00F24EAF">
        <w:rPr>
          <w:b w:val="0"/>
          <w:bCs w:val="0"/>
        </w:rPr>
        <w:t xml:space="preserve">) concevoir des équipements flexibles, autonomes, permettant un arrêt progressif ; </w:t>
      </w:r>
    </w:p>
    <w:p w14:paraId="0C3907C8" w14:textId="2F3B4E4D"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f</w:t>
      </w:r>
      <w:proofErr w:type="gramEnd"/>
      <w:r w:rsidRPr="00F24EAF">
        <w:rPr>
          <w:b w:val="0"/>
          <w:bCs w:val="0"/>
        </w:rPr>
        <w:t xml:space="preserve">) recourir dans la mesure du possible à des matériaux biodégradables et recyclables ; </w:t>
      </w:r>
    </w:p>
    <w:p w14:paraId="02EC45AC" w14:textId="0B71BC5D"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ix</w:t>
      </w:r>
      <w:proofErr w:type="gramEnd"/>
      <w:r w:rsidRPr="00F24EAF">
        <w:rPr>
          <w:b w:val="0"/>
          <w:bCs w:val="0"/>
        </w:rPr>
        <w:t>) réalisation régulière d'une analyse comparative des performances, par secteur. Il importe tout particulièrement pour ce secteur de prendre en considération les caractéristiques ci-après du SME, qui sont décrites, le cas échéant, dans les MTD pertinentes ;</w:t>
      </w:r>
    </w:p>
    <w:p w14:paraId="3D398BEF" w14:textId="400463ED"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x</w:t>
      </w:r>
      <w:proofErr w:type="gramEnd"/>
      <w:r w:rsidRPr="00F24EAF">
        <w:rPr>
          <w:b w:val="0"/>
          <w:bCs w:val="0"/>
        </w:rPr>
        <w:t xml:space="preserve">) programmes d'assurance qualité/contrôle de la qualité pour faire en sorte que les caractéristiques de tous les combustibles soient parfaitement définies et vérifiées (voir </w:t>
      </w:r>
      <w:r w:rsidR="00F403B4">
        <w:rPr>
          <w:b w:val="0"/>
          <w:bCs w:val="0"/>
        </w:rPr>
        <w:t>le II de l’</w:t>
      </w:r>
      <w:r w:rsidRPr="00F24EAF">
        <w:rPr>
          <w:b w:val="0"/>
          <w:bCs w:val="0"/>
        </w:rPr>
        <w:t>article 5-</w:t>
      </w:r>
      <w:r w:rsidR="00FB1BC6">
        <w:rPr>
          <w:b w:val="0"/>
          <w:bCs w:val="0"/>
        </w:rPr>
        <w:t>2</w:t>
      </w:r>
      <w:r w:rsidRPr="00F24EAF">
        <w:rPr>
          <w:b w:val="0"/>
          <w:bCs w:val="0"/>
        </w:rPr>
        <w:t xml:space="preserve">)) ; </w:t>
      </w:r>
    </w:p>
    <w:p w14:paraId="63BA2F5C" w14:textId="7397D37F"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xi</w:t>
      </w:r>
      <w:proofErr w:type="gramEnd"/>
      <w:r w:rsidRPr="00F24EAF">
        <w:rPr>
          <w:b w:val="0"/>
          <w:bCs w:val="0"/>
        </w:rPr>
        <w:t xml:space="preserve">) plan de gestion en vue de réduire les émissions dans l'air ou l'eau dans des conditions d'exploitation autres que normales, y compris les périodes de démarrage et d'arrêt (voir les articles 5-3, 30-1 pour l’air et 48-1 pour l’eau) ; </w:t>
      </w:r>
    </w:p>
    <w:p w14:paraId="78B7BD9A" w14:textId="04FA054E"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xii</w:t>
      </w:r>
      <w:proofErr w:type="gramEnd"/>
      <w:r w:rsidRPr="00F24EAF">
        <w:rPr>
          <w:b w:val="0"/>
          <w:bCs w:val="0"/>
        </w:rPr>
        <w:t xml:space="preserve">) plan de gestion des déchets pour veiller à éviter la production de déchets ou pour faire en sorte qu'ils soient préparés en vue du réemploi, recyclés ou valorisés d'une autre manière, y compris le recours aux techniques indiquées </w:t>
      </w:r>
      <w:r w:rsidR="00316A25">
        <w:rPr>
          <w:b w:val="0"/>
          <w:bCs w:val="0"/>
        </w:rPr>
        <w:t xml:space="preserve">au II de </w:t>
      </w:r>
      <w:r w:rsidRPr="00F24EAF">
        <w:rPr>
          <w:b w:val="0"/>
          <w:bCs w:val="0"/>
        </w:rPr>
        <w:t xml:space="preserve">l’article 51) ; </w:t>
      </w:r>
    </w:p>
    <w:p w14:paraId="3BF1AD57" w14:textId="5CD6C6F8"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xiii</w:t>
      </w:r>
      <w:proofErr w:type="gramEnd"/>
      <w:r w:rsidRPr="00F24EAF">
        <w:rPr>
          <w:b w:val="0"/>
          <w:bCs w:val="0"/>
        </w:rPr>
        <w:t xml:space="preserve">) méthode systématique permettant de repérer et de traiter les éventuelles émissions non maîtrisées ou imprévues dans l'environnement, en particulier : </w:t>
      </w:r>
    </w:p>
    <w:p w14:paraId="4193A7C4" w14:textId="40FC471C"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a</w:t>
      </w:r>
      <w:proofErr w:type="gramEnd"/>
      <w:r w:rsidRPr="00F24EAF">
        <w:rPr>
          <w:b w:val="0"/>
          <w:bCs w:val="0"/>
        </w:rPr>
        <w:t>) les rejets dans le sol et les eaux souterraines résultant de la manipulation et du stockage des combustibles, des additifs, des sous-produits et des déchets ;</w:t>
      </w:r>
    </w:p>
    <w:p w14:paraId="5897D6C7" w14:textId="712B4D12"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b</w:t>
      </w:r>
      <w:proofErr w:type="gramEnd"/>
      <w:r w:rsidRPr="00F24EAF">
        <w:rPr>
          <w:b w:val="0"/>
          <w:bCs w:val="0"/>
        </w:rPr>
        <w:t xml:space="preserve">) les émissions liées à l'auto-échauffement ou à la combustion spontanée des combustibles lors des activités de stockage et de manutention ; </w:t>
      </w:r>
    </w:p>
    <w:p w14:paraId="5417828F" w14:textId="6AE40A9B"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xiv</w:t>
      </w:r>
      <w:proofErr w:type="gramEnd"/>
      <w:r w:rsidRPr="00F24EAF">
        <w:rPr>
          <w:b w:val="0"/>
          <w:bCs w:val="0"/>
        </w:rPr>
        <w:t>) plan de gestion des poussières en vue d'éviter ou, si cela n'est pas possible, de réduire les émissions diffuses résultant du chargement, du déchargement, du stockage ou de la manutention des combustibles, des résidus et des additifs ;</w:t>
      </w:r>
    </w:p>
    <w:p w14:paraId="24F881DD" w14:textId="20F913F6"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xv</w:t>
      </w:r>
      <w:proofErr w:type="gramEnd"/>
      <w:r w:rsidRPr="00F24EAF">
        <w:rPr>
          <w:b w:val="0"/>
          <w:bCs w:val="0"/>
        </w:rPr>
        <w:t>) plan de gestion du bruit en cas de nuisance sonore probable ou confirmée, y compris</w:t>
      </w:r>
      <w:r w:rsidR="00F32355">
        <w:rPr>
          <w:b w:val="0"/>
          <w:bCs w:val="0"/>
        </w:rPr>
        <w:t xml:space="preserve"> </w:t>
      </w:r>
      <w:r w:rsidRPr="00F24EAF">
        <w:rPr>
          <w:b w:val="0"/>
          <w:bCs w:val="0"/>
        </w:rPr>
        <w:t>:</w:t>
      </w:r>
    </w:p>
    <w:p w14:paraId="6C9AD3EC" w14:textId="118ED332"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a</w:t>
      </w:r>
      <w:proofErr w:type="gramEnd"/>
      <w:r w:rsidRPr="00F24EAF">
        <w:rPr>
          <w:b w:val="0"/>
          <w:bCs w:val="0"/>
        </w:rPr>
        <w:t xml:space="preserve">) un protocole de surveillance du bruit aux limites de l'installation ; </w:t>
      </w:r>
    </w:p>
    <w:p w14:paraId="0AC1005F" w14:textId="180264AA"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b</w:t>
      </w:r>
      <w:proofErr w:type="gramEnd"/>
      <w:r w:rsidRPr="00F24EAF">
        <w:rPr>
          <w:b w:val="0"/>
          <w:bCs w:val="0"/>
        </w:rPr>
        <w:t xml:space="preserve">) un programme de réduction du bruit ; </w:t>
      </w:r>
    </w:p>
    <w:p w14:paraId="2937E4E6" w14:textId="4516C304"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c</w:t>
      </w:r>
      <w:proofErr w:type="gramEnd"/>
      <w:r w:rsidRPr="00F24EAF">
        <w:rPr>
          <w:b w:val="0"/>
          <w:bCs w:val="0"/>
        </w:rPr>
        <w:t xml:space="preserve">) un protocole prévoyant des mesures appropriées et un calendrier pour réagir aux incidents liés au bruit ; </w:t>
      </w:r>
    </w:p>
    <w:p w14:paraId="605521B8" w14:textId="58605DDE"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d</w:t>
      </w:r>
      <w:proofErr w:type="gramEnd"/>
      <w:r w:rsidRPr="00F24EAF">
        <w:rPr>
          <w:b w:val="0"/>
          <w:bCs w:val="0"/>
        </w:rPr>
        <w:t xml:space="preserve">) un relevé des problèmes de bruit rencontrés et des mesures prises pour y remédier, ainsi que la diffusion auprès des personnes concernées des informations relatives aux problèmes de bruit rencontrés ; </w:t>
      </w:r>
    </w:p>
    <w:p w14:paraId="3CFB8BB3" w14:textId="2DA95B33" w:rsidR="006F70DC" w:rsidRPr="00F24EAF" w:rsidRDefault="006F70DC" w:rsidP="009952AB">
      <w:pPr>
        <w:pStyle w:val="Titredetableau"/>
        <w:spacing w:after="60"/>
        <w:ind w:left="708"/>
        <w:jc w:val="both"/>
        <w:rPr>
          <w:b w:val="0"/>
          <w:bCs w:val="0"/>
        </w:rPr>
      </w:pPr>
      <w:r w:rsidRPr="00F24EAF">
        <w:rPr>
          <w:b w:val="0"/>
          <w:bCs w:val="0"/>
        </w:rPr>
        <w:t>« </w:t>
      </w:r>
      <w:proofErr w:type="gramStart"/>
      <w:r w:rsidRPr="00F24EAF">
        <w:rPr>
          <w:b w:val="0"/>
          <w:bCs w:val="0"/>
        </w:rPr>
        <w:t>xvi</w:t>
      </w:r>
      <w:proofErr w:type="gramEnd"/>
      <w:r w:rsidRPr="00F24EAF">
        <w:rPr>
          <w:b w:val="0"/>
          <w:bCs w:val="0"/>
        </w:rPr>
        <w:t xml:space="preserve">) en cas de combustion de substances malodorantes, un plan de gestion des odeurs, comprenant : </w:t>
      </w:r>
    </w:p>
    <w:p w14:paraId="192B3589" w14:textId="3626044E"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a</w:t>
      </w:r>
      <w:proofErr w:type="gramEnd"/>
      <w:r w:rsidRPr="00F24EAF">
        <w:rPr>
          <w:b w:val="0"/>
          <w:bCs w:val="0"/>
        </w:rPr>
        <w:t>) un protocole de surveillance des odeurs ;</w:t>
      </w:r>
    </w:p>
    <w:p w14:paraId="29B184A4" w14:textId="4AE99759"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b</w:t>
      </w:r>
      <w:proofErr w:type="gramEnd"/>
      <w:r w:rsidRPr="00F24EAF">
        <w:rPr>
          <w:b w:val="0"/>
          <w:bCs w:val="0"/>
        </w:rPr>
        <w:t>) si nécessaire, un programme d'élimination des odeurs en vue de détecter et d'éliminer ou de réduire les émissions odorantes ;</w:t>
      </w:r>
    </w:p>
    <w:p w14:paraId="1A3A4014" w14:textId="4E8BC1AC"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c</w:t>
      </w:r>
      <w:proofErr w:type="gramEnd"/>
      <w:r w:rsidRPr="00F24EAF">
        <w:rPr>
          <w:b w:val="0"/>
          <w:bCs w:val="0"/>
        </w:rPr>
        <w:t xml:space="preserve">) un protocole d'enregistrement des incidents liés aux odeurs, des mesures à prendre et du calendrier de mise en œuvre ; </w:t>
      </w:r>
    </w:p>
    <w:p w14:paraId="47B8F118" w14:textId="2B3ACCAE" w:rsidR="006F70DC" w:rsidRPr="00F24EAF" w:rsidRDefault="006F70DC" w:rsidP="009952AB">
      <w:pPr>
        <w:pStyle w:val="Titredetableau"/>
        <w:spacing w:after="60"/>
        <w:ind w:left="1044"/>
        <w:jc w:val="both"/>
        <w:rPr>
          <w:b w:val="0"/>
          <w:bCs w:val="0"/>
        </w:rPr>
      </w:pPr>
      <w:r w:rsidRPr="00F24EAF">
        <w:rPr>
          <w:b w:val="0"/>
          <w:bCs w:val="0"/>
        </w:rPr>
        <w:t>« </w:t>
      </w:r>
      <w:proofErr w:type="gramStart"/>
      <w:r w:rsidRPr="00F24EAF">
        <w:rPr>
          <w:b w:val="0"/>
          <w:bCs w:val="0"/>
        </w:rPr>
        <w:t>d</w:t>
      </w:r>
      <w:proofErr w:type="gramEnd"/>
      <w:r w:rsidRPr="00F24EAF">
        <w:rPr>
          <w:b w:val="0"/>
          <w:bCs w:val="0"/>
        </w:rPr>
        <w:t xml:space="preserve">) un relevé des problèmes d'odeurs rencontrés et des mesures prises pour y remédier, ainsi que la diffusion auprès des personnes concernées des informations relatives aux problèmes d'odeurs rencontrés. </w:t>
      </w:r>
    </w:p>
    <w:p w14:paraId="25522D1A" w14:textId="62FA3990" w:rsidR="00417A57" w:rsidRDefault="006F70DC" w:rsidP="009952AB">
      <w:pPr>
        <w:spacing w:after="60"/>
        <w:jc w:val="both"/>
      </w:pPr>
      <w:r w:rsidRPr="00F24EAF">
        <w:t>« </w:t>
      </w:r>
      <w:r w:rsidR="00417A57" w:rsidRPr="00417A57">
        <w:t xml:space="preserve">S'il apparaît à l'issue d'une évaluation qu'un des éléments énumérés aux points x à xvi n'est pas nécessaire, l’exploitant tient à la disposition de l’inspection les raisons qui ont conduit </w:t>
      </w:r>
      <w:r w:rsidR="007E5451">
        <w:t xml:space="preserve">à prendre </w:t>
      </w:r>
      <w:r w:rsidR="00417A57" w:rsidRPr="00417A57">
        <w:t>cette décision.</w:t>
      </w:r>
    </w:p>
    <w:p w14:paraId="6C7984D9" w14:textId="5B8980C7" w:rsidR="006F70DC" w:rsidRPr="006F70DC" w:rsidRDefault="00417A57" w:rsidP="002B0DC1">
      <w:pPr>
        <w:spacing w:after="240"/>
        <w:jc w:val="both"/>
      </w:pPr>
      <w:r w:rsidRPr="00645CFB">
        <w:t xml:space="preserve"> </w:t>
      </w:r>
      <w:r w:rsidR="006F70DC" w:rsidRPr="00645CFB">
        <w:t>« </w:t>
      </w:r>
      <w:r w:rsidR="00F32355" w:rsidRPr="00F32355">
        <w:rPr>
          <w:i/>
          <w:iCs/>
        </w:rPr>
        <w:t xml:space="preserve">Art. </w:t>
      </w:r>
      <w:r w:rsidR="006F70DC" w:rsidRPr="00F32355">
        <w:rPr>
          <w:i/>
          <w:iCs/>
        </w:rPr>
        <w:t>5-2</w:t>
      </w:r>
      <w:r w:rsidR="003C2D9C">
        <w:rPr>
          <w:i/>
          <w:iCs/>
        </w:rPr>
        <w:t>.</w:t>
      </w:r>
      <w:r w:rsidR="00F32355" w:rsidRPr="00F32355">
        <w:rPr>
          <w:i/>
          <w:iCs/>
        </w:rPr>
        <w:t xml:space="preserve"> -</w:t>
      </w:r>
      <w:r w:rsidR="00F32355">
        <w:t xml:space="preserve"> </w:t>
      </w:r>
      <w:r w:rsidR="006F70DC" w:rsidRPr="006F70DC">
        <w:t>Caractéristiques des combustibles</w:t>
      </w:r>
    </w:p>
    <w:p w14:paraId="0CEA6BB3" w14:textId="2C710580" w:rsidR="006F70DC" w:rsidRPr="006F70DC" w:rsidRDefault="006F70DC" w:rsidP="002B0DC1">
      <w:pPr>
        <w:jc w:val="both"/>
        <w:rPr>
          <w:color w:val="000000"/>
          <w:lang w:eastAsia="fr-FR"/>
        </w:rPr>
      </w:pPr>
      <w:r>
        <w:rPr>
          <w:color w:val="000000"/>
          <w:lang w:eastAsia="fr-FR"/>
        </w:rPr>
        <w:t>« </w:t>
      </w:r>
      <w:r w:rsidRPr="006F70DC">
        <w:rPr>
          <w:color w:val="000000"/>
          <w:lang w:eastAsia="fr-FR"/>
        </w:rPr>
        <w:t>I. - L'exploitant énumère les types de combustibles utilisés et leurs quantités dans son installation et précise</w:t>
      </w:r>
      <w:r w:rsidR="00F32355">
        <w:rPr>
          <w:color w:val="000000"/>
          <w:lang w:eastAsia="fr-FR"/>
        </w:rPr>
        <w:t>,</w:t>
      </w:r>
      <w:r w:rsidRPr="006F70DC">
        <w:rPr>
          <w:color w:val="000000"/>
          <w:lang w:eastAsia="fr-FR"/>
        </w:rPr>
        <w:t xml:space="preserve"> pour chacun</w:t>
      </w:r>
      <w:r w:rsidR="00F32355">
        <w:rPr>
          <w:color w:val="000000"/>
          <w:lang w:eastAsia="fr-FR"/>
        </w:rPr>
        <w:t>,</w:t>
      </w:r>
      <w:r w:rsidRPr="006F70DC">
        <w:rPr>
          <w:color w:val="000000"/>
          <w:lang w:eastAsia="fr-FR"/>
        </w:rPr>
        <w:t xml:space="preserve"> leur nature.</w:t>
      </w:r>
    </w:p>
    <w:p w14:paraId="1832770A" w14:textId="431DA75F" w:rsidR="006F70DC" w:rsidRPr="006F70DC" w:rsidRDefault="006F70DC" w:rsidP="002B0DC1">
      <w:pPr>
        <w:jc w:val="both"/>
        <w:rPr>
          <w:color w:val="000000"/>
          <w:lang w:eastAsia="fr-FR"/>
        </w:rPr>
      </w:pPr>
      <w:r w:rsidRPr="006F70DC">
        <w:rPr>
          <w:color w:val="000000"/>
          <w:lang w:eastAsia="fr-FR"/>
        </w:rPr>
        <w:t xml:space="preserve">Pour les combustibles </w:t>
      </w:r>
      <w:r w:rsidR="009952AB">
        <w:rPr>
          <w:color w:val="000000"/>
          <w:lang w:eastAsia="fr-FR"/>
        </w:rPr>
        <w:t>mentionnés</w:t>
      </w:r>
      <w:r w:rsidR="009952AB" w:rsidRPr="006F70DC">
        <w:rPr>
          <w:color w:val="000000"/>
          <w:lang w:eastAsia="fr-FR"/>
        </w:rPr>
        <w:t xml:space="preserve"> </w:t>
      </w:r>
      <w:r w:rsidRPr="006F70DC">
        <w:rPr>
          <w:color w:val="000000"/>
          <w:lang w:eastAsia="fr-FR"/>
        </w:rPr>
        <w:t>par la rubrique 2910-B, les combustibles utilisés présentent une qualité constante dans le temps et répondent à tout moment aux critères suivants fixés par l'exploitant :</w:t>
      </w:r>
    </w:p>
    <w:p w14:paraId="630D7945" w14:textId="1B4964AE" w:rsidR="006F70DC" w:rsidRPr="006F70DC" w:rsidRDefault="006F70DC" w:rsidP="002B0DC1">
      <w:pPr>
        <w:jc w:val="both"/>
        <w:rPr>
          <w:color w:val="000000"/>
          <w:lang w:eastAsia="fr-FR"/>
        </w:rPr>
      </w:pPr>
      <w:r>
        <w:rPr>
          <w:color w:val="000000"/>
          <w:lang w:eastAsia="fr-FR"/>
        </w:rPr>
        <w:t>« </w:t>
      </w:r>
      <w:r w:rsidRPr="006F70DC">
        <w:rPr>
          <w:color w:val="000000"/>
          <w:lang w:eastAsia="fr-FR"/>
        </w:rPr>
        <w:t>– leur origine ;</w:t>
      </w:r>
    </w:p>
    <w:p w14:paraId="16F24694" w14:textId="7098D9B9" w:rsidR="006F70DC" w:rsidRPr="006F70DC" w:rsidRDefault="006F70DC" w:rsidP="002B0DC1">
      <w:pPr>
        <w:jc w:val="both"/>
        <w:rPr>
          <w:color w:val="000000"/>
          <w:lang w:eastAsia="fr-FR"/>
        </w:rPr>
      </w:pPr>
      <w:r>
        <w:rPr>
          <w:color w:val="000000"/>
          <w:lang w:eastAsia="fr-FR"/>
        </w:rPr>
        <w:t>« </w:t>
      </w:r>
      <w:r w:rsidRPr="006F70DC">
        <w:rPr>
          <w:color w:val="000000"/>
          <w:lang w:eastAsia="fr-FR"/>
        </w:rPr>
        <w:t>– leurs caractéristiques physico-chimiques ;</w:t>
      </w:r>
    </w:p>
    <w:p w14:paraId="678A4E91" w14:textId="175C8A51" w:rsidR="006F70DC" w:rsidRPr="006F70DC" w:rsidRDefault="006F70DC" w:rsidP="002B0DC1">
      <w:pPr>
        <w:jc w:val="both"/>
        <w:rPr>
          <w:color w:val="000000"/>
          <w:lang w:eastAsia="fr-FR"/>
        </w:rPr>
      </w:pPr>
      <w:r>
        <w:rPr>
          <w:color w:val="000000"/>
          <w:lang w:eastAsia="fr-FR"/>
        </w:rPr>
        <w:t>« </w:t>
      </w:r>
      <w:r w:rsidRPr="006F70DC">
        <w:rPr>
          <w:color w:val="000000"/>
          <w:lang w:eastAsia="fr-FR"/>
        </w:rPr>
        <w:t>– les caractéristiques des effluents atmosphériques mesurés lors de la combustion du combustible ;</w:t>
      </w:r>
    </w:p>
    <w:p w14:paraId="3FF4F05C" w14:textId="683790D8" w:rsidR="006F70DC" w:rsidRPr="006F70DC" w:rsidRDefault="006F70DC" w:rsidP="002B0DC1">
      <w:pPr>
        <w:jc w:val="both"/>
        <w:rPr>
          <w:color w:val="000000"/>
          <w:lang w:eastAsia="fr-FR"/>
        </w:rPr>
      </w:pPr>
      <w:r>
        <w:rPr>
          <w:color w:val="000000"/>
          <w:lang w:eastAsia="fr-FR"/>
        </w:rPr>
        <w:t>« </w:t>
      </w:r>
      <w:r w:rsidRPr="006F70DC">
        <w:rPr>
          <w:color w:val="000000"/>
          <w:lang w:eastAsia="fr-FR"/>
        </w:rPr>
        <w:t>– l'identité du fournisseur ;</w:t>
      </w:r>
    </w:p>
    <w:p w14:paraId="32B5D18A" w14:textId="7F433AD3" w:rsidR="006F70DC" w:rsidRPr="006F70DC" w:rsidRDefault="006F70DC" w:rsidP="002B0DC1">
      <w:pPr>
        <w:jc w:val="both"/>
        <w:rPr>
          <w:color w:val="000000"/>
          <w:lang w:eastAsia="fr-FR"/>
        </w:rPr>
      </w:pPr>
      <w:r>
        <w:rPr>
          <w:color w:val="000000"/>
          <w:lang w:eastAsia="fr-FR"/>
        </w:rPr>
        <w:t>« </w:t>
      </w:r>
      <w:r w:rsidRPr="006F70DC">
        <w:rPr>
          <w:color w:val="000000"/>
          <w:lang w:eastAsia="fr-FR"/>
        </w:rPr>
        <w:t>– le mode de transport utilisé pour la livraison sur le site.</w:t>
      </w:r>
    </w:p>
    <w:p w14:paraId="043465FD" w14:textId="2BDCBB40" w:rsidR="006F70DC" w:rsidRPr="006F70DC" w:rsidRDefault="006F70DC" w:rsidP="002B0DC1">
      <w:pPr>
        <w:spacing w:after="240"/>
        <w:jc w:val="both"/>
        <w:rPr>
          <w:color w:val="000000"/>
          <w:lang w:eastAsia="fr-FR"/>
        </w:rPr>
      </w:pPr>
      <w:r>
        <w:rPr>
          <w:color w:val="000000"/>
          <w:lang w:eastAsia="fr-FR"/>
        </w:rPr>
        <w:t>« </w:t>
      </w:r>
      <w:r w:rsidRPr="006F70DC">
        <w:rPr>
          <w:color w:val="000000"/>
          <w:lang w:eastAsia="fr-FR"/>
        </w:rPr>
        <w:t xml:space="preserve">A cette fin, l'exploitant met en place un programme de suivi qualitatif et quantitatif des combustibles utilisés. </w:t>
      </w:r>
    </w:p>
    <w:p w14:paraId="69395FFE" w14:textId="4ED57EB2" w:rsidR="006F70DC" w:rsidRPr="006F70DC" w:rsidRDefault="006F70DC" w:rsidP="002B0DC1">
      <w:pPr>
        <w:spacing w:after="240"/>
        <w:jc w:val="both"/>
        <w:rPr>
          <w:color w:val="000000"/>
          <w:lang w:eastAsia="fr-FR"/>
        </w:rPr>
      </w:pPr>
      <w:r>
        <w:rPr>
          <w:color w:val="000000"/>
          <w:lang w:eastAsia="fr-FR"/>
        </w:rPr>
        <w:t>« </w:t>
      </w:r>
      <w:r w:rsidRPr="006F70DC">
        <w:rPr>
          <w:color w:val="000000"/>
          <w:lang w:eastAsia="fr-FR"/>
        </w:rPr>
        <w:t>Sur la base des éléments fournis par l'exploitant et notamment de résultats de mesures, l'arrêté préfectoral d'autorisation précise la nature des combustibles autorisés, les teneurs maximales en composés autorisées dans chaque combustible ainsi que le programme de suivi.</w:t>
      </w:r>
    </w:p>
    <w:p w14:paraId="59247F3E" w14:textId="2C9C77AC" w:rsidR="006F70DC" w:rsidRPr="006F70DC" w:rsidRDefault="006F70DC" w:rsidP="002B0DC1">
      <w:pPr>
        <w:spacing w:after="240"/>
        <w:jc w:val="both"/>
      </w:pPr>
      <w:r>
        <w:rPr>
          <w:color w:val="000000"/>
          <w:lang w:eastAsia="fr-FR"/>
        </w:rPr>
        <w:t>« </w:t>
      </w:r>
      <w:r w:rsidRPr="006F70DC">
        <w:rPr>
          <w:color w:val="000000"/>
          <w:lang w:eastAsia="fr-FR"/>
        </w:rPr>
        <w:t>II. – Pour les chaudières, turbines et moteurs de puissance thermique nominale supérieure ou égale à 15 MW, a</w:t>
      </w:r>
      <w:r w:rsidRPr="006F70DC">
        <w:t xml:space="preserve">fin d'améliorer les performances environnementales générales des installations de combustion et de réduire les émissions dans l'air, dans le cadre du système de management environnemental </w:t>
      </w:r>
      <w:r w:rsidR="007E5451">
        <w:t>mentionné</w:t>
      </w:r>
      <w:r w:rsidR="007E5451" w:rsidRPr="006F70DC">
        <w:t xml:space="preserve"> </w:t>
      </w:r>
      <w:r w:rsidRPr="006F70DC">
        <w:t xml:space="preserve">à l’article 5-1, l’exploitant inclut les éléments suivants dans les programmes d'assurance qualité/contrôle de la qualité, pour tous les combustibles listés dans le tableau ci-dessous et </w:t>
      </w:r>
      <w:r w:rsidRPr="006F70DC">
        <w:rPr>
          <w:color w:val="000000"/>
          <w:lang w:eastAsia="fr-FR"/>
        </w:rPr>
        <w:t xml:space="preserve">dans les délais mentionnés </w:t>
      </w:r>
      <w:r w:rsidR="00D9011B">
        <w:rPr>
          <w:color w:val="000000"/>
          <w:lang w:eastAsia="fr-FR"/>
        </w:rPr>
        <w:t>au VII de l’article 3</w:t>
      </w:r>
      <w:r w:rsidRPr="006F70DC">
        <w:rPr>
          <w:color w:val="000000"/>
          <w:lang w:eastAsia="fr-FR"/>
        </w:rPr>
        <w:t> </w:t>
      </w:r>
      <w:r w:rsidR="00FC100A">
        <w:rPr>
          <w:color w:val="000000"/>
          <w:lang w:eastAsia="fr-FR"/>
        </w:rPr>
        <w:t xml:space="preserve">du présent arrêté </w:t>
      </w:r>
      <w:r w:rsidRPr="006F70DC">
        <w:t>:</w:t>
      </w:r>
    </w:p>
    <w:p w14:paraId="683263E8" w14:textId="0AE09055" w:rsidR="006F70DC" w:rsidRPr="00F24EAF" w:rsidRDefault="006F70DC" w:rsidP="002B0DC1">
      <w:pPr>
        <w:pStyle w:val="Titredetableau"/>
        <w:ind w:left="1080"/>
        <w:jc w:val="both"/>
        <w:rPr>
          <w:b w:val="0"/>
          <w:bCs w:val="0"/>
        </w:rPr>
      </w:pPr>
      <w:r w:rsidRPr="00F24EAF">
        <w:rPr>
          <w:b w:val="0"/>
          <w:bCs w:val="0"/>
        </w:rPr>
        <w:t>« </w:t>
      </w:r>
      <w:proofErr w:type="gramStart"/>
      <w:r w:rsidRPr="00F24EAF">
        <w:rPr>
          <w:b w:val="0"/>
          <w:bCs w:val="0"/>
        </w:rPr>
        <w:t>i</w:t>
      </w:r>
      <w:proofErr w:type="gramEnd"/>
      <w:r w:rsidRPr="00F24EAF">
        <w:rPr>
          <w:b w:val="0"/>
          <w:bCs w:val="0"/>
        </w:rPr>
        <w:t>) caractérisation initiale complète du combustible utilisé, y compris au moins les paramètres énumérés ci-après et conformément aux normes EN. Les normes nationales, les normes ISO ou d'autres normes internationales peuvent être utilisées, pour autant qu'elles garantissent l'obtention de données d'une qualité scientifique équivalente ;</w:t>
      </w:r>
    </w:p>
    <w:p w14:paraId="702FBB2E" w14:textId="73905E49" w:rsidR="006F70DC" w:rsidRPr="00F24EAF" w:rsidRDefault="006F70DC" w:rsidP="002B0DC1">
      <w:pPr>
        <w:pStyle w:val="Titredetableau"/>
        <w:ind w:left="1080"/>
        <w:jc w:val="both"/>
        <w:rPr>
          <w:b w:val="0"/>
          <w:bCs w:val="0"/>
        </w:rPr>
      </w:pPr>
      <w:r w:rsidRPr="00F24EAF">
        <w:rPr>
          <w:b w:val="0"/>
          <w:bCs w:val="0"/>
        </w:rPr>
        <w:t>« </w:t>
      </w:r>
      <w:proofErr w:type="gramStart"/>
      <w:r w:rsidRPr="00F24EAF">
        <w:rPr>
          <w:b w:val="0"/>
          <w:bCs w:val="0"/>
        </w:rPr>
        <w:t>ii</w:t>
      </w:r>
      <w:proofErr w:type="gramEnd"/>
      <w:r w:rsidRPr="00F24EAF">
        <w:rPr>
          <w:b w:val="0"/>
          <w:bCs w:val="0"/>
        </w:rPr>
        <w:t>) contrôle régulier de la qualité du combustible afin de vérifier qu'elle correspond à la caractérisation initiale et aux spécifications de conception de l'installation. La fréquence des contrôles et les paramètres retenus parmi ceux du tableau ci-dessous sont déterminés par la variabilité du combustible, après évaluation de la pertinence des rejets polluants ;</w:t>
      </w:r>
    </w:p>
    <w:p w14:paraId="722CD63C" w14:textId="09C9275A" w:rsidR="006F70DC" w:rsidRPr="00F24EAF" w:rsidRDefault="006F70DC" w:rsidP="002B0DC1">
      <w:pPr>
        <w:pStyle w:val="Titredetableau"/>
        <w:ind w:left="1080"/>
        <w:jc w:val="both"/>
        <w:rPr>
          <w:b w:val="0"/>
          <w:bCs w:val="0"/>
        </w:rPr>
      </w:pPr>
      <w:r w:rsidRPr="00F24EAF">
        <w:rPr>
          <w:b w:val="0"/>
          <w:bCs w:val="0"/>
        </w:rPr>
        <w:t>« </w:t>
      </w:r>
      <w:proofErr w:type="gramStart"/>
      <w:r w:rsidRPr="00F24EAF">
        <w:rPr>
          <w:b w:val="0"/>
          <w:bCs w:val="0"/>
        </w:rPr>
        <w:t>iii</w:t>
      </w:r>
      <w:proofErr w:type="gramEnd"/>
      <w:r w:rsidRPr="00F24EAF">
        <w:rPr>
          <w:b w:val="0"/>
          <w:bCs w:val="0"/>
        </w:rPr>
        <w:t>) Adaptation des réglages de l'installation en fonction des besoins et des possibilités</w:t>
      </w:r>
      <w:r w:rsidR="00386581">
        <w:rPr>
          <w:b w:val="0"/>
          <w:bCs w:val="0"/>
        </w:rPr>
        <w:t>.</w:t>
      </w:r>
      <w:r w:rsidRPr="00F24EAF">
        <w:rPr>
          <w:b w:val="0"/>
          <w:bCs w:val="0"/>
        </w:rPr>
        <w:t xml:space="preserve"> </w:t>
      </w:r>
    </w:p>
    <w:p w14:paraId="3D23A5D2" w14:textId="70B405E7" w:rsidR="006F70DC" w:rsidRPr="006F70DC" w:rsidRDefault="006F70DC" w:rsidP="002B0DC1">
      <w:pPr>
        <w:jc w:val="both"/>
      </w:pPr>
      <w:r>
        <w:t>« </w:t>
      </w:r>
      <w:r w:rsidRPr="006F70DC">
        <w:t>La caractérisation initiale et le contrôle régulier du combustible peuvent être effectués par l'exploitant ou par le fournisseur du combustible. Dans la dernière hypothèse, les résultats complets sont communiqués à l'exploitant sous la forme d'une fiche produit (combustible) ou d'une garantie du fournisseur.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6F70DC" w:rsidRPr="006F70DC" w14:paraId="04C9957A" w14:textId="77777777" w:rsidTr="00F24EAF">
        <w:tc>
          <w:tcPr>
            <w:tcW w:w="2405" w:type="dxa"/>
          </w:tcPr>
          <w:p w14:paraId="1B9D4408" w14:textId="77777777" w:rsidR="006F70DC" w:rsidRPr="00F24EAF" w:rsidRDefault="006F70DC" w:rsidP="002B0DC1">
            <w:pPr>
              <w:rPr>
                <w:bCs/>
              </w:rPr>
            </w:pPr>
            <w:r w:rsidRPr="00F24EAF">
              <w:rPr>
                <w:bCs/>
              </w:rPr>
              <w:t>Combustibles</w:t>
            </w:r>
          </w:p>
        </w:tc>
        <w:tc>
          <w:tcPr>
            <w:tcW w:w="6657" w:type="dxa"/>
          </w:tcPr>
          <w:p w14:paraId="7B47991B" w14:textId="77777777" w:rsidR="006F70DC" w:rsidRPr="00F24EAF" w:rsidRDefault="006F70DC" w:rsidP="002B0DC1">
            <w:pPr>
              <w:rPr>
                <w:bCs/>
              </w:rPr>
            </w:pPr>
            <w:r w:rsidRPr="00F24EAF">
              <w:rPr>
                <w:bCs/>
              </w:rPr>
              <w:t>Substances / paramètres à caractériser</w:t>
            </w:r>
          </w:p>
        </w:tc>
      </w:tr>
      <w:tr w:rsidR="006F70DC" w:rsidRPr="006F70DC" w14:paraId="1923B887" w14:textId="77777777" w:rsidTr="00F24EAF">
        <w:tc>
          <w:tcPr>
            <w:tcW w:w="2405" w:type="dxa"/>
            <w:vMerge w:val="restart"/>
          </w:tcPr>
          <w:p w14:paraId="447815C1" w14:textId="77777777" w:rsidR="006F70DC" w:rsidRPr="006F70DC" w:rsidRDefault="006F70DC" w:rsidP="002B0DC1">
            <w:r w:rsidRPr="006F70DC">
              <w:t>Biomasse</w:t>
            </w:r>
          </w:p>
        </w:tc>
        <w:tc>
          <w:tcPr>
            <w:tcW w:w="6657" w:type="dxa"/>
          </w:tcPr>
          <w:p w14:paraId="4DE75BF0" w14:textId="77777777" w:rsidR="006F70DC" w:rsidRPr="006F70DC" w:rsidRDefault="006F70DC" w:rsidP="002B0DC1">
            <w:r w:rsidRPr="006F70DC">
              <w:t>PCI</w:t>
            </w:r>
          </w:p>
          <w:p w14:paraId="3FBEE353" w14:textId="77777777" w:rsidR="006F70DC" w:rsidRPr="006F70DC" w:rsidRDefault="006F70DC" w:rsidP="002B0DC1">
            <w:r w:rsidRPr="006F70DC">
              <w:t>Humidité</w:t>
            </w:r>
          </w:p>
        </w:tc>
      </w:tr>
      <w:tr w:rsidR="006F70DC" w:rsidRPr="006F70DC" w14:paraId="0AEBFF5F" w14:textId="77777777" w:rsidTr="00F24EAF">
        <w:tc>
          <w:tcPr>
            <w:tcW w:w="2405" w:type="dxa"/>
            <w:vMerge/>
          </w:tcPr>
          <w:p w14:paraId="0A6AD090" w14:textId="77777777" w:rsidR="006F70DC" w:rsidRPr="006F70DC" w:rsidRDefault="006F70DC" w:rsidP="002B0DC1"/>
        </w:tc>
        <w:tc>
          <w:tcPr>
            <w:tcW w:w="6657" w:type="dxa"/>
          </w:tcPr>
          <w:p w14:paraId="3ECFDCA9" w14:textId="77777777" w:rsidR="006F70DC" w:rsidRPr="006F70DC" w:rsidRDefault="006F70DC" w:rsidP="002B0DC1">
            <w:r w:rsidRPr="006F70DC">
              <w:t>C, Cl, F, N, S, K, Na</w:t>
            </w:r>
          </w:p>
          <w:p w14:paraId="475109A6" w14:textId="77777777" w:rsidR="006F70DC" w:rsidRPr="006F70DC" w:rsidRDefault="006F70DC" w:rsidP="002B0DC1">
            <w:r w:rsidRPr="006F70DC">
              <w:t>Métaux (As, Cd, Cr, Cu, Hg, Pb, Zn)</w:t>
            </w:r>
          </w:p>
        </w:tc>
      </w:tr>
      <w:tr w:rsidR="006F70DC" w:rsidRPr="006F70DC" w14:paraId="728F1F20" w14:textId="77777777" w:rsidTr="00F24EAF">
        <w:tc>
          <w:tcPr>
            <w:tcW w:w="2405" w:type="dxa"/>
            <w:vMerge w:val="restart"/>
          </w:tcPr>
          <w:p w14:paraId="1AB09FBA" w14:textId="77777777" w:rsidR="006F70DC" w:rsidRPr="006F70DC" w:rsidRDefault="006F70DC" w:rsidP="002B0DC1">
            <w:r w:rsidRPr="006F70DC">
              <w:t>Charbon / lignite</w:t>
            </w:r>
          </w:p>
        </w:tc>
        <w:tc>
          <w:tcPr>
            <w:tcW w:w="6657" w:type="dxa"/>
          </w:tcPr>
          <w:p w14:paraId="04EC6F9A" w14:textId="77777777" w:rsidR="006F70DC" w:rsidRPr="006F70DC" w:rsidRDefault="006F70DC" w:rsidP="002B0DC1">
            <w:r w:rsidRPr="006F70DC">
              <w:t>PCI</w:t>
            </w:r>
          </w:p>
          <w:p w14:paraId="7D820FED" w14:textId="77777777" w:rsidR="006F70DC" w:rsidRPr="006F70DC" w:rsidRDefault="006F70DC" w:rsidP="002B0DC1">
            <w:r w:rsidRPr="006F70DC">
              <w:t>Humidité</w:t>
            </w:r>
          </w:p>
          <w:p w14:paraId="01AA0504" w14:textId="77777777" w:rsidR="006F70DC" w:rsidRPr="006F70DC" w:rsidRDefault="006F70DC" w:rsidP="002B0DC1">
            <w:r w:rsidRPr="006F70DC">
              <w:t>Composés volatils, cendres, carbone lié, C, H, O, S</w:t>
            </w:r>
          </w:p>
        </w:tc>
      </w:tr>
      <w:tr w:rsidR="006F70DC" w:rsidRPr="006F70DC" w14:paraId="6C0470A6" w14:textId="77777777" w:rsidTr="00F24EAF">
        <w:tc>
          <w:tcPr>
            <w:tcW w:w="2405" w:type="dxa"/>
            <w:vMerge/>
          </w:tcPr>
          <w:p w14:paraId="77AA0310" w14:textId="77777777" w:rsidR="006F70DC" w:rsidRPr="006F70DC" w:rsidRDefault="006F70DC" w:rsidP="002B0DC1"/>
        </w:tc>
        <w:tc>
          <w:tcPr>
            <w:tcW w:w="6657" w:type="dxa"/>
          </w:tcPr>
          <w:p w14:paraId="50446C88" w14:textId="77777777" w:rsidR="006F70DC" w:rsidRPr="006F70DC" w:rsidRDefault="006F70DC" w:rsidP="002B0DC1">
            <w:r w:rsidRPr="006F70DC">
              <w:t>Br, Cl, F</w:t>
            </w:r>
          </w:p>
        </w:tc>
      </w:tr>
      <w:tr w:rsidR="006F70DC" w:rsidRPr="006F70DC" w14:paraId="0A23F5BC" w14:textId="77777777" w:rsidTr="00F24EAF">
        <w:tc>
          <w:tcPr>
            <w:tcW w:w="2405" w:type="dxa"/>
            <w:vMerge/>
          </w:tcPr>
          <w:p w14:paraId="016288F2" w14:textId="77777777" w:rsidR="006F70DC" w:rsidRPr="006F70DC" w:rsidRDefault="006F70DC" w:rsidP="002B0DC1"/>
        </w:tc>
        <w:tc>
          <w:tcPr>
            <w:tcW w:w="6657" w:type="dxa"/>
          </w:tcPr>
          <w:p w14:paraId="3C2C4A1C" w14:textId="77777777" w:rsidR="006F70DC" w:rsidRPr="006F70DC" w:rsidRDefault="006F70DC" w:rsidP="002B0DC1">
            <w:r w:rsidRPr="006F70DC">
              <w:t>Métaux (As, Cd, Co, Cr, Cu, Hg, Mn, Ni, Pb, Sb, Tl, V, Zn)</w:t>
            </w:r>
          </w:p>
        </w:tc>
      </w:tr>
      <w:tr w:rsidR="006F70DC" w:rsidRPr="006F70DC" w14:paraId="099F6A2E" w14:textId="77777777" w:rsidTr="00F24EAF">
        <w:tc>
          <w:tcPr>
            <w:tcW w:w="2405" w:type="dxa"/>
          </w:tcPr>
          <w:p w14:paraId="2096D8E8" w14:textId="77777777" w:rsidR="006F70DC" w:rsidRPr="006F70DC" w:rsidRDefault="006F70DC" w:rsidP="002B0DC1">
            <w:r w:rsidRPr="006F70DC">
              <w:t>Combustibles issus de l’industrie chimique (1)</w:t>
            </w:r>
          </w:p>
        </w:tc>
        <w:tc>
          <w:tcPr>
            <w:tcW w:w="6657" w:type="dxa"/>
          </w:tcPr>
          <w:p w14:paraId="560C0B2E" w14:textId="77777777" w:rsidR="006F70DC" w:rsidRPr="006F70DC" w:rsidRDefault="006F70DC" w:rsidP="002B0DC1">
            <w:r w:rsidRPr="006F70DC">
              <w:t>Br, C, Cl, F, H, N, O, S</w:t>
            </w:r>
          </w:p>
          <w:p w14:paraId="2715C7D1" w14:textId="77777777" w:rsidR="006F70DC" w:rsidRPr="006F70DC" w:rsidRDefault="006F70DC" w:rsidP="002B0DC1">
            <w:r w:rsidRPr="006F70DC">
              <w:t>Métaux (As, Cd, Co, Cr, Cu, Hg, Mn, Ni, Pb, Sb, Tl, V, Zn)</w:t>
            </w:r>
          </w:p>
        </w:tc>
      </w:tr>
      <w:tr w:rsidR="006F70DC" w:rsidRPr="006F70DC" w14:paraId="048B0B5E" w14:textId="77777777" w:rsidTr="00F24EAF">
        <w:tc>
          <w:tcPr>
            <w:tcW w:w="2405" w:type="dxa"/>
          </w:tcPr>
          <w:p w14:paraId="43B9249A" w14:textId="77777777" w:rsidR="006F70DC" w:rsidRPr="006F70DC" w:rsidRDefault="006F70DC" w:rsidP="002B0DC1">
            <w:r w:rsidRPr="006F70DC">
              <w:t>Gaz sidérurgiques</w:t>
            </w:r>
          </w:p>
        </w:tc>
        <w:tc>
          <w:tcPr>
            <w:tcW w:w="6657" w:type="dxa"/>
          </w:tcPr>
          <w:p w14:paraId="30BE0322" w14:textId="77777777" w:rsidR="006F70DC" w:rsidRPr="006F70DC" w:rsidRDefault="006F70DC" w:rsidP="002B0DC1">
            <w:r w:rsidRPr="006F70DC">
              <w:t>PCI, CH</w:t>
            </w:r>
            <w:r w:rsidRPr="006F70DC">
              <w:rPr>
                <w:vertAlign w:val="subscript"/>
              </w:rPr>
              <w:t>4</w:t>
            </w:r>
            <w:r w:rsidRPr="006F70DC">
              <w:t xml:space="preserve"> (pour COG), </w:t>
            </w:r>
            <w:proofErr w:type="spellStart"/>
            <w:r w:rsidRPr="006F70DC">
              <w:t>C</w:t>
            </w:r>
            <w:r w:rsidRPr="006F70DC">
              <w:rPr>
                <w:vertAlign w:val="subscript"/>
              </w:rPr>
              <w:t>x</w:t>
            </w:r>
            <w:r w:rsidRPr="006F70DC">
              <w:t>H</w:t>
            </w:r>
            <w:r w:rsidRPr="006F70DC">
              <w:rPr>
                <w:vertAlign w:val="subscript"/>
              </w:rPr>
              <w:t>y</w:t>
            </w:r>
            <w:proofErr w:type="spellEnd"/>
            <w:r w:rsidRPr="006F70DC">
              <w:t xml:space="preserve"> (pour COG), CO</w:t>
            </w:r>
            <w:r w:rsidRPr="006F70DC">
              <w:rPr>
                <w:vertAlign w:val="subscript"/>
              </w:rPr>
              <w:t>2</w:t>
            </w:r>
            <w:r w:rsidRPr="006F70DC">
              <w:t>, H</w:t>
            </w:r>
            <w:r w:rsidRPr="006F70DC">
              <w:rPr>
                <w:vertAlign w:val="subscript"/>
              </w:rPr>
              <w:t>2</w:t>
            </w:r>
            <w:r w:rsidRPr="006F70DC">
              <w:t>, N</w:t>
            </w:r>
            <w:r w:rsidRPr="006F70DC">
              <w:rPr>
                <w:vertAlign w:val="subscript"/>
              </w:rPr>
              <w:t>2</w:t>
            </w:r>
            <w:r w:rsidRPr="006F70DC">
              <w:t xml:space="preserve">, soufre total, poussières indice de </w:t>
            </w:r>
            <w:proofErr w:type="spellStart"/>
            <w:r w:rsidRPr="006F70DC">
              <w:t>Wobbe</w:t>
            </w:r>
            <w:proofErr w:type="spellEnd"/>
          </w:p>
        </w:tc>
      </w:tr>
    </w:tbl>
    <w:p w14:paraId="5B50F02D" w14:textId="2C5DF83F" w:rsidR="006F70DC" w:rsidRPr="00F24EAF" w:rsidRDefault="006F70DC" w:rsidP="002B0DC1">
      <w:pPr>
        <w:pStyle w:val="Titredetableau"/>
        <w:spacing w:after="240"/>
        <w:jc w:val="both"/>
        <w:rPr>
          <w:b w:val="0"/>
          <w:bCs w:val="0"/>
        </w:rPr>
      </w:pPr>
      <w:r w:rsidRPr="00F24EAF">
        <w:rPr>
          <w:b w:val="0"/>
          <w:bCs w:val="0"/>
        </w:rPr>
        <w:t>« (1) Il est possible de réduire la liste des substances/paramètres caractérisés aux seuls susceptibles, selon toute vraisemblance, d’être présents dans le(s) combustibles, au vu des informations sur les matières premières et les procédés de production.</w:t>
      </w:r>
    </w:p>
    <w:p w14:paraId="5D61EC67" w14:textId="2C5D0BE8" w:rsidR="006F70DC" w:rsidRPr="006F70DC" w:rsidRDefault="006F70DC" w:rsidP="003C2D9C">
      <w:pPr>
        <w:spacing w:after="240"/>
        <w:jc w:val="both"/>
        <w:rPr>
          <w:color w:val="000000"/>
          <w:lang w:eastAsia="fr-FR"/>
        </w:rPr>
      </w:pPr>
      <w:r w:rsidRPr="00645CFB">
        <w:rPr>
          <w:color w:val="000000"/>
          <w:lang w:eastAsia="fr-FR"/>
        </w:rPr>
        <w:t>« </w:t>
      </w:r>
      <w:r w:rsidR="003C2D9C" w:rsidRPr="003C2D9C">
        <w:rPr>
          <w:i/>
          <w:iCs/>
          <w:color w:val="000000"/>
          <w:lang w:eastAsia="fr-FR"/>
        </w:rPr>
        <w:t xml:space="preserve">Art. </w:t>
      </w:r>
      <w:r w:rsidRPr="003C2D9C">
        <w:rPr>
          <w:i/>
          <w:iCs/>
          <w:color w:val="000000"/>
          <w:lang w:eastAsia="fr-FR"/>
        </w:rPr>
        <w:t>5-3</w:t>
      </w:r>
      <w:r w:rsidR="003C2D9C">
        <w:rPr>
          <w:color w:val="000000"/>
          <w:lang w:eastAsia="fr-FR"/>
        </w:rPr>
        <w:t>. -</w:t>
      </w:r>
      <w:r>
        <w:rPr>
          <w:color w:val="000000"/>
          <w:lang w:eastAsia="fr-FR"/>
        </w:rPr>
        <w:t> </w:t>
      </w:r>
      <w:r w:rsidRPr="006F70DC">
        <w:rPr>
          <w:color w:val="000000"/>
          <w:lang w:eastAsia="fr-FR"/>
        </w:rPr>
        <w:t xml:space="preserve">Gestion des périodes </w:t>
      </w:r>
      <w:r w:rsidR="007E5451">
        <w:rPr>
          <w:color w:val="000000"/>
          <w:lang w:eastAsia="fr-FR"/>
        </w:rPr>
        <w:t>« autres que normales » (</w:t>
      </w:r>
      <w:r w:rsidRPr="006F70DC">
        <w:rPr>
          <w:color w:val="000000"/>
          <w:lang w:eastAsia="fr-FR"/>
        </w:rPr>
        <w:t>OTNOC</w:t>
      </w:r>
      <w:r w:rsidR="007E5451">
        <w:rPr>
          <w:color w:val="000000"/>
          <w:lang w:eastAsia="fr-FR"/>
        </w:rPr>
        <w:t>)</w:t>
      </w:r>
    </w:p>
    <w:p w14:paraId="10B707A8" w14:textId="5955C4CA" w:rsidR="006F70DC" w:rsidRPr="00F24EAF" w:rsidRDefault="006F70DC" w:rsidP="002B0DC1">
      <w:pPr>
        <w:jc w:val="both"/>
      </w:pPr>
      <w:r>
        <w:rPr>
          <w:color w:val="000000"/>
          <w:lang w:eastAsia="fr-FR"/>
        </w:rPr>
        <w:t>« </w:t>
      </w:r>
      <w:r w:rsidRPr="006F70DC">
        <w:rPr>
          <w:color w:val="000000"/>
          <w:lang w:eastAsia="fr-FR"/>
        </w:rPr>
        <w:t xml:space="preserve">Pour les chaudières, turbines et moteurs de puissance thermique nominale supérieure ou égale à 15 MW, </w:t>
      </w:r>
      <w:r w:rsidRPr="007E5451">
        <w:rPr>
          <w:bCs/>
          <w:lang w:eastAsia="fr-FR"/>
        </w:rPr>
        <w:t>a</w:t>
      </w:r>
      <w:r w:rsidRPr="006F70DC">
        <w:t>fin de réduire les émissions dans l'air ou dans l'eau lors de conditions d'exploitation autres que normales (OTNOC), l’exploitant met en œuvre</w:t>
      </w:r>
      <w:r w:rsidR="00386581">
        <w:t>,</w:t>
      </w:r>
      <w:r w:rsidR="007E5451" w:rsidRPr="007E5451">
        <w:rPr>
          <w:color w:val="000000"/>
          <w:lang w:eastAsia="fr-FR"/>
        </w:rPr>
        <w:t xml:space="preserve"> </w:t>
      </w:r>
      <w:r w:rsidR="007E5451" w:rsidRPr="006F70DC">
        <w:rPr>
          <w:color w:val="000000"/>
          <w:lang w:eastAsia="fr-FR"/>
        </w:rPr>
        <w:t xml:space="preserve">dans les délais mentionnés </w:t>
      </w:r>
      <w:r w:rsidR="007E5451">
        <w:rPr>
          <w:color w:val="000000"/>
          <w:lang w:eastAsia="fr-FR"/>
        </w:rPr>
        <w:t>au VII de l’article 3</w:t>
      </w:r>
      <w:r w:rsidR="007E5451" w:rsidRPr="00F24EAF">
        <w:rPr>
          <w:color w:val="000000"/>
          <w:lang w:eastAsia="fr-FR"/>
        </w:rPr>
        <w:t xml:space="preserve"> du présent arrêté</w:t>
      </w:r>
      <w:r w:rsidRPr="006F70DC">
        <w:t>, dans le cadre du système de management environnemental (voir article 5-1), un plan de gestion adapté aux rejets polluants potentiels pertinents, comprenant les éléments suivants</w:t>
      </w:r>
      <w:r w:rsidR="007E5451">
        <w:rPr>
          <w:color w:val="000000"/>
          <w:lang w:eastAsia="fr-FR"/>
        </w:rPr>
        <w:t xml:space="preserve"> </w:t>
      </w:r>
      <w:r w:rsidRPr="00F24EAF">
        <w:t xml:space="preserve">: </w:t>
      </w:r>
    </w:p>
    <w:p w14:paraId="58AD8282" w14:textId="0F7BD165" w:rsidR="006F70DC" w:rsidRPr="00F24EAF" w:rsidRDefault="006F70DC" w:rsidP="002B0DC1">
      <w:pPr>
        <w:pStyle w:val="Titredetableau"/>
        <w:jc w:val="both"/>
        <w:rPr>
          <w:b w:val="0"/>
          <w:bCs w:val="0"/>
        </w:rPr>
      </w:pPr>
      <w:r w:rsidRPr="00F24EAF">
        <w:rPr>
          <w:b w:val="0"/>
          <w:bCs w:val="0"/>
        </w:rPr>
        <w:t xml:space="preserve">« - conception appropriée des systèmes </w:t>
      </w:r>
      <w:r w:rsidR="007156DE">
        <w:rPr>
          <w:b w:val="0"/>
          <w:bCs w:val="0"/>
        </w:rPr>
        <w:t>jouant</w:t>
      </w:r>
      <w:r w:rsidRPr="00F24EAF">
        <w:rPr>
          <w:b w:val="0"/>
          <w:bCs w:val="0"/>
        </w:rPr>
        <w:t xml:space="preserve"> un rôle dans les OTNOC susceptibles d'avoir une incidence sur les émissions dans l'air, dans l'eau ou le sol ;</w:t>
      </w:r>
    </w:p>
    <w:p w14:paraId="1374A433" w14:textId="72A7A748" w:rsidR="006F70DC" w:rsidRPr="00F24EAF" w:rsidRDefault="006F70DC" w:rsidP="002B0DC1">
      <w:pPr>
        <w:pStyle w:val="Titredetableau"/>
        <w:jc w:val="both"/>
        <w:rPr>
          <w:b w:val="0"/>
          <w:bCs w:val="0"/>
        </w:rPr>
      </w:pPr>
      <w:r w:rsidRPr="00F24EAF">
        <w:rPr>
          <w:b w:val="0"/>
          <w:bCs w:val="0"/>
        </w:rPr>
        <w:t>« - établissement et mise en œuvre d'un plan de maintenance préventive spécifique pour ces systèmes ;</w:t>
      </w:r>
    </w:p>
    <w:p w14:paraId="7CCBEC60" w14:textId="71F9D4CB" w:rsidR="006F70DC" w:rsidRPr="00F24EAF" w:rsidRDefault="006F70DC" w:rsidP="002B0DC1">
      <w:pPr>
        <w:pStyle w:val="Titredetableau"/>
        <w:jc w:val="both"/>
        <w:rPr>
          <w:b w:val="0"/>
          <w:bCs w:val="0"/>
        </w:rPr>
      </w:pPr>
      <w:r w:rsidRPr="00F24EAF">
        <w:rPr>
          <w:b w:val="0"/>
          <w:bCs w:val="0"/>
        </w:rPr>
        <w:t>« - vérification et relevé des émissions causées par des OTNOC et les circonstances associées, et mise en œuvre de mesures correctives si nécessaire ;</w:t>
      </w:r>
    </w:p>
    <w:p w14:paraId="36381364" w14:textId="610351FC" w:rsidR="006F70DC" w:rsidRPr="00F24EAF" w:rsidRDefault="006F70DC" w:rsidP="002B0DC1">
      <w:pPr>
        <w:pStyle w:val="Titredetableau"/>
        <w:jc w:val="both"/>
        <w:rPr>
          <w:b w:val="0"/>
          <w:bCs w:val="0"/>
        </w:rPr>
      </w:pPr>
      <w:r w:rsidRPr="00F24EAF">
        <w:rPr>
          <w:b w:val="0"/>
          <w:bCs w:val="0"/>
        </w:rPr>
        <w:t>« - évaluation périodique des émissions globales lors de</w:t>
      </w:r>
      <w:r w:rsidR="007156DE">
        <w:rPr>
          <w:b w:val="0"/>
          <w:bCs w:val="0"/>
        </w:rPr>
        <w:t>s</w:t>
      </w:r>
      <w:r w:rsidRPr="00F24EAF">
        <w:rPr>
          <w:b w:val="0"/>
          <w:bCs w:val="0"/>
        </w:rPr>
        <w:t xml:space="preserve"> OTNOC (par exemple, fréquence des événements, durée, quantification/estimation des émissions) et mise en œuvre de mesures correctives si nécessaire. »</w:t>
      </w:r>
    </w:p>
    <w:p w14:paraId="204CA831" w14:textId="77777777" w:rsidR="006F70DC" w:rsidRPr="00F24EAF" w:rsidRDefault="006F70DC" w:rsidP="002B0DC1">
      <w:pPr>
        <w:jc w:val="both"/>
      </w:pPr>
    </w:p>
    <w:p w14:paraId="1F5336ED" w14:textId="6B0A5D15" w:rsidR="001E47C8" w:rsidRPr="001E47C8" w:rsidRDefault="001E47C8"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8</w:t>
      </w:r>
      <w:r w:rsidRPr="001E47C8">
        <w:rPr>
          <w:b/>
          <w:bCs/>
          <w:i/>
          <w:iCs/>
        </w:rPr>
        <w:fldChar w:fldCharType="end"/>
      </w:r>
    </w:p>
    <w:p w14:paraId="3DC6829F" w14:textId="77777777" w:rsidR="00F24EAF" w:rsidRDefault="00F24EAF" w:rsidP="002B0DC1">
      <w:pPr>
        <w:jc w:val="both"/>
        <w:rPr>
          <w:color w:val="000000"/>
          <w:lang w:eastAsia="fr-FR"/>
        </w:rPr>
      </w:pPr>
    </w:p>
    <w:p w14:paraId="2339C844" w14:textId="6B913C63" w:rsidR="006F70DC" w:rsidRDefault="006F70DC" w:rsidP="002B0DC1">
      <w:pPr>
        <w:jc w:val="both"/>
        <w:rPr>
          <w:color w:val="000000"/>
          <w:lang w:eastAsia="fr-FR"/>
        </w:rPr>
      </w:pPr>
      <w:r w:rsidRPr="000C039C">
        <w:rPr>
          <w:color w:val="000000"/>
          <w:lang w:eastAsia="fr-FR"/>
        </w:rPr>
        <w:t xml:space="preserve">L’article </w:t>
      </w:r>
      <w:r>
        <w:rPr>
          <w:color w:val="000000"/>
          <w:lang w:eastAsia="fr-FR"/>
        </w:rPr>
        <w:t>6</w:t>
      </w:r>
      <w:r w:rsidRPr="000C039C">
        <w:rPr>
          <w:color w:val="000000"/>
          <w:lang w:eastAsia="fr-FR"/>
        </w:rPr>
        <w:t xml:space="preserve"> de l’arrêté susvisé est ainsi modifié :</w:t>
      </w:r>
    </w:p>
    <w:p w14:paraId="7AC48D60" w14:textId="2EBA49C0" w:rsidR="006F70DC" w:rsidRPr="00EA53B5" w:rsidRDefault="006A72C4" w:rsidP="002B0DC1">
      <w:pPr>
        <w:suppressAutoHyphens w:val="0"/>
        <w:spacing w:before="100" w:beforeAutospacing="1" w:after="119"/>
        <w:jc w:val="both"/>
        <w:rPr>
          <w:color w:val="000000"/>
          <w:lang w:eastAsia="fr-FR"/>
        </w:rPr>
      </w:pPr>
      <w:r>
        <w:rPr>
          <w:color w:val="000000"/>
          <w:lang w:eastAsia="fr-FR"/>
        </w:rPr>
        <w:t>1°</w:t>
      </w:r>
      <w:r w:rsidR="006F70DC" w:rsidRPr="00EA53B5">
        <w:rPr>
          <w:color w:val="000000"/>
          <w:lang w:eastAsia="fr-FR"/>
        </w:rPr>
        <w:t xml:space="preserve"> </w:t>
      </w:r>
      <w:r w:rsidR="00386581">
        <w:rPr>
          <w:color w:val="000000"/>
          <w:lang w:eastAsia="fr-FR"/>
        </w:rPr>
        <w:t xml:space="preserve">Un </w:t>
      </w:r>
      <w:r w:rsidR="00386581" w:rsidRPr="00EA53B5">
        <w:rPr>
          <w:color w:val="000000"/>
          <w:lang w:eastAsia="fr-FR"/>
        </w:rPr>
        <w:t xml:space="preserve">alinéa </w:t>
      </w:r>
      <w:r w:rsidR="006F70DC" w:rsidRPr="00EA53B5">
        <w:rPr>
          <w:color w:val="000000"/>
          <w:lang w:eastAsia="fr-FR"/>
        </w:rPr>
        <w:t xml:space="preserve">« Bilan annuel » </w:t>
      </w:r>
      <w:r w:rsidR="00424C89" w:rsidRPr="00EA53B5">
        <w:rPr>
          <w:color w:val="000000"/>
          <w:lang w:eastAsia="fr-FR"/>
        </w:rPr>
        <w:t>e</w:t>
      </w:r>
      <w:r w:rsidR="006F70DC" w:rsidRPr="00EA53B5">
        <w:rPr>
          <w:color w:val="000000"/>
          <w:lang w:eastAsia="fr-FR"/>
        </w:rPr>
        <w:t>st inséré avant le premier alinéa.</w:t>
      </w:r>
    </w:p>
    <w:p w14:paraId="515F8680" w14:textId="7D466B37" w:rsidR="00386581" w:rsidRDefault="006A72C4" w:rsidP="002B0DC1">
      <w:pPr>
        <w:spacing w:after="240"/>
        <w:jc w:val="both"/>
        <w:rPr>
          <w:color w:val="000000"/>
          <w:lang w:eastAsia="fr-FR"/>
        </w:rPr>
      </w:pPr>
      <w:r>
        <w:rPr>
          <w:color w:val="000000"/>
          <w:lang w:eastAsia="fr-FR"/>
        </w:rPr>
        <w:t>2°</w:t>
      </w:r>
      <w:r w:rsidR="006F70DC" w:rsidRPr="00EA53B5">
        <w:rPr>
          <w:color w:val="000000"/>
          <w:lang w:eastAsia="fr-FR"/>
        </w:rPr>
        <w:t xml:space="preserve"> L’article est complété par l’alinéa suivant : </w:t>
      </w:r>
    </w:p>
    <w:p w14:paraId="25883A9E" w14:textId="2F650437" w:rsidR="006F70DC" w:rsidRPr="006F70DC" w:rsidRDefault="006F70DC" w:rsidP="002B0DC1">
      <w:pPr>
        <w:spacing w:after="240"/>
        <w:jc w:val="both"/>
        <w:rPr>
          <w:rFonts w:ascii="Arial" w:hAnsi="Arial" w:cs="Arial"/>
          <w:b/>
          <w:bCs/>
          <w:color w:val="4A5E81"/>
          <w:sz w:val="21"/>
          <w:szCs w:val="21"/>
          <w:lang w:eastAsia="fr-FR"/>
        </w:rPr>
      </w:pPr>
      <w:r w:rsidRPr="00EA53B5">
        <w:rPr>
          <w:color w:val="000000"/>
          <w:lang w:eastAsia="fr-FR"/>
        </w:rPr>
        <w:t>« Les dispositions d</w:t>
      </w:r>
      <w:r w:rsidR="00316A25">
        <w:rPr>
          <w:color w:val="000000"/>
          <w:lang w:eastAsia="fr-FR"/>
        </w:rPr>
        <w:t>u III d</w:t>
      </w:r>
      <w:r w:rsidRPr="00EA53B5">
        <w:rPr>
          <w:color w:val="000000"/>
          <w:lang w:eastAsia="fr-FR"/>
        </w:rPr>
        <w:t>e l’article 6 bis</w:t>
      </w:r>
      <w:r w:rsidR="00283A55" w:rsidRPr="006F70DC">
        <w:rPr>
          <w:color w:val="000000"/>
          <w:lang w:eastAsia="fr-FR"/>
        </w:rPr>
        <w:t xml:space="preserve"> de l’arrêté du 2 février 1998 </w:t>
      </w:r>
      <w:r w:rsidR="00283A55">
        <w:rPr>
          <w:color w:val="000000"/>
          <w:lang w:eastAsia="fr-FR"/>
        </w:rPr>
        <w:t>susvisé</w:t>
      </w:r>
      <w:r w:rsidR="006F72E2" w:rsidRPr="00EA53B5">
        <w:rPr>
          <w:color w:val="000000"/>
          <w:lang w:eastAsia="fr-FR"/>
        </w:rPr>
        <w:t xml:space="preserve">, </w:t>
      </w:r>
      <w:bookmarkStart w:id="4" w:name="_Hlk167819230"/>
      <w:r w:rsidR="006F72E2" w:rsidRPr="00EA53B5">
        <w:rPr>
          <w:color w:val="000000"/>
          <w:lang w:eastAsia="fr-FR"/>
        </w:rPr>
        <w:t>relatives à la transmission</w:t>
      </w:r>
      <w:r w:rsidR="006F72E2">
        <w:rPr>
          <w:color w:val="000000"/>
          <w:lang w:eastAsia="fr-FR"/>
        </w:rPr>
        <w:t xml:space="preserve"> de la surveillance des émissions</w:t>
      </w:r>
      <w:bookmarkEnd w:id="4"/>
      <w:r w:rsidR="005B2DDD">
        <w:rPr>
          <w:color w:val="000000"/>
          <w:lang w:eastAsia="fr-FR"/>
        </w:rPr>
        <w:t xml:space="preserve"> </w:t>
      </w:r>
      <w:r w:rsidRPr="006F70DC">
        <w:rPr>
          <w:color w:val="000000"/>
          <w:lang w:eastAsia="fr-FR"/>
        </w:rPr>
        <w:t>s’appliquent. ».</w:t>
      </w:r>
    </w:p>
    <w:p w14:paraId="6B8B2097" w14:textId="31FB600F" w:rsidR="001E47C8" w:rsidRDefault="001E47C8"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9</w:t>
      </w:r>
      <w:r w:rsidRPr="001E47C8">
        <w:rPr>
          <w:b/>
          <w:bCs/>
          <w:i/>
          <w:iCs/>
        </w:rPr>
        <w:fldChar w:fldCharType="end"/>
      </w:r>
    </w:p>
    <w:p w14:paraId="519566B0" w14:textId="77777777" w:rsidR="00F24EAF" w:rsidRDefault="00F24EAF" w:rsidP="002B0DC1">
      <w:pPr>
        <w:jc w:val="both"/>
        <w:rPr>
          <w:color w:val="000000"/>
          <w:lang w:eastAsia="fr-FR"/>
        </w:rPr>
      </w:pPr>
    </w:p>
    <w:p w14:paraId="648DDD46" w14:textId="36E92C89" w:rsidR="006F70DC" w:rsidRDefault="00386581" w:rsidP="00386581">
      <w:pPr>
        <w:jc w:val="both"/>
        <w:rPr>
          <w:bCs/>
          <w:color w:val="000000"/>
          <w:lang w:eastAsia="fr-FR"/>
        </w:rPr>
      </w:pPr>
      <w:r>
        <w:rPr>
          <w:color w:val="000000"/>
          <w:lang w:eastAsia="fr-FR"/>
        </w:rPr>
        <w:t>Au début de l’article</w:t>
      </w:r>
      <w:r w:rsidR="006F70DC" w:rsidRPr="000C039C">
        <w:rPr>
          <w:color w:val="000000"/>
          <w:lang w:eastAsia="fr-FR"/>
        </w:rPr>
        <w:t xml:space="preserve"> </w:t>
      </w:r>
      <w:r w:rsidR="006F70DC">
        <w:rPr>
          <w:color w:val="000000"/>
          <w:lang w:eastAsia="fr-FR"/>
        </w:rPr>
        <w:t>7</w:t>
      </w:r>
      <w:r w:rsidR="006F70DC" w:rsidRPr="000C039C">
        <w:rPr>
          <w:color w:val="000000"/>
          <w:lang w:eastAsia="fr-FR"/>
        </w:rPr>
        <w:t xml:space="preserve"> de l’arrêté susvisé est </w:t>
      </w:r>
      <w:r>
        <w:rPr>
          <w:color w:val="000000"/>
          <w:lang w:eastAsia="fr-FR"/>
        </w:rPr>
        <w:t xml:space="preserve">inséré un alinéa ainsi rédigé : </w:t>
      </w:r>
      <w:r w:rsidR="006F70DC" w:rsidRPr="00037F18">
        <w:rPr>
          <w:bCs/>
          <w:color w:val="000000"/>
          <w:lang w:eastAsia="fr-FR"/>
        </w:rPr>
        <w:t>« </w:t>
      </w:r>
      <w:r w:rsidR="00914E79">
        <w:rPr>
          <w:bCs/>
          <w:color w:val="000000"/>
          <w:lang w:eastAsia="fr-FR"/>
        </w:rPr>
        <w:t>Prélèvements</w:t>
      </w:r>
      <w:r w:rsidR="006F70DC" w:rsidRPr="00037F18">
        <w:rPr>
          <w:bCs/>
          <w:color w:val="000000"/>
          <w:lang w:eastAsia="fr-FR"/>
        </w:rPr>
        <w:t> ».</w:t>
      </w:r>
    </w:p>
    <w:p w14:paraId="0F3EA473" w14:textId="26556C77" w:rsidR="006F70DC" w:rsidRDefault="006F70DC" w:rsidP="002B0DC1">
      <w:pPr>
        <w:jc w:val="both"/>
        <w:rPr>
          <w:b/>
          <w:bCs/>
          <w:i/>
          <w:iCs/>
        </w:rPr>
      </w:pPr>
    </w:p>
    <w:p w14:paraId="362ED305" w14:textId="77777777" w:rsidR="006F70DC" w:rsidRDefault="006F70DC" w:rsidP="002B0DC1">
      <w:pPr>
        <w:jc w:val="center"/>
        <w:rPr>
          <w:b/>
          <w:bCs/>
          <w:i/>
          <w:iCs/>
        </w:rPr>
      </w:pPr>
    </w:p>
    <w:p w14:paraId="44176D37" w14:textId="4B0D7141" w:rsidR="006F70DC" w:rsidRPr="001E47C8" w:rsidRDefault="006F70DC"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10</w:t>
      </w:r>
      <w:r w:rsidRPr="001E47C8">
        <w:rPr>
          <w:b/>
          <w:bCs/>
          <w:i/>
          <w:iCs/>
        </w:rPr>
        <w:fldChar w:fldCharType="end"/>
      </w:r>
    </w:p>
    <w:p w14:paraId="5F3D5BB2" w14:textId="77777777" w:rsidR="00F24EAF" w:rsidRDefault="00F24EAF" w:rsidP="002B0DC1">
      <w:pPr>
        <w:jc w:val="both"/>
        <w:rPr>
          <w:color w:val="000000"/>
          <w:lang w:eastAsia="fr-FR"/>
        </w:rPr>
      </w:pPr>
    </w:p>
    <w:p w14:paraId="631F7CE9" w14:textId="7E500784" w:rsidR="00914E79" w:rsidRDefault="00914E79" w:rsidP="002B0DC1">
      <w:pPr>
        <w:jc w:val="both"/>
        <w:rPr>
          <w:color w:val="000000"/>
          <w:lang w:eastAsia="fr-FR"/>
        </w:rPr>
      </w:pPr>
      <w:r w:rsidRPr="000C039C">
        <w:rPr>
          <w:color w:val="000000"/>
          <w:lang w:eastAsia="fr-FR"/>
        </w:rPr>
        <w:t xml:space="preserve">L’article </w:t>
      </w:r>
      <w:r>
        <w:rPr>
          <w:color w:val="000000"/>
          <w:lang w:eastAsia="fr-FR"/>
        </w:rPr>
        <w:t>8</w:t>
      </w:r>
      <w:r w:rsidRPr="000C039C">
        <w:rPr>
          <w:color w:val="000000"/>
          <w:lang w:eastAsia="fr-FR"/>
        </w:rPr>
        <w:t xml:space="preserve"> de l’arrêté susvisé est ainsi modifié :</w:t>
      </w:r>
    </w:p>
    <w:p w14:paraId="4A07E2C4" w14:textId="725F9096" w:rsidR="00914E79" w:rsidRPr="00645CFB" w:rsidRDefault="006A72C4" w:rsidP="002B0DC1">
      <w:pPr>
        <w:suppressAutoHyphens w:val="0"/>
        <w:spacing w:before="100" w:beforeAutospacing="1" w:after="119"/>
        <w:jc w:val="both"/>
        <w:rPr>
          <w:bCs/>
          <w:color w:val="000000"/>
          <w:lang w:eastAsia="fr-FR"/>
        </w:rPr>
      </w:pPr>
      <w:r>
        <w:rPr>
          <w:color w:val="000000"/>
          <w:lang w:eastAsia="fr-FR"/>
        </w:rPr>
        <w:t>1°</w:t>
      </w:r>
      <w:r w:rsidR="00914E79" w:rsidRPr="00EA53B5">
        <w:rPr>
          <w:color w:val="000000"/>
          <w:lang w:eastAsia="fr-FR"/>
        </w:rPr>
        <w:t xml:space="preserve"> </w:t>
      </w:r>
      <w:r w:rsidR="00C423B8">
        <w:rPr>
          <w:color w:val="000000"/>
          <w:lang w:eastAsia="fr-FR"/>
        </w:rPr>
        <w:t xml:space="preserve">Un </w:t>
      </w:r>
      <w:r w:rsidR="00424C89" w:rsidRPr="00EA53B5">
        <w:rPr>
          <w:color w:val="000000"/>
          <w:lang w:eastAsia="fr-FR"/>
        </w:rPr>
        <w:t>alinéa</w:t>
      </w:r>
      <w:r w:rsidR="00424C89" w:rsidRPr="00037F18">
        <w:rPr>
          <w:bCs/>
          <w:color w:val="000000"/>
          <w:lang w:eastAsia="fr-FR"/>
        </w:rPr>
        <w:t xml:space="preserve"> </w:t>
      </w:r>
      <w:r w:rsidR="00914E79" w:rsidRPr="00037F18">
        <w:rPr>
          <w:bCs/>
          <w:color w:val="000000"/>
          <w:lang w:eastAsia="fr-FR"/>
        </w:rPr>
        <w:t>« </w:t>
      </w:r>
      <w:r w:rsidR="00914E79">
        <w:rPr>
          <w:bCs/>
          <w:color w:val="000000"/>
          <w:lang w:eastAsia="fr-FR"/>
        </w:rPr>
        <w:t>Dispositions particulières concernant l’applicabilité des valeurs limites d’émission</w:t>
      </w:r>
      <w:r w:rsidR="00914E79" w:rsidRPr="00037F18">
        <w:rPr>
          <w:bCs/>
          <w:color w:val="000000"/>
          <w:lang w:eastAsia="fr-FR"/>
        </w:rPr>
        <w:t xml:space="preserve"> » </w:t>
      </w:r>
      <w:r w:rsidR="00424C89" w:rsidRPr="00645CFB">
        <w:rPr>
          <w:bCs/>
          <w:color w:val="000000"/>
          <w:lang w:eastAsia="fr-FR"/>
        </w:rPr>
        <w:t>e</w:t>
      </w:r>
      <w:r w:rsidR="00914E79" w:rsidRPr="00645CFB">
        <w:rPr>
          <w:bCs/>
          <w:color w:val="000000"/>
          <w:lang w:eastAsia="fr-FR"/>
        </w:rPr>
        <w:t>st inséré avant le premier alinéa.</w:t>
      </w:r>
    </w:p>
    <w:p w14:paraId="2A5B2463" w14:textId="6B67FA29" w:rsidR="00EA53B5" w:rsidRPr="00645CFB" w:rsidRDefault="006A72C4" w:rsidP="002B0DC1">
      <w:pPr>
        <w:suppressAutoHyphens w:val="0"/>
        <w:spacing w:before="100" w:beforeAutospacing="1" w:after="119"/>
        <w:jc w:val="both"/>
        <w:rPr>
          <w:bCs/>
          <w:color w:val="000000"/>
          <w:lang w:eastAsia="fr-FR"/>
        </w:rPr>
      </w:pPr>
      <w:r>
        <w:rPr>
          <w:bCs/>
          <w:color w:val="000000"/>
          <w:lang w:eastAsia="fr-FR"/>
        </w:rPr>
        <w:t>2°</w:t>
      </w:r>
      <w:r w:rsidR="00EA53B5" w:rsidRPr="00645CFB">
        <w:rPr>
          <w:bCs/>
          <w:color w:val="000000"/>
          <w:lang w:eastAsia="fr-FR"/>
        </w:rPr>
        <w:t xml:space="preserve"> </w:t>
      </w:r>
      <w:r w:rsidR="00C423B8">
        <w:rPr>
          <w:bCs/>
          <w:color w:val="000000"/>
          <w:lang w:eastAsia="fr-FR"/>
        </w:rPr>
        <w:t>L’article est complété par les alinéas suivants</w:t>
      </w:r>
      <w:r w:rsidR="00EA53B5" w:rsidRPr="00645CFB">
        <w:rPr>
          <w:bCs/>
          <w:color w:val="000000"/>
          <w:lang w:eastAsia="fr-FR"/>
        </w:rPr>
        <w:t> :</w:t>
      </w:r>
    </w:p>
    <w:p w14:paraId="050282A6" w14:textId="701AB332" w:rsidR="00200BC7" w:rsidRPr="00645CFB" w:rsidRDefault="00EA53B5" w:rsidP="002B0DC1">
      <w:pPr>
        <w:spacing w:after="240"/>
        <w:jc w:val="both"/>
        <w:rPr>
          <w:color w:val="000000"/>
          <w:lang w:eastAsia="fr-FR"/>
        </w:rPr>
      </w:pPr>
      <w:r w:rsidRPr="00645CFB">
        <w:rPr>
          <w:bCs/>
          <w:color w:val="000000"/>
          <w:lang w:eastAsia="fr-FR"/>
        </w:rPr>
        <w:t>« </w:t>
      </w:r>
      <w:r w:rsidRPr="00645CFB">
        <w:rPr>
          <w:color w:val="000000"/>
          <w:lang w:eastAsia="fr-FR"/>
        </w:rPr>
        <w:t xml:space="preserve">IV. – Pour les </w:t>
      </w:r>
      <w:r w:rsidR="00A25406" w:rsidRPr="00645CFB">
        <w:rPr>
          <w:color w:val="000000"/>
          <w:lang w:eastAsia="fr-FR"/>
        </w:rPr>
        <w:t xml:space="preserve">valeurs limites d’émissions fixées au chapitre II du présent titre, pour les </w:t>
      </w:r>
      <w:r w:rsidRPr="00645CFB">
        <w:rPr>
          <w:color w:val="000000"/>
          <w:lang w:eastAsia="fr-FR"/>
        </w:rPr>
        <w:t>appareils de puissance thermique nominale supérieure ou égale à 15 MW, lorsqu’une partie d’installation de combustion dont les fumées sont rejetées par un ou plusieurs conduits d’une même cheminée est exploitée moins de 1500 h/an, cette partie de l’installation peut être considérée séparément. Pour toutes les parties de l’installation, les valeurs limites d’émission s’appliquent en fonction de la puissance thermique nominale totale de l’installation. Dans le cas susmentionné, les émissions provenant de chacun des conduits fait l’objet d’une surveillance séparée. </w:t>
      </w:r>
    </w:p>
    <w:p w14:paraId="7E88DBA5" w14:textId="4B55428D" w:rsidR="00EA53B5" w:rsidRPr="00200BC7" w:rsidRDefault="00200BC7" w:rsidP="002B0DC1">
      <w:pPr>
        <w:spacing w:after="240"/>
        <w:jc w:val="both"/>
        <w:rPr>
          <w:bCs/>
          <w:lang w:eastAsia="fr-FR"/>
        </w:rPr>
      </w:pPr>
      <w:r w:rsidRPr="00645CFB">
        <w:rPr>
          <w:color w:val="000000"/>
          <w:lang w:eastAsia="fr-FR"/>
        </w:rPr>
        <w:t xml:space="preserve">« V.- </w:t>
      </w:r>
      <w:r w:rsidRPr="00645CFB">
        <w:rPr>
          <w:bCs/>
          <w:lang w:eastAsia="fr-FR"/>
        </w:rPr>
        <w:t xml:space="preserve">Dans le cas des </w:t>
      </w:r>
      <w:r w:rsidR="00C423B8">
        <w:rPr>
          <w:bCs/>
          <w:lang w:eastAsia="fr-FR"/>
        </w:rPr>
        <w:t>mesures</w:t>
      </w:r>
      <w:r w:rsidR="00C423B8" w:rsidRPr="00645CFB">
        <w:rPr>
          <w:bCs/>
          <w:lang w:eastAsia="fr-FR"/>
        </w:rPr>
        <w:t xml:space="preserve"> </w:t>
      </w:r>
      <w:r w:rsidRPr="00645CFB">
        <w:rPr>
          <w:bCs/>
          <w:lang w:eastAsia="fr-FR"/>
        </w:rPr>
        <w:t>périodiques mentionnés à l’article 32 du présent arrêté, la valeur limite d’émission à respecter correspond à la valeur mensuelle.</w:t>
      </w:r>
      <w:r w:rsidR="00C423B8">
        <w:rPr>
          <w:bCs/>
          <w:lang w:eastAsia="fr-FR"/>
        </w:rPr>
        <w:t xml:space="preserve"> </w:t>
      </w:r>
      <w:r w:rsidR="00EA53B5" w:rsidRPr="00645CFB">
        <w:rPr>
          <w:color w:val="000000"/>
          <w:lang w:eastAsia="fr-FR"/>
        </w:rPr>
        <w:t>»</w:t>
      </w:r>
    </w:p>
    <w:p w14:paraId="26E3E80F" w14:textId="77777777" w:rsidR="006F70DC" w:rsidRDefault="006F70DC" w:rsidP="002B0DC1"/>
    <w:p w14:paraId="104A55AD" w14:textId="5F16F73B" w:rsidR="006F70DC" w:rsidRPr="001E47C8" w:rsidRDefault="006F70DC"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11</w:t>
      </w:r>
      <w:r w:rsidRPr="001E47C8">
        <w:rPr>
          <w:b/>
          <w:bCs/>
          <w:i/>
          <w:iCs/>
        </w:rPr>
        <w:fldChar w:fldCharType="end"/>
      </w:r>
    </w:p>
    <w:p w14:paraId="77D23B68" w14:textId="77777777" w:rsidR="00F24EAF" w:rsidRDefault="00F24EAF" w:rsidP="002B0DC1">
      <w:pPr>
        <w:jc w:val="both"/>
        <w:rPr>
          <w:color w:val="000000"/>
          <w:lang w:eastAsia="fr-FR"/>
        </w:rPr>
      </w:pPr>
    </w:p>
    <w:p w14:paraId="6D9D1307" w14:textId="038DF3E5" w:rsidR="00914E79" w:rsidRDefault="00914E79" w:rsidP="002B0DC1">
      <w:pPr>
        <w:jc w:val="both"/>
        <w:rPr>
          <w:color w:val="000000"/>
          <w:lang w:eastAsia="fr-FR"/>
        </w:rPr>
      </w:pPr>
      <w:r w:rsidRPr="000C039C">
        <w:rPr>
          <w:color w:val="000000"/>
          <w:lang w:eastAsia="fr-FR"/>
        </w:rPr>
        <w:t xml:space="preserve">L’article </w:t>
      </w:r>
      <w:r>
        <w:rPr>
          <w:color w:val="000000"/>
          <w:lang w:eastAsia="fr-FR"/>
        </w:rPr>
        <w:t xml:space="preserve">9 </w:t>
      </w:r>
      <w:r w:rsidRPr="000C039C">
        <w:rPr>
          <w:color w:val="000000"/>
          <w:lang w:eastAsia="fr-FR"/>
        </w:rPr>
        <w:t>de l’arrêté susvisé est ainsi modifié :</w:t>
      </w:r>
    </w:p>
    <w:p w14:paraId="3DEFF552" w14:textId="306F339C" w:rsidR="00914E79" w:rsidRPr="00132DC3" w:rsidRDefault="006A72C4" w:rsidP="00E74FA5">
      <w:pPr>
        <w:suppressAutoHyphens w:val="0"/>
        <w:spacing w:before="100" w:beforeAutospacing="1" w:after="119"/>
        <w:jc w:val="both"/>
        <w:rPr>
          <w:color w:val="000000"/>
          <w:lang w:eastAsia="fr-FR"/>
        </w:rPr>
      </w:pPr>
      <w:r>
        <w:rPr>
          <w:color w:val="000000"/>
          <w:lang w:eastAsia="fr-FR"/>
        </w:rPr>
        <w:t>1°</w:t>
      </w:r>
      <w:r w:rsidR="00914E79" w:rsidRPr="00E74FA5">
        <w:rPr>
          <w:color w:val="000000"/>
          <w:lang w:eastAsia="fr-FR"/>
        </w:rPr>
        <w:t xml:space="preserve"> </w:t>
      </w:r>
      <w:r w:rsidR="00C423B8" w:rsidRPr="00E74FA5">
        <w:rPr>
          <w:color w:val="000000"/>
          <w:lang w:eastAsia="fr-FR"/>
        </w:rPr>
        <w:t xml:space="preserve">Un </w:t>
      </w:r>
      <w:r w:rsidR="00424C89" w:rsidRPr="00E74FA5">
        <w:rPr>
          <w:color w:val="000000"/>
          <w:lang w:eastAsia="fr-FR"/>
        </w:rPr>
        <w:t>alinéa</w:t>
      </w:r>
      <w:r w:rsidR="00914E79" w:rsidRPr="00E74FA5">
        <w:rPr>
          <w:color w:val="000000"/>
          <w:lang w:eastAsia="fr-FR"/>
        </w:rPr>
        <w:t xml:space="preserve"> « Conditions de référence » </w:t>
      </w:r>
      <w:r w:rsidR="00424C89" w:rsidRPr="00E74FA5">
        <w:rPr>
          <w:color w:val="000000"/>
          <w:lang w:eastAsia="fr-FR"/>
        </w:rPr>
        <w:t>est</w:t>
      </w:r>
      <w:r w:rsidR="00914E79" w:rsidRPr="00E74FA5">
        <w:rPr>
          <w:color w:val="000000"/>
          <w:lang w:eastAsia="fr-FR"/>
        </w:rPr>
        <w:t xml:space="preserve"> inséré </w:t>
      </w:r>
      <w:r w:rsidR="00914E79" w:rsidRPr="00132DC3">
        <w:rPr>
          <w:color w:val="000000"/>
          <w:lang w:eastAsia="fr-FR"/>
        </w:rPr>
        <w:t>avant le premier alinéa.</w:t>
      </w:r>
    </w:p>
    <w:p w14:paraId="4DA274EC" w14:textId="41A902F0" w:rsidR="006F70DC" w:rsidRPr="00E74FA5" w:rsidRDefault="006A72C4" w:rsidP="00E74FA5">
      <w:pPr>
        <w:jc w:val="both"/>
      </w:pPr>
      <w:r>
        <w:t>2°</w:t>
      </w:r>
      <w:r w:rsidR="00060D1F" w:rsidRPr="009B784E">
        <w:t xml:space="preserve"> Au </w:t>
      </w:r>
      <w:r w:rsidR="00E74FA5">
        <w:t xml:space="preserve">troisième </w:t>
      </w:r>
      <w:r w:rsidR="00060D1F" w:rsidRPr="00E74FA5">
        <w:t xml:space="preserve">alinéa, après les mots : « teneur en oxygène » sont </w:t>
      </w:r>
      <w:r w:rsidR="00E74FA5">
        <w:t>insérés</w:t>
      </w:r>
      <w:r w:rsidR="00060D1F" w:rsidRPr="00E74FA5">
        <w:t xml:space="preserve"> </w:t>
      </w:r>
      <w:r w:rsidR="00E74FA5">
        <w:t xml:space="preserve">après </w:t>
      </w:r>
      <w:r w:rsidR="00060D1F" w:rsidRPr="00E74FA5">
        <w:t>les mots : « de référence »</w:t>
      </w:r>
      <w:r w:rsidR="00E74FA5">
        <w:t>.</w:t>
      </w:r>
    </w:p>
    <w:p w14:paraId="5B9E21BF" w14:textId="77777777" w:rsidR="00060D1F" w:rsidRPr="00E74FA5" w:rsidRDefault="00060D1F" w:rsidP="00E74FA5">
      <w:pPr>
        <w:jc w:val="both"/>
      </w:pPr>
    </w:p>
    <w:p w14:paraId="1FD53D76" w14:textId="254BF3A0" w:rsidR="00914E79" w:rsidRPr="00914E79" w:rsidRDefault="006A72C4" w:rsidP="002B0DC1">
      <w:r>
        <w:t>3°</w:t>
      </w:r>
      <w:r w:rsidR="00914E79" w:rsidRPr="00E74FA5">
        <w:t xml:space="preserve"> L’article</w:t>
      </w:r>
      <w:r w:rsidR="00914E79" w:rsidRPr="00914E79">
        <w:t xml:space="preserve"> est complété par les alinéas suivants :</w:t>
      </w:r>
    </w:p>
    <w:p w14:paraId="76279627" w14:textId="591AF73F" w:rsidR="00914E79" w:rsidRPr="00914E79" w:rsidRDefault="00914E79" w:rsidP="002B0DC1">
      <w:pPr>
        <w:spacing w:after="240"/>
        <w:jc w:val="both"/>
        <w:rPr>
          <w:color w:val="000000"/>
          <w:lang w:eastAsia="fr-FR"/>
        </w:rPr>
      </w:pPr>
      <w:r>
        <w:rPr>
          <w:color w:val="000000"/>
          <w:lang w:eastAsia="fr-FR"/>
        </w:rPr>
        <w:t>« </w:t>
      </w:r>
      <w:r w:rsidRPr="00914E79">
        <w:rPr>
          <w:color w:val="000000"/>
          <w:lang w:eastAsia="fr-FR"/>
        </w:rPr>
        <w:t>La formule permettant de calculer la concentration des émissions au niveau d’oxygène de référence est la suivante :</w:t>
      </w:r>
    </w:p>
    <w:p w14:paraId="67B83EB1" w14:textId="2896AA88" w:rsidR="00914E79" w:rsidRPr="00914E79" w:rsidRDefault="00914E79" w:rsidP="002B0DC1">
      <w:pPr>
        <w:spacing w:after="240"/>
        <w:rPr>
          <w:color w:val="000000"/>
          <w:lang w:eastAsia="fr-FR"/>
        </w:rPr>
      </w:pPr>
      <w:r>
        <w:rPr>
          <w:color w:val="000000"/>
          <w:lang w:eastAsia="fr-FR"/>
        </w:rPr>
        <w:t>« </w:t>
      </w:r>
      <m:oMath>
        <m:sSub>
          <m:sSubPr>
            <m:ctrlPr>
              <w:rPr>
                <w:rFonts w:ascii="Cambria Math" w:hAnsi="Cambria Math"/>
                <w:i/>
                <w:color w:val="000000"/>
                <w:lang w:eastAsia="fr-FR"/>
              </w:rPr>
            </m:ctrlPr>
          </m:sSubPr>
          <m:e>
            <m:r>
              <w:rPr>
                <w:rFonts w:ascii="Cambria Math" w:hAnsi="Cambria Math"/>
                <w:color w:val="000000"/>
                <w:lang w:eastAsia="fr-FR"/>
              </w:rPr>
              <m:t>E</m:t>
            </m:r>
          </m:e>
          <m:sub>
            <m:r>
              <w:rPr>
                <w:rFonts w:ascii="Cambria Math" w:hAnsi="Cambria Math"/>
                <w:color w:val="000000"/>
                <w:lang w:eastAsia="fr-FR"/>
              </w:rPr>
              <m:t>R</m:t>
            </m:r>
          </m:sub>
        </m:sSub>
        <m:r>
          <w:rPr>
            <w:rFonts w:ascii="Cambria Math" w:hAnsi="Cambria Math"/>
            <w:color w:val="000000"/>
            <w:lang w:eastAsia="fr-FR"/>
          </w:rPr>
          <m:t>=</m:t>
        </m:r>
        <m:f>
          <m:fPr>
            <m:ctrlPr>
              <w:rPr>
                <w:rFonts w:ascii="Cambria Math" w:hAnsi="Cambria Math"/>
                <w:i/>
                <w:color w:val="000000"/>
                <w:lang w:eastAsia="fr-FR"/>
              </w:rPr>
            </m:ctrlPr>
          </m:fPr>
          <m:num>
            <m:r>
              <w:rPr>
                <w:rFonts w:ascii="Cambria Math" w:hAnsi="Cambria Math"/>
                <w:color w:val="000000"/>
                <w:lang w:eastAsia="fr-FR"/>
              </w:rPr>
              <m:t>21-</m:t>
            </m:r>
            <m:sSub>
              <m:sSubPr>
                <m:ctrlPr>
                  <w:rPr>
                    <w:rFonts w:ascii="Cambria Math" w:hAnsi="Cambria Math"/>
                    <w:i/>
                    <w:color w:val="000000"/>
                    <w:lang w:eastAsia="fr-FR"/>
                  </w:rPr>
                </m:ctrlPr>
              </m:sSubPr>
              <m:e>
                <m:r>
                  <w:rPr>
                    <w:rFonts w:ascii="Cambria Math" w:hAnsi="Cambria Math"/>
                    <w:color w:val="000000"/>
                    <w:lang w:eastAsia="fr-FR"/>
                  </w:rPr>
                  <m:t>O</m:t>
                </m:r>
              </m:e>
              <m:sub>
                <m:r>
                  <w:rPr>
                    <w:rFonts w:ascii="Cambria Math" w:hAnsi="Cambria Math"/>
                    <w:color w:val="000000"/>
                    <w:lang w:eastAsia="fr-FR"/>
                  </w:rPr>
                  <m:t>R</m:t>
                </m:r>
              </m:sub>
            </m:sSub>
          </m:num>
          <m:den>
            <m:r>
              <w:rPr>
                <w:rFonts w:ascii="Cambria Math" w:hAnsi="Cambria Math"/>
                <w:color w:val="000000"/>
                <w:lang w:eastAsia="fr-FR"/>
              </w:rPr>
              <m:t>21-</m:t>
            </m:r>
            <m:sSub>
              <m:sSubPr>
                <m:ctrlPr>
                  <w:rPr>
                    <w:rFonts w:ascii="Cambria Math" w:hAnsi="Cambria Math"/>
                    <w:i/>
                    <w:color w:val="000000"/>
                    <w:lang w:eastAsia="fr-FR"/>
                  </w:rPr>
                </m:ctrlPr>
              </m:sSubPr>
              <m:e>
                <m:r>
                  <w:rPr>
                    <w:rFonts w:ascii="Cambria Math" w:hAnsi="Cambria Math"/>
                    <w:color w:val="000000"/>
                    <w:lang w:eastAsia="fr-FR"/>
                  </w:rPr>
                  <m:t>O</m:t>
                </m:r>
              </m:e>
              <m:sub>
                <m:r>
                  <w:rPr>
                    <w:rFonts w:ascii="Cambria Math" w:hAnsi="Cambria Math"/>
                    <w:color w:val="000000"/>
                    <w:lang w:eastAsia="fr-FR"/>
                  </w:rPr>
                  <m:t>M</m:t>
                </m:r>
              </m:sub>
            </m:sSub>
          </m:den>
        </m:f>
        <m:r>
          <w:rPr>
            <w:rFonts w:ascii="Cambria Math" w:hAnsi="Cambria Math"/>
            <w:color w:val="000000"/>
            <w:lang w:eastAsia="fr-FR"/>
          </w:rPr>
          <m:t xml:space="preserve"> ×</m:t>
        </m:r>
        <m:sSub>
          <m:sSubPr>
            <m:ctrlPr>
              <w:rPr>
                <w:rFonts w:ascii="Cambria Math" w:hAnsi="Cambria Math"/>
                <w:i/>
                <w:color w:val="000000"/>
                <w:lang w:eastAsia="fr-FR"/>
              </w:rPr>
            </m:ctrlPr>
          </m:sSubPr>
          <m:e>
            <m:r>
              <w:rPr>
                <w:rFonts w:ascii="Cambria Math" w:hAnsi="Cambria Math"/>
                <w:color w:val="000000"/>
                <w:lang w:eastAsia="fr-FR"/>
              </w:rPr>
              <m:t>E</m:t>
            </m:r>
          </m:e>
          <m:sub>
            <m:r>
              <w:rPr>
                <w:rFonts w:ascii="Cambria Math" w:hAnsi="Cambria Math"/>
                <w:color w:val="000000"/>
                <w:lang w:eastAsia="fr-FR"/>
              </w:rPr>
              <m:t>M</m:t>
            </m:r>
          </m:sub>
        </m:sSub>
      </m:oMath>
    </w:p>
    <w:p w14:paraId="2249F521" w14:textId="1DAC5057" w:rsidR="00914E79" w:rsidRPr="00914E79" w:rsidRDefault="00914E79" w:rsidP="002B0DC1">
      <w:pPr>
        <w:rPr>
          <w:color w:val="000000"/>
          <w:lang w:eastAsia="fr-FR"/>
        </w:rPr>
      </w:pPr>
      <w:r>
        <w:rPr>
          <w:color w:val="000000"/>
          <w:lang w:eastAsia="fr-FR"/>
        </w:rPr>
        <w:t>« </w:t>
      </w:r>
      <w:proofErr w:type="gramStart"/>
      <w:r w:rsidRPr="00914E79">
        <w:rPr>
          <w:color w:val="000000"/>
          <w:lang w:eastAsia="fr-FR"/>
        </w:rPr>
        <w:t>où</w:t>
      </w:r>
      <w:proofErr w:type="gramEnd"/>
      <w:r w:rsidRPr="00914E79">
        <w:rPr>
          <w:color w:val="000000"/>
          <w:lang w:eastAsia="fr-FR"/>
        </w:rPr>
        <w:t> :</w:t>
      </w:r>
    </w:p>
    <w:p w14:paraId="0A4DAAE3" w14:textId="31EDF067" w:rsidR="00914E79" w:rsidRPr="00914E79" w:rsidRDefault="00914E79" w:rsidP="002B0DC1">
      <w:pPr>
        <w:rPr>
          <w:color w:val="000000"/>
          <w:lang w:eastAsia="fr-FR"/>
        </w:rPr>
      </w:pPr>
      <w:r>
        <w:rPr>
          <w:color w:val="000000"/>
          <w:lang w:eastAsia="fr-FR"/>
        </w:rPr>
        <w:t>« </w:t>
      </w:r>
      <w:r w:rsidRPr="00914E79">
        <w:rPr>
          <w:color w:val="000000"/>
          <w:lang w:eastAsia="fr-FR"/>
        </w:rPr>
        <w:t>E</w:t>
      </w:r>
      <w:r w:rsidRPr="00914E79">
        <w:rPr>
          <w:color w:val="000000"/>
          <w:vertAlign w:val="subscript"/>
          <w:lang w:eastAsia="fr-FR"/>
        </w:rPr>
        <w:t>R</w:t>
      </w:r>
      <w:r w:rsidRPr="00914E79">
        <w:rPr>
          <w:color w:val="000000"/>
          <w:lang w:eastAsia="fr-FR"/>
        </w:rPr>
        <w:t> : concentration des émissions rapportée au niveau d’oxygène de référence O</w:t>
      </w:r>
      <w:r w:rsidRPr="00914E79">
        <w:rPr>
          <w:color w:val="000000"/>
          <w:vertAlign w:val="subscript"/>
          <w:lang w:eastAsia="fr-FR"/>
        </w:rPr>
        <w:t>R</w:t>
      </w:r>
      <w:r w:rsidRPr="00914E79">
        <w:rPr>
          <w:color w:val="000000"/>
          <w:lang w:eastAsia="fr-FR"/>
        </w:rPr>
        <w:t> ;</w:t>
      </w:r>
    </w:p>
    <w:p w14:paraId="60A18D45" w14:textId="5483B872" w:rsidR="00914E79" w:rsidRPr="00914E79" w:rsidRDefault="00914E79" w:rsidP="002B0DC1">
      <w:pPr>
        <w:rPr>
          <w:color w:val="000000"/>
          <w:lang w:eastAsia="fr-FR"/>
        </w:rPr>
      </w:pPr>
      <w:r>
        <w:rPr>
          <w:color w:val="000000"/>
          <w:lang w:eastAsia="fr-FR"/>
        </w:rPr>
        <w:t>« </w:t>
      </w:r>
      <w:r w:rsidRPr="00914E79">
        <w:rPr>
          <w:color w:val="000000"/>
          <w:lang w:eastAsia="fr-FR"/>
        </w:rPr>
        <w:t>O</w:t>
      </w:r>
      <w:r w:rsidRPr="00914E79">
        <w:rPr>
          <w:color w:val="000000"/>
          <w:vertAlign w:val="subscript"/>
          <w:lang w:eastAsia="fr-FR"/>
        </w:rPr>
        <w:t>R</w:t>
      </w:r>
      <w:r w:rsidRPr="00914E79">
        <w:rPr>
          <w:color w:val="000000"/>
          <w:lang w:eastAsia="fr-FR"/>
        </w:rPr>
        <w:t> : niveau d’oxygène de référence en % volumique</w:t>
      </w:r>
      <w:r w:rsidR="00E74FA5">
        <w:rPr>
          <w:color w:val="000000"/>
          <w:lang w:eastAsia="fr-FR"/>
        </w:rPr>
        <w:t> ;</w:t>
      </w:r>
    </w:p>
    <w:p w14:paraId="30B582DC" w14:textId="4BFB3486" w:rsidR="00914E79" w:rsidRPr="00914E79" w:rsidRDefault="00914E79" w:rsidP="002B0DC1">
      <w:pPr>
        <w:rPr>
          <w:color w:val="000000"/>
          <w:lang w:eastAsia="fr-FR"/>
        </w:rPr>
      </w:pPr>
      <w:r>
        <w:rPr>
          <w:color w:val="000000"/>
          <w:lang w:eastAsia="fr-FR"/>
        </w:rPr>
        <w:t>« </w:t>
      </w:r>
      <w:r w:rsidRPr="00914E79">
        <w:rPr>
          <w:color w:val="000000"/>
          <w:lang w:eastAsia="fr-FR"/>
        </w:rPr>
        <w:t>E</w:t>
      </w:r>
      <w:r w:rsidRPr="00914E79">
        <w:rPr>
          <w:color w:val="000000"/>
          <w:vertAlign w:val="subscript"/>
          <w:lang w:eastAsia="fr-FR"/>
        </w:rPr>
        <w:t>M</w:t>
      </w:r>
      <w:r w:rsidRPr="00914E79">
        <w:rPr>
          <w:color w:val="000000"/>
          <w:lang w:eastAsia="fr-FR"/>
        </w:rPr>
        <w:t> : concentration mesurée des émissions</w:t>
      </w:r>
      <w:r w:rsidR="00E74FA5">
        <w:rPr>
          <w:color w:val="000000"/>
          <w:lang w:eastAsia="fr-FR"/>
        </w:rPr>
        <w:t> ;</w:t>
      </w:r>
    </w:p>
    <w:p w14:paraId="6B97CD6D" w14:textId="0646E6FE" w:rsidR="00914E79" w:rsidRPr="00914E79" w:rsidRDefault="00914E79" w:rsidP="002B0DC1">
      <w:pPr>
        <w:spacing w:after="240"/>
        <w:rPr>
          <w:color w:val="000000"/>
          <w:lang w:eastAsia="fr-FR"/>
        </w:rPr>
      </w:pPr>
      <w:r>
        <w:rPr>
          <w:color w:val="000000"/>
          <w:lang w:eastAsia="fr-FR"/>
        </w:rPr>
        <w:t>« </w:t>
      </w:r>
      <w:r w:rsidRPr="00914E79">
        <w:rPr>
          <w:color w:val="000000"/>
          <w:lang w:eastAsia="fr-FR"/>
        </w:rPr>
        <w:t>O</w:t>
      </w:r>
      <w:r w:rsidRPr="00914E79">
        <w:rPr>
          <w:color w:val="000000"/>
          <w:vertAlign w:val="subscript"/>
          <w:lang w:eastAsia="fr-FR"/>
        </w:rPr>
        <w:t>M</w:t>
      </w:r>
      <w:r w:rsidRPr="00914E79">
        <w:rPr>
          <w:color w:val="000000"/>
          <w:lang w:eastAsia="fr-FR"/>
        </w:rPr>
        <w:t> : niveau d’oxygène mesuré en % volumique.</w:t>
      </w:r>
      <w:r>
        <w:rPr>
          <w:color w:val="000000"/>
          <w:lang w:eastAsia="fr-FR"/>
        </w:rPr>
        <w:t> »</w:t>
      </w:r>
    </w:p>
    <w:p w14:paraId="6C6C629D" w14:textId="5CA99EE2" w:rsidR="006F70DC" w:rsidRDefault="006F70DC"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12</w:t>
      </w:r>
      <w:r w:rsidRPr="001E47C8">
        <w:rPr>
          <w:b/>
          <w:bCs/>
          <w:i/>
          <w:iCs/>
        </w:rPr>
        <w:fldChar w:fldCharType="end"/>
      </w:r>
    </w:p>
    <w:p w14:paraId="21B7DD85" w14:textId="50A43834" w:rsidR="00EF3ABD" w:rsidRDefault="00EF3ABD" w:rsidP="002B0DC1">
      <w:pPr>
        <w:jc w:val="both"/>
      </w:pPr>
    </w:p>
    <w:p w14:paraId="602D2A61" w14:textId="16070336" w:rsidR="00EF3ABD" w:rsidRDefault="00EF3ABD" w:rsidP="002B0DC1">
      <w:pPr>
        <w:jc w:val="both"/>
      </w:pPr>
      <w:r>
        <w:t xml:space="preserve">L’intitulé du chapitre II du titre II de l’arrêté susvisé est ainsi </w:t>
      </w:r>
      <w:r w:rsidR="00E74FA5">
        <w:t xml:space="preserve">rédigé </w:t>
      </w:r>
      <w:r>
        <w:t>:</w:t>
      </w:r>
    </w:p>
    <w:p w14:paraId="470CF131" w14:textId="45BFE274" w:rsidR="00EF3ABD" w:rsidRDefault="00EF3ABD" w:rsidP="002B0DC1">
      <w:pPr>
        <w:jc w:val="both"/>
      </w:pPr>
      <w:r>
        <w:t>« Chapitre II : Valeurs limites d’émission dans l’air (Articles 10 à 13) ».</w:t>
      </w:r>
    </w:p>
    <w:p w14:paraId="15C6578A" w14:textId="77777777" w:rsidR="00EF3ABD" w:rsidRPr="00EF3ABD" w:rsidRDefault="00EF3ABD" w:rsidP="002B0DC1">
      <w:pPr>
        <w:jc w:val="both"/>
      </w:pPr>
    </w:p>
    <w:p w14:paraId="5F688D63" w14:textId="7EBBD9A3" w:rsidR="00EF3ABD" w:rsidRPr="001E47C8" w:rsidRDefault="00EF3ABD"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13</w:t>
      </w:r>
      <w:r w:rsidRPr="001E47C8">
        <w:rPr>
          <w:b/>
          <w:bCs/>
          <w:i/>
          <w:iCs/>
        </w:rPr>
        <w:fldChar w:fldCharType="end"/>
      </w:r>
    </w:p>
    <w:p w14:paraId="6940361B" w14:textId="77777777" w:rsidR="00EF3ABD" w:rsidRPr="001E47C8" w:rsidRDefault="00EF3ABD" w:rsidP="002B0DC1">
      <w:pPr>
        <w:jc w:val="center"/>
        <w:rPr>
          <w:b/>
          <w:bCs/>
          <w:i/>
          <w:iCs/>
        </w:rPr>
      </w:pPr>
    </w:p>
    <w:p w14:paraId="2E2CE530" w14:textId="77777777" w:rsidR="00CB0156" w:rsidRDefault="00CB0156" w:rsidP="002B0DC1">
      <w:pPr>
        <w:jc w:val="both"/>
      </w:pPr>
    </w:p>
    <w:p w14:paraId="78519630" w14:textId="3DF2FEFC" w:rsidR="006F70DC" w:rsidRDefault="00424C89" w:rsidP="002B0DC1">
      <w:pPr>
        <w:jc w:val="both"/>
      </w:pPr>
      <w:r>
        <w:t>L’article 10 de l’arrêté susvisé est ainsi modifié :</w:t>
      </w:r>
    </w:p>
    <w:p w14:paraId="1950A723" w14:textId="703B130C" w:rsidR="00424C89" w:rsidRDefault="00424C89" w:rsidP="002B0DC1">
      <w:pPr>
        <w:jc w:val="both"/>
      </w:pPr>
    </w:p>
    <w:p w14:paraId="2556991D" w14:textId="3498AC71" w:rsidR="0064331C" w:rsidRDefault="006A72C4" w:rsidP="002B0DC1">
      <w:pPr>
        <w:jc w:val="both"/>
      </w:pPr>
      <w:r>
        <w:t>1°</w:t>
      </w:r>
      <w:r w:rsidR="0064331C">
        <w:t xml:space="preserve"> </w:t>
      </w:r>
      <w:r w:rsidR="00E74FA5">
        <w:t xml:space="preserve">Un alinéa </w:t>
      </w:r>
      <w:r w:rsidR="0064331C">
        <w:t>« Appareils de combustion à l’exception des turbines et moteurs » est inséré avant le premier alinéa.</w:t>
      </w:r>
    </w:p>
    <w:p w14:paraId="67E22B3E" w14:textId="6AA1D857" w:rsidR="0064331C" w:rsidRDefault="0064331C" w:rsidP="002B0DC1">
      <w:pPr>
        <w:jc w:val="both"/>
      </w:pPr>
    </w:p>
    <w:p w14:paraId="5DF5743F" w14:textId="4FD23590" w:rsidR="0064331C" w:rsidRPr="0064331C" w:rsidRDefault="006A72C4" w:rsidP="002B0DC1">
      <w:pPr>
        <w:jc w:val="both"/>
      </w:pPr>
      <w:r>
        <w:t>2°</w:t>
      </w:r>
      <w:r w:rsidR="0064331C" w:rsidRPr="0064331C">
        <w:t xml:space="preserve"> </w:t>
      </w:r>
      <w:r w:rsidR="00060D1F">
        <w:t>Avant le premier alinéa</w:t>
      </w:r>
      <w:r w:rsidR="0064331C" w:rsidRPr="0064331C">
        <w:t xml:space="preserve"> </w:t>
      </w:r>
      <w:r w:rsidR="00060D1F">
        <w:t xml:space="preserve">du I </w:t>
      </w:r>
      <w:r w:rsidR="0064331C" w:rsidRPr="0064331C">
        <w:t>sont insérés les alinéas suivants :</w:t>
      </w:r>
    </w:p>
    <w:p w14:paraId="0904B3D4" w14:textId="032681AE" w:rsidR="0064331C" w:rsidRPr="0064331C" w:rsidRDefault="0064331C" w:rsidP="002B0DC1">
      <w:pPr>
        <w:jc w:val="both"/>
        <w:rPr>
          <w:color w:val="000000"/>
          <w:lang w:eastAsia="fr-FR"/>
        </w:rPr>
      </w:pPr>
      <w:r w:rsidRPr="0064331C">
        <w:rPr>
          <w:color w:val="000000"/>
          <w:lang w:eastAsia="fr-FR"/>
        </w:rPr>
        <w:t>« Les dispositions du présent I s’appliquent :</w:t>
      </w:r>
    </w:p>
    <w:p w14:paraId="14737B73" w14:textId="607A3A6D" w:rsidR="0064331C" w:rsidRPr="0064331C" w:rsidRDefault="0064331C" w:rsidP="002B0DC1">
      <w:pPr>
        <w:ind w:left="708"/>
        <w:jc w:val="both"/>
        <w:rPr>
          <w:color w:val="000000"/>
          <w:lang w:eastAsia="fr-FR"/>
        </w:rPr>
      </w:pPr>
      <w:r w:rsidRPr="0064331C">
        <w:rPr>
          <w:color w:val="000000"/>
          <w:lang w:eastAsia="fr-FR"/>
        </w:rPr>
        <w:t xml:space="preserve">« - aux appareils </w:t>
      </w:r>
      <w:r w:rsidR="00060D1F">
        <w:rPr>
          <w:color w:val="000000"/>
          <w:lang w:eastAsia="fr-FR"/>
        </w:rPr>
        <w:t xml:space="preserve">de </w:t>
      </w:r>
      <w:r w:rsidR="00A31153">
        <w:rPr>
          <w:color w:val="000000"/>
          <w:lang w:eastAsia="fr-FR"/>
        </w:rPr>
        <w:t>puissance thermique nominale inférieure à</w:t>
      </w:r>
      <w:r w:rsidRPr="0064331C">
        <w:rPr>
          <w:color w:val="000000"/>
          <w:lang w:eastAsia="fr-FR"/>
        </w:rPr>
        <w:t xml:space="preserve"> 15 MW ;</w:t>
      </w:r>
    </w:p>
    <w:p w14:paraId="2D539D6E" w14:textId="6714A629" w:rsidR="0064331C" w:rsidRPr="0064331C" w:rsidRDefault="0064331C" w:rsidP="002B0DC1">
      <w:pPr>
        <w:ind w:left="708"/>
        <w:jc w:val="both"/>
        <w:rPr>
          <w:color w:val="000000"/>
          <w:lang w:eastAsia="fr-FR"/>
        </w:rPr>
      </w:pPr>
      <w:r w:rsidRPr="0064331C">
        <w:rPr>
          <w:color w:val="000000"/>
          <w:lang w:eastAsia="fr-FR"/>
        </w:rPr>
        <w:t>« - aux fours et réchauffeurs industriels indirects ;</w:t>
      </w:r>
    </w:p>
    <w:p w14:paraId="7BCB56B4" w14:textId="39143B37" w:rsidR="0064331C" w:rsidRPr="0064331C" w:rsidRDefault="0064331C" w:rsidP="002B0DC1">
      <w:pPr>
        <w:ind w:left="708"/>
        <w:jc w:val="both"/>
        <w:rPr>
          <w:color w:val="000000"/>
          <w:lang w:eastAsia="fr-FR"/>
        </w:rPr>
      </w:pPr>
      <w:r w:rsidRPr="0064331C">
        <w:rPr>
          <w:color w:val="000000"/>
          <w:lang w:eastAsia="fr-FR"/>
        </w:rPr>
        <w:t xml:space="preserve">« - aux appareils </w:t>
      </w:r>
      <w:r w:rsidR="004D0716">
        <w:rPr>
          <w:color w:val="000000"/>
          <w:lang w:eastAsia="fr-FR"/>
        </w:rPr>
        <w:t xml:space="preserve">de puissance thermique nominale supérieure ou égale à 15 MW, </w:t>
      </w:r>
      <w:r w:rsidRPr="0064331C">
        <w:rPr>
          <w:color w:val="000000"/>
          <w:lang w:eastAsia="fr-FR"/>
        </w:rPr>
        <w:t xml:space="preserve">pour lesquels les délais mentionnés </w:t>
      </w:r>
      <w:r w:rsidR="00D9011B">
        <w:rPr>
          <w:color w:val="000000"/>
          <w:lang w:eastAsia="fr-FR"/>
        </w:rPr>
        <w:t>au VII de l’article 3</w:t>
      </w:r>
      <w:r w:rsidRPr="0064331C">
        <w:rPr>
          <w:color w:val="000000"/>
          <w:lang w:eastAsia="fr-FR"/>
        </w:rPr>
        <w:t xml:space="preserve"> du présent arrêté ne sont pas encore échus</w:t>
      </w:r>
      <w:r w:rsidR="009B7DAA">
        <w:rPr>
          <w:color w:val="000000"/>
          <w:lang w:eastAsia="fr-FR"/>
        </w:rPr>
        <w:t xml:space="preserve"> </w:t>
      </w:r>
      <w:r w:rsidRPr="0064331C">
        <w:rPr>
          <w:color w:val="000000"/>
          <w:lang w:eastAsia="fr-FR"/>
        </w:rPr>
        <w:t>;</w:t>
      </w:r>
    </w:p>
    <w:p w14:paraId="42CA3E1D" w14:textId="55F0F2A7" w:rsidR="0064331C" w:rsidRPr="0064331C" w:rsidRDefault="0064331C" w:rsidP="002B0DC1">
      <w:pPr>
        <w:ind w:left="708"/>
        <w:jc w:val="both"/>
        <w:rPr>
          <w:color w:val="000000"/>
          <w:lang w:eastAsia="fr-FR"/>
        </w:rPr>
      </w:pPr>
      <w:r w:rsidRPr="0064331C">
        <w:rPr>
          <w:color w:val="000000"/>
          <w:lang w:eastAsia="fr-FR"/>
        </w:rPr>
        <w:t xml:space="preserve">« - aux appareils et installations pour lesquels les </w:t>
      </w:r>
      <w:r w:rsidR="00645CFB">
        <w:rPr>
          <w:color w:val="000000"/>
          <w:lang w:eastAsia="fr-FR"/>
        </w:rPr>
        <w:t>valeurs limites d’émission</w:t>
      </w:r>
      <w:r w:rsidR="00645CFB" w:rsidRPr="0064331C">
        <w:rPr>
          <w:color w:val="000000"/>
          <w:lang w:eastAsia="fr-FR"/>
        </w:rPr>
        <w:t xml:space="preserve"> </w:t>
      </w:r>
      <w:r w:rsidRPr="0064331C">
        <w:rPr>
          <w:color w:val="000000"/>
          <w:lang w:eastAsia="fr-FR"/>
        </w:rPr>
        <w:t>du II du présent article ne sont pas applicables ou pas mentionnées dans le tableau du II</w:t>
      </w:r>
      <w:r>
        <w:rPr>
          <w:color w:val="000000"/>
          <w:lang w:eastAsia="fr-FR"/>
        </w:rPr>
        <w:t> ;</w:t>
      </w:r>
    </w:p>
    <w:p w14:paraId="63BDA8CA" w14:textId="0104B19E" w:rsidR="0064331C" w:rsidRPr="0064331C" w:rsidRDefault="0064331C" w:rsidP="002B0DC1">
      <w:pPr>
        <w:ind w:left="708"/>
        <w:jc w:val="both"/>
        <w:rPr>
          <w:color w:val="000000"/>
          <w:lang w:eastAsia="fr-FR"/>
        </w:rPr>
      </w:pPr>
      <w:r w:rsidRPr="0064331C">
        <w:rPr>
          <w:color w:val="000000"/>
          <w:lang w:eastAsia="fr-FR"/>
        </w:rPr>
        <w:t>« - aux appareils dont le combustible n’est pas cité dans les tableaux du point II.</w:t>
      </w:r>
    </w:p>
    <w:p w14:paraId="7E012771" w14:textId="77777777" w:rsidR="0064331C" w:rsidRPr="0064331C" w:rsidRDefault="0064331C" w:rsidP="002B0DC1">
      <w:pPr>
        <w:jc w:val="both"/>
        <w:rPr>
          <w:lang w:eastAsia="fr-FR"/>
        </w:rPr>
      </w:pPr>
    </w:p>
    <w:p w14:paraId="3CBA5831" w14:textId="39FD1BBD" w:rsidR="0064331C" w:rsidRDefault="0064331C" w:rsidP="002B0DC1">
      <w:pPr>
        <w:spacing w:after="240"/>
        <w:jc w:val="both"/>
        <w:rPr>
          <w:color w:val="000000"/>
          <w:lang w:eastAsia="fr-FR"/>
        </w:rPr>
      </w:pPr>
      <w:r w:rsidRPr="0064331C">
        <w:rPr>
          <w:color w:val="000000"/>
          <w:lang w:eastAsia="fr-FR"/>
        </w:rPr>
        <w:t>« </w:t>
      </w:r>
      <w:proofErr w:type="gramStart"/>
      <w:r w:rsidRPr="0064331C">
        <w:rPr>
          <w:color w:val="000000"/>
          <w:lang w:eastAsia="fr-FR"/>
        </w:rPr>
        <w:t>a</w:t>
      </w:r>
      <w:proofErr w:type="gramEnd"/>
      <w:r w:rsidRPr="0064331C">
        <w:rPr>
          <w:color w:val="000000"/>
          <w:lang w:eastAsia="fr-FR"/>
        </w:rPr>
        <w:t>) Installations de combustion autorisées à compter du 1</w:t>
      </w:r>
      <w:r w:rsidRPr="0064331C">
        <w:rPr>
          <w:color w:val="000000"/>
          <w:vertAlign w:val="superscript"/>
          <w:lang w:eastAsia="fr-FR"/>
        </w:rPr>
        <w:t>er</w:t>
      </w:r>
      <w:r w:rsidRPr="0064331C">
        <w:rPr>
          <w:color w:val="000000"/>
          <w:lang w:eastAsia="fr-FR"/>
        </w:rPr>
        <w:t xml:space="preserve"> novembre 2010 »</w:t>
      </w:r>
      <w:r>
        <w:rPr>
          <w:color w:val="000000"/>
          <w:lang w:eastAsia="fr-FR"/>
        </w:rPr>
        <w:t>.</w:t>
      </w:r>
    </w:p>
    <w:p w14:paraId="07E50530" w14:textId="2A49F4CE" w:rsidR="0064331C" w:rsidRPr="0064331C" w:rsidRDefault="006A72C4" w:rsidP="002B0DC1">
      <w:pPr>
        <w:jc w:val="both"/>
        <w:rPr>
          <w:color w:val="000000"/>
          <w:lang w:eastAsia="fr-FR"/>
        </w:rPr>
      </w:pPr>
      <w:r>
        <w:rPr>
          <w:color w:val="000000"/>
          <w:lang w:eastAsia="fr-FR"/>
        </w:rPr>
        <w:t>3°</w:t>
      </w:r>
      <w:r w:rsidR="0064331C">
        <w:rPr>
          <w:color w:val="000000"/>
          <w:lang w:eastAsia="fr-FR"/>
        </w:rPr>
        <w:t xml:space="preserve"> </w:t>
      </w:r>
      <w:r w:rsidR="0064331C" w:rsidRPr="0064331C">
        <w:rPr>
          <w:color w:val="000000"/>
          <w:lang w:eastAsia="fr-FR"/>
        </w:rPr>
        <w:t>Le point II est modifié comme suit :</w:t>
      </w:r>
    </w:p>
    <w:p w14:paraId="3E1DEB04" w14:textId="6326C233" w:rsidR="0064331C" w:rsidRPr="00CB0156" w:rsidRDefault="00060D1F" w:rsidP="002B0DC1">
      <w:pPr>
        <w:pStyle w:val="Titredetableau"/>
        <w:numPr>
          <w:ilvl w:val="0"/>
          <w:numId w:val="3"/>
        </w:numPr>
        <w:jc w:val="both"/>
        <w:rPr>
          <w:b w:val="0"/>
          <w:bCs w:val="0"/>
          <w:color w:val="000000"/>
        </w:rPr>
      </w:pPr>
      <w:proofErr w:type="gramStart"/>
      <w:r>
        <w:rPr>
          <w:b w:val="0"/>
          <w:bCs w:val="0"/>
          <w:color w:val="000000"/>
        </w:rPr>
        <w:t>la</w:t>
      </w:r>
      <w:proofErr w:type="gramEnd"/>
      <w:r>
        <w:rPr>
          <w:b w:val="0"/>
          <w:bCs w:val="0"/>
          <w:color w:val="000000"/>
        </w:rPr>
        <w:t xml:space="preserve"> référence :</w:t>
      </w:r>
      <w:r w:rsidR="0064331C" w:rsidRPr="00CB0156">
        <w:rPr>
          <w:b w:val="0"/>
          <w:bCs w:val="0"/>
          <w:color w:val="000000"/>
          <w:lang w:eastAsia="fr-FR"/>
        </w:rPr>
        <w:t xml:space="preserve"> « II.- » </w:t>
      </w:r>
      <w:r>
        <w:rPr>
          <w:b w:val="0"/>
          <w:bCs w:val="0"/>
          <w:color w:val="000000"/>
          <w:lang w:eastAsia="fr-FR"/>
        </w:rPr>
        <w:t>est</w:t>
      </w:r>
      <w:r w:rsidRPr="00CB0156">
        <w:rPr>
          <w:b w:val="0"/>
          <w:bCs w:val="0"/>
          <w:color w:val="000000"/>
          <w:lang w:eastAsia="fr-FR"/>
        </w:rPr>
        <w:t xml:space="preserve"> </w:t>
      </w:r>
      <w:r w:rsidR="0064331C" w:rsidRPr="00CB0156">
        <w:rPr>
          <w:b w:val="0"/>
          <w:bCs w:val="0"/>
          <w:color w:val="000000"/>
          <w:lang w:eastAsia="fr-FR"/>
        </w:rPr>
        <w:t>remplacé</w:t>
      </w:r>
      <w:r>
        <w:rPr>
          <w:b w:val="0"/>
          <w:bCs w:val="0"/>
          <w:color w:val="000000"/>
          <w:lang w:eastAsia="fr-FR"/>
        </w:rPr>
        <w:t>e</w:t>
      </w:r>
      <w:r w:rsidR="0064331C" w:rsidRPr="00CB0156">
        <w:rPr>
          <w:b w:val="0"/>
          <w:bCs w:val="0"/>
          <w:color w:val="000000"/>
          <w:lang w:eastAsia="fr-FR"/>
        </w:rPr>
        <w:t xml:space="preserve"> par </w:t>
      </w:r>
      <w:r w:rsidR="00132DC3">
        <w:rPr>
          <w:b w:val="0"/>
          <w:bCs w:val="0"/>
          <w:color w:val="000000"/>
          <w:lang w:eastAsia="fr-FR"/>
        </w:rPr>
        <w:t xml:space="preserve">les mots : </w:t>
      </w:r>
      <w:r w:rsidR="0064331C" w:rsidRPr="00CB0156">
        <w:rPr>
          <w:b w:val="0"/>
          <w:bCs w:val="0"/>
          <w:color w:val="000000"/>
          <w:lang w:eastAsia="fr-FR"/>
        </w:rPr>
        <w:t>« b) Installations de combustion autorisées avant le 1</w:t>
      </w:r>
      <w:r w:rsidR="0064331C" w:rsidRPr="00CB0156">
        <w:rPr>
          <w:b w:val="0"/>
          <w:bCs w:val="0"/>
          <w:color w:val="000000"/>
          <w:vertAlign w:val="superscript"/>
          <w:lang w:eastAsia="fr-FR"/>
        </w:rPr>
        <w:t>er</w:t>
      </w:r>
      <w:r w:rsidR="0064331C" w:rsidRPr="00CB0156">
        <w:rPr>
          <w:b w:val="0"/>
          <w:bCs w:val="0"/>
          <w:color w:val="000000"/>
          <w:lang w:eastAsia="fr-FR"/>
        </w:rPr>
        <w:t xml:space="preserve"> novembre 2010 »</w:t>
      </w:r>
      <w:r w:rsidR="0064331C" w:rsidRPr="00CB0156">
        <w:rPr>
          <w:b w:val="0"/>
          <w:bCs w:val="0"/>
          <w:color w:val="000000"/>
        </w:rPr>
        <w:t> ;</w:t>
      </w:r>
    </w:p>
    <w:p w14:paraId="197CB841" w14:textId="61526A9D" w:rsidR="0064331C" w:rsidRDefault="0064331C" w:rsidP="002B0DC1">
      <w:pPr>
        <w:pStyle w:val="Titredetableau"/>
        <w:numPr>
          <w:ilvl w:val="0"/>
          <w:numId w:val="3"/>
        </w:numPr>
        <w:jc w:val="both"/>
        <w:rPr>
          <w:b w:val="0"/>
          <w:bCs w:val="0"/>
          <w:color w:val="000000"/>
          <w:lang w:eastAsia="fr-FR"/>
        </w:rPr>
      </w:pPr>
      <w:proofErr w:type="gramStart"/>
      <w:r w:rsidRPr="00CB0156">
        <w:rPr>
          <w:b w:val="0"/>
          <w:bCs w:val="0"/>
          <w:color w:val="000000"/>
        </w:rPr>
        <w:t>après</w:t>
      </w:r>
      <w:proofErr w:type="gramEnd"/>
      <w:r w:rsidRPr="00CB0156">
        <w:rPr>
          <w:b w:val="0"/>
          <w:bCs w:val="0"/>
          <w:color w:val="000000"/>
        </w:rPr>
        <w:t xml:space="preserve"> les mots</w:t>
      </w:r>
      <w:r w:rsidR="00060D1F">
        <w:rPr>
          <w:b w:val="0"/>
          <w:bCs w:val="0"/>
          <w:color w:val="000000"/>
        </w:rPr>
        <w:t> :</w:t>
      </w:r>
      <w:r w:rsidRPr="00CB0156">
        <w:rPr>
          <w:b w:val="0"/>
          <w:bCs w:val="0"/>
          <w:color w:val="000000"/>
        </w:rPr>
        <w:t xml:space="preserve"> « qui ne relèvent pas du » </w:t>
      </w:r>
      <w:r w:rsidR="00060D1F">
        <w:rPr>
          <w:b w:val="0"/>
          <w:bCs w:val="0"/>
          <w:color w:val="000000"/>
        </w:rPr>
        <w:t>sont</w:t>
      </w:r>
      <w:r w:rsidR="00060D1F" w:rsidRPr="00CB0156">
        <w:rPr>
          <w:b w:val="0"/>
          <w:bCs w:val="0"/>
          <w:color w:val="000000"/>
        </w:rPr>
        <w:t xml:space="preserve"> </w:t>
      </w:r>
      <w:r w:rsidRPr="00CB0156">
        <w:rPr>
          <w:b w:val="0"/>
          <w:bCs w:val="0"/>
          <w:color w:val="000000"/>
        </w:rPr>
        <w:t>inséré</w:t>
      </w:r>
      <w:r w:rsidR="00060D1F">
        <w:rPr>
          <w:b w:val="0"/>
          <w:bCs w:val="0"/>
          <w:color w:val="000000"/>
        </w:rPr>
        <w:t>s</w:t>
      </w:r>
      <w:r w:rsidRPr="00CB0156">
        <w:rPr>
          <w:b w:val="0"/>
          <w:bCs w:val="0"/>
          <w:color w:val="000000"/>
        </w:rPr>
        <w:t xml:space="preserve"> le</w:t>
      </w:r>
      <w:r w:rsidR="00060D1F">
        <w:rPr>
          <w:b w:val="0"/>
          <w:bCs w:val="0"/>
          <w:color w:val="000000"/>
        </w:rPr>
        <w:t>s</w:t>
      </w:r>
      <w:r w:rsidRPr="00CB0156">
        <w:rPr>
          <w:b w:val="0"/>
          <w:bCs w:val="0"/>
          <w:color w:val="000000"/>
        </w:rPr>
        <w:t xml:space="preserve"> mot</w:t>
      </w:r>
      <w:r w:rsidR="00060D1F">
        <w:rPr>
          <w:b w:val="0"/>
          <w:bCs w:val="0"/>
          <w:color w:val="000000"/>
        </w:rPr>
        <w:t>s :</w:t>
      </w:r>
      <w:r w:rsidRPr="00CB0156">
        <w:rPr>
          <w:b w:val="0"/>
          <w:bCs w:val="0"/>
          <w:color w:val="000000"/>
        </w:rPr>
        <w:t xml:space="preserve"> « a) </w:t>
      </w:r>
      <w:r w:rsidR="00132DC3">
        <w:rPr>
          <w:b w:val="0"/>
          <w:bCs w:val="0"/>
          <w:color w:val="000000"/>
        </w:rPr>
        <w:t xml:space="preserve">du </w:t>
      </w:r>
      <w:r w:rsidRPr="00CB0156">
        <w:rPr>
          <w:b w:val="0"/>
          <w:bCs w:val="0"/>
          <w:color w:val="000000"/>
        </w:rPr>
        <w:t>».</w:t>
      </w:r>
    </w:p>
    <w:p w14:paraId="54B74D9F" w14:textId="77777777" w:rsidR="00645CFB" w:rsidRPr="00CB0156" w:rsidRDefault="00645CFB" w:rsidP="002B0DC1">
      <w:pPr>
        <w:pStyle w:val="Titredetableau"/>
        <w:ind w:left="720"/>
        <w:jc w:val="both"/>
        <w:rPr>
          <w:b w:val="0"/>
          <w:bCs w:val="0"/>
          <w:color w:val="000000"/>
          <w:lang w:eastAsia="fr-FR"/>
        </w:rPr>
      </w:pPr>
    </w:p>
    <w:p w14:paraId="5C56AEB2" w14:textId="0093931A" w:rsidR="00CA1744" w:rsidRDefault="006A72C4" w:rsidP="00CA1744">
      <w:pPr>
        <w:jc w:val="both"/>
        <w:rPr>
          <w:color w:val="000000"/>
          <w:lang w:eastAsia="fr-FR"/>
        </w:rPr>
      </w:pPr>
      <w:r>
        <w:rPr>
          <w:color w:val="000000"/>
          <w:lang w:eastAsia="fr-FR"/>
        </w:rPr>
        <w:t>4°</w:t>
      </w:r>
      <w:r w:rsidR="00CA1744">
        <w:rPr>
          <w:color w:val="000000"/>
          <w:lang w:eastAsia="fr-FR"/>
        </w:rPr>
        <w:t xml:space="preserve"> Le</w:t>
      </w:r>
      <w:r w:rsidR="0064331C" w:rsidRPr="0064331C">
        <w:rPr>
          <w:color w:val="000000"/>
          <w:lang w:eastAsia="fr-FR"/>
        </w:rPr>
        <w:t xml:space="preserve"> </w:t>
      </w:r>
      <w:r w:rsidR="00CA1744">
        <w:rPr>
          <w:color w:val="000000"/>
          <w:lang w:eastAsia="fr-FR"/>
        </w:rPr>
        <w:t>point III est modifié comme suit :</w:t>
      </w:r>
    </w:p>
    <w:p w14:paraId="36040F57" w14:textId="07B5EA91" w:rsidR="00CA1744" w:rsidRPr="00CA1744" w:rsidRDefault="00060D1F" w:rsidP="00CA1744">
      <w:pPr>
        <w:pStyle w:val="Paragraphedeliste"/>
        <w:numPr>
          <w:ilvl w:val="0"/>
          <w:numId w:val="31"/>
        </w:numPr>
        <w:spacing w:after="0" w:line="240" w:lineRule="auto"/>
        <w:ind w:left="714" w:hanging="357"/>
        <w:jc w:val="both"/>
        <w:rPr>
          <w:rFonts w:ascii="Times New Roman" w:hAnsi="Times New Roman"/>
          <w:color w:val="000000"/>
          <w:sz w:val="24"/>
          <w:szCs w:val="24"/>
        </w:rPr>
      </w:pPr>
      <w:proofErr w:type="gramStart"/>
      <w:r>
        <w:rPr>
          <w:rFonts w:ascii="Times New Roman" w:hAnsi="Times New Roman"/>
          <w:color w:val="000000"/>
          <w:sz w:val="24"/>
          <w:szCs w:val="24"/>
        </w:rPr>
        <w:t>la</w:t>
      </w:r>
      <w:proofErr w:type="gramEnd"/>
      <w:r>
        <w:rPr>
          <w:rFonts w:ascii="Times New Roman" w:hAnsi="Times New Roman"/>
          <w:color w:val="000000"/>
          <w:sz w:val="24"/>
          <w:szCs w:val="24"/>
        </w:rPr>
        <w:t xml:space="preserve"> référence :</w:t>
      </w:r>
      <w:r w:rsidR="0064331C" w:rsidRPr="00CA1744">
        <w:rPr>
          <w:rFonts w:ascii="Times New Roman" w:hAnsi="Times New Roman"/>
          <w:color w:val="000000"/>
          <w:sz w:val="24"/>
          <w:szCs w:val="24"/>
        </w:rPr>
        <w:t xml:space="preserve"> « III.- » </w:t>
      </w:r>
      <w:r>
        <w:rPr>
          <w:rFonts w:ascii="Times New Roman" w:hAnsi="Times New Roman"/>
          <w:color w:val="000000"/>
          <w:sz w:val="24"/>
          <w:szCs w:val="24"/>
        </w:rPr>
        <w:t>est</w:t>
      </w:r>
      <w:r w:rsidRPr="00CA1744">
        <w:rPr>
          <w:rFonts w:ascii="Times New Roman" w:hAnsi="Times New Roman"/>
          <w:color w:val="000000"/>
          <w:sz w:val="24"/>
          <w:szCs w:val="24"/>
        </w:rPr>
        <w:t xml:space="preserve"> </w:t>
      </w:r>
      <w:r w:rsidR="0064331C" w:rsidRPr="00CA1744">
        <w:rPr>
          <w:rFonts w:ascii="Times New Roman" w:hAnsi="Times New Roman"/>
          <w:color w:val="000000"/>
          <w:sz w:val="24"/>
          <w:szCs w:val="24"/>
        </w:rPr>
        <w:t>remplacé</w:t>
      </w:r>
      <w:r>
        <w:rPr>
          <w:rFonts w:ascii="Times New Roman" w:hAnsi="Times New Roman"/>
          <w:color w:val="000000"/>
          <w:sz w:val="24"/>
          <w:szCs w:val="24"/>
        </w:rPr>
        <w:t>e</w:t>
      </w:r>
      <w:r w:rsidR="0064331C" w:rsidRPr="00CA1744">
        <w:rPr>
          <w:rFonts w:ascii="Times New Roman" w:hAnsi="Times New Roman"/>
          <w:color w:val="000000"/>
          <w:sz w:val="24"/>
          <w:szCs w:val="24"/>
        </w:rPr>
        <w:t xml:space="preserve"> par les mots</w:t>
      </w:r>
      <w:r>
        <w:rPr>
          <w:rFonts w:ascii="Times New Roman" w:hAnsi="Times New Roman"/>
          <w:color w:val="000000"/>
          <w:sz w:val="24"/>
          <w:szCs w:val="24"/>
        </w:rPr>
        <w:t xml:space="preserve"> : </w:t>
      </w:r>
      <w:r w:rsidR="0064331C" w:rsidRPr="00CA1744">
        <w:rPr>
          <w:rFonts w:ascii="Times New Roman" w:hAnsi="Times New Roman"/>
          <w:color w:val="000000"/>
          <w:sz w:val="24"/>
          <w:szCs w:val="24"/>
        </w:rPr>
        <w:t>« c) Cas particulier : gaz issu de la fabrication de noir de carbone »</w:t>
      </w:r>
      <w:r w:rsidR="00CA1744" w:rsidRPr="00CA1744">
        <w:rPr>
          <w:rFonts w:ascii="Times New Roman" w:hAnsi="Times New Roman"/>
          <w:color w:val="000000"/>
          <w:sz w:val="24"/>
          <w:szCs w:val="24"/>
        </w:rPr>
        <w:t> ;</w:t>
      </w:r>
    </w:p>
    <w:p w14:paraId="092E9D53" w14:textId="54F109F3" w:rsidR="0064331C" w:rsidRPr="00020FF2" w:rsidRDefault="00CA1744" w:rsidP="00CA1744">
      <w:pPr>
        <w:pStyle w:val="Paragraphedeliste"/>
        <w:numPr>
          <w:ilvl w:val="0"/>
          <w:numId w:val="31"/>
        </w:numPr>
        <w:spacing w:after="0" w:line="240" w:lineRule="auto"/>
        <w:ind w:left="714" w:hanging="357"/>
        <w:jc w:val="both"/>
        <w:rPr>
          <w:rFonts w:ascii="Times New Roman" w:hAnsi="Times New Roman"/>
          <w:color w:val="000000"/>
          <w:sz w:val="24"/>
          <w:szCs w:val="24"/>
        </w:rPr>
      </w:pPr>
      <w:proofErr w:type="gramStart"/>
      <w:r w:rsidRPr="00CA1744">
        <w:rPr>
          <w:rFonts w:ascii="Times New Roman" w:hAnsi="Times New Roman"/>
          <w:color w:val="000000"/>
          <w:sz w:val="24"/>
          <w:szCs w:val="24"/>
        </w:rPr>
        <w:t>dans</w:t>
      </w:r>
      <w:proofErr w:type="gramEnd"/>
      <w:r w:rsidRPr="00CA1744">
        <w:rPr>
          <w:rFonts w:ascii="Times New Roman" w:hAnsi="Times New Roman"/>
          <w:color w:val="000000"/>
          <w:sz w:val="24"/>
          <w:szCs w:val="24"/>
        </w:rPr>
        <w:t xml:space="preserve"> le tableau, les mots « (mg/Nm</w:t>
      </w:r>
      <w:r w:rsidRPr="00CA1744">
        <w:rPr>
          <w:rFonts w:ascii="Times New Roman" w:hAnsi="Times New Roman"/>
          <w:color w:val="000000"/>
          <w:sz w:val="24"/>
          <w:szCs w:val="24"/>
          <w:vertAlign w:val="superscript"/>
        </w:rPr>
        <w:t>3</w:t>
      </w:r>
      <w:r w:rsidRPr="00CA1744">
        <w:rPr>
          <w:rFonts w:ascii="Times New Roman" w:hAnsi="Times New Roman"/>
          <w:color w:val="000000"/>
          <w:sz w:val="24"/>
          <w:szCs w:val="24"/>
        </w:rPr>
        <w:t>) » sont supprimés après le terme « SO</w:t>
      </w:r>
      <w:r w:rsidRPr="00CA1744">
        <w:rPr>
          <w:rFonts w:ascii="Times New Roman" w:hAnsi="Times New Roman"/>
          <w:color w:val="000000"/>
          <w:sz w:val="24"/>
          <w:szCs w:val="24"/>
          <w:vertAlign w:val="subscript"/>
        </w:rPr>
        <w:t>2</w:t>
      </w:r>
      <w:r w:rsidRPr="00CA1744">
        <w:rPr>
          <w:rFonts w:ascii="Times New Roman" w:hAnsi="Times New Roman"/>
          <w:color w:val="000000"/>
          <w:sz w:val="24"/>
          <w:szCs w:val="24"/>
        </w:rPr>
        <w:t> »</w:t>
      </w:r>
      <w:r w:rsidR="00020FF2">
        <w:rPr>
          <w:rFonts w:ascii="Times New Roman" w:hAnsi="Times New Roman"/>
          <w:color w:val="000000"/>
          <w:sz w:val="24"/>
          <w:szCs w:val="24"/>
        </w:rPr>
        <w:t>.</w:t>
      </w:r>
    </w:p>
    <w:p w14:paraId="30593239" w14:textId="77777777" w:rsidR="00CA1744" w:rsidRDefault="00CA1744" w:rsidP="00CA1744">
      <w:pPr>
        <w:jc w:val="both"/>
        <w:rPr>
          <w:color w:val="000000"/>
          <w:lang w:eastAsia="fr-FR"/>
        </w:rPr>
      </w:pPr>
    </w:p>
    <w:p w14:paraId="025E0B21" w14:textId="55E676A0" w:rsidR="0064331C" w:rsidRDefault="006A72C4" w:rsidP="002B0DC1">
      <w:pPr>
        <w:spacing w:after="240"/>
        <w:jc w:val="both"/>
        <w:rPr>
          <w:color w:val="000000"/>
          <w:lang w:eastAsia="fr-FR"/>
        </w:rPr>
      </w:pPr>
      <w:r>
        <w:rPr>
          <w:color w:val="000000"/>
          <w:lang w:eastAsia="fr-FR"/>
        </w:rPr>
        <w:t>5°</w:t>
      </w:r>
      <w:r w:rsidR="0064331C">
        <w:rPr>
          <w:color w:val="000000"/>
          <w:lang w:eastAsia="fr-FR"/>
        </w:rPr>
        <w:t xml:space="preserve"> L’article 10 est complété par les dispositions suivantes :</w:t>
      </w:r>
    </w:p>
    <w:p w14:paraId="495B5922" w14:textId="1A89BA44" w:rsidR="00200BC7" w:rsidRPr="00200BC7" w:rsidRDefault="0064331C" w:rsidP="002B0DC1">
      <w:pPr>
        <w:spacing w:after="240"/>
        <w:jc w:val="both"/>
        <w:rPr>
          <w:bCs/>
          <w:lang w:eastAsia="fr-FR"/>
        </w:rPr>
      </w:pPr>
      <w:r>
        <w:rPr>
          <w:bCs/>
          <w:lang w:eastAsia="fr-FR"/>
        </w:rPr>
        <w:t>« </w:t>
      </w:r>
      <w:r w:rsidRPr="0064331C">
        <w:rPr>
          <w:bCs/>
          <w:lang w:eastAsia="fr-FR"/>
        </w:rPr>
        <w:t xml:space="preserve">II. </w:t>
      </w:r>
      <w:r w:rsidR="00132DC3">
        <w:rPr>
          <w:bCs/>
          <w:lang w:eastAsia="fr-FR"/>
        </w:rPr>
        <w:t xml:space="preserve">- </w:t>
      </w:r>
      <w:r w:rsidR="00200BC7" w:rsidRPr="00200BC7">
        <w:rPr>
          <w:bCs/>
          <w:lang w:eastAsia="fr-FR"/>
        </w:rPr>
        <w:t xml:space="preserve">Les dispositions du présent II s’appliquent aux chaudières de puissance supérieure ou égale à 15 MW dans les délais mentionnés </w:t>
      </w:r>
      <w:r w:rsidR="00D9011B">
        <w:rPr>
          <w:bCs/>
          <w:lang w:eastAsia="fr-FR"/>
        </w:rPr>
        <w:t>au VII de l’article 3</w:t>
      </w:r>
      <w:r w:rsidR="00200BC7" w:rsidRPr="00200BC7">
        <w:rPr>
          <w:bCs/>
          <w:lang w:eastAsia="fr-FR"/>
        </w:rPr>
        <w:t xml:space="preserve"> du présent arrêté. </w:t>
      </w:r>
    </w:p>
    <w:p w14:paraId="44FAA498" w14:textId="3E178884" w:rsidR="0064331C" w:rsidRPr="0064331C" w:rsidRDefault="0064331C" w:rsidP="002B0DC1">
      <w:pPr>
        <w:spacing w:after="240"/>
        <w:jc w:val="both"/>
        <w:rPr>
          <w:bCs/>
          <w:lang w:eastAsia="fr-FR"/>
        </w:rPr>
      </w:pPr>
      <w:r>
        <w:rPr>
          <w:bCs/>
          <w:lang w:eastAsia="fr-FR"/>
        </w:rPr>
        <w:t>« </w:t>
      </w:r>
      <w:proofErr w:type="gramStart"/>
      <w:r w:rsidRPr="0064331C">
        <w:rPr>
          <w:bCs/>
          <w:lang w:eastAsia="fr-FR"/>
        </w:rPr>
        <w:t>a</w:t>
      </w:r>
      <w:proofErr w:type="gramEnd"/>
      <w:r w:rsidRPr="0064331C">
        <w:rPr>
          <w:bCs/>
          <w:lang w:eastAsia="fr-FR"/>
        </w:rPr>
        <w:t>) Installations</w:t>
      </w:r>
      <w:r w:rsidR="004D0716">
        <w:rPr>
          <w:bCs/>
          <w:lang w:eastAsia="fr-FR"/>
        </w:rPr>
        <w:t xml:space="preserve"> de combustion</w:t>
      </w:r>
      <w:r w:rsidRPr="0064331C">
        <w:rPr>
          <w:bCs/>
          <w:lang w:eastAsia="fr-FR"/>
        </w:rPr>
        <w:t xml:space="preserve"> </w:t>
      </w:r>
      <w:r w:rsidR="004D0716">
        <w:rPr>
          <w:bCs/>
          <w:lang w:eastAsia="fr-FR"/>
        </w:rPr>
        <w:t>autorisées</w:t>
      </w:r>
      <w:r w:rsidRPr="0064331C">
        <w:rPr>
          <w:bCs/>
          <w:lang w:eastAsia="fr-FR"/>
        </w:rPr>
        <w:t xml:space="preserve"> </w:t>
      </w:r>
      <w:r w:rsidR="006B21BB">
        <w:rPr>
          <w:bCs/>
          <w:lang w:eastAsia="fr-FR"/>
        </w:rPr>
        <w:t>à compter du</w:t>
      </w:r>
      <w:r w:rsidRPr="0064331C">
        <w:rPr>
          <w:bCs/>
          <w:lang w:eastAsia="fr-FR"/>
        </w:rPr>
        <w:t xml:space="preserve"> 17 août 2017</w:t>
      </w:r>
    </w:p>
    <w:p w14:paraId="52FE7884" w14:textId="6717F3DD" w:rsidR="0064331C" w:rsidRPr="0064331C" w:rsidRDefault="0064331C" w:rsidP="002B0DC1">
      <w:pPr>
        <w:jc w:val="both"/>
        <w:rPr>
          <w:bCs/>
          <w:lang w:eastAsia="fr-FR"/>
        </w:rPr>
      </w:pPr>
      <w:r>
        <w:rPr>
          <w:bCs/>
          <w:lang w:eastAsia="fr-FR"/>
        </w:rPr>
        <w:t>« </w:t>
      </w:r>
      <w:r w:rsidRPr="0064331C">
        <w:rPr>
          <w:bCs/>
          <w:lang w:eastAsia="fr-FR"/>
        </w:rPr>
        <w:t xml:space="preserve">Pour les polluants et combustibles pour lesquels aucune valeur limite d’émission n’est mentionnée dans le tableau ci-dessous, </w:t>
      </w:r>
      <w:r w:rsidR="00316A25" w:rsidRPr="00316A25">
        <w:rPr>
          <w:bCs/>
          <w:lang w:eastAsia="fr-FR"/>
        </w:rPr>
        <w:t>les valeurs limites applicables sont celles du point a) du I de l’article 10 du présent ar</w:t>
      </w:r>
      <w:r w:rsidR="00316A25">
        <w:rPr>
          <w:bCs/>
          <w:lang w:eastAsia="fr-FR"/>
        </w:rPr>
        <w:t>rêté</w:t>
      </w:r>
      <w:r w:rsidRPr="0064331C">
        <w:rPr>
          <w:bCs/>
          <w:lang w:eastAsia="fr-FR"/>
        </w:rPr>
        <w:t>.</w:t>
      </w:r>
    </w:p>
    <w:p w14:paraId="07622F02" w14:textId="7F2439B3" w:rsidR="0064331C" w:rsidRPr="0064331C" w:rsidRDefault="0064331C" w:rsidP="002B0DC1">
      <w:pPr>
        <w:jc w:val="both"/>
        <w:rPr>
          <w:bCs/>
          <w:lang w:eastAsia="fr-FR"/>
        </w:rPr>
      </w:pPr>
      <w:r>
        <w:rPr>
          <w:bCs/>
          <w:lang w:eastAsia="fr-FR"/>
        </w:rPr>
        <w:t>« </w:t>
      </w:r>
      <w:r w:rsidRPr="0064331C">
        <w:rPr>
          <w:bCs/>
          <w:lang w:eastAsia="fr-FR"/>
        </w:rPr>
        <w:t xml:space="preserve">Pour les installations </w:t>
      </w:r>
      <w:r w:rsidR="004D0716">
        <w:rPr>
          <w:bCs/>
          <w:lang w:eastAsia="fr-FR"/>
        </w:rPr>
        <w:t xml:space="preserve">de combustion </w:t>
      </w:r>
      <w:r w:rsidRPr="0064331C">
        <w:rPr>
          <w:bCs/>
          <w:lang w:eastAsia="fr-FR"/>
        </w:rPr>
        <w:t xml:space="preserve">exploitées moins de 500 heures par an, </w:t>
      </w:r>
      <w:bookmarkStart w:id="5" w:name="_Hlk170998564"/>
      <w:r w:rsidRPr="0064331C">
        <w:rPr>
          <w:bCs/>
          <w:lang w:eastAsia="fr-FR"/>
        </w:rPr>
        <w:t xml:space="preserve">seules les dispositions </w:t>
      </w:r>
      <w:r w:rsidR="00316A25">
        <w:rPr>
          <w:bCs/>
          <w:lang w:eastAsia="fr-FR"/>
        </w:rPr>
        <w:t xml:space="preserve">du point </w:t>
      </w:r>
      <w:proofErr w:type="gramStart"/>
      <w:r w:rsidR="00316A25">
        <w:rPr>
          <w:bCs/>
          <w:lang w:eastAsia="fr-FR"/>
        </w:rPr>
        <w:t>a</w:t>
      </w:r>
      <w:proofErr w:type="gramEnd"/>
      <w:r w:rsidR="00316A25">
        <w:rPr>
          <w:bCs/>
          <w:lang w:eastAsia="fr-FR"/>
        </w:rPr>
        <w:t xml:space="preserve">) du I </w:t>
      </w:r>
      <w:r w:rsidRPr="0064331C">
        <w:rPr>
          <w:bCs/>
          <w:lang w:eastAsia="fr-FR"/>
        </w:rPr>
        <w:t>de l’article 10 s’appliquent.</w:t>
      </w:r>
    </w:p>
    <w:bookmarkEnd w:id="5"/>
    <w:p w14:paraId="34783C02" w14:textId="77777777" w:rsidR="0064331C" w:rsidRPr="0064331C" w:rsidRDefault="0064331C" w:rsidP="0064331C">
      <w:pPr>
        <w:jc w:val="both"/>
        <w:rPr>
          <w:bCs/>
          <w:lang w:eastAsia="fr-FR"/>
        </w:rPr>
      </w:pPr>
    </w:p>
    <w:tbl>
      <w:tblPr>
        <w:tblW w:w="10765"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10"/>
        <w:gridCol w:w="552"/>
        <w:gridCol w:w="1505"/>
        <w:gridCol w:w="806"/>
        <w:gridCol w:w="798"/>
        <w:gridCol w:w="798"/>
        <w:gridCol w:w="806"/>
        <w:gridCol w:w="798"/>
        <w:gridCol w:w="585"/>
        <w:gridCol w:w="213"/>
        <w:gridCol w:w="806"/>
        <w:gridCol w:w="798"/>
        <w:gridCol w:w="790"/>
      </w:tblGrid>
      <w:tr w:rsidR="0064331C" w:rsidRPr="0064331C" w14:paraId="65017A3A" w14:textId="77777777" w:rsidTr="005D385E">
        <w:trPr>
          <w:jc w:val="center"/>
        </w:trPr>
        <w:tc>
          <w:tcPr>
            <w:tcW w:w="2062" w:type="dxa"/>
            <w:gridSpan w:val="2"/>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hideMark/>
          </w:tcPr>
          <w:p w14:paraId="03A2D75F" w14:textId="77777777" w:rsidR="0064331C" w:rsidRPr="0064331C" w:rsidRDefault="0064331C" w:rsidP="005D385E">
            <w:pPr>
              <w:jc w:val="center"/>
              <w:rPr>
                <w:b/>
                <w:bCs/>
                <w:color w:val="FFFFFF" w:themeColor="background1"/>
                <w:sz w:val="20"/>
                <w:szCs w:val="20"/>
                <w:lang w:eastAsia="fr-FR"/>
              </w:rPr>
            </w:pPr>
            <w:bookmarkStart w:id="6" w:name="_Hlk146874611"/>
            <w:r w:rsidRPr="0064331C">
              <w:rPr>
                <w:b/>
                <w:bCs/>
                <w:color w:val="FFFFFF" w:themeColor="background1"/>
                <w:sz w:val="20"/>
                <w:szCs w:val="20"/>
                <w:lang w:eastAsia="fr-FR"/>
              </w:rPr>
              <w:t>Combustible</w:t>
            </w:r>
          </w:p>
        </w:tc>
        <w:tc>
          <w:tcPr>
            <w:tcW w:w="1505" w:type="dxa"/>
            <w:vMerge w:val="restart"/>
            <w:tcBorders>
              <w:top w:val="outset" w:sz="6" w:space="0" w:color="auto"/>
              <w:left w:val="outset" w:sz="6" w:space="0" w:color="auto"/>
              <w:right w:val="single" w:sz="6" w:space="0" w:color="D8D8D8"/>
            </w:tcBorders>
            <w:shd w:val="clear" w:color="auto" w:fill="5C75A2"/>
            <w:vAlign w:val="center"/>
          </w:tcPr>
          <w:p w14:paraId="192D054C"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Puissance P (MW)</w:t>
            </w:r>
          </w:p>
        </w:tc>
        <w:tc>
          <w:tcPr>
            <w:tcW w:w="2402" w:type="dxa"/>
            <w:gridSpan w:val="3"/>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6F30E769"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SO</w:t>
            </w:r>
            <w:r w:rsidRPr="0064331C">
              <w:rPr>
                <w:b/>
                <w:bCs/>
                <w:color w:val="FFFFFF" w:themeColor="background1"/>
                <w:sz w:val="20"/>
                <w:szCs w:val="20"/>
                <w:vertAlign w:val="subscript"/>
                <w:lang w:eastAsia="fr-FR"/>
              </w:rPr>
              <w:t>2</w:t>
            </w:r>
            <w:r w:rsidRPr="0064331C">
              <w:rPr>
                <w:b/>
                <w:bCs/>
                <w:color w:val="FFFFFF" w:themeColor="background1"/>
                <w:sz w:val="20"/>
                <w:szCs w:val="20"/>
                <w:lang w:eastAsia="fr-FR"/>
              </w:rPr>
              <w:t xml:space="preserve">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p w14:paraId="422A86D4" w14:textId="77777777" w:rsidR="0064331C" w:rsidRPr="0064331C" w:rsidRDefault="0064331C" w:rsidP="005D385E">
            <w:pPr>
              <w:jc w:val="center"/>
              <w:rPr>
                <w:b/>
                <w:bCs/>
                <w:color w:val="FFFFFF" w:themeColor="background1"/>
                <w:sz w:val="20"/>
                <w:szCs w:val="20"/>
                <w:lang w:eastAsia="fr-FR"/>
              </w:rPr>
            </w:pPr>
          </w:p>
        </w:tc>
        <w:tc>
          <w:tcPr>
            <w:tcW w:w="2402" w:type="dxa"/>
            <w:gridSpan w:val="4"/>
            <w:tcBorders>
              <w:top w:val="outset" w:sz="6" w:space="0" w:color="auto"/>
              <w:left w:val="outset" w:sz="6" w:space="0" w:color="auto"/>
              <w:bottom w:val="single" w:sz="6" w:space="0" w:color="D8D8D8"/>
              <w:right w:val="single" w:sz="4" w:space="0" w:color="auto"/>
            </w:tcBorders>
            <w:shd w:val="clear" w:color="auto" w:fill="5C75A2"/>
            <w:vAlign w:val="center"/>
          </w:tcPr>
          <w:p w14:paraId="74834B34"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NOx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c>
          <w:tcPr>
            <w:tcW w:w="2394"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6BE90213"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Poussières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r>
      <w:tr w:rsidR="0064331C" w:rsidRPr="0064331C" w14:paraId="491CA8E7" w14:textId="77777777" w:rsidTr="005D385E">
        <w:trPr>
          <w:jc w:val="center"/>
        </w:trPr>
        <w:tc>
          <w:tcPr>
            <w:tcW w:w="2062" w:type="dxa"/>
            <w:gridSpan w:val="2"/>
            <w:vMerge/>
            <w:tcBorders>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04BAEF7F" w14:textId="77777777" w:rsidR="0064331C" w:rsidRPr="0064331C" w:rsidRDefault="0064331C" w:rsidP="005D385E">
            <w:pPr>
              <w:jc w:val="center"/>
              <w:rPr>
                <w:b/>
                <w:bCs/>
                <w:color w:val="FFFFFF" w:themeColor="background1"/>
                <w:sz w:val="20"/>
                <w:szCs w:val="20"/>
                <w:lang w:eastAsia="fr-FR"/>
              </w:rPr>
            </w:pPr>
          </w:p>
        </w:tc>
        <w:tc>
          <w:tcPr>
            <w:tcW w:w="1505" w:type="dxa"/>
            <w:vMerge/>
            <w:tcBorders>
              <w:left w:val="outset" w:sz="6" w:space="0" w:color="auto"/>
              <w:bottom w:val="single" w:sz="4" w:space="0" w:color="auto"/>
              <w:right w:val="single" w:sz="6" w:space="0" w:color="D8D8D8"/>
            </w:tcBorders>
            <w:shd w:val="clear" w:color="auto" w:fill="5C75A2"/>
            <w:vAlign w:val="center"/>
          </w:tcPr>
          <w:p w14:paraId="1282883F" w14:textId="77777777" w:rsidR="0064331C" w:rsidRPr="0064331C" w:rsidRDefault="0064331C" w:rsidP="005D385E">
            <w:pPr>
              <w:jc w:val="center"/>
              <w:rPr>
                <w:b/>
                <w:bCs/>
                <w:color w:val="FFFFFF" w:themeColor="background1"/>
                <w:sz w:val="20"/>
                <w:szCs w:val="20"/>
                <w:lang w:eastAsia="fr-FR"/>
              </w:rPr>
            </w:pPr>
          </w:p>
        </w:tc>
        <w:tc>
          <w:tcPr>
            <w:tcW w:w="806" w:type="dxa"/>
            <w:tcBorders>
              <w:top w:val="outset" w:sz="6" w:space="0" w:color="auto"/>
              <w:left w:val="outset" w:sz="6" w:space="0" w:color="auto"/>
              <w:bottom w:val="single" w:sz="4" w:space="0" w:color="auto"/>
              <w:right w:val="outset" w:sz="6" w:space="0" w:color="auto"/>
            </w:tcBorders>
            <w:shd w:val="clear" w:color="auto" w:fill="5C75A2"/>
            <w:tcMar>
              <w:top w:w="75" w:type="dxa"/>
              <w:left w:w="75" w:type="dxa"/>
              <w:bottom w:w="75" w:type="dxa"/>
              <w:right w:w="75" w:type="dxa"/>
            </w:tcMar>
            <w:vAlign w:val="center"/>
          </w:tcPr>
          <w:p w14:paraId="34B199B3"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98" w:type="dxa"/>
            <w:tcBorders>
              <w:top w:val="outset" w:sz="6" w:space="0" w:color="auto"/>
              <w:left w:val="outset" w:sz="6" w:space="0" w:color="auto"/>
              <w:bottom w:val="single" w:sz="4" w:space="0" w:color="auto"/>
              <w:right w:val="outset" w:sz="6" w:space="0" w:color="auto"/>
            </w:tcBorders>
            <w:shd w:val="clear" w:color="auto" w:fill="5C75A2"/>
            <w:vAlign w:val="center"/>
          </w:tcPr>
          <w:p w14:paraId="1C624671"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798" w:type="dxa"/>
            <w:tcBorders>
              <w:top w:val="outset" w:sz="6" w:space="0" w:color="auto"/>
              <w:left w:val="outset" w:sz="6" w:space="0" w:color="auto"/>
              <w:bottom w:val="single" w:sz="4" w:space="0" w:color="auto"/>
              <w:right w:val="outset" w:sz="6" w:space="0" w:color="auto"/>
            </w:tcBorders>
            <w:shd w:val="clear" w:color="auto" w:fill="5C75A2"/>
            <w:vAlign w:val="center"/>
          </w:tcPr>
          <w:p w14:paraId="01350B70"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c>
          <w:tcPr>
            <w:tcW w:w="806" w:type="dxa"/>
            <w:tcBorders>
              <w:top w:val="outset" w:sz="6" w:space="0" w:color="auto"/>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6B046582"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98" w:type="dxa"/>
            <w:tcBorders>
              <w:top w:val="outset" w:sz="6" w:space="0" w:color="auto"/>
              <w:left w:val="outset" w:sz="6" w:space="0" w:color="auto"/>
              <w:bottom w:val="single" w:sz="4" w:space="0" w:color="auto"/>
              <w:right w:val="outset" w:sz="6" w:space="0" w:color="auto"/>
            </w:tcBorders>
            <w:shd w:val="clear" w:color="auto" w:fill="5C75A2"/>
            <w:vAlign w:val="center"/>
          </w:tcPr>
          <w:p w14:paraId="22B7114F"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798" w:type="dxa"/>
            <w:gridSpan w:val="2"/>
            <w:tcBorders>
              <w:top w:val="outset" w:sz="6" w:space="0" w:color="auto"/>
              <w:left w:val="outset" w:sz="6" w:space="0" w:color="auto"/>
              <w:bottom w:val="single" w:sz="4" w:space="0" w:color="auto"/>
              <w:right w:val="outset" w:sz="6" w:space="0" w:color="auto"/>
            </w:tcBorders>
            <w:shd w:val="clear" w:color="auto" w:fill="5C75A2"/>
            <w:vAlign w:val="center"/>
          </w:tcPr>
          <w:p w14:paraId="641FC410"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c>
          <w:tcPr>
            <w:tcW w:w="806" w:type="dxa"/>
            <w:tcBorders>
              <w:top w:val="outset" w:sz="6" w:space="0" w:color="auto"/>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31B174C7"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98" w:type="dxa"/>
            <w:tcBorders>
              <w:top w:val="outset" w:sz="6" w:space="0" w:color="auto"/>
              <w:left w:val="outset" w:sz="6" w:space="0" w:color="auto"/>
              <w:bottom w:val="single" w:sz="4" w:space="0" w:color="auto"/>
              <w:right w:val="single" w:sz="4" w:space="0" w:color="auto"/>
            </w:tcBorders>
            <w:shd w:val="clear" w:color="auto" w:fill="5C75A2"/>
            <w:vAlign w:val="center"/>
          </w:tcPr>
          <w:p w14:paraId="7FD9BD65"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790" w:type="dxa"/>
            <w:tcBorders>
              <w:top w:val="single" w:sz="4" w:space="0" w:color="auto"/>
              <w:left w:val="single" w:sz="4" w:space="0" w:color="auto"/>
              <w:bottom w:val="single" w:sz="4" w:space="0" w:color="auto"/>
              <w:right w:val="single" w:sz="4" w:space="0" w:color="auto"/>
            </w:tcBorders>
            <w:shd w:val="clear" w:color="auto" w:fill="5C75A2"/>
            <w:vAlign w:val="center"/>
          </w:tcPr>
          <w:p w14:paraId="5F43DA5A"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r>
      <w:bookmarkEnd w:id="6"/>
      <w:tr w:rsidR="0064331C" w:rsidRPr="0064331C" w14:paraId="00872D81" w14:textId="77777777" w:rsidTr="005D385E">
        <w:trPr>
          <w:jc w:val="center"/>
        </w:trPr>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6B888992" w14:textId="77777777" w:rsidR="0064331C" w:rsidRPr="0064331C" w:rsidRDefault="0064331C" w:rsidP="005D385E">
            <w:pPr>
              <w:jc w:val="center"/>
              <w:rPr>
                <w:b/>
                <w:bCs/>
                <w:sz w:val="20"/>
                <w:szCs w:val="20"/>
                <w:lang w:eastAsia="fr-FR"/>
              </w:rPr>
            </w:pPr>
            <w:r w:rsidRPr="0064331C">
              <w:rPr>
                <w:b/>
                <w:bCs/>
                <w:sz w:val="20"/>
                <w:szCs w:val="20"/>
                <w:lang w:eastAsia="fr-FR"/>
              </w:rPr>
              <w:t>Biomasse solide ou tourbe</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70129634"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41945F3" w14:textId="77777777" w:rsidR="0064331C" w:rsidRPr="0064331C" w:rsidRDefault="0064331C" w:rsidP="005D385E">
            <w:pPr>
              <w:jc w:val="center"/>
              <w:rPr>
                <w:b/>
                <w:bCs/>
                <w:sz w:val="20"/>
                <w:szCs w:val="20"/>
                <w:lang w:eastAsia="fr-FR"/>
              </w:rPr>
            </w:pPr>
            <w:r w:rsidRPr="0064331C">
              <w:rPr>
                <w:b/>
                <w:bCs/>
                <w:sz w:val="20"/>
                <w:szCs w:val="20"/>
                <w:lang w:eastAsia="fr-FR"/>
              </w:rPr>
              <w:t>70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9D34E6"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03292E"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E4FAA72" w14:textId="77777777" w:rsidR="0064331C" w:rsidRPr="0064331C" w:rsidRDefault="0064331C" w:rsidP="005D385E">
            <w:pPr>
              <w:jc w:val="center"/>
              <w:rPr>
                <w:b/>
                <w:bCs/>
                <w:sz w:val="20"/>
                <w:szCs w:val="20"/>
                <w:lang w:eastAsia="fr-FR"/>
              </w:rPr>
            </w:pPr>
            <w:r w:rsidRPr="0064331C">
              <w:rPr>
                <w:b/>
                <w:bCs/>
                <w:sz w:val="20"/>
                <w:szCs w:val="20"/>
                <w:lang w:eastAsia="fr-FR"/>
              </w:rPr>
              <w:t>150 (1)</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4A9E00"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769C1D85" w14:textId="77777777" w:rsidR="0064331C" w:rsidRPr="0064331C" w:rsidRDefault="0064331C" w:rsidP="005D385E">
            <w:pPr>
              <w:jc w:val="center"/>
              <w:rPr>
                <w:b/>
                <w:bCs/>
                <w:sz w:val="20"/>
                <w:szCs w:val="20"/>
                <w:lang w:eastAsia="fr-FR"/>
              </w:rPr>
            </w:pPr>
            <w:r w:rsidRPr="0064331C">
              <w:rPr>
                <w:b/>
                <w:bCs/>
                <w:sz w:val="20"/>
                <w:szCs w:val="20"/>
                <w:lang w:eastAsia="fr-FR"/>
              </w:rPr>
              <w:t>(2)</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256802"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5C13F5C2" w14:textId="77777777" w:rsidR="0064331C" w:rsidRPr="0064331C" w:rsidRDefault="0064331C" w:rsidP="005D385E">
            <w:pPr>
              <w:jc w:val="center"/>
              <w:rPr>
                <w:b/>
                <w:bCs/>
                <w:sz w:val="20"/>
                <w:szCs w:val="20"/>
                <w:lang w:eastAsia="fr-FR"/>
              </w:rPr>
            </w:pPr>
            <w:r w:rsidRPr="0064331C">
              <w:rPr>
                <w:b/>
                <w:bCs/>
                <w:sz w:val="20"/>
                <w:szCs w:val="20"/>
                <w:lang w:eastAsia="fr-FR"/>
              </w:rPr>
              <w:t>(2)</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4C7F5F0"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329F3B"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133FE5"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72549B45"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96443"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00B8333D"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5926262" w14:textId="77777777" w:rsidR="0064331C" w:rsidRPr="0064331C" w:rsidRDefault="0064331C" w:rsidP="005D385E">
            <w:pPr>
              <w:jc w:val="center"/>
              <w:rPr>
                <w:b/>
                <w:bCs/>
                <w:sz w:val="20"/>
                <w:szCs w:val="20"/>
                <w:lang w:eastAsia="fr-FR"/>
              </w:rPr>
            </w:pPr>
            <w:r w:rsidRPr="0064331C">
              <w:rPr>
                <w:b/>
                <w:bCs/>
                <w:sz w:val="20"/>
                <w:szCs w:val="20"/>
                <w:lang w:eastAsia="fr-FR"/>
              </w:rPr>
              <w:t>50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51E6C" w14:textId="77777777" w:rsidR="0064331C" w:rsidRPr="0064331C" w:rsidRDefault="0064331C" w:rsidP="005D385E">
            <w:pPr>
              <w:jc w:val="center"/>
              <w:rPr>
                <w:b/>
                <w:bCs/>
                <w:sz w:val="20"/>
                <w:szCs w:val="20"/>
                <w:lang w:eastAsia="fr-FR"/>
              </w:rPr>
            </w:pPr>
            <w:r w:rsidRPr="0064331C">
              <w:rPr>
                <w:b/>
                <w:bCs/>
                <w:sz w:val="20"/>
                <w:szCs w:val="20"/>
                <w:lang w:eastAsia="fr-FR"/>
              </w:rPr>
              <w:t>85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FCEBDA" w14:textId="77777777" w:rsidR="0064331C" w:rsidRPr="0064331C" w:rsidRDefault="0064331C" w:rsidP="005D385E">
            <w:pPr>
              <w:jc w:val="center"/>
              <w:rPr>
                <w:b/>
                <w:bCs/>
                <w:sz w:val="20"/>
                <w:szCs w:val="20"/>
                <w:lang w:eastAsia="fr-FR"/>
              </w:rPr>
            </w:pPr>
            <w:r w:rsidRPr="0064331C">
              <w:rPr>
                <w:b/>
                <w:bCs/>
                <w:sz w:val="20"/>
                <w:szCs w:val="20"/>
                <w:lang w:eastAsia="fr-FR"/>
              </w:rPr>
              <w:t>85</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6F0E324" w14:textId="77777777" w:rsidR="0064331C" w:rsidRPr="0064331C" w:rsidRDefault="0064331C" w:rsidP="005D385E">
            <w:pPr>
              <w:jc w:val="center"/>
              <w:rPr>
                <w:b/>
                <w:bCs/>
                <w:sz w:val="20"/>
                <w:szCs w:val="20"/>
                <w:lang w:eastAsia="fr-FR"/>
              </w:rPr>
            </w:pPr>
            <w:r w:rsidRPr="0064331C">
              <w:rPr>
                <w:b/>
                <w:bCs/>
                <w:sz w:val="20"/>
                <w:szCs w:val="20"/>
                <w:lang w:eastAsia="fr-FR"/>
              </w:rPr>
              <w:t>140</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246807E"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BC4641"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2DFF557"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D4009E"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88A76"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2A84E8FD"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58E11"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45B80083"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EF86F5E"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D53174" w14:textId="77777777" w:rsidR="0064331C" w:rsidRPr="0064331C" w:rsidRDefault="0064331C" w:rsidP="005D385E">
            <w:pPr>
              <w:jc w:val="center"/>
              <w:rPr>
                <w:b/>
                <w:bCs/>
                <w:sz w:val="20"/>
                <w:szCs w:val="20"/>
                <w:lang w:eastAsia="fr-FR"/>
              </w:rPr>
            </w:pPr>
            <w:r w:rsidRPr="0064331C">
              <w:rPr>
                <w:b/>
                <w:bCs/>
                <w:sz w:val="20"/>
                <w:szCs w:val="20"/>
                <w:lang w:eastAsia="fr-FR"/>
              </w:rPr>
              <w:t>70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D713D9" w14:textId="77777777" w:rsidR="0064331C" w:rsidRPr="0064331C" w:rsidRDefault="0064331C" w:rsidP="005D385E">
            <w:pPr>
              <w:jc w:val="center"/>
              <w:rPr>
                <w:b/>
                <w:bCs/>
                <w:sz w:val="20"/>
                <w:szCs w:val="20"/>
                <w:lang w:eastAsia="fr-FR"/>
              </w:rPr>
            </w:pPr>
            <w:r w:rsidRPr="0064331C">
              <w:rPr>
                <w:b/>
                <w:bCs/>
                <w:sz w:val="20"/>
                <w:szCs w:val="20"/>
                <w:lang w:eastAsia="fr-FR"/>
              </w:rPr>
              <w:t>70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221241B" w14:textId="77777777" w:rsidR="0064331C" w:rsidRPr="0064331C" w:rsidRDefault="0064331C" w:rsidP="005D385E">
            <w:pPr>
              <w:jc w:val="center"/>
              <w:rPr>
                <w:b/>
                <w:bCs/>
                <w:sz w:val="20"/>
                <w:szCs w:val="20"/>
                <w:lang w:eastAsia="fr-FR"/>
              </w:rPr>
            </w:pPr>
            <w:r w:rsidRPr="0064331C">
              <w:rPr>
                <w:b/>
                <w:bCs/>
                <w:sz w:val="20"/>
                <w:szCs w:val="20"/>
                <w:lang w:eastAsia="fr-FR"/>
              </w:rPr>
              <w:t>140</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72E318"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7EEDE7"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679B420"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FFF72E"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BA8B75"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7D4C87BC" w14:textId="77777777" w:rsidTr="005D385E">
        <w:trPr>
          <w:jc w:val="center"/>
        </w:trPr>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47EAF173" w14:textId="77777777" w:rsidR="0064331C" w:rsidRPr="0064331C" w:rsidRDefault="0064331C" w:rsidP="005D385E">
            <w:pPr>
              <w:jc w:val="center"/>
              <w:rPr>
                <w:b/>
                <w:bCs/>
                <w:sz w:val="20"/>
                <w:szCs w:val="20"/>
                <w:lang w:eastAsia="fr-FR"/>
              </w:rPr>
            </w:pPr>
            <w:bookmarkStart w:id="7" w:name="_Hlk146874603"/>
            <w:r w:rsidRPr="0064331C">
              <w:rPr>
                <w:b/>
                <w:bCs/>
                <w:sz w:val="20"/>
                <w:szCs w:val="20"/>
                <w:lang w:eastAsia="fr-FR"/>
              </w:rPr>
              <w:t>Charbon ou lignite</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1B3DA3D1"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6C25701"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907F2F"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6BDBEF"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6E11999"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9FB7C9"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A4C25"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9281522"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BFB68F" w14:textId="77777777" w:rsidR="0064331C" w:rsidRPr="0064331C" w:rsidRDefault="0064331C" w:rsidP="005D385E">
            <w:pPr>
              <w:jc w:val="center"/>
              <w:rPr>
                <w:b/>
                <w:bCs/>
                <w:sz w:val="20"/>
                <w:szCs w:val="20"/>
                <w:lang w:eastAsia="fr-FR"/>
              </w:rPr>
            </w:pPr>
            <w:r w:rsidRPr="0064331C">
              <w:rPr>
                <w:b/>
                <w:bCs/>
                <w:sz w:val="20"/>
                <w:szCs w:val="20"/>
                <w:lang w:eastAsia="fr-FR"/>
              </w:rPr>
              <w:t>16</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CB536E" w14:textId="77777777" w:rsidR="0064331C" w:rsidRPr="0064331C" w:rsidRDefault="0064331C" w:rsidP="005D385E">
            <w:pPr>
              <w:jc w:val="center"/>
              <w:rPr>
                <w:b/>
                <w:bCs/>
                <w:sz w:val="20"/>
                <w:szCs w:val="20"/>
                <w:lang w:eastAsia="fr-FR"/>
              </w:rPr>
            </w:pPr>
            <w:r w:rsidRPr="0064331C">
              <w:rPr>
                <w:b/>
                <w:bCs/>
                <w:sz w:val="20"/>
                <w:szCs w:val="20"/>
                <w:lang w:eastAsia="fr-FR"/>
              </w:rPr>
              <w:t>16</w:t>
            </w:r>
          </w:p>
        </w:tc>
      </w:tr>
      <w:tr w:rsidR="0064331C" w:rsidRPr="0064331C" w14:paraId="0D3E985B"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04356"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312426D1"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2F1DB0B"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6D1AE7"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ADC498"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445BC94B"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46266E" w14:textId="77777777" w:rsidR="0064331C" w:rsidRPr="0064331C" w:rsidRDefault="0064331C" w:rsidP="005D385E">
            <w:pPr>
              <w:jc w:val="center"/>
              <w:rPr>
                <w:b/>
                <w:bCs/>
                <w:sz w:val="20"/>
                <w:szCs w:val="20"/>
                <w:lang w:eastAsia="fr-FR"/>
              </w:rPr>
            </w:pPr>
            <w:r w:rsidRPr="0064331C">
              <w:rPr>
                <w:b/>
                <w:bCs/>
                <w:sz w:val="20"/>
                <w:szCs w:val="20"/>
                <w:lang w:eastAsia="fr-FR"/>
              </w:rPr>
              <w:t>130</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3CF7D1" w14:textId="77777777" w:rsidR="0064331C" w:rsidRPr="0064331C" w:rsidRDefault="0064331C" w:rsidP="005D385E">
            <w:pPr>
              <w:jc w:val="center"/>
              <w:rPr>
                <w:b/>
                <w:bCs/>
                <w:sz w:val="20"/>
                <w:szCs w:val="20"/>
                <w:lang w:eastAsia="fr-FR"/>
              </w:rPr>
            </w:pPr>
            <w:r w:rsidRPr="0064331C">
              <w:rPr>
                <w:b/>
                <w:bCs/>
                <w:sz w:val="20"/>
                <w:szCs w:val="20"/>
                <w:lang w:eastAsia="fr-FR"/>
              </w:rPr>
              <w:t>130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3FBED0F"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23416"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550F73" w14:textId="77777777" w:rsidR="0064331C" w:rsidRPr="0064331C" w:rsidRDefault="0064331C" w:rsidP="005D385E">
            <w:pPr>
              <w:jc w:val="center"/>
              <w:rPr>
                <w:b/>
                <w:bCs/>
                <w:sz w:val="20"/>
                <w:szCs w:val="20"/>
                <w:lang w:eastAsia="fr-FR"/>
              </w:rPr>
            </w:pPr>
            <w:r w:rsidRPr="0064331C">
              <w:rPr>
                <w:b/>
                <w:bCs/>
                <w:sz w:val="20"/>
                <w:szCs w:val="20"/>
                <w:lang w:eastAsia="fr-FR"/>
              </w:rPr>
              <w:t>15</w:t>
            </w:r>
          </w:p>
        </w:tc>
      </w:tr>
      <w:tr w:rsidR="0064331C" w:rsidRPr="0064331C" w14:paraId="70617A3F"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78BEA"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606F53F7"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9F52145" w14:textId="77777777" w:rsidR="0064331C" w:rsidRPr="0064331C" w:rsidRDefault="0064331C" w:rsidP="005D385E">
            <w:pPr>
              <w:jc w:val="center"/>
              <w:rPr>
                <w:b/>
                <w:bCs/>
                <w:sz w:val="20"/>
                <w:szCs w:val="20"/>
                <w:lang w:eastAsia="fr-FR"/>
              </w:rPr>
            </w:pPr>
            <w:r w:rsidRPr="0064331C">
              <w:rPr>
                <w:b/>
                <w:bCs/>
                <w:sz w:val="20"/>
                <w:szCs w:val="20"/>
                <w:lang w:eastAsia="fr-FR"/>
              </w:rPr>
              <w:t>75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0A152E"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DB59A1"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F0A601D" w14:textId="77777777" w:rsidR="0064331C" w:rsidRPr="0064331C" w:rsidRDefault="0064331C" w:rsidP="005D385E">
            <w:pPr>
              <w:jc w:val="center"/>
              <w:rPr>
                <w:b/>
                <w:bCs/>
                <w:sz w:val="20"/>
                <w:szCs w:val="20"/>
                <w:lang w:eastAsia="fr-FR"/>
              </w:rPr>
            </w:pPr>
            <w:r w:rsidRPr="0064331C">
              <w:rPr>
                <w:b/>
                <w:bCs/>
                <w:sz w:val="20"/>
                <w:szCs w:val="20"/>
                <w:lang w:eastAsia="fr-FR"/>
              </w:rPr>
              <w:t>85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15FE37" w14:textId="77777777" w:rsidR="0064331C" w:rsidRPr="0064331C" w:rsidRDefault="0064331C" w:rsidP="005D385E">
            <w:pPr>
              <w:jc w:val="center"/>
              <w:rPr>
                <w:b/>
                <w:bCs/>
                <w:sz w:val="20"/>
                <w:szCs w:val="20"/>
                <w:lang w:eastAsia="fr-FR"/>
              </w:rPr>
            </w:pPr>
            <w:r w:rsidRPr="0064331C">
              <w:rPr>
                <w:b/>
                <w:bCs/>
                <w:sz w:val="20"/>
                <w:szCs w:val="20"/>
                <w:lang w:eastAsia="fr-FR"/>
              </w:rPr>
              <w:t>125</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C68156" w14:textId="77777777" w:rsidR="0064331C" w:rsidRPr="0064331C" w:rsidRDefault="0064331C" w:rsidP="005D385E">
            <w:pPr>
              <w:jc w:val="center"/>
              <w:rPr>
                <w:b/>
                <w:bCs/>
                <w:sz w:val="20"/>
                <w:szCs w:val="20"/>
                <w:lang w:eastAsia="fr-FR"/>
              </w:rPr>
            </w:pPr>
            <w:r w:rsidRPr="0064331C">
              <w:rPr>
                <w:b/>
                <w:bCs/>
                <w:sz w:val="20"/>
                <w:szCs w:val="20"/>
                <w:lang w:eastAsia="fr-FR"/>
              </w:rPr>
              <w:t>125</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45C95BD"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EE930CD"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020AB4" w14:textId="77777777" w:rsidR="0064331C" w:rsidRPr="0064331C" w:rsidRDefault="0064331C" w:rsidP="005D385E">
            <w:pPr>
              <w:jc w:val="center"/>
              <w:rPr>
                <w:b/>
                <w:bCs/>
                <w:sz w:val="20"/>
                <w:szCs w:val="20"/>
                <w:lang w:eastAsia="fr-FR"/>
              </w:rPr>
            </w:pPr>
            <w:r w:rsidRPr="0064331C">
              <w:rPr>
                <w:b/>
                <w:bCs/>
                <w:sz w:val="20"/>
                <w:szCs w:val="20"/>
                <w:lang w:eastAsia="fr-FR"/>
              </w:rPr>
              <w:t>10</w:t>
            </w:r>
          </w:p>
        </w:tc>
      </w:tr>
      <w:bookmarkEnd w:id="7"/>
      <w:tr w:rsidR="0064331C" w:rsidRPr="0064331C" w14:paraId="40E05C3B" w14:textId="77777777" w:rsidTr="005D385E">
        <w:trPr>
          <w:jc w:val="center"/>
        </w:trPr>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669BC170" w14:textId="77777777" w:rsidR="0064331C" w:rsidRPr="0064331C" w:rsidRDefault="0064331C" w:rsidP="005D385E">
            <w:pPr>
              <w:jc w:val="center"/>
              <w:rPr>
                <w:b/>
                <w:bCs/>
                <w:sz w:val="20"/>
                <w:szCs w:val="20"/>
                <w:lang w:eastAsia="fr-FR"/>
              </w:rPr>
            </w:pPr>
            <w:r w:rsidRPr="0064331C">
              <w:rPr>
                <w:b/>
                <w:bCs/>
                <w:sz w:val="20"/>
                <w:szCs w:val="20"/>
                <w:lang w:eastAsia="fr-FR"/>
              </w:rPr>
              <w:t>Fioul domestique</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0058DDF4"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C477B35"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D4E887C"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8D6B206" w14:textId="77777777" w:rsidR="0064331C" w:rsidRPr="0064331C" w:rsidRDefault="0064331C" w:rsidP="005D385E">
            <w:pPr>
              <w:jc w:val="center"/>
              <w:rPr>
                <w:b/>
                <w:bCs/>
                <w:sz w:val="20"/>
                <w:szCs w:val="20"/>
                <w:lang w:eastAsia="fr-FR"/>
              </w:rPr>
            </w:pPr>
            <w:r w:rsidRPr="0064331C">
              <w:rPr>
                <w:b/>
                <w:bCs/>
                <w:sz w:val="20"/>
                <w:szCs w:val="20"/>
                <w:lang w:eastAsia="fr-FR"/>
              </w:rPr>
              <w:t>187</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F7853C3"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63259E6"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4AFA25A"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0F40959"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176D15"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C078A0" w14:textId="77777777" w:rsidR="0064331C" w:rsidRPr="0064331C" w:rsidRDefault="0064331C" w:rsidP="005D385E">
            <w:pPr>
              <w:jc w:val="center"/>
              <w:rPr>
                <w:b/>
                <w:bCs/>
                <w:sz w:val="20"/>
                <w:szCs w:val="20"/>
                <w:lang w:eastAsia="fr-FR"/>
              </w:rPr>
            </w:pPr>
            <w:r w:rsidRPr="0064331C">
              <w:rPr>
                <w:b/>
                <w:bCs/>
                <w:sz w:val="20"/>
                <w:szCs w:val="20"/>
                <w:lang w:eastAsia="fr-FR"/>
              </w:rPr>
              <w:t>18</w:t>
            </w:r>
          </w:p>
        </w:tc>
      </w:tr>
      <w:tr w:rsidR="0064331C" w:rsidRPr="0064331C" w14:paraId="6EAF6C49"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F0F8F"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6044CFC4"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E384EB"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56F08BC"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FAED436" w14:textId="77777777" w:rsidR="0064331C" w:rsidRPr="0064331C" w:rsidRDefault="0064331C" w:rsidP="005D385E">
            <w:pPr>
              <w:jc w:val="center"/>
              <w:rPr>
                <w:b/>
                <w:bCs/>
                <w:sz w:val="20"/>
                <w:szCs w:val="20"/>
                <w:lang w:eastAsia="fr-FR"/>
              </w:rPr>
            </w:pPr>
            <w:r w:rsidRPr="0064331C">
              <w:rPr>
                <w:b/>
                <w:bCs/>
                <w:sz w:val="20"/>
                <w:szCs w:val="20"/>
                <w:lang w:eastAsia="fr-FR"/>
              </w:rPr>
              <w:t>187</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0FF322" w14:textId="77777777" w:rsidR="0064331C" w:rsidRPr="0064331C" w:rsidRDefault="0064331C" w:rsidP="005D385E">
            <w:pPr>
              <w:jc w:val="center"/>
              <w:rPr>
                <w:b/>
                <w:bCs/>
                <w:sz w:val="20"/>
                <w:szCs w:val="20"/>
                <w:lang w:eastAsia="fr-FR"/>
              </w:rPr>
            </w:pPr>
            <w:r w:rsidRPr="0064331C">
              <w:rPr>
                <w:b/>
                <w:bCs/>
                <w:sz w:val="20"/>
                <w:szCs w:val="20"/>
                <w:lang w:eastAsia="fr-FR"/>
              </w:rPr>
              <w:t>75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EF3F2F"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7D420"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4871B8C0"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97185"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14D801" w14:textId="77777777" w:rsidR="0064331C" w:rsidRPr="0064331C" w:rsidRDefault="0064331C" w:rsidP="005D385E">
            <w:pPr>
              <w:jc w:val="center"/>
              <w:rPr>
                <w:b/>
                <w:bCs/>
                <w:sz w:val="20"/>
                <w:szCs w:val="20"/>
                <w:lang w:eastAsia="fr-FR"/>
              </w:rPr>
            </w:pPr>
            <w:r w:rsidRPr="0064331C">
              <w:rPr>
                <w:b/>
                <w:bCs/>
                <w:sz w:val="20"/>
                <w:szCs w:val="20"/>
                <w:lang w:eastAsia="fr-FR"/>
              </w:rPr>
              <w:t>18</w:t>
            </w:r>
          </w:p>
        </w:tc>
      </w:tr>
      <w:tr w:rsidR="0064331C" w:rsidRPr="0064331C" w14:paraId="6C8D5A76"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A2920"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7E688D28"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FC4440" w14:textId="77777777" w:rsidR="0064331C" w:rsidRPr="0064331C" w:rsidRDefault="0064331C" w:rsidP="005D385E">
            <w:pPr>
              <w:jc w:val="center"/>
              <w:rPr>
                <w:b/>
                <w:bCs/>
                <w:sz w:val="20"/>
                <w:szCs w:val="20"/>
                <w:lang w:eastAsia="fr-FR"/>
              </w:rPr>
            </w:pPr>
            <w:r w:rsidRPr="0064331C">
              <w:rPr>
                <w:b/>
                <w:bCs/>
                <w:sz w:val="20"/>
                <w:szCs w:val="20"/>
                <w:lang w:eastAsia="fr-FR"/>
              </w:rPr>
              <w:t>50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D30385" w14:textId="77777777" w:rsidR="0064331C" w:rsidRPr="0064331C" w:rsidRDefault="0064331C" w:rsidP="005D385E">
            <w:pPr>
              <w:jc w:val="center"/>
              <w:rPr>
                <w:b/>
                <w:bCs/>
                <w:sz w:val="20"/>
                <w:szCs w:val="20"/>
                <w:lang w:eastAsia="fr-FR"/>
              </w:rPr>
            </w:pPr>
            <w:r w:rsidRPr="0064331C">
              <w:rPr>
                <w:b/>
                <w:bCs/>
                <w:sz w:val="20"/>
                <w:szCs w:val="20"/>
                <w:lang w:eastAsia="fr-FR"/>
              </w:rPr>
              <w:t>120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3AEEF8" w14:textId="77777777" w:rsidR="0064331C" w:rsidRPr="0064331C" w:rsidRDefault="0064331C" w:rsidP="005D385E">
            <w:pPr>
              <w:jc w:val="center"/>
              <w:rPr>
                <w:b/>
                <w:bCs/>
                <w:sz w:val="20"/>
                <w:szCs w:val="20"/>
                <w:lang w:eastAsia="fr-FR"/>
              </w:rPr>
            </w:pPr>
            <w:r w:rsidRPr="0064331C">
              <w:rPr>
                <w:b/>
                <w:bCs/>
                <w:sz w:val="20"/>
                <w:szCs w:val="20"/>
                <w:lang w:eastAsia="fr-FR"/>
              </w:rPr>
              <w:t>120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EE57EA" w14:textId="77777777" w:rsidR="0064331C" w:rsidRPr="0064331C" w:rsidRDefault="0064331C" w:rsidP="005D385E">
            <w:pPr>
              <w:jc w:val="center"/>
              <w:rPr>
                <w:b/>
                <w:bCs/>
                <w:sz w:val="20"/>
                <w:szCs w:val="20"/>
                <w:lang w:eastAsia="fr-FR"/>
              </w:rPr>
            </w:pPr>
            <w:r w:rsidRPr="0064331C">
              <w:rPr>
                <w:b/>
                <w:bCs/>
                <w:sz w:val="20"/>
                <w:szCs w:val="20"/>
                <w:lang w:eastAsia="fr-FR"/>
              </w:rPr>
              <w:t>75</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2AF9236"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88F22B"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4BF1936"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237124C"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C5B3BE"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308CF28C" w14:textId="77777777" w:rsidTr="005D385E">
        <w:trPr>
          <w:jc w:val="center"/>
        </w:trPr>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05D443ED" w14:textId="77777777" w:rsidR="0064331C" w:rsidRPr="0064331C" w:rsidRDefault="0064331C" w:rsidP="005D385E">
            <w:pPr>
              <w:jc w:val="center"/>
              <w:rPr>
                <w:b/>
                <w:bCs/>
                <w:sz w:val="20"/>
                <w:szCs w:val="20"/>
                <w:lang w:eastAsia="fr-FR"/>
              </w:rPr>
            </w:pPr>
            <w:r w:rsidRPr="0064331C">
              <w:rPr>
                <w:b/>
                <w:bCs/>
                <w:sz w:val="20"/>
                <w:szCs w:val="20"/>
                <w:lang w:eastAsia="fr-FR"/>
              </w:rPr>
              <w:t>Fioul lourd</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3B3E93AB"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AB3E647"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625DC"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372A43"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05D0ECD"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0DACBC" w14:textId="77777777" w:rsidR="0064331C" w:rsidRPr="0064331C" w:rsidRDefault="0064331C" w:rsidP="005D385E">
            <w:pPr>
              <w:jc w:val="center"/>
              <w:rPr>
                <w:b/>
                <w:bCs/>
                <w:sz w:val="20"/>
                <w:szCs w:val="20"/>
                <w:lang w:eastAsia="fr-FR"/>
              </w:rPr>
            </w:pPr>
            <w:r w:rsidRPr="0064331C">
              <w:rPr>
                <w:b/>
                <w:bCs/>
                <w:sz w:val="20"/>
                <w:szCs w:val="20"/>
                <w:lang w:eastAsia="fr-FR"/>
              </w:rPr>
              <w:t>215</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A86F1B" w14:textId="77777777" w:rsidR="0064331C" w:rsidRPr="0064331C" w:rsidRDefault="0064331C" w:rsidP="005D385E">
            <w:pPr>
              <w:jc w:val="center"/>
              <w:rPr>
                <w:b/>
                <w:bCs/>
                <w:sz w:val="20"/>
                <w:szCs w:val="20"/>
                <w:lang w:eastAsia="fr-FR"/>
              </w:rPr>
            </w:pPr>
            <w:r w:rsidRPr="0064331C">
              <w:rPr>
                <w:b/>
                <w:bCs/>
                <w:sz w:val="20"/>
                <w:szCs w:val="20"/>
                <w:lang w:eastAsia="fr-FR"/>
              </w:rPr>
              <w:t>215</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48BB2B3C"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768120"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448AC9" w14:textId="77777777" w:rsidR="0064331C" w:rsidRPr="0064331C" w:rsidRDefault="0064331C" w:rsidP="005D385E">
            <w:pPr>
              <w:jc w:val="center"/>
              <w:rPr>
                <w:b/>
                <w:bCs/>
                <w:sz w:val="20"/>
                <w:szCs w:val="20"/>
                <w:lang w:eastAsia="fr-FR"/>
              </w:rPr>
            </w:pPr>
            <w:r w:rsidRPr="0064331C">
              <w:rPr>
                <w:b/>
                <w:bCs/>
                <w:sz w:val="20"/>
                <w:szCs w:val="20"/>
                <w:lang w:eastAsia="fr-FR"/>
              </w:rPr>
              <w:t>18</w:t>
            </w:r>
          </w:p>
        </w:tc>
      </w:tr>
      <w:tr w:rsidR="0064331C" w:rsidRPr="0064331C" w14:paraId="433D37B1"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1C12C"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379C866F"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ADE14D0"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4D123CB"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6C702"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A1D94A2" w14:textId="77777777" w:rsidR="0064331C" w:rsidRPr="0064331C" w:rsidRDefault="0064331C" w:rsidP="005D385E">
            <w:pPr>
              <w:jc w:val="center"/>
              <w:rPr>
                <w:b/>
                <w:bCs/>
                <w:sz w:val="20"/>
                <w:szCs w:val="20"/>
                <w:lang w:eastAsia="fr-FR"/>
              </w:rPr>
            </w:pPr>
            <w:r w:rsidRPr="0064331C">
              <w:rPr>
                <w:b/>
                <w:bCs/>
                <w:sz w:val="20"/>
                <w:szCs w:val="20"/>
                <w:lang w:eastAsia="fr-FR"/>
              </w:rPr>
              <w:t>75</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BDCD3"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B3598D"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77F5A54"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915C5"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84E475" w14:textId="77777777" w:rsidR="0064331C" w:rsidRPr="0064331C" w:rsidRDefault="0064331C" w:rsidP="005D385E">
            <w:pPr>
              <w:jc w:val="center"/>
              <w:rPr>
                <w:b/>
                <w:bCs/>
                <w:sz w:val="20"/>
                <w:szCs w:val="20"/>
                <w:lang w:eastAsia="fr-FR"/>
              </w:rPr>
            </w:pPr>
            <w:r w:rsidRPr="0064331C">
              <w:rPr>
                <w:b/>
                <w:bCs/>
                <w:sz w:val="20"/>
                <w:szCs w:val="20"/>
                <w:lang w:eastAsia="fr-FR"/>
              </w:rPr>
              <w:t>18</w:t>
            </w:r>
          </w:p>
        </w:tc>
      </w:tr>
      <w:tr w:rsidR="0064331C" w:rsidRPr="0064331C" w14:paraId="204ADBE7"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E5D51"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569EA200"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EB9AEF9" w14:textId="77777777" w:rsidR="0064331C" w:rsidRPr="0064331C" w:rsidRDefault="0064331C" w:rsidP="005D385E">
            <w:pPr>
              <w:jc w:val="center"/>
              <w:rPr>
                <w:b/>
                <w:bCs/>
                <w:sz w:val="20"/>
                <w:szCs w:val="20"/>
                <w:lang w:eastAsia="fr-FR"/>
              </w:rPr>
            </w:pPr>
            <w:r w:rsidRPr="0064331C">
              <w:rPr>
                <w:b/>
                <w:bCs/>
                <w:sz w:val="20"/>
                <w:szCs w:val="20"/>
                <w:lang w:eastAsia="fr-FR"/>
              </w:rPr>
              <w:t>50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7A392F" w14:textId="77777777" w:rsidR="0064331C" w:rsidRPr="0064331C" w:rsidRDefault="0064331C" w:rsidP="005D385E">
            <w:pPr>
              <w:jc w:val="center"/>
              <w:rPr>
                <w:b/>
                <w:bCs/>
                <w:sz w:val="20"/>
                <w:szCs w:val="20"/>
                <w:lang w:eastAsia="fr-FR"/>
              </w:rPr>
            </w:pPr>
            <w:r w:rsidRPr="0064331C">
              <w:rPr>
                <w:b/>
                <w:bCs/>
                <w:sz w:val="20"/>
                <w:szCs w:val="20"/>
                <w:lang w:eastAsia="fr-FR"/>
              </w:rPr>
              <w:t>120</w:t>
            </w:r>
          </w:p>
        </w:tc>
        <w:tc>
          <w:tcPr>
            <w:tcW w:w="7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F098C9" w14:textId="77777777" w:rsidR="0064331C" w:rsidRPr="0064331C" w:rsidRDefault="0064331C" w:rsidP="005D385E">
            <w:pPr>
              <w:jc w:val="center"/>
              <w:rPr>
                <w:b/>
                <w:bCs/>
                <w:sz w:val="20"/>
                <w:szCs w:val="20"/>
                <w:lang w:eastAsia="fr-FR"/>
              </w:rPr>
            </w:pPr>
            <w:r w:rsidRPr="0064331C">
              <w:rPr>
                <w:b/>
                <w:bCs/>
                <w:sz w:val="20"/>
                <w:szCs w:val="20"/>
                <w:lang w:eastAsia="fr-FR"/>
              </w:rPr>
              <w:t>120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C22599E" w14:textId="77777777" w:rsidR="0064331C" w:rsidRPr="0064331C" w:rsidRDefault="0064331C" w:rsidP="005D385E">
            <w:pPr>
              <w:jc w:val="center"/>
              <w:rPr>
                <w:b/>
                <w:bCs/>
                <w:sz w:val="20"/>
                <w:szCs w:val="20"/>
                <w:lang w:eastAsia="fr-FR"/>
              </w:rPr>
            </w:pPr>
            <w:r w:rsidRPr="0064331C">
              <w:rPr>
                <w:b/>
                <w:bCs/>
                <w:sz w:val="20"/>
                <w:szCs w:val="20"/>
                <w:lang w:eastAsia="fr-FR"/>
              </w:rPr>
              <w:t>75</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D4F351"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873A14"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0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ECBC7F6"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AC31922"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A8156D"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132DC3" w:rsidRPr="0064331C" w14:paraId="55F3EF78" w14:textId="77777777" w:rsidTr="00AE57B5">
        <w:trPr>
          <w:jc w:val="center"/>
        </w:trPr>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72E2F692" w14:textId="77777777" w:rsidR="00132DC3" w:rsidRPr="0064331C" w:rsidRDefault="00132DC3" w:rsidP="005D385E">
            <w:pPr>
              <w:jc w:val="center"/>
              <w:rPr>
                <w:b/>
                <w:bCs/>
                <w:sz w:val="20"/>
                <w:szCs w:val="20"/>
                <w:lang w:eastAsia="fr-FR"/>
              </w:rPr>
            </w:pPr>
            <w:r w:rsidRPr="0064331C">
              <w:rPr>
                <w:b/>
                <w:bCs/>
                <w:sz w:val="20"/>
                <w:szCs w:val="20"/>
                <w:lang w:eastAsia="fr-FR"/>
              </w:rPr>
              <w:t>Gaz naturel</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081A2E16" w14:textId="77777777" w:rsidR="00132DC3" w:rsidRPr="0064331C" w:rsidRDefault="00132DC3" w:rsidP="005D385E">
            <w:pPr>
              <w:jc w:val="center"/>
              <w:rPr>
                <w:b/>
                <w:bCs/>
                <w:sz w:val="20"/>
                <w:szCs w:val="20"/>
                <w:lang w:eastAsia="fr-FR"/>
              </w:rPr>
            </w:pPr>
            <w:r w:rsidRPr="0064331C">
              <w:rPr>
                <w:b/>
                <w:bCs/>
                <w:sz w:val="20"/>
                <w:szCs w:val="20"/>
                <w:lang w:eastAsia="fr-FR"/>
              </w:rPr>
              <w:t>50 ≤ P &lt; 100</w:t>
            </w:r>
          </w:p>
        </w:tc>
        <w:tc>
          <w:tcPr>
            <w:tcW w:w="806" w:type="dxa"/>
            <w:vMerge w:val="restart"/>
            <w:tcBorders>
              <w:top w:val="single" w:sz="4" w:space="0" w:color="auto"/>
              <w:left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6F66BCF5" w14:textId="77777777" w:rsidR="00132DC3" w:rsidRPr="0064331C" w:rsidRDefault="00132DC3" w:rsidP="005D385E">
            <w:pPr>
              <w:jc w:val="center"/>
              <w:rPr>
                <w:b/>
                <w:bCs/>
                <w:sz w:val="20"/>
                <w:szCs w:val="20"/>
                <w:lang w:eastAsia="fr-FR"/>
              </w:rPr>
            </w:pPr>
          </w:p>
        </w:tc>
        <w:tc>
          <w:tcPr>
            <w:tcW w:w="79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36C0155" w14:textId="7E4A9772" w:rsidR="00132DC3" w:rsidRPr="0064331C" w:rsidRDefault="00132DC3" w:rsidP="00132DC3">
            <w:pPr>
              <w:jc w:val="center"/>
              <w:rPr>
                <w:b/>
                <w:bCs/>
                <w:sz w:val="20"/>
                <w:szCs w:val="20"/>
                <w:lang w:eastAsia="fr-FR"/>
              </w:rPr>
            </w:pPr>
            <w:r w:rsidRPr="0064331C">
              <w:rPr>
                <w:b/>
                <w:bCs/>
                <w:sz w:val="20"/>
                <w:szCs w:val="20"/>
                <w:lang w:eastAsia="fr-FR"/>
              </w:rPr>
              <w:t>35</w:t>
            </w:r>
          </w:p>
        </w:tc>
        <w:tc>
          <w:tcPr>
            <w:tcW w:w="79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17BFD4E" w14:textId="6C6A09CB" w:rsidR="00132DC3" w:rsidRPr="0064331C" w:rsidRDefault="00132DC3" w:rsidP="00132DC3">
            <w:pPr>
              <w:jc w:val="center"/>
              <w:rPr>
                <w:b/>
                <w:bCs/>
                <w:sz w:val="20"/>
                <w:szCs w:val="20"/>
                <w:lang w:eastAsia="fr-FR"/>
              </w:rPr>
            </w:pPr>
            <w:r w:rsidRPr="0064331C">
              <w:rPr>
                <w:b/>
                <w:bCs/>
                <w:sz w:val="20"/>
                <w:szCs w:val="20"/>
                <w:lang w:eastAsia="fr-FR"/>
              </w:rPr>
              <w:t>38,5</w:t>
            </w:r>
          </w:p>
        </w:tc>
        <w:tc>
          <w:tcPr>
            <w:tcW w:w="806"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CB19AF6" w14:textId="1BF31C0E" w:rsidR="00132DC3" w:rsidRPr="0064331C" w:rsidRDefault="00132DC3" w:rsidP="00132DC3">
            <w:pPr>
              <w:jc w:val="center"/>
              <w:rPr>
                <w:b/>
                <w:bCs/>
                <w:sz w:val="20"/>
                <w:szCs w:val="20"/>
                <w:lang w:eastAsia="fr-FR"/>
              </w:rPr>
            </w:pPr>
            <w:r w:rsidRPr="0064331C">
              <w:rPr>
                <w:b/>
                <w:bCs/>
                <w:sz w:val="20"/>
                <w:szCs w:val="20"/>
                <w:lang w:eastAsia="fr-FR"/>
              </w:rPr>
              <w:t>60</w:t>
            </w:r>
          </w:p>
        </w:tc>
        <w:tc>
          <w:tcPr>
            <w:tcW w:w="798"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0492B280" w14:textId="14134B6E" w:rsidR="00132DC3" w:rsidRPr="0064331C" w:rsidRDefault="00132DC3" w:rsidP="00132DC3">
            <w:pPr>
              <w:jc w:val="center"/>
              <w:rPr>
                <w:b/>
                <w:bCs/>
                <w:sz w:val="20"/>
                <w:szCs w:val="20"/>
                <w:lang w:eastAsia="fr-FR"/>
              </w:rPr>
            </w:pPr>
            <w:r w:rsidRPr="0064331C">
              <w:rPr>
                <w:b/>
                <w:bCs/>
                <w:sz w:val="20"/>
                <w:szCs w:val="20"/>
                <w:lang w:eastAsia="fr-FR"/>
              </w:rPr>
              <w:t>85</w:t>
            </w:r>
          </w:p>
        </w:tc>
        <w:tc>
          <w:tcPr>
            <w:tcW w:w="798" w:type="dxa"/>
            <w:gridSpan w:val="2"/>
            <w:vMerge w:val="restart"/>
            <w:tcBorders>
              <w:top w:val="single" w:sz="4" w:space="0" w:color="auto"/>
              <w:left w:val="single" w:sz="4" w:space="0" w:color="auto"/>
              <w:right w:val="single" w:sz="4" w:space="0" w:color="auto"/>
            </w:tcBorders>
            <w:shd w:val="clear" w:color="auto" w:fill="E2EFD9" w:themeFill="accent6" w:themeFillTint="33"/>
            <w:vAlign w:val="center"/>
          </w:tcPr>
          <w:p w14:paraId="0AD697E5" w14:textId="2FCD7AE7" w:rsidR="00132DC3" w:rsidRPr="0064331C" w:rsidRDefault="00132DC3" w:rsidP="00132DC3">
            <w:pPr>
              <w:jc w:val="center"/>
              <w:rPr>
                <w:b/>
                <w:bCs/>
                <w:sz w:val="20"/>
                <w:szCs w:val="20"/>
                <w:lang w:eastAsia="fr-FR"/>
              </w:rPr>
            </w:pPr>
            <w:r w:rsidRPr="0064331C">
              <w:rPr>
                <w:b/>
                <w:bCs/>
                <w:sz w:val="20"/>
                <w:szCs w:val="20"/>
                <w:lang w:eastAsia="fr-FR"/>
              </w:rPr>
              <w:t>85</w:t>
            </w:r>
          </w:p>
        </w:tc>
        <w:tc>
          <w:tcPr>
            <w:tcW w:w="806" w:type="dxa"/>
            <w:vMerge w:val="restart"/>
            <w:tcBorders>
              <w:top w:val="single" w:sz="4" w:space="0" w:color="auto"/>
              <w:left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658DD2ED" w14:textId="77777777" w:rsidR="00132DC3" w:rsidRPr="0064331C" w:rsidRDefault="00132DC3" w:rsidP="005D385E">
            <w:pPr>
              <w:jc w:val="center"/>
              <w:rPr>
                <w:b/>
                <w:bCs/>
                <w:sz w:val="20"/>
                <w:szCs w:val="20"/>
                <w:lang w:eastAsia="fr-FR"/>
              </w:rPr>
            </w:pPr>
          </w:p>
        </w:tc>
        <w:tc>
          <w:tcPr>
            <w:tcW w:w="79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CE1CAC8" w14:textId="63C75E27" w:rsidR="00132DC3" w:rsidRPr="0064331C" w:rsidRDefault="00132DC3" w:rsidP="00132DC3">
            <w:pPr>
              <w:jc w:val="center"/>
              <w:rPr>
                <w:b/>
                <w:bCs/>
                <w:sz w:val="20"/>
                <w:szCs w:val="20"/>
                <w:lang w:eastAsia="fr-FR"/>
              </w:rPr>
            </w:pPr>
            <w:r w:rsidRPr="0064331C">
              <w:rPr>
                <w:b/>
                <w:bCs/>
                <w:sz w:val="20"/>
                <w:szCs w:val="20"/>
                <w:lang w:eastAsia="fr-FR"/>
              </w:rPr>
              <w:t>5</w:t>
            </w:r>
          </w:p>
        </w:tc>
        <w:tc>
          <w:tcPr>
            <w:tcW w:w="79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D2D17B9" w14:textId="7A11B409" w:rsidR="00132DC3" w:rsidRPr="0064331C" w:rsidRDefault="00132DC3" w:rsidP="00132DC3">
            <w:pPr>
              <w:jc w:val="center"/>
              <w:rPr>
                <w:b/>
                <w:bCs/>
                <w:sz w:val="20"/>
                <w:szCs w:val="20"/>
                <w:lang w:eastAsia="fr-FR"/>
              </w:rPr>
            </w:pPr>
            <w:r w:rsidRPr="0064331C">
              <w:rPr>
                <w:b/>
                <w:bCs/>
                <w:sz w:val="20"/>
                <w:szCs w:val="20"/>
                <w:lang w:eastAsia="fr-FR"/>
              </w:rPr>
              <w:t>5,5</w:t>
            </w:r>
          </w:p>
        </w:tc>
      </w:tr>
      <w:tr w:rsidR="00132DC3" w:rsidRPr="0064331C" w14:paraId="4E7C9EE6" w14:textId="77777777" w:rsidTr="00AE57B5">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6B194" w14:textId="77777777" w:rsidR="00132DC3" w:rsidRPr="0064331C" w:rsidRDefault="00132DC3"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6F472C37" w14:textId="77777777" w:rsidR="00132DC3" w:rsidRPr="0064331C" w:rsidRDefault="00132DC3" w:rsidP="005D385E">
            <w:pPr>
              <w:jc w:val="center"/>
              <w:rPr>
                <w:b/>
                <w:bCs/>
                <w:sz w:val="20"/>
                <w:szCs w:val="20"/>
                <w:lang w:eastAsia="fr-FR"/>
              </w:rPr>
            </w:pPr>
            <w:r w:rsidRPr="0064331C">
              <w:rPr>
                <w:b/>
                <w:bCs/>
                <w:sz w:val="20"/>
                <w:szCs w:val="20"/>
                <w:lang w:eastAsia="fr-FR"/>
              </w:rPr>
              <w:t>100 ≤ P &lt; 300</w:t>
            </w:r>
          </w:p>
        </w:tc>
        <w:tc>
          <w:tcPr>
            <w:tcW w:w="806" w:type="dxa"/>
            <w:vMerge/>
            <w:tcBorders>
              <w:left w:val="single" w:sz="4" w:space="0" w:color="auto"/>
              <w:right w:val="single" w:sz="4" w:space="0" w:color="auto"/>
            </w:tcBorders>
            <w:shd w:val="clear" w:color="auto" w:fill="BFBFBF" w:themeFill="background1" w:themeFillShade="BF"/>
            <w:vAlign w:val="center"/>
          </w:tcPr>
          <w:p w14:paraId="187835B1" w14:textId="77777777" w:rsidR="00132DC3" w:rsidRPr="0064331C" w:rsidRDefault="00132DC3" w:rsidP="005D385E">
            <w:pPr>
              <w:jc w:val="center"/>
              <w:rPr>
                <w:b/>
                <w:bCs/>
                <w:sz w:val="20"/>
                <w:szCs w:val="20"/>
                <w:lang w:eastAsia="fr-FR"/>
              </w:rPr>
            </w:pPr>
          </w:p>
        </w:tc>
        <w:tc>
          <w:tcPr>
            <w:tcW w:w="798" w:type="dxa"/>
            <w:vMerge/>
            <w:tcBorders>
              <w:left w:val="single" w:sz="4" w:space="0" w:color="auto"/>
              <w:right w:val="single" w:sz="4" w:space="0" w:color="auto"/>
            </w:tcBorders>
            <w:shd w:val="clear" w:color="auto" w:fill="BFBFBF" w:themeFill="background1" w:themeFillShade="BF"/>
            <w:vAlign w:val="center"/>
          </w:tcPr>
          <w:p w14:paraId="56B07694" w14:textId="7764B207" w:rsidR="00132DC3" w:rsidRPr="0064331C" w:rsidRDefault="00132DC3" w:rsidP="005D385E">
            <w:pPr>
              <w:jc w:val="center"/>
              <w:rPr>
                <w:b/>
                <w:bCs/>
                <w:sz w:val="20"/>
                <w:szCs w:val="20"/>
                <w:lang w:eastAsia="fr-FR"/>
              </w:rPr>
            </w:pPr>
          </w:p>
        </w:tc>
        <w:tc>
          <w:tcPr>
            <w:tcW w:w="798" w:type="dxa"/>
            <w:vMerge/>
            <w:tcBorders>
              <w:left w:val="single" w:sz="4" w:space="0" w:color="auto"/>
              <w:right w:val="single" w:sz="4" w:space="0" w:color="auto"/>
            </w:tcBorders>
            <w:shd w:val="clear" w:color="auto" w:fill="BFBFBF" w:themeFill="background1" w:themeFillShade="BF"/>
            <w:vAlign w:val="center"/>
          </w:tcPr>
          <w:p w14:paraId="4AC1FD35" w14:textId="2BFD0F82" w:rsidR="00132DC3" w:rsidRPr="0064331C" w:rsidRDefault="00132DC3" w:rsidP="005D385E">
            <w:pPr>
              <w:jc w:val="center"/>
              <w:rPr>
                <w:b/>
                <w:bCs/>
                <w:sz w:val="20"/>
                <w:szCs w:val="20"/>
                <w:lang w:eastAsia="fr-FR"/>
              </w:rPr>
            </w:pPr>
          </w:p>
        </w:tc>
        <w:tc>
          <w:tcPr>
            <w:tcW w:w="806" w:type="dxa"/>
            <w:vMerge/>
            <w:tcBorders>
              <w:left w:val="single" w:sz="4" w:space="0" w:color="auto"/>
              <w:right w:val="single" w:sz="4" w:space="0" w:color="auto"/>
            </w:tcBorders>
            <w:shd w:val="clear" w:color="auto" w:fill="E2EFD9" w:themeFill="accent6" w:themeFillTint="33"/>
            <w:vAlign w:val="center"/>
          </w:tcPr>
          <w:p w14:paraId="0F1BB43F" w14:textId="5930BCB8" w:rsidR="00132DC3" w:rsidRPr="0064331C" w:rsidRDefault="00132DC3" w:rsidP="005D385E">
            <w:pPr>
              <w:jc w:val="center"/>
              <w:rPr>
                <w:b/>
                <w:bCs/>
                <w:sz w:val="20"/>
                <w:szCs w:val="20"/>
                <w:lang w:eastAsia="fr-FR"/>
              </w:rPr>
            </w:pPr>
          </w:p>
        </w:tc>
        <w:tc>
          <w:tcPr>
            <w:tcW w:w="798" w:type="dxa"/>
            <w:vMerge/>
            <w:tcBorders>
              <w:left w:val="single" w:sz="4" w:space="0" w:color="auto"/>
              <w:right w:val="single" w:sz="4" w:space="0" w:color="auto"/>
            </w:tcBorders>
            <w:shd w:val="clear" w:color="auto" w:fill="E2EFD9" w:themeFill="accent6" w:themeFillTint="33"/>
            <w:vAlign w:val="center"/>
          </w:tcPr>
          <w:p w14:paraId="34DE8E22" w14:textId="6160A933" w:rsidR="00132DC3" w:rsidRPr="0064331C" w:rsidRDefault="00132DC3" w:rsidP="005D385E">
            <w:pPr>
              <w:jc w:val="center"/>
              <w:rPr>
                <w:b/>
                <w:bCs/>
                <w:sz w:val="20"/>
                <w:szCs w:val="20"/>
                <w:lang w:eastAsia="fr-FR"/>
              </w:rPr>
            </w:pPr>
          </w:p>
        </w:tc>
        <w:tc>
          <w:tcPr>
            <w:tcW w:w="798" w:type="dxa"/>
            <w:gridSpan w:val="2"/>
            <w:vMerge/>
            <w:tcBorders>
              <w:left w:val="single" w:sz="4" w:space="0" w:color="auto"/>
              <w:right w:val="single" w:sz="4" w:space="0" w:color="auto"/>
            </w:tcBorders>
            <w:shd w:val="clear" w:color="auto" w:fill="E2EFD9" w:themeFill="accent6" w:themeFillTint="33"/>
            <w:vAlign w:val="center"/>
          </w:tcPr>
          <w:p w14:paraId="58FF7F7F" w14:textId="7FB83754" w:rsidR="00132DC3" w:rsidRPr="0064331C" w:rsidRDefault="00132DC3" w:rsidP="005D385E">
            <w:pPr>
              <w:jc w:val="center"/>
              <w:rPr>
                <w:b/>
                <w:bCs/>
                <w:sz w:val="20"/>
                <w:szCs w:val="20"/>
                <w:lang w:eastAsia="fr-FR"/>
              </w:rPr>
            </w:pPr>
          </w:p>
        </w:tc>
        <w:tc>
          <w:tcPr>
            <w:tcW w:w="806" w:type="dxa"/>
            <w:vMerge/>
            <w:tcBorders>
              <w:left w:val="single" w:sz="4" w:space="0" w:color="auto"/>
              <w:right w:val="single" w:sz="4" w:space="0" w:color="auto"/>
            </w:tcBorders>
            <w:shd w:val="clear" w:color="auto" w:fill="BFBFBF" w:themeFill="background1" w:themeFillShade="BF"/>
            <w:vAlign w:val="center"/>
          </w:tcPr>
          <w:p w14:paraId="5CCB2079" w14:textId="77777777" w:rsidR="00132DC3" w:rsidRPr="0064331C" w:rsidRDefault="00132DC3" w:rsidP="005D385E">
            <w:pPr>
              <w:jc w:val="center"/>
              <w:rPr>
                <w:b/>
                <w:bCs/>
                <w:sz w:val="20"/>
                <w:szCs w:val="20"/>
                <w:lang w:eastAsia="fr-FR"/>
              </w:rPr>
            </w:pPr>
          </w:p>
        </w:tc>
        <w:tc>
          <w:tcPr>
            <w:tcW w:w="798" w:type="dxa"/>
            <w:vMerge/>
            <w:tcBorders>
              <w:left w:val="single" w:sz="4" w:space="0" w:color="auto"/>
              <w:right w:val="single" w:sz="4" w:space="0" w:color="auto"/>
            </w:tcBorders>
            <w:shd w:val="clear" w:color="auto" w:fill="BFBFBF" w:themeFill="background1" w:themeFillShade="BF"/>
            <w:vAlign w:val="center"/>
          </w:tcPr>
          <w:p w14:paraId="77A9AD07" w14:textId="18BEBDFD" w:rsidR="00132DC3" w:rsidRPr="0064331C" w:rsidRDefault="00132DC3" w:rsidP="005D385E">
            <w:pPr>
              <w:jc w:val="center"/>
              <w:rPr>
                <w:b/>
                <w:bCs/>
                <w:sz w:val="20"/>
                <w:szCs w:val="20"/>
                <w:lang w:eastAsia="fr-FR"/>
              </w:rPr>
            </w:pPr>
          </w:p>
        </w:tc>
        <w:tc>
          <w:tcPr>
            <w:tcW w:w="790" w:type="dxa"/>
            <w:vMerge/>
            <w:tcBorders>
              <w:left w:val="single" w:sz="4" w:space="0" w:color="auto"/>
              <w:right w:val="single" w:sz="4" w:space="0" w:color="auto"/>
            </w:tcBorders>
            <w:shd w:val="clear" w:color="auto" w:fill="BFBFBF" w:themeFill="background1" w:themeFillShade="BF"/>
            <w:vAlign w:val="center"/>
          </w:tcPr>
          <w:p w14:paraId="435FD509" w14:textId="18EBF569" w:rsidR="00132DC3" w:rsidRPr="0064331C" w:rsidRDefault="00132DC3" w:rsidP="005D385E">
            <w:pPr>
              <w:jc w:val="center"/>
              <w:rPr>
                <w:b/>
                <w:bCs/>
                <w:sz w:val="20"/>
                <w:szCs w:val="20"/>
                <w:lang w:eastAsia="fr-FR"/>
              </w:rPr>
            </w:pPr>
          </w:p>
        </w:tc>
      </w:tr>
      <w:tr w:rsidR="00132DC3" w:rsidRPr="0064331C" w14:paraId="162B86E3" w14:textId="77777777" w:rsidTr="00AE57B5">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E8B539" w14:textId="77777777" w:rsidR="00132DC3" w:rsidRPr="0064331C" w:rsidRDefault="00132DC3"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037D131E" w14:textId="77777777" w:rsidR="00132DC3" w:rsidRPr="0064331C" w:rsidRDefault="00132DC3" w:rsidP="005D385E">
            <w:pPr>
              <w:jc w:val="center"/>
              <w:rPr>
                <w:b/>
                <w:bCs/>
                <w:sz w:val="20"/>
                <w:szCs w:val="20"/>
                <w:lang w:eastAsia="fr-FR"/>
              </w:rPr>
            </w:pPr>
            <w:r w:rsidRPr="0064331C">
              <w:rPr>
                <w:b/>
                <w:bCs/>
                <w:sz w:val="20"/>
                <w:szCs w:val="20"/>
                <w:lang w:eastAsia="fr-FR"/>
              </w:rPr>
              <w:t>300 ≤ P</w:t>
            </w:r>
          </w:p>
        </w:tc>
        <w:tc>
          <w:tcPr>
            <w:tcW w:w="80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531D58" w14:textId="77777777" w:rsidR="00132DC3" w:rsidRPr="0064331C" w:rsidRDefault="00132DC3" w:rsidP="005D385E">
            <w:pPr>
              <w:jc w:val="center"/>
              <w:rPr>
                <w:b/>
                <w:bCs/>
                <w:sz w:val="20"/>
                <w:szCs w:val="20"/>
                <w:lang w:eastAsia="fr-FR"/>
              </w:rPr>
            </w:pPr>
          </w:p>
        </w:tc>
        <w:tc>
          <w:tcPr>
            <w:tcW w:w="79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F99A2B1" w14:textId="399366FD" w:rsidR="00132DC3" w:rsidRPr="0064331C" w:rsidRDefault="00132DC3" w:rsidP="005D385E">
            <w:pPr>
              <w:jc w:val="center"/>
              <w:rPr>
                <w:b/>
                <w:bCs/>
                <w:sz w:val="20"/>
                <w:szCs w:val="20"/>
                <w:lang w:eastAsia="fr-FR"/>
              </w:rPr>
            </w:pPr>
          </w:p>
        </w:tc>
        <w:tc>
          <w:tcPr>
            <w:tcW w:w="79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4034588" w14:textId="0F8DF41F" w:rsidR="00132DC3" w:rsidRPr="0064331C" w:rsidRDefault="00132DC3" w:rsidP="005D385E">
            <w:pPr>
              <w:jc w:val="center"/>
              <w:rPr>
                <w:b/>
                <w:bCs/>
                <w:sz w:val="20"/>
                <w:szCs w:val="20"/>
                <w:lang w:eastAsia="fr-FR"/>
              </w:rPr>
            </w:pPr>
          </w:p>
        </w:tc>
        <w:tc>
          <w:tcPr>
            <w:tcW w:w="806" w:type="dxa"/>
            <w:vMerge/>
            <w:tcBorders>
              <w:left w:val="single" w:sz="4" w:space="0" w:color="auto"/>
              <w:bottom w:val="single" w:sz="4" w:space="0" w:color="auto"/>
              <w:right w:val="single" w:sz="4" w:space="0" w:color="auto"/>
            </w:tcBorders>
            <w:shd w:val="clear" w:color="auto" w:fill="E2EFD9" w:themeFill="accent6" w:themeFillTint="33"/>
            <w:vAlign w:val="center"/>
          </w:tcPr>
          <w:p w14:paraId="0C8F3519" w14:textId="41D6120A" w:rsidR="00132DC3" w:rsidRPr="0064331C" w:rsidRDefault="00132DC3" w:rsidP="005D385E">
            <w:pPr>
              <w:jc w:val="center"/>
              <w:rPr>
                <w:b/>
                <w:bCs/>
                <w:sz w:val="20"/>
                <w:szCs w:val="20"/>
                <w:lang w:eastAsia="fr-FR"/>
              </w:rPr>
            </w:pPr>
          </w:p>
        </w:tc>
        <w:tc>
          <w:tcPr>
            <w:tcW w:w="798" w:type="dxa"/>
            <w:vMerge/>
            <w:tcBorders>
              <w:left w:val="single" w:sz="4" w:space="0" w:color="auto"/>
              <w:bottom w:val="single" w:sz="4" w:space="0" w:color="auto"/>
              <w:right w:val="single" w:sz="4" w:space="0" w:color="auto"/>
            </w:tcBorders>
            <w:shd w:val="clear" w:color="auto" w:fill="E2EFD9" w:themeFill="accent6" w:themeFillTint="33"/>
            <w:vAlign w:val="center"/>
          </w:tcPr>
          <w:p w14:paraId="6CF4A685" w14:textId="542D7862" w:rsidR="00132DC3" w:rsidRPr="0064331C" w:rsidRDefault="00132DC3" w:rsidP="005D385E">
            <w:pPr>
              <w:jc w:val="center"/>
              <w:rPr>
                <w:b/>
                <w:bCs/>
                <w:sz w:val="20"/>
                <w:szCs w:val="20"/>
                <w:lang w:eastAsia="fr-FR"/>
              </w:rPr>
            </w:pPr>
          </w:p>
        </w:tc>
        <w:tc>
          <w:tcPr>
            <w:tcW w:w="798" w:type="dxa"/>
            <w:gridSpan w:val="2"/>
            <w:vMerge/>
            <w:tcBorders>
              <w:left w:val="single" w:sz="4" w:space="0" w:color="auto"/>
              <w:bottom w:val="single" w:sz="4" w:space="0" w:color="auto"/>
              <w:right w:val="single" w:sz="4" w:space="0" w:color="auto"/>
            </w:tcBorders>
            <w:shd w:val="clear" w:color="auto" w:fill="E2EFD9" w:themeFill="accent6" w:themeFillTint="33"/>
            <w:vAlign w:val="center"/>
          </w:tcPr>
          <w:p w14:paraId="00A51D21" w14:textId="2E9D92F5" w:rsidR="00132DC3" w:rsidRPr="0064331C" w:rsidRDefault="00132DC3" w:rsidP="005D385E">
            <w:pPr>
              <w:jc w:val="center"/>
              <w:rPr>
                <w:b/>
                <w:bCs/>
                <w:sz w:val="20"/>
                <w:szCs w:val="20"/>
                <w:lang w:eastAsia="fr-FR"/>
              </w:rPr>
            </w:pPr>
          </w:p>
        </w:tc>
        <w:tc>
          <w:tcPr>
            <w:tcW w:w="80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95B222D" w14:textId="77777777" w:rsidR="00132DC3" w:rsidRPr="0064331C" w:rsidRDefault="00132DC3" w:rsidP="005D385E">
            <w:pPr>
              <w:jc w:val="center"/>
              <w:rPr>
                <w:b/>
                <w:bCs/>
                <w:sz w:val="20"/>
                <w:szCs w:val="20"/>
                <w:lang w:eastAsia="fr-FR"/>
              </w:rPr>
            </w:pPr>
          </w:p>
        </w:tc>
        <w:tc>
          <w:tcPr>
            <w:tcW w:w="79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83AF21E" w14:textId="6F5E253E" w:rsidR="00132DC3" w:rsidRPr="0064331C" w:rsidRDefault="00132DC3" w:rsidP="005D385E">
            <w:pPr>
              <w:jc w:val="center"/>
              <w:rPr>
                <w:b/>
                <w:bCs/>
                <w:sz w:val="20"/>
                <w:szCs w:val="20"/>
                <w:lang w:eastAsia="fr-FR"/>
              </w:rPr>
            </w:pPr>
          </w:p>
        </w:tc>
        <w:tc>
          <w:tcPr>
            <w:tcW w:w="79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86718B4" w14:textId="269FE82E" w:rsidR="00132DC3" w:rsidRPr="0064331C" w:rsidRDefault="00132DC3" w:rsidP="005D385E">
            <w:pPr>
              <w:jc w:val="center"/>
              <w:rPr>
                <w:b/>
                <w:bCs/>
                <w:sz w:val="20"/>
                <w:szCs w:val="20"/>
                <w:lang w:eastAsia="fr-FR"/>
              </w:rPr>
            </w:pPr>
          </w:p>
        </w:tc>
      </w:tr>
      <w:tr w:rsidR="0064331C" w:rsidRPr="0064331C" w14:paraId="015767B6"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val="restart"/>
            <w:shd w:val="clear" w:color="auto" w:fill="FFFFFF" w:themeFill="background1"/>
            <w:vAlign w:val="center"/>
          </w:tcPr>
          <w:p w14:paraId="1EE26F9C" w14:textId="77777777" w:rsidR="0064331C" w:rsidRPr="0064331C" w:rsidRDefault="0064331C" w:rsidP="005D385E">
            <w:pPr>
              <w:jc w:val="center"/>
              <w:rPr>
                <w:b/>
                <w:bCs/>
                <w:sz w:val="20"/>
                <w:szCs w:val="20"/>
                <w:lang w:eastAsia="fr-FR"/>
              </w:rPr>
            </w:pPr>
            <w:r w:rsidRPr="0064331C">
              <w:rPr>
                <w:b/>
                <w:bCs/>
                <w:sz w:val="20"/>
                <w:szCs w:val="20"/>
                <w:lang w:eastAsia="fr-FR"/>
              </w:rPr>
              <w:t>Gaz de haut fourneau</w:t>
            </w:r>
          </w:p>
        </w:tc>
        <w:tc>
          <w:tcPr>
            <w:tcW w:w="1505" w:type="dxa"/>
            <w:shd w:val="clear" w:color="auto" w:fill="FFFFFF" w:themeFill="background1"/>
            <w:tcMar>
              <w:top w:w="150" w:type="dxa"/>
              <w:left w:w="150" w:type="dxa"/>
              <w:bottom w:w="150" w:type="dxa"/>
              <w:right w:w="150" w:type="dxa"/>
            </w:tcMar>
            <w:vAlign w:val="center"/>
          </w:tcPr>
          <w:p w14:paraId="6FE06F89"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vMerge w:val="restart"/>
            <w:shd w:val="clear" w:color="auto" w:fill="E2EFD9" w:themeFill="accent6" w:themeFillTint="33"/>
            <w:tcMar>
              <w:top w:w="150" w:type="dxa"/>
              <w:left w:w="150" w:type="dxa"/>
              <w:bottom w:w="150" w:type="dxa"/>
              <w:right w:w="150" w:type="dxa"/>
            </w:tcMar>
            <w:vAlign w:val="center"/>
          </w:tcPr>
          <w:p w14:paraId="1023DFFF"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8" w:type="dxa"/>
            <w:vMerge w:val="restart"/>
            <w:shd w:val="clear" w:color="auto" w:fill="B4C6E7" w:themeFill="accent5" w:themeFillTint="66"/>
            <w:vAlign w:val="center"/>
          </w:tcPr>
          <w:p w14:paraId="4B54EB9D"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8" w:type="dxa"/>
            <w:vMerge w:val="restart"/>
            <w:shd w:val="clear" w:color="auto" w:fill="E2EFD9" w:themeFill="accent6" w:themeFillTint="33"/>
            <w:vAlign w:val="center"/>
          </w:tcPr>
          <w:p w14:paraId="13DFC5CC"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6" w:type="dxa"/>
            <w:vMerge w:val="restart"/>
            <w:shd w:val="clear" w:color="auto" w:fill="E2EFD9" w:themeFill="accent6" w:themeFillTint="33"/>
            <w:tcMar>
              <w:top w:w="150" w:type="dxa"/>
              <w:left w:w="150" w:type="dxa"/>
              <w:bottom w:w="150" w:type="dxa"/>
              <w:right w:w="150" w:type="dxa"/>
            </w:tcMar>
            <w:vAlign w:val="center"/>
          </w:tcPr>
          <w:p w14:paraId="0AB3DBD5" w14:textId="77777777" w:rsidR="0064331C" w:rsidRPr="0064331C" w:rsidRDefault="0064331C" w:rsidP="005D385E">
            <w:pPr>
              <w:jc w:val="center"/>
              <w:rPr>
                <w:b/>
                <w:bCs/>
                <w:sz w:val="20"/>
                <w:szCs w:val="20"/>
                <w:lang w:eastAsia="fr-FR"/>
              </w:rPr>
            </w:pPr>
            <w:r w:rsidRPr="0064331C">
              <w:rPr>
                <w:b/>
                <w:bCs/>
                <w:sz w:val="20"/>
                <w:szCs w:val="20"/>
                <w:lang w:eastAsia="fr-FR"/>
              </w:rPr>
              <w:t>65</w:t>
            </w:r>
          </w:p>
        </w:tc>
        <w:tc>
          <w:tcPr>
            <w:tcW w:w="798" w:type="dxa"/>
            <w:vMerge w:val="restart"/>
            <w:shd w:val="clear" w:color="auto" w:fill="B4C6E7" w:themeFill="accent5" w:themeFillTint="66"/>
            <w:vAlign w:val="center"/>
          </w:tcPr>
          <w:p w14:paraId="3105411D"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gridSpan w:val="2"/>
            <w:vMerge w:val="restart"/>
            <w:shd w:val="clear" w:color="auto" w:fill="E2EFD9" w:themeFill="accent6" w:themeFillTint="33"/>
            <w:vAlign w:val="center"/>
          </w:tcPr>
          <w:p w14:paraId="319FBAFF"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06" w:type="dxa"/>
            <w:vMerge w:val="restart"/>
            <w:shd w:val="clear" w:color="auto" w:fill="E2EFD9" w:themeFill="accent6" w:themeFillTint="33"/>
            <w:tcMar>
              <w:top w:w="150" w:type="dxa"/>
              <w:left w:w="150" w:type="dxa"/>
              <w:bottom w:w="150" w:type="dxa"/>
              <w:right w:w="150" w:type="dxa"/>
            </w:tcMar>
            <w:vAlign w:val="center"/>
          </w:tcPr>
          <w:p w14:paraId="57D58AB9"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98" w:type="dxa"/>
            <w:vMerge w:val="restart"/>
            <w:shd w:val="clear" w:color="auto" w:fill="B4C6E7" w:themeFill="accent5" w:themeFillTint="66"/>
            <w:vAlign w:val="center"/>
          </w:tcPr>
          <w:p w14:paraId="3637BCFD"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0" w:type="dxa"/>
            <w:vMerge w:val="restart"/>
            <w:shd w:val="clear" w:color="auto" w:fill="E2EFD9" w:themeFill="accent6" w:themeFillTint="33"/>
            <w:vAlign w:val="center"/>
          </w:tcPr>
          <w:p w14:paraId="135A1153"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162B090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shd w:val="clear" w:color="auto" w:fill="FFFFFF" w:themeFill="background1"/>
            <w:vAlign w:val="center"/>
          </w:tcPr>
          <w:p w14:paraId="11325A55" w14:textId="77777777" w:rsidR="0064331C" w:rsidRPr="0064331C" w:rsidRDefault="0064331C" w:rsidP="005D385E">
            <w:pPr>
              <w:rPr>
                <w:b/>
                <w:bCs/>
                <w:sz w:val="20"/>
                <w:szCs w:val="20"/>
                <w:lang w:eastAsia="fr-FR"/>
              </w:rPr>
            </w:pPr>
          </w:p>
        </w:tc>
        <w:tc>
          <w:tcPr>
            <w:tcW w:w="1505" w:type="dxa"/>
            <w:shd w:val="clear" w:color="auto" w:fill="FFFFFF" w:themeFill="background1"/>
            <w:tcMar>
              <w:top w:w="150" w:type="dxa"/>
              <w:left w:w="150" w:type="dxa"/>
              <w:bottom w:w="150" w:type="dxa"/>
              <w:right w:w="150" w:type="dxa"/>
            </w:tcMar>
            <w:vAlign w:val="center"/>
          </w:tcPr>
          <w:p w14:paraId="53C01E9C"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vMerge/>
            <w:shd w:val="clear" w:color="auto" w:fill="E2EFD9" w:themeFill="accent6" w:themeFillTint="33"/>
            <w:tcMar>
              <w:top w:w="150" w:type="dxa"/>
              <w:left w:w="150" w:type="dxa"/>
              <w:bottom w:w="150" w:type="dxa"/>
              <w:right w:w="150" w:type="dxa"/>
            </w:tcMar>
            <w:vAlign w:val="center"/>
          </w:tcPr>
          <w:p w14:paraId="0C6320B4" w14:textId="77777777" w:rsidR="0064331C" w:rsidRPr="0064331C" w:rsidRDefault="0064331C" w:rsidP="005D385E">
            <w:pPr>
              <w:rPr>
                <w:b/>
                <w:bCs/>
                <w:sz w:val="20"/>
                <w:szCs w:val="20"/>
                <w:lang w:eastAsia="fr-FR"/>
              </w:rPr>
            </w:pPr>
          </w:p>
        </w:tc>
        <w:tc>
          <w:tcPr>
            <w:tcW w:w="798" w:type="dxa"/>
            <w:vMerge/>
            <w:shd w:val="clear" w:color="auto" w:fill="B4C6E7" w:themeFill="accent5" w:themeFillTint="66"/>
            <w:vAlign w:val="center"/>
          </w:tcPr>
          <w:p w14:paraId="51EA42E6" w14:textId="77777777" w:rsidR="0064331C" w:rsidRPr="0064331C" w:rsidRDefault="0064331C" w:rsidP="005D385E">
            <w:pPr>
              <w:jc w:val="center"/>
              <w:rPr>
                <w:b/>
                <w:bCs/>
                <w:sz w:val="20"/>
                <w:szCs w:val="20"/>
                <w:highlight w:val="yellow"/>
                <w:lang w:eastAsia="fr-FR"/>
              </w:rPr>
            </w:pPr>
          </w:p>
        </w:tc>
        <w:tc>
          <w:tcPr>
            <w:tcW w:w="798" w:type="dxa"/>
            <w:vMerge/>
            <w:shd w:val="clear" w:color="auto" w:fill="E2EFD9" w:themeFill="accent6" w:themeFillTint="33"/>
            <w:vAlign w:val="center"/>
          </w:tcPr>
          <w:p w14:paraId="23156386" w14:textId="77777777" w:rsidR="0064331C" w:rsidRPr="0064331C" w:rsidRDefault="0064331C" w:rsidP="005D385E">
            <w:pPr>
              <w:jc w:val="center"/>
              <w:rPr>
                <w:b/>
                <w:bCs/>
                <w:sz w:val="20"/>
                <w:szCs w:val="20"/>
                <w:highlight w:val="yellow"/>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0697C9B9" w14:textId="77777777" w:rsidR="0064331C" w:rsidRPr="0064331C" w:rsidRDefault="0064331C" w:rsidP="005D385E">
            <w:pPr>
              <w:jc w:val="center"/>
              <w:rPr>
                <w:b/>
                <w:bCs/>
                <w:sz w:val="20"/>
                <w:szCs w:val="20"/>
                <w:highlight w:val="yellow"/>
                <w:lang w:eastAsia="fr-FR"/>
              </w:rPr>
            </w:pPr>
          </w:p>
        </w:tc>
        <w:tc>
          <w:tcPr>
            <w:tcW w:w="798" w:type="dxa"/>
            <w:vMerge/>
            <w:shd w:val="clear" w:color="auto" w:fill="B4C6E7" w:themeFill="accent5" w:themeFillTint="66"/>
            <w:vAlign w:val="center"/>
          </w:tcPr>
          <w:p w14:paraId="082280F9" w14:textId="77777777" w:rsidR="0064331C" w:rsidRPr="0064331C" w:rsidRDefault="0064331C" w:rsidP="005D385E">
            <w:pPr>
              <w:jc w:val="center"/>
              <w:rPr>
                <w:b/>
                <w:bCs/>
                <w:sz w:val="20"/>
                <w:szCs w:val="20"/>
                <w:highlight w:val="yellow"/>
                <w:lang w:eastAsia="fr-FR"/>
              </w:rPr>
            </w:pPr>
          </w:p>
        </w:tc>
        <w:tc>
          <w:tcPr>
            <w:tcW w:w="798" w:type="dxa"/>
            <w:gridSpan w:val="2"/>
            <w:vMerge/>
            <w:shd w:val="clear" w:color="auto" w:fill="E2EFD9" w:themeFill="accent6" w:themeFillTint="33"/>
            <w:vAlign w:val="center"/>
          </w:tcPr>
          <w:p w14:paraId="2EBA7DDD" w14:textId="77777777" w:rsidR="0064331C" w:rsidRPr="0064331C" w:rsidRDefault="0064331C" w:rsidP="005D385E">
            <w:pPr>
              <w:jc w:val="center"/>
              <w:rPr>
                <w:b/>
                <w:bCs/>
                <w:sz w:val="20"/>
                <w:szCs w:val="20"/>
                <w:highlight w:val="yellow"/>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437B63F9"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6FB71561" w14:textId="77777777" w:rsidR="0064331C" w:rsidRPr="0064331C" w:rsidRDefault="0064331C" w:rsidP="005D385E">
            <w:pPr>
              <w:jc w:val="center"/>
              <w:rPr>
                <w:b/>
                <w:bCs/>
                <w:sz w:val="20"/>
                <w:szCs w:val="20"/>
                <w:lang w:eastAsia="fr-FR"/>
              </w:rPr>
            </w:pPr>
          </w:p>
        </w:tc>
        <w:tc>
          <w:tcPr>
            <w:tcW w:w="790" w:type="dxa"/>
            <w:vMerge/>
            <w:shd w:val="clear" w:color="auto" w:fill="E2EFD9" w:themeFill="accent6" w:themeFillTint="33"/>
            <w:vAlign w:val="center"/>
          </w:tcPr>
          <w:p w14:paraId="5DBC26D8" w14:textId="77777777" w:rsidR="0064331C" w:rsidRPr="0064331C" w:rsidRDefault="0064331C" w:rsidP="005D385E">
            <w:pPr>
              <w:jc w:val="center"/>
              <w:rPr>
                <w:b/>
                <w:bCs/>
                <w:sz w:val="20"/>
                <w:szCs w:val="20"/>
                <w:lang w:eastAsia="fr-FR"/>
              </w:rPr>
            </w:pPr>
          </w:p>
        </w:tc>
      </w:tr>
      <w:tr w:rsidR="0064331C" w:rsidRPr="0064331C" w14:paraId="29A1822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shd w:val="clear" w:color="auto" w:fill="FFFFFF" w:themeFill="background1"/>
            <w:vAlign w:val="center"/>
          </w:tcPr>
          <w:p w14:paraId="0C0551B8" w14:textId="77777777" w:rsidR="0064331C" w:rsidRPr="0064331C" w:rsidRDefault="0064331C" w:rsidP="005D385E">
            <w:pPr>
              <w:rPr>
                <w:b/>
                <w:bCs/>
                <w:sz w:val="20"/>
                <w:szCs w:val="20"/>
                <w:lang w:eastAsia="fr-FR"/>
              </w:rPr>
            </w:pPr>
          </w:p>
        </w:tc>
        <w:tc>
          <w:tcPr>
            <w:tcW w:w="1505" w:type="dxa"/>
            <w:shd w:val="clear" w:color="auto" w:fill="FFFFFF" w:themeFill="background1"/>
            <w:tcMar>
              <w:top w:w="150" w:type="dxa"/>
              <w:left w:w="150" w:type="dxa"/>
              <w:bottom w:w="150" w:type="dxa"/>
              <w:right w:w="150" w:type="dxa"/>
            </w:tcMar>
            <w:vAlign w:val="center"/>
          </w:tcPr>
          <w:p w14:paraId="431CB7F7"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vMerge/>
            <w:shd w:val="clear" w:color="auto" w:fill="E2EFD9" w:themeFill="accent6" w:themeFillTint="33"/>
            <w:tcMar>
              <w:top w:w="150" w:type="dxa"/>
              <w:left w:w="150" w:type="dxa"/>
              <w:bottom w:w="150" w:type="dxa"/>
              <w:right w:w="150" w:type="dxa"/>
            </w:tcMar>
            <w:vAlign w:val="center"/>
          </w:tcPr>
          <w:p w14:paraId="3FCA5A71"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50FC877A" w14:textId="77777777" w:rsidR="0064331C" w:rsidRPr="0064331C" w:rsidRDefault="0064331C" w:rsidP="005D385E">
            <w:pPr>
              <w:jc w:val="center"/>
              <w:rPr>
                <w:b/>
                <w:bCs/>
                <w:sz w:val="20"/>
                <w:szCs w:val="20"/>
                <w:highlight w:val="yellow"/>
                <w:lang w:eastAsia="fr-FR"/>
              </w:rPr>
            </w:pPr>
          </w:p>
        </w:tc>
        <w:tc>
          <w:tcPr>
            <w:tcW w:w="798" w:type="dxa"/>
            <w:vMerge/>
            <w:shd w:val="clear" w:color="auto" w:fill="E2EFD9" w:themeFill="accent6" w:themeFillTint="33"/>
            <w:vAlign w:val="center"/>
          </w:tcPr>
          <w:p w14:paraId="02E638C7" w14:textId="77777777" w:rsidR="0064331C" w:rsidRPr="0064331C" w:rsidRDefault="0064331C" w:rsidP="005D385E">
            <w:pPr>
              <w:jc w:val="center"/>
              <w:rPr>
                <w:b/>
                <w:bCs/>
                <w:sz w:val="20"/>
                <w:szCs w:val="20"/>
                <w:highlight w:val="yellow"/>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551CDB85" w14:textId="77777777" w:rsidR="0064331C" w:rsidRPr="0064331C" w:rsidRDefault="0064331C" w:rsidP="005D385E">
            <w:pPr>
              <w:jc w:val="center"/>
              <w:rPr>
                <w:b/>
                <w:bCs/>
                <w:sz w:val="20"/>
                <w:szCs w:val="20"/>
                <w:highlight w:val="yellow"/>
                <w:lang w:eastAsia="fr-FR"/>
              </w:rPr>
            </w:pPr>
          </w:p>
        </w:tc>
        <w:tc>
          <w:tcPr>
            <w:tcW w:w="798" w:type="dxa"/>
            <w:vMerge/>
            <w:shd w:val="clear" w:color="auto" w:fill="B4C6E7" w:themeFill="accent5" w:themeFillTint="66"/>
            <w:vAlign w:val="center"/>
          </w:tcPr>
          <w:p w14:paraId="4F1E641F" w14:textId="77777777" w:rsidR="0064331C" w:rsidRPr="0064331C" w:rsidRDefault="0064331C" w:rsidP="005D385E">
            <w:pPr>
              <w:jc w:val="center"/>
              <w:rPr>
                <w:b/>
                <w:bCs/>
                <w:sz w:val="20"/>
                <w:szCs w:val="20"/>
                <w:highlight w:val="yellow"/>
                <w:lang w:eastAsia="fr-FR"/>
              </w:rPr>
            </w:pPr>
          </w:p>
        </w:tc>
        <w:tc>
          <w:tcPr>
            <w:tcW w:w="798" w:type="dxa"/>
            <w:gridSpan w:val="2"/>
            <w:vMerge/>
            <w:shd w:val="clear" w:color="auto" w:fill="E2EFD9" w:themeFill="accent6" w:themeFillTint="33"/>
            <w:vAlign w:val="center"/>
          </w:tcPr>
          <w:p w14:paraId="5BF3CBD5" w14:textId="77777777" w:rsidR="0064331C" w:rsidRPr="0064331C" w:rsidRDefault="0064331C" w:rsidP="005D385E">
            <w:pPr>
              <w:jc w:val="center"/>
              <w:rPr>
                <w:b/>
                <w:bCs/>
                <w:sz w:val="20"/>
                <w:szCs w:val="20"/>
                <w:highlight w:val="yellow"/>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32DF8AAA"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44D75EE5" w14:textId="77777777" w:rsidR="0064331C" w:rsidRPr="0064331C" w:rsidRDefault="0064331C" w:rsidP="005D385E">
            <w:pPr>
              <w:jc w:val="center"/>
              <w:rPr>
                <w:b/>
                <w:bCs/>
                <w:sz w:val="20"/>
                <w:szCs w:val="20"/>
                <w:lang w:eastAsia="fr-FR"/>
              </w:rPr>
            </w:pPr>
          </w:p>
        </w:tc>
        <w:tc>
          <w:tcPr>
            <w:tcW w:w="790" w:type="dxa"/>
            <w:vMerge/>
            <w:shd w:val="clear" w:color="auto" w:fill="E2EFD9" w:themeFill="accent6" w:themeFillTint="33"/>
            <w:vAlign w:val="center"/>
          </w:tcPr>
          <w:p w14:paraId="15604771" w14:textId="77777777" w:rsidR="0064331C" w:rsidRPr="0064331C" w:rsidRDefault="0064331C" w:rsidP="005D385E">
            <w:pPr>
              <w:jc w:val="center"/>
              <w:rPr>
                <w:b/>
                <w:bCs/>
                <w:sz w:val="20"/>
                <w:szCs w:val="20"/>
                <w:lang w:eastAsia="fr-FR"/>
              </w:rPr>
            </w:pPr>
          </w:p>
        </w:tc>
      </w:tr>
      <w:tr w:rsidR="0064331C" w:rsidRPr="0064331C" w14:paraId="31E5C119"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val="restart"/>
            <w:shd w:val="clear" w:color="auto" w:fill="FFFFFF" w:themeFill="background1"/>
            <w:vAlign w:val="center"/>
          </w:tcPr>
          <w:p w14:paraId="340A2227" w14:textId="77777777" w:rsidR="0064331C" w:rsidRPr="0064331C" w:rsidRDefault="0064331C" w:rsidP="005D385E">
            <w:pPr>
              <w:jc w:val="center"/>
              <w:rPr>
                <w:b/>
                <w:bCs/>
                <w:sz w:val="20"/>
                <w:szCs w:val="20"/>
                <w:lang w:eastAsia="fr-FR"/>
              </w:rPr>
            </w:pPr>
            <w:r w:rsidRPr="0064331C">
              <w:rPr>
                <w:b/>
                <w:bCs/>
                <w:sz w:val="20"/>
                <w:szCs w:val="20"/>
                <w:lang w:eastAsia="fr-FR"/>
              </w:rPr>
              <w:t>Gaz de cokerie</w:t>
            </w:r>
          </w:p>
        </w:tc>
        <w:tc>
          <w:tcPr>
            <w:tcW w:w="1505" w:type="dxa"/>
            <w:shd w:val="clear" w:color="auto" w:fill="FFFFFF" w:themeFill="background1"/>
            <w:tcMar>
              <w:top w:w="150" w:type="dxa"/>
              <w:left w:w="150" w:type="dxa"/>
              <w:bottom w:w="150" w:type="dxa"/>
              <w:right w:w="150" w:type="dxa"/>
            </w:tcMar>
            <w:vAlign w:val="center"/>
          </w:tcPr>
          <w:p w14:paraId="03CCF6CE"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vMerge w:val="restart"/>
            <w:shd w:val="clear" w:color="auto" w:fill="E2EFD9" w:themeFill="accent6" w:themeFillTint="33"/>
            <w:tcMar>
              <w:top w:w="150" w:type="dxa"/>
              <w:left w:w="150" w:type="dxa"/>
              <w:bottom w:w="150" w:type="dxa"/>
              <w:right w:w="150" w:type="dxa"/>
            </w:tcMar>
            <w:vAlign w:val="center"/>
          </w:tcPr>
          <w:p w14:paraId="6924FEFF"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8" w:type="dxa"/>
            <w:vMerge w:val="restart"/>
            <w:shd w:val="clear" w:color="auto" w:fill="E2EFD9" w:themeFill="accent6" w:themeFillTint="33"/>
            <w:vAlign w:val="center"/>
          </w:tcPr>
          <w:p w14:paraId="4B576563"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72D95E41"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798" w:type="dxa"/>
            <w:vMerge w:val="restart"/>
            <w:shd w:val="clear" w:color="auto" w:fill="E2EFD9" w:themeFill="accent6" w:themeFillTint="33"/>
            <w:vAlign w:val="center"/>
          </w:tcPr>
          <w:p w14:paraId="1801D4E8"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19519456"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806" w:type="dxa"/>
            <w:vMerge w:val="restart"/>
            <w:shd w:val="clear" w:color="auto" w:fill="E2EFD9" w:themeFill="accent6" w:themeFillTint="33"/>
            <w:tcMar>
              <w:top w:w="150" w:type="dxa"/>
              <w:left w:w="150" w:type="dxa"/>
              <w:bottom w:w="150" w:type="dxa"/>
              <w:right w:w="150" w:type="dxa"/>
            </w:tcMar>
            <w:vAlign w:val="center"/>
          </w:tcPr>
          <w:p w14:paraId="69B468BA" w14:textId="77777777" w:rsidR="0064331C" w:rsidRPr="0064331C" w:rsidRDefault="0064331C" w:rsidP="005D385E">
            <w:pPr>
              <w:jc w:val="center"/>
              <w:rPr>
                <w:b/>
                <w:bCs/>
                <w:sz w:val="20"/>
                <w:szCs w:val="20"/>
                <w:lang w:eastAsia="fr-FR"/>
              </w:rPr>
            </w:pPr>
            <w:r w:rsidRPr="0064331C">
              <w:rPr>
                <w:b/>
                <w:bCs/>
                <w:sz w:val="20"/>
                <w:szCs w:val="20"/>
                <w:lang w:eastAsia="fr-FR"/>
              </w:rPr>
              <w:t>65</w:t>
            </w:r>
          </w:p>
        </w:tc>
        <w:tc>
          <w:tcPr>
            <w:tcW w:w="798" w:type="dxa"/>
            <w:vMerge w:val="restart"/>
            <w:shd w:val="clear" w:color="auto" w:fill="B4C6E7" w:themeFill="accent5" w:themeFillTint="66"/>
            <w:vAlign w:val="center"/>
          </w:tcPr>
          <w:p w14:paraId="49229E55"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gridSpan w:val="2"/>
            <w:vMerge w:val="restart"/>
            <w:shd w:val="clear" w:color="auto" w:fill="E2EFD9" w:themeFill="accent6" w:themeFillTint="33"/>
            <w:vAlign w:val="center"/>
          </w:tcPr>
          <w:p w14:paraId="5020F8E5"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06" w:type="dxa"/>
            <w:vMerge w:val="restart"/>
            <w:shd w:val="clear" w:color="auto" w:fill="E2EFD9" w:themeFill="accent6" w:themeFillTint="33"/>
            <w:tcMar>
              <w:top w:w="150" w:type="dxa"/>
              <w:left w:w="150" w:type="dxa"/>
              <w:bottom w:w="150" w:type="dxa"/>
              <w:right w:w="150" w:type="dxa"/>
            </w:tcMar>
            <w:vAlign w:val="center"/>
          </w:tcPr>
          <w:p w14:paraId="1BF9571D"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98" w:type="dxa"/>
            <w:vMerge w:val="restart"/>
            <w:shd w:val="clear" w:color="auto" w:fill="B4C6E7" w:themeFill="accent5" w:themeFillTint="66"/>
            <w:vAlign w:val="center"/>
          </w:tcPr>
          <w:p w14:paraId="478FB8EB"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0" w:type="dxa"/>
            <w:vMerge w:val="restart"/>
            <w:shd w:val="clear" w:color="auto" w:fill="E2EFD9" w:themeFill="accent6" w:themeFillTint="33"/>
            <w:vAlign w:val="center"/>
          </w:tcPr>
          <w:p w14:paraId="6FB5F0DA"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4F8A07F8"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shd w:val="clear" w:color="auto" w:fill="FFFFFF" w:themeFill="background1"/>
            <w:vAlign w:val="center"/>
          </w:tcPr>
          <w:p w14:paraId="562DB71E" w14:textId="77777777" w:rsidR="0064331C" w:rsidRPr="0064331C" w:rsidRDefault="0064331C" w:rsidP="005D385E">
            <w:pPr>
              <w:rPr>
                <w:b/>
                <w:bCs/>
                <w:sz w:val="20"/>
                <w:szCs w:val="20"/>
                <w:lang w:eastAsia="fr-FR"/>
              </w:rPr>
            </w:pPr>
          </w:p>
        </w:tc>
        <w:tc>
          <w:tcPr>
            <w:tcW w:w="1505" w:type="dxa"/>
            <w:shd w:val="clear" w:color="auto" w:fill="FFFFFF" w:themeFill="background1"/>
            <w:tcMar>
              <w:top w:w="150" w:type="dxa"/>
              <w:left w:w="150" w:type="dxa"/>
              <w:bottom w:w="150" w:type="dxa"/>
              <w:right w:w="150" w:type="dxa"/>
            </w:tcMar>
            <w:vAlign w:val="center"/>
          </w:tcPr>
          <w:p w14:paraId="32D6EE57"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vMerge/>
            <w:shd w:val="clear" w:color="auto" w:fill="E2EFD9" w:themeFill="accent6" w:themeFillTint="33"/>
            <w:tcMar>
              <w:top w:w="150" w:type="dxa"/>
              <w:left w:w="150" w:type="dxa"/>
              <w:bottom w:w="150" w:type="dxa"/>
              <w:right w:w="150" w:type="dxa"/>
            </w:tcMar>
            <w:vAlign w:val="center"/>
          </w:tcPr>
          <w:p w14:paraId="7A823D6B" w14:textId="77777777" w:rsidR="0064331C" w:rsidRPr="0064331C" w:rsidRDefault="0064331C" w:rsidP="005D385E">
            <w:pPr>
              <w:jc w:val="center"/>
              <w:rPr>
                <w:b/>
                <w:bCs/>
                <w:sz w:val="20"/>
                <w:szCs w:val="20"/>
                <w:lang w:eastAsia="fr-FR"/>
              </w:rPr>
            </w:pPr>
          </w:p>
        </w:tc>
        <w:tc>
          <w:tcPr>
            <w:tcW w:w="798" w:type="dxa"/>
            <w:vMerge/>
            <w:shd w:val="clear" w:color="auto" w:fill="E2EFD9" w:themeFill="accent6" w:themeFillTint="33"/>
            <w:vAlign w:val="center"/>
          </w:tcPr>
          <w:p w14:paraId="717B2C73" w14:textId="77777777" w:rsidR="0064331C" w:rsidRPr="0064331C" w:rsidRDefault="0064331C" w:rsidP="005D385E">
            <w:pPr>
              <w:jc w:val="center"/>
              <w:rPr>
                <w:b/>
                <w:bCs/>
                <w:sz w:val="20"/>
                <w:szCs w:val="20"/>
                <w:lang w:eastAsia="fr-FR"/>
              </w:rPr>
            </w:pPr>
          </w:p>
        </w:tc>
        <w:tc>
          <w:tcPr>
            <w:tcW w:w="798" w:type="dxa"/>
            <w:vMerge/>
            <w:shd w:val="clear" w:color="auto" w:fill="E2EFD9" w:themeFill="accent6" w:themeFillTint="33"/>
            <w:vAlign w:val="center"/>
          </w:tcPr>
          <w:p w14:paraId="1D653E47" w14:textId="77777777" w:rsidR="0064331C" w:rsidRPr="0064331C" w:rsidRDefault="0064331C" w:rsidP="005D385E">
            <w:pPr>
              <w:jc w:val="center"/>
              <w:rPr>
                <w:b/>
                <w:bCs/>
                <w:sz w:val="20"/>
                <w:szCs w:val="20"/>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5012DF11"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7F046EA2" w14:textId="77777777" w:rsidR="0064331C" w:rsidRPr="0064331C" w:rsidRDefault="0064331C" w:rsidP="005D385E">
            <w:pPr>
              <w:jc w:val="center"/>
              <w:rPr>
                <w:b/>
                <w:bCs/>
                <w:sz w:val="20"/>
                <w:szCs w:val="20"/>
                <w:lang w:eastAsia="fr-FR"/>
              </w:rPr>
            </w:pPr>
          </w:p>
        </w:tc>
        <w:tc>
          <w:tcPr>
            <w:tcW w:w="798" w:type="dxa"/>
            <w:gridSpan w:val="2"/>
            <w:vMerge/>
            <w:shd w:val="clear" w:color="auto" w:fill="E2EFD9" w:themeFill="accent6" w:themeFillTint="33"/>
            <w:vAlign w:val="center"/>
          </w:tcPr>
          <w:p w14:paraId="6815266C" w14:textId="77777777" w:rsidR="0064331C" w:rsidRPr="0064331C" w:rsidRDefault="0064331C" w:rsidP="005D385E">
            <w:pPr>
              <w:jc w:val="center"/>
              <w:rPr>
                <w:b/>
                <w:bCs/>
                <w:sz w:val="20"/>
                <w:szCs w:val="20"/>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0E6FFAE4"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78F8C7C1" w14:textId="77777777" w:rsidR="0064331C" w:rsidRPr="0064331C" w:rsidRDefault="0064331C" w:rsidP="005D385E">
            <w:pPr>
              <w:jc w:val="center"/>
              <w:rPr>
                <w:b/>
                <w:bCs/>
                <w:sz w:val="20"/>
                <w:szCs w:val="20"/>
                <w:lang w:eastAsia="fr-FR"/>
              </w:rPr>
            </w:pPr>
          </w:p>
        </w:tc>
        <w:tc>
          <w:tcPr>
            <w:tcW w:w="790" w:type="dxa"/>
            <w:vMerge/>
            <w:shd w:val="clear" w:color="auto" w:fill="E2EFD9" w:themeFill="accent6" w:themeFillTint="33"/>
            <w:vAlign w:val="center"/>
          </w:tcPr>
          <w:p w14:paraId="7B142987" w14:textId="77777777" w:rsidR="0064331C" w:rsidRPr="0064331C" w:rsidRDefault="0064331C" w:rsidP="005D385E">
            <w:pPr>
              <w:jc w:val="center"/>
              <w:rPr>
                <w:b/>
                <w:bCs/>
                <w:sz w:val="20"/>
                <w:szCs w:val="20"/>
                <w:lang w:eastAsia="fr-FR"/>
              </w:rPr>
            </w:pPr>
          </w:p>
        </w:tc>
      </w:tr>
      <w:tr w:rsidR="0064331C" w:rsidRPr="0064331C" w14:paraId="20AC9D7E"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tcBorders>
              <w:bottom w:val="single" w:sz="4" w:space="0" w:color="auto"/>
            </w:tcBorders>
            <w:shd w:val="clear" w:color="auto" w:fill="FFFFFF" w:themeFill="background1"/>
            <w:vAlign w:val="center"/>
          </w:tcPr>
          <w:p w14:paraId="7D608C88" w14:textId="77777777" w:rsidR="0064331C" w:rsidRPr="0064331C" w:rsidRDefault="0064331C" w:rsidP="005D385E">
            <w:pPr>
              <w:rPr>
                <w:b/>
                <w:bCs/>
                <w:sz w:val="20"/>
                <w:szCs w:val="20"/>
                <w:lang w:eastAsia="fr-FR"/>
              </w:rPr>
            </w:pPr>
          </w:p>
        </w:tc>
        <w:tc>
          <w:tcPr>
            <w:tcW w:w="1505" w:type="dxa"/>
            <w:tcBorders>
              <w:bottom w:val="single" w:sz="4" w:space="0" w:color="auto"/>
            </w:tcBorders>
            <w:shd w:val="clear" w:color="auto" w:fill="FFFFFF" w:themeFill="background1"/>
            <w:tcMar>
              <w:top w:w="150" w:type="dxa"/>
              <w:left w:w="150" w:type="dxa"/>
              <w:bottom w:w="150" w:type="dxa"/>
              <w:right w:w="150" w:type="dxa"/>
            </w:tcMar>
            <w:vAlign w:val="center"/>
          </w:tcPr>
          <w:p w14:paraId="7BFC3CA2"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16AEFD2D" w14:textId="77777777" w:rsidR="0064331C" w:rsidRPr="0064331C" w:rsidRDefault="0064331C" w:rsidP="005D385E">
            <w:pPr>
              <w:jc w:val="center"/>
              <w:rPr>
                <w:b/>
                <w:bCs/>
                <w:sz w:val="20"/>
                <w:szCs w:val="20"/>
                <w:lang w:eastAsia="fr-FR"/>
              </w:rPr>
            </w:pPr>
          </w:p>
        </w:tc>
        <w:tc>
          <w:tcPr>
            <w:tcW w:w="798" w:type="dxa"/>
            <w:vMerge/>
            <w:tcBorders>
              <w:bottom w:val="single" w:sz="4" w:space="0" w:color="auto"/>
            </w:tcBorders>
            <w:shd w:val="clear" w:color="auto" w:fill="E2EFD9" w:themeFill="accent6" w:themeFillTint="33"/>
            <w:vAlign w:val="center"/>
          </w:tcPr>
          <w:p w14:paraId="52337798" w14:textId="77777777" w:rsidR="0064331C" w:rsidRPr="0064331C" w:rsidRDefault="0064331C" w:rsidP="005D385E">
            <w:pPr>
              <w:jc w:val="center"/>
              <w:rPr>
                <w:b/>
                <w:bCs/>
                <w:sz w:val="20"/>
                <w:szCs w:val="20"/>
                <w:lang w:eastAsia="fr-FR"/>
              </w:rPr>
            </w:pPr>
          </w:p>
        </w:tc>
        <w:tc>
          <w:tcPr>
            <w:tcW w:w="798" w:type="dxa"/>
            <w:vMerge/>
            <w:tcBorders>
              <w:bottom w:val="single" w:sz="4" w:space="0" w:color="auto"/>
            </w:tcBorders>
            <w:shd w:val="clear" w:color="auto" w:fill="E2EFD9" w:themeFill="accent6" w:themeFillTint="33"/>
            <w:vAlign w:val="center"/>
          </w:tcPr>
          <w:p w14:paraId="1B7FF0AA" w14:textId="77777777" w:rsidR="0064331C" w:rsidRPr="0064331C" w:rsidRDefault="0064331C" w:rsidP="005D385E">
            <w:pPr>
              <w:jc w:val="center"/>
              <w:rPr>
                <w:b/>
                <w:bCs/>
                <w:sz w:val="20"/>
                <w:szCs w:val="20"/>
                <w:lang w:eastAsia="fr-FR"/>
              </w:rPr>
            </w:pPr>
          </w:p>
        </w:tc>
        <w:tc>
          <w:tcPr>
            <w:tcW w:w="806"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1640798F" w14:textId="77777777" w:rsidR="0064331C" w:rsidRPr="0064331C" w:rsidRDefault="0064331C" w:rsidP="005D385E">
            <w:pPr>
              <w:jc w:val="center"/>
              <w:rPr>
                <w:b/>
                <w:bCs/>
                <w:sz w:val="20"/>
                <w:szCs w:val="20"/>
                <w:lang w:eastAsia="fr-FR"/>
              </w:rPr>
            </w:pPr>
          </w:p>
        </w:tc>
        <w:tc>
          <w:tcPr>
            <w:tcW w:w="798" w:type="dxa"/>
            <w:vMerge/>
            <w:tcBorders>
              <w:bottom w:val="single" w:sz="4" w:space="0" w:color="auto"/>
            </w:tcBorders>
            <w:shd w:val="clear" w:color="auto" w:fill="B4C6E7" w:themeFill="accent5" w:themeFillTint="66"/>
            <w:vAlign w:val="center"/>
          </w:tcPr>
          <w:p w14:paraId="42842795" w14:textId="77777777" w:rsidR="0064331C" w:rsidRPr="0064331C" w:rsidRDefault="0064331C" w:rsidP="005D385E">
            <w:pPr>
              <w:jc w:val="center"/>
              <w:rPr>
                <w:b/>
                <w:bCs/>
                <w:sz w:val="20"/>
                <w:szCs w:val="20"/>
                <w:lang w:eastAsia="fr-FR"/>
              </w:rPr>
            </w:pPr>
          </w:p>
        </w:tc>
        <w:tc>
          <w:tcPr>
            <w:tcW w:w="798" w:type="dxa"/>
            <w:gridSpan w:val="2"/>
            <w:vMerge/>
            <w:tcBorders>
              <w:bottom w:val="single" w:sz="4" w:space="0" w:color="auto"/>
            </w:tcBorders>
            <w:shd w:val="clear" w:color="auto" w:fill="E2EFD9" w:themeFill="accent6" w:themeFillTint="33"/>
            <w:vAlign w:val="center"/>
          </w:tcPr>
          <w:p w14:paraId="62EF67A7" w14:textId="77777777" w:rsidR="0064331C" w:rsidRPr="0064331C" w:rsidRDefault="0064331C" w:rsidP="005D385E">
            <w:pPr>
              <w:jc w:val="center"/>
              <w:rPr>
                <w:b/>
                <w:bCs/>
                <w:sz w:val="20"/>
                <w:szCs w:val="20"/>
                <w:lang w:eastAsia="fr-FR"/>
              </w:rPr>
            </w:pPr>
          </w:p>
        </w:tc>
        <w:tc>
          <w:tcPr>
            <w:tcW w:w="806"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15685A6C" w14:textId="77777777" w:rsidR="0064331C" w:rsidRPr="0064331C" w:rsidRDefault="0064331C" w:rsidP="005D385E">
            <w:pPr>
              <w:jc w:val="center"/>
              <w:rPr>
                <w:b/>
                <w:bCs/>
                <w:sz w:val="20"/>
                <w:szCs w:val="20"/>
                <w:lang w:eastAsia="fr-FR"/>
              </w:rPr>
            </w:pPr>
          </w:p>
        </w:tc>
        <w:tc>
          <w:tcPr>
            <w:tcW w:w="798" w:type="dxa"/>
            <w:vMerge/>
            <w:tcBorders>
              <w:bottom w:val="single" w:sz="4" w:space="0" w:color="auto"/>
            </w:tcBorders>
            <w:shd w:val="clear" w:color="auto" w:fill="B4C6E7" w:themeFill="accent5" w:themeFillTint="66"/>
            <w:vAlign w:val="center"/>
          </w:tcPr>
          <w:p w14:paraId="5F619229" w14:textId="77777777" w:rsidR="0064331C" w:rsidRPr="0064331C" w:rsidRDefault="0064331C" w:rsidP="005D385E">
            <w:pPr>
              <w:jc w:val="center"/>
              <w:rPr>
                <w:b/>
                <w:bCs/>
                <w:sz w:val="20"/>
                <w:szCs w:val="20"/>
                <w:lang w:eastAsia="fr-FR"/>
              </w:rPr>
            </w:pPr>
          </w:p>
        </w:tc>
        <w:tc>
          <w:tcPr>
            <w:tcW w:w="790" w:type="dxa"/>
            <w:vMerge/>
            <w:tcBorders>
              <w:bottom w:val="single" w:sz="4" w:space="0" w:color="auto"/>
            </w:tcBorders>
            <w:shd w:val="clear" w:color="auto" w:fill="E2EFD9" w:themeFill="accent6" w:themeFillTint="33"/>
            <w:vAlign w:val="center"/>
          </w:tcPr>
          <w:p w14:paraId="3D312030" w14:textId="77777777" w:rsidR="0064331C" w:rsidRPr="0064331C" w:rsidRDefault="0064331C" w:rsidP="005D385E">
            <w:pPr>
              <w:jc w:val="center"/>
              <w:rPr>
                <w:b/>
                <w:bCs/>
                <w:sz w:val="20"/>
                <w:szCs w:val="20"/>
                <w:lang w:eastAsia="fr-FR"/>
              </w:rPr>
            </w:pPr>
          </w:p>
        </w:tc>
      </w:tr>
      <w:tr w:rsidR="0064331C" w:rsidRPr="0064331C" w14:paraId="75B423D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val="restart"/>
            <w:shd w:val="clear" w:color="auto" w:fill="auto"/>
            <w:vAlign w:val="center"/>
          </w:tcPr>
          <w:p w14:paraId="1922AC43" w14:textId="77777777" w:rsidR="0064331C" w:rsidRPr="0064331C" w:rsidRDefault="0064331C" w:rsidP="005D385E">
            <w:pPr>
              <w:jc w:val="center"/>
              <w:rPr>
                <w:b/>
                <w:bCs/>
                <w:sz w:val="20"/>
                <w:szCs w:val="20"/>
                <w:highlight w:val="magenta"/>
                <w:lang w:eastAsia="fr-FR"/>
              </w:rPr>
            </w:pPr>
            <w:r w:rsidRPr="0064331C">
              <w:rPr>
                <w:b/>
                <w:bCs/>
                <w:sz w:val="20"/>
                <w:szCs w:val="20"/>
                <w:lang w:eastAsia="fr-FR"/>
              </w:rPr>
              <w:t>Gaz de convertisseurs à l’oxygène</w:t>
            </w:r>
          </w:p>
        </w:tc>
        <w:tc>
          <w:tcPr>
            <w:tcW w:w="1505" w:type="dxa"/>
            <w:shd w:val="clear" w:color="auto" w:fill="auto"/>
            <w:tcMar>
              <w:top w:w="150" w:type="dxa"/>
              <w:left w:w="150" w:type="dxa"/>
              <w:bottom w:w="150" w:type="dxa"/>
              <w:right w:w="150" w:type="dxa"/>
            </w:tcMar>
            <w:vAlign w:val="center"/>
          </w:tcPr>
          <w:p w14:paraId="623756BC"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vMerge w:val="restart"/>
            <w:shd w:val="clear" w:color="auto" w:fill="E2EFD9" w:themeFill="accent6" w:themeFillTint="33"/>
            <w:tcMar>
              <w:top w:w="150" w:type="dxa"/>
              <w:left w:w="150" w:type="dxa"/>
              <w:bottom w:w="150" w:type="dxa"/>
              <w:right w:w="150" w:type="dxa"/>
            </w:tcMar>
            <w:vAlign w:val="center"/>
          </w:tcPr>
          <w:p w14:paraId="000766AF"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8" w:type="dxa"/>
            <w:vMerge w:val="restart"/>
            <w:shd w:val="clear" w:color="auto" w:fill="B4C6E7" w:themeFill="accent5" w:themeFillTint="66"/>
            <w:vAlign w:val="center"/>
          </w:tcPr>
          <w:p w14:paraId="36FAE8C5"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798" w:type="dxa"/>
            <w:vMerge w:val="restart"/>
            <w:shd w:val="clear" w:color="auto" w:fill="B4C6E7" w:themeFill="accent5" w:themeFillTint="66"/>
            <w:vAlign w:val="center"/>
          </w:tcPr>
          <w:p w14:paraId="52C092F3" w14:textId="77777777" w:rsidR="0064331C" w:rsidRPr="0064331C" w:rsidRDefault="0064331C" w:rsidP="005D385E">
            <w:pPr>
              <w:jc w:val="center"/>
              <w:rPr>
                <w:b/>
                <w:bCs/>
                <w:sz w:val="20"/>
                <w:szCs w:val="20"/>
                <w:lang w:eastAsia="fr-FR"/>
              </w:rPr>
            </w:pPr>
            <w:r w:rsidRPr="0064331C">
              <w:rPr>
                <w:b/>
                <w:bCs/>
                <w:sz w:val="20"/>
                <w:szCs w:val="20"/>
                <w:lang w:eastAsia="fr-FR"/>
              </w:rPr>
              <w:t>38,5</w:t>
            </w:r>
          </w:p>
        </w:tc>
        <w:tc>
          <w:tcPr>
            <w:tcW w:w="806" w:type="dxa"/>
            <w:vMerge w:val="restart"/>
            <w:shd w:val="clear" w:color="auto" w:fill="E2EFD9" w:themeFill="accent6" w:themeFillTint="33"/>
            <w:tcMar>
              <w:top w:w="150" w:type="dxa"/>
              <w:left w:w="150" w:type="dxa"/>
              <w:bottom w:w="150" w:type="dxa"/>
              <w:right w:w="150" w:type="dxa"/>
            </w:tcMar>
            <w:vAlign w:val="center"/>
          </w:tcPr>
          <w:p w14:paraId="40D26365" w14:textId="77777777" w:rsidR="0064331C" w:rsidRPr="0064331C" w:rsidRDefault="0064331C" w:rsidP="005D385E">
            <w:pPr>
              <w:jc w:val="center"/>
              <w:rPr>
                <w:b/>
                <w:bCs/>
                <w:sz w:val="20"/>
                <w:szCs w:val="20"/>
                <w:lang w:eastAsia="fr-FR"/>
              </w:rPr>
            </w:pPr>
            <w:r w:rsidRPr="0064331C">
              <w:rPr>
                <w:b/>
                <w:bCs/>
                <w:sz w:val="20"/>
                <w:szCs w:val="20"/>
                <w:lang w:eastAsia="fr-FR"/>
              </w:rPr>
              <w:t>65</w:t>
            </w:r>
          </w:p>
        </w:tc>
        <w:tc>
          <w:tcPr>
            <w:tcW w:w="798" w:type="dxa"/>
            <w:vMerge w:val="restart"/>
            <w:shd w:val="clear" w:color="auto" w:fill="B4C6E7" w:themeFill="accent5" w:themeFillTint="66"/>
            <w:vAlign w:val="center"/>
          </w:tcPr>
          <w:p w14:paraId="623C01D7"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gridSpan w:val="2"/>
            <w:vMerge w:val="restart"/>
            <w:shd w:val="clear" w:color="auto" w:fill="E2EFD9" w:themeFill="accent6" w:themeFillTint="33"/>
            <w:vAlign w:val="center"/>
          </w:tcPr>
          <w:p w14:paraId="331F8161"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06" w:type="dxa"/>
            <w:vMerge w:val="restart"/>
            <w:shd w:val="clear" w:color="auto" w:fill="E2EFD9" w:themeFill="accent6" w:themeFillTint="33"/>
            <w:tcMar>
              <w:top w:w="150" w:type="dxa"/>
              <w:left w:w="150" w:type="dxa"/>
              <w:bottom w:w="150" w:type="dxa"/>
              <w:right w:w="150" w:type="dxa"/>
            </w:tcMar>
            <w:vAlign w:val="center"/>
          </w:tcPr>
          <w:p w14:paraId="5AB32BC5"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98" w:type="dxa"/>
            <w:vMerge w:val="restart"/>
            <w:shd w:val="clear" w:color="auto" w:fill="B4C6E7" w:themeFill="accent5" w:themeFillTint="66"/>
            <w:vAlign w:val="center"/>
          </w:tcPr>
          <w:p w14:paraId="26A313FD" w14:textId="77777777" w:rsidR="0064331C" w:rsidRPr="0064331C" w:rsidRDefault="0064331C" w:rsidP="005D385E">
            <w:pPr>
              <w:jc w:val="center"/>
              <w:rPr>
                <w:b/>
                <w:bCs/>
                <w:sz w:val="20"/>
                <w:szCs w:val="20"/>
                <w:lang w:eastAsia="fr-FR"/>
              </w:rPr>
            </w:pPr>
            <w:r w:rsidRPr="0064331C">
              <w:rPr>
                <w:b/>
                <w:bCs/>
                <w:sz w:val="20"/>
                <w:szCs w:val="20"/>
                <w:lang w:eastAsia="fr-FR"/>
              </w:rPr>
              <w:t>5</w:t>
            </w:r>
          </w:p>
          <w:p w14:paraId="59428835" w14:textId="77777777" w:rsidR="0064331C" w:rsidRPr="0064331C" w:rsidRDefault="0064331C" w:rsidP="005D385E">
            <w:pPr>
              <w:jc w:val="center"/>
              <w:rPr>
                <w:b/>
                <w:bCs/>
                <w:sz w:val="20"/>
                <w:szCs w:val="20"/>
                <w:lang w:eastAsia="fr-FR"/>
              </w:rPr>
            </w:pPr>
            <w:r w:rsidRPr="0064331C">
              <w:rPr>
                <w:b/>
                <w:bCs/>
                <w:sz w:val="20"/>
                <w:szCs w:val="20"/>
                <w:lang w:eastAsia="fr-FR"/>
              </w:rPr>
              <w:t>(4)</w:t>
            </w:r>
          </w:p>
        </w:tc>
        <w:tc>
          <w:tcPr>
            <w:tcW w:w="790" w:type="dxa"/>
            <w:vMerge w:val="restart"/>
            <w:shd w:val="clear" w:color="auto" w:fill="B4C6E7" w:themeFill="accent5" w:themeFillTint="66"/>
            <w:vAlign w:val="center"/>
          </w:tcPr>
          <w:p w14:paraId="6870350A" w14:textId="77777777" w:rsidR="0064331C" w:rsidRPr="0064331C" w:rsidRDefault="0064331C" w:rsidP="005D385E">
            <w:pPr>
              <w:jc w:val="center"/>
              <w:rPr>
                <w:b/>
                <w:bCs/>
                <w:sz w:val="20"/>
                <w:szCs w:val="20"/>
                <w:lang w:eastAsia="fr-FR"/>
              </w:rPr>
            </w:pPr>
            <w:r w:rsidRPr="0064331C">
              <w:rPr>
                <w:b/>
                <w:bCs/>
                <w:sz w:val="20"/>
                <w:szCs w:val="20"/>
                <w:lang w:eastAsia="fr-FR"/>
              </w:rPr>
              <w:t>5,5</w:t>
            </w:r>
          </w:p>
          <w:p w14:paraId="33AFAE07" w14:textId="77777777" w:rsidR="0064331C" w:rsidRPr="0064331C" w:rsidRDefault="0064331C" w:rsidP="005D385E">
            <w:pPr>
              <w:jc w:val="center"/>
              <w:rPr>
                <w:b/>
                <w:bCs/>
                <w:sz w:val="20"/>
                <w:szCs w:val="20"/>
                <w:lang w:eastAsia="fr-FR"/>
              </w:rPr>
            </w:pPr>
            <w:r w:rsidRPr="0064331C">
              <w:rPr>
                <w:b/>
                <w:bCs/>
                <w:sz w:val="20"/>
                <w:szCs w:val="20"/>
                <w:lang w:eastAsia="fr-FR"/>
              </w:rPr>
              <w:t>(4)</w:t>
            </w:r>
          </w:p>
        </w:tc>
      </w:tr>
      <w:tr w:rsidR="0064331C" w:rsidRPr="0064331C" w14:paraId="515E9A1E"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shd w:val="clear" w:color="auto" w:fill="auto"/>
            <w:vAlign w:val="center"/>
          </w:tcPr>
          <w:p w14:paraId="1AD12058" w14:textId="77777777" w:rsidR="0064331C" w:rsidRPr="0064331C" w:rsidRDefault="0064331C" w:rsidP="005D385E">
            <w:pPr>
              <w:jc w:val="center"/>
              <w:rPr>
                <w:b/>
                <w:bCs/>
                <w:sz w:val="20"/>
                <w:szCs w:val="20"/>
                <w:lang w:eastAsia="fr-FR"/>
              </w:rPr>
            </w:pPr>
          </w:p>
        </w:tc>
        <w:tc>
          <w:tcPr>
            <w:tcW w:w="1505" w:type="dxa"/>
            <w:shd w:val="clear" w:color="auto" w:fill="auto"/>
            <w:tcMar>
              <w:top w:w="150" w:type="dxa"/>
              <w:left w:w="150" w:type="dxa"/>
              <w:bottom w:w="150" w:type="dxa"/>
              <w:right w:w="150" w:type="dxa"/>
            </w:tcMar>
            <w:vAlign w:val="center"/>
          </w:tcPr>
          <w:p w14:paraId="63D28D09"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vMerge/>
            <w:shd w:val="clear" w:color="auto" w:fill="E2EFD9" w:themeFill="accent6" w:themeFillTint="33"/>
            <w:tcMar>
              <w:top w:w="150" w:type="dxa"/>
              <w:left w:w="150" w:type="dxa"/>
              <w:bottom w:w="150" w:type="dxa"/>
              <w:right w:w="150" w:type="dxa"/>
            </w:tcMar>
            <w:vAlign w:val="center"/>
          </w:tcPr>
          <w:p w14:paraId="1F796D89"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106BDD64"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1518F6C9" w14:textId="77777777" w:rsidR="0064331C" w:rsidRPr="0064331C" w:rsidRDefault="0064331C" w:rsidP="005D385E">
            <w:pPr>
              <w:jc w:val="center"/>
              <w:rPr>
                <w:b/>
                <w:bCs/>
                <w:sz w:val="20"/>
                <w:szCs w:val="20"/>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79C02BFF"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5C64D191" w14:textId="77777777" w:rsidR="0064331C" w:rsidRPr="0064331C" w:rsidRDefault="0064331C" w:rsidP="005D385E">
            <w:pPr>
              <w:jc w:val="center"/>
              <w:rPr>
                <w:b/>
                <w:bCs/>
                <w:sz w:val="20"/>
                <w:szCs w:val="20"/>
                <w:lang w:eastAsia="fr-FR"/>
              </w:rPr>
            </w:pPr>
          </w:p>
        </w:tc>
        <w:tc>
          <w:tcPr>
            <w:tcW w:w="798" w:type="dxa"/>
            <w:gridSpan w:val="2"/>
            <w:vMerge/>
            <w:shd w:val="clear" w:color="auto" w:fill="E2EFD9" w:themeFill="accent6" w:themeFillTint="33"/>
            <w:vAlign w:val="center"/>
          </w:tcPr>
          <w:p w14:paraId="22C8924D" w14:textId="77777777" w:rsidR="0064331C" w:rsidRPr="0064331C" w:rsidRDefault="0064331C" w:rsidP="005D385E">
            <w:pPr>
              <w:jc w:val="center"/>
              <w:rPr>
                <w:b/>
                <w:bCs/>
                <w:sz w:val="20"/>
                <w:szCs w:val="20"/>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03A159A9"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5FF95905" w14:textId="77777777" w:rsidR="0064331C" w:rsidRPr="0064331C" w:rsidRDefault="0064331C" w:rsidP="005D385E">
            <w:pPr>
              <w:jc w:val="center"/>
              <w:rPr>
                <w:b/>
                <w:bCs/>
                <w:sz w:val="20"/>
                <w:szCs w:val="20"/>
                <w:lang w:eastAsia="fr-FR"/>
              </w:rPr>
            </w:pPr>
          </w:p>
        </w:tc>
        <w:tc>
          <w:tcPr>
            <w:tcW w:w="790" w:type="dxa"/>
            <w:vMerge/>
            <w:shd w:val="clear" w:color="auto" w:fill="B4C6E7" w:themeFill="accent5" w:themeFillTint="66"/>
            <w:vAlign w:val="center"/>
          </w:tcPr>
          <w:p w14:paraId="7BD91098" w14:textId="77777777" w:rsidR="0064331C" w:rsidRPr="0064331C" w:rsidRDefault="0064331C" w:rsidP="005D385E">
            <w:pPr>
              <w:jc w:val="center"/>
              <w:rPr>
                <w:b/>
                <w:bCs/>
                <w:sz w:val="20"/>
                <w:szCs w:val="20"/>
                <w:lang w:eastAsia="fr-FR"/>
              </w:rPr>
            </w:pPr>
          </w:p>
        </w:tc>
      </w:tr>
      <w:tr w:rsidR="0064331C" w:rsidRPr="0064331C" w14:paraId="4C0E34F8"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62" w:type="dxa"/>
            <w:gridSpan w:val="2"/>
            <w:vMerge/>
            <w:shd w:val="clear" w:color="auto" w:fill="auto"/>
            <w:vAlign w:val="center"/>
          </w:tcPr>
          <w:p w14:paraId="354B5754" w14:textId="77777777" w:rsidR="0064331C" w:rsidRPr="0064331C" w:rsidRDefault="0064331C" w:rsidP="005D385E">
            <w:pPr>
              <w:jc w:val="center"/>
              <w:rPr>
                <w:b/>
                <w:bCs/>
                <w:sz w:val="20"/>
                <w:szCs w:val="20"/>
                <w:lang w:eastAsia="fr-FR"/>
              </w:rPr>
            </w:pPr>
          </w:p>
        </w:tc>
        <w:tc>
          <w:tcPr>
            <w:tcW w:w="1505" w:type="dxa"/>
            <w:shd w:val="clear" w:color="auto" w:fill="auto"/>
            <w:tcMar>
              <w:top w:w="150" w:type="dxa"/>
              <w:left w:w="150" w:type="dxa"/>
              <w:bottom w:w="150" w:type="dxa"/>
              <w:right w:w="150" w:type="dxa"/>
            </w:tcMar>
            <w:vAlign w:val="center"/>
          </w:tcPr>
          <w:p w14:paraId="2661F09B"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vMerge/>
            <w:shd w:val="clear" w:color="auto" w:fill="E2EFD9" w:themeFill="accent6" w:themeFillTint="33"/>
            <w:tcMar>
              <w:top w:w="150" w:type="dxa"/>
              <w:left w:w="150" w:type="dxa"/>
              <w:bottom w:w="150" w:type="dxa"/>
              <w:right w:w="150" w:type="dxa"/>
            </w:tcMar>
            <w:vAlign w:val="center"/>
          </w:tcPr>
          <w:p w14:paraId="165841E7"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52E4FB5B"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358BB3FE" w14:textId="77777777" w:rsidR="0064331C" w:rsidRPr="0064331C" w:rsidRDefault="0064331C" w:rsidP="005D385E">
            <w:pPr>
              <w:jc w:val="center"/>
              <w:rPr>
                <w:b/>
                <w:bCs/>
                <w:sz w:val="20"/>
                <w:szCs w:val="20"/>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4B84DA42"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42B5FEA7" w14:textId="77777777" w:rsidR="0064331C" w:rsidRPr="0064331C" w:rsidRDefault="0064331C" w:rsidP="005D385E">
            <w:pPr>
              <w:jc w:val="center"/>
              <w:rPr>
                <w:b/>
                <w:bCs/>
                <w:sz w:val="20"/>
                <w:szCs w:val="20"/>
                <w:lang w:eastAsia="fr-FR"/>
              </w:rPr>
            </w:pPr>
          </w:p>
        </w:tc>
        <w:tc>
          <w:tcPr>
            <w:tcW w:w="798" w:type="dxa"/>
            <w:gridSpan w:val="2"/>
            <w:vMerge/>
            <w:shd w:val="clear" w:color="auto" w:fill="E2EFD9" w:themeFill="accent6" w:themeFillTint="33"/>
            <w:vAlign w:val="center"/>
          </w:tcPr>
          <w:p w14:paraId="5AF71CFD" w14:textId="77777777" w:rsidR="0064331C" w:rsidRPr="0064331C" w:rsidRDefault="0064331C" w:rsidP="005D385E">
            <w:pPr>
              <w:jc w:val="center"/>
              <w:rPr>
                <w:b/>
                <w:bCs/>
                <w:sz w:val="20"/>
                <w:szCs w:val="20"/>
                <w:lang w:eastAsia="fr-FR"/>
              </w:rPr>
            </w:pPr>
          </w:p>
        </w:tc>
        <w:tc>
          <w:tcPr>
            <w:tcW w:w="806" w:type="dxa"/>
            <w:vMerge/>
            <w:shd w:val="clear" w:color="auto" w:fill="E2EFD9" w:themeFill="accent6" w:themeFillTint="33"/>
            <w:tcMar>
              <w:top w:w="150" w:type="dxa"/>
              <w:left w:w="150" w:type="dxa"/>
              <w:bottom w:w="150" w:type="dxa"/>
              <w:right w:w="150" w:type="dxa"/>
            </w:tcMar>
            <w:vAlign w:val="center"/>
          </w:tcPr>
          <w:p w14:paraId="55200B52" w14:textId="77777777" w:rsidR="0064331C" w:rsidRPr="0064331C" w:rsidRDefault="0064331C" w:rsidP="005D385E">
            <w:pPr>
              <w:jc w:val="center"/>
              <w:rPr>
                <w:b/>
                <w:bCs/>
                <w:sz w:val="20"/>
                <w:szCs w:val="20"/>
                <w:lang w:eastAsia="fr-FR"/>
              </w:rPr>
            </w:pPr>
          </w:p>
        </w:tc>
        <w:tc>
          <w:tcPr>
            <w:tcW w:w="798" w:type="dxa"/>
            <w:vMerge/>
            <w:shd w:val="clear" w:color="auto" w:fill="B4C6E7" w:themeFill="accent5" w:themeFillTint="66"/>
            <w:vAlign w:val="center"/>
          </w:tcPr>
          <w:p w14:paraId="495F3AD4" w14:textId="77777777" w:rsidR="0064331C" w:rsidRPr="0064331C" w:rsidRDefault="0064331C" w:rsidP="005D385E">
            <w:pPr>
              <w:jc w:val="center"/>
              <w:rPr>
                <w:b/>
                <w:bCs/>
                <w:sz w:val="20"/>
                <w:szCs w:val="20"/>
                <w:lang w:eastAsia="fr-FR"/>
              </w:rPr>
            </w:pPr>
          </w:p>
        </w:tc>
        <w:tc>
          <w:tcPr>
            <w:tcW w:w="790" w:type="dxa"/>
            <w:vMerge/>
            <w:shd w:val="clear" w:color="auto" w:fill="B4C6E7" w:themeFill="accent5" w:themeFillTint="66"/>
            <w:vAlign w:val="center"/>
          </w:tcPr>
          <w:p w14:paraId="6560C263" w14:textId="77777777" w:rsidR="0064331C" w:rsidRPr="0064331C" w:rsidRDefault="0064331C" w:rsidP="005D385E">
            <w:pPr>
              <w:jc w:val="center"/>
              <w:rPr>
                <w:b/>
                <w:bCs/>
                <w:sz w:val="20"/>
                <w:szCs w:val="20"/>
                <w:lang w:eastAsia="fr-FR"/>
              </w:rPr>
            </w:pPr>
          </w:p>
        </w:tc>
      </w:tr>
      <w:tr w:rsidR="0064331C" w:rsidRPr="0064331C" w14:paraId="5F5501C8" w14:textId="77777777" w:rsidTr="005D385E">
        <w:trPr>
          <w:jc w:val="center"/>
        </w:trPr>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5812E23D" w14:textId="77777777" w:rsidR="0064331C" w:rsidRPr="0064331C" w:rsidRDefault="0064331C" w:rsidP="005D385E">
            <w:pPr>
              <w:jc w:val="center"/>
              <w:rPr>
                <w:b/>
                <w:bCs/>
                <w:sz w:val="20"/>
                <w:szCs w:val="20"/>
                <w:lang w:eastAsia="fr-FR"/>
              </w:rPr>
            </w:pPr>
            <w:bookmarkStart w:id="8" w:name="_Hlk159597645"/>
            <w:r w:rsidRPr="0064331C">
              <w:rPr>
                <w:b/>
                <w:bCs/>
                <w:sz w:val="20"/>
                <w:szCs w:val="20"/>
                <w:lang w:eastAsia="fr-FR"/>
              </w:rPr>
              <w:t>Gaz issus de procédés de l’industrie chimique</w:t>
            </w:r>
          </w:p>
        </w:tc>
        <w:tc>
          <w:tcPr>
            <w:tcW w:w="15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677E1753"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B51AAD5"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713ABDC"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8B4E1C7" w14:textId="77777777" w:rsidR="0064331C" w:rsidRPr="0064331C" w:rsidRDefault="0064331C" w:rsidP="005D385E">
            <w:pPr>
              <w:jc w:val="center"/>
              <w:rPr>
                <w:b/>
                <w:bCs/>
                <w:sz w:val="20"/>
                <w:szCs w:val="20"/>
                <w:lang w:eastAsia="fr-FR"/>
              </w:rPr>
            </w:pPr>
            <w:r w:rsidRPr="0064331C">
              <w:rPr>
                <w:b/>
                <w:bCs/>
                <w:sz w:val="20"/>
                <w:szCs w:val="20"/>
                <w:lang w:eastAsia="fr-FR"/>
              </w:rPr>
              <w:t>38,5</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E465461" w14:textId="77777777" w:rsidR="0064331C" w:rsidRPr="0064331C" w:rsidRDefault="0064331C" w:rsidP="005D385E">
            <w:pPr>
              <w:jc w:val="center"/>
              <w:rPr>
                <w:b/>
                <w:bCs/>
                <w:sz w:val="20"/>
                <w:szCs w:val="20"/>
                <w:lang w:eastAsia="fr-FR"/>
              </w:rPr>
            </w:pPr>
            <w:r w:rsidRPr="0064331C">
              <w:rPr>
                <w:b/>
                <w:bCs/>
                <w:sz w:val="20"/>
                <w:szCs w:val="20"/>
                <w:lang w:eastAsia="fr-FR"/>
              </w:rPr>
              <w:t>80</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B1FD2DA"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8"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E89EDB"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tcMar>
              <w:top w:w="150" w:type="dxa"/>
              <w:left w:w="150" w:type="dxa"/>
              <w:bottom w:w="150" w:type="dxa"/>
              <w:right w:w="150" w:type="dxa"/>
            </w:tcMar>
            <w:vAlign w:val="center"/>
          </w:tcPr>
          <w:p w14:paraId="1D23111A" w14:textId="77777777" w:rsidR="0064331C" w:rsidRPr="0064331C" w:rsidRDefault="0064331C" w:rsidP="005D385E">
            <w:pPr>
              <w:jc w:val="center"/>
              <w:rPr>
                <w:b/>
                <w:bCs/>
                <w:sz w:val="20"/>
                <w:szCs w:val="20"/>
                <w:lang w:eastAsia="fr-FR"/>
              </w:rPr>
            </w:pPr>
          </w:p>
        </w:tc>
        <w:tc>
          <w:tcPr>
            <w:tcW w:w="798"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553C83E"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A35DC65"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5FACEE02"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5B322F7E" w14:textId="77777777" w:rsidR="0064331C" w:rsidRPr="0064331C" w:rsidRDefault="0064331C" w:rsidP="005D385E">
            <w:pPr>
              <w:jc w:val="cente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2F54ECCF"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80D9A96"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CF06114"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CC92E61" w14:textId="77777777" w:rsidR="0064331C" w:rsidRPr="0064331C" w:rsidRDefault="0064331C" w:rsidP="005D385E">
            <w:pPr>
              <w:jc w:val="center"/>
              <w:rPr>
                <w:b/>
                <w:bCs/>
                <w:sz w:val="20"/>
                <w:szCs w:val="20"/>
                <w:lang w:eastAsia="fr-FR"/>
              </w:rPr>
            </w:pP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D0531A8"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B4EBB85" w14:textId="77777777" w:rsidR="0064331C" w:rsidRPr="0064331C" w:rsidRDefault="0064331C" w:rsidP="005D385E">
            <w:pPr>
              <w:jc w:val="center"/>
              <w:rPr>
                <w:b/>
                <w:bCs/>
                <w:sz w:val="20"/>
                <w:szCs w:val="20"/>
                <w:lang w:eastAsia="fr-FR"/>
              </w:rPr>
            </w:pPr>
          </w:p>
        </w:tc>
        <w:tc>
          <w:tcPr>
            <w:tcW w:w="798"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7CADB7" w14:textId="77777777" w:rsidR="0064331C" w:rsidRPr="0064331C" w:rsidRDefault="0064331C" w:rsidP="005D385E">
            <w:pPr>
              <w:jc w:val="center"/>
              <w:rPr>
                <w:b/>
                <w:bCs/>
                <w:sz w:val="20"/>
                <w:szCs w:val="20"/>
                <w:lang w:eastAsia="fr-FR"/>
              </w:rPr>
            </w:pPr>
          </w:p>
        </w:tc>
        <w:tc>
          <w:tcPr>
            <w:tcW w:w="806"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tcMar>
              <w:top w:w="150" w:type="dxa"/>
              <w:left w:w="150" w:type="dxa"/>
              <w:bottom w:w="150" w:type="dxa"/>
              <w:right w:w="150" w:type="dxa"/>
            </w:tcMar>
            <w:vAlign w:val="center"/>
          </w:tcPr>
          <w:p w14:paraId="08211B80"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928C50E" w14:textId="77777777" w:rsidR="0064331C" w:rsidRPr="0064331C" w:rsidRDefault="0064331C" w:rsidP="005D385E">
            <w:pPr>
              <w:jc w:val="center"/>
              <w:rPr>
                <w:b/>
                <w:bCs/>
                <w:sz w:val="20"/>
                <w:szCs w:val="20"/>
                <w:lang w:eastAsia="fr-FR"/>
              </w:rPr>
            </w:pPr>
          </w:p>
        </w:tc>
        <w:tc>
          <w:tcPr>
            <w:tcW w:w="790"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C1C95D6" w14:textId="77777777" w:rsidR="0064331C" w:rsidRPr="0064331C" w:rsidRDefault="0064331C" w:rsidP="005D385E">
            <w:pPr>
              <w:jc w:val="center"/>
              <w:rPr>
                <w:b/>
                <w:bCs/>
                <w:sz w:val="20"/>
                <w:szCs w:val="20"/>
                <w:lang w:eastAsia="fr-FR"/>
              </w:rPr>
            </w:pPr>
          </w:p>
        </w:tc>
      </w:tr>
      <w:tr w:rsidR="0064331C" w:rsidRPr="0064331C" w14:paraId="17FBCD53" w14:textId="77777777" w:rsidTr="005D385E">
        <w:trPr>
          <w:trHeight w:val="192"/>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0833B692" w14:textId="77777777" w:rsidR="0064331C" w:rsidRPr="0064331C" w:rsidRDefault="0064331C" w:rsidP="005D385E">
            <w:pPr>
              <w:jc w:val="cente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42EFAB79"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F920FC7"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17448CB"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5196532" w14:textId="77777777" w:rsidR="0064331C" w:rsidRPr="0064331C" w:rsidRDefault="0064331C" w:rsidP="005D385E">
            <w:pPr>
              <w:jc w:val="center"/>
              <w:rPr>
                <w:b/>
                <w:bCs/>
                <w:sz w:val="20"/>
                <w:szCs w:val="20"/>
                <w:lang w:eastAsia="fr-FR"/>
              </w:rPr>
            </w:pP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A4BF3A6"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ECF01E5" w14:textId="77777777" w:rsidR="0064331C" w:rsidRPr="0064331C" w:rsidRDefault="0064331C" w:rsidP="005D385E">
            <w:pPr>
              <w:jc w:val="center"/>
              <w:rPr>
                <w:b/>
                <w:bCs/>
                <w:sz w:val="20"/>
                <w:szCs w:val="20"/>
                <w:lang w:eastAsia="fr-FR"/>
              </w:rPr>
            </w:pPr>
          </w:p>
        </w:tc>
        <w:tc>
          <w:tcPr>
            <w:tcW w:w="798"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8878D2" w14:textId="77777777" w:rsidR="0064331C" w:rsidRPr="0064331C" w:rsidRDefault="0064331C" w:rsidP="005D385E">
            <w:pPr>
              <w:jc w:val="center"/>
              <w:rPr>
                <w:b/>
                <w:bCs/>
                <w:sz w:val="20"/>
                <w:szCs w:val="20"/>
                <w:lang w:eastAsia="fr-FR"/>
              </w:rPr>
            </w:pPr>
          </w:p>
        </w:tc>
        <w:tc>
          <w:tcPr>
            <w:tcW w:w="806"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tcMar>
              <w:top w:w="150" w:type="dxa"/>
              <w:left w:w="150" w:type="dxa"/>
              <w:bottom w:w="150" w:type="dxa"/>
              <w:right w:w="150" w:type="dxa"/>
            </w:tcMar>
            <w:vAlign w:val="center"/>
          </w:tcPr>
          <w:p w14:paraId="2C8FE6D5"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7974B5A" w14:textId="77777777" w:rsidR="0064331C" w:rsidRPr="0064331C" w:rsidRDefault="0064331C" w:rsidP="005D385E">
            <w:pPr>
              <w:jc w:val="center"/>
              <w:rPr>
                <w:b/>
                <w:bCs/>
                <w:sz w:val="20"/>
                <w:szCs w:val="20"/>
                <w:lang w:eastAsia="fr-FR"/>
              </w:rPr>
            </w:pPr>
          </w:p>
        </w:tc>
        <w:tc>
          <w:tcPr>
            <w:tcW w:w="790"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2328A98" w14:textId="77777777" w:rsidR="0064331C" w:rsidRPr="0064331C" w:rsidRDefault="0064331C" w:rsidP="005D385E">
            <w:pPr>
              <w:jc w:val="center"/>
              <w:rPr>
                <w:b/>
                <w:bCs/>
                <w:sz w:val="20"/>
                <w:szCs w:val="20"/>
                <w:lang w:eastAsia="fr-FR"/>
              </w:rPr>
            </w:pPr>
          </w:p>
        </w:tc>
      </w:tr>
      <w:bookmarkEnd w:id="8"/>
      <w:tr w:rsidR="0064331C" w:rsidRPr="0064331C" w14:paraId="13149EC3" w14:textId="77777777" w:rsidTr="005D385E">
        <w:trPr>
          <w:jc w:val="center"/>
        </w:trPr>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200B668" w14:textId="37A78F5A" w:rsidR="0064331C" w:rsidRPr="0064331C" w:rsidRDefault="0064331C" w:rsidP="005D385E">
            <w:pPr>
              <w:jc w:val="center"/>
              <w:rPr>
                <w:b/>
                <w:bCs/>
                <w:sz w:val="20"/>
                <w:szCs w:val="20"/>
                <w:lang w:eastAsia="fr-FR"/>
              </w:rPr>
            </w:pPr>
            <w:r w:rsidRPr="0064331C">
              <w:rPr>
                <w:b/>
                <w:bCs/>
                <w:sz w:val="20"/>
                <w:szCs w:val="20"/>
                <w:lang w:eastAsia="fr-FR"/>
              </w:rPr>
              <w:t xml:space="preserve">Mélange de gaz et de liquides issus de procédés de l’industrie chimique </w:t>
            </w:r>
            <w:r w:rsidRPr="0064331C">
              <w:rPr>
                <w:b/>
                <w:bCs/>
                <w:sz w:val="20"/>
                <w:szCs w:val="20"/>
                <w:highlight w:val="yellow"/>
                <w:lang w:eastAsia="fr-FR"/>
              </w:rPr>
              <w:t>(100</w:t>
            </w:r>
            <w:r w:rsidR="000F02B5">
              <w:rPr>
                <w:b/>
                <w:bCs/>
                <w:sz w:val="20"/>
                <w:szCs w:val="20"/>
                <w:highlight w:val="yellow"/>
                <w:lang w:eastAsia="fr-FR"/>
              </w:rPr>
              <w:t xml:space="preserve"> </w:t>
            </w:r>
            <w:r w:rsidRPr="0064331C">
              <w:rPr>
                <w:b/>
                <w:bCs/>
                <w:sz w:val="20"/>
                <w:szCs w:val="20"/>
                <w:highlight w:val="yellow"/>
                <w:lang w:eastAsia="fr-FR"/>
              </w:rPr>
              <w:t>%)</w:t>
            </w:r>
          </w:p>
        </w:tc>
        <w:tc>
          <w:tcPr>
            <w:tcW w:w="15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06271AC"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BAFAEAC"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CCD87F" w14:textId="77777777" w:rsidR="0064331C" w:rsidRPr="0064331C" w:rsidRDefault="0064331C" w:rsidP="005D385E">
            <w:pPr>
              <w:jc w:val="center"/>
              <w:rPr>
                <w:b/>
                <w:bCs/>
                <w:sz w:val="20"/>
                <w:szCs w:val="20"/>
                <w:lang w:eastAsia="fr-FR"/>
              </w:rPr>
            </w:pPr>
          </w:p>
        </w:tc>
        <w:tc>
          <w:tcPr>
            <w:tcW w:w="79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9A5C14"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ACB19DF" w14:textId="77777777" w:rsidR="0064331C" w:rsidRPr="0064331C" w:rsidRDefault="0064331C" w:rsidP="005D385E">
            <w:pPr>
              <w:jc w:val="center"/>
              <w:rPr>
                <w:b/>
                <w:bCs/>
                <w:sz w:val="20"/>
                <w:szCs w:val="20"/>
                <w:lang w:eastAsia="fr-FR"/>
              </w:rPr>
            </w:pPr>
            <w:r w:rsidRPr="0064331C">
              <w:rPr>
                <w:b/>
                <w:bCs/>
                <w:sz w:val="20"/>
                <w:szCs w:val="20"/>
                <w:lang w:eastAsia="fr-FR"/>
              </w:rPr>
              <w:t>85</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CAC591B" w14:textId="77777777" w:rsidR="0064331C" w:rsidRPr="0064331C" w:rsidRDefault="0064331C" w:rsidP="005D385E">
            <w:pPr>
              <w:jc w:val="center"/>
              <w:rPr>
                <w:b/>
                <w:bCs/>
                <w:sz w:val="20"/>
                <w:szCs w:val="20"/>
                <w:lang w:eastAsia="fr-FR"/>
              </w:rPr>
            </w:pPr>
          </w:p>
        </w:tc>
        <w:tc>
          <w:tcPr>
            <w:tcW w:w="798"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E3132A"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462E822"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702AD5" w14:textId="77777777" w:rsidR="0064331C" w:rsidRPr="0064331C" w:rsidRDefault="0064331C" w:rsidP="005D385E">
            <w:pPr>
              <w:jc w:val="center"/>
              <w:rPr>
                <w:b/>
                <w:bCs/>
                <w:sz w:val="20"/>
                <w:szCs w:val="20"/>
                <w:lang w:eastAsia="fr-FR"/>
              </w:rPr>
            </w:pPr>
          </w:p>
        </w:tc>
        <w:tc>
          <w:tcPr>
            <w:tcW w:w="79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27F5FC"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18D4C102"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1B6CFE"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C31110F"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683C8D"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E7A75D"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0C9930" w14:textId="77777777" w:rsidR="0064331C" w:rsidRPr="0064331C" w:rsidRDefault="0064331C" w:rsidP="005D385E">
            <w:pPr>
              <w:jc w:val="center"/>
              <w:rPr>
                <w:b/>
                <w:bCs/>
                <w:sz w:val="20"/>
                <w:szCs w:val="20"/>
                <w:lang w:eastAsia="fr-FR"/>
              </w:rPr>
            </w:pP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5DB0AF"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B501924" w14:textId="77777777" w:rsidR="0064331C" w:rsidRPr="0064331C" w:rsidRDefault="0064331C" w:rsidP="005D385E">
            <w:pPr>
              <w:jc w:val="center"/>
              <w:rPr>
                <w:b/>
                <w:bCs/>
                <w:sz w:val="20"/>
                <w:szCs w:val="20"/>
                <w:lang w:eastAsia="fr-FR"/>
              </w:rPr>
            </w:pPr>
          </w:p>
        </w:tc>
        <w:tc>
          <w:tcPr>
            <w:tcW w:w="798"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65AD" w14:textId="77777777" w:rsidR="0064331C" w:rsidRPr="0064331C" w:rsidRDefault="0064331C" w:rsidP="005D385E">
            <w:pPr>
              <w:jc w:val="center"/>
              <w:rPr>
                <w:b/>
                <w:bCs/>
                <w:sz w:val="20"/>
                <w:szCs w:val="20"/>
                <w:lang w:eastAsia="fr-FR"/>
              </w:rPr>
            </w:pP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067165"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8F779" w14:textId="77777777" w:rsidR="0064331C" w:rsidRPr="0064331C" w:rsidRDefault="0064331C" w:rsidP="005D385E">
            <w:pPr>
              <w:jc w:val="center"/>
              <w:rPr>
                <w:b/>
                <w:bCs/>
                <w:sz w:val="20"/>
                <w:szCs w:val="20"/>
                <w:lang w:eastAsia="fr-FR"/>
              </w:rPr>
            </w:pPr>
          </w:p>
        </w:tc>
        <w:tc>
          <w:tcPr>
            <w:tcW w:w="79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AB73E" w14:textId="77777777" w:rsidR="0064331C" w:rsidRPr="0064331C" w:rsidRDefault="0064331C" w:rsidP="005D385E">
            <w:pPr>
              <w:jc w:val="center"/>
              <w:rPr>
                <w:b/>
                <w:bCs/>
                <w:sz w:val="20"/>
                <w:szCs w:val="20"/>
                <w:lang w:eastAsia="fr-FR"/>
              </w:rPr>
            </w:pPr>
          </w:p>
        </w:tc>
      </w:tr>
      <w:tr w:rsidR="0064331C" w:rsidRPr="0064331C" w14:paraId="61502280" w14:textId="77777777" w:rsidTr="005D385E">
        <w:trPr>
          <w:jc w:val="center"/>
        </w:trPr>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D2A64" w14:textId="77777777" w:rsidR="0064331C" w:rsidRPr="0064331C" w:rsidRDefault="0064331C" w:rsidP="005D385E">
            <w:pPr>
              <w:rPr>
                <w:b/>
                <w:bCs/>
                <w:sz w:val="20"/>
                <w:szCs w:val="20"/>
                <w:lang w:eastAsia="fr-FR"/>
              </w:rPr>
            </w:pPr>
          </w:p>
        </w:tc>
        <w:tc>
          <w:tcPr>
            <w:tcW w:w="15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F500ECC"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54AB75" w14:textId="77777777" w:rsidR="0064331C" w:rsidRPr="0064331C" w:rsidRDefault="0064331C" w:rsidP="005D385E">
            <w:pP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429160" w14:textId="77777777" w:rsidR="0064331C" w:rsidRPr="0064331C" w:rsidRDefault="0064331C" w:rsidP="005D385E">
            <w:pP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D0030A" w14:textId="77777777" w:rsidR="0064331C" w:rsidRPr="0064331C" w:rsidRDefault="0064331C" w:rsidP="005D385E">
            <w:pPr>
              <w:rPr>
                <w:b/>
                <w:bCs/>
                <w:sz w:val="20"/>
                <w:szCs w:val="20"/>
                <w:lang w:eastAsia="fr-FR"/>
              </w:rPr>
            </w:pP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117772" w14:textId="77777777" w:rsidR="0064331C" w:rsidRPr="0064331C" w:rsidRDefault="0064331C" w:rsidP="005D385E">
            <w:pP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C1FF79A" w14:textId="77777777" w:rsidR="0064331C" w:rsidRPr="0064331C" w:rsidRDefault="0064331C" w:rsidP="005D385E">
            <w:pPr>
              <w:jc w:val="center"/>
              <w:rPr>
                <w:b/>
                <w:bCs/>
                <w:sz w:val="20"/>
                <w:szCs w:val="20"/>
                <w:lang w:eastAsia="fr-FR"/>
              </w:rPr>
            </w:pPr>
          </w:p>
        </w:tc>
        <w:tc>
          <w:tcPr>
            <w:tcW w:w="798"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6AA8B5" w14:textId="77777777" w:rsidR="0064331C" w:rsidRPr="0064331C" w:rsidRDefault="0064331C" w:rsidP="005D385E">
            <w:pPr>
              <w:jc w:val="center"/>
              <w:rPr>
                <w:b/>
                <w:bCs/>
                <w:sz w:val="20"/>
                <w:szCs w:val="20"/>
                <w:lang w:eastAsia="fr-FR"/>
              </w:rPr>
            </w:pPr>
          </w:p>
        </w:tc>
        <w:tc>
          <w:tcPr>
            <w:tcW w:w="80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D718D2" w14:textId="77777777" w:rsidR="0064331C" w:rsidRPr="0064331C" w:rsidRDefault="0064331C" w:rsidP="005D385E">
            <w:pPr>
              <w:jc w:val="center"/>
              <w:rPr>
                <w:b/>
                <w:bCs/>
                <w:sz w:val="20"/>
                <w:szCs w:val="20"/>
                <w:lang w:eastAsia="fr-FR"/>
              </w:rPr>
            </w:pPr>
          </w:p>
        </w:tc>
        <w:tc>
          <w:tcPr>
            <w:tcW w:w="79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E00DCC" w14:textId="77777777" w:rsidR="0064331C" w:rsidRPr="0064331C" w:rsidRDefault="0064331C" w:rsidP="005D385E">
            <w:pPr>
              <w:jc w:val="center"/>
              <w:rPr>
                <w:b/>
                <w:bCs/>
                <w:sz w:val="20"/>
                <w:szCs w:val="20"/>
                <w:lang w:eastAsia="fr-FR"/>
              </w:rPr>
            </w:pPr>
          </w:p>
        </w:tc>
        <w:tc>
          <w:tcPr>
            <w:tcW w:w="79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7E3F53" w14:textId="77777777" w:rsidR="0064331C" w:rsidRPr="0064331C" w:rsidRDefault="0064331C" w:rsidP="005D385E">
            <w:pPr>
              <w:jc w:val="center"/>
              <w:rPr>
                <w:b/>
                <w:bCs/>
                <w:sz w:val="20"/>
                <w:szCs w:val="20"/>
                <w:lang w:eastAsia="fr-FR"/>
              </w:rPr>
            </w:pPr>
          </w:p>
        </w:tc>
      </w:tr>
      <w:tr w:rsidR="0064331C" w:rsidRPr="0064331C" w14:paraId="23AD7468" w14:textId="77777777" w:rsidTr="005D385E">
        <w:trPr>
          <w:trHeight w:val="469"/>
          <w:jc w:val="center"/>
        </w:trPr>
        <w:tc>
          <w:tcPr>
            <w:tcW w:w="1510"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5A48700D" w14:textId="77777777" w:rsidR="0064331C" w:rsidRPr="0064331C" w:rsidRDefault="0064331C" w:rsidP="005D385E">
            <w:pPr>
              <w:jc w:val="center"/>
              <w:rPr>
                <w:b/>
                <w:bCs/>
                <w:sz w:val="20"/>
                <w:szCs w:val="20"/>
                <w:lang w:eastAsia="fr-FR"/>
              </w:rPr>
            </w:pPr>
            <w:bookmarkStart w:id="9" w:name="_Hlk163567308"/>
            <w:r w:rsidRPr="0064331C">
              <w:rPr>
                <w:b/>
                <w:bCs/>
                <w:sz w:val="20"/>
                <w:szCs w:val="20"/>
                <w:lang w:eastAsia="fr-FR"/>
              </w:rPr>
              <w:t>Renvoi</w:t>
            </w:r>
          </w:p>
        </w:tc>
        <w:tc>
          <w:tcPr>
            <w:tcW w:w="6648" w:type="dxa"/>
            <w:gridSpan w:val="8"/>
            <w:tcBorders>
              <w:top w:val="single" w:sz="4" w:space="0" w:color="auto"/>
              <w:left w:val="single" w:sz="4" w:space="0" w:color="auto"/>
              <w:bottom w:val="single" w:sz="4" w:space="0" w:color="auto"/>
              <w:right w:val="single" w:sz="4" w:space="0" w:color="auto"/>
            </w:tcBorders>
            <w:shd w:val="clear" w:color="auto" w:fill="5C75A2"/>
            <w:vAlign w:val="center"/>
          </w:tcPr>
          <w:p w14:paraId="27FF7D9D" w14:textId="77777777" w:rsidR="0064331C" w:rsidRPr="0064331C" w:rsidRDefault="0064331C" w:rsidP="005D385E">
            <w:pPr>
              <w:jc w:val="center"/>
              <w:rPr>
                <w:b/>
                <w:bCs/>
                <w:sz w:val="20"/>
                <w:szCs w:val="20"/>
                <w:lang w:eastAsia="fr-FR"/>
              </w:rPr>
            </w:pPr>
            <w:r w:rsidRPr="0064331C">
              <w:rPr>
                <w:b/>
                <w:bCs/>
                <w:sz w:val="20"/>
                <w:szCs w:val="20"/>
                <w:lang w:eastAsia="fr-FR"/>
              </w:rPr>
              <w:t>Conditions</w:t>
            </w:r>
          </w:p>
        </w:tc>
        <w:tc>
          <w:tcPr>
            <w:tcW w:w="2607" w:type="dxa"/>
            <w:gridSpan w:val="4"/>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0F82B02D" w14:textId="77777777" w:rsidR="0064331C" w:rsidRPr="0064331C" w:rsidRDefault="0064331C" w:rsidP="005D385E">
            <w:pPr>
              <w:jc w:val="center"/>
              <w:rPr>
                <w:b/>
                <w:bCs/>
                <w:sz w:val="20"/>
                <w:szCs w:val="20"/>
                <w:lang w:eastAsia="fr-FR"/>
              </w:rPr>
            </w:pPr>
            <w:r w:rsidRPr="0064331C">
              <w:rPr>
                <w:b/>
                <w:bCs/>
                <w:sz w:val="20"/>
                <w:szCs w:val="20"/>
                <w:lang w:eastAsia="fr-FR"/>
              </w:rPr>
              <w:t>Valeur limite d'émission (mg/Nm</w:t>
            </w:r>
            <w:r w:rsidRPr="0064331C">
              <w:rPr>
                <w:b/>
                <w:bCs/>
                <w:sz w:val="20"/>
                <w:szCs w:val="20"/>
                <w:vertAlign w:val="superscript"/>
                <w:lang w:eastAsia="fr-FR"/>
              </w:rPr>
              <w:t>3</w:t>
            </w:r>
            <w:r w:rsidRPr="0064331C">
              <w:rPr>
                <w:b/>
                <w:bCs/>
                <w:sz w:val="20"/>
                <w:szCs w:val="20"/>
                <w:lang w:eastAsia="fr-FR"/>
              </w:rPr>
              <w:t>)</w:t>
            </w:r>
          </w:p>
        </w:tc>
      </w:tr>
      <w:bookmarkEnd w:id="9"/>
      <w:tr w:rsidR="0064331C" w:rsidRPr="0064331C" w14:paraId="5AEDB478" w14:textId="77777777" w:rsidTr="005D385E">
        <w:trPr>
          <w:trHeight w:val="743"/>
          <w:jc w:val="center"/>
        </w:trPr>
        <w:tc>
          <w:tcPr>
            <w:tcW w:w="151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0578D40"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6648" w:type="dxa"/>
            <w:gridSpan w:val="8"/>
            <w:tcBorders>
              <w:top w:val="single" w:sz="4" w:space="0" w:color="auto"/>
              <w:left w:val="single" w:sz="4" w:space="0" w:color="auto"/>
              <w:bottom w:val="single" w:sz="4" w:space="0" w:color="auto"/>
              <w:right w:val="single" w:sz="4" w:space="0" w:color="auto"/>
            </w:tcBorders>
            <w:shd w:val="clear" w:color="auto" w:fill="EEEEEE"/>
            <w:vAlign w:val="center"/>
          </w:tcPr>
          <w:p w14:paraId="49D2B76D" w14:textId="77777777" w:rsidR="0064331C" w:rsidRPr="0064331C" w:rsidRDefault="0064331C" w:rsidP="005D385E">
            <w:pPr>
              <w:jc w:val="center"/>
              <w:rPr>
                <w:b/>
                <w:bCs/>
                <w:sz w:val="20"/>
                <w:szCs w:val="20"/>
                <w:lang w:eastAsia="fr-FR"/>
              </w:rPr>
            </w:pPr>
            <w:r w:rsidRPr="0064331C">
              <w:rPr>
                <w:bCs/>
                <w:sz w:val="20"/>
                <w:szCs w:val="20"/>
                <w:lang w:eastAsia="fr-FR"/>
              </w:rPr>
              <w:t>Dans le cas des installations brûlant des combustibles à teneur moyenne en potassium égale ou supérieure à 2 000 mg/kg (poids sec) ou à teneur moyenne en sodium égale ou supérieure à 300 mg/kg</w:t>
            </w:r>
          </w:p>
        </w:tc>
        <w:tc>
          <w:tcPr>
            <w:tcW w:w="2607"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3D3AF02" w14:textId="77777777" w:rsidR="0064331C" w:rsidRPr="0064331C" w:rsidRDefault="0064331C" w:rsidP="005D385E">
            <w:pPr>
              <w:jc w:val="center"/>
              <w:rPr>
                <w:sz w:val="20"/>
                <w:szCs w:val="20"/>
                <w:lang w:eastAsia="fr-FR"/>
              </w:rPr>
            </w:pPr>
            <w:r w:rsidRPr="0064331C">
              <w:rPr>
                <w:sz w:val="20"/>
                <w:szCs w:val="20"/>
                <w:lang w:eastAsia="fr-FR"/>
              </w:rPr>
              <w:t xml:space="preserve">NOx : </w:t>
            </w:r>
            <w:r w:rsidRPr="0064331C">
              <w:rPr>
                <w:sz w:val="20"/>
                <w:szCs w:val="20"/>
                <w:shd w:val="clear" w:color="auto" w:fill="E2EFD9" w:themeFill="accent6" w:themeFillTint="33"/>
                <w:lang w:eastAsia="fr-FR"/>
              </w:rPr>
              <w:t>A = 200</w:t>
            </w:r>
          </w:p>
        </w:tc>
      </w:tr>
      <w:tr w:rsidR="0064331C" w:rsidRPr="0064331C" w14:paraId="4461E07F" w14:textId="77777777" w:rsidTr="005D385E">
        <w:trPr>
          <w:trHeight w:val="688"/>
          <w:jc w:val="center"/>
        </w:trPr>
        <w:tc>
          <w:tcPr>
            <w:tcW w:w="151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C314A24" w14:textId="77777777" w:rsidR="0064331C" w:rsidRPr="0064331C" w:rsidRDefault="0064331C" w:rsidP="005D385E">
            <w:pPr>
              <w:jc w:val="center"/>
              <w:rPr>
                <w:b/>
                <w:bCs/>
                <w:sz w:val="20"/>
                <w:szCs w:val="20"/>
                <w:lang w:eastAsia="fr-FR"/>
              </w:rPr>
            </w:pPr>
            <w:r w:rsidRPr="0064331C">
              <w:rPr>
                <w:b/>
                <w:bCs/>
                <w:sz w:val="20"/>
                <w:szCs w:val="20"/>
                <w:lang w:eastAsia="fr-FR"/>
              </w:rPr>
              <w:t>(2)</w:t>
            </w:r>
          </w:p>
        </w:tc>
        <w:tc>
          <w:tcPr>
            <w:tcW w:w="6648" w:type="dxa"/>
            <w:gridSpan w:val="8"/>
            <w:tcBorders>
              <w:top w:val="single" w:sz="4" w:space="0" w:color="auto"/>
              <w:left w:val="single" w:sz="4" w:space="0" w:color="auto"/>
              <w:bottom w:val="single" w:sz="4" w:space="0" w:color="auto"/>
              <w:right w:val="single" w:sz="4" w:space="0" w:color="auto"/>
            </w:tcBorders>
            <w:shd w:val="clear" w:color="auto" w:fill="EEEEEE"/>
            <w:vAlign w:val="center"/>
          </w:tcPr>
          <w:p w14:paraId="39F62C28" w14:textId="77777777" w:rsidR="0064331C" w:rsidRPr="0064331C" w:rsidRDefault="0064331C" w:rsidP="005D385E">
            <w:pPr>
              <w:jc w:val="center"/>
              <w:rPr>
                <w:bCs/>
                <w:sz w:val="20"/>
                <w:szCs w:val="20"/>
                <w:lang w:eastAsia="fr-FR"/>
              </w:rPr>
            </w:pPr>
            <w:r w:rsidRPr="0064331C">
              <w:rPr>
                <w:bCs/>
                <w:sz w:val="20"/>
                <w:szCs w:val="20"/>
                <w:lang w:eastAsia="fr-FR"/>
              </w:rPr>
              <w:t>Dans le cas des installations brûlant des combustibles à teneur moyenne en potassium égale ou supérieure à 2 000 mg/kg (poids sec) ou à teneur moyenne en sodium égale ou supérieure à 300 mg/kg</w:t>
            </w:r>
          </w:p>
        </w:tc>
        <w:tc>
          <w:tcPr>
            <w:tcW w:w="2607"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408D5B8" w14:textId="77777777" w:rsidR="0064331C" w:rsidRPr="0064331C" w:rsidRDefault="0064331C" w:rsidP="005D385E">
            <w:pPr>
              <w:jc w:val="center"/>
              <w:rPr>
                <w:sz w:val="20"/>
                <w:szCs w:val="20"/>
                <w:lang w:eastAsia="fr-FR"/>
              </w:rPr>
            </w:pPr>
            <w:r w:rsidRPr="0064331C">
              <w:rPr>
                <w:sz w:val="20"/>
                <w:szCs w:val="20"/>
                <w:lang w:eastAsia="fr-FR"/>
              </w:rPr>
              <w:t xml:space="preserve">NOx : </w:t>
            </w:r>
            <w:r w:rsidRPr="0064331C">
              <w:rPr>
                <w:sz w:val="20"/>
                <w:szCs w:val="20"/>
                <w:shd w:val="clear" w:color="auto" w:fill="B4C6E7" w:themeFill="accent5" w:themeFillTint="66"/>
                <w:lang w:eastAsia="fr-FR"/>
              </w:rPr>
              <w:t>M = 250</w:t>
            </w:r>
          </w:p>
          <w:p w14:paraId="51FBCFDB" w14:textId="77777777" w:rsidR="0064331C" w:rsidRPr="0064331C" w:rsidRDefault="0064331C" w:rsidP="005D385E">
            <w:pPr>
              <w:jc w:val="center"/>
              <w:rPr>
                <w:sz w:val="20"/>
                <w:szCs w:val="20"/>
                <w:lang w:eastAsia="fr-FR"/>
              </w:rPr>
            </w:pPr>
            <w:r w:rsidRPr="0064331C">
              <w:rPr>
                <w:sz w:val="20"/>
                <w:szCs w:val="20"/>
                <w:lang w:eastAsia="fr-FR"/>
              </w:rPr>
              <w:t xml:space="preserve">NOx : </w:t>
            </w:r>
            <w:r w:rsidRPr="0064331C">
              <w:rPr>
                <w:sz w:val="20"/>
                <w:szCs w:val="20"/>
                <w:shd w:val="clear" w:color="auto" w:fill="E2EFD9" w:themeFill="accent6" w:themeFillTint="33"/>
                <w:lang w:eastAsia="fr-FR"/>
              </w:rPr>
              <w:t>J = 250</w:t>
            </w:r>
          </w:p>
        </w:tc>
      </w:tr>
      <w:tr w:rsidR="0064331C" w:rsidRPr="0064331C" w14:paraId="74137CB4" w14:textId="77777777" w:rsidTr="005D385E">
        <w:trPr>
          <w:jc w:val="center"/>
        </w:trPr>
        <w:tc>
          <w:tcPr>
            <w:tcW w:w="151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9EE3D1A"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6648" w:type="dxa"/>
            <w:gridSpan w:val="8"/>
            <w:tcBorders>
              <w:top w:val="single" w:sz="4" w:space="0" w:color="auto"/>
              <w:left w:val="single" w:sz="4" w:space="0" w:color="auto"/>
              <w:bottom w:val="single" w:sz="4" w:space="0" w:color="auto"/>
              <w:right w:val="single" w:sz="4" w:space="0" w:color="auto"/>
            </w:tcBorders>
            <w:shd w:val="clear" w:color="auto" w:fill="EEEEEE"/>
            <w:vAlign w:val="center"/>
          </w:tcPr>
          <w:p w14:paraId="43AB0DE6" w14:textId="1434C02C" w:rsidR="0064331C" w:rsidRPr="0064331C" w:rsidRDefault="0064331C" w:rsidP="005D385E">
            <w:pPr>
              <w:jc w:val="center"/>
              <w:rPr>
                <w:bCs/>
                <w:sz w:val="20"/>
                <w:szCs w:val="20"/>
                <w:lang w:eastAsia="fr-FR"/>
              </w:rPr>
            </w:pPr>
            <w:r w:rsidRPr="0064331C">
              <w:rPr>
                <w:sz w:val="20"/>
                <w:szCs w:val="20"/>
              </w:rPr>
              <w:t>Si la proportion de gaz de cokerie est ≤ 50</w:t>
            </w:r>
            <w:r w:rsidR="00132DC3">
              <w:rPr>
                <w:sz w:val="20"/>
                <w:szCs w:val="20"/>
              </w:rPr>
              <w:t xml:space="preserve"> </w:t>
            </w:r>
            <w:r w:rsidRPr="0064331C">
              <w:rPr>
                <w:sz w:val="20"/>
                <w:szCs w:val="20"/>
              </w:rPr>
              <w:t xml:space="preserve">% </w:t>
            </w:r>
          </w:p>
        </w:tc>
        <w:tc>
          <w:tcPr>
            <w:tcW w:w="2607"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14410959" w14:textId="73BD4493" w:rsidR="0064331C" w:rsidRPr="0064331C" w:rsidRDefault="0064331C" w:rsidP="005D385E">
            <w:pPr>
              <w:jc w:val="center"/>
              <w:rPr>
                <w:sz w:val="20"/>
                <w:szCs w:val="20"/>
              </w:rPr>
            </w:pPr>
            <w:proofErr w:type="spellStart"/>
            <w:r w:rsidRPr="0064331C">
              <w:rPr>
                <w:sz w:val="20"/>
                <w:szCs w:val="20"/>
              </w:rPr>
              <w:t>SO</w:t>
            </w:r>
            <w:r w:rsidR="00A836D7">
              <w:rPr>
                <w:sz w:val="20"/>
                <w:szCs w:val="20"/>
              </w:rPr>
              <w:t>x</w:t>
            </w:r>
            <w:proofErr w:type="spellEnd"/>
            <w:r w:rsidRPr="0064331C">
              <w:rPr>
                <w:sz w:val="20"/>
                <w:szCs w:val="20"/>
              </w:rPr>
              <w:t xml:space="preserve"> : </w:t>
            </w:r>
            <w:r w:rsidRPr="0064331C">
              <w:rPr>
                <w:sz w:val="20"/>
                <w:szCs w:val="20"/>
                <w:shd w:val="clear" w:color="auto" w:fill="E2EFD9" w:themeFill="accent6" w:themeFillTint="33"/>
              </w:rPr>
              <w:t>M = 200</w:t>
            </w:r>
          </w:p>
          <w:p w14:paraId="1E10582D" w14:textId="3EFCA98C" w:rsidR="0064331C" w:rsidRPr="0064331C" w:rsidRDefault="0064331C" w:rsidP="005D385E">
            <w:pPr>
              <w:jc w:val="center"/>
              <w:rPr>
                <w:b/>
                <w:bCs/>
                <w:sz w:val="20"/>
                <w:szCs w:val="20"/>
                <w:lang w:eastAsia="fr-FR"/>
              </w:rPr>
            </w:pPr>
            <w:proofErr w:type="spellStart"/>
            <w:r w:rsidRPr="0064331C">
              <w:rPr>
                <w:sz w:val="20"/>
                <w:szCs w:val="20"/>
              </w:rPr>
              <w:t>SO</w:t>
            </w:r>
            <w:r w:rsidR="00A836D7">
              <w:rPr>
                <w:sz w:val="20"/>
                <w:szCs w:val="20"/>
              </w:rPr>
              <w:t>x</w:t>
            </w:r>
            <w:proofErr w:type="spellEnd"/>
            <w:r w:rsidRPr="0064331C">
              <w:rPr>
                <w:sz w:val="20"/>
                <w:szCs w:val="20"/>
              </w:rPr>
              <w:t xml:space="preserve"> : </w:t>
            </w:r>
            <w:r w:rsidRPr="0064331C">
              <w:rPr>
                <w:sz w:val="20"/>
                <w:szCs w:val="20"/>
                <w:shd w:val="clear" w:color="auto" w:fill="E2EFD9" w:themeFill="accent6" w:themeFillTint="33"/>
              </w:rPr>
              <w:t>J = 200</w:t>
            </w:r>
          </w:p>
        </w:tc>
      </w:tr>
      <w:tr w:rsidR="0064331C" w:rsidRPr="0064331C" w14:paraId="60BE1DEA" w14:textId="77777777" w:rsidTr="005D385E">
        <w:trPr>
          <w:jc w:val="center"/>
        </w:trPr>
        <w:tc>
          <w:tcPr>
            <w:tcW w:w="151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2AA3F4BC" w14:textId="77777777" w:rsidR="0064331C" w:rsidRPr="0064331C" w:rsidRDefault="0064331C" w:rsidP="005D385E">
            <w:pPr>
              <w:jc w:val="center"/>
              <w:rPr>
                <w:b/>
                <w:bCs/>
                <w:sz w:val="20"/>
                <w:szCs w:val="20"/>
                <w:lang w:eastAsia="fr-FR"/>
              </w:rPr>
            </w:pPr>
            <w:r w:rsidRPr="0064331C">
              <w:rPr>
                <w:b/>
                <w:bCs/>
                <w:sz w:val="20"/>
                <w:szCs w:val="20"/>
                <w:lang w:eastAsia="fr-FR"/>
              </w:rPr>
              <w:t>(4)</w:t>
            </w:r>
          </w:p>
        </w:tc>
        <w:tc>
          <w:tcPr>
            <w:tcW w:w="6648" w:type="dxa"/>
            <w:gridSpan w:val="8"/>
            <w:tcBorders>
              <w:top w:val="single" w:sz="4" w:space="0" w:color="auto"/>
              <w:left w:val="single" w:sz="4" w:space="0" w:color="auto"/>
              <w:bottom w:val="single" w:sz="4" w:space="0" w:color="auto"/>
              <w:right w:val="single" w:sz="4" w:space="0" w:color="auto"/>
            </w:tcBorders>
            <w:shd w:val="clear" w:color="auto" w:fill="EEEEEE"/>
            <w:vAlign w:val="center"/>
          </w:tcPr>
          <w:p w14:paraId="6EF0A723" w14:textId="77777777" w:rsidR="0064331C" w:rsidRPr="0064331C" w:rsidRDefault="0064331C" w:rsidP="005D385E">
            <w:pPr>
              <w:jc w:val="center"/>
              <w:rPr>
                <w:sz w:val="20"/>
                <w:szCs w:val="20"/>
              </w:rPr>
            </w:pPr>
            <w:r w:rsidRPr="0064331C">
              <w:rPr>
                <w:sz w:val="20"/>
                <w:szCs w:val="20"/>
              </w:rPr>
              <w:t>Si gaz produits par les aciéries pouvant être utilisés ailleurs</w:t>
            </w:r>
          </w:p>
        </w:tc>
        <w:tc>
          <w:tcPr>
            <w:tcW w:w="2607"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2148D790" w14:textId="77777777" w:rsidR="0064331C" w:rsidRPr="0064331C" w:rsidRDefault="0064331C" w:rsidP="005D385E">
            <w:pPr>
              <w:jc w:val="center"/>
              <w:rPr>
                <w:sz w:val="20"/>
                <w:szCs w:val="20"/>
              </w:rPr>
            </w:pPr>
            <w:r w:rsidRPr="0064331C">
              <w:rPr>
                <w:sz w:val="20"/>
                <w:szCs w:val="20"/>
              </w:rPr>
              <w:t xml:space="preserve">Poussières : </w:t>
            </w:r>
            <w:r w:rsidRPr="0064331C">
              <w:rPr>
                <w:sz w:val="20"/>
                <w:szCs w:val="20"/>
                <w:shd w:val="clear" w:color="auto" w:fill="E2EFD9" w:themeFill="accent6" w:themeFillTint="33"/>
              </w:rPr>
              <w:t>M = 10</w:t>
            </w:r>
          </w:p>
          <w:p w14:paraId="02826DE2" w14:textId="77777777" w:rsidR="0064331C" w:rsidRPr="0064331C" w:rsidRDefault="0064331C" w:rsidP="005D385E">
            <w:pPr>
              <w:jc w:val="center"/>
              <w:rPr>
                <w:sz w:val="20"/>
                <w:szCs w:val="20"/>
              </w:rPr>
            </w:pPr>
            <w:r w:rsidRPr="0064331C">
              <w:rPr>
                <w:sz w:val="20"/>
                <w:szCs w:val="20"/>
              </w:rPr>
              <w:t xml:space="preserve">Poussières : </w:t>
            </w:r>
            <w:r w:rsidRPr="0064331C">
              <w:rPr>
                <w:sz w:val="20"/>
                <w:szCs w:val="20"/>
                <w:shd w:val="clear" w:color="auto" w:fill="E2EFD9" w:themeFill="accent6" w:themeFillTint="33"/>
              </w:rPr>
              <w:t>J = 10</w:t>
            </w:r>
          </w:p>
        </w:tc>
      </w:tr>
    </w:tbl>
    <w:p w14:paraId="788E774B" w14:textId="77777777" w:rsidR="0064331C" w:rsidRPr="0064331C" w:rsidRDefault="0064331C" w:rsidP="0064331C">
      <w:pPr>
        <w:rPr>
          <w:b/>
          <w:bCs/>
          <w:u w:val="single"/>
        </w:rPr>
      </w:pPr>
    </w:p>
    <w:p w14:paraId="0C836E90" w14:textId="49700DBF" w:rsidR="0064331C" w:rsidRPr="00B07376" w:rsidRDefault="0064331C" w:rsidP="00C33A7E">
      <w:pPr>
        <w:jc w:val="both"/>
      </w:pPr>
      <w:r w:rsidRPr="00B07376">
        <w:t>« </w:t>
      </w:r>
      <w:proofErr w:type="gramStart"/>
      <w:r w:rsidRPr="00B07376">
        <w:t>b</w:t>
      </w:r>
      <w:proofErr w:type="gramEnd"/>
      <w:r w:rsidRPr="00B07376">
        <w:t>) Installations</w:t>
      </w:r>
      <w:r w:rsidR="00C33A7E" w:rsidRPr="00B07376">
        <w:t xml:space="preserve"> de combustion</w:t>
      </w:r>
      <w:r w:rsidRPr="00B07376">
        <w:t xml:space="preserve"> mises en service à compter du 7</w:t>
      </w:r>
      <w:r w:rsidR="00A06197" w:rsidRPr="00B07376">
        <w:t xml:space="preserve"> janvier </w:t>
      </w:r>
      <w:r w:rsidRPr="00B07376">
        <w:t>2014 et</w:t>
      </w:r>
      <w:r w:rsidR="00A06197" w:rsidRPr="00B07376">
        <w:t xml:space="preserve"> dont l’autorisation </w:t>
      </w:r>
      <w:r w:rsidR="00A204F6">
        <w:t>a été délivrée</w:t>
      </w:r>
      <w:r w:rsidR="00A06197" w:rsidRPr="00B07376">
        <w:t xml:space="preserve"> </w:t>
      </w:r>
      <w:r w:rsidR="00A204F6">
        <w:t>avant</w:t>
      </w:r>
      <w:r w:rsidR="00A06197" w:rsidRPr="00B07376">
        <w:t xml:space="preserve"> le </w:t>
      </w:r>
      <w:r w:rsidRPr="00B07376">
        <w:t>17</w:t>
      </w:r>
      <w:r w:rsidR="00A06197" w:rsidRPr="00B07376">
        <w:t xml:space="preserve"> août </w:t>
      </w:r>
      <w:r w:rsidRPr="00B07376">
        <w:t>2017 :</w:t>
      </w:r>
    </w:p>
    <w:p w14:paraId="797C4C77" w14:textId="77777777" w:rsidR="0064331C" w:rsidRPr="0064331C" w:rsidRDefault="0064331C" w:rsidP="0064331C">
      <w:pPr>
        <w:shd w:val="clear" w:color="auto" w:fill="FFFFFF"/>
        <w:jc w:val="both"/>
        <w:rPr>
          <w:bCs/>
          <w:lang w:eastAsia="fr-FR"/>
        </w:rPr>
      </w:pPr>
    </w:p>
    <w:p w14:paraId="308E7CF9" w14:textId="03947A07" w:rsidR="0064331C" w:rsidRPr="0064331C" w:rsidRDefault="0064331C" w:rsidP="0064331C">
      <w:pPr>
        <w:shd w:val="clear" w:color="auto" w:fill="FFFFFF"/>
        <w:jc w:val="both"/>
        <w:rPr>
          <w:bCs/>
          <w:lang w:eastAsia="fr-FR"/>
        </w:rPr>
      </w:pPr>
      <w:r>
        <w:rPr>
          <w:bCs/>
          <w:lang w:eastAsia="fr-FR"/>
        </w:rPr>
        <w:t>« </w:t>
      </w:r>
      <w:r w:rsidRPr="0064331C">
        <w:rPr>
          <w:bCs/>
          <w:lang w:eastAsia="fr-FR"/>
        </w:rPr>
        <w:t xml:space="preserve">Pour les polluants et combustibles pour lesquels aucune valeur limite d’émission n’est mentionnée dans le tableau ci-dessous, </w:t>
      </w:r>
      <w:r w:rsidR="00316A25" w:rsidRPr="00316A25">
        <w:rPr>
          <w:bCs/>
          <w:lang w:eastAsia="fr-FR"/>
        </w:rPr>
        <w:t xml:space="preserve">les valeurs limites applicables sont celles du point a) du I de l’article 10 du présent </w:t>
      </w:r>
      <w:r w:rsidR="00316A25">
        <w:rPr>
          <w:bCs/>
          <w:lang w:eastAsia="fr-FR"/>
        </w:rPr>
        <w:t>arrêté</w:t>
      </w:r>
      <w:r w:rsidRPr="0064331C">
        <w:rPr>
          <w:bCs/>
          <w:lang w:eastAsia="fr-FR"/>
        </w:rPr>
        <w:t>.</w:t>
      </w:r>
    </w:p>
    <w:p w14:paraId="063FA16E" w14:textId="77777777" w:rsidR="00316A25" w:rsidRPr="0064331C" w:rsidRDefault="0064331C" w:rsidP="00316A25">
      <w:pPr>
        <w:jc w:val="both"/>
        <w:rPr>
          <w:bCs/>
          <w:lang w:eastAsia="fr-FR"/>
        </w:rPr>
      </w:pPr>
      <w:r>
        <w:rPr>
          <w:bCs/>
          <w:lang w:eastAsia="fr-FR"/>
        </w:rPr>
        <w:t>« </w:t>
      </w:r>
      <w:r w:rsidRPr="0064331C">
        <w:rPr>
          <w:bCs/>
          <w:lang w:eastAsia="fr-FR"/>
        </w:rPr>
        <w:t xml:space="preserve">Pour les installations </w:t>
      </w:r>
      <w:r w:rsidR="00C33A7E">
        <w:rPr>
          <w:bCs/>
          <w:lang w:eastAsia="fr-FR"/>
        </w:rPr>
        <w:t xml:space="preserve">de combustion </w:t>
      </w:r>
      <w:r w:rsidRPr="0064331C">
        <w:rPr>
          <w:bCs/>
          <w:lang w:eastAsia="fr-FR"/>
        </w:rPr>
        <w:t xml:space="preserve">exploitées moins de 500 heures par an, </w:t>
      </w:r>
      <w:r w:rsidR="00316A25" w:rsidRPr="0064331C">
        <w:rPr>
          <w:bCs/>
          <w:lang w:eastAsia="fr-FR"/>
        </w:rPr>
        <w:t xml:space="preserve">seules les dispositions </w:t>
      </w:r>
      <w:r w:rsidR="00316A25">
        <w:rPr>
          <w:bCs/>
          <w:lang w:eastAsia="fr-FR"/>
        </w:rPr>
        <w:t xml:space="preserve">du point </w:t>
      </w:r>
      <w:proofErr w:type="gramStart"/>
      <w:r w:rsidR="00316A25">
        <w:rPr>
          <w:bCs/>
          <w:lang w:eastAsia="fr-FR"/>
        </w:rPr>
        <w:t>a</w:t>
      </w:r>
      <w:proofErr w:type="gramEnd"/>
      <w:r w:rsidR="00316A25">
        <w:rPr>
          <w:bCs/>
          <w:lang w:eastAsia="fr-FR"/>
        </w:rPr>
        <w:t xml:space="preserve">) du I </w:t>
      </w:r>
      <w:r w:rsidR="00316A25" w:rsidRPr="0064331C">
        <w:rPr>
          <w:bCs/>
          <w:lang w:eastAsia="fr-FR"/>
        </w:rPr>
        <w:t>de l’article 10 s’appliquent.</w:t>
      </w:r>
    </w:p>
    <w:p w14:paraId="429A230F" w14:textId="6BC11C64" w:rsidR="0064331C" w:rsidRPr="0064331C" w:rsidRDefault="0064331C" w:rsidP="0064331C">
      <w:pPr>
        <w:jc w:val="both"/>
        <w:rPr>
          <w:bCs/>
          <w:lang w:eastAsia="fr-FR"/>
        </w:rPr>
      </w:pPr>
      <w:r>
        <w:rPr>
          <w:bCs/>
          <w:lang w:eastAsia="fr-FR"/>
        </w:rPr>
        <w:t>« </w:t>
      </w:r>
      <w:r w:rsidRPr="0064331C">
        <w:rPr>
          <w:bCs/>
          <w:lang w:eastAsia="fr-FR"/>
        </w:rPr>
        <w:t xml:space="preserve">Pour les installations </w:t>
      </w:r>
      <w:r w:rsidR="00C33A7E">
        <w:rPr>
          <w:bCs/>
          <w:lang w:eastAsia="fr-FR"/>
        </w:rPr>
        <w:t xml:space="preserve">de combustion </w:t>
      </w:r>
      <w:r w:rsidRPr="0064331C">
        <w:rPr>
          <w:bCs/>
          <w:lang w:eastAsia="fr-FR"/>
        </w:rPr>
        <w:t xml:space="preserve">exploitées moins de 1500 heures par an, les </w:t>
      </w:r>
      <w:r w:rsidR="00C33A7E">
        <w:rPr>
          <w:bCs/>
          <w:lang w:eastAsia="fr-FR"/>
        </w:rPr>
        <w:t>valeurs limites d’émission</w:t>
      </w:r>
      <w:r w:rsidR="00C33A7E" w:rsidRPr="0064331C">
        <w:rPr>
          <w:bCs/>
          <w:lang w:eastAsia="fr-FR"/>
        </w:rPr>
        <w:t xml:space="preserve"> </w:t>
      </w:r>
      <w:r w:rsidRPr="0064331C">
        <w:rPr>
          <w:bCs/>
          <w:lang w:eastAsia="fr-FR"/>
        </w:rPr>
        <w:t xml:space="preserve">annuelles ne s’appliquent pas. </w:t>
      </w:r>
    </w:p>
    <w:p w14:paraId="61B07258" w14:textId="520876A6" w:rsidR="0064331C" w:rsidRPr="0064331C" w:rsidRDefault="0064331C" w:rsidP="0064331C">
      <w:pPr>
        <w:jc w:val="both"/>
      </w:pPr>
    </w:p>
    <w:tbl>
      <w:tblPr>
        <w:tblW w:w="1048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16"/>
        <w:gridCol w:w="397"/>
        <w:gridCol w:w="21"/>
        <w:gridCol w:w="1494"/>
        <w:gridCol w:w="792"/>
        <w:gridCol w:w="775"/>
        <w:gridCol w:w="775"/>
        <w:gridCol w:w="792"/>
        <w:gridCol w:w="775"/>
        <w:gridCol w:w="775"/>
        <w:gridCol w:w="830"/>
        <w:gridCol w:w="851"/>
        <w:gridCol w:w="992"/>
      </w:tblGrid>
      <w:tr w:rsidR="0064331C" w:rsidRPr="0064331C" w14:paraId="68694599" w14:textId="77777777" w:rsidTr="005D385E">
        <w:trPr>
          <w:trHeight w:val="430"/>
          <w:jc w:val="center"/>
        </w:trPr>
        <w:tc>
          <w:tcPr>
            <w:tcW w:w="1634" w:type="dxa"/>
            <w:gridSpan w:val="3"/>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491F93BA"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Combustibles</w:t>
            </w:r>
          </w:p>
        </w:tc>
        <w:tc>
          <w:tcPr>
            <w:tcW w:w="1494" w:type="dxa"/>
            <w:vMerge w:val="restart"/>
            <w:tcBorders>
              <w:top w:val="single" w:sz="4" w:space="0" w:color="auto"/>
              <w:left w:val="single" w:sz="4" w:space="0" w:color="auto"/>
              <w:right w:val="single" w:sz="4" w:space="0" w:color="auto"/>
            </w:tcBorders>
            <w:shd w:val="clear" w:color="auto" w:fill="5C75A2"/>
            <w:vAlign w:val="center"/>
          </w:tcPr>
          <w:p w14:paraId="5B7326C7"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Puissance P (MW)</w:t>
            </w:r>
          </w:p>
        </w:tc>
        <w:tc>
          <w:tcPr>
            <w:tcW w:w="2342"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6BA382D2"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SO</w:t>
            </w:r>
            <w:r w:rsidRPr="0064331C">
              <w:rPr>
                <w:b/>
                <w:bCs/>
                <w:color w:val="FFFFFF" w:themeColor="background1"/>
                <w:sz w:val="20"/>
                <w:szCs w:val="20"/>
                <w:vertAlign w:val="subscript"/>
                <w:lang w:eastAsia="fr-FR"/>
              </w:rPr>
              <w:t>2</w:t>
            </w:r>
            <w:r w:rsidRPr="0064331C">
              <w:rPr>
                <w:b/>
                <w:bCs/>
                <w:color w:val="FFFFFF" w:themeColor="background1"/>
                <w:sz w:val="20"/>
                <w:szCs w:val="20"/>
                <w:lang w:eastAsia="fr-FR"/>
              </w:rPr>
              <w:t xml:space="preserve">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c>
          <w:tcPr>
            <w:tcW w:w="2342"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7ADEAD05"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NOx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4BA08709"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Poussières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r>
      <w:tr w:rsidR="0064331C" w:rsidRPr="0064331C" w14:paraId="581C1360" w14:textId="77777777" w:rsidTr="005D385E">
        <w:trPr>
          <w:trHeight w:val="354"/>
          <w:jc w:val="center"/>
        </w:trPr>
        <w:tc>
          <w:tcPr>
            <w:tcW w:w="1634" w:type="dxa"/>
            <w:gridSpan w:val="3"/>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99FFCEA" w14:textId="77777777" w:rsidR="0064331C" w:rsidRPr="0064331C" w:rsidRDefault="0064331C" w:rsidP="005D385E">
            <w:pPr>
              <w:jc w:val="center"/>
              <w:rPr>
                <w:b/>
                <w:bCs/>
                <w:color w:val="FFFFFF" w:themeColor="background1"/>
                <w:sz w:val="20"/>
                <w:szCs w:val="20"/>
                <w:lang w:eastAsia="fr-FR"/>
              </w:rPr>
            </w:pPr>
          </w:p>
        </w:tc>
        <w:tc>
          <w:tcPr>
            <w:tcW w:w="1494" w:type="dxa"/>
            <w:vMerge/>
            <w:tcBorders>
              <w:left w:val="single" w:sz="4" w:space="0" w:color="auto"/>
              <w:bottom w:val="single" w:sz="4" w:space="0" w:color="auto"/>
              <w:right w:val="single" w:sz="4" w:space="0" w:color="auto"/>
            </w:tcBorders>
            <w:shd w:val="clear" w:color="auto" w:fill="5C75A2"/>
            <w:vAlign w:val="center"/>
          </w:tcPr>
          <w:p w14:paraId="79B659EC" w14:textId="77777777" w:rsidR="0064331C" w:rsidRPr="0064331C" w:rsidRDefault="0064331C" w:rsidP="005D385E">
            <w:pPr>
              <w:jc w:val="center"/>
              <w:rPr>
                <w:b/>
                <w:bCs/>
                <w:color w:val="FFFFFF" w:themeColor="background1"/>
                <w:sz w:val="20"/>
                <w:szCs w:val="20"/>
                <w:lang w:eastAsia="fr-FR"/>
              </w:rPr>
            </w:pPr>
          </w:p>
        </w:tc>
        <w:tc>
          <w:tcPr>
            <w:tcW w:w="792"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63A4A66C"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75" w:type="dxa"/>
            <w:tcBorders>
              <w:top w:val="single" w:sz="4" w:space="0" w:color="auto"/>
              <w:left w:val="single" w:sz="4" w:space="0" w:color="auto"/>
              <w:bottom w:val="single" w:sz="4" w:space="0" w:color="auto"/>
              <w:right w:val="single" w:sz="4" w:space="0" w:color="auto"/>
            </w:tcBorders>
            <w:shd w:val="clear" w:color="auto" w:fill="5C75A2"/>
            <w:vAlign w:val="center"/>
          </w:tcPr>
          <w:p w14:paraId="3E916875"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775" w:type="dxa"/>
            <w:tcBorders>
              <w:top w:val="single" w:sz="4" w:space="0" w:color="auto"/>
              <w:left w:val="single" w:sz="4" w:space="0" w:color="auto"/>
              <w:bottom w:val="single" w:sz="4" w:space="0" w:color="auto"/>
              <w:right w:val="single" w:sz="4" w:space="0" w:color="auto"/>
            </w:tcBorders>
            <w:shd w:val="clear" w:color="auto" w:fill="5C75A2"/>
            <w:vAlign w:val="center"/>
          </w:tcPr>
          <w:p w14:paraId="6B612791"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c>
          <w:tcPr>
            <w:tcW w:w="792"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937E86E"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75" w:type="dxa"/>
            <w:tcBorders>
              <w:top w:val="single" w:sz="4" w:space="0" w:color="auto"/>
              <w:left w:val="single" w:sz="4" w:space="0" w:color="auto"/>
              <w:bottom w:val="single" w:sz="4" w:space="0" w:color="auto"/>
              <w:right w:val="single" w:sz="4" w:space="0" w:color="auto"/>
            </w:tcBorders>
            <w:shd w:val="clear" w:color="auto" w:fill="5C75A2"/>
            <w:vAlign w:val="center"/>
          </w:tcPr>
          <w:p w14:paraId="40DC7617"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775" w:type="dxa"/>
            <w:tcBorders>
              <w:top w:val="single" w:sz="4" w:space="0" w:color="auto"/>
              <w:left w:val="single" w:sz="4" w:space="0" w:color="auto"/>
              <w:bottom w:val="single" w:sz="4" w:space="0" w:color="auto"/>
              <w:right w:val="single" w:sz="4" w:space="0" w:color="auto"/>
            </w:tcBorders>
            <w:shd w:val="clear" w:color="auto" w:fill="5C75A2"/>
            <w:vAlign w:val="center"/>
          </w:tcPr>
          <w:p w14:paraId="64AB17AF"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c>
          <w:tcPr>
            <w:tcW w:w="830"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12B891C8"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851" w:type="dxa"/>
            <w:tcBorders>
              <w:top w:val="single" w:sz="4" w:space="0" w:color="auto"/>
              <w:left w:val="single" w:sz="4" w:space="0" w:color="auto"/>
              <w:bottom w:val="single" w:sz="4" w:space="0" w:color="auto"/>
              <w:right w:val="single" w:sz="4" w:space="0" w:color="auto"/>
            </w:tcBorders>
            <w:shd w:val="clear" w:color="auto" w:fill="5C75A2"/>
            <w:vAlign w:val="center"/>
          </w:tcPr>
          <w:p w14:paraId="4DBD6D23"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992" w:type="dxa"/>
            <w:tcBorders>
              <w:top w:val="single" w:sz="4" w:space="0" w:color="auto"/>
              <w:left w:val="single" w:sz="4" w:space="0" w:color="auto"/>
              <w:bottom w:val="single" w:sz="4" w:space="0" w:color="auto"/>
              <w:right w:val="single" w:sz="4" w:space="0" w:color="auto"/>
            </w:tcBorders>
            <w:shd w:val="clear" w:color="auto" w:fill="5C75A2"/>
            <w:vAlign w:val="center"/>
          </w:tcPr>
          <w:p w14:paraId="7710BC7E"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r>
      <w:tr w:rsidR="0064331C" w:rsidRPr="0064331C" w14:paraId="3DF7120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shd w:val="clear" w:color="auto" w:fill="auto"/>
            <w:tcMar>
              <w:top w:w="150" w:type="dxa"/>
              <w:left w:w="150" w:type="dxa"/>
              <w:bottom w:w="150" w:type="dxa"/>
              <w:right w:w="150" w:type="dxa"/>
            </w:tcMar>
            <w:vAlign w:val="center"/>
          </w:tcPr>
          <w:p w14:paraId="48202F67" w14:textId="77777777" w:rsidR="0064331C" w:rsidRPr="0064331C" w:rsidRDefault="0064331C" w:rsidP="005D385E">
            <w:pPr>
              <w:jc w:val="center"/>
              <w:rPr>
                <w:b/>
                <w:bCs/>
                <w:sz w:val="20"/>
                <w:szCs w:val="20"/>
                <w:lang w:eastAsia="fr-FR"/>
              </w:rPr>
            </w:pPr>
            <w:r w:rsidRPr="0064331C">
              <w:rPr>
                <w:b/>
                <w:bCs/>
                <w:sz w:val="20"/>
                <w:szCs w:val="20"/>
                <w:lang w:eastAsia="fr-FR"/>
              </w:rPr>
              <w:t>Biomasse solide ou tourbe</w:t>
            </w:r>
          </w:p>
        </w:tc>
        <w:tc>
          <w:tcPr>
            <w:tcW w:w="1515" w:type="dxa"/>
            <w:gridSpan w:val="2"/>
            <w:shd w:val="clear" w:color="auto" w:fill="auto"/>
            <w:tcMar>
              <w:top w:w="150" w:type="dxa"/>
              <w:left w:w="150" w:type="dxa"/>
              <w:bottom w:w="150" w:type="dxa"/>
              <w:right w:w="150" w:type="dxa"/>
            </w:tcMar>
            <w:vAlign w:val="center"/>
          </w:tcPr>
          <w:p w14:paraId="15C760FB"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shd w:val="clear" w:color="auto" w:fill="E2EFD9" w:themeFill="accent6" w:themeFillTint="33"/>
            <w:tcMar>
              <w:top w:w="150" w:type="dxa"/>
              <w:left w:w="150" w:type="dxa"/>
              <w:bottom w:w="150" w:type="dxa"/>
              <w:right w:w="150" w:type="dxa"/>
            </w:tcMar>
            <w:vAlign w:val="center"/>
          </w:tcPr>
          <w:p w14:paraId="1CE03981"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B4C6E7" w:themeFill="accent5" w:themeFillTint="66"/>
            <w:vAlign w:val="center"/>
          </w:tcPr>
          <w:p w14:paraId="610AC5CE"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75" w:type="dxa"/>
            <w:shd w:val="clear" w:color="auto" w:fill="E2EFD9" w:themeFill="accent6" w:themeFillTint="33"/>
            <w:vAlign w:val="center"/>
          </w:tcPr>
          <w:p w14:paraId="755355A9" w14:textId="77777777" w:rsidR="0064331C" w:rsidRPr="0064331C" w:rsidRDefault="0064331C" w:rsidP="005D385E">
            <w:pPr>
              <w:jc w:val="center"/>
              <w:rPr>
                <w:b/>
                <w:bCs/>
                <w:sz w:val="20"/>
                <w:szCs w:val="20"/>
                <w:lang w:eastAsia="fr-FR"/>
              </w:rPr>
            </w:pPr>
            <w:r w:rsidRPr="0064331C">
              <w:rPr>
                <w:b/>
                <w:bCs/>
                <w:sz w:val="20"/>
                <w:szCs w:val="20"/>
                <w:lang w:eastAsia="fr-FR"/>
              </w:rPr>
              <w:t>215</w:t>
            </w:r>
          </w:p>
        </w:tc>
        <w:tc>
          <w:tcPr>
            <w:tcW w:w="792" w:type="dxa"/>
            <w:shd w:val="clear" w:color="auto" w:fill="E2EFD9" w:themeFill="accent6" w:themeFillTint="33"/>
            <w:tcMar>
              <w:top w:w="150" w:type="dxa"/>
              <w:left w:w="150" w:type="dxa"/>
              <w:bottom w:w="150" w:type="dxa"/>
              <w:right w:w="150" w:type="dxa"/>
            </w:tcMar>
            <w:vAlign w:val="center"/>
          </w:tcPr>
          <w:p w14:paraId="190A2ED4" w14:textId="77777777" w:rsidR="0064331C" w:rsidRPr="0064331C" w:rsidRDefault="0064331C" w:rsidP="005D385E">
            <w:pPr>
              <w:jc w:val="center"/>
              <w:rPr>
                <w:b/>
                <w:bCs/>
                <w:sz w:val="20"/>
                <w:szCs w:val="20"/>
                <w:lang w:eastAsia="fr-FR"/>
              </w:rPr>
            </w:pPr>
            <w:r w:rsidRPr="0064331C">
              <w:rPr>
                <w:b/>
                <w:bCs/>
                <w:sz w:val="20"/>
                <w:szCs w:val="20"/>
                <w:lang w:eastAsia="fr-FR"/>
              </w:rPr>
              <w:t>225</w:t>
            </w:r>
          </w:p>
          <w:p w14:paraId="36B34D5D"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775" w:type="dxa"/>
            <w:shd w:val="clear" w:color="auto" w:fill="B4C6E7" w:themeFill="accent5" w:themeFillTint="66"/>
            <w:vAlign w:val="center"/>
          </w:tcPr>
          <w:p w14:paraId="17ABB42A" w14:textId="77777777" w:rsidR="0064331C" w:rsidRPr="0064331C" w:rsidRDefault="0064331C" w:rsidP="005D385E">
            <w:pPr>
              <w:jc w:val="center"/>
              <w:rPr>
                <w:b/>
                <w:bCs/>
                <w:sz w:val="20"/>
                <w:szCs w:val="20"/>
                <w:lang w:eastAsia="fr-FR"/>
              </w:rPr>
            </w:pPr>
            <w:r w:rsidRPr="0064331C">
              <w:rPr>
                <w:b/>
                <w:bCs/>
                <w:sz w:val="20"/>
                <w:szCs w:val="20"/>
                <w:lang w:eastAsia="fr-FR"/>
              </w:rPr>
              <w:t>250</w:t>
            </w:r>
          </w:p>
        </w:tc>
        <w:tc>
          <w:tcPr>
            <w:tcW w:w="775" w:type="dxa"/>
            <w:shd w:val="clear" w:color="auto" w:fill="92D050"/>
            <w:vAlign w:val="center"/>
          </w:tcPr>
          <w:p w14:paraId="312B7EC2" w14:textId="77777777" w:rsidR="0064331C" w:rsidRPr="0064331C" w:rsidRDefault="0064331C" w:rsidP="005D385E">
            <w:pPr>
              <w:jc w:val="center"/>
              <w:rPr>
                <w:b/>
                <w:bCs/>
                <w:sz w:val="20"/>
                <w:szCs w:val="20"/>
                <w:lang w:eastAsia="fr-FR"/>
              </w:rPr>
            </w:pPr>
            <w:r w:rsidRPr="0064331C">
              <w:rPr>
                <w:b/>
                <w:bCs/>
                <w:sz w:val="20"/>
                <w:szCs w:val="20"/>
                <w:lang w:eastAsia="fr-FR"/>
              </w:rPr>
              <w:t>275</w:t>
            </w:r>
          </w:p>
        </w:tc>
        <w:tc>
          <w:tcPr>
            <w:tcW w:w="83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CAAA799"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8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9EC9197"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339A352F"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5055717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tcMar>
              <w:top w:w="150" w:type="dxa"/>
              <w:left w:w="150" w:type="dxa"/>
              <w:bottom w:w="150" w:type="dxa"/>
              <w:right w:w="150" w:type="dxa"/>
            </w:tcMar>
            <w:vAlign w:val="center"/>
          </w:tcPr>
          <w:p w14:paraId="4A7C95F3" w14:textId="77777777" w:rsidR="0064331C" w:rsidRPr="0064331C" w:rsidRDefault="0064331C" w:rsidP="005D385E">
            <w:pPr>
              <w:jc w:val="cente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28917694"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shd w:val="clear" w:color="auto" w:fill="E2EFD9" w:themeFill="accent6" w:themeFillTint="33"/>
            <w:tcMar>
              <w:top w:w="150" w:type="dxa"/>
              <w:left w:w="150" w:type="dxa"/>
              <w:bottom w:w="150" w:type="dxa"/>
              <w:right w:w="150" w:type="dxa"/>
            </w:tcMar>
            <w:vAlign w:val="center"/>
          </w:tcPr>
          <w:p w14:paraId="6F7EC36F" w14:textId="77777777" w:rsidR="0064331C" w:rsidRPr="0064331C" w:rsidRDefault="0064331C" w:rsidP="005D385E">
            <w:pPr>
              <w:jc w:val="center"/>
              <w:rPr>
                <w:b/>
                <w:bCs/>
                <w:sz w:val="20"/>
                <w:szCs w:val="20"/>
                <w:lang w:eastAsia="fr-FR"/>
              </w:rPr>
            </w:pPr>
            <w:r w:rsidRPr="0064331C">
              <w:rPr>
                <w:b/>
                <w:bCs/>
                <w:sz w:val="20"/>
                <w:szCs w:val="20"/>
                <w:lang w:eastAsia="fr-FR"/>
              </w:rPr>
              <w:t>70</w:t>
            </w:r>
          </w:p>
          <w:p w14:paraId="6D1C77F3" w14:textId="77777777" w:rsidR="0064331C" w:rsidRPr="0064331C" w:rsidRDefault="0064331C" w:rsidP="005D385E">
            <w:pPr>
              <w:jc w:val="center"/>
              <w:rPr>
                <w:b/>
                <w:bCs/>
                <w:sz w:val="20"/>
                <w:szCs w:val="20"/>
                <w:lang w:eastAsia="fr-FR"/>
              </w:rPr>
            </w:pPr>
            <w:r w:rsidRPr="0064331C">
              <w:rPr>
                <w:b/>
                <w:bCs/>
                <w:sz w:val="20"/>
                <w:szCs w:val="20"/>
                <w:lang w:eastAsia="fr-FR"/>
              </w:rPr>
              <w:t>(2)</w:t>
            </w:r>
          </w:p>
        </w:tc>
        <w:tc>
          <w:tcPr>
            <w:tcW w:w="775" w:type="dxa"/>
            <w:shd w:val="clear" w:color="auto" w:fill="E2EFD9" w:themeFill="accent6" w:themeFillTint="33"/>
            <w:vAlign w:val="center"/>
          </w:tcPr>
          <w:p w14:paraId="7832A494"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49E0B2FB" w14:textId="77777777" w:rsidR="0064331C" w:rsidRPr="0064331C" w:rsidRDefault="0064331C" w:rsidP="005D385E">
            <w:pPr>
              <w:jc w:val="center"/>
              <w:rPr>
                <w:b/>
                <w:bCs/>
                <w:sz w:val="20"/>
                <w:szCs w:val="20"/>
                <w:lang w:eastAsia="fr-FR"/>
              </w:rPr>
            </w:pPr>
            <w:r w:rsidRPr="0064331C">
              <w:rPr>
                <w:b/>
                <w:bCs/>
                <w:sz w:val="20"/>
                <w:szCs w:val="20"/>
                <w:lang w:eastAsia="fr-FR"/>
              </w:rPr>
              <w:t>(2)</w:t>
            </w:r>
          </w:p>
        </w:tc>
        <w:tc>
          <w:tcPr>
            <w:tcW w:w="775" w:type="dxa"/>
            <w:shd w:val="clear" w:color="auto" w:fill="E2EFD9" w:themeFill="accent6" w:themeFillTint="33"/>
            <w:vAlign w:val="center"/>
          </w:tcPr>
          <w:p w14:paraId="4C3F32B5"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2F891655" w14:textId="77777777" w:rsidR="0064331C" w:rsidRPr="0064331C" w:rsidRDefault="0064331C" w:rsidP="005D385E">
            <w:pPr>
              <w:jc w:val="center"/>
              <w:rPr>
                <w:b/>
                <w:bCs/>
                <w:sz w:val="20"/>
                <w:szCs w:val="20"/>
                <w:lang w:eastAsia="fr-FR"/>
              </w:rPr>
            </w:pPr>
            <w:r w:rsidRPr="0064331C">
              <w:rPr>
                <w:b/>
                <w:bCs/>
                <w:sz w:val="20"/>
                <w:szCs w:val="20"/>
                <w:lang w:eastAsia="fr-FR"/>
              </w:rPr>
              <w:t>(2)</w:t>
            </w:r>
          </w:p>
        </w:tc>
        <w:tc>
          <w:tcPr>
            <w:tcW w:w="792" w:type="dxa"/>
            <w:shd w:val="clear" w:color="auto" w:fill="E2EFD9" w:themeFill="accent6" w:themeFillTint="33"/>
            <w:tcMar>
              <w:top w:w="150" w:type="dxa"/>
              <w:left w:w="150" w:type="dxa"/>
              <w:bottom w:w="150" w:type="dxa"/>
              <w:right w:w="150" w:type="dxa"/>
            </w:tcMar>
            <w:vAlign w:val="center"/>
          </w:tcPr>
          <w:p w14:paraId="392A86C8"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775" w:type="dxa"/>
            <w:shd w:val="clear" w:color="auto" w:fill="B4C6E7" w:themeFill="accent5" w:themeFillTint="66"/>
            <w:vAlign w:val="center"/>
          </w:tcPr>
          <w:p w14:paraId="2F818092"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75" w:type="dxa"/>
            <w:shd w:val="clear" w:color="auto" w:fill="92D050"/>
            <w:vAlign w:val="center"/>
          </w:tcPr>
          <w:p w14:paraId="162E39AF"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830" w:type="dxa"/>
            <w:tcBorders>
              <w:top w:val="single" w:sz="4" w:space="0" w:color="auto"/>
            </w:tcBorders>
            <w:shd w:val="clear" w:color="auto" w:fill="E2EFD9" w:themeFill="accent6" w:themeFillTint="33"/>
            <w:tcMar>
              <w:top w:w="150" w:type="dxa"/>
              <w:left w:w="150" w:type="dxa"/>
              <w:bottom w:w="150" w:type="dxa"/>
              <w:right w:w="150" w:type="dxa"/>
            </w:tcMar>
            <w:vAlign w:val="center"/>
          </w:tcPr>
          <w:p w14:paraId="06679D7C" w14:textId="77777777" w:rsidR="0064331C" w:rsidRPr="0064331C" w:rsidRDefault="0064331C" w:rsidP="005D385E">
            <w:pPr>
              <w:jc w:val="center"/>
              <w:rPr>
                <w:b/>
                <w:bCs/>
                <w:sz w:val="20"/>
                <w:szCs w:val="20"/>
                <w:lang w:eastAsia="fr-FR"/>
              </w:rPr>
            </w:pPr>
            <w:r w:rsidRPr="0064331C">
              <w:rPr>
                <w:b/>
                <w:bCs/>
                <w:sz w:val="20"/>
                <w:szCs w:val="20"/>
                <w:lang w:eastAsia="fr-FR"/>
              </w:rPr>
              <w:t>12</w:t>
            </w:r>
          </w:p>
        </w:tc>
        <w:tc>
          <w:tcPr>
            <w:tcW w:w="851" w:type="dxa"/>
            <w:tcBorders>
              <w:top w:val="single" w:sz="4" w:space="0" w:color="auto"/>
            </w:tcBorders>
            <w:shd w:val="clear" w:color="auto" w:fill="E2EFD9" w:themeFill="accent6" w:themeFillTint="33"/>
            <w:vAlign w:val="center"/>
          </w:tcPr>
          <w:p w14:paraId="50114648"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992" w:type="dxa"/>
            <w:tcBorders>
              <w:top w:val="single" w:sz="4" w:space="0" w:color="auto"/>
            </w:tcBorders>
            <w:shd w:val="clear" w:color="auto" w:fill="E2EFD9" w:themeFill="accent6" w:themeFillTint="33"/>
            <w:vAlign w:val="center"/>
          </w:tcPr>
          <w:p w14:paraId="41C226C0" w14:textId="77777777" w:rsidR="0064331C" w:rsidRPr="0064331C" w:rsidRDefault="0064331C" w:rsidP="005D385E">
            <w:pPr>
              <w:jc w:val="center"/>
              <w:rPr>
                <w:b/>
                <w:bCs/>
                <w:sz w:val="20"/>
                <w:szCs w:val="20"/>
                <w:lang w:eastAsia="fr-FR"/>
              </w:rPr>
            </w:pPr>
            <w:r w:rsidRPr="0064331C">
              <w:rPr>
                <w:b/>
                <w:bCs/>
                <w:sz w:val="20"/>
                <w:szCs w:val="20"/>
                <w:lang w:eastAsia="fr-FR"/>
              </w:rPr>
              <w:t>18</w:t>
            </w:r>
          </w:p>
        </w:tc>
      </w:tr>
      <w:tr w:rsidR="0064331C" w:rsidRPr="0064331C" w14:paraId="52AD2A7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tcMar>
              <w:top w:w="150" w:type="dxa"/>
              <w:left w:w="150" w:type="dxa"/>
              <w:bottom w:w="150" w:type="dxa"/>
              <w:right w:w="150" w:type="dxa"/>
            </w:tcMar>
            <w:vAlign w:val="center"/>
          </w:tcPr>
          <w:p w14:paraId="78EF84CD" w14:textId="77777777" w:rsidR="0064331C" w:rsidRPr="0064331C" w:rsidRDefault="0064331C" w:rsidP="005D385E">
            <w:pPr>
              <w:jc w:val="cente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17C695C0"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92" w:type="dxa"/>
            <w:shd w:val="clear" w:color="auto" w:fill="E2EFD9" w:themeFill="accent6" w:themeFillTint="33"/>
            <w:tcMar>
              <w:top w:w="150" w:type="dxa"/>
              <w:left w:w="150" w:type="dxa"/>
              <w:bottom w:w="150" w:type="dxa"/>
              <w:right w:w="150" w:type="dxa"/>
            </w:tcMar>
            <w:vAlign w:val="center"/>
          </w:tcPr>
          <w:p w14:paraId="386BA22B" w14:textId="77777777" w:rsidR="0064331C" w:rsidRPr="0064331C" w:rsidRDefault="0064331C" w:rsidP="005D385E">
            <w:pPr>
              <w:jc w:val="center"/>
              <w:rPr>
                <w:b/>
                <w:bCs/>
                <w:sz w:val="20"/>
                <w:szCs w:val="20"/>
                <w:lang w:eastAsia="fr-FR"/>
              </w:rPr>
            </w:pPr>
            <w:r w:rsidRPr="0064331C">
              <w:rPr>
                <w:b/>
                <w:bCs/>
                <w:sz w:val="20"/>
                <w:szCs w:val="20"/>
                <w:lang w:eastAsia="fr-FR"/>
              </w:rPr>
              <w:t>50</w:t>
            </w:r>
          </w:p>
          <w:p w14:paraId="14392709"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775" w:type="dxa"/>
            <w:shd w:val="clear" w:color="auto" w:fill="E2EFD9" w:themeFill="accent6" w:themeFillTint="33"/>
            <w:vAlign w:val="center"/>
          </w:tcPr>
          <w:p w14:paraId="6F9B4ED2" w14:textId="77777777" w:rsidR="0064331C" w:rsidRPr="0064331C" w:rsidRDefault="0064331C" w:rsidP="005D385E">
            <w:pPr>
              <w:jc w:val="center"/>
              <w:rPr>
                <w:b/>
                <w:bCs/>
                <w:sz w:val="20"/>
                <w:szCs w:val="20"/>
                <w:lang w:eastAsia="fr-FR"/>
              </w:rPr>
            </w:pPr>
            <w:r w:rsidRPr="0064331C">
              <w:rPr>
                <w:b/>
                <w:bCs/>
                <w:sz w:val="20"/>
                <w:szCs w:val="20"/>
                <w:lang w:eastAsia="fr-FR"/>
              </w:rPr>
              <w:t>85</w:t>
            </w:r>
          </w:p>
          <w:p w14:paraId="342BC43A"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775" w:type="dxa"/>
            <w:shd w:val="clear" w:color="auto" w:fill="E2EFD9" w:themeFill="accent6" w:themeFillTint="33"/>
            <w:vAlign w:val="center"/>
          </w:tcPr>
          <w:p w14:paraId="0E13BB51" w14:textId="77777777" w:rsidR="0064331C" w:rsidRPr="0064331C" w:rsidRDefault="0064331C" w:rsidP="005D385E">
            <w:pPr>
              <w:jc w:val="center"/>
              <w:rPr>
                <w:b/>
                <w:bCs/>
                <w:sz w:val="20"/>
                <w:szCs w:val="20"/>
                <w:lang w:eastAsia="fr-FR"/>
              </w:rPr>
            </w:pPr>
            <w:r w:rsidRPr="0064331C">
              <w:rPr>
                <w:b/>
                <w:bCs/>
                <w:sz w:val="20"/>
                <w:szCs w:val="20"/>
                <w:lang w:eastAsia="fr-FR"/>
              </w:rPr>
              <w:t>85</w:t>
            </w:r>
          </w:p>
          <w:p w14:paraId="2605C887"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792" w:type="dxa"/>
            <w:shd w:val="clear" w:color="auto" w:fill="E2EFD9" w:themeFill="accent6" w:themeFillTint="33"/>
            <w:tcMar>
              <w:top w:w="150" w:type="dxa"/>
              <w:left w:w="150" w:type="dxa"/>
              <w:bottom w:w="150" w:type="dxa"/>
              <w:right w:w="150" w:type="dxa"/>
            </w:tcMar>
            <w:vAlign w:val="center"/>
          </w:tcPr>
          <w:p w14:paraId="46EA9C10"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B4C6E7" w:themeFill="accent5" w:themeFillTint="66"/>
            <w:vAlign w:val="center"/>
          </w:tcPr>
          <w:p w14:paraId="3171F46B"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92D050"/>
            <w:vAlign w:val="center"/>
          </w:tcPr>
          <w:p w14:paraId="7BBA8835"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830" w:type="dxa"/>
            <w:shd w:val="clear" w:color="auto" w:fill="E2EFD9" w:themeFill="accent6" w:themeFillTint="33"/>
            <w:tcMar>
              <w:top w:w="150" w:type="dxa"/>
              <w:left w:w="150" w:type="dxa"/>
              <w:bottom w:w="150" w:type="dxa"/>
              <w:right w:w="150" w:type="dxa"/>
            </w:tcMar>
            <w:vAlign w:val="center"/>
          </w:tcPr>
          <w:p w14:paraId="3E084334"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851" w:type="dxa"/>
            <w:shd w:val="clear" w:color="auto" w:fill="E2EFD9" w:themeFill="accent6" w:themeFillTint="33"/>
            <w:vAlign w:val="center"/>
          </w:tcPr>
          <w:p w14:paraId="5E06F5BC" w14:textId="77777777" w:rsidR="0064331C" w:rsidRPr="0064331C" w:rsidRDefault="0064331C" w:rsidP="005D385E">
            <w:pPr>
              <w:jc w:val="center"/>
              <w:rPr>
                <w:b/>
                <w:bCs/>
                <w:sz w:val="20"/>
                <w:szCs w:val="20"/>
                <w:lang w:eastAsia="fr-FR"/>
              </w:rPr>
            </w:pPr>
            <w:r w:rsidRPr="0064331C">
              <w:rPr>
                <w:b/>
                <w:bCs/>
                <w:sz w:val="20"/>
                <w:szCs w:val="20"/>
                <w:lang w:eastAsia="fr-FR"/>
              </w:rPr>
              <w:t>16</w:t>
            </w:r>
          </w:p>
        </w:tc>
        <w:tc>
          <w:tcPr>
            <w:tcW w:w="992" w:type="dxa"/>
            <w:shd w:val="clear" w:color="auto" w:fill="E2EFD9" w:themeFill="accent6" w:themeFillTint="33"/>
            <w:vAlign w:val="center"/>
          </w:tcPr>
          <w:p w14:paraId="4C0E10F3" w14:textId="77777777" w:rsidR="0064331C" w:rsidRPr="0064331C" w:rsidRDefault="0064331C" w:rsidP="005D385E">
            <w:pPr>
              <w:jc w:val="center"/>
              <w:rPr>
                <w:b/>
                <w:bCs/>
                <w:sz w:val="20"/>
                <w:szCs w:val="20"/>
                <w:lang w:eastAsia="fr-FR"/>
              </w:rPr>
            </w:pPr>
            <w:r w:rsidRPr="0064331C">
              <w:rPr>
                <w:b/>
                <w:bCs/>
                <w:sz w:val="20"/>
                <w:szCs w:val="20"/>
                <w:lang w:eastAsia="fr-FR"/>
              </w:rPr>
              <w:t>16</w:t>
            </w:r>
          </w:p>
        </w:tc>
      </w:tr>
      <w:tr w:rsidR="0064331C" w:rsidRPr="0064331C" w14:paraId="12D63CE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shd w:val="clear" w:color="auto" w:fill="auto"/>
            <w:tcMar>
              <w:top w:w="150" w:type="dxa"/>
              <w:left w:w="150" w:type="dxa"/>
              <w:bottom w:w="150" w:type="dxa"/>
              <w:right w:w="150" w:type="dxa"/>
            </w:tcMar>
            <w:vAlign w:val="center"/>
            <w:hideMark/>
          </w:tcPr>
          <w:p w14:paraId="58422E08" w14:textId="77777777" w:rsidR="0064331C" w:rsidRPr="0064331C" w:rsidRDefault="0064331C" w:rsidP="005D385E">
            <w:pPr>
              <w:jc w:val="center"/>
              <w:rPr>
                <w:b/>
                <w:bCs/>
                <w:sz w:val="20"/>
                <w:szCs w:val="20"/>
                <w:lang w:eastAsia="fr-FR"/>
              </w:rPr>
            </w:pPr>
            <w:r w:rsidRPr="0064331C">
              <w:rPr>
                <w:b/>
                <w:bCs/>
                <w:sz w:val="20"/>
                <w:szCs w:val="20"/>
                <w:lang w:eastAsia="fr-FR"/>
              </w:rPr>
              <w:t>Charbon ou lignite</w:t>
            </w:r>
          </w:p>
        </w:tc>
        <w:tc>
          <w:tcPr>
            <w:tcW w:w="1515" w:type="dxa"/>
            <w:gridSpan w:val="2"/>
            <w:shd w:val="clear" w:color="auto" w:fill="auto"/>
            <w:tcMar>
              <w:top w:w="150" w:type="dxa"/>
              <w:left w:w="150" w:type="dxa"/>
              <w:bottom w:w="150" w:type="dxa"/>
              <w:right w:w="150" w:type="dxa"/>
            </w:tcMar>
            <w:vAlign w:val="center"/>
            <w:hideMark/>
          </w:tcPr>
          <w:p w14:paraId="7DECC1D8"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shd w:val="clear" w:color="auto" w:fill="E2EFD9" w:themeFill="accent6" w:themeFillTint="33"/>
            <w:tcMar>
              <w:top w:w="150" w:type="dxa"/>
              <w:left w:w="150" w:type="dxa"/>
              <w:bottom w:w="150" w:type="dxa"/>
              <w:right w:w="150" w:type="dxa"/>
            </w:tcMar>
            <w:vAlign w:val="center"/>
          </w:tcPr>
          <w:p w14:paraId="7ED56C9B" w14:textId="77777777" w:rsidR="0064331C" w:rsidRPr="0064331C" w:rsidRDefault="0064331C" w:rsidP="005D385E">
            <w:pPr>
              <w:jc w:val="center"/>
              <w:rPr>
                <w:b/>
                <w:bCs/>
                <w:sz w:val="20"/>
                <w:szCs w:val="20"/>
                <w:lang w:eastAsia="fr-FR"/>
              </w:rPr>
            </w:pPr>
            <w:r w:rsidRPr="0064331C">
              <w:rPr>
                <w:b/>
                <w:bCs/>
                <w:sz w:val="20"/>
                <w:szCs w:val="20"/>
                <w:lang w:eastAsia="fr-FR"/>
              </w:rPr>
              <w:t>360</w:t>
            </w:r>
          </w:p>
        </w:tc>
        <w:tc>
          <w:tcPr>
            <w:tcW w:w="775" w:type="dxa"/>
            <w:shd w:val="clear" w:color="auto" w:fill="B4C6E7" w:themeFill="accent5" w:themeFillTint="66"/>
            <w:vAlign w:val="center"/>
          </w:tcPr>
          <w:p w14:paraId="5CB4814D" w14:textId="77777777" w:rsidR="0064331C" w:rsidRPr="0064331C" w:rsidRDefault="0064331C" w:rsidP="005D385E">
            <w:pPr>
              <w:jc w:val="center"/>
              <w:rPr>
                <w:b/>
                <w:bCs/>
                <w:sz w:val="20"/>
                <w:szCs w:val="20"/>
                <w:lang w:eastAsia="fr-FR"/>
              </w:rPr>
            </w:pPr>
            <w:r w:rsidRPr="0064331C">
              <w:rPr>
                <w:b/>
                <w:bCs/>
                <w:sz w:val="20"/>
                <w:szCs w:val="20"/>
                <w:lang w:eastAsia="fr-FR"/>
              </w:rPr>
              <w:t>400</w:t>
            </w:r>
          </w:p>
        </w:tc>
        <w:tc>
          <w:tcPr>
            <w:tcW w:w="775" w:type="dxa"/>
            <w:shd w:val="clear" w:color="auto" w:fill="E2EFD9" w:themeFill="accent6" w:themeFillTint="33"/>
            <w:vAlign w:val="center"/>
          </w:tcPr>
          <w:p w14:paraId="13D13EB7" w14:textId="77777777" w:rsidR="0064331C" w:rsidRPr="0064331C" w:rsidRDefault="0064331C" w:rsidP="005D385E">
            <w:pPr>
              <w:jc w:val="center"/>
              <w:rPr>
                <w:b/>
                <w:bCs/>
                <w:sz w:val="20"/>
                <w:szCs w:val="20"/>
                <w:lang w:eastAsia="fr-FR"/>
              </w:rPr>
            </w:pPr>
            <w:r w:rsidRPr="0064331C">
              <w:rPr>
                <w:b/>
                <w:bCs/>
                <w:sz w:val="20"/>
                <w:szCs w:val="20"/>
                <w:lang w:eastAsia="fr-FR"/>
              </w:rPr>
              <w:t>400</w:t>
            </w:r>
          </w:p>
        </w:tc>
        <w:tc>
          <w:tcPr>
            <w:tcW w:w="792" w:type="dxa"/>
            <w:shd w:val="clear" w:color="auto" w:fill="E2EFD9" w:themeFill="accent6" w:themeFillTint="33"/>
            <w:tcMar>
              <w:top w:w="150" w:type="dxa"/>
              <w:left w:w="150" w:type="dxa"/>
              <w:bottom w:w="150" w:type="dxa"/>
              <w:right w:w="150" w:type="dxa"/>
            </w:tcMar>
            <w:vAlign w:val="center"/>
          </w:tcPr>
          <w:p w14:paraId="5D5FC0DB"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775" w:type="dxa"/>
            <w:shd w:val="clear" w:color="auto" w:fill="B4C6E7" w:themeFill="accent5" w:themeFillTint="66"/>
            <w:vAlign w:val="center"/>
          </w:tcPr>
          <w:p w14:paraId="3D766B40" w14:textId="77777777" w:rsidR="0064331C" w:rsidRPr="0064331C" w:rsidRDefault="0064331C" w:rsidP="005D385E">
            <w:pPr>
              <w:jc w:val="center"/>
              <w:rPr>
                <w:b/>
                <w:bCs/>
                <w:sz w:val="20"/>
                <w:szCs w:val="20"/>
                <w:lang w:eastAsia="fr-FR"/>
              </w:rPr>
            </w:pPr>
            <w:r w:rsidRPr="0064331C">
              <w:rPr>
                <w:b/>
                <w:bCs/>
                <w:sz w:val="20"/>
                <w:szCs w:val="20"/>
                <w:lang w:eastAsia="fr-FR"/>
              </w:rPr>
              <w:t>300</w:t>
            </w:r>
          </w:p>
        </w:tc>
        <w:tc>
          <w:tcPr>
            <w:tcW w:w="775" w:type="dxa"/>
            <w:shd w:val="clear" w:color="auto" w:fill="E2EFD9" w:themeFill="accent6" w:themeFillTint="33"/>
            <w:vAlign w:val="center"/>
          </w:tcPr>
          <w:p w14:paraId="02FD39FD" w14:textId="77777777" w:rsidR="0064331C" w:rsidRPr="0064331C" w:rsidRDefault="0064331C" w:rsidP="005D385E">
            <w:pPr>
              <w:jc w:val="center"/>
              <w:rPr>
                <w:b/>
                <w:bCs/>
                <w:sz w:val="20"/>
                <w:szCs w:val="20"/>
                <w:lang w:eastAsia="fr-FR"/>
              </w:rPr>
            </w:pPr>
            <w:r w:rsidRPr="0064331C">
              <w:rPr>
                <w:b/>
                <w:bCs/>
                <w:sz w:val="20"/>
                <w:szCs w:val="20"/>
                <w:lang w:eastAsia="fr-FR"/>
              </w:rPr>
              <w:t>330</w:t>
            </w:r>
          </w:p>
        </w:tc>
        <w:tc>
          <w:tcPr>
            <w:tcW w:w="830" w:type="dxa"/>
            <w:shd w:val="clear" w:color="auto" w:fill="E2EFD9" w:themeFill="accent6" w:themeFillTint="33"/>
            <w:tcMar>
              <w:top w:w="150" w:type="dxa"/>
              <w:left w:w="150" w:type="dxa"/>
              <w:bottom w:w="150" w:type="dxa"/>
              <w:right w:w="150" w:type="dxa"/>
            </w:tcMar>
            <w:vAlign w:val="center"/>
          </w:tcPr>
          <w:p w14:paraId="47A65A2E"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851" w:type="dxa"/>
            <w:shd w:val="clear" w:color="auto" w:fill="B4C6E7" w:themeFill="accent5" w:themeFillTint="66"/>
            <w:vAlign w:val="center"/>
          </w:tcPr>
          <w:p w14:paraId="53DE6430"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992" w:type="dxa"/>
            <w:shd w:val="clear" w:color="auto" w:fill="92D050"/>
            <w:vAlign w:val="center"/>
          </w:tcPr>
          <w:p w14:paraId="15B66F3D"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55DA569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hideMark/>
          </w:tcPr>
          <w:p w14:paraId="3FEBE155"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hideMark/>
          </w:tcPr>
          <w:p w14:paraId="57304B2D"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shd w:val="clear" w:color="auto" w:fill="E2EFD9" w:themeFill="accent6" w:themeFillTint="33"/>
            <w:tcMar>
              <w:top w:w="150" w:type="dxa"/>
              <w:left w:w="150" w:type="dxa"/>
              <w:bottom w:w="150" w:type="dxa"/>
              <w:right w:w="150" w:type="dxa"/>
            </w:tcMar>
            <w:vAlign w:val="center"/>
          </w:tcPr>
          <w:p w14:paraId="72C0DA42"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75" w:type="dxa"/>
            <w:shd w:val="clear" w:color="auto" w:fill="B4C6E7" w:themeFill="accent5" w:themeFillTint="66"/>
            <w:vAlign w:val="center"/>
          </w:tcPr>
          <w:p w14:paraId="6B81F8CE"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75" w:type="dxa"/>
            <w:shd w:val="clear" w:color="auto" w:fill="92D050"/>
            <w:vAlign w:val="center"/>
          </w:tcPr>
          <w:p w14:paraId="7432E727"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792" w:type="dxa"/>
            <w:shd w:val="clear" w:color="auto" w:fill="E2EFD9" w:themeFill="accent6" w:themeFillTint="33"/>
            <w:tcMar>
              <w:top w:w="150" w:type="dxa"/>
              <w:left w:w="150" w:type="dxa"/>
              <w:bottom w:w="150" w:type="dxa"/>
              <w:right w:w="150" w:type="dxa"/>
            </w:tcMar>
            <w:vAlign w:val="center"/>
          </w:tcPr>
          <w:p w14:paraId="5FDAA7CC"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775" w:type="dxa"/>
            <w:shd w:val="clear" w:color="auto" w:fill="B4C6E7" w:themeFill="accent5" w:themeFillTint="66"/>
            <w:vAlign w:val="center"/>
          </w:tcPr>
          <w:p w14:paraId="626414D9"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75" w:type="dxa"/>
            <w:shd w:val="clear" w:color="auto" w:fill="E2EFD9" w:themeFill="accent6" w:themeFillTint="33"/>
            <w:vAlign w:val="center"/>
          </w:tcPr>
          <w:p w14:paraId="3480BD92" w14:textId="77777777" w:rsidR="0064331C" w:rsidRPr="0064331C" w:rsidRDefault="0064331C" w:rsidP="005D385E">
            <w:pPr>
              <w:jc w:val="center"/>
              <w:rPr>
                <w:b/>
                <w:bCs/>
                <w:sz w:val="20"/>
                <w:szCs w:val="20"/>
                <w:lang w:eastAsia="fr-FR"/>
              </w:rPr>
            </w:pPr>
            <w:r w:rsidRPr="0064331C">
              <w:rPr>
                <w:b/>
                <w:bCs/>
                <w:sz w:val="20"/>
                <w:szCs w:val="20"/>
                <w:lang w:eastAsia="fr-FR"/>
              </w:rPr>
              <w:t xml:space="preserve">210 </w:t>
            </w:r>
          </w:p>
        </w:tc>
        <w:tc>
          <w:tcPr>
            <w:tcW w:w="830" w:type="dxa"/>
            <w:shd w:val="clear" w:color="auto" w:fill="E2EFD9" w:themeFill="accent6" w:themeFillTint="33"/>
            <w:tcMar>
              <w:top w:w="150" w:type="dxa"/>
              <w:left w:w="150" w:type="dxa"/>
              <w:bottom w:w="150" w:type="dxa"/>
              <w:right w:w="150" w:type="dxa"/>
            </w:tcMar>
            <w:vAlign w:val="center"/>
          </w:tcPr>
          <w:p w14:paraId="49F563BA" w14:textId="77777777" w:rsidR="0064331C" w:rsidRPr="0064331C" w:rsidRDefault="0064331C" w:rsidP="005D385E">
            <w:pPr>
              <w:jc w:val="center"/>
              <w:rPr>
                <w:b/>
                <w:bCs/>
                <w:sz w:val="20"/>
                <w:szCs w:val="20"/>
                <w:lang w:eastAsia="fr-FR"/>
              </w:rPr>
            </w:pPr>
            <w:r w:rsidRPr="0064331C">
              <w:rPr>
                <w:b/>
                <w:bCs/>
                <w:sz w:val="20"/>
                <w:szCs w:val="20"/>
                <w:lang w:eastAsia="fr-FR"/>
              </w:rPr>
              <w:t>14</w:t>
            </w:r>
          </w:p>
        </w:tc>
        <w:tc>
          <w:tcPr>
            <w:tcW w:w="851" w:type="dxa"/>
            <w:shd w:val="clear" w:color="auto" w:fill="B4C6E7" w:themeFill="accent5" w:themeFillTint="66"/>
            <w:vAlign w:val="center"/>
          </w:tcPr>
          <w:p w14:paraId="65FFC0AB"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992" w:type="dxa"/>
            <w:shd w:val="clear" w:color="auto" w:fill="92D050"/>
            <w:vAlign w:val="center"/>
          </w:tcPr>
          <w:p w14:paraId="1F8F41C1"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3B40C1F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jc w:val="center"/>
        </w:trPr>
        <w:tc>
          <w:tcPr>
            <w:tcW w:w="1613" w:type="dxa"/>
            <w:gridSpan w:val="2"/>
            <w:vMerge/>
            <w:shd w:val="clear" w:color="auto" w:fill="auto"/>
            <w:vAlign w:val="center"/>
            <w:hideMark/>
          </w:tcPr>
          <w:p w14:paraId="3438B1A7"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hideMark/>
          </w:tcPr>
          <w:p w14:paraId="7E04227D"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7FAC18E8" w14:textId="77777777" w:rsidR="0064331C" w:rsidRPr="0064331C" w:rsidRDefault="0064331C" w:rsidP="005D385E">
            <w:pPr>
              <w:jc w:val="center"/>
              <w:rPr>
                <w:b/>
                <w:bCs/>
                <w:sz w:val="20"/>
                <w:szCs w:val="20"/>
                <w:lang w:eastAsia="fr-FR"/>
              </w:rPr>
            </w:pPr>
            <w:r w:rsidRPr="0064331C">
              <w:rPr>
                <w:b/>
                <w:bCs/>
                <w:sz w:val="20"/>
                <w:szCs w:val="20"/>
                <w:lang w:eastAsia="fr-FR"/>
              </w:rPr>
              <w:t>Chaudières à pulvérisation</w:t>
            </w:r>
          </w:p>
          <w:p w14:paraId="08447418" w14:textId="77777777" w:rsidR="0064331C" w:rsidRPr="0064331C" w:rsidRDefault="0064331C" w:rsidP="005D385E">
            <w:pPr>
              <w:jc w:val="center"/>
              <w:rPr>
                <w:b/>
                <w:bCs/>
                <w:sz w:val="20"/>
                <w:szCs w:val="20"/>
                <w:lang w:eastAsia="fr-FR"/>
              </w:rPr>
            </w:pPr>
            <w:r w:rsidRPr="0064331C">
              <w:rPr>
                <w:b/>
                <w:bCs/>
                <w:sz w:val="20"/>
                <w:szCs w:val="20"/>
                <w:lang w:eastAsia="fr-FR"/>
              </w:rPr>
              <w:t>(</w:t>
            </w:r>
            <w:proofErr w:type="gramStart"/>
            <w:r w:rsidRPr="0064331C">
              <w:rPr>
                <w:b/>
                <w:bCs/>
                <w:sz w:val="20"/>
                <w:szCs w:val="20"/>
                <w:lang w:eastAsia="fr-FR"/>
              </w:rPr>
              <w:t>lignite</w:t>
            </w:r>
            <w:proofErr w:type="gramEnd"/>
            <w:r w:rsidRPr="0064331C">
              <w:rPr>
                <w:b/>
                <w:bCs/>
                <w:sz w:val="20"/>
                <w:szCs w:val="20"/>
                <w:lang w:eastAsia="fr-FR"/>
              </w:rPr>
              <w:t>)</w:t>
            </w:r>
          </w:p>
        </w:tc>
        <w:tc>
          <w:tcPr>
            <w:tcW w:w="792" w:type="dxa"/>
            <w:shd w:val="clear" w:color="auto" w:fill="E2EFD9" w:themeFill="accent6" w:themeFillTint="33"/>
            <w:tcMar>
              <w:top w:w="150" w:type="dxa"/>
              <w:left w:w="150" w:type="dxa"/>
              <w:bottom w:w="150" w:type="dxa"/>
              <w:right w:w="150" w:type="dxa"/>
            </w:tcMar>
            <w:vAlign w:val="center"/>
          </w:tcPr>
          <w:p w14:paraId="45268147" w14:textId="77777777" w:rsidR="0064331C" w:rsidRPr="0064331C" w:rsidRDefault="0064331C" w:rsidP="005D385E">
            <w:pPr>
              <w:jc w:val="center"/>
              <w:rPr>
                <w:b/>
                <w:bCs/>
                <w:sz w:val="20"/>
                <w:szCs w:val="20"/>
                <w:lang w:eastAsia="fr-FR"/>
              </w:rPr>
            </w:pPr>
            <w:r w:rsidRPr="0064331C">
              <w:rPr>
                <w:b/>
                <w:bCs/>
                <w:sz w:val="20"/>
                <w:szCs w:val="20"/>
                <w:lang w:eastAsia="fr-FR"/>
              </w:rPr>
              <w:t>130</w:t>
            </w:r>
          </w:p>
        </w:tc>
        <w:tc>
          <w:tcPr>
            <w:tcW w:w="775" w:type="dxa"/>
            <w:shd w:val="clear" w:color="auto" w:fill="B4C6E7" w:themeFill="accent5" w:themeFillTint="66"/>
            <w:vAlign w:val="center"/>
          </w:tcPr>
          <w:p w14:paraId="713A6259"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92D050"/>
            <w:vAlign w:val="center"/>
          </w:tcPr>
          <w:p w14:paraId="67DBDD33"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92" w:type="dxa"/>
            <w:shd w:val="clear" w:color="auto" w:fill="E2EFD9" w:themeFill="accent6" w:themeFillTint="33"/>
            <w:tcMar>
              <w:top w:w="150" w:type="dxa"/>
              <w:left w:w="150" w:type="dxa"/>
              <w:bottom w:w="150" w:type="dxa"/>
              <w:right w:w="150" w:type="dxa"/>
            </w:tcMar>
            <w:vAlign w:val="center"/>
          </w:tcPr>
          <w:p w14:paraId="78C1EAE1"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B4C6E7" w:themeFill="accent5" w:themeFillTint="66"/>
            <w:vAlign w:val="center"/>
          </w:tcPr>
          <w:p w14:paraId="425CB585"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92D050"/>
            <w:vAlign w:val="center"/>
          </w:tcPr>
          <w:p w14:paraId="79AC8BDA"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830" w:type="dxa"/>
            <w:shd w:val="clear" w:color="auto" w:fill="E2EFD9" w:themeFill="accent6" w:themeFillTint="33"/>
            <w:tcMar>
              <w:top w:w="150" w:type="dxa"/>
              <w:left w:w="150" w:type="dxa"/>
              <w:bottom w:w="150" w:type="dxa"/>
              <w:right w:w="150" w:type="dxa"/>
            </w:tcMar>
            <w:vAlign w:val="center"/>
          </w:tcPr>
          <w:p w14:paraId="6B7E108C" w14:textId="77777777" w:rsidR="0064331C" w:rsidRPr="0064331C" w:rsidRDefault="0064331C" w:rsidP="005D385E">
            <w:pPr>
              <w:jc w:val="center"/>
              <w:rPr>
                <w:b/>
                <w:bCs/>
                <w:sz w:val="20"/>
                <w:szCs w:val="20"/>
                <w:lang w:eastAsia="fr-FR"/>
              </w:rPr>
            </w:pPr>
            <w:r w:rsidRPr="0064331C">
              <w:rPr>
                <w:b/>
                <w:bCs/>
                <w:sz w:val="20"/>
                <w:szCs w:val="20"/>
                <w:lang w:eastAsia="fr-FR"/>
              </w:rPr>
              <w:t xml:space="preserve">10 </w:t>
            </w:r>
          </w:p>
          <w:p w14:paraId="5E4DA97E" w14:textId="77777777" w:rsidR="0064331C" w:rsidRPr="0064331C" w:rsidRDefault="0064331C" w:rsidP="005D385E">
            <w:pPr>
              <w:jc w:val="center"/>
              <w:rPr>
                <w:b/>
                <w:bCs/>
                <w:sz w:val="20"/>
                <w:szCs w:val="20"/>
                <w:lang w:eastAsia="fr-FR"/>
              </w:rPr>
            </w:pPr>
            <w:r w:rsidRPr="0064331C">
              <w:rPr>
                <w:b/>
                <w:bCs/>
                <w:sz w:val="20"/>
                <w:szCs w:val="20"/>
                <w:lang w:eastAsia="fr-FR"/>
              </w:rPr>
              <w:t>(4)</w:t>
            </w:r>
          </w:p>
        </w:tc>
        <w:tc>
          <w:tcPr>
            <w:tcW w:w="851" w:type="dxa"/>
            <w:shd w:val="clear" w:color="auto" w:fill="B4C6E7" w:themeFill="accent5" w:themeFillTint="66"/>
            <w:vAlign w:val="center"/>
          </w:tcPr>
          <w:p w14:paraId="646C307F"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92" w:type="dxa"/>
            <w:shd w:val="clear" w:color="auto" w:fill="92D050"/>
            <w:vAlign w:val="center"/>
          </w:tcPr>
          <w:p w14:paraId="258D5D4B"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722E512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3E5DF1A7"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350C741A"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39CEDA85" w14:textId="77777777" w:rsidR="0064331C" w:rsidRPr="0064331C" w:rsidRDefault="0064331C" w:rsidP="005D385E">
            <w:pPr>
              <w:jc w:val="center"/>
              <w:rPr>
                <w:b/>
                <w:bCs/>
                <w:sz w:val="20"/>
                <w:szCs w:val="20"/>
                <w:lang w:eastAsia="fr-FR"/>
              </w:rPr>
            </w:pPr>
            <w:r w:rsidRPr="0064331C">
              <w:rPr>
                <w:b/>
                <w:bCs/>
                <w:sz w:val="20"/>
                <w:szCs w:val="20"/>
                <w:lang w:eastAsia="fr-FR"/>
              </w:rPr>
              <w:t>Chaudières à pulvérisation</w:t>
            </w:r>
          </w:p>
          <w:p w14:paraId="4FA1E852" w14:textId="77777777" w:rsidR="0064331C" w:rsidRPr="0064331C" w:rsidRDefault="0064331C" w:rsidP="005D385E">
            <w:pPr>
              <w:jc w:val="center"/>
              <w:rPr>
                <w:b/>
                <w:bCs/>
                <w:sz w:val="20"/>
                <w:szCs w:val="20"/>
                <w:lang w:eastAsia="fr-FR"/>
              </w:rPr>
            </w:pPr>
            <w:r w:rsidRPr="0064331C">
              <w:rPr>
                <w:b/>
                <w:bCs/>
                <w:sz w:val="20"/>
                <w:szCs w:val="20"/>
                <w:lang w:eastAsia="fr-FR"/>
              </w:rPr>
              <w:t>(</w:t>
            </w:r>
            <w:proofErr w:type="gramStart"/>
            <w:r w:rsidRPr="0064331C">
              <w:rPr>
                <w:b/>
                <w:bCs/>
                <w:sz w:val="20"/>
                <w:szCs w:val="20"/>
                <w:lang w:eastAsia="fr-FR"/>
              </w:rPr>
              <w:t>charbon</w:t>
            </w:r>
            <w:proofErr w:type="gramEnd"/>
            <w:r w:rsidRPr="0064331C">
              <w:rPr>
                <w:b/>
                <w:bCs/>
                <w:sz w:val="20"/>
                <w:szCs w:val="20"/>
                <w:lang w:eastAsia="fr-FR"/>
              </w:rPr>
              <w:t>)</w:t>
            </w:r>
          </w:p>
        </w:tc>
        <w:tc>
          <w:tcPr>
            <w:tcW w:w="792" w:type="dxa"/>
            <w:shd w:val="clear" w:color="auto" w:fill="E2EFD9" w:themeFill="accent6" w:themeFillTint="33"/>
            <w:tcMar>
              <w:top w:w="150" w:type="dxa"/>
              <w:left w:w="150" w:type="dxa"/>
              <w:bottom w:w="150" w:type="dxa"/>
              <w:right w:w="150" w:type="dxa"/>
            </w:tcMar>
            <w:vAlign w:val="center"/>
          </w:tcPr>
          <w:p w14:paraId="115A80FC" w14:textId="77777777" w:rsidR="0064331C" w:rsidRPr="0064331C" w:rsidRDefault="0064331C" w:rsidP="005D385E">
            <w:pPr>
              <w:jc w:val="center"/>
              <w:rPr>
                <w:b/>
                <w:bCs/>
                <w:sz w:val="20"/>
                <w:szCs w:val="20"/>
                <w:lang w:eastAsia="fr-FR"/>
              </w:rPr>
            </w:pPr>
            <w:r w:rsidRPr="0064331C">
              <w:rPr>
                <w:b/>
                <w:bCs/>
                <w:sz w:val="20"/>
                <w:szCs w:val="20"/>
                <w:lang w:eastAsia="fr-FR"/>
              </w:rPr>
              <w:t>130</w:t>
            </w:r>
          </w:p>
        </w:tc>
        <w:tc>
          <w:tcPr>
            <w:tcW w:w="775" w:type="dxa"/>
            <w:shd w:val="clear" w:color="auto" w:fill="B4C6E7" w:themeFill="accent5" w:themeFillTint="66"/>
            <w:vAlign w:val="center"/>
          </w:tcPr>
          <w:p w14:paraId="58130C4D"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92D050"/>
            <w:vAlign w:val="center"/>
          </w:tcPr>
          <w:p w14:paraId="6DCBCE1F"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92" w:type="dxa"/>
            <w:shd w:val="clear" w:color="auto" w:fill="E2EFD9" w:themeFill="accent6" w:themeFillTint="33"/>
            <w:tcMar>
              <w:top w:w="150" w:type="dxa"/>
              <w:left w:w="150" w:type="dxa"/>
              <w:bottom w:w="150" w:type="dxa"/>
              <w:right w:w="150" w:type="dxa"/>
            </w:tcMar>
            <w:vAlign w:val="center"/>
          </w:tcPr>
          <w:p w14:paraId="3EAF6789"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B4C6E7" w:themeFill="accent5" w:themeFillTint="66"/>
            <w:vAlign w:val="center"/>
          </w:tcPr>
          <w:p w14:paraId="6A23B860"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92D050"/>
            <w:vAlign w:val="center"/>
          </w:tcPr>
          <w:p w14:paraId="77653142"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830" w:type="dxa"/>
            <w:shd w:val="clear" w:color="auto" w:fill="E2EFD9" w:themeFill="accent6" w:themeFillTint="33"/>
            <w:tcMar>
              <w:top w:w="150" w:type="dxa"/>
              <w:left w:w="150" w:type="dxa"/>
              <w:bottom w:w="150" w:type="dxa"/>
              <w:right w:w="150" w:type="dxa"/>
            </w:tcMar>
            <w:vAlign w:val="center"/>
          </w:tcPr>
          <w:p w14:paraId="001FB0E2" w14:textId="77777777" w:rsidR="0064331C" w:rsidRPr="0064331C" w:rsidRDefault="0064331C" w:rsidP="005D385E">
            <w:pPr>
              <w:jc w:val="center"/>
              <w:rPr>
                <w:b/>
                <w:bCs/>
                <w:sz w:val="20"/>
                <w:szCs w:val="20"/>
                <w:lang w:eastAsia="fr-FR"/>
              </w:rPr>
            </w:pPr>
            <w:r w:rsidRPr="0064331C">
              <w:rPr>
                <w:b/>
                <w:bCs/>
                <w:sz w:val="20"/>
                <w:szCs w:val="20"/>
                <w:lang w:eastAsia="fr-FR"/>
              </w:rPr>
              <w:t xml:space="preserve">10 </w:t>
            </w:r>
          </w:p>
          <w:p w14:paraId="5AD183F9" w14:textId="77777777" w:rsidR="0064331C" w:rsidRPr="0064331C" w:rsidRDefault="0064331C" w:rsidP="005D385E">
            <w:pPr>
              <w:jc w:val="center"/>
              <w:rPr>
                <w:b/>
                <w:bCs/>
                <w:sz w:val="20"/>
                <w:szCs w:val="20"/>
                <w:lang w:eastAsia="fr-FR"/>
              </w:rPr>
            </w:pPr>
            <w:r w:rsidRPr="0064331C">
              <w:rPr>
                <w:b/>
                <w:bCs/>
                <w:sz w:val="20"/>
                <w:szCs w:val="20"/>
                <w:lang w:eastAsia="fr-FR"/>
              </w:rPr>
              <w:t>(4)</w:t>
            </w:r>
          </w:p>
        </w:tc>
        <w:tc>
          <w:tcPr>
            <w:tcW w:w="851" w:type="dxa"/>
            <w:shd w:val="clear" w:color="auto" w:fill="B4C6E7" w:themeFill="accent5" w:themeFillTint="66"/>
            <w:vAlign w:val="center"/>
          </w:tcPr>
          <w:p w14:paraId="32C0D84D"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92" w:type="dxa"/>
            <w:shd w:val="clear" w:color="auto" w:fill="92D050"/>
            <w:vAlign w:val="center"/>
          </w:tcPr>
          <w:p w14:paraId="2B36D8F7"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00C9AFD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75EBFB57"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79161F07"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60B15B6F" w14:textId="77777777" w:rsidR="0064331C" w:rsidRPr="0064331C" w:rsidRDefault="0064331C" w:rsidP="005D385E">
            <w:pPr>
              <w:jc w:val="center"/>
              <w:rPr>
                <w:b/>
                <w:bCs/>
                <w:sz w:val="20"/>
                <w:szCs w:val="20"/>
                <w:lang w:eastAsia="fr-FR"/>
              </w:rPr>
            </w:pPr>
            <w:r w:rsidRPr="0064331C">
              <w:rPr>
                <w:b/>
                <w:bCs/>
                <w:sz w:val="20"/>
                <w:szCs w:val="20"/>
                <w:lang w:eastAsia="fr-FR"/>
              </w:rPr>
              <w:t>Chaudières à lit fluidisé</w:t>
            </w:r>
          </w:p>
        </w:tc>
        <w:tc>
          <w:tcPr>
            <w:tcW w:w="792" w:type="dxa"/>
            <w:shd w:val="clear" w:color="auto" w:fill="E2EFD9" w:themeFill="accent6" w:themeFillTint="33"/>
            <w:tcMar>
              <w:top w:w="150" w:type="dxa"/>
              <w:left w:w="150" w:type="dxa"/>
              <w:bottom w:w="150" w:type="dxa"/>
              <w:right w:w="150" w:type="dxa"/>
            </w:tcMar>
            <w:vAlign w:val="center"/>
          </w:tcPr>
          <w:p w14:paraId="0F0D8FF6"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775" w:type="dxa"/>
            <w:shd w:val="clear" w:color="auto" w:fill="B4C6E7" w:themeFill="accent5" w:themeFillTint="66"/>
            <w:vAlign w:val="center"/>
          </w:tcPr>
          <w:p w14:paraId="165893A8" w14:textId="77777777" w:rsidR="0064331C" w:rsidRPr="0064331C" w:rsidRDefault="0064331C" w:rsidP="005D385E">
            <w:pPr>
              <w:jc w:val="center"/>
              <w:rPr>
                <w:b/>
                <w:bCs/>
                <w:sz w:val="20"/>
                <w:szCs w:val="20"/>
                <w:lang w:eastAsia="fr-FR"/>
              </w:rPr>
            </w:pPr>
            <w:r w:rsidRPr="0064331C">
              <w:rPr>
                <w:b/>
                <w:bCs/>
                <w:sz w:val="20"/>
                <w:szCs w:val="20"/>
                <w:lang w:eastAsia="fr-FR"/>
              </w:rPr>
              <w:t>150</w:t>
            </w:r>
          </w:p>
          <w:p w14:paraId="5F254BDA"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75" w:type="dxa"/>
            <w:shd w:val="clear" w:color="auto" w:fill="92D050"/>
            <w:vAlign w:val="center"/>
          </w:tcPr>
          <w:p w14:paraId="34DBD066" w14:textId="77777777" w:rsidR="0064331C" w:rsidRPr="0064331C" w:rsidRDefault="0064331C" w:rsidP="005D385E">
            <w:pPr>
              <w:jc w:val="center"/>
              <w:rPr>
                <w:b/>
                <w:bCs/>
                <w:sz w:val="20"/>
                <w:szCs w:val="20"/>
                <w:lang w:eastAsia="fr-FR"/>
              </w:rPr>
            </w:pPr>
            <w:r w:rsidRPr="0064331C">
              <w:rPr>
                <w:b/>
                <w:bCs/>
                <w:sz w:val="20"/>
                <w:szCs w:val="20"/>
                <w:lang w:eastAsia="fr-FR"/>
              </w:rPr>
              <w:t>165</w:t>
            </w:r>
          </w:p>
          <w:p w14:paraId="6FD6A99A"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2" w:type="dxa"/>
            <w:shd w:val="clear" w:color="auto" w:fill="E2EFD9" w:themeFill="accent6" w:themeFillTint="33"/>
            <w:tcMar>
              <w:top w:w="150" w:type="dxa"/>
              <w:left w:w="150" w:type="dxa"/>
              <w:bottom w:w="150" w:type="dxa"/>
              <w:right w:w="150" w:type="dxa"/>
            </w:tcMar>
            <w:vAlign w:val="center"/>
          </w:tcPr>
          <w:p w14:paraId="19355CE7"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B4C6E7" w:themeFill="accent5" w:themeFillTint="66"/>
            <w:vAlign w:val="center"/>
          </w:tcPr>
          <w:p w14:paraId="2F39C962"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92D050"/>
            <w:vAlign w:val="center"/>
          </w:tcPr>
          <w:p w14:paraId="56EF88AC"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830" w:type="dxa"/>
            <w:shd w:val="clear" w:color="auto" w:fill="E2EFD9" w:themeFill="accent6" w:themeFillTint="33"/>
            <w:tcMar>
              <w:top w:w="150" w:type="dxa"/>
              <w:left w:w="150" w:type="dxa"/>
              <w:bottom w:w="150" w:type="dxa"/>
              <w:right w:w="150" w:type="dxa"/>
            </w:tcMar>
            <w:vAlign w:val="center"/>
          </w:tcPr>
          <w:p w14:paraId="3E5B00AE" w14:textId="77777777" w:rsidR="0064331C" w:rsidRPr="0064331C" w:rsidRDefault="0064331C" w:rsidP="005D385E">
            <w:pPr>
              <w:jc w:val="center"/>
              <w:rPr>
                <w:b/>
                <w:bCs/>
                <w:sz w:val="20"/>
                <w:szCs w:val="20"/>
                <w:lang w:eastAsia="fr-FR"/>
              </w:rPr>
            </w:pPr>
            <w:r w:rsidRPr="0064331C">
              <w:rPr>
                <w:b/>
                <w:bCs/>
                <w:sz w:val="20"/>
                <w:szCs w:val="20"/>
                <w:lang w:eastAsia="fr-FR"/>
              </w:rPr>
              <w:t xml:space="preserve">10 </w:t>
            </w:r>
          </w:p>
          <w:p w14:paraId="4435F704" w14:textId="77777777" w:rsidR="0064331C" w:rsidRPr="0064331C" w:rsidRDefault="0064331C" w:rsidP="005D385E">
            <w:pPr>
              <w:jc w:val="center"/>
              <w:rPr>
                <w:b/>
                <w:bCs/>
                <w:sz w:val="20"/>
                <w:szCs w:val="20"/>
                <w:lang w:eastAsia="fr-FR"/>
              </w:rPr>
            </w:pPr>
            <w:r w:rsidRPr="0064331C">
              <w:rPr>
                <w:b/>
                <w:bCs/>
                <w:sz w:val="20"/>
                <w:szCs w:val="20"/>
                <w:lang w:eastAsia="fr-FR"/>
              </w:rPr>
              <w:t>(4)</w:t>
            </w:r>
          </w:p>
        </w:tc>
        <w:tc>
          <w:tcPr>
            <w:tcW w:w="851" w:type="dxa"/>
            <w:shd w:val="clear" w:color="auto" w:fill="B4C6E7" w:themeFill="accent5" w:themeFillTint="66"/>
            <w:vAlign w:val="center"/>
          </w:tcPr>
          <w:p w14:paraId="65522C31"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92" w:type="dxa"/>
            <w:shd w:val="clear" w:color="auto" w:fill="92D050"/>
            <w:vAlign w:val="center"/>
          </w:tcPr>
          <w:p w14:paraId="1C76488B"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1AD0066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shd w:val="clear" w:color="auto" w:fill="auto"/>
            <w:vAlign w:val="center"/>
          </w:tcPr>
          <w:p w14:paraId="546AF563" w14:textId="77777777" w:rsidR="0064331C" w:rsidRPr="0064331C" w:rsidRDefault="0064331C" w:rsidP="005D385E">
            <w:pPr>
              <w:jc w:val="center"/>
              <w:rPr>
                <w:b/>
                <w:bCs/>
                <w:sz w:val="20"/>
                <w:szCs w:val="20"/>
                <w:lang w:eastAsia="fr-FR"/>
              </w:rPr>
            </w:pPr>
            <w:r w:rsidRPr="0064331C">
              <w:rPr>
                <w:b/>
                <w:bCs/>
                <w:sz w:val="20"/>
                <w:szCs w:val="20"/>
                <w:lang w:eastAsia="fr-FR"/>
              </w:rPr>
              <w:t>Fioul domestique</w:t>
            </w:r>
          </w:p>
        </w:tc>
        <w:tc>
          <w:tcPr>
            <w:tcW w:w="1515" w:type="dxa"/>
            <w:gridSpan w:val="2"/>
            <w:shd w:val="clear" w:color="auto" w:fill="auto"/>
            <w:tcMar>
              <w:top w:w="150" w:type="dxa"/>
              <w:left w:w="150" w:type="dxa"/>
              <w:bottom w:w="150" w:type="dxa"/>
              <w:right w:w="150" w:type="dxa"/>
            </w:tcMar>
            <w:vAlign w:val="center"/>
          </w:tcPr>
          <w:p w14:paraId="2654B899"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shd w:val="clear" w:color="auto" w:fill="E2EFD9" w:themeFill="accent6" w:themeFillTint="33"/>
            <w:tcMar>
              <w:top w:w="150" w:type="dxa"/>
              <w:left w:w="150" w:type="dxa"/>
              <w:bottom w:w="150" w:type="dxa"/>
              <w:right w:w="150" w:type="dxa"/>
            </w:tcMar>
            <w:vAlign w:val="center"/>
          </w:tcPr>
          <w:p w14:paraId="1B3A9E86"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75" w:type="dxa"/>
            <w:shd w:val="clear" w:color="auto" w:fill="B4C6E7" w:themeFill="accent5" w:themeFillTint="66"/>
            <w:vAlign w:val="center"/>
          </w:tcPr>
          <w:p w14:paraId="32E04576"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775" w:type="dxa"/>
            <w:shd w:val="clear" w:color="auto" w:fill="B4C6E7" w:themeFill="accent5" w:themeFillTint="66"/>
            <w:vAlign w:val="center"/>
          </w:tcPr>
          <w:p w14:paraId="60D57DFB" w14:textId="77777777" w:rsidR="0064331C" w:rsidRPr="0064331C" w:rsidRDefault="0064331C" w:rsidP="005D385E">
            <w:pPr>
              <w:jc w:val="center"/>
              <w:rPr>
                <w:b/>
                <w:bCs/>
                <w:sz w:val="20"/>
                <w:szCs w:val="20"/>
                <w:lang w:eastAsia="fr-FR"/>
              </w:rPr>
            </w:pPr>
            <w:r w:rsidRPr="0064331C">
              <w:rPr>
                <w:b/>
                <w:bCs/>
                <w:sz w:val="20"/>
                <w:szCs w:val="20"/>
                <w:lang w:eastAsia="fr-FR"/>
              </w:rPr>
              <w:t>187</w:t>
            </w:r>
          </w:p>
        </w:tc>
        <w:tc>
          <w:tcPr>
            <w:tcW w:w="792" w:type="dxa"/>
            <w:shd w:val="clear" w:color="auto" w:fill="E2EFD9" w:themeFill="accent6" w:themeFillTint="33"/>
            <w:tcMar>
              <w:top w:w="150" w:type="dxa"/>
              <w:left w:w="150" w:type="dxa"/>
              <w:bottom w:w="150" w:type="dxa"/>
              <w:right w:w="150" w:type="dxa"/>
            </w:tcMar>
            <w:vAlign w:val="center"/>
          </w:tcPr>
          <w:p w14:paraId="794EF646"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775" w:type="dxa"/>
            <w:shd w:val="clear" w:color="auto" w:fill="B4C6E7" w:themeFill="accent5" w:themeFillTint="66"/>
            <w:vAlign w:val="center"/>
          </w:tcPr>
          <w:p w14:paraId="654AD171"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B4C6E7" w:themeFill="accent5" w:themeFillTint="66"/>
            <w:vAlign w:val="center"/>
          </w:tcPr>
          <w:p w14:paraId="0251B931"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830" w:type="dxa"/>
            <w:shd w:val="clear" w:color="auto" w:fill="E2EFD9" w:themeFill="accent6" w:themeFillTint="33"/>
            <w:tcMar>
              <w:top w:w="150" w:type="dxa"/>
              <w:left w:w="150" w:type="dxa"/>
              <w:bottom w:w="150" w:type="dxa"/>
              <w:right w:w="150" w:type="dxa"/>
            </w:tcMar>
            <w:vAlign w:val="center"/>
          </w:tcPr>
          <w:p w14:paraId="143A37D0"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851" w:type="dxa"/>
            <w:shd w:val="clear" w:color="auto" w:fill="B4C6E7" w:themeFill="accent5" w:themeFillTint="66"/>
            <w:vAlign w:val="center"/>
          </w:tcPr>
          <w:p w14:paraId="187BE415"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992" w:type="dxa"/>
            <w:shd w:val="clear" w:color="auto" w:fill="92D050"/>
            <w:vAlign w:val="center"/>
          </w:tcPr>
          <w:p w14:paraId="63E9C8FA"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7BF8B4C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39914567" w14:textId="77777777" w:rsidR="0064331C" w:rsidRPr="0064331C" w:rsidRDefault="0064331C" w:rsidP="005D385E">
            <w:pPr>
              <w:jc w:val="cente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1520408F"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shd w:val="clear" w:color="auto" w:fill="E2EFD9" w:themeFill="accent6" w:themeFillTint="33"/>
            <w:tcMar>
              <w:top w:w="150" w:type="dxa"/>
              <w:left w:w="150" w:type="dxa"/>
              <w:bottom w:w="150" w:type="dxa"/>
              <w:right w:w="150" w:type="dxa"/>
            </w:tcMar>
            <w:vAlign w:val="center"/>
          </w:tcPr>
          <w:p w14:paraId="11597403"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75" w:type="dxa"/>
            <w:shd w:val="clear" w:color="auto" w:fill="B4C6E7" w:themeFill="accent5" w:themeFillTint="66"/>
            <w:vAlign w:val="center"/>
          </w:tcPr>
          <w:p w14:paraId="2FC44433"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775" w:type="dxa"/>
            <w:shd w:val="clear" w:color="auto" w:fill="B4C6E7" w:themeFill="accent5" w:themeFillTint="66"/>
            <w:vAlign w:val="center"/>
          </w:tcPr>
          <w:p w14:paraId="17791958" w14:textId="77777777" w:rsidR="0064331C" w:rsidRPr="0064331C" w:rsidRDefault="0064331C" w:rsidP="005D385E">
            <w:pPr>
              <w:jc w:val="center"/>
              <w:rPr>
                <w:b/>
                <w:bCs/>
                <w:sz w:val="20"/>
                <w:szCs w:val="20"/>
                <w:lang w:eastAsia="fr-FR"/>
              </w:rPr>
            </w:pPr>
            <w:r w:rsidRPr="0064331C">
              <w:rPr>
                <w:b/>
                <w:bCs/>
                <w:sz w:val="20"/>
                <w:szCs w:val="20"/>
                <w:lang w:eastAsia="fr-FR"/>
              </w:rPr>
              <w:t>187</w:t>
            </w:r>
          </w:p>
        </w:tc>
        <w:tc>
          <w:tcPr>
            <w:tcW w:w="792" w:type="dxa"/>
            <w:shd w:val="clear" w:color="auto" w:fill="E2EFD9" w:themeFill="accent6" w:themeFillTint="33"/>
            <w:tcMar>
              <w:top w:w="150" w:type="dxa"/>
              <w:left w:w="150" w:type="dxa"/>
              <w:bottom w:w="150" w:type="dxa"/>
              <w:right w:w="150" w:type="dxa"/>
            </w:tcMar>
            <w:vAlign w:val="center"/>
          </w:tcPr>
          <w:p w14:paraId="1BCDFD05"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E2EFD9" w:themeFill="accent6" w:themeFillTint="33"/>
            <w:vAlign w:val="center"/>
          </w:tcPr>
          <w:p w14:paraId="48705732"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75" w:type="dxa"/>
            <w:shd w:val="clear" w:color="auto" w:fill="E2EFD9" w:themeFill="accent6" w:themeFillTint="33"/>
            <w:vAlign w:val="center"/>
          </w:tcPr>
          <w:p w14:paraId="18CE03B7"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shd w:val="clear" w:color="auto" w:fill="E2EFD9" w:themeFill="accent6" w:themeFillTint="33"/>
            <w:tcMar>
              <w:top w:w="150" w:type="dxa"/>
              <w:left w:w="150" w:type="dxa"/>
              <w:bottom w:w="150" w:type="dxa"/>
              <w:right w:w="150" w:type="dxa"/>
            </w:tcMar>
            <w:vAlign w:val="center"/>
          </w:tcPr>
          <w:p w14:paraId="32714232"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851" w:type="dxa"/>
            <w:shd w:val="clear" w:color="auto" w:fill="B4C6E7" w:themeFill="accent5" w:themeFillTint="66"/>
            <w:vAlign w:val="center"/>
          </w:tcPr>
          <w:p w14:paraId="3E055347"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992" w:type="dxa"/>
            <w:shd w:val="clear" w:color="auto" w:fill="92D050"/>
            <w:vAlign w:val="center"/>
          </w:tcPr>
          <w:p w14:paraId="6D589FD6"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7BB8D66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0F3CF138" w14:textId="77777777" w:rsidR="0064331C" w:rsidRPr="0064331C" w:rsidRDefault="0064331C" w:rsidP="005D385E">
            <w:pPr>
              <w:jc w:val="cente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2FFEB59B"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92" w:type="dxa"/>
            <w:shd w:val="clear" w:color="auto" w:fill="E2EFD9" w:themeFill="accent6" w:themeFillTint="33"/>
            <w:tcMar>
              <w:top w:w="150" w:type="dxa"/>
              <w:left w:w="150" w:type="dxa"/>
              <w:bottom w:w="150" w:type="dxa"/>
              <w:right w:w="150" w:type="dxa"/>
            </w:tcMar>
            <w:vAlign w:val="center"/>
          </w:tcPr>
          <w:p w14:paraId="5989C0FE"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75" w:type="dxa"/>
            <w:shd w:val="clear" w:color="auto" w:fill="B4C6E7" w:themeFill="accent5" w:themeFillTint="66"/>
            <w:vAlign w:val="center"/>
          </w:tcPr>
          <w:p w14:paraId="14BDA745"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92D050"/>
            <w:vAlign w:val="center"/>
          </w:tcPr>
          <w:p w14:paraId="4AC6B11F"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92" w:type="dxa"/>
            <w:shd w:val="clear" w:color="auto" w:fill="E2EFD9" w:themeFill="accent6" w:themeFillTint="33"/>
            <w:tcMar>
              <w:top w:w="150" w:type="dxa"/>
              <w:left w:w="150" w:type="dxa"/>
              <w:bottom w:w="150" w:type="dxa"/>
              <w:right w:w="150" w:type="dxa"/>
            </w:tcMar>
            <w:vAlign w:val="center"/>
          </w:tcPr>
          <w:p w14:paraId="4385CECC"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B4C6E7" w:themeFill="accent5" w:themeFillTint="66"/>
            <w:vAlign w:val="center"/>
          </w:tcPr>
          <w:p w14:paraId="7F5B4E75"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92D050"/>
            <w:vAlign w:val="center"/>
          </w:tcPr>
          <w:p w14:paraId="6CDDE359"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shd w:val="clear" w:color="auto" w:fill="E2EFD9" w:themeFill="accent6" w:themeFillTint="33"/>
            <w:tcMar>
              <w:top w:w="150" w:type="dxa"/>
              <w:left w:w="150" w:type="dxa"/>
              <w:bottom w:w="150" w:type="dxa"/>
              <w:right w:w="150" w:type="dxa"/>
            </w:tcMar>
            <w:vAlign w:val="center"/>
          </w:tcPr>
          <w:p w14:paraId="1767CF7C"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851" w:type="dxa"/>
            <w:shd w:val="clear" w:color="auto" w:fill="B4C6E7" w:themeFill="accent5" w:themeFillTint="66"/>
            <w:vAlign w:val="center"/>
          </w:tcPr>
          <w:p w14:paraId="048F8F28"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92" w:type="dxa"/>
            <w:shd w:val="clear" w:color="auto" w:fill="92D050"/>
            <w:vAlign w:val="center"/>
          </w:tcPr>
          <w:p w14:paraId="1273B379"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4491E54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shd w:val="clear" w:color="auto" w:fill="auto"/>
            <w:vAlign w:val="center"/>
          </w:tcPr>
          <w:p w14:paraId="7D076A57" w14:textId="77777777" w:rsidR="0064331C" w:rsidRPr="0064331C" w:rsidRDefault="0064331C" w:rsidP="005D385E">
            <w:pPr>
              <w:jc w:val="center"/>
              <w:rPr>
                <w:b/>
                <w:bCs/>
                <w:sz w:val="20"/>
                <w:szCs w:val="20"/>
                <w:lang w:eastAsia="fr-FR"/>
              </w:rPr>
            </w:pPr>
            <w:r w:rsidRPr="0064331C">
              <w:rPr>
                <w:b/>
                <w:bCs/>
                <w:sz w:val="20"/>
                <w:szCs w:val="20"/>
                <w:lang w:eastAsia="fr-FR"/>
              </w:rPr>
              <w:t>Fioul lourd</w:t>
            </w:r>
          </w:p>
        </w:tc>
        <w:tc>
          <w:tcPr>
            <w:tcW w:w="1515" w:type="dxa"/>
            <w:gridSpan w:val="2"/>
            <w:shd w:val="clear" w:color="auto" w:fill="auto"/>
            <w:tcMar>
              <w:top w:w="150" w:type="dxa"/>
              <w:left w:w="150" w:type="dxa"/>
              <w:bottom w:w="150" w:type="dxa"/>
              <w:right w:w="150" w:type="dxa"/>
            </w:tcMar>
            <w:vAlign w:val="center"/>
          </w:tcPr>
          <w:p w14:paraId="20877BED"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shd w:val="clear" w:color="auto" w:fill="E2EFD9" w:themeFill="accent6" w:themeFillTint="33"/>
            <w:tcMar>
              <w:top w:w="150" w:type="dxa"/>
              <w:left w:w="150" w:type="dxa"/>
              <w:bottom w:w="150" w:type="dxa"/>
              <w:right w:w="150" w:type="dxa"/>
            </w:tcMar>
            <w:vAlign w:val="center"/>
          </w:tcPr>
          <w:p w14:paraId="08A9F15E"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75" w:type="dxa"/>
            <w:shd w:val="clear" w:color="auto" w:fill="E2EFD9" w:themeFill="accent6" w:themeFillTint="33"/>
            <w:vAlign w:val="center"/>
          </w:tcPr>
          <w:p w14:paraId="7A9D5473"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75" w:type="dxa"/>
            <w:shd w:val="clear" w:color="auto" w:fill="E2EFD9" w:themeFill="accent6" w:themeFillTint="33"/>
            <w:vAlign w:val="center"/>
          </w:tcPr>
          <w:p w14:paraId="00BDAD8D"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2" w:type="dxa"/>
            <w:shd w:val="clear" w:color="auto" w:fill="E2EFD9" w:themeFill="accent6" w:themeFillTint="33"/>
            <w:tcMar>
              <w:top w:w="150" w:type="dxa"/>
              <w:left w:w="150" w:type="dxa"/>
              <w:bottom w:w="150" w:type="dxa"/>
              <w:right w:w="150" w:type="dxa"/>
            </w:tcMar>
            <w:vAlign w:val="center"/>
          </w:tcPr>
          <w:p w14:paraId="07B7B1C0"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775" w:type="dxa"/>
            <w:shd w:val="clear" w:color="auto" w:fill="B4C6E7" w:themeFill="accent5" w:themeFillTint="66"/>
            <w:vAlign w:val="center"/>
          </w:tcPr>
          <w:p w14:paraId="2D2AB6B8" w14:textId="77777777" w:rsidR="0064331C" w:rsidRPr="0064331C" w:rsidRDefault="0064331C" w:rsidP="005D385E">
            <w:pPr>
              <w:jc w:val="center"/>
              <w:rPr>
                <w:b/>
                <w:bCs/>
                <w:sz w:val="20"/>
                <w:szCs w:val="20"/>
                <w:lang w:eastAsia="fr-FR"/>
              </w:rPr>
            </w:pPr>
            <w:r w:rsidRPr="0064331C">
              <w:rPr>
                <w:b/>
                <w:bCs/>
                <w:sz w:val="20"/>
                <w:szCs w:val="20"/>
                <w:lang w:eastAsia="fr-FR"/>
              </w:rPr>
              <w:t>300</w:t>
            </w:r>
          </w:p>
        </w:tc>
        <w:tc>
          <w:tcPr>
            <w:tcW w:w="775" w:type="dxa"/>
            <w:shd w:val="clear" w:color="auto" w:fill="92D050"/>
            <w:vAlign w:val="center"/>
          </w:tcPr>
          <w:p w14:paraId="5AB07703" w14:textId="77777777" w:rsidR="0064331C" w:rsidRPr="0064331C" w:rsidRDefault="0064331C" w:rsidP="005D385E">
            <w:pPr>
              <w:jc w:val="center"/>
              <w:rPr>
                <w:b/>
                <w:bCs/>
                <w:sz w:val="20"/>
                <w:szCs w:val="20"/>
                <w:lang w:eastAsia="fr-FR"/>
              </w:rPr>
            </w:pPr>
            <w:r w:rsidRPr="0064331C">
              <w:rPr>
                <w:b/>
                <w:bCs/>
                <w:sz w:val="20"/>
                <w:szCs w:val="20"/>
                <w:lang w:eastAsia="fr-FR"/>
              </w:rPr>
              <w:t>330</w:t>
            </w:r>
          </w:p>
        </w:tc>
        <w:tc>
          <w:tcPr>
            <w:tcW w:w="830" w:type="dxa"/>
            <w:shd w:val="clear" w:color="auto" w:fill="E2EFD9" w:themeFill="accent6" w:themeFillTint="33"/>
            <w:tcMar>
              <w:top w:w="150" w:type="dxa"/>
              <w:left w:w="150" w:type="dxa"/>
              <w:bottom w:w="150" w:type="dxa"/>
              <w:right w:w="150" w:type="dxa"/>
            </w:tcMar>
            <w:vAlign w:val="center"/>
          </w:tcPr>
          <w:p w14:paraId="3ED29F32"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851" w:type="dxa"/>
            <w:shd w:val="clear" w:color="auto" w:fill="B4C6E7" w:themeFill="accent5" w:themeFillTint="66"/>
            <w:vAlign w:val="center"/>
          </w:tcPr>
          <w:p w14:paraId="31320EF1"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992" w:type="dxa"/>
            <w:shd w:val="clear" w:color="auto" w:fill="92D050"/>
            <w:vAlign w:val="center"/>
          </w:tcPr>
          <w:p w14:paraId="6873FBDB"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632C810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2C1519FA"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40924F1B"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shd w:val="clear" w:color="auto" w:fill="E2EFD9" w:themeFill="accent6" w:themeFillTint="33"/>
            <w:tcMar>
              <w:top w:w="150" w:type="dxa"/>
              <w:left w:w="150" w:type="dxa"/>
              <w:bottom w:w="150" w:type="dxa"/>
              <w:right w:w="150" w:type="dxa"/>
            </w:tcMar>
            <w:vAlign w:val="center"/>
          </w:tcPr>
          <w:p w14:paraId="47F19CFE"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75" w:type="dxa"/>
            <w:shd w:val="clear" w:color="auto" w:fill="B4C6E7" w:themeFill="accent5" w:themeFillTint="66"/>
            <w:vAlign w:val="center"/>
          </w:tcPr>
          <w:p w14:paraId="1B20A27A"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75" w:type="dxa"/>
            <w:shd w:val="clear" w:color="auto" w:fill="E2EFD9" w:themeFill="accent6" w:themeFillTint="33"/>
            <w:vAlign w:val="center"/>
          </w:tcPr>
          <w:p w14:paraId="4E05F2DE"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2" w:type="dxa"/>
            <w:shd w:val="clear" w:color="auto" w:fill="E2EFD9" w:themeFill="accent6" w:themeFillTint="33"/>
            <w:tcMar>
              <w:top w:w="150" w:type="dxa"/>
              <w:left w:w="150" w:type="dxa"/>
              <w:bottom w:w="150" w:type="dxa"/>
              <w:right w:w="150" w:type="dxa"/>
            </w:tcMar>
            <w:vAlign w:val="center"/>
          </w:tcPr>
          <w:p w14:paraId="5543129A"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E2EFD9" w:themeFill="accent6" w:themeFillTint="33"/>
            <w:vAlign w:val="center"/>
          </w:tcPr>
          <w:p w14:paraId="092D83A0"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75" w:type="dxa"/>
            <w:shd w:val="clear" w:color="auto" w:fill="E2EFD9" w:themeFill="accent6" w:themeFillTint="33"/>
            <w:vAlign w:val="center"/>
          </w:tcPr>
          <w:p w14:paraId="321F5742"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shd w:val="clear" w:color="auto" w:fill="E2EFD9" w:themeFill="accent6" w:themeFillTint="33"/>
            <w:tcMar>
              <w:top w:w="150" w:type="dxa"/>
              <w:left w:w="150" w:type="dxa"/>
              <w:bottom w:w="150" w:type="dxa"/>
              <w:right w:w="150" w:type="dxa"/>
            </w:tcMar>
            <w:vAlign w:val="center"/>
          </w:tcPr>
          <w:p w14:paraId="77635969"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851" w:type="dxa"/>
            <w:shd w:val="clear" w:color="auto" w:fill="B4C6E7" w:themeFill="accent5" w:themeFillTint="66"/>
            <w:vAlign w:val="center"/>
          </w:tcPr>
          <w:p w14:paraId="396A1A90"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992" w:type="dxa"/>
            <w:shd w:val="clear" w:color="auto" w:fill="92D050"/>
            <w:vAlign w:val="center"/>
          </w:tcPr>
          <w:p w14:paraId="3689E53F"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44126D5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3D5F770F"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12676227"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92" w:type="dxa"/>
            <w:shd w:val="clear" w:color="auto" w:fill="E2EFD9" w:themeFill="accent6" w:themeFillTint="33"/>
            <w:tcMar>
              <w:top w:w="150" w:type="dxa"/>
              <w:left w:w="150" w:type="dxa"/>
              <w:bottom w:w="150" w:type="dxa"/>
              <w:right w:w="150" w:type="dxa"/>
            </w:tcMar>
            <w:vAlign w:val="center"/>
          </w:tcPr>
          <w:p w14:paraId="232D34A2"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75" w:type="dxa"/>
            <w:shd w:val="clear" w:color="auto" w:fill="B4C6E7" w:themeFill="accent5" w:themeFillTint="66"/>
            <w:vAlign w:val="center"/>
          </w:tcPr>
          <w:p w14:paraId="1848E2C0"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92D050"/>
            <w:vAlign w:val="center"/>
          </w:tcPr>
          <w:p w14:paraId="3F2FA68F"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92" w:type="dxa"/>
            <w:shd w:val="clear" w:color="auto" w:fill="E2EFD9" w:themeFill="accent6" w:themeFillTint="33"/>
            <w:tcMar>
              <w:top w:w="150" w:type="dxa"/>
              <w:left w:w="150" w:type="dxa"/>
              <w:bottom w:w="150" w:type="dxa"/>
              <w:right w:w="150" w:type="dxa"/>
            </w:tcMar>
            <w:vAlign w:val="center"/>
          </w:tcPr>
          <w:p w14:paraId="22158861"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B4C6E7" w:themeFill="accent5" w:themeFillTint="66"/>
            <w:vAlign w:val="center"/>
          </w:tcPr>
          <w:p w14:paraId="2F1DAF35"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92D050"/>
            <w:vAlign w:val="center"/>
          </w:tcPr>
          <w:p w14:paraId="20D7400D"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shd w:val="clear" w:color="auto" w:fill="E2EFD9" w:themeFill="accent6" w:themeFillTint="33"/>
            <w:tcMar>
              <w:top w:w="150" w:type="dxa"/>
              <w:left w:w="150" w:type="dxa"/>
              <w:bottom w:w="150" w:type="dxa"/>
              <w:right w:w="150" w:type="dxa"/>
            </w:tcMar>
            <w:vAlign w:val="center"/>
          </w:tcPr>
          <w:p w14:paraId="7CC0E43F"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851" w:type="dxa"/>
            <w:shd w:val="clear" w:color="auto" w:fill="B4C6E7" w:themeFill="accent5" w:themeFillTint="66"/>
            <w:vAlign w:val="center"/>
          </w:tcPr>
          <w:p w14:paraId="0F014791"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92" w:type="dxa"/>
            <w:shd w:val="clear" w:color="auto" w:fill="92D050"/>
            <w:vAlign w:val="center"/>
          </w:tcPr>
          <w:p w14:paraId="3F2330C3"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2C60493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shd w:val="clear" w:color="auto" w:fill="auto"/>
            <w:vAlign w:val="center"/>
          </w:tcPr>
          <w:p w14:paraId="11F8E3BE" w14:textId="77777777" w:rsidR="0064331C" w:rsidRPr="0064331C" w:rsidRDefault="0064331C" w:rsidP="005D385E">
            <w:pPr>
              <w:jc w:val="center"/>
              <w:rPr>
                <w:b/>
                <w:bCs/>
                <w:sz w:val="20"/>
                <w:szCs w:val="20"/>
                <w:lang w:eastAsia="fr-FR"/>
              </w:rPr>
            </w:pPr>
            <w:r w:rsidRPr="0064331C">
              <w:rPr>
                <w:b/>
                <w:bCs/>
                <w:sz w:val="20"/>
                <w:szCs w:val="20"/>
                <w:lang w:eastAsia="fr-FR"/>
              </w:rPr>
              <w:t>Gaz naturel</w:t>
            </w:r>
          </w:p>
        </w:tc>
        <w:tc>
          <w:tcPr>
            <w:tcW w:w="1515" w:type="dxa"/>
            <w:gridSpan w:val="2"/>
            <w:shd w:val="clear" w:color="auto" w:fill="auto"/>
            <w:tcMar>
              <w:top w:w="150" w:type="dxa"/>
              <w:left w:w="150" w:type="dxa"/>
              <w:bottom w:w="150" w:type="dxa"/>
              <w:right w:w="150" w:type="dxa"/>
            </w:tcMar>
            <w:vAlign w:val="center"/>
          </w:tcPr>
          <w:p w14:paraId="1445BAA8"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shd w:val="clear" w:color="auto" w:fill="C9C9C9" w:themeFill="accent3" w:themeFillTint="99"/>
            <w:tcMar>
              <w:top w:w="150" w:type="dxa"/>
              <w:left w:w="150" w:type="dxa"/>
              <w:bottom w:w="150" w:type="dxa"/>
              <w:right w:w="150" w:type="dxa"/>
            </w:tcMar>
            <w:vAlign w:val="center"/>
          </w:tcPr>
          <w:p w14:paraId="52166F36" w14:textId="77777777" w:rsidR="0064331C" w:rsidRPr="0064331C" w:rsidRDefault="0064331C" w:rsidP="005D385E">
            <w:pPr>
              <w:jc w:val="center"/>
              <w:rPr>
                <w:b/>
                <w:bCs/>
                <w:sz w:val="20"/>
                <w:szCs w:val="20"/>
                <w:lang w:eastAsia="fr-FR"/>
              </w:rPr>
            </w:pPr>
          </w:p>
        </w:tc>
        <w:tc>
          <w:tcPr>
            <w:tcW w:w="775" w:type="dxa"/>
            <w:shd w:val="clear" w:color="auto" w:fill="C9C9C9" w:themeFill="accent3" w:themeFillTint="99"/>
            <w:vAlign w:val="center"/>
          </w:tcPr>
          <w:p w14:paraId="41B53C97"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775" w:type="dxa"/>
            <w:shd w:val="clear" w:color="auto" w:fill="C9C9C9" w:themeFill="accent3" w:themeFillTint="99"/>
            <w:vAlign w:val="center"/>
          </w:tcPr>
          <w:p w14:paraId="60E23BC1" w14:textId="77777777" w:rsidR="0064331C" w:rsidRPr="0064331C" w:rsidRDefault="0064331C" w:rsidP="005D385E">
            <w:pPr>
              <w:jc w:val="center"/>
              <w:rPr>
                <w:b/>
                <w:bCs/>
                <w:sz w:val="20"/>
                <w:szCs w:val="20"/>
                <w:lang w:eastAsia="fr-FR"/>
              </w:rPr>
            </w:pPr>
            <w:r w:rsidRPr="0064331C">
              <w:rPr>
                <w:b/>
                <w:bCs/>
                <w:sz w:val="20"/>
                <w:szCs w:val="20"/>
                <w:lang w:eastAsia="fr-FR"/>
              </w:rPr>
              <w:t>38,5</w:t>
            </w:r>
          </w:p>
        </w:tc>
        <w:tc>
          <w:tcPr>
            <w:tcW w:w="792" w:type="dxa"/>
            <w:shd w:val="clear" w:color="auto" w:fill="E2EFD9" w:themeFill="accent6" w:themeFillTint="33"/>
            <w:tcMar>
              <w:top w:w="150" w:type="dxa"/>
              <w:left w:w="150" w:type="dxa"/>
              <w:bottom w:w="150" w:type="dxa"/>
              <w:right w:w="150" w:type="dxa"/>
            </w:tcMar>
            <w:vAlign w:val="center"/>
          </w:tcPr>
          <w:p w14:paraId="621B3F37"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B4C6E7" w:themeFill="accent5" w:themeFillTint="66"/>
            <w:vAlign w:val="center"/>
          </w:tcPr>
          <w:p w14:paraId="4A551498"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92D050"/>
            <w:vAlign w:val="center"/>
          </w:tcPr>
          <w:p w14:paraId="3D03EF79"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shd w:val="clear" w:color="auto" w:fill="C9C9C9" w:themeFill="accent3" w:themeFillTint="99"/>
            <w:tcMar>
              <w:top w:w="150" w:type="dxa"/>
              <w:left w:w="150" w:type="dxa"/>
              <w:bottom w:w="150" w:type="dxa"/>
              <w:right w:w="150" w:type="dxa"/>
            </w:tcMar>
            <w:vAlign w:val="center"/>
          </w:tcPr>
          <w:p w14:paraId="5B06D025" w14:textId="77777777" w:rsidR="0064331C" w:rsidRPr="0064331C" w:rsidRDefault="0064331C" w:rsidP="005D385E">
            <w:pPr>
              <w:jc w:val="center"/>
              <w:rPr>
                <w:b/>
                <w:bCs/>
                <w:sz w:val="20"/>
                <w:szCs w:val="20"/>
                <w:lang w:eastAsia="fr-FR"/>
              </w:rPr>
            </w:pPr>
          </w:p>
        </w:tc>
        <w:tc>
          <w:tcPr>
            <w:tcW w:w="851" w:type="dxa"/>
            <w:shd w:val="clear" w:color="auto" w:fill="C9C9C9" w:themeFill="accent3" w:themeFillTint="99"/>
            <w:vAlign w:val="center"/>
          </w:tcPr>
          <w:p w14:paraId="2F6BF774"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992" w:type="dxa"/>
            <w:shd w:val="clear" w:color="auto" w:fill="C9C9C9" w:themeFill="accent3" w:themeFillTint="99"/>
            <w:vAlign w:val="center"/>
          </w:tcPr>
          <w:p w14:paraId="5C00F914"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228A72BD"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04E65BE4"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145FEC2F"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shd w:val="clear" w:color="auto" w:fill="C9C9C9" w:themeFill="accent3" w:themeFillTint="99"/>
            <w:tcMar>
              <w:top w:w="150" w:type="dxa"/>
              <w:left w:w="150" w:type="dxa"/>
              <w:bottom w:w="150" w:type="dxa"/>
              <w:right w:w="150" w:type="dxa"/>
            </w:tcMar>
            <w:vAlign w:val="center"/>
          </w:tcPr>
          <w:p w14:paraId="3EF47CF3" w14:textId="77777777" w:rsidR="0064331C" w:rsidRPr="0064331C" w:rsidRDefault="0064331C" w:rsidP="005D385E">
            <w:pPr>
              <w:jc w:val="center"/>
              <w:rPr>
                <w:b/>
                <w:bCs/>
                <w:sz w:val="20"/>
                <w:szCs w:val="20"/>
                <w:lang w:eastAsia="fr-FR"/>
              </w:rPr>
            </w:pPr>
          </w:p>
        </w:tc>
        <w:tc>
          <w:tcPr>
            <w:tcW w:w="775" w:type="dxa"/>
            <w:shd w:val="clear" w:color="auto" w:fill="C9C9C9" w:themeFill="accent3" w:themeFillTint="99"/>
            <w:vAlign w:val="center"/>
          </w:tcPr>
          <w:p w14:paraId="446A40C2"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775" w:type="dxa"/>
            <w:shd w:val="clear" w:color="auto" w:fill="C9C9C9" w:themeFill="accent3" w:themeFillTint="99"/>
            <w:vAlign w:val="center"/>
          </w:tcPr>
          <w:p w14:paraId="3B431B15" w14:textId="77777777" w:rsidR="0064331C" w:rsidRPr="0064331C" w:rsidRDefault="0064331C" w:rsidP="005D385E">
            <w:pPr>
              <w:jc w:val="center"/>
              <w:rPr>
                <w:b/>
                <w:bCs/>
                <w:sz w:val="20"/>
                <w:szCs w:val="20"/>
                <w:lang w:eastAsia="fr-FR"/>
              </w:rPr>
            </w:pPr>
            <w:r w:rsidRPr="0064331C">
              <w:rPr>
                <w:b/>
                <w:bCs/>
                <w:sz w:val="20"/>
                <w:szCs w:val="20"/>
                <w:lang w:eastAsia="fr-FR"/>
              </w:rPr>
              <w:t>38,5</w:t>
            </w:r>
          </w:p>
        </w:tc>
        <w:tc>
          <w:tcPr>
            <w:tcW w:w="792" w:type="dxa"/>
            <w:shd w:val="clear" w:color="auto" w:fill="E2EFD9" w:themeFill="accent6" w:themeFillTint="33"/>
            <w:tcMar>
              <w:top w:w="150" w:type="dxa"/>
              <w:left w:w="150" w:type="dxa"/>
              <w:bottom w:w="150" w:type="dxa"/>
              <w:right w:w="150" w:type="dxa"/>
            </w:tcMar>
            <w:vAlign w:val="center"/>
          </w:tcPr>
          <w:p w14:paraId="1872CED8"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B4C6E7" w:themeFill="accent5" w:themeFillTint="66"/>
            <w:vAlign w:val="center"/>
          </w:tcPr>
          <w:p w14:paraId="0776029F"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92D050"/>
            <w:vAlign w:val="center"/>
          </w:tcPr>
          <w:p w14:paraId="554F528B"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shd w:val="clear" w:color="auto" w:fill="C9C9C9" w:themeFill="accent3" w:themeFillTint="99"/>
            <w:tcMar>
              <w:top w:w="150" w:type="dxa"/>
              <w:left w:w="150" w:type="dxa"/>
              <w:bottom w:w="150" w:type="dxa"/>
              <w:right w:w="150" w:type="dxa"/>
            </w:tcMar>
            <w:vAlign w:val="center"/>
          </w:tcPr>
          <w:p w14:paraId="5F1E94F5" w14:textId="77777777" w:rsidR="0064331C" w:rsidRPr="0064331C" w:rsidRDefault="0064331C" w:rsidP="005D385E">
            <w:pPr>
              <w:jc w:val="center"/>
              <w:rPr>
                <w:b/>
                <w:bCs/>
                <w:sz w:val="20"/>
                <w:szCs w:val="20"/>
                <w:lang w:eastAsia="fr-FR"/>
              </w:rPr>
            </w:pPr>
          </w:p>
        </w:tc>
        <w:tc>
          <w:tcPr>
            <w:tcW w:w="851" w:type="dxa"/>
            <w:shd w:val="clear" w:color="auto" w:fill="C9C9C9" w:themeFill="accent3" w:themeFillTint="99"/>
            <w:vAlign w:val="center"/>
          </w:tcPr>
          <w:p w14:paraId="33455B83"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992" w:type="dxa"/>
            <w:shd w:val="clear" w:color="auto" w:fill="C9C9C9" w:themeFill="accent3" w:themeFillTint="99"/>
            <w:vAlign w:val="center"/>
          </w:tcPr>
          <w:p w14:paraId="06D488A2"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2023EBB4"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346085DE"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75FC5AE1"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92" w:type="dxa"/>
            <w:shd w:val="clear" w:color="auto" w:fill="C9C9C9" w:themeFill="accent3" w:themeFillTint="99"/>
            <w:tcMar>
              <w:top w:w="150" w:type="dxa"/>
              <w:left w:w="150" w:type="dxa"/>
              <w:bottom w:w="150" w:type="dxa"/>
              <w:right w:w="150" w:type="dxa"/>
            </w:tcMar>
            <w:vAlign w:val="center"/>
          </w:tcPr>
          <w:p w14:paraId="6D3763A5" w14:textId="77777777" w:rsidR="0064331C" w:rsidRPr="0064331C" w:rsidRDefault="0064331C" w:rsidP="005D385E">
            <w:pPr>
              <w:jc w:val="center"/>
              <w:rPr>
                <w:b/>
                <w:bCs/>
                <w:sz w:val="20"/>
                <w:szCs w:val="20"/>
                <w:lang w:eastAsia="fr-FR"/>
              </w:rPr>
            </w:pPr>
          </w:p>
        </w:tc>
        <w:tc>
          <w:tcPr>
            <w:tcW w:w="775" w:type="dxa"/>
            <w:shd w:val="clear" w:color="auto" w:fill="C9C9C9" w:themeFill="accent3" w:themeFillTint="99"/>
            <w:vAlign w:val="center"/>
          </w:tcPr>
          <w:p w14:paraId="00F69F2A"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775" w:type="dxa"/>
            <w:shd w:val="clear" w:color="auto" w:fill="C9C9C9" w:themeFill="accent3" w:themeFillTint="99"/>
            <w:vAlign w:val="center"/>
          </w:tcPr>
          <w:p w14:paraId="1044C93B" w14:textId="77777777" w:rsidR="0064331C" w:rsidRPr="0064331C" w:rsidRDefault="0064331C" w:rsidP="005D385E">
            <w:pPr>
              <w:jc w:val="center"/>
              <w:rPr>
                <w:b/>
                <w:bCs/>
                <w:sz w:val="20"/>
                <w:szCs w:val="20"/>
                <w:lang w:eastAsia="fr-FR"/>
              </w:rPr>
            </w:pPr>
            <w:r w:rsidRPr="0064331C">
              <w:rPr>
                <w:b/>
                <w:bCs/>
                <w:sz w:val="20"/>
                <w:szCs w:val="20"/>
                <w:lang w:eastAsia="fr-FR"/>
              </w:rPr>
              <w:t>38,5</w:t>
            </w:r>
          </w:p>
        </w:tc>
        <w:tc>
          <w:tcPr>
            <w:tcW w:w="792" w:type="dxa"/>
            <w:shd w:val="clear" w:color="auto" w:fill="E2EFD9" w:themeFill="accent6" w:themeFillTint="33"/>
            <w:tcMar>
              <w:top w:w="150" w:type="dxa"/>
              <w:left w:w="150" w:type="dxa"/>
              <w:bottom w:w="150" w:type="dxa"/>
              <w:right w:w="150" w:type="dxa"/>
            </w:tcMar>
            <w:vAlign w:val="center"/>
          </w:tcPr>
          <w:p w14:paraId="39E88E0A"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B4C6E7" w:themeFill="accent5" w:themeFillTint="66"/>
            <w:vAlign w:val="center"/>
          </w:tcPr>
          <w:p w14:paraId="299DDE0D"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92D050"/>
            <w:vAlign w:val="center"/>
          </w:tcPr>
          <w:p w14:paraId="285C74BD"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shd w:val="clear" w:color="auto" w:fill="C9C9C9" w:themeFill="accent3" w:themeFillTint="99"/>
            <w:tcMar>
              <w:top w:w="150" w:type="dxa"/>
              <w:left w:w="150" w:type="dxa"/>
              <w:bottom w:w="150" w:type="dxa"/>
              <w:right w:w="150" w:type="dxa"/>
            </w:tcMar>
            <w:vAlign w:val="center"/>
          </w:tcPr>
          <w:p w14:paraId="7DF72C3B" w14:textId="77777777" w:rsidR="0064331C" w:rsidRPr="0064331C" w:rsidRDefault="0064331C" w:rsidP="005D385E">
            <w:pPr>
              <w:jc w:val="center"/>
              <w:rPr>
                <w:b/>
                <w:bCs/>
                <w:sz w:val="20"/>
                <w:szCs w:val="20"/>
                <w:lang w:eastAsia="fr-FR"/>
              </w:rPr>
            </w:pPr>
          </w:p>
        </w:tc>
        <w:tc>
          <w:tcPr>
            <w:tcW w:w="851" w:type="dxa"/>
            <w:shd w:val="clear" w:color="auto" w:fill="C9C9C9" w:themeFill="accent3" w:themeFillTint="99"/>
            <w:vAlign w:val="center"/>
          </w:tcPr>
          <w:p w14:paraId="0E68CEC5"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992" w:type="dxa"/>
            <w:shd w:val="clear" w:color="auto" w:fill="C9C9C9" w:themeFill="accent3" w:themeFillTint="99"/>
            <w:vAlign w:val="center"/>
          </w:tcPr>
          <w:p w14:paraId="65D10E71"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322A45CD"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shd w:val="clear" w:color="auto" w:fill="auto"/>
            <w:vAlign w:val="center"/>
          </w:tcPr>
          <w:p w14:paraId="1D162C63" w14:textId="77777777" w:rsidR="0064331C" w:rsidRPr="0064331C" w:rsidRDefault="0064331C" w:rsidP="005D385E">
            <w:pPr>
              <w:jc w:val="center"/>
              <w:rPr>
                <w:b/>
                <w:bCs/>
                <w:sz w:val="20"/>
                <w:szCs w:val="20"/>
                <w:lang w:eastAsia="fr-FR"/>
              </w:rPr>
            </w:pPr>
            <w:bookmarkStart w:id="10" w:name="_Hlk159596536"/>
            <w:r w:rsidRPr="0064331C">
              <w:rPr>
                <w:b/>
                <w:bCs/>
                <w:sz w:val="20"/>
                <w:szCs w:val="20"/>
                <w:lang w:eastAsia="fr-FR"/>
              </w:rPr>
              <w:t>Gaz de haut fourneau</w:t>
            </w:r>
          </w:p>
        </w:tc>
        <w:tc>
          <w:tcPr>
            <w:tcW w:w="1515" w:type="dxa"/>
            <w:gridSpan w:val="2"/>
            <w:shd w:val="clear" w:color="auto" w:fill="auto"/>
            <w:tcMar>
              <w:top w:w="150" w:type="dxa"/>
              <w:left w:w="150" w:type="dxa"/>
              <w:bottom w:w="150" w:type="dxa"/>
              <w:right w:w="150" w:type="dxa"/>
            </w:tcMar>
            <w:vAlign w:val="center"/>
          </w:tcPr>
          <w:p w14:paraId="76B19D31"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vMerge w:val="restart"/>
            <w:shd w:val="clear" w:color="auto" w:fill="E2EFD9" w:themeFill="accent6" w:themeFillTint="33"/>
            <w:tcMar>
              <w:top w:w="150" w:type="dxa"/>
              <w:left w:w="150" w:type="dxa"/>
              <w:bottom w:w="150" w:type="dxa"/>
              <w:right w:w="150" w:type="dxa"/>
            </w:tcMar>
            <w:vAlign w:val="center"/>
          </w:tcPr>
          <w:p w14:paraId="16E848BB"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vMerge w:val="restart"/>
            <w:shd w:val="clear" w:color="auto" w:fill="B4C6E7" w:themeFill="accent5" w:themeFillTint="66"/>
            <w:vAlign w:val="center"/>
          </w:tcPr>
          <w:p w14:paraId="683ADF02" w14:textId="77777777" w:rsidR="0064331C" w:rsidRPr="0064331C" w:rsidRDefault="0064331C" w:rsidP="005D385E">
            <w:pPr>
              <w:jc w:val="center"/>
              <w:rPr>
                <w:b/>
                <w:bCs/>
                <w:sz w:val="20"/>
                <w:szCs w:val="20"/>
                <w:highlight w:val="yellow"/>
                <w:lang w:eastAsia="fr-FR"/>
              </w:rPr>
            </w:pPr>
            <w:r w:rsidRPr="0064331C">
              <w:rPr>
                <w:b/>
                <w:bCs/>
                <w:sz w:val="20"/>
                <w:szCs w:val="20"/>
                <w:lang w:eastAsia="fr-FR"/>
              </w:rPr>
              <w:t>200</w:t>
            </w:r>
          </w:p>
        </w:tc>
        <w:tc>
          <w:tcPr>
            <w:tcW w:w="775" w:type="dxa"/>
            <w:vMerge w:val="restart"/>
            <w:shd w:val="clear" w:color="auto" w:fill="E2EFD9" w:themeFill="accent6" w:themeFillTint="33"/>
            <w:vAlign w:val="center"/>
          </w:tcPr>
          <w:p w14:paraId="358A4EF5"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2" w:type="dxa"/>
            <w:vMerge w:val="restart"/>
            <w:shd w:val="clear" w:color="auto" w:fill="E2EFD9" w:themeFill="accent6" w:themeFillTint="33"/>
            <w:tcMar>
              <w:top w:w="150" w:type="dxa"/>
              <w:left w:w="150" w:type="dxa"/>
              <w:bottom w:w="150" w:type="dxa"/>
              <w:right w:w="150" w:type="dxa"/>
            </w:tcMar>
            <w:vAlign w:val="center"/>
          </w:tcPr>
          <w:p w14:paraId="1603D0D1"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vMerge w:val="restart"/>
            <w:shd w:val="clear" w:color="auto" w:fill="B4C6E7" w:themeFill="accent5" w:themeFillTint="66"/>
            <w:vAlign w:val="center"/>
          </w:tcPr>
          <w:p w14:paraId="2B6EA42A" w14:textId="77777777" w:rsidR="0064331C" w:rsidRPr="0064331C" w:rsidRDefault="0064331C" w:rsidP="005D385E">
            <w:pPr>
              <w:jc w:val="center"/>
              <w:rPr>
                <w:b/>
                <w:bCs/>
                <w:sz w:val="20"/>
                <w:szCs w:val="20"/>
                <w:highlight w:val="yellow"/>
                <w:lang w:eastAsia="fr-FR"/>
              </w:rPr>
            </w:pPr>
            <w:r w:rsidRPr="0064331C">
              <w:rPr>
                <w:b/>
                <w:bCs/>
                <w:sz w:val="20"/>
                <w:szCs w:val="20"/>
                <w:lang w:eastAsia="fr-FR"/>
              </w:rPr>
              <w:t>100</w:t>
            </w:r>
          </w:p>
        </w:tc>
        <w:tc>
          <w:tcPr>
            <w:tcW w:w="775" w:type="dxa"/>
            <w:vMerge w:val="restart"/>
            <w:shd w:val="clear" w:color="auto" w:fill="92D050"/>
            <w:vAlign w:val="center"/>
          </w:tcPr>
          <w:p w14:paraId="4E9CA89D" w14:textId="77777777" w:rsidR="0064331C" w:rsidRPr="0064331C" w:rsidRDefault="0064331C" w:rsidP="005D385E">
            <w:pPr>
              <w:jc w:val="center"/>
              <w:rPr>
                <w:b/>
                <w:bCs/>
                <w:sz w:val="20"/>
                <w:szCs w:val="20"/>
                <w:highlight w:val="yellow"/>
                <w:lang w:eastAsia="fr-FR"/>
              </w:rPr>
            </w:pPr>
            <w:r w:rsidRPr="0064331C">
              <w:rPr>
                <w:b/>
                <w:bCs/>
                <w:sz w:val="20"/>
                <w:szCs w:val="20"/>
                <w:lang w:eastAsia="fr-FR"/>
              </w:rPr>
              <w:t>110</w:t>
            </w:r>
          </w:p>
        </w:tc>
        <w:tc>
          <w:tcPr>
            <w:tcW w:w="830" w:type="dxa"/>
            <w:vMerge w:val="restart"/>
            <w:shd w:val="clear" w:color="auto" w:fill="E2EFD9" w:themeFill="accent6" w:themeFillTint="33"/>
            <w:tcMar>
              <w:top w:w="150" w:type="dxa"/>
              <w:left w:w="150" w:type="dxa"/>
              <w:bottom w:w="150" w:type="dxa"/>
              <w:right w:w="150" w:type="dxa"/>
            </w:tcMar>
            <w:vAlign w:val="center"/>
          </w:tcPr>
          <w:p w14:paraId="6AFD6234"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851" w:type="dxa"/>
            <w:vMerge w:val="restart"/>
            <w:shd w:val="clear" w:color="auto" w:fill="B4C6E7" w:themeFill="accent5" w:themeFillTint="66"/>
            <w:vAlign w:val="center"/>
          </w:tcPr>
          <w:p w14:paraId="15AD568F"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92" w:type="dxa"/>
            <w:vMerge w:val="restart"/>
            <w:shd w:val="clear" w:color="auto" w:fill="E2EFD9" w:themeFill="accent6" w:themeFillTint="33"/>
            <w:vAlign w:val="center"/>
          </w:tcPr>
          <w:p w14:paraId="35DE748E"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06382FD1"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1AC497A0"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02F999EA"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vMerge/>
            <w:shd w:val="clear" w:color="auto" w:fill="E2EFD9" w:themeFill="accent6" w:themeFillTint="33"/>
            <w:tcMar>
              <w:top w:w="150" w:type="dxa"/>
              <w:left w:w="150" w:type="dxa"/>
              <w:bottom w:w="150" w:type="dxa"/>
              <w:right w:w="150" w:type="dxa"/>
            </w:tcMar>
            <w:vAlign w:val="center"/>
          </w:tcPr>
          <w:p w14:paraId="3C924FBE" w14:textId="77777777" w:rsidR="0064331C" w:rsidRPr="0064331C" w:rsidRDefault="0064331C" w:rsidP="005D385E">
            <w:pPr>
              <w:rPr>
                <w:b/>
                <w:bCs/>
                <w:sz w:val="20"/>
                <w:szCs w:val="20"/>
                <w:lang w:eastAsia="fr-FR"/>
              </w:rPr>
            </w:pPr>
          </w:p>
        </w:tc>
        <w:tc>
          <w:tcPr>
            <w:tcW w:w="775" w:type="dxa"/>
            <w:vMerge/>
            <w:shd w:val="clear" w:color="auto" w:fill="B4C6E7" w:themeFill="accent5" w:themeFillTint="66"/>
            <w:vAlign w:val="center"/>
          </w:tcPr>
          <w:p w14:paraId="540A0C88" w14:textId="77777777" w:rsidR="0064331C" w:rsidRPr="0064331C" w:rsidRDefault="0064331C" w:rsidP="005D385E">
            <w:pPr>
              <w:jc w:val="center"/>
              <w:rPr>
                <w:b/>
                <w:bCs/>
                <w:sz w:val="20"/>
                <w:szCs w:val="20"/>
                <w:highlight w:val="yellow"/>
                <w:lang w:eastAsia="fr-FR"/>
              </w:rPr>
            </w:pPr>
          </w:p>
        </w:tc>
        <w:tc>
          <w:tcPr>
            <w:tcW w:w="775" w:type="dxa"/>
            <w:vMerge/>
            <w:shd w:val="clear" w:color="auto" w:fill="E2EFD9" w:themeFill="accent6" w:themeFillTint="33"/>
            <w:vAlign w:val="center"/>
          </w:tcPr>
          <w:p w14:paraId="208FAC74" w14:textId="77777777" w:rsidR="0064331C" w:rsidRPr="0064331C" w:rsidRDefault="0064331C" w:rsidP="005D385E">
            <w:pPr>
              <w:jc w:val="center"/>
              <w:rPr>
                <w:b/>
                <w:bCs/>
                <w:sz w:val="20"/>
                <w:szCs w:val="20"/>
                <w:highlight w:val="yellow"/>
                <w:lang w:eastAsia="fr-FR"/>
              </w:rPr>
            </w:pPr>
          </w:p>
        </w:tc>
        <w:tc>
          <w:tcPr>
            <w:tcW w:w="792" w:type="dxa"/>
            <w:vMerge/>
            <w:shd w:val="clear" w:color="auto" w:fill="E2EFD9" w:themeFill="accent6" w:themeFillTint="33"/>
            <w:tcMar>
              <w:top w:w="150" w:type="dxa"/>
              <w:left w:w="150" w:type="dxa"/>
              <w:bottom w:w="150" w:type="dxa"/>
              <w:right w:w="150" w:type="dxa"/>
            </w:tcMar>
            <w:vAlign w:val="center"/>
          </w:tcPr>
          <w:p w14:paraId="42D798F6" w14:textId="77777777" w:rsidR="0064331C" w:rsidRPr="0064331C" w:rsidRDefault="0064331C" w:rsidP="005D385E">
            <w:pPr>
              <w:jc w:val="center"/>
              <w:rPr>
                <w:b/>
                <w:bCs/>
                <w:sz w:val="20"/>
                <w:szCs w:val="20"/>
                <w:highlight w:val="yellow"/>
                <w:lang w:eastAsia="fr-FR"/>
              </w:rPr>
            </w:pPr>
          </w:p>
        </w:tc>
        <w:tc>
          <w:tcPr>
            <w:tcW w:w="775" w:type="dxa"/>
            <w:vMerge/>
            <w:shd w:val="clear" w:color="auto" w:fill="B4C6E7" w:themeFill="accent5" w:themeFillTint="66"/>
            <w:vAlign w:val="center"/>
          </w:tcPr>
          <w:p w14:paraId="6413DF65" w14:textId="77777777" w:rsidR="0064331C" w:rsidRPr="0064331C" w:rsidRDefault="0064331C" w:rsidP="005D385E">
            <w:pPr>
              <w:jc w:val="center"/>
              <w:rPr>
                <w:b/>
                <w:bCs/>
                <w:sz w:val="20"/>
                <w:szCs w:val="20"/>
                <w:highlight w:val="yellow"/>
                <w:lang w:eastAsia="fr-FR"/>
              </w:rPr>
            </w:pPr>
          </w:p>
        </w:tc>
        <w:tc>
          <w:tcPr>
            <w:tcW w:w="775" w:type="dxa"/>
            <w:vMerge/>
            <w:shd w:val="clear" w:color="auto" w:fill="92D050"/>
            <w:vAlign w:val="center"/>
          </w:tcPr>
          <w:p w14:paraId="696E1136" w14:textId="77777777" w:rsidR="0064331C" w:rsidRPr="0064331C" w:rsidRDefault="0064331C" w:rsidP="005D385E">
            <w:pPr>
              <w:jc w:val="center"/>
              <w:rPr>
                <w:b/>
                <w:bCs/>
                <w:sz w:val="20"/>
                <w:szCs w:val="20"/>
                <w:highlight w:val="yellow"/>
                <w:lang w:eastAsia="fr-FR"/>
              </w:rPr>
            </w:pPr>
          </w:p>
        </w:tc>
        <w:tc>
          <w:tcPr>
            <w:tcW w:w="830" w:type="dxa"/>
            <w:vMerge/>
            <w:shd w:val="clear" w:color="auto" w:fill="E2EFD9" w:themeFill="accent6" w:themeFillTint="33"/>
            <w:tcMar>
              <w:top w:w="150" w:type="dxa"/>
              <w:left w:w="150" w:type="dxa"/>
              <w:bottom w:w="150" w:type="dxa"/>
              <w:right w:w="150" w:type="dxa"/>
            </w:tcMar>
            <w:vAlign w:val="center"/>
          </w:tcPr>
          <w:p w14:paraId="3E97378F" w14:textId="77777777" w:rsidR="0064331C" w:rsidRPr="0064331C" w:rsidRDefault="0064331C" w:rsidP="005D385E">
            <w:pPr>
              <w:jc w:val="center"/>
              <w:rPr>
                <w:b/>
                <w:bCs/>
                <w:sz w:val="20"/>
                <w:szCs w:val="20"/>
                <w:lang w:eastAsia="fr-FR"/>
              </w:rPr>
            </w:pPr>
          </w:p>
        </w:tc>
        <w:tc>
          <w:tcPr>
            <w:tcW w:w="851" w:type="dxa"/>
            <w:vMerge/>
            <w:shd w:val="clear" w:color="auto" w:fill="B4C6E7" w:themeFill="accent5" w:themeFillTint="66"/>
            <w:vAlign w:val="center"/>
          </w:tcPr>
          <w:p w14:paraId="4A3B34DA" w14:textId="77777777" w:rsidR="0064331C" w:rsidRPr="0064331C" w:rsidRDefault="0064331C" w:rsidP="005D385E">
            <w:pPr>
              <w:jc w:val="center"/>
              <w:rPr>
                <w:b/>
                <w:bCs/>
                <w:sz w:val="20"/>
                <w:szCs w:val="20"/>
                <w:lang w:eastAsia="fr-FR"/>
              </w:rPr>
            </w:pPr>
          </w:p>
        </w:tc>
        <w:tc>
          <w:tcPr>
            <w:tcW w:w="992" w:type="dxa"/>
            <w:vMerge/>
            <w:shd w:val="clear" w:color="auto" w:fill="E2EFD9" w:themeFill="accent6" w:themeFillTint="33"/>
            <w:vAlign w:val="center"/>
          </w:tcPr>
          <w:p w14:paraId="5C67691C" w14:textId="77777777" w:rsidR="0064331C" w:rsidRPr="0064331C" w:rsidRDefault="0064331C" w:rsidP="005D385E">
            <w:pPr>
              <w:jc w:val="center"/>
              <w:rPr>
                <w:b/>
                <w:bCs/>
                <w:sz w:val="20"/>
                <w:szCs w:val="20"/>
                <w:lang w:eastAsia="fr-FR"/>
              </w:rPr>
            </w:pPr>
          </w:p>
        </w:tc>
      </w:tr>
      <w:tr w:rsidR="0064331C" w:rsidRPr="0064331C" w14:paraId="6EAB31C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348F13D5"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6FF8A0FA"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92" w:type="dxa"/>
            <w:vMerge/>
            <w:shd w:val="clear" w:color="auto" w:fill="E2EFD9" w:themeFill="accent6" w:themeFillTint="33"/>
            <w:tcMar>
              <w:top w:w="150" w:type="dxa"/>
              <w:left w:w="150" w:type="dxa"/>
              <w:bottom w:w="150" w:type="dxa"/>
              <w:right w:w="150" w:type="dxa"/>
            </w:tcMar>
            <w:vAlign w:val="center"/>
          </w:tcPr>
          <w:p w14:paraId="3044856A" w14:textId="77777777" w:rsidR="0064331C" w:rsidRPr="0064331C" w:rsidRDefault="0064331C" w:rsidP="005D385E">
            <w:pPr>
              <w:jc w:val="center"/>
              <w:rPr>
                <w:b/>
                <w:bCs/>
                <w:sz w:val="20"/>
                <w:szCs w:val="20"/>
                <w:lang w:eastAsia="fr-FR"/>
              </w:rPr>
            </w:pPr>
          </w:p>
        </w:tc>
        <w:tc>
          <w:tcPr>
            <w:tcW w:w="775" w:type="dxa"/>
            <w:vMerge/>
            <w:shd w:val="clear" w:color="auto" w:fill="B4C6E7" w:themeFill="accent5" w:themeFillTint="66"/>
            <w:vAlign w:val="center"/>
          </w:tcPr>
          <w:p w14:paraId="4FBF113E" w14:textId="77777777" w:rsidR="0064331C" w:rsidRPr="0064331C" w:rsidRDefault="0064331C" w:rsidP="005D385E">
            <w:pPr>
              <w:jc w:val="center"/>
              <w:rPr>
                <w:b/>
                <w:bCs/>
                <w:sz w:val="20"/>
                <w:szCs w:val="20"/>
                <w:highlight w:val="yellow"/>
                <w:lang w:eastAsia="fr-FR"/>
              </w:rPr>
            </w:pPr>
          </w:p>
        </w:tc>
        <w:tc>
          <w:tcPr>
            <w:tcW w:w="775" w:type="dxa"/>
            <w:vMerge/>
            <w:shd w:val="clear" w:color="auto" w:fill="E2EFD9" w:themeFill="accent6" w:themeFillTint="33"/>
            <w:vAlign w:val="center"/>
          </w:tcPr>
          <w:p w14:paraId="70055A47" w14:textId="77777777" w:rsidR="0064331C" w:rsidRPr="0064331C" w:rsidRDefault="0064331C" w:rsidP="005D385E">
            <w:pPr>
              <w:jc w:val="center"/>
              <w:rPr>
                <w:b/>
                <w:bCs/>
                <w:sz w:val="20"/>
                <w:szCs w:val="20"/>
                <w:highlight w:val="yellow"/>
                <w:lang w:eastAsia="fr-FR"/>
              </w:rPr>
            </w:pPr>
          </w:p>
        </w:tc>
        <w:tc>
          <w:tcPr>
            <w:tcW w:w="792" w:type="dxa"/>
            <w:vMerge/>
            <w:shd w:val="clear" w:color="auto" w:fill="E2EFD9" w:themeFill="accent6" w:themeFillTint="33"/>
            <w:tcMar>
              <w:top w:w="150" w:type="dxa"/>
              <w:left w:w="150" w:type="dxa"/>
              <w:bottom w:w="150" w:type="dxa"/>
              <w:right w:w="150" w:type="dxa"/>
            </w:tcMar>
            <w:vAlign w:val="center"/>
          </w:tcPr>
          <w:p w14:paraId="18653F12" w14:textId="77777777" w:rsidR="0064331C" w:rsidRPr="0064331C" w:rsidRDefault="0064331C" w:rsidP="005D385E">
            <w:pPr>
              <w:jc w:val="center"/>
              <w:rPr>
                <w:b/>
                <w:bCs/>
                <w:sz w:val="20"/>
                <w:szCs w:val="20"/>
                <w:highlight w:val="yellow"/>
                <w:lang w:eastAsia="fr-FR"/>
              </w:rPr>
            </w:pPr>
          </w:p>
        </w:tc>
        <w:tc>
          <w:tcPr>
            <w:tcW w:w="775" w:type="dxa"/>
            <w:vMerge/>
            <w:shd w:val="clear" w:color="auto" w:fill="B4C6E7" w:themeFill="accent5" w:themeFillTint="66"/>
            <w:vAlign w:val="center"/>
          </w:tcPr>
          <w:p w14:paraId="7F3150F4" w14:textId="77777777" w:rsidR="0064331C" w:rsidRPr="0064331C" w:rsidRDefault="0064331C" w:rsidP="005D385E">
            <w:pPr>
              <w:jc w:val="center"/>
              <w:rPr>
                <w:b/>
                <w:bCs/>
                <w:sz w:val="20"/>
                <w:szCs w:val="20"/>
                <w:highlight w:val="yellow"/>
                <w:lang w:eastAsia="fr-FR"/>
              </w:rPr>
            </w:pPr>
          </w:p>
        </w:tc>
        <w:tc>
          <w:tcPr>
            <w:tcW w:w="775" w:type="dxa"/>
            <w:vMerge/>
            <w:shd w:val="clear" w:color="auto" w:fill="92D050"/>
            <w:vAlign w:val="center"/>
          </w:tcPr>
          <w:p w14:paraId="21FBA26B" w14:textId="77777777" w:rsidR="0064331C" w:rsidRPr="0064331C" w:rsidRDefault="0064331C" w:rsidP="005D385E">
            <w:pPr>
              <w:jc w:val="center"/>
              <w:rPr>
                <w:b/>
                <w:bCs/>
                <w:sz w:val="20"/>
                <w:szCs w:val="20"/>
                <w:highlight w:val="yellow"/>
                <w:lang w:eastAsia="fr-FR"/>
              </w:rPr>
            </w:pPr>
          </w:p>
        </w:tc>
        <w:tc>
          <w:tcPr>
            <w:tcW w:w="830" w:type="dxa"/>
            <w:vMerge/>
            <w:shd w:val="clear" w:color="auto" w:fill="E2EFD9" w:themeFill="accent6" w:themeFillTint="33"/>
            <w:tcMar>
              <w:top w:w="150" w:type="dxa"/>
              <w:left w:w="150" w:type="dxa"/>
              <w:bottom w:w="150" w:type="dxa"/>
              <w:right w:w="150" w:type="dxa"/>
            </w:tcMar>
            <w:vAlign w:val="center"/>
          </w:tcPr>
          <w:p w14:paraId="4D92AD6D" w14:textId="77777777" w:rsidR="0064331C" w:rsidRPr="0064331C" w:rsidRDefault="0064331C" w:rsidP="005D385E">
            <w:pPr>
              <w:jc w:val="center"/>
              <w:rPr>
                <w:b/>
                <w:bCs/>
                <w:sz w:val="20"/>
                <w:szCs w:val="20"/>
                <w:lang w:eastAsia="fr-FR"/>
              </w:rPr>
            </w:pPr>
          </w:p>
        </w:tc>
        <w:tc>
          <w:tcPr>
            <w:tcW w:w="851" w:type="dxa"/>
            <w:vMerge/>
            <w:shd w:val="clear" w:color="auto" w:fill="B4C6E7" w:themeFill="accent5" w:themeFillTint="66"/>
            <w:vAlign w:val="center"/>
          </w:tcPr>
          <w:p w14:paraId="0F13FE2D" w14:textId="77777777" w:rsidR="0064331C" w:rsidRPr="0064331C" w:rsidRDefault="0064331C" w:rsidP="005D385E">
            <w:pPr>
              <w:jc w:val="center"/>
              <w:rPr>
                <w:b/>
                <w:bCs/>
                <w:sz w:val="20"/>
                <w:szCs w:val="20"/>
                <w:lang w:eastAsia="fr-FR"/>
              </w:rPr>
            </w:pPr>
          </w:p>
        </w:tc>
        <w:tc>
          <w:tcPr>
            <w:tcW w:w="992" w:type="dxa"/>
            <w:vMerge/>
            <w:shd w:val="clear" w:color="auto" w:fill="E2EFD9" w:themeFill="accent6" w:themeFillTint="33"/>
            <w:vAlign w:val="center"/>
          </w:tcPr>
          <w:p w14:paraId="0D0AB415" w14:textId="77777777" w:rsidR="0064331C" w:rsidRPr="0064331C" w:rsidRDefault="0064331C" w:rsidP="005D385E">
            <w:pPr>
              <w:jc w:val="center"/>
              <w:rPr>
                <w:b/>
                <w:bCs/>
                <w:sz w:val="20"/>
                <w:szCs w:val="20"/>
                <w:lang w:eastAsia="fr-FR"/>
              </w:rPr>
            </w:pPr>
          </w:p>
        </w:tc>
      </w:tr>
      <w:tr w:rsidR="0064331C" w:rsidRPr="0064331C" w14:paraId="0591BBB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shd w:val="clear" w:color="auto" w:fill="auto"/>
            <w:vAlign w:val="center"/>
          </w:tcPr>
          <w:p w14:paraId="38A1FA02" w14:textId="77777777" w:rsidR="0064331C" w:rsidRPr="0064331C" w:rsidRDefault="0064331C" w:rsidP="005D385E">
            <w:pPr>
              <w:jc w:val="center"/>
              <w:rPr>
                <w:b/>
                <w:bCs/>
                <w:sz w:val="20"/>
                <w:szCs w:val="20"/>
                <w:lang w:eastAsia="fr-FR"/>
              </w:rPr>
            </w:pPr>
            <w:bookmarkStart w:id="11" w:name="_Hlk159597267"/>
            <w:r w:rsidRPr="0064331C">
              <w:rPr>
                <w:b/>
                <w:bCs/>
                <w:sz w:val="20"/>
                <w:szCs w:val="20"/>
                <w:lang w:eastAsia="fr-FR"/>
              </w:rPr>
              <w:t>Gaz de cokerie</w:t>
            </w:r>
          </w:p>
        </w:tc>
        <w:tc>
          <w:tcPr>
            <w:tcW w:w="1515" w:type="dxa"/>
            <w:gridSpan w:val="2"/>
            <w:shd w:val="clear" w:color="auto" w:fill="auto"/>
            <w:tcMar>
              <w:top w:w="150" w:type="dxa"/>
              <w:left w:w="150" w:type="dxa"/>
              <w:bottom w:w="150" w:type="dxa"/>
              <w:right w:w="150" w:type="dxa"/>
            </w:tcMar>
            <w:vAlign w:val="center"/>
          </w:tcPr>
          <w:p w14:paraId="390100A9"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vMerge w:val="restart"/>
            <w:shd w:val="clear" w:color="auto" w:fill="E2EFD9" w:themeFill="accent6" w:themeFillTint="33"/>
            <w:tcMar>
              <w:top w:w="150" w:type="dxa"/>
              <w:left w:w="150" w:type="dxa"/>
              <w:bottom w:w="150" w:type="dxa"/>
              <w:right w:w="150" w:type="dxa"/>
            </w:tcMar>
            <w:vAlign w:val="center"/>
          </w:tcPr>
          <w:p w14:paraId="76831661"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vMerge w:val="restart"/>
            <w:shd w:val="clear" w:color="auto" w:fill="B4C6E7" w:themeFill="accent5" w:themeFillTint="66"/>
            <w:vAlign w:val="center"/>
          </w:tcPr>
          <w:p w14:paraId="1DFE6FEA"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45183468" w14:textId="77777777" w:rsidR="0064331C" w:rsidRPr="0064331C" w:rsidRDefault="0064331C" w:rsidP="005D385E">
            <w:pPr>
              <w:jc w:val="center"/>
              <w:rPr>
                <w:b/>
                <w:bCs/>
                <w:sz w:val="20"/>
                <w:szCs w:val="20"/>
                <w:lang w:eastAsia="fr-FR"/>
              </w:rPr>
            </w:pPr>
            <w:r w:rsidRPr="0064331C">
              <w:rPr>
                <w:b/>
                <w:bCs/>
                <w:sz w:val="20"/>
                <w:szCs w:val="20"/>
                <w:lang w:eastAsia="fr-FR"/>
              </w:rPr>
              <w:t>(6)</w:t>
            </w:r>
          </w:p>
        </w:tc>
        <w:tc>
          <w:tcPr>
            <w:tcW w:w="775" w:type="dxa"/>
            <w:vMerge w:val="restart"/>
            <w:shd w:val="clear" w:color="auto" w:fill="E2EFD9" w:themeFill="accent6" w:themeFillTint="33"/>
            <w:vAlign w:val="center"/>
          </w:tcPr>
          <w:p w14:paraId="4C9F4FCC"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16C53308" w14:textId="77777777" w:rsidR="0064331C" w:rsidRPr="0064331C" w:rsidRDefault="0064331C" w:rsidP="005D385E">
            <w:pPr>
              <w:jc w:val="center"/>
              <w:rPr>
                <w:b/>
                <w:bCs/>
                <w:sz w:val="20"/>
                <w:szCs w:val="20"/>
                <w:lang w:eastAsia="fr-FR"/>
              </w:rPr>
            </w:pPr>
            <w:r w:rsidRPr="0064331C">
              <w:rPr>
                <w:b/>
                <w:bCs/>
                <w:sz w:val="20"/>
                <w:szCs w:val="20"/>
                <w:lang w:eastAsia="fr-FR"/>
              </w:rPr>
              <w:t>(6)</w:t>
            </w:r>
          </w:p>
        </w:tc>
        <w:tc>
          <w:tcPr>
            <w:tcW w:w="792" w:type="dxa"/>
            <w:vMerge w:val="restart"/>
            <w:shd w:val="clear" w:color="auto" w:fill="E2EFD9" w:themeFill="accent6" w:themeFillTint="33"/>
            <w:tcMar>
              <w:top w:w="150" w:type="dxa"/>
              <w:left w:w="150" w:type="dxa"/>
              <w:bottom w:w="150" w:type="dxa"/>
              <w:right w:w="150" w:type="dxa"/>
            </w:tcMar>
            <w:vAlign w:val="center"/>
          </w:tcPr>
          <w:p w14:paraId="26437F4B"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vMerge w:val="restart"/>
            <w:shd w:val="clear" w:color="auto" w:fill="B4C6E7" w:themeFill="accent5" w:themeFillTint="66"/>
            <w:vAlign w:val="center"/>
          </w:tcPr>
          <w:p w14:paraId="06771B5E"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vMerge w:val="restart"/>
            <w:shd w:val="clear" w:color="auto" w:fill="92D050"/>
            <w:vAlign w:val="center"/>
          </w:tcPr>
          <w:p w14:paraId="2261A4B1"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vMerge w:val="restart"/>
            <w:shd w:val="clear" w:color="auto" w:fill="E2EFD9" w:themeFill="accent6" w:themeFillTint="33"/>
            <w:tcMar>
              <w:top w:w="150" w:type="dxa"/>
              <w:left w:w="150" w:type="dxa"/>
              <w:bottom w:w="150" w:type="dxa"/>
              <w:right w:w="150" w:type="dxa"/>
            </w:tcMar>
            <w:vAlign w:val="center"/>
          </w:tcPr>
          <w:p w14:paraId="16F7CEFA"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851" w:type="dxa"/>
            <w:vMerge w:val="restart"/>
            <w:shd w:val="clear" w:color="auto" w:fill="B4C6E7" w:themeFill="accent5" w:themeFillTint="66"/>
            <w:vAlign w:val="center"/>
          </w:tcPr>
          <w:p w14:paraId="3BCC1AE5"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92" w:type="dxa"/>
            <w:vMerge w:val="restart"/>
            <w:shd w:val="clear" w:color="auto" w:fill="E2EFD9" w:themeFill="accent6" w:themeFillTint="33"/>
            <w:vAlign w:val="center"/>
          </w:tcPr>
          <w:p w14:paraId="2030A75F" w14:textId="77777777" w:rsidR="0064331C" w:rsidRPr="0064331C" w:rsidRDefault="0064331C" w:rsidP="005D385E">
            <w:pPr>
              <w:jc w:val="center"/>
              <w:rPr>
                <w:b/>
                <w:bCs/>
                <w:sz w:val="20"/>
                <w:szCs w:val="20"/>
                <w:lang w:eastAsia="fr-FR"/>
              </w:rPr>
            </w:pPr>
            <w:r w:rsidRPr="0064331C">
              <w:rPr>
                <w:b/>
                <w:bCs/>
                <w:sz w:val="20"/>
                <w:szCs w:val="20"/>
                <w:lang w:eastAsia="fr-FR"/>
              </w:rPr>
              <w:t>10</w:t>
            </w:r>
          </w:p>
        </w:tc>
      </w:tr>
      <w:bookmarkEnd w:id="11"/>
      <w:tr w:rsidR="0064331C" w:rsidRPr="0064331C" w14:paraId="5F0BB69E"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42DBD511"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0689C8BE"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vMerge/>
            <w:shd w:val="clear" w:color="auto" w:fill="E2EFD9" w:themeFill="accent6" w:themeFillTint="33"/>
            <w:tcMar>
              <w:top w:w="150" w:type="dxa"/>
              <w:left w:w="150" w:type="dxa"/>
              <w:bottom w:w="150" w:type="dxa"/>
              <w:right w:w="150" w:type="dxa"/>
            </w:tcMar>
            <w:vAlign w:val="center"/>
          </w:tcPr>
          <w:p w14:paraId="6EE6D326" w14:textId="77777777" w:rsidR="0064331C" w:rsidRPr="0064331C" w:rsidRDefault="0064331C" w:rsidP="005D385E">
            <w:pPr>
              <w:jc w:val="center"/>
              <w:rPr>
                <w:b/>
                <w:bCs/>
                <w:sz w:val="20"/>
                <w:szCs w:val="20"/>
                <w:lang w:eastAsia="fr-FR"/>
              </w:rPr>
            </w:pPr>
          </w:p>
        </w:tc>
        <w:tc>
          <w:tcPr>
            <w:tcW w:w="775" w:type="dxa"/>
            <w:vMerge/>
            <w:shd w:val="clear" w:color="auto" w:fill="B4C6E7" w:themeFill="accent5" w:themeFillTint="66"/>
            <w:vAlign w:val="center"/>
          </w:tcPr>
          <w:p w14:paraId="283F4680" w14:textId="77777777" w:rsidR="0064331C" w:rsidRPr="0064331C" w:rsidRDefault="0064331C" w:rsidP="005D385E">
            <w:pPr>
              <w:jc w:val="center"/>
              <w:rPr>
                <w:b/>
                <w:bCs/>
                <w:sz w:val="20"/>
                <w:szCs w:val="20"/>
                <w:lang w:eastAsia="fr-FR"/>
              </w:rPr>
            </w:pPr>
          </w:p>
        </w:tc>
        <w:tc>
          <w:tcPr>
            <w:tcW w:w="775" w:type="dxa"/>
            <w:vMerge/>
            <w:shd w:val="clear" w:color="auto" w:fill="E2EFD9" w:themeFill="accent6" w:themeFillTint="33"/>
            <w:vAlign w:val="center"/>
          </w:tcPr>
          <w:p w14:paraId="1E807358" w14:textId="77777777" w:rsidR="0064331C" w:rsidRPr="0064331C" w:rsidRDefault="0064331C" w:rsidP="005D385E">
            <w:pPr>
              <w:jc w:val="center"/>
              <w:rPr>
                <w:b/>
                <w:bCs/>
                <w:sz w:val="20"/>
                <w:szCs w:val="20"/>
                <w:lang w:eastAsia="fr-FR"/>
              </w:rPr>
            </w:pPr>
          </w:p>
        </w:tc>
        <w:tc>
          <w:tcPr>
            <w:tcW w:w="792" w:type="dxa"/>
            <w:vMerge/>
            <w:shd w:val="clear" w:color="auto" w:fill="E2EFD9" w:themeFill="accent6" w:themeFillTint="33"/>
            <w:tcMar>
              <w:top w:w="150" w:type="dxa"/>
              <w:left w:w="150" w:type="dxa"/>
              <w:bottom w:w="150" w:type="dxa"/>
              <w:right w:w="150" w:type="dxa"/>
            </w:tcMar>
            <w:vAlign w:val="center"/>
          </w:tcPr>
          <w:p w14:paraId="40D5BE73" w14:textId="77777777" w:rsidR="0064331C" w:rsidRPr="0064331C" w:rsidRDefault="0064331C" w:rsidP="005D385E">
            <w:pPr>
              <w:jc w:val="center"/>
              <w:rPr>
                <w:b/>
                <w:bCs/>
                <w:sz w:val="20"/>
                <w:szCs w:val="20"/>
                <w:lang w:eastAsia="fr-FR"/>
              </w:rPr>
            </w:pPr>
          </w:p>
        </w:tc>
        <w:tc>
          <w:tcPr>
            <w:tcW w:w="775" w:type="dxa"/>
            <w:vMerge/>
            <w:shd w:val="clear" w:color="auto" w:fill="B4C6E7" w:themeFill="accent5" w:themeFillTint="66"/>
            <w:vAlign w:val="center"/>
          </w:tcPr>
          <w:p w14:paraId="62F8268E" w14:textId="77777777" w:rsidR="0064331C" w:rsidRPr="0064331C" w:rsidRDefault="0064331C" w:rsidP="005D385E">
            <w:pPr>
              <w:jc w:val="center"/>
              <w:rPr>
                <w:b/>
                <w:bCs/>
                <w:sz w:val="20"/>
                <w:szCs w:val="20"/>
                <w:lang w:eastAsia="fr-FR"/>
              </w:rPr>
            </w:pPr>
          </w:p>
        </w:tc>
        <w:tc>
          <w:tcPr>
            <w:tcW w:w="775" w:type="dxa"/>
            <w:vMerge/>
            <w:shd w:val="clear" w:color="auto" w:fill="92D050"/>
            <w:vAlign w:val="center"/>
          </w:tcPr>
          <w:p w14:paraId="64EBFB30" w14:textId="77777777" w:rsidR="0064331C" w:rsidRPr="0064331C" w:rsidRDefault="0064331C" w:rsidP="005D385E">
            <w:pPr>
              <w:jc w:val="center"/>
              <w:rPr>
                <w:b/>
                <w:bCs/>
                <w:sz w:val="20"/>
                <w:szCs w:val="20"/>
                <w:lang w:eastAsia="fr-FR"/>
              </w:rPr>
            </w:pPr>
          </w:p>
        </w:tc>
        <w:tc>
          <w:tcPr>
            <w:tcW w:w="830" w:type="dxa"/>
            <w:vMerge/>
            <w:shd w:val="clear" w:color="auto" w:fill="E2EFD9" w:themeFill="accent6" w:themeFillTint="33"/>
            <w:tcMar>
              <w:top w:w="150" w:type="dxa"/>
              <w:left w:w="150" w:type="dxa"/>
              <w:bottom w:w="150" w:type="dxa"/>
              <w:right w:w="150" w:type="dxa"/>
            </w:tcMar>
            <w:vAlign w:val="center"/>
          </w:tcPr>
          <w:p w14:paraId="4C1045F7" w14:textId="77777777" w:rsidR="0064331C" w:rsidRPr="0064331C" w:rsidRDefault="0064331C" w:rsidP="005D385E">
            <w:pPr>
              <w:jc w:val="center"/>
              <w:rPr>
                <w:b/>
                <w:bCs/>
                <w:sz w:val="20"/>
                <w:szCs w:val="20"/>
                <w:lang w:eastAsia="fr-FR"/>
              </w:rPr>
            </w:pPr>
          </w:p>
        </w:tc>
        <w:tc>
          <w:tcPr>
            <w:tcW w:w="851" w:type="dxa"/>
            <w:vMerge/>
            <w:shd w:val="clear" w:color="auto" w:fill="B4C6E7" w:themeFill="accent5" w:themeFillTint="66"/>
            <w:vAlign w:val="center"/>
          </w:tcPr>
          <w:p w14:paraId="2758F34B" w14:textId="77777777" w:rsidR="0064331C" w:rsidRPr="0064331C" w:rsidRDefault="0064331C" w:rsidP="005D385E">
            <w:pPr>
              <w:jc w:val="center"/>
              <w:rPr>
                <w:b/>
                <w:bCs/>
                <w:sz w:val="20"/>
                <w:szCs w:val="20"/>
                <w:lang w:eastAsia="fr-FR"/>
              </w:rPr>
            </w:pPr>
          </w:p>
        </w:tc>
        <w:tc>
          <w:tcPr>
            <w:tcW w:w="992" w:type="dxa"/>
            <w:vMerge/>
            <w:shd w:val="clear" w:color="auto" w:fill="E2EFD9" w:themeFill="accent6" w:themeFillTint="33"/>
            <w:vAlign w:val="center"/>
          </w:tcPr>
          <w:p w14:paraId="1A7A4091" w14:textId="77777777" w:rsidR="0064331C" w:rsidRPr="0064331C" w:rsidRDefault="0064331C" w:rsidP="005D385E">
            <w:pPr>
              <w:jc w:val="center"/>
              <w:rPr>
                <w:b/>
                <w:bCs/>
                <w:sz w:val="20"/>
                <w:szCs w:val="20"/>
                <w:lang w:eastAsia="fr-FR"/>
              </w:rPr>
            </w:pPr>
          </w:p>
        </w:tc>
      </w:tr>
      <w:tr w:rsidR="0064331C" w:rsidRPr="0064331C" w14:paraId="5BF124E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shd w:val="clear" w:color="auto" w:fill="auto"/>
            <w:vAlign w:val="center"/>
          </w:tcPr>
          <w:p w14:paraId="5F69B139" w14:textId="77777777" w:rsidR="0064331C" w:rsidRPr="0064331C" w:rsidRDefault="0064331C" w:rsidP="005D385E">
            <w:pPr>
              <w:rPr>
                <w:b/>
                <w:bCs/>
                <w:sz w:val="20"/>
                <w:szCs w:val="20"/>
                <w:lang w:eastAsia="fr-FR"/>
              </w:rPr>
            </w:pPr>
          </w:p>
        </w:tc>
        <w:tc>
          <w:tcPr>
            <w:tcW w:w="1515" w:type="dxa"/>
            <w:gridSpan w:val="2"/>
            <w:shd w:val="clear" w:color="auto" w:fill="auto"/>
            <w:tcMar>
              <w:top w:w="150" w:type="dxa"/>
              <w:left w:w="150" w:type="dxa"/>
              <w:bottom w:w="150" w:type="dxa"/>
              <w:right w:w="150" w:type="dxa"/>
            </w:tcMar>
            <w:vAlign w:val="center"/>
          </w:tcPr>
          <w:p w14:paraId="74C0D223"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92" w:type="dxa"/>
            <w:vMerge/>
            <w:shd w:val="clear" w:color="auto" w:fill="E2EFD9" w:themeFill="accent6" w:themeFillTint="33"/>
            <w:tcMar>
              <w:top w:w="150" w:type="dxa"/>
              <w:left w:w="150" w:type="dxa"/>
              <w:bottom w:w="150" w:type="dxa"/>
              <w:right w:w="150" w:type="dxa"/>
            </w:tcMar>
            <w:vAlign w:val="center"/>
          </w:tcPr>
          <w:p w14:paraId="244A8147" w14:textId="77777777" w:rsidR="0064331C" w:rsidRPr="0064331C" w:rsidRDefault="0064331C" w:rsidP="005D385E">
            <w:pPr>
              <w:jc w:val="center"/>
              <w:rPr>
                <w:b/>
                <w:bCs/>
                <w:sz w:val="20"/>
                <w:szCs w:val="20"/>
                <w:lang w:eastAsia="fr-FR"/>
              </w:rPr>
            </w:pPr>
          </w:p>
        </w:tc>
        <w:tc>
          <w:tcPr>
            <w:tcW w:w="775" w:type="dxa"/>
            <w:vMerge/>
            <w:shd w:val="clear" w:color="auto" w:fill="B4C6E7" w:themeFill="accent5" w:themeFillTint="66"/>
            <w:vAlign w:val="center"/>
          </w:tcPr>
          <w:p w14:paraId="594E3E4F" w14:textId="77777777" w:rsidR="0064331C" w:rsidRPr="0064331C" w:rsidRDefault="0064331C" w:rsidP="005D385E">
            <w:pPr>
              <w:jc w:val="center"/>
              <w:rPr>
                <w:b/>
                <w:bCs/>
                <w:sz w:val="20"/>
                <w:szCs w:val="20"/>
                <w:lang w:eastAsia="fr-FR"/>
              </w:rPr>
            </w:pPr>
          </w:p>
        </w:tc>
        <w:tc>
          <w:tcPr>
            <w:tcW w:w="775" w:type="dxa"/>
            <w:vMerge/>
            <w:shd w:val="clear" w:color="auto" w:fill="E2EFD9" w:themeFill="accent6" w:themeFillTint="33"/>
            <w:vAlign w:val="center"/>
          </w:tcPr>
          <w:p w14:paraId="29B93B69" w14:textId="77777777" w:rsidR="0064331C" w:rsidRPr="0064331C" w:rsidRDefault="0064331C" w:rsidP="005D385E">
            <w:pPr>
              <w:jc w:val="center"/>
              <w:rPr>
                <w:b/>
                <w:bCs/>
                <w:sz w:val="20"/>
                <w:szCs w:val="20"/>
                <w:lang w:eastAsia="fr-FR"/>
              </w:rPr>
            </w:pPr>
          </w:p>
        </w:tc>
        <w:tc>
          <w:tcPr>
            <w:tcW w:w="792" w:type="dxa"/>
            <w:vMerge/>
            <w:shd w:val="clear" w:color="auto" w:fill="E2EFD9" w:themeFill="accent6" w:themeFillTint="33"/>
            <w:tcMar>
              <w:top w:w="150" w:type="dxa"/>
              <w:left w:w="150" w:type="dxa"/>
              <w:bottom w:w="150" w:type="dxa"/>
              <w:right w:w="150" w:type="dxa"/>
            </w:tcMar>
            <w:vAlign w:val="center"/>
          </w:tcPr>
          <w:p w14:paraId="4228F566" w14:textId="77777777" w:rsidR="0064331C" w:rsidRPr="0064331C" w:rsidRDefault="0064331C" w:rsidP="005D385E">
            <w:pPr>
              <w:jc w:val="center"/>
              <w:rPr>
                <w:b/>
                <w:bCs/>
                <w:sz w:val="20"/>
                <w:szCs w:val="20"/>
                <w:lang w:eastAsia="fr-FR"/>
              </w:rPr>
            </w:pPr>
          </w:p>
        </w:tc>
        <w:tc>
          <w:tcPr>
            <w:tcW w:w="775" w:type="dxa"/>
            <w:vMerge/>
            <w:shd w:val="clear" w:color="auto" w:fill="B4C6E7" w:themeFill="accent5" w:themeFillTint="66"/>
            <w:vAlign w:val="center"/>
          </w:tcPr>
          <w:p w14:paraId="385B241F" w14:textId="77777777" w:rsidR="0064331C" w:rsidRPr="0064331C" w:rsidRDefault="0064331C" w:rsidP="005D385E">
            <w:pPr>
              <w:jc w:val="center"/>
              <w:rPr>
                <w:b/>
                <w:bCs/>
                <w:sz w:val="20"/>
                <w:szCs w:val="20"/>
                <w:lang w:eastAsia="fr-FR"/>
              </w:rPr>
            </w:pPr>
          </w:p>
        </w:tc>
        <w:tc>
          <w:tcPr>
            <w:tcW w:w="775" w:type="dxa"/>
            <w:vMerge/>
            <w:shd w:val="clear" w:color="auto" w:fill="92D050"/>
            <w:vAlign w:val="center"/>
          </w:tcPr>
          <w:p w14:paraId="1B85797A" w14:textId="77777777" w:rsidR="0064331C" w:rsidRPr="0064331C" w:rsidRDefault="0064331C" w:rsidP="005D385E">
            <w:pPr>
              <w:jc w:val="center"/>
              <w:rPr>
                <w:b/>
                <w:bCs/>
                <w:sz w:val="20"/>
                <w:szCs w:val="20"/>
                <w:lang w:eastAsia="fr-FR"/>
              </w:rPr>
            </w:pPr>
          </w:p>
        </w:tc>
        <w:tc>
          <w:tcPr>
            <w:tcW w:w="830" w:type="dxa"/>
            <w:vMerge/>
            <w:shd w:val="clear" w:color="auto" w:fill="E2EFD9" w:themeFill="accent6" w:themeFillTint="33"/>
            <w:tcMar>
              <w:top w:w="150" w:type="dxa"/>
              <w:left w:w="150" w:type="dxa"/>
              <w:bottom w:w="150" w:type="dxa"/>
              <w:right w:w="150" w:type="dxa"/>
            </w:tcMar>
            <w:vAlign w:val="center"/>
          </w:tcPr>
          <w:p w14:paraId="6A920A58" w14:textId="77777777" w:rsidR="0064331C" w:rsidRPr="0064331C" w:rsidRDefault="0064331C" w:rsidP="005D385E">
            <w:pPr>
              <w:jc w:val="center"/>
              <w:rPr>
                <w:b/>
                <w:bCs/>
                <w:sz w:val="20"/>
                <w:szCs w:val="20"/>
                <w:lang w:eastAsia="fr-FR"/>
              </w:rPr>
            </w:pPr>
          </w:p>
        </w:tc>
        <w:tc>
          <w:tcPr>
            <w:tcW w:w="851" w:type="dxa"/>
            <w:vMerge/>
            <w:shd w:val="clear" w:color="auto" w:fill="B4C6E7" w:themeFill="accent5" w:themeFillTint="66"/>
            <w:vAlign w:val="center"/>
          </w:tcPr>
          <w:p w14:paraId="7FA3C7AD" w14:textId="77777777" w:rsidR="0064331C" w:rsidRPr="0064331C" w:rsidRDefault="0064331C" w:rsidP="005D385E">
            <w:pPr>
              <w:jc w:val="center"/>
              <w:rPr>
                <w:b/>
                <w:bCs/>
                <w:sz w:val="20"/>
                <w:szCs w:val="20"/>
                <w:lang w:eastAsia="fr-FR"/>
              </w:rPr>
            </w:pPr>
          </w:p>
        </w:tc>
        <w:tc>
          <w:tcPr>
            <w:tcW w:w="992" w:type="dxa"/>
            <w:vMerge/>
            <w:shd w:val="clear" w:color="auto" w:fill="E2EFD9" w:themeFill="accent6" w:themeFillTint="33"/>
            <w:vAlign w:val="center"/>
          </w:tcPr>
          <w:p w14:paraId="493045C3" w14:textId="77777777" w:rsidR="0064331C" w:rsidRPr="0064331C" w:rsidRDefault="0064331C" w:rsidP="005D385E">
            <w:pPr>
              <w:jc w:val="center"/>
              <w:rPr>
                <w:b/>
                <w:bCs/>
                <w:sz w:val="20"/>
                <w:szCs w:val="20"/>
                <w:lang w:eastAsia="fr-FR"/>
              </w:rPr>
            </w:pPr>
          </w:p>
        </w:tc>
      </w:tr>
      <w:bookmarkEnd w:id="10"/>
      <w:tr w:rsidR="0064331C" w:rsidRPr="0064331C" w14:paraId="2C295EE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shd w:val="clear" w:color="auto" w:fill="auto"/>
            <w:vAlign w:val="center"/>
          </w:tcPr>
          <w:p w14:paraId="4D2099D0" w14:textId="77777777" w:rsidR="0064331C" w:rsidRPr="0064331C" w:rsidRDefault="0064331C" w:rsidP="005D385E">
            <w:pPr>
              <w:jc w:val="center"/>
              <w:rPr>
                <w:b/>
                <w:bCs/>
                <w:sz w:val="20"/>
                <w:szCs w:val="20"/>
                <w:lang w:eastAsia="fr-FR"/>
              </w:rPr>
            </w:pPr>
            <w:r w:rsidRPr="0064331C">
              <w:rPr>
                <w:b/>
                <w:bCs/>
                <w:sz w:val="20"/>
                <w:szCs w:val="20"/>
                <w:lang w:eastAsia="fr-FR"/>
              </w:rPr>
              <w:t>Gaz de convertisseurs à l’oxygène</w:t>
            </w:r>
          </w:p>
        </w:tc>
        <w:tc>
          <w:tcPr>
            <w:tcW w:w="1515" w:type="dxa"/>
            <w:gridSpan w:val="2"/>
            <w:shd w:val="clear" w:color="auto" w:fill="auto"/>
            <w:tcMar>
              <w:top w:w="150" w:type="dxa"/>
              <w:left w:w="150" w:type="dxa"/>
              <w:bottom w:w="150" w:type="dxa"/>
              <w:right w:w="150" w:type="dxa"/>
            </w:tcMar>
            <w:vAlign w:val="center"/>
          </w:tcPr>
          <w:p w14:paraId="76B9A4BD"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shd w:val="clear" w:color="auto" w:fill="E2EFD9" w:themeFill="accent6" w:themeFillTint="33"/>
            <w:tcMar>
              <w:top w:w="150" w:type="dxa"/>
              <w:left w:w="150" w:type="dxa"/>
              <w:bottom w:w="150" w:type="dxa"/>
              <w:right w:w="150" w:type="dxa"/>
            </w:tcMar>
            <w:vAlign w:val="center"/>
          </w:tcPr>
          <w:p w14:paraId="4AF1E13E"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75" w:type="dxa"/>
            <w:shd w:val="clear" w:color="auto" w:fill="B4C6E7" w:themeFill="accent5" w:themeFillTint="66"/>
            <w:vAlign w:val="center"/>
          </w:tcPr>
          <w:p w14:paraId="3C5AE7A8"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775" w:type="dxa"/>
            <w:shd w:val="clear" w:color="auto" w:fill="B4C6E7" w:themeFill="accent5" w:themeFillTint="66"/>
            <w:vAlign w:val="center"/>
          </w:tcPr>
          <w:p w14:paraId="0675F399" w14:textId="77777777" w:rsidR="0064331C" w:rsidRPr="0064331C" w:rsidRDefault="0064331C" w:rsidP="005D385E">
            <w:pPr>
              <w:jc w:val="center"/>
              <w:rPr>
                <w:b/>
                <w:bCs/>
                <w:sz w:val="20"/>
                <w:szCs w:val="20"/>
                <w:highlight w:val="magenta"/>
                <w:lang w:eastAsia="fr-FR"/>
              </w:rPr>
            </w:pPr>
            <w:r w:rsidRPr="0064331C">
              <w:rPr>
                <w:b/>
                <w:bCs/>
                <w:sz w:val="20"/>
                <w:szCs w:val="20"/>
                <w:lang w:eastAsia="fr-FR"/>
              </w:rPr>
              <w:t>38,5</w:t>
            </w:r>
          </w:p>
        </w:tc>
        <w:tc>
          <w:tcPr>
            <w:tcW w:w="792" w:type="dxa"/>
            <w:shd w:val="clear" w:color="auto" w:fill="E2EFD9" w:themeFill="accent6" w:themeFillTint="33"/>
            <w:tcMar>
              <w:top w:w="150" w:type="dxa"/>
              <w:left w:w="150" w:type="dxa"/>
              <w:bottom w:w="150" w:type="dxa"/>
              <w:right w:w="150" w:type="dxa"/>
            </w:tcMar>
            <w:vAlign w:val="center"/>
          </w:tcPr>
          <w:p w14:paraId="760EE6B5"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B4C6E7" w:themeFill="accent5" w:themeFillTint="66"/>
            <w:vAlign w:val="center"/>
          </w:tcPr>
          <w:p w14:paraId="34B59B73"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shd w:val="clear" w:color="auto" w:fill="92D050"/>
            <w:vAlign w:val="center"/>
          </w:tcPr>
          <w:p w14:paraId="3619619F"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shd w:val="clear" w:color="auto" w:fill="E2EFD9" w:themeFill="accent6" w:themeFillTint="33"/>
            <w:tcMar>
              <w:top w:w="150" w:type="dxa"/>
              <w:left w:w="150" w:type="dxa"/>
              <w:bottom w:w="150" w:type="dxa"/>
              <w:right w:w="150" w:type="dxa"/>
            </w:tcMar>
            <w:vAlign w:val="center"/>
          </w:tcPr>
          <w:p w14:paraId="06C2D83F"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851" w:type="dxa"/>
            <w:shd w:val="clear" w:color="auto" w:fill="B4C6E7" w:themeFill="accent5" w:themeFillTint="66"/>
            <w:vAlign w:val="center"/>
          </w:tcPr>
          <w:p w14:paraId="7BEEA74C"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992" w:type="dxa"/>
            <w:shd w:val="clear" w:color="auto" w:fill="B4C6E7" w:themeFill="accent5" w:themeFillTint="66"/>
            <w:vAlign w:val="center"/>
          </w:tcPr>
          <w:p w14:paraId="0D951A94"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46BC89E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tcBorders>
              <w:top w:val="single" w:sz="4" w:space="0" w:color="auto"/>
              <w:left w:val="single" w:sz="4" w:space="0" w:color="auto"/>
              <w:right w:val="single" w:sz="4" w:space="0" w:color="auto"/>
            </w:tcBorders>
            <w:shd w:val="clear" w:color="auto" w:fill="auto"/>
            <w:vAlign w:val="center"/>
          </w:tcPr>
          <w:p w14:paraId="4A2BAF05" w14:textId="77777777" w:rsidR="0064331C" w:rsidRPr="0064331C" w:rsidRDefault="0064331C" w:rsidP="005D385E">
            <w:pPr>
              <w:jc w:val="center"/>
              <w:rPr>
                <w:b/>
                <w:bCs/>
                <w:sz w:val="20"/>
                <w:szCs w:val="20"/>
                <w:lang w:eastAsia="fr-FR"/>
              </w:rPr>
            </w:pPr>
            <w:r w:rsidRPr="0064331C">
              <w:rPr>
                <w:b/>
                <w:bCs/>
                <w:sz w:val="20"/>
                <w:szCs w:val="20"/>
                <w:lang w:eastAsia="fr-FR"/>
              </w:rPr>
              <w:t>Gaz issus de procédés de l’industrie chimique</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08E63580"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29F2B72"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75"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2F5273E1" w14:textId="77777777" w:rsidR="0064331C" w:rsidRPr="0064331C" w:rsidRDefault="0064331C" w:rsidP="005D385E">
            <w:pPr>
              <w:jc w:val="center"/>
              <w:rPr>
                <w:b/>
                <w:bCs/>
                <w:sz w:val="20"/>
                <w:szCs w:val="20"/>
                <w:lang w:eastAsia="fr-FR"/>
              </w:rPr>
            </w:pPr>
            <w:r w:rsidRPr="0064331C">
              <w:rPr>
                <w:b/>
                <w:bCs/>
                <w:sz w:val="20"/>
                <w:szCs w:val="20"/>
                <w:highlight w:val="magenta"/>
                <w:lang w:eastAsia="fr-FR"/>
              </w:rPr>
              <w:t>35</w:t>
            </w:r>
          </w:p>
        </w:tc>
        <w:tc>
          <w:tcPr>
            <w:tcW w:w="775"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093452D0" w14:textId="77777777" w:rsidR="0064331C" w:rsidRPr="0064331C" w:rsidRDefault="0064331C" w:rsidP="005D385E">
            <w:pPr>
              <w:jc w:val="center"/>
              <w:rPr>
                <w:b/>
                <w:bCs/>
                <w:sz w:val="20"/>
                <w:szCs w:val="20"/>
                <w:highlight w:val="yellow"/>
                <w:lang w:eastAsia="fr-FR"/>
              </w:rPr>
            </w:pPr>
            <w:r w:rsidRPr="0064331C">
              <w:rPr>
                <w:b/>
                <w:bCs/>
                <w:sz w:val="20"/>
                <w:szCs w:val="20"/>
                <w:lang w:eastAsia="fr-FR"/>
              </w:rPr>
              <w:t>38,5</w:t>
            </w:r>
          </w:p>
        </w:tc>
        <w:tc>
          <w:tcPr>
            <w:tcW w:w="792"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759B866"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775"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0803FBCC"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75" w:type="dxa"/>
            <w:vMerge w:val="restart"/>
            <w:tcBorders>
              <w:top w:val="single" w:sz="4" w:space="0" w:color="auto"/>
              <w:left w:val="single" w:sz="4" w:space="0" w:color="auto"/>
              <w:right w:val="single" w:sz="4" w:space="0" w:color="auto"/>
            </w:tcBorders>
            <w:shd w:val="clear" w:color="auto" w:fill="92D050"/>
            <w:vAlign w:val="center"/>
          </w:tcPr>
          <w:p w14:paraId="1BDF7350"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0" w:type="dxa"/>
            <w:vMerge w:val="restart"/>
            <w:tcBorders>
              <w:top w:val="single" w:sz="4" w:space="0" w:color="auto"/>
              <w:left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6657925C" w14:textId="77777777" w:rsidR="0064331C" w:rsidRPr="0064331C" w:rsidRDefault="0064331C" w:rsidP="005D385E">
            <w:pPr>
              <w:jc w:val="center"/>
              <w:rPr>
                <w:b/>
                <w:bCs/>
                <w:sz w:val="20"/>
                <w:szCs w:val="20"/>
                <w:lang w:eastAsia="fr-FR"/>
              </w:rPr>
            </w:pPr>
          </w:p>
        </w:tc>
        <w:tc>
          <w:tcPr>
            <w:tcW w:w="85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896CC81"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99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C305F15"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32CD3BD9"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tcBorders>
              <w:left w:val="single" w:sz="4" w:space="0" w:color="auto"/>
              <w:right w:val="single" w:sz="4" w:space="0" w:color="auto"/>
            </w:tcBorders>
            <w:shd w:val="clear" w:color="auto" w:fill="auto"/>
            <w:vAlign w:val="center"/>
          </w:tcPr>
          <w:p w14:paraId="4A029A76" w14:textId="77777777" w:rsidR="0064331C" w:rsidRPr="0064331C" w:rsidRDefault="0064331C" w:rsidP="005D385E">
            <w:pPr>
              <w:rPr>
                <w:b/>
                <w:bCs/>
                <w:sz w:val="20"/>
                <w:szCs w:val="20"/>
                <w:lang w:eastAsia="fr-FR"/>
              </w:rPr>
            </w:pP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60EC8844"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D348C04"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B4C6E7" w:themeFill="accent5" w:themeFillTint="66"/>
            <w:vAlign w:val="center"/>
          </w:tcPr>
          <w:p w14:paraId="13EC6433"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B4C6E7" w:themeFill="accent5" w:themeFillTint="66"/>
            <w:vAlign w:val="center"/>
          </w:tcPr>
          <w:p w14:paraId="6ECCBDFC" w14:textId="77777777" w:rsidR="0064331C" w:rsidRPr="0064331C" w:rsidRDefault="0064331C" w:rsidP="005D385E">
            <w:pPr>
              <w:jc w:val="center"/>
              <w:rPr>
                <w:b/>
                <w:bCs/>
                <w:sz w:val="20"/>
                <w:szCs w:val="20"/>
                <w:lang w:eastAsia="fr-FR"/>
              </w:rPr>
            </w:pPr>
          </w:p>
        </w:tc>
        <w:tc>
          <w:tcPr>
            <w:tcW w:w="792"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FA154FF"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B4C6E7" w:themeFill="accent5" w:themeFillTint="66"/>
            <w:vAlign w:val="center"/>
          </w:tcPr>
          <w:p w14:paraId="2B469C92"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92D050"/>
            <w:vAlign w:val="center"/>
          </w:tcPr>
          <w:p w14:paraId="4EF15006" w14:textId="77777777" w:rsidR="0064331C" w:rsidRPr="0064331C" w:rsidRDefault="0064331C" w:rsidP="005D385E">
            <w:pPr>
              <w:jc w:val="center"/>
              <w:rPr>
                <w:b/>
                <w:bCs/>
                <w:sz w:val="20"/>
                <w:szCs w:val="20"/>
                <w:lang w:eastAsia="fr-FR"/>
              </w:rPr>
            </w:pPr>
          </w:p>
        </w:tc>
        <w:tc>
          <w:tcPr>
            <w:tcW w:w="830" w:type="dxa"/>
            <w:vMerge/>
            <w:tcBorders>
              <w:left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1A97DEDB" w14:textId="77777777" w:rsidR="0064331C" w:rsidRPr="0064331C" w:rsidRDefault="0064331C" w:rsidP="005D385E">
            <w:pPr>
              <w:jc w:val="center"/>
              <w:rPr>
                <w:b/>
                <w:bCs/>
                <w:sz w:val="20"/>
                <w:szCs w:val="20"/>
                <w:lang w:eastAsia="fr-FR"/>
              </w:rPr>
            </w:pPr>
          </w:p>
        </w:tc>
        <w:tc>
          <w:tcPr>
            <w:tcW w:w="851" w:type="dxa"/>
            <w:vMerge/>
            <w:tcBorders>
              <w:left w:val="single" w:sz="4" w:space="0" w:color="auto"/>
              <w:right w:val="single" w:sz="4" w:space="0" w:color="auto"/>
            </w:tcBorders>
            <w:shd w:val="clear" w:color="auto" w:fill="BFBFBF" w:themeFill="background1" w:themeFillShade="BF"/>
            <w:vAlign w:val="center"/>
          </w:tcPr>
          <w:p w14:paraId="4F4D47E2" w14:textId="77777777" w:rsidR="0064331C" w:rsidRPr="0064331C" w:rsidRDefault="0064331C" w:rsidP="005D385E">
            <w:pPr>
              <w:jc w:val="center"/>
              <w:rPr>
                <w:b/>
                <w:bCs/>
                <w:sz w:val="20"/>
                <w:szCs w:val="20"/>
                <w:lang w:eastAsia="fr-FR"/>
              </w:rPr>
            </w:pPr>
          </w:p>
        </w:tc>
        <w:tc>
          <w:tcPr>
            <w:tcW w:w="992" w:type="dxa"/>
            <w:vMerge/>
            <w:tcBorders>
              <w:left w:val="single" w:sz="4" w:space="0" w:color="auto"/>
              <w:right w:val="single" w:sz="4" w:space="0" w:color="auto"/>
            </w:tcBorders>
            <w:shd w:val="clear" w:color="auto" w:fill="BFBFBF" w:themeFill="background1" w:themeFillShade="BF"/>
            <w:vAlign w:val="center"/>
          </w:tcPr>
          <w:p w14:paraId="62CB7826" w14:textId="77777777" w:rsidR="0064331C" w:rsidRPr="0064331C" w:rsidRDefault="0064331C" w:rsidP="005D385E">
            <w:pPr>
              <w:jc w:val="center"/>
              <w:rPr>
                <w:b/>
                <w:bCs/>
                <w:sz w:val="20"/>
                <w:szCs w:val="20"/>
                <w:lang w:eastAsia="fr-FR"/>
              </w:rPr>
            </w:pPr>
          </w:p>
        </w:tc>
      </w:tr>
      <w:tr w:rsidR="0064331C" w:rsidRPr="0064331C" w14:paraId="1A0EC316"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tcBorders>
              <w:left w:val="single" w:sz="4" w:space="0" w:color="auto"/>
              <w:bottom w:val="single" w:sz="4" w:space="0" w:color="auto"/>
              <w:right w:val="single" w:sz="4" w:space="0" w:color="auto"/>
            </w:tcBorders>
            <w:shd w:val="clear" w:color="auto" w:fill="auto"/>
            <w:vAlign w:val="center"/>
          </w:tcPr>
          <w:p w14:paraId="067DB8D8" w14:textId="77777777" w:rsidR="0064331C" w:rsidRPr="0064331C" w:rsidRDefault="0064331C" w:rsidP="005D385E">
            <w:pPr>
              <w:rPr>
                <w:b/>
                <w:bCs/>
                <w:sz w:val="20"/>
                <w:szCs w:val="20"/>
                <w:lang w:eastAsia="fr-FR"/>
              </w:rPr>
            </w:pP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2028F51C"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92" w:type="dxa"/>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E500751" w14:textId="77777777" w:rsidR="0064331C" w:rsidRPr="0064331C" w:rsidRDefault="0064331C" w:rsidP="005D385E">
            <w:pPr>
              <w:jc w:val="center"/>
              <w:rPr>
                <w:b/>
                <w:bCs/>
                <w:sz w:val="20"/>
                <w:szCs w:val="20"/>
                <w:lang w:eastAsia="fr-FR"/>
              </w:rPr>
            </w:pPr>
          </w:p>
        </w:tc>
        <w:tc>
          <w:tcPr>
            <w:tcW w:w="775" w:type="dxa"/>
            <w:vMerge/>
            <w:tcBorders>
              <w:left w:val="single" w:sz="4" w:space="0" w:color="auto"/>
              <w:bottom w:val="single" w:sz="4" w:space="0" w:color="auto"/>
              <w:right w:val="single" w:sz="4" w:space="0" w:color="auto"/>
            </w:tcBorders>
            <w:shd w:val="clear" w:color="auto" w:fill="B4C6E7" w:themeFill="accent5" w:themeFillTint="66"/>
            <w:vAlign w:val="center"/>
          </w:tcPr>
          <w:p w14:paraId="3F358797" w14:textId="77777777" w:rsidR="0064331C" w:rsidRPr="0064331C" w:rsidRDefault="0064331C" w:rsidP="005D385E">
            <w:pPr>
              <w:jc w:val="center"/>
              <w:rPr>
                <w:b/>
                <w:bCs/>
                <w:sz w:val="20"/>
                <w:szCs w:val="20"/>
                <w:lang w:eastAsia="fr-FR"/>
              </w:rPr>
            </w:pPr>
          </w:p>
        </w:tc>
        <w:tc>
          <w:tcPr>
            <w:tcW w:w="775" w:type="dxa"/>
            <w:vMerge/>
            <w:tcBorders>
              <w:left w:val="single" w:sz="4" w:space="0" w:color="auto"/>
              <w:bottom w:val="single" w:sz="4" w:space="0" w:color="auto"/>
              <w:right w:val="single" w:sz="4" w:space="0" w:color="auto"/>
            </w:tcBorders>
            <w:shd w:val="clear" w:color="auto" w:fill="B4C6E7" w:themeFill="accent5" w:themeFillTint="66"/>
            <w:vAlign w:val="center"/>
          </w:tcPr>
          <w:p w14:paraId="039F8B8B" w14:textId="77777777" w:rsidR="0064331C" w:rsidRPr="0064331C" w:rsidRDefault="0064331C" w:rsidP="005D385E">
            <w:pPr>
              <w:jc w:val="center"/>
              <w:rPr>
                <w:b/>
                <w:bCs/>
                <w:sz w:val="20"/>
                <w:szCs w:val="20"/>
                <w:lang w:eastAsia="fr-FR"/>
              </w:rPr>
            </w:pPr>
          </w:p>
        </w:tc>
        <w:tc>
          <w:tcPr>
            <w:tcW w:w="792" w:type="dxa"/>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AB90540" w14:textId="77777777" w:rsidR="0064331C" w:rsidRPr="0064331C" w:rsidRDefault="0064331C" w:rsidP="005D385E">
            <w:pPr>
              <w:jc w:val="center"/>
              <w:rPr>
                <w:b/>
                <w:bCs/>
                <w:sz w:val="20"/>
                <w:szCs w:val="20"/>
                <w:lang w:eastAsia="fr-FR"/>
              </w:rPr>
            </w:pPr>
          </w:p>
        </w:tc>
        <w:tc>
          <w:tcPr>
            <w:tcW w:w="775" w:type="dxa"/>
            <w:vMerge/>
            <w:tcBorders>
              <w:left w:val="single" w:sz="4" w:space="0" w:color="auto"/>
              <w:bottom w:val="single" w:sz="4" w:space="0" w:color="auto"/>
              <w:right w:val="single" w:sz="4" w:space="0" w:color="auto"/>
            </w:tcBorders>
            <w:shd w:val="clear" w:color="auto" w:fill="B4C6E7" w:themeFill="accent5" w:themeFillTint="66"/>
            <w:vAlign w:val="center"/>
          </w:tcPr>
          <w:p w14:paraId="470B331A" w14:textId="77777777" w:rsidR="0064331C" w:rsidRPr="0064331C" w:rsidRDefault="0064331C" w:rsidP="005D385E">
            <w:pPr>
              <w:jc w:val="center"/>
              <w:rPr>
                <w:b/>
                <w:bCs/>
                <w:sz w:val="20"/>
                <w:szCs w:val="20"/>
                <w:lang w:eastAsia="fr-FR"/>
              </w:rPr>
            </w:pPr>
          </w:p>
        </w:tc>
        <w:tc>
          <w:tcPr>
            <w:tcW w:w="775" w:type="dxa"/>
            <w:vMerge/>
            <w:tcBorders>
              <w:left w:val="single" w:sz="4" w:space="0" w:color="auto"/>
              <w:bottom w:val="single" w:sz="4" w:space="0" w:color="auto"/>
              <w:right w:val="single" w:sz="4" w:space="0" w:color="auto"/>
            </w:tcBorders>
            <w:shd w:val="clear" w:color="auto" w:fill="92D050"/>
            <w:vAlign w:val="center"/>
          </w:tcPr>
          <w:p w14:paraId="13B457E5" w14:textId="77777777" w:rsidR="0064331C" w:rsidRPr="0064331C" w:rsidRDefault="0064331C" w:rsidP="005D385E">
            <w:pPr>
              <w:jc w:val="center"/>
              <w:rPr>
                <w:b/>
                <w:bCs/>
                <w:sz w:val="20"/>
                <w:szCs w:val="20"/>
                <w:lang w:eastAsia="fr-FR"/>
              </w:rPr>
            </w:pPr>
          </w:p>
        </w:tc>
        <w:tc>
          <w:tcPr>
            <w:tcW w:w="830" w:type="dxa"/>
            <w:vMerge/>
            <w:tcBorders>
              <w:left w:val="single" w:sz="4" w:space="0" w:color="auto"/>
              <w:bottom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089CB1CE" w14:textId="77777777" w:rsidR="0064331C" w:rsidRPr="0064331C" w:rsidRDefault="0064331C" w:rsidP="005D385E">
            <w:pPr>
              <w:jc w:val="center"/>
              <w:rPr>
                <w:b/>
                <w:bCs/>
                <w:sz w:val="20"/>
                <w:szCs w:val="20"/>
                <w:lang w:eastAsia="fr-FR"/>
              </w:rPr>
            </w:pPr>
          </w:p>
        </w:tc>
        <w:tc>
          <w:tcPr>
            <w:tcW w:w="85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E5DD57E" w14:textId="77777777" w:rsidR="0064331C" w:rsidRPr="0064331C" w:rsidRDefault="0064331C" w:rsidP="005D385E">
            <w:pPr>
              <w:jc w:val="center"/>
              <w:rPr>
                <w:b/>
                <w:bCs/>
                <w:sz w:val="20"/>
                <w:szCs w:val="20"/>
                <w:lang w:eastAsia="fr-FR"/>
              </w:rPr>
            </w:pPr>
          </w:p>
        </w:tc>
        <w:tc>
          <w:tcPr>
            <w:tcW w:w="992"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D442AC" w14:textId="77777777" w:rsidR="0064331C" w:rsidRPr="0064331C" w:rsidRDefault="0064331C" w:rsidP="005D385E">
            <w:pPr>
              <w:jc w:val="center"/>
              <w:rPr>
                <w:b/>
                <w:bCs/>
                <w:sz w:val="20"/>
                <w:szCs w:val="20"/>
                <w:lang w:eastAsia="fr-FR"/>
              </w:rPr>
            </w:pPr>
          </w:p>
        </w:tc>
      </w:tr>
      <w:tr w:rsidR="0064331C" w:rsidRPr="0064331C" w14:paraId="02B6106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val="restart"/>
            <w:tcBorders>
              <w:top w:val="single" w:sz="4" w:space="0" w:color="auto"/>
              <w:left w:val="single" w:sz="4" w:space="0" w:color="auto"/>
              <w:right w:val="single" w:sz="4" w:space="0" w:color="auto"/>
            </w:tcBorders>
            <w:shd w:val="clear" w:color="auto" w:fill="auto"/>
            <w:vAlign w:val="center"/>
          </w:tcPr>
          <w:p w14:paraId="435EED8C" w14:textId="77777777" w:rsidR="0064331C" w:rsidRPr="0064331C" w:rsidRDefault="0064331C" w:rsidP="005D385E">
            <w:pPr>
              <w:jc w:val="center"/>
              <w:rPr>
                <w:b/>
                <w:bCs/>
                <w:sz w:val="20"/>
                <w:szCs w:val="20"/>
                <w:lang w:eastAsia="fr-FR"/>
              </w:rPr>
            </w:pPr>
            <w:r w:rsidRPr="0064331C">
              <w:rPr>
                <w:b/>
                <w:bCs/>
                <w:sz w:val="20"/>
                <w:szCs w:val="20"/>
                <w:lang w:eastAsia="fr-FR"/>
              </w:rPr>
              <w:t>Mélanges de liquides et de gaz issus de procédés de l’industrie chimique</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2BCBE36F"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92"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47E0EF6B"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7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B4DAA66" w14:textId="77777777" w:rsidR="0064331C" w:rsidRPr="0064331C" w:rsidRDefault="0064331C" w:rsidP="005D385E">
            <w:pPr>
              <w:jc w:val="center"/>
              <w:rPr>
                <w:b/>
                <w:bCs/>
                <w:sz w:val="20"/>
                <w:szCs w:val="20"/>
                <w:lang w:eastAsia="fr-FR"/>
              </w:rPr>
            </w:pPr>
          </w:p>
        </w:tc>
        <w:tc>
          <w:tcPr>
            <w:tcW w:w="775"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0D8ECC52"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2"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3A412148" w14:textId="77777777" w:rsidR="0064331C" w:rsidRPr="0064331C" w:rsidRDefault="0064331C" w:rsidP="005D385E">
            <w:pPr>
              <w:jc w:val="center"/>
              <w:rPr>
                <w:b/>
                <w:bCs/>
                <w:sz w:val="20"/>
                <w:szCs w:val="20"/>
                <w:lang w:eastAsia="fr-FR"/>
              </w:rPr>
            </w:pPr>
            <w:r w:rsidRPr="0064331C">
              <w:rPr>
                <w:b/>
                <w:bCs/>
                <w:sz w:val="20"/>
                <w:szCs w:val="20"/>
                <w:lang w:eastAsia="fr-FR"/>
              </w:rPr>
              <w:t>290</w:t>
            </w:r>
          </w:p>
        </w:tc>
        <w:tc>
          <w:tcPr>
            <w:tcW w:w="775" w:type="dxa"/>
            <w:vMerge w:val="restart"/>
            <w:tcBorders>
              <w:top w:val="single" w:sz="4" w:space="0" w:color="auto"/>
              <w:left w:val="single" w:sz="4" w:space="0" w:color="auto"/>
              <w:right w:val="single" w:sz="4" w:space="0" w:color="auto"/>
            </w:tcBorders>
            <w:shd w:val="clear" w:color="auto" w:fill="C9C9C9" w:themeFill="accent3" w:themeFillTint="99"/>
            <w:vAlign w:val="center"/>
          </w:tcPr>
          <w:p w14:paraId="6FA6A989" w14:textId="77777777" w:rsidR="0064331C" w:rsidRPr="0064331C" w:rsidRDefault="0064331C" w:rsidP="005D385E">
            <w:pPr>
              <w:jc w:val="center"/>
              <w:rPr>
                <w:b/>
                <w:bCs/>
                <w:sz w:val="20"/>
                <w:szCs w:val="20"/>
                <w:lang w:eastAsia="fr-FR"/>
              </w:rPr>
            </w:pPr>
          </w:p>
        </w:tc>
        <w:tc>
          <w:tcPr>
            <w:tcW w:w="775"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67C2D990" w14:textId="77777777" w:rsidR="0064331C" w:rsidRPr="0064331C" w:rsidRDefault="0064331C" w:rsidP="005D385E">
            <w:pPr>
              <w:jc w:val="center"/>
              <w:rPr>
                <w:b/>
                <w:bCs/>
                <w:sz w:val="20"/>
                <w:szCs w:val="20"/>
                <w:lang w:eastAsia="fr-FR"/>
              </w:rPr>
            </w:pPr>
            <w:r w:rsidRPr="0064331C">
              <w:rPr>
                <w:b/>
                <w:bCs/>
                <w:sz w:val="20"/>
                <w:szCs w:val="20"/>
                <w:lang w:eastAsia="fr-FR"/>
              </w:rPr>
              <w:t>330</w:t>
            </w:r>
          </w:p>
        </w:tc>
        <w:tc>
          <w:tcPr>
            <w:tcW w:w="830" w:type="dxa"/>
            <w:tcBorders>
              <w:top w:val="single" w:sz="4" w:space="0" w:color="auto"/>
              <w:left w:val="single" w:sz="4" w:space="0" w:color="auto"/>
              <w:right w:val="single" w:sz="4" w:space="0" w:color="auto"/>
            </w:tcBorders>
            <w:shd w:val="clear" w:color="auto" w:fill="E2EFD9" w:themeFill="accent6" w:themeFillTint="33"/>
            <w:vAlign w:val="center"/>
          </w:tcPr>
          <w:p w14:paraId="39215FA0"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851" w:type="dxa"/>
            <w:tcBorders>
              <w:top w:val="single" w:sz="4" w:space="0" w:color="auto"/>
              <w:left w:val="single" w:sz="4" w:space="0" w:color="auto"/>
              <w:right w:val="single" w:sz="4" w:space="0" w:color="auto"/>
            </w:tcBorders>
            <w:shd w:val="clear" w:color="auto" w:fill="BFBFBF" w:themeFill="background1" w:themeFillShade="BF"/>
            <w:vAlign w:val="center"/>
          </w:tcPr>
          <w:p w14:paraId="505E4FB2" w14:textId="77777777" w:rsidR="0064331C" w:rsidRPr="0064331C" w:rsidRDefault="0064331C" w:rsidP="005D385E">
            <w:pPr>
              <w:jc w:val="center"/>
              <w:rPr>
                <w:b/>
                <w:bCs/>
                <w:sz w:val="20"/>
                <w:szCs w:val="20"/>
                <w:lang w:eastAsia="fr-FR"/>
              </w:rPr>
            </w:pPr>
          </w:p>
        </w:tc>
        <w:tc>
          <w:tcPr>
            <w:tcW w:w="992" w:type="dxa"/>
            <w:tcBorders>
              <w:top w:val="single" w:sz="4" w:space="0" w:color="auto"/>
              <w:left w:val="single" w:sz="4" w:space="0" w:color="auto"/>
              <w:right w:val="single" w:sz="4" w:space="0" w:color="auto"/>
            </w:tcBorders>
            <w:shd w:val="clear" w:color="auto" w:fill="E2EFD9" w:themeFill="accent6" w:themeFillTint="33"/>
            <w:vAlign w:val="center"/>
          </w:tcPr>
          <w:p w14:paraId="4D243FF2"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18B438D9"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tcBorders>
              <w:left w:val="single" w:sz="4" w:space="0" w:color="auto"/>
              <w:right w:val="single" w:sz="4" w:space="0" w:color="auto"/>
            </w:tcBorders>
            <w:shd w:val="clear" w:color="auto" w:fill="auto"/>
            <w:vAlign w:val="center"/>
          </w:tcPr>
          <w:p w14:paraId="1DA082C2" w14:textId="77777777" w:rsidR="0064331C" w:rsidRPr="0064331C" w:rsidRDefault="0064331C" w:rsidP="005D385E">
            <w:pPr>
              <w:rPr>
                <w:b/>
                <w:bCs/>
                <w:sz w:val="20"/>
                <w:szCs w:val="20"/>
                <w:lang w:eastAsia="fr-FR"/>
              </w:rPr>
            </w:pP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31C51490"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92"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0B298C0"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BFBFBF" w:themeFill="background1" w:themeFillShade="BF"/>
            <w:vAlign w:val="center"/>
          </w:tcPr>
          <w:p w14:paraId="0E9ADFAF"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E2EFD9" w:themeFill="accent6" w:themeFillTint="33"/>
            <w:vAlign w:val="center"/>
          </w:tcPr>
          <w:p w14:paraId="6683FFA2" w14:textId="77777777" w:rsidR="0064331C" w:rsidRPr="0064331C" w:rsidRDefault="0064331C" w:rsidP="005D385E">
            <w:pPr>
              <w:jc w:val="center"/>
              <w:rPr>
                <w:b/>
                <w:bCs/>
                <w:sz w:val="20"/>
                <w:szCs w:val="20"/>
                <w:lang w:eastAsia="fr-FR"/>
              </w:rPr>
            </w:pPr>
          </w:p>
        </w:tc>
        <w:tc>
          <w:tcPr>
            <w:tcW w:w="792" w:type="dxa"/>
            <w:vMerge/>
            <w:tcBorders>
              <w:left w:val="single" w:sz="4" w:space="0" w:color="auto"/>
              <w:right w:val="single" w:sz="4" w:space="0" w:color="auto"/>
            </w:tcBorders>
            <w:shd w:val="clear" w:color="auto" w:fill="E2EFD9" w:themeFill="accent6" w:themeFillTint="33"/>
            <w:vAlign w:val="center"/>
          </w:tcPr>
          <w:p w14:paraId="70F2D97E"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C9C9C9" w:themeFill="accent3" w:themeFillTint="99"/>
            <w:vAlign w:val="center"/>
          </w:tcPr>
          <w:p w14:paraId="2F8EA957"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E2EFD9" w:themeFill="accent6" w:themeFillTint="33"/>
            <w:vAlign w:val="center"/>
          </w:tcPr>
          <w:p w14:paraId="0F033E1C" w14:textId="77777777" w:rsidR="0064331C" w:rsidRPr="0064331C" w:rsidRDefault="0064331C" w:rsidP="005D385E">
            <w:pPr>
              <w:jc w:val="center"/>
              <w:rPr>
                <w:b/>
                <w:bCs/>
                <w:sz w:val="20"/>
                <w:szCs w:val="20"/>
                <w:lang w:eastAsia="fr-FR"/>
              </w:rPr>
            </w:pPr>
          </w:p>
        </w:tc>
        <w:tc>
          <w:tcPr>
            <w:tcW w:w="830" w:type="dxa"/>
            <w:tcBorders>
              <w:left w:val="single" w:sz="4" w:space="0" w:color="auto"/>
              <w:right w:val="single" w:sz="4" w:space="0" w:color="auto"/>
            </w:tcBorders>
            <w:shd w:val="clear" w:color="auto" w:fill="E2EFD9" w:themeFill="accent6" w:themeFillTint="33"/>
            <w:vAlign w:val="center"/>
          </w:tcPr>
          <w:p w14:paraId="0A7260F0"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851" w:type="dxa"/>
            <w:tcBorders>
              <w:left w:val="single" w:sz="4" w:space="0" w:color="auto"/>
              <w:right w:val="single" w:sz="4" w:space="0" w:color="auto"/>
            </w:tcBorders>
            <w:shd w:val="clear" w:color="auto" w:fill="BFBFBF" w:themeFill="background1" w:themeFillShade="BF"/>
            <w:vAlign w:val="center"/>
          </w:tcPr>
          <w:p w14:paraId="60FD8378" w14:textId="77777777" w:rsidR="0064331C" w:rsidRPr="0064331C" w:rsidRDefault="0064331C" w:rsidP="005D385E">
            <w:pPr>
              <w:jc w:val="center"/>
              <w:rPr>
                <w:b/>
                <w:bCs/>
                <w:sz w:val="20"/>
                <w:szCs w:val="20"/>
                <w:lang w:eastAsia="fr-FR"/>
              </w:rPr>
            </w:pPr>
          </w:p>
        </w:tc>
        <w:tc>
          <w:tcPr>
            <w:tcW w:w="992" w:type="dxa"/>
            <w:tcBorders>
              <w:left w:val="single" w:sz="4" w:space="0" w:color="auto"/>
              <w:right w:val="single" w:sz="4" w:space="0" w:color="auto"/>
            </w:tcBorders>
            <w:shd w:val="clear" w:color="auto" w:fill="E2EFD9" w:themeFill="accent6" w:themeFillTint="33"/>
            <w:vAlign w:val="center"/>
          </w:tcPr>
          <w:p w14:paraId="78A979D8"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63C07FB9"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13" w:type="dxa"/>
            <w:gridSpan w:val="2"/>
            <w:vMerge/>
            <w:tcBorders>
              <w:left w:val="single" w:sz="4" w:space="0" w:color="auto"/>
              <w:right w:val="single" w:sz="4" w:space="0" w:color="auto"/>
            </w:tcBorders>
            <w:shd w:val="clear" w:color="auto" w:fill="auto"/>
            <w:vAlign w:val="center"/>
          </w:tcPr>
          <w:p w14:paraId="54F5AD87" w14:textId="77777777" w:rsidR="0064331C" w:rsidRPr="0064331C" w:rsidRDefault="0064331C" w:rsidP="005D385E">
            <w:pPr>
              <w:rPr>
                <w:b/>
                <w:bCs/>
                <w:sz w:val="20"/>
                <w:szCs w:val="20"/>
                <w:lang w:eastAsia="fr-FR"/>
              </w:rPr>
            </w:pP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700F05EE"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92"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B637F43"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BFBFBF" w:themeFill="background1" w:themeFillShade="BF"/>
            <w:vAlign w:val="center"/>
          </w:tcPr>
          <w:p w14:paraId="0315F44D"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E2EFD9" w:themeFill="accent6" w:themeFillTint="33"/>
            <w:vAlign w:val="center"/>
          </w:tcPr>
          <w:p w14:paraId="7C49E1F8" w14:textId="77777777" w:rsidR="0064331C" w:rsidRPr="0064331C" w:rsidRDefault="0064331C" w:rsidP="005D385E">
            <w:pPr>
              <w:jc w:val="center"/>
              <w:rPr>
                <w:b/>
                <w:bCs/>
                <w:sz w:val="20"/>
                <w:szCs w:val="20"/>
                <w:lang w:eastAsia="fr-FR"/>
              </w:rPr>
            </w:pPr>
          </w:p>
        </w:tc>
        <w:tc>
          <w:tcPr>
            <w:tcW w:w="792" w:type="dxa"/>
            <w:vMerge/>
            <w:tcBorders>
              <w:left w:val="single" w:sz="4" w:space="0" w:color="auto"/>
              <w:right w:val="single" w:sz="4" w:space="0" w:color="auto"/>
            </w:tcBorders>
            <w:shd w:val="clear" w:color="auto" w:fill="E2EFD9" w:themeFill="accent6" w:themeFillTint="33"/>
            <w:vAlign w:val="center"/>
          </w:tcPr>
          <w:p w14:paraId="396EE98C"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C9C9C9" w:themeFill="accent3" w:themeFillTint="99"/>
            <w:vAlign w:val="center"/>
          </w:tcPr>
          <w:p w14:paraId="6F027367" w14:textId="77777777" w:rsidR="0064331C" w:rsidRPr="0064331C" w:rsidRDefault="0064331C" w:rsidP="005D385E">
            <w:pPr>
              <w:jc w:val="center"/>
              <w:rPr>
                <w:b/>
                <w:bCs/>
                <w:sz w:val="20"/>
                <w:szCs w:val="20"/>
                <w:lang w:eastAsia="fr-FR"/>
              </w:rPr>
            </w:pPr>
          </w:p>
        </w:tc>
        <w:tc>
          <w:tcPr>
            <w:tcW w:w="775" w:type="dxa"/>
            <w:vMerge/>
            <w:tcBorders>
              <w:left w:val="single" w:sz="4" w:space="0" w:color="auto"/>
              <w:right w:val="single" w:sz="4" w:space="0" w:color="auto"/>
            </w:tcBorders>
            <w:shd w:val="clear" w:color="auto" w:fill="E2EFD9" w:themeFill="accent6" w:themeFillTint="33"/>
            <w:vAlign w:val="center"/>
          </w:tcPr>
          <w:p w14:paraId="4C122490" w14:textId="77777777" w:rsidR="0064331C" w:rsidRPr="0064331C" w:rsidRDefault="0064331C" w:rsidP="005D385E">
            <w:pPr>
              <w:jc w:val="center"/>
              <w:rPr>
                <w:b/>
                <w:bCs/>
                <w:sz w:val="20"/>
                <w:szCs w:val="20"/>
                <w:lang w:eastAsia="fr-FR"/>
              </w:rPr>
            </w:pPr>
          </w:p>
        </w:tc>
        <w:tc>
          <w:tcPr>
            <w:tcW w:w="830" w:type="dxa"/>
            <w:tcBorders>
              <w:left w:val="single" w:sz="4" w:space="0" w:color="auto"/>
              <w:right w:val="single" w:sz="4" w:space="0" w:color="auto"/>
            </w:tcBorders>
            <w:shd w:val="clear" w:color="auto" w:fill="E2EFD9" w:themeFill="accent6" w:themeFillTint="33"/>
            <w:vAlign w:val="center"/>
          </w:tcPr>
          <w:p w14:paraId="6F1182C0"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851" w:type="dxa"/>
            <w:tcBorders>
              <w:left w:val="single" w:sz="4" w:space="0" w:color="auto"/>
              <w:right w:val="single" w:sz="4" w:space="0" w:color="auto"/>
            </w:tcBorders>
            <w:shd w:val="clear" w:color="auto" w:fill="BFBFBF" w:themeFill="background1" w:themeFillShade="BF"/>
            <w:vAlign w:val="center"/>
          </w:tcPr>
          <w:p w14:paraId="0DD1E2CF" w14:textId="77777777" w:rsidR="0064331C" w:rsidRPr="0064331C" w:rsidRDefault="0064331C" w:rsidP="005D385E">
            <w:pPr>
              <w:jc w:val="center"/>
              <w:rPr>
                <w:b/>
                <w:bCs/>
                <w:sz w:val="20"/>
                <w:szCs w:val="20"/>
                <w:lang w:eastAsia="fr-FR"/>
              </w:rPr>
            </w:pPr>
          </w:p>
        </w:tc>
        <w:tc>
          <w:tcPr>
            <w:tcW w:w="992" w:type="dxa"/>
            <w:tcBorders>
              <w:left w:val="single" w:sz="4" w:space="0" w:color="auto"/>
              <w:right w:val="single" w:sz="4" w:space="0" w:color="auto"/>
            </w:tcBorders>
            <w:shd w:val="clear" w:color="auto" w:fill="E2EFD9" w:themeFill="accent6" w:themeFillTint="33"/>
            <w:vAlign w:val="center"/>
          </w:tcPr>
          <w:p w14:paraId="47F6D7C5"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1953D0CE" w14:textId="77777777" w:rsidTr="005D385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150" w:type="dxa"/>
              <w:left w:w="150" w:type="dxa"/>
              <w:bottom w:w="150" w:type="dxa"/>
              <w:right w:w="150" w:type="dxa"/>
            </w:tcMar>
            <w:vAlign w:val="center"/>
          </w:tcPr>
          <w:p w14:paraId="6AF0D045" w14:textId="77777777" w:rsidR="0064331C" w:rsidRPr="0064331C" w:rsidRDefault="0064331C" w:rsidP="005D385E">
            <w:pPr>
              <w:jc w:val="center"/>
              <w:rPr>
                <w:b/>
                <w:bCs/>
                <w:sz w:val="20"/>
                <w:szCs w:val="20"/>
                <w:lang w:eastAsia="fr-FR"/>
              </w:rPr>
            </w:pPr>
            <w:bookmarkStart w:id="12" w:name="_Hlk165364564"/>
            <w:r w:rsidRPr="0064331C">
              <w:rPr>
                <w:b/>
                <w:bCs/>
                <w:sz w:val="20"/>
                <w:szCs w:val="20"/>
                <w:lang w:eastAsia="fr-FR"/>
              </w:rPr>
              <w:t>Renvoi</w:t>
            </w:r>
          </w:p>
        </w:tc>
        <w:tc>
          <w:tcPr>
            <w:tcW w:w="6596" w:type="dxa"/>
            <w:gridSpan w:val="9"/>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372CEC5" w14:textId="77777777" w:rsidR="0064331C" w:rsidRPr="0064331C" w:rsidRDefault="0064331C" w:rsidP="005D385E">
            <w:pPr>
              <w:jc w:val="center"/>
              <w:rPr>
                <w:b/>
                <w:bCs/>
                <w:sz w:val="20"/>
                <w:szCs w:val="20"/>
                <w:lang w:eastAsia="fr-FR"/>
              </w:rPr>
            </w:pPr>
            <w:r w:rsidRPr="0064331C">
              <w:rPr>
                <w:b/>
                <w:bCs/>
                <w:sz w:val="20"/>
                <w:szCs w:val="20"/>
                <w:lang w:eastAsia="fr-FR"/>
              </w:rPr>
              <w:t>Conditions</w:t>
            </w:r>
          </w:p>
        </w:tc>
        <w:tc>
          <w:tcPr>
            <w:tcW w:w="2673"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tcMar>
              <w:top w:w="150" w:type="dxa"/>
              <w:left w:w="150" w:type="dxa"/>
              <w:bottom w:w="150" w:type="dxa"/>
              <w:right w:w="150" w:type="dxa"/>
            </w:tcMar>
            <w:vAlign w:val="center"/>
          </w:tcPr>
          <w:p w14:paraId="56731E07" w14:textId="77777777" w:rsidR="0064331C" w:rsidRPr="0064331C" w:rsidRDefault="0064331C" w:rsidP="005D385E">
            <w:pPr>
              <w:jc w:val="center"/>
              <w:rPr>
                <w:b/>
                <w:bCs/>
                <w:sz w:val="20"/>
                <w:szCs w:val="20"/>
                <w:lang w:eastAsia="fr-FR"/>
              </w:rPr>
            </w:pPr>
            <w:r w:rsidRPr="0064331C">
              <w:rPr>
                <w:b/>
                <w:bCs/>
                <w:sz w:val="20"/>
                <w:szCs w:val="20"/>
                <w:lang w:eastAsia="fr-FR"/>
              </w:rPr>
              <w:t>Valeur limite d'émission (mg/Nm</w:t>
            </w:r>
            <w:r w:rsidRPr="0064331C">
              <w:rPr>
                <w:b/>
                <w:bCs/>
                <w:sz w:val="20"/>
                <w:szCs w:val="20"/>
                <w:vertAlign w:val="superscript"/>
                <w:lang w:eastAsia="fr-FR"/>
              </w:rPr>
              <w:t>3</w:t>
            </w:r>
            <w:r w:rsidRPr="0064331C">
              <w:rPr>
                <w:b/>
                <w:bCs/>
                <w:sz w:val="20"/>
                <w:szCs w:val="20"/>
                <w:lang w:eastAsia="fr-FR"/>
              </w:rPr>
              <w:t>)</w:t>
            </w:r>
          </w:p>
        </w:tc>
      </w:tr>
      <w:tr w:rsidR="0064331C" w:rsidRPr="0064331C" w14:paraId="794B3B79" w14:textId="77777777" w:rsidTr="005D385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F7E35A5" w14:textId="77777777" w:rsidR="0064331C" w:rsidRPr="0064331C" w:rsidRDefault="0064331C" w:rsidP="005D385E">
            <w:pPr>
              <w:jc w:val="center"/>
              <w:rPr>
                <w:sz w:val="20"/>
                <w:szCs w:val="20"/>
              </w:rPr>
            </w:pPr>
            <w:r w:rsidRPr="0064331C">
              <w:rPr>
                <w:sz w:val="20"/>
                <w:szCs w:val="20"/>
              </w:rPr>
              <w:t>(1)</w:t>
            </w:r>
          </w:p>
        </w:tc>
        <w:tc>
          <w:tcPr>
            <w:tcW w:w="6596"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67DCC75E" w14:textId="77777777" w:rsidR="0064331C" w:rsidRPr="0064331C" w:rsidRDefault="0064331C" w:rsidP="005D385E">
            <w:pPr>
              <w:jc w:val="center"/>
              <w:rPr>
                <w:bCs/>
                <w:sz w:val="20"/>
                <w:szCs w:val="20"/>
                <w:lang w:eastAsia="fr-FR"/>
              </w:rPr>
            </w:pPr>
            <w:r w:rsidRPr="0064331C">
              <w:rPr>
                <w:sz w:val="20"/>
                <w:szCs w:val="20"/>
              </w:rPr>
              <w:t>Dans le cas des installations brûlant des combustibles à teneur moyenne en potassium égale ou supérieure à 2 000 mg/kg (poids sec) ou à teneur moyenne en sodium égale ou supérieure à 300 mg/kg</w:t>
            </w:r>
          </w:p>
        </w:tc>
        <w:tc>
          <w:tcPr>
            <w:tcW w:w="2673" w:type="dxa"/>
            <w:gridSpan w:val="3"/>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1BD9457B"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A = 250</w:t>
            </w:r>
          </w:p>
        </w:tc>
      </w:tr>
      <w:bookmarkEnd w:id="12"/>
      <w:tr w:rsidR="0064331C" w:rsidRPr="0064331C" w14:paraId="42AC5FA2" w14:textId="77777777" w:rsidTr="005D385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6358F36" w14:textId="77777777" w:rsidR="0064331C" w:rsidRPr="0064331C" w:rsidRDefault="0064331C" w:rsidP="005D385E">
            <w:pPr>
              <w:jc w:val="center"/>
              <w:rPr>
                <w:sz w:val="20"/>
                <w:szCs w:val="20"/>
              </w:rPr>
            </w:pPr>
            <w:r w:rsidRPr="0064331C">
              <w:rPr>
                <w:sz w:val="20"/>
                <w:szCs w:val="20"/>
              </w:rPr>
              <w:t>(2)</w:t>
            </w:r>
          </w:p>
        </w:tc>
        <w:tc>
          <w:tcPr>
            <w:tcW w:w="6596"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5FC3E701" w14:textId="6F8520B7" w:rsidR="0064331C" w:rsidRPr="0064331C" w:rsidRDefault="0064331C" w:rsidP="005D385E">
            <w:pPr>
              <w:jc w:val="center"/>
              <w:rPr>
                <w:sz w:val="20"/>
                <w:szCs w:val="20"/>
              </w:rPr>
            </w:pPr>
            <w:r w:rsidRPr="0064331C">
              <w:rPr>
                <w:bCs/>
                <w:sz w:val="20"/>
                <w:szCs w:val="20"/>
                <w:lang w:eastAsia="fr-FR"/>
              </w:rPr>
              <w:t>Dans le cas des installations brûlant des combustibles à teneur moyenne en soufre égale ou supérieure à 0,1</w:t>
            </w:r>
            <w:r w:rsidR="00132DC3">
              <w:rPr>
                <w:bCs/>
                <w:sz w:val="20"/>
                <w:szCs w:val="20"/>
                <w:lang w:eastAsia="fr-FR"/>
              </w:rPr>
              <w:t xml:space="preserve"> </w:t>
            </w:r>
            <w:r w:rsidRPr="0064331C">
              <w:rPr>
                <w:bCs/>
                <w:sz w:val="20"/>
                <w:szCs w:val="20"/>
                <w:lang w:eastAsia="fr-FR"/>
              </w:rPr>
              <w:t>% (poids sec)</w:t>
            </w:r>
          </w:p>
        </w:tc>
        <w:tc>
          <w:tcPr>
            <w:tcW w:w="2673" w:type="dxa"/>
            <w:gridSpan w:val="3"/>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981E9C7"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A = 100</w:t>
            </w:r>
          </w:p>
          <w:p w14:paraId="07F25E06"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200</w:t>
            </w:r>
          </w:p>
          <w:p w14:paraId="780DC0DA"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215</w:t>
            </w:r>
          </w:p>
        </w:tc>
      </w:tr>
      <w:tr w:rsidR="0064331C" w:rsidRPr="0064331C" w14:paraId="5D465C88" w14:textId="77777777" w:rsidTr="005D385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9DDAE2E" w14:textId="77777777" w:rsidR="0064331C" w:rsidRPr="0064331C" w:rsidRDefault="0064331C" w:rsidP="005D385E">
            <w:pPr>
              <w:jc w:val="center"/>
              <w:rPr>
                <w:sz w:val="20"/>
                <w:szCs w:val="20"/>
              </w:rPr>
            </w:pPr>
            <w:r w:rsidRPr="0064331C">
              <w:rPr>
                <w:sz w:val="20"/>
                <w:szCs w:val="20"/>
              </w:rPr>
              <w:t>(3)</w:t>
            </w:r>
          </w:p>
        </w:tc>
        <w:tc>
          <w:tcPr>
            <w:tcW w:w="6596"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786FFCDD" w14:textId="721A2187" w:rsidR="0064331C" w:rsidRPr="0064331C" w:rsidRDefault="0064331C" w:rsidP="005D385E">
            <w:pPr>
              <w:jc w:val="center"/>
              <w:rPr>
                <w:sz w:val="20"/>
                <w:szCs w:val="20"/>
              </w:rPr>
            </w:pPr>
            <w:r w:rsidRPr="0064331C">
              <w:rPr>
                <w:bCs/>
                <w:sz w:val="20"/>
                <w:szCs w:val="20"/>
                <w:lang w:eastAsia="fr-FR"/>
              </w:rPr>
              <w:t>Dans le cas des installations brûlant des combustibles à teneur moyenne en soufre égale ou supérieure à 0,1</w:t>
            </w:r>
            <w:r w:rsidR="00132DC3">
              <w:rPr>
                <w:bCs/>
                <w:sz w:val="20"/>
                <w:szCs w:val="20"/>
                <w:lang w:eastAsia="fr-FR"/>
              </w:rPr>
              <w:t xml:space="preserve"> </w:t>
            </w:r>
            <w:r w:rsidRPr="0064331C">
              <w:rPr>
                <w:bCs/>
                <w:sz w:val="20"/>
                <w:szCs w:val="20"/>
                <w:lang w:eastAsia="fr-FR"/>
              </w:rPr>
              <w:t>% (poids sec)</w:t>
            </w:r>
          </w:p>
        </w:tc>
        <w:tc>
          <w:tcPr>
            <w:tcW w:w="2673" w:type="dxa"/>
            <w:gridSpan w:val="3"/>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B44A889"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A = 100</w:t>
            </w:r>
          </w:p>
          <w:p w14:paraId="14029286"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150</w:t>
            </w:r>
          </w:p>
          <w:p w14:paraId="41BBD0CF"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w:t>
            </w:r>
            <w:r w:rsidRPr="0064331C">
              <w:rPr>
                <w:sz w:val="20"/>
                <w:szCs w:val="20"/>
                <w:shd w:val="clear" w:color="auto" w:fill="E2EFD9" w:themeFill="accent6" w:themeFillTint="33"/>
              </w:rPr>
              <w:t xml:space="preserve"> J = 165</w:t>
            </w:r>
          </w:p>
        </w:tc>
      </w:tr>
      <w:tr w:rsidR="0064331C" w:rsidRPr="0064331C" w14:paraId="0E97EF77" w14:textId="77777777" w:rsidTr="005D385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F58A43F" w14:textId="77777777" w:rsidR="0064331C" w:rsidRPr="0064331C" w:rsidRDefault="0064331C" w:rsidP="005D385E">
            <w:pPr>
              <w:jc w:val="center"/>
              <w:rPr>
                <w:sz w:val="20"/>
                <w:szCs w:val="20"/>
              </w:rPr>
            </w:pPr>
            <w:r w:rsidRPr="0064331C">
              <w:rPr>
                <w:sz w:val="20"/>
                <w:szCs w:val="20"/>
              </w:rPr>
              <w:t>(4)</w:t>
            </w:r>
          </w:p>
        </w:tc>
        <w:tc>
          <w:tcPr>
            <w:tcW w:w="6596"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36A1F2BC" w14:textId="77777777" w:rsidR="0064331C" w:rsidRPr="0064331C" w:rsidRDefault="0064331C" w:rsidP="005D385E">
            <w:pPr>
              <w:jc w:val="center"/>
              <w:rPr>
                <w:sz w:val="20"/>
                <w:szCs w:val="20"/>
              </w:rPr>
            </w:pPr>
            <w:r w:rsidRPr="0064331C">
              <w:rPr>
                <w:sz w:val="20"/>
                <w:szCs w:val="20"/>
              </w:rPr>
              <w:t xml:space="preserve">Pour les installations dont la puissance thermique &gt; 1000 </w:t>
            </w:r>
            <w:proofErr w:type="spellStart"/>
            <w:r w:rsidRPr="0064331C">
              <w:rPr>
                <w:sz w:val="20"/>
                <w:szCs w:val="20"/>
              </w:rPr>
              <w:t>MWth</w:t>
            </w:r>
            <w:proofErr w:type="spellEnd"/>
          </w:p>
        </w:tc>
        <w:tc>
          <w:tcPr>
            <w:tcW w:w="2673" w:type="dxa"/>
            <w:gridSpan w:val="3"/>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DE9D4DC" w14:textId="77777777" w:rsidR="0064331C" w:rsidRPr="0064331C" w:rsidRDefault="0064331C" w:rsidP="005D385E">
            <w:pPr>
              <w:jc w:val="center"/>
              <w:rPr>
                <w:sz w:val="20"/>
                <w:szCs w:val="20"/>
              </w:rPr>
            </w:pPr>
            <w:r w:rsidRPr="0064331C">
              <w:rPr>
                <w:sz w:val="20"/>
                <w:szCs w:val="20"/>
              </w:rPr>
              <w:t xml:space="preserve">Poussières : </w:t>
            </w:r>
            <w:r w:rsidRPr="0064331C">
              <w:rPr>
                <w:sz w:val="20"/>
                <w:szCs w:val="20"/>
                <w:shd w:val="clear" w:color="auto" w:fill="E2EFD9" w:themeFill="accent6" w:themeFillTint="33"/>
              </w:rPr>
              <w:t>A = 8</w:t>
            </w:r>
          </w:p>
        </w:tc>
      </w:tr>
      <w:tr w:rsidR="0064331C" w:rsidRPr="0064331C" w14:paraId="194715D5" w14:textId="77777777" w:rsidTr="005D385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5CA5F4D" w14:textId="77777777" w:rsidR="0064331C" w:rsidRPr="0064331C" w:rsidRDefault="0064331C" w:rsidP="005D385E">
            <w:pPr>
              <w:jc w:val="center"/>
              <w:rPr>
                <w:sz w:val="20"/>
                <w:szCs w:val="20"/>
              </w:rPr>
            </w:pPr>
            <w:r w:rsidRPr="0064331C">
              <w:rPr>
                <w:sz w:val="20"/>
                <w:szCs w:val="20"/>
              </w:rPr>
              <w:t>(5)</w:t>
            </w:r>
          </w:p>
        </w:tc>
        <w:tc>
          <w:tcPr>
            <w:tcW w:w="6596"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6FB6FA37" w14:textId="77777777" w:rsidR="0064331C" w:rsidRPr="0064331C" w:rsidRDefault="0064331C" w:rsidP="005D385E">
            <w:pPr>
              <w:jc w:val="center"/>
              <w:rPr>
                <w:sz w:val="20"/>
                <w:szCs w:val="20"/>
              </w:rPr>
            </w:pPr>
            <w:r w:rsidRPr="0064331C">
              <w:rPr>
                <w:sz w:val="20"/>
                <w:szCs w:val="20"/>
              </w:rPr>
              <w:t>En cas de combustion en lit fluidisé circulant ou sous pression</w:t>
            </w:r>
          </w:p>
        </w:tc>
        <w:tc>
          <w:tcPr>
            <w:tcW w:w="2673" w:type="dxa"/>
            <w:gridSpan w:val="3"/>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9AA09E3"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200</w:t>
            </w:r>
          </w:p>
          <w:p w14:paraId="6B4A37AF"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220</w:t>
            </w:r>
          </w:p>
        </w:tc>
      </w:tr>
      <w:tr w:rsidR="0064331C" w:rsidRPr="0064331C" w14:paraId="3593B39D" w14:textId="77777777" w:rsidTr="005D385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71D5D86" w14:textId="77777777" w:rsidR="0064331C" w:rsidRPr="0064331C" w:rsidRDefault="0064331C" w:rsidP="005D385E">
            <w:pPr>
              <w:jc w:val="center"/>
              <w:rPr>
                <w:sz w:val="20"/>
                <w:szCs w:val="20"/>
              </w:rPr>
            </w:pPr>
            <w:bookmarkStart w:id="13" w:name="_Hlk159596643"/>
            <w:r w:rsidRPr="0064331C">
              <w:rPr>
                <w:sz w:val="20"/>
                <w:szCs w:val="20"/>
              </w:rPr>
              <w:t>(6)</w:t>
            </w:r>
          </w:p>
        </w:tc>
        <w:tc>
          <w:tcPr>
            <w:tcW w:w="6596"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1C99D305" w14:textId="4A5476EC" w:rsidR="0064331C" w:rsidRPr="0064331C" w:rsidRDefault="0064331C" w:rsidP="005D385E">
            <w:pPr>
              <w:jc w:val="center"/>
              <w:rPr>
                <w:sz w:val="20"/>
                <w:szCs w:val="20"/>
              </w:rPr>
            </w:pPr>
            <w:r w:rsidRPr="0064331C">
              <w:rPr>
                <w:sz w:val="20"/>
                <w:szCs w:val="20"/>
              </w:rPr>
              <w:t>Si la proportion de gaz de cokerie est ≤ 50</w:t>
            </w:r>
            <w:r w:rsidR="00132DC3">
              <w:rPr>
                <w:sz w:val="20"/>
                <w:szCs w:val="20"/>
              </w:rPr>
              <w:t xml:space="preserve"> </w:t>
            </w:r>
            <w:r w:rsidRPr="0064331C">
              <w:rPr>
                <w:sz w:val="20"/>
                <w:szCs w:val="20"/>
              </w:rPr>
              <w:t xml:space="preserve">% </w:t>
            </w:r>
          </w:p>
        </w:tc>
        <w:tc>
          <w:tcPr>
            <w:tcW w:w="2673" w:type="dxa"/>
            <w:gridSpan w:val="3"/>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4412B86" w14:textId="37D32451" w:rsidR="0064331C" w:rsidRPr="0064331C" w:rsidRDefault="00A836D7" w:rsidP="005D385E">
            <w:pPr>
              <w:jc w:val="center"/>
              <w:rPr>
                <w:sz w:val="20"/>
                <w:szCs w:val="20"/>
              </w:rPr>
            </w:pPr>
            <w:proofErr w:type="spellStart"/>
            <w:r w:rsidRPr="0064331C">
              <w:rPr>
                <w:sz w:val="20"/>
                <w:szCs w:val="20"/>
              </w:rPr>
              <w:t>SO</w:t>
            </w:r>
            <w:r>
              <w:rPr>
                <w:sz w:val="20"/>
                <w:szCs w:val="20"/>
              </w:rPr>
              <w:t>x</w:t>
            </w:r>
            <w:proofErr w:type="spellEnd"/>
            <w:r w:rsidRPr="0064331C">
              <w:rPr>
                <w:sz w:val="20"/>
                <w:szCs w:val="20"/>
              </w:rPr>
              <w:t> </w:t>
            </w:r>
            <w:r w:rsidR="0064331C" w:rsidRPr="0064331C">
              <w:rPr>
                <w:sz w:val="20"/>
                <w:szCs w:val="20"/>
              </w:rPr>
              <w:t xml:space="preserve">: </w:t>
            </w:r>
            <w:r w:rsidR="0064331C" w:rsidRPr="0064331C">
              <w:rPr>
                <w:sz w:val="20"/>
                <w:szCs w:val="20"/>
                <w:shd w:val="clear" w:color="auto" w:fill="E2EFD9" w:themeFill="accent6" w:themeFillTint="33"/>
              </w:rPr>
              <w:t>M = 200</w:t>
            </w:r>
          </w:p>
          <w:p w14:paraId="632FA32C" w14:textId="263AC638" w:rsidR="0064331C" w:rsidRPr="0064331C" w:rsidRDefault="00A836D7" w:rsidP="005D385E">
            <w:pPr>
              <w:jc w:val="center"/>
              <w:rPr>
                <w:sz w:val="20"/>
                <w:szCs w:val="20"/>
              </w:rPr>
            </w:pPr>
            <w:proofErr w:type="spellStart"/>
            <w:r w:rsidRPr="0064331C">
              <w:rPr>
                <w:sz w:val="20"/>
                <w:szCs w:val="20"/>
              </w:rPr>
              <w:t>SO</w:t>
            </w:r>
            <w:r>
              <w:rPr>
                <w:sz w:val="20"/>
                <w:szCs w:val="20"/>
              </w:rPr>
              <w:t>x</w:t>
            </w:r>
            <w:proofErr w:type="spellEnd"/>
            <w:r w:rsidRPr="0064331C">
              <w:rPr>
                <w:sz w:val="20"/>
                <w:szCs w:val="20"/>
              </w:rPr>
              <w:t> </w:t>
            </w:r>
            <w:r w:rsidR="0064331C" w:rsidRPr="0064331C">
              <w:rPr>
                <w:sz w:val="20"/>
                <w:szCs w:val="20"/>
              </w:rPr>
              <w:t xml:space="preserve">: </w:t>
            </w:r>
            <w:r w:rsidR="0064331C" w:rsidRPr="0064331C">
              <w:rPr>
                <w:sz w:val="20"/>
                <w:szCs w:val="20"/>
                <w:shd w:val="clear" w:color="auto" w:fill="E2EFD9" w:themeFill="accent6" w:themeFillTint="33"/>
              </w:rPr>
              <w:t>J = 200</w:t>
            </w:r>
          </w:p>
        </w:tc>
      </w:tr>
      <w:bookmarkEnd w:id="13"/>
    </w:tbl>
    <w:p w14:paraId="7E5E65B3" w14:textId="77777777" w:rsidR="0064331C" w:rsidRPr="0064331C" w:rsidRDefault="0064331C" w:rsidP="0064331C"/>
    <w:p w14:paraId="22CA7CFF" w14:textId="1880F6F5" w:rsidR="0064331C" w:rsidRPr="00B07376" w:rsidRDefault="0064331C" w:rsidP="00C33A7E">
      <w:pPr>
        <w:jc w:val="both"/>
      </w:pPr>
      <w:r w:rsidRPr="00B07376">
        <w:t>« </w:t>
      </w:r>
      <w:proofErr w:type="gramStart"/>
      <w:r w:rsidRPr="00B07376">
        <w:t>c</w:t>
      </w:r>
      <w:proofErr w:type="gramEnd"/>
      <w:r w:rsidRPr="00B07376">
        <w:t xml:space="preserve">) Installations de combustion autorisées à compter du </w:t>
      </w:r>
      <w:r w:rsidR="00A06197" w:rsidRPr="00B07376">
        <w:t>1</w:t>
      </w:r>
      <w:r w:rsidR="00A06197" w:rsidRPr="00B07376">
        <w:rPr>
          <w:vertAlign w:val="superscript"/>
        </w:rPr>
        <w:t>er</w:t>
      </w:r>
      <w:r w:rsidR="00A06197" w:rsidRPr="00B07376">
        <w:t xml:space="preserve"> novembre </w:t>
      </w:r>
      <w:r w:rsidRPr="00B07376">
        <w:t xml:space="preserve">2010 et </w:t>
      </w:r>
      <w:r w:rsidR="00A06197" w:rsidRPr="00B07376">
        <w:t>dont la</w:t>
      </w:r>
      <w:r w:rsidR="00C33A7E" w:rsidRPr="00B07376">
        <w:t xml:space="preserve"> </w:t>
      </w:r>
      <w:r w:rsidRPr="00B07376">
        <w:t xml:space="preserve">mise en service </w:t>
      </w:r>
      <w:r w:rsidR="00A06197" w:rsidRPr="00B07376">
        <w:t xml:space="preserve">est intervenue </w:t>
      </w:r>
      <w:r w:rsidR="00C33A7E" w:rsidRPr="00B07376">
        <w:t>avant le</w:t>
      </w:r>
      <w:r w:rsidRPr="00B07376">
        <w:t xml:space="preserve"> 7</w:t>
      </w:r>
      <w:r w:rsidR="00A06197" w:rsidRPr="00B07376">
        <w:t xml:space="preserve"> janvier </w:t>
      </w:r>
      <w:r w:rsidRPr="00B07376">
        <w:t>2014 :</w:t>
      </w:r>
    </w:p>
    <w:p w14:paraId="614040C3" w14:textId="501DEFD9" w:rsidR="0064331C" w:rsidRPr="0064331C" w:rsidRDefault="0064331C" w:rsidP="0064331C">
      <w:pPr>
        <w:shd w:val="clear" w:color="auto" w:fill="FFFFFF"/>
        <w:jc w:val="both"/>
        <w:rPr>
          <w:bCs/>
          <w:lang w:eastAsia="fr-FR"/>
        </w:rPr>
      </w:pPr>
      <w:r>
        <w:rPr>
          <w:bCs/>
          <w:lang w:eastAsia="fr-FR"/>
        </w:rPr>
        <w:t>« </w:t>
      </w:r>
      <w:r w:rsidRPr="0064331C">
        <w:rPr>
          <w:bCs/>
          <w:lang w:eastAsia="fr-FR"/>
        </w:rPr>
        <w:t xml:space="preserve">Pour les polluants et combustibles pour lesquels aucune valeur limite d’émission n’est mentionnée dans le tableau ci-dessous, </w:t>
      </w:r>
      <w:bookmarkStart w:id="14" w:name="_Hlk170998729"/>
      <w:r w:rsidRPr="0064331C">
        <w:rPr>
          <w:bCs/>
          <w:lang w:eastAsia="fr-FR"/>
        </w:rPr>
        <w:t xml:space="preserve">les valeurs limites applicables sont celles du </w:t>
      </w:r>
      <w:r w:rsidR="00316A25">
        <w:rPr>
          <w:bCs/>
          <w:lang w:eastAsia="fr-FR"/>
        </w:rPr>
        <w:t xml:space="preserve">point a) du I de l’article </w:t>
      </w:r>
      <w:r w:rsidRPr="0064331C">
        <w:rPr>
          <w:bCs/>
          <w:lang w:eastAsia="fr-FR"/>
        </w:rPr>
        <w:t>10</w:t>
      </w:r>
      <w:r w:rsidR="00316A25">
        <w:rPr>
          <w:bCs/>
          <w:lang w:eastAsia="fr-FR"/>
        </w:rPr>
        <w:t xml:space="preserve"> </w:t>
      </w:r>
      <w:r w:rsidRPr="0064331C">
        <w:rPr>
          <w:bCs/>
          <w:lang w:eastAsia="fr-FR"/>
        </w:rPr>
        <w:t xml:space="preserve">du présent </w:t>
      </w:r>
      <w:bookmarkEnd w:id="14"/>
      <w:r w:rsidR="00316A25">
        <w:rPr>
          <w:bCs/>
          <w:lang w:eastAsia="fr-FR"/>
        </w:rPr>
        <w:t>arrêté</w:t>
      </w:r>
      <w:r w:rsidRPr="0064331C">
        <w:rPr>
          <w:bCs/>
          <w:lang w:eastAsia="fr-FR"/>
        </w:rPr>
        <w:t>.</w:t>
      </w:r>
    </w:p>
    <w:p w14:paraId="673707F4" w14:textId="77777777" w:rsidR="00316A25" w:rsidRPr="0064331C" w:rsidRDefault="0064331C" w:rsidP="00316A25">
      <w:pPr>
        <w:jc w:val="both"/>
        <w:rPr>
          <w:bCs/>
          <w:lang w:eastAsia="fr-FR"/>
        </w:rPr>
      </w:pPr>
      <w:r>
        <w:rPr>
          <w:bCs/>
          <w:lang w:eastAsia="fr-FR"/>
        </w:rPr>
        <w:t>« </w:t>
      </w:r>
      <w:r w:rsidRPr="0064331C">
        <w:rPr>
          <w:bCs/>
          <w:lang w:eastAsia="fr-FR"/>
        </w:rPr>
        <w:t xml:space="preserve">Pour les installations </w:t>
      </w:r>
      <w:r w:rsidR="00DB1F91">
        <w:rPr>
          <w:bCs/>
          <w:lang w:eastAsia="fr-FR"/>
        </w:rPr>
        <w:t xml:space="preserve">de combustion </w:t>
      </w:r>
      <w:r w:rsidRPr="0064331C">
        <w:rPr>
          <w:bCs/>
          <w:lang w:eastAsia="fr-FR"/>
        </w:rPr>
        <w:t xml:space="preserve">exploitées moins de 500 heures par an, </w:t>
      </w:r>
      <w:r w:rsidR="00316A25" w:rsidRPr="0064331C">
        <w:rPr>
          <w:bCs/>
          <w:lang w:eastAsia="fr-FR"/>
        </w:rPr>
        <w:t xml:space="preserve">seules les dispositions </w:t>
      </w:r>
      <w:r w:rsidR="00316A25">
        <w:rPr>
          <w:bCs/>
          <w:lang w:eastAsia="fr-FR"/>
        </w:rPr>
        <w:t xml:space="preserve">du point </w:t>
      </w:r>
      <w:proofErr w:type="gramStart"/>
      <w:r w:rsidR="00316A25">
        <w:rPr>
          <w:bCs/>
          <w:lang w:eastAsia="fr-FR"/>
        </w:rPr>
        <w:t>a</w:t>
      </w:r>
      <w:proofErr w:type="gramEnd"/>
      <w:r w:rsidR="00316A25">
        <w:rPr>
          <w:bCs/>
          <w:lang w:eastAsia="fr-FR"/>
        </w:rPr>
        <w:t xml:space="preserve">) du I </w:t>
      </w:r>
      <w:r w:rsidR="00316A25" w:rsidRPr="0064331C">
        <w:rPr>
          <w:bCs/>
          <w:lang w:eastAsia="fr-FR"/>
        </w:rPr>
        <w:t>de l’article 10 s’appliquent.</w:t>
      </w:r>
    </w:p>
    <w:p w14:paraId="44184003" w14:textId="78391A80" w:rsidR="0064331C" w:rsidRPr="0064331C" w:rsidRDefault="0064331C" w:rsidP="0064331C">
      <w:pPr>
        <w:jc w:val="both"/>
        <w:rPr>
          <w:bCs/>
          <w:lang w:eastAsia="fr-FR"/>
        </w:rPr>
      </w:pPr>
      <w:r>
        <w:rPr>
          <w:bCs/>
          <w:lang w:eastAsia="fr-FR"/>
        </w:rPr>
        <w:t>« </w:t>
      </w:r>
      <w:r w:rsidRPr="0064331C">
        <w:rPr>
          <w:bCs/>
          <w:lang w:eastAsia="fr-FR"/>
        </w:rPr>
        <w:t xml:space="preserve">Pour les installations </w:t>
      </w:r>
      <w:r w:rsidR="00DB1F91">
        <w:rPr>
          <w:bCs/>
          <w:lang w:eastAsia="fr-FR"/>
        </w:rPr>
        <w:t xml:space="preserve">de combustion </w:t>
      </w:r>
      <w:r w:rsidRPr="0064331C">
        <w:rPr>
          <w:bCs/>
          <w:lang w:eastAsia="fr-FR"/>
        </w:rPr>
        <w:t xml:space="preserve">exploitées moins de 1500 heures par an, les </w:t>
      </w:r>
      <w:r w:rsidR="00DB1F91">
        <w:rPr>
          <w:bCs/>
          <w:lang w:eastAsia="fr-FR"/>
        </w:rPr>
        <w:t>valeurs limites d’émission</w:t>
      </w:r>
      <w:r w:rsidR="00DB1F91" w:rsidRPr="0064331C">
        <w:rPr>
          <w:bCs/>
          <w:lang w:eastAsia="fr-FR"/>
        </w:rPr>
        <w:t xml:space="preserve"> </w:t>
      </w:r>
      <w:r w:rsidRPr="0064331C">
        <w:rPr>
          <w:bCs/>
          <w:lang w:eastAsia="fr-FR"/>
        </w:rPr>
        <w:t xml:space="preserve">annuelles ne s’appliquent pas. </w:t>
      </w:r>
    </w:p>
    <w:p w14:paraId="0480B031" w14:textId="77777777" w:rsidR="0064331C" w:rsidRPr="0064331C" w:rsidRDefault="0064331C" w:rsidP="0064331C">
      <w:pPr>
        <w:jc w:val="both"/>
      </w:pPr>
    </w:p>
    <w:tbl>
      <w:tblPr>
        <w:tblW w:w="10627"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3"/>
        <w:gridCol w:w="1587"/>
        <w:gridCol w:w="786"/>
        <w:gridCol w:w="766"/>
        <w:gridCol w:w="965"/>
        <w:gridCol w:w="786"/>
        <w:gridCol w:w="793"/>
        <w:gridCol w:w="924"/>
        <w:gridCol w:w="786"/>
        <w:gridCol w:w="766"/>
        <w:gridCol w:w="1055"/>
      </w:tblGrid>
      <w:tr w:rsidR="0064331C" w:rsidRPr="0064331C" w14:paraId="41A18B3B" w14:textId="77777777" w:rsidTr="005D385E">
        <w:trPr>
          <w:trHeight w:val="430"/>
          <w:jc w:val="center"/>
        </w:trPr>
        <w:tc>
          <w:tcPr>
            <w:tcW w:w="1413"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57F3FA14"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Combustibles</w:t>
            </w:r>
          </w:p>
        </w:tc>
        <w:tc>
          <w:tcPr>
            <w:tcW w:w="1587" w:type="dxa"/>
            <w:vMerge w:val="restart"/>
            <w:tcBorders>
              <w:top w:val="single" w:sz="4" w:space="0" w:color="auto"/>
              <w:left w:val="single" w:sz="4" w:space="0" w:color="auto"/>
              <w:right w:val="single" w:sz="4" w:space="0" w:color="auto"/>
            </w:tcBorders>
            <w:shd w:val="clear" w:color="auto" w:fill="5C75A2"/>
            <w:vAlign w:val="center"/>
          </w:tcPr>
          <w:p w14:paraId="45CDA689"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Puissance P (MW)</w:t>
            </w:r>
          </w:p>
        </w:tc>
        <w:tc>
          <w:tcPr>
            <w:tcW w:w="2517"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7D7AA45E"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SO</w:t>
            </w:r>
            <w:r w:rsidRPr="0064331C">
              <w:rPr>
                <w:b/>
                <w:bCs/>
                <w:color w:val="FFFFFF" w:themeColor="background1"/>
                <w:sz w:val="20"/>
                <w:szCs w:val="20"/>
                <w:vertAlign w:val="subscript"/>
                <w:lang w:eastAsia="fr-FR"/>
              </w:rPr>
              <w:t>2</w:t>
            </w:r>
            <w:r w:rsidRPr="0064331C">
              <w:rPr>
                <w:b/>
                <w:bCs/>
                <w:color w:val="FFFFFF" w:themeColor="background1"/>
                <w:sz w:val="20"/>
                <w:szCs w:val="20"/>
                <w:lang w:eastAsia="fr-FR"/>
              </w:rPr>
              <w:t xml:space="preserve">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c>
          <w:tcPr>
            <w:tcW w:w="2503"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650098BE"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NOx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c>
          <w:tcPr>
            <w:tcW w:w="2607"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62F08EC2"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Poussières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r>
      <w:tr w:rsidR="0064331C" w:rsidRPr="0064331C" w14:paraId="2232F8B8" w14:textId="77777777" w:rsidTr="005D385E">
        <w:trPr>
          <w:trHeight w:val="354"/>
          <w:jc w:val="center"/>
        </w:trPr>
        <w:tc>
          <w:tcPr>
            <w:tcW w:w="1413"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6D673FB5" w14:textId="77777777" w:rsidR="0064331C" w:rsidRPr="0064331C" w:rsidRDefault="0064331C" w:rsidP="005D385E">
            <w:pPr>
              <w:jc w:val="center"/>
              <w:rPr>
                <w:b/>
                <w:bCs/>
                <w:color w:val="FFFFFF" w:themeColor="background1"/>
                <w:sz w:val="20"/>
                <w:szCs w:val="20"/>
                <w:lang w:eastAsia="fr-FR"/>
              </w:rPr>
            </w:pPr>
          </w:p>
        </w:tc>
        <w:tc>
          <w:tcPr>
            <w:tcW w:w="1587" w:type="dxa"/>
            <w:vMerge/>
            <w:tcBorders>
              <w:left w:val="single" w:sz="4" w:space="0" w:color="auto"/>
              <w:bottom w:val="single" w:sz="4" w:space="0" w:color="auto"/>
              <w:right w:val="single" w:sz="4" w:space="0" w:color="auto"/>
            </w:tcBorders>
            <w:shd w:val="clear" w:color="auto" w:fill="5C75A2"/>
            <w:vAlign w:val="center"/>
          </w:tcPr>
          <w:p w14:paraId="2D03E476" w14:textId="77777777" w:rsidR="0064331C" w:rsidRPr="0064331C" w:rsidRDefault="0064331C" w:rsidP="005D385E">
            <w:pPr>
              <w:jc w:val="center"/>
              <w:rPr>
                <w:b/>
                <w:bCs/>
                <w:color w:val="FFFFFF" w:themeColor="background1"/>
                <w:sz w:val="20"/>
                <w:szCs w:val="20"/>
                <w:lang w:eastAsia="fr-FR"/>
              </w:rPr>
            </w:pPr>
          </w:p>
        </w:tc>
        <w:tc>
          <w:tcPr>
            <w:tcW w:w="786"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9605751"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66" w:type="dxa"/>
            <w:tcBorders>
              <w:top w:val="single" w:sz="4" w:space="0" w:color="auto"/>
              <w:left w:val="single" w:sz="4" w:space="0" w:color="auto"/>
              <w:bottom w:val="single" w:sz="4" w:space="0" w:color="auto"/>
              <w:right w:val="single" w:sz="4" w:space="0" w:color="auto"/>
            </w:tcBorders>
            <w:shd w:val="clear" w:color="auto" w:fill="5C75A2"/>
            <w:vAlign w:val="center"/>
          </w:tcPr>
          <w:p w14:paraId="500266BD"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965" w:type="dxa"/>
            <w:tcBorders>
              <w:top w:val="single" w:sz="4" w:space="0" w:color="auto"/>
              <w:left w:val="single" w:sz="4" w:space="0" w:color="auto"/>
              <w:bottom w:val="single" w:sz="4" w:space="0" w:color="auto"/>
              <w:right w:val="single" w:sz="4" w:space="0" w:color="auto"/>
            </w:tcBorders>
            <w:shd w:val="clear" w:color="auto" w:fill="5C75A2"/>
            <w:vAlign w:val="center"/>
          </w:tcPr>
          <w:p w14:paraId="072C2FDD"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c>
          <w:tcPr>
            <w:tcW w:w="786"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4534E489"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93" w:type="dxa"/>
            <w:tcBorders>
              <w:top w:val="single" w:sz="4" w:space="0" w:color="auto"/>
              <w:left w:val="single" w:sz="4" w:space="0" w:color="auto"/>
              <w:bottom w:val="single" w:sz="4" w:space="0" w:color="auto"/>
              <w:right w:val="single" w:sz="4" w:space="0" w:color="auto"/>
            </w:tcBorders>
            <w:shd w:val="clear" w:color="auto" w:fill="5C75A2"/>
            <w:vAlign w:val="center"/>
          </w:tcPr>
          <w:p w14:paraId="19303EE7"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924" w:type="dxa"/>
            <w:tcBorders>
              <w:top w:val="single" w:sz="4" w:space="0" w:color="auto"/>
              <w:left w:val="single" w:sz="4" w:space="0" w:color="auto"/>
              <w:bottom w:val="single" w:sz="4" w:space="0" w:color="auto"/>
              <w:right w:val="single" w:sz="4" w:space="0" w:color="auto"/>
            </w:tcBorders>
            <w:shd w:val="clear" w:color="auto" w:fill="5C75A2"/>
            <w:vAlign w:val="center"/>
          </w:tcPr>
          <w:p w14:paraId="6AE9E34E"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c>
          <w:tcPr>
            <w:tcW w:w="786"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9C21ACD"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66" w:type="dxa"/>
            <w:tcBorders>
              <w:top w:val="single" w:sz="4" w:space="0" w:color="auto"/>
              <w:left w:val="single" w:sz="4" w:space="0" w:color="auto"/>
              <w:bottom w:val="single" w:sz="4" w:space="0" w:color="auto"/>
              <w:right w:val="single" w:sz="4" w:space="0" w:color="auto"/>
            </w:tcBorders>
            <w:shd w:val="clear" w:color="auto" w:fill="5C75A2"/>
            <w:vAlign w:val="center"/>
          </w:tcPr>
          <w:p w14:paraId="168B00DE"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1055" w:type="dxa"/>
            <w:tcBorders>
              <w:top w:val="single" w:sz="4" w:space="0" w:color="auto"/>
              <w:left w:val="single" w:sz="4" w:space="0" w:color="auto"/>
              <w:bottom w:val="single" w:sz="4" w:space="0" w:color="auto"/>
              <w:right w:val="single" w:sz="4" w:space="0" w:color="auto"/>
            </w:tcBorders>
            <w:shd w:val="clear" w:color="auto" w:fill="5C75A2"/>
            <w:vAlign w:val="center"/>
          </w:tcPr>
          <w:p w14:paraId="6DAD08AE"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r>
      <w:tr w:rsidR="0064331C" w:rsidRPr="0064331C" w14:paraId="053D8DA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shd w:val="clear" w:color="auto" w:fill="auto"/>
            <w:tcMar>
              <w:top w:w="150" w:type="dxa"/>
              <w:left w:w="150" w:type="dxa"/>
              <w:bottom w:w="150" w:type="dxa"/>
              <w:right w:w="150" w:type="dxa"/>
            </w:tcMar>
            <w:vAlign w:val="center"/>
          </w:tcPr>
          <w:p w14:paraId="187C67EA" w14:textId="77777777" w:rsidR="0064331C" w:rsidRPr="0064331C" w:rsidRDefault="0064331C" w:rsidP="005D385E">
            <w:pPr>
              <w:jc w:val="center"/>
              <w:rPr>
                <w:b/>
                <w:bCs/>
                <w:sz w:val="20"/>
                <w:szCs w:val="20"/>
                <w:lang w:eastAsia="fr-FR"/>
              </w:rPr>
            </w:pPr>
            <w:r w:rsidRPr="0064331C">
              <w:rPr>
                <w:b/>
                <w:bCs/>
                <w:sz w:val="20"/>
                <w:szCs w:val="20"/>
                <w:lang w:eastAsia="fr-FR"/>
              </w:rPr>
              <w:t>Biomasse solide ou tourbe</w:t>
            </w:r>
          </w:p>
        </w:tc>
        <w:tc>
          <w:tcPr>
            <w:tcW w:w="1587" w:type="dxa"/>
            <w:shd w:val="clear" w:color="auto" w:fill="auto"/>
            <w:tcMar>
              <w:top w:w="150" w:type="dxa"/>
              <w:left w:w="150" w:type="dxa"/>
              <w:bottom w:w="150" w:type="dxa"/>
              <w:right w:w="150" w:type="dxa"/>
            </w:tcMar>
            <w:vAlign w:val="center"/>
          </w:tcPr>
          <w:p w14:paraId="77AB30E7"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tcBorders>
              <w:top w:val="single" w:sz="4" w:space="0" w:color="auto"/>
            </w:tcBorders>
            <w:shd w:val="clear" w:color="auto" w:fill="E2EFD9" w:themeFill="accent6" w:themeFillTint="33"/>
            <w:tcMar>
              <w:top w:w="150" w:type="dxa"/>
              <w:left w:w="150" w:type="dxa"/>
              <w:bottom w:w="150" w:type="dxa"/>
              <w:right w:w="150" w:type="dxa"/>
            </w:tcMar>
            <w:vAlign w:val="center"/>
          </w:tcPr>
          <w:p w14:paraId="7D801742"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66" w:type="dxa"/>
            <w:tcBorders>
              <w:top w:val="single" w:sz="4" w:space="0" w:color="auto"/>
            </w:tcBorders>
            <w:shd w:val="clear" w:color="auto" w:fill="B4C6E7" w:themeFill="accent5" w:themeFillTint="66"/>
            <w:vAlign w:val="center"/>
          </w:tcPr>
          <w:p w14:paraId="36093D3B"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65" w:type="dxa"/>
            <w:tcBorders>
              <w:top w:val="single" w:sz="4" w:space="0" w:color="auto"/>
            </w:tcBorders>
            <w:shd w:val="clear" w:color="auto" w:fill="E2EFD9" w:themeFill="accent6" w:themeFillTint="33"/>
            <w:vAlign w:val="center"/>
          </w:tcPr>
          <w:p w14:paraId="1B7EDCD3" w14:textId="77777777" w:rsidR="0064331C" w:rsidRPr="0064331C" w:rsidRDefault="0064331C" w:rsidP="005D385E">
            <w:pPr>
              <w:jc w:val="center"/>
              <w:rPr>
                <w:b/>
                <w:bCs/>
                <w:sz w:val="20"/>
                <w:szCs w:val="20"/>
                <w:lang w:eastAsia="fr-FR"/>
              </w:rPr>
            </w:pPr>
            <w:r w:rsidRPr="0064331C">
              <w:rPr>
                <w:b/>
                <w:bCs/>
                <w:sz w:val="20"/>
                <w:szCs w:val="20"/>
                <w:lang w:eastAsia="fr-FR"/>
              </w:rPr>
              <w:t>215</w:t>
            </w:r>
          </w:p>
        </w:tc>
        <w:tc>
          <w:tcPr>
            <w:tcW w:w="786" w:type="dxa"/>
            <w:tcBorders>
              <w:top w:val="single" w:sz="4" w:space="0" w:color="auto"/>
            </w:tcBorders>
            <w:shd w:val="clear" w:color="auto" w:fill="E2EFD9" w:themeFill="accent6" w:themeFillTint="33"/>
            <w:tcMar>
              <w:top w:w="150" w:type="dxa"/>
              <w:left w:w="150" w:type="dxa"/>
              <w:bottom w:w="150" w:type="dxa"/>
              <w:right w:w="150" w:type="dxa"/>
            </w:tcMar>
            <w:vAlign w:val="center"/>
          </w:tcPr>
          <w:p w14:paraId="6CEA3CB4" w14:textId="77777777" w:rsidR="0064331C" w:rsidRPr="0064331C" w:rsidRDefault="0064331C" w:rsidP="005D385E">
            <w:pPr>
              <w:jc w:val="center"/>
              <w:rPr>
                <w:b/>
                <w:bCs/>
                <w:sz w:val="20"/>
                <w:szCs w:val="20"/>
                <w:lang w:eastAsia="fr-FR"/>
              </w:rPr>
            </w:pPr>
            <w:r w:rsidRPr="0064331C">
              <w:rPr>
                <w:b/>
                <w:bCs/>
                <w:sz w:val="20"/>
                <w:szCs w:val="20"/>
                <w:lang w:eastAsia="fr-FR"/>
              </w:rPr>
              <w:t>225</w:t>
            </w:r>
          </w:p>
          <w:p w14:paraId="7127AC1D" w14:textId="77777777" w:rsidR="0064331C" w:rsidRPr="0064331C" w:rsidRDefault="0064331C" w:rsidP="005D385E">
            <w:pPr>
              <w:jc w:val="center"/>
              <w:rPr>
                <w:b/>
                <w:bCs/>
                <w:sz w:val="20"/>
                <w:szCs w:val="20"/>
                <w:lang w:eastAsia="fr-FR"/>
              </w:rPr>
            </w:pPr>
            <w:r w:rsidRPr="0064331C">
              <w:rPr>
                <w:b/>
                <w:bCs/>
                <w:sz w:val="20"/>
                <w:szCs w:val="20"/>
                <w:lang w:eastAsia="fr-FR"/>
              </w:rPr>
              <w:t>(4)</w:t>
            </w:r>
          </w:p>
        </w:tc>
        <w:tc>
          <w:tcPr>
            <w:tcW w:w="793" w:type="dxa"/>
            <w:tcBorders>
              <w:top w:val="single" w:sz="4" w:space="0" w:color="auto"/>
            </w:tcBorders>
            <w:shd w:val="clear" w:color="auto" w:fill="B4C6E7" w:themeFill="accent5" w:themeFillTint="66"/>
            <w:vAlign w:val="center"/>
          </w:tcPr>
          <w:p w14:paraId="1A02D5F0" w14:textId="77777777" w:rsidR="0064331C" w:rsidRPr="0064331C" w:rsidRDefault="0064331C" w:rsidP="005D385E">
            <w:pPr>
              <w:jc w:val="center"/>
              <w:rPr>
                <w:b/>
                <w:bCs/>
                <w:sz w:val="20"/>
                <w:szCs w:val="20"/>
                <w:lang w:eastAsia="fr-FR"/>
              </w:rPr>
            </w:pPr>
            <w:r w:rsidRPr="0064331C">
              <w:rPr>
                <w:b/>
                <w:bCs/>
                <w:sz w:val="20"/>
                <w:szCs w:val="20"/>
                <w:lang w:eastAsia="fr-FR"/>
              </w:rPr>
              <w:t>250</w:t>
            </w:r>
          </w:p>
        </w:tc>
        <w:tc>
          <w:tcPr>
            <w:tcW w:w="924" w:type="dxa"/>
            <w:tcBorders>
              <w:top w:val="single" w:sz="4" w:space="0" w:color="auto"/>
            </w:tcBorders>
            <w:shd w:val="clear" w:color="auto" w:fill="92D050"/>
            <w:vAlign w:val="center"/>
          </w:tcPr>
          <w:p w14:paraId="79D62656" w14:textId="77777777" w:rsidR="0064331C" w:rsidRPr="0064331C" w:rsidRDefault="0064331C" w:rsidP="005D385E">
            <w:pPr>
              <w:jc w:val="center"/>
              <w:rPr>
                <w:b/>
                <w:bCs/>
                <w:sz w:val="20"/>
                <w:szCs w:val="20"/>
                <w:lang w:eastAsia="fr-FR"/>
              </w:rPr>
            </w:pPr>
            <w:r w:rsidRPr="0064331C">
              <w:rPr>
                <w:b/>
                <w:bCs/>
                <w:sz w:val="20"/>
                <w:szCs w:val="20"/>
                <w:lang w:eastAsia="fr-FR"/>
              </w:rPr>
              <w:t>275</w:t>
            </w:r>
          </w:p>
        </w:tc>
        <w:tc>
          <w:tcPr>
            <w:tcW w:w="786" w:type="dxa"/>
            <w:tcBorders>
              <w:top w:val="single" w:sz="4" w:space="0" w:color="auto"/>
            </w:tcBorders>
            <w:shd w:val="clear" w:color="auto" w:fill="E2EFD9" w:themeFill="accent6" w:themeFillTint="33"/>
            <w:tcMar>
              <w:top w:w="150" w:type="dxa"/>
              <w:left w:w="150" w:type="dxa"/>
              <w:bottom w:w="150" w:type="dxa"/>
              <w:right w:w="150" w:type="dxa"/>
            </w:tcMar>
            <w:vAlign w:val="center"/>
          </w:tcPr>
          <w:p w14:paraId="27899C64"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766" w:type="dxa"/>
            <w:tcBorders>
              <w:top w:val="single" w:sz="4" w:space="0" w:color="auto"/>
            </w:tcBorders>
            <w:shd w:val="clear" w:color="auto" w:fill="B4C6E7" w:themeFill="accent5" w:themeFillTint="66"/>
            <w:vAlign w:val="center"/>
          </w:tcPr>
          <w:p w14:paraId="65417893"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1055" w:type="dxa"/>
            <w:tcBorders>
              <w:top w:val="single" w:sz="4" w:space="0" w:color="auto"/>
            </w:tcBorders>
            <w:shd w:val="clear" w:color="auto" w:fill="92D050"/>
            <w:vAlign w:val="center"/>
          </w:tcPr>
          <w:p w14:paraId="1BBB8DD9"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1D364AF4"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tcMar>
              <w:top w:w="150" w:type="dxa"/>
              <w:left w:w="150" w:type="dxa"/>
              <w:bottom w:w="150" w:type="dxa"/>
              <w:right w:w="150" w:type="dxa"/>
            </w:tcMar>
            <w:vAlign w:val="center"/>
          </w:tcPr>
          <w:p w14:paraId="256F447D" w14:textId="77777777" w:rsidR="0064331C" w:rsidRPr="0064331C" w:rsidRDefault="0064331C" w:rsidP="005D385E">
            <w:pPr>
              <w:jc w:val="cente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38A33193"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86" w:type="dxa"/>
            <w:shd w:val="clear" w:color="auto" w:fill="E2EFD9" w:themeFill="accent6" w:themeFillTint="33"/>
            <w:tcMar>
              <w:top w:w="150" w:type="dxa"/>
              <w:left w:w="150" w:type="dxa"/>
              <w:bottom w:w="150" w:type="dxa"/>
              <w:right w:w="150" w:type="dxa"/>
            </w:tcMar>
            <w:vAlign w:val="center"/>
          </w:tcPr>
          <w:p w14:paraId="67B196C9" w14:textId="77777777" w:rsidR="0064331C" w:rsidRPr="0064331C" w:rsidRDefault="0064331C" w:rsidP="005D385E">
            <w:pPr>
              <w:jc w:val="center"/>
              <w:rPr>
                <w:b/>
                <w:bCs/>
                <w:sz w:val="20"/>
                <w:szCs w:val="20"/>
                <w:lang w:eastAsia="fr-FR"/>
              </w:rPr>
            </w:pPr>
            <w:r w:rsidRPr="0064331C">
              <w:rPr>
                <w:b/>
                <w:bCs/>
                <w:sz w:val="20"/>
                <w:szCs w:val="20"/>
                <w:lang w:eastAsia="fr-FR"/>
              </w:rPr>
              <w:t>70</w:t>
            </w:r>
          </w:p>
          <w:p w14:paraId="22F29AAD"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766" w:type="dxa"/>
            <w:shd w:val="clear" w:color="auto" w:fill="E2EFD9" w:themeFill="accent6" w:themeFillTint="33"/>
            <w:vAlign w:val="center"/>
          </w:tcPr>
          <w:p w14:paraId="5024A9C6"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29920359"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965" w:type="dxa"/>
            <w:shd w:val="clear" w:color="auto" w:fill="E2EFD9" w:themeFill="accent6" w:themeFillTint="33"/>
            <w:vAlign w:val="center"/>
          </w:tcPr>
          <w:p w14:paraId="61972ED1"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7FEBFEAF"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786" w:type="dxa"/>
            <w:shd w:val="clear" w:color="auto" w:fill="E2EFD9" w:themeFill="accent6" w:themeFillTint="33"/>
            <w:tcMar>
              <w:top w:w="150" w:type="dxa"/>
              <w:left w:w="150" w:type="dxa"/>
              <w:bottom w:w="150" w:type="dxa"/>
              <w:right w:w="150" w:type="dxa"/>
            </w:tcMar>
            <w:vAlign w:val="center"/>
          </w:tcPr>
          <w:p w14:paraId="1B967BF5"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793" w:type="dxa"/>
            <w:shd w:val="clear" w:color="auto" w:fill="B4C6E7" w:themeFill="accent5" w:themeFillTint="66"/>
            <w:vAlign w:val="center"/>
          </w:tcPr>
          <w:p w14:paraId="771E2D8F"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24" w:type="dxa"/>
            <w:shd w:val="clear" w:color="auto" w:fill="92D050"/>
            <w:vAlign w:val="center"/>
          </w:tcPr>
          <w:p w14:paraId="5BC6B2B2"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786" w:type="dxa"/>
            <w:shd w:val="clear" w:color="auto" w:fill="E2EFD9" w:themeFill="accent6" w:themeFillTint="33"/>
            <w:tcMar>
              <w:top w:w="150" w:type="dxa"/>
              <w:left w:w="150" w:type="dxa"/>
              <w:bottom w:w="150" w:type="dxa"/>
              <w:right w:w="150" w:type="dxa"/>
            </w:tcMar>
            <w:vAlign w:val="center"/>
          </w:tcPr>
          <w:p w14:paraId="70C2384B" w14:textId="77777777" w:rsidR="0064331C" w:rsidRPr="0064331C" w:rsidRDefault="0064331C" w:rsidP="005D385E">
            <w:pPr>
              <w:jc w:val="center"/>
              <w:rPr>
                <w:b/>
                <w:bCs/>
                <w:sz w:val="20"/>
                <w:szCs w:val="20"/>
                <w:lang w:eastAsia="fr-FR"/>
              </w:rPr>
            </w:pPr>
            <w:r w:rsidRPr="0064331C">
              <w:rPr>
                <w:b/>
                <w:bCs/>
                <w:sz w:val="20"/>
                <w:szCs w:val="20"/>
                <w:lang w:eastAsia="fr-FR"/>
              </w:rPr>
              <w:t>12</w:t>
            </w:r>
          </w:p>
        </w:tc>
        <w:tc>
          <w:tcPr>
            <w:tcW w:w="766" w:type="dxa"/>
            <w:shd w:val="clear" w:color="auto" w:fill="E2EFD9" w:themeFill="accent6" w:themeFillTint="33"/>
            <w:vAlign w:val="center"/>
          </w:tcPr>
          <w:p w14:paraId="65F68915"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1055" w:type="dxa"/>
            <w:shd w:val="clear" w:color="auto" w:fill="E2EFD9" w:themeFill="accent6" w:themeFillTint="33"/>
            <w:vAlign w:val="center"/>
          </w:tcPr>
          <w:p w14:paraId="3DF5E3F0" w14:textId="77777777" w:rsidR="0064331C" w:rsidRPr="0064331C" w:rsidRDefault="0064331C" w:rsidP="005D385E">
            <w:pPr>
              <w:jc w:val="center"/>
              <w:rPr>
                <w:b/>
                <w:bCs/>
                <w:sz w:val="20"/>
                <w:szCs w:val="20"/>
                <w:lang w:eastAsia="fr-FR"/>
              </w:rPr>
            </w:pPr>
            <w:r w:rsidRPr="0064331C">
              <w:rPr>
                <w:b/>
                <w:bCs/>
                <w:sz w:val="20"/>
                <w:szCs w:val="20"/>
                <w:lang w:eastAsia="fr-FR"/>
              </w:rPr>
              <w:t>18</w:t>
            </w:r>
          </w:p>
        </w:tc>
      </w:tr>
      <w:tr w:rsidR="0064331C" w:rsidRPr="0064331C" w14:paraId="4A4AB3C6"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tcMar>
              <w:top w:w="150" w:type="dxa"/>
              <w:left w:w="150" w:type="dxa"/>
              <w:bottom w:w="150" w:type="dxa"/>
              <w:right w:w="150" w:type="dxa"/>
            </w:tcMar>
            <w:vAlign w:val="center"/>
          </w:tcPr>
          <w:p w14:paraId="46E6212C" w14:textId="77777777" w:rsidR="0064331C" w:rsidRPr="0064331C" w:rsidRDefault="0064331C" w:rsidP="005D385E">
            <w:pPr>
              <w:jc w:val="cente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0593671C"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86" w:type="dxa"/>
            <w:shd w:val="clear" w:color="auto" w:fill="E2EFD9" w:themeFill="accent6" w:themeFillTint="33"/>
            <w:tcMar>
              <w:top w:w="150" w:type="dxa"/>
              <w:left w:w="150" w:type="dxa"/>
              <w:bottom w:w="150" w:type="dxa"/>
              <w:right w:w="150" w:type="dxa"/>
            </w:tcMar>
            <w:vAlign w:val="center"/>
          </w:tcPr>
          <w:p w14:paraId="02E753A6" w14:textId="77777777" w:rsidR="0064331C" w:rsidRPr="0064331C" w:rsidRDefault="0064331C" w:rsidP="005D385E">
            <w:pPr>
              <w:jc w:val="center"/>
              <w:rPr>
                <w:b/>
                <w:bCs/>
                <w:sz w:val="20"/>
                <w:szCs w:val="20"/>
                <w:lang w:eastAsia="fr-FR"/>
              </w:rPr>
            </w:pPr>
            <w:r w:rsidRPr="0064331C">
              <w:rPr>
                <w:b/>
                <w:bCs/>
                <w:sz w:val="20"/>
                <w:szCs w:val="20"/>
                <w:lang w:eastAsia="fr-FR"/>
              </w:rPr>
              <w:t>50</w:t>
            </w:r>
          </w:p>
          <w:p w14:paraId="7F80BCCD" w14:textId="77777777" w:rsidR="0064331C" w:rsidRPr="0064331C" w:rsidRDefault="0064331C" w:rsidP="005D385E">
            <w:pPr>
              <w:jc w:val="center"/>
              <w:rPr>
                <w:b/>
                <w:bCs/>
                <w:sz w:val="20"/>
                <w:szCs w:val="20"/>
                <w:lang w:eastAsia="fr-FR"/>
              </w:rPr>
            </w:pPr>
            <w:r w:rsidRPr="0064331C">
              <w:rPr>
                <w:b/>
                <w:bCs/>
                <w:sz w:val="20"/>
                <w:szCs w:val="20"/>
                <w:lang w:eastAsia="fr-FR"/>
              </w:rPr>
              <w:t>(2)</w:t>
            </w:r>
          </w:p>
        </w:tc>
        <w:tc>
          <w:tcPr>
            <w:tcW w:w="766" w:type="dxa"/>
            <w:shd w:val="clear" w:color="auto" w:fill="E2EFD9" w:themeFill="accent6" w:themeFillTint="33"/>
            <w:vAlign w:val="center"/>
          </w:tcPr>
          <w:p w14:paraId="08D7F8D8" w14:textId="77777777" w:rsidR="0064331C" w:rsidRPr="0064331C" w:rsidRDefault="0064331C" w:rsidP="005D385E">
            <w:pPr>
              <w:jc w:val="center"/>
              <w:rPr>
                <w:b/>
                <w:bCs/>
                <w:sz w:val="20"/>
                <w:szCs w:val="20"/>
                <w:lang w:eastAsia="fr-FR"/>
              </w:rPr>
            </w:pPr>
            <w:r w:rsidRPr="0064331C">
              <w:rPr>
                <w:b/>
                <w:bCs/>
                <w:sz w:val="20"/>
                <w:szCs w:val="20"/>
                <w:lang w:eastAsia="fr-FR"/>
              </w:rPr>
              <w:t>85</w:t>
            </w:r>
          </w:p>
          <w:p w14:paraId="60721DF4"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965" w:type="dxa"/>
            <w:shd w:val="clear" w:color="auto" w:fill="E2EFD9" w:themeFill="accent6" w:themeFillTint="33"/>
            <w:vAlign w:val="center"/>
          </w:tcPr>
          <w:p w14:paraId="14F40F48" w14:textId="77777777" w:rsidR="0064331C" w:rsidRPr="0064331C" w:rsidRDefault="0064331C" w:rsidP="005D385E">
            <w:pPr>
              <w:jc w:val="center"/>
              <w:rPr>
                <w:b/>
                <w:bCs/>
                <w:sz w:val="20"/>
                <w:szCs w:val="20"/>
                <w:lang w:eastAsia="fr-FR"/>
              </w:rPr>
            </w:pPr>
            <w:r w:rsidRPr="0064331C">
              <w:rPr>
                <w:b/>
                <w:bCs/>
                <w:sz w:val="20"/>
                <w:szCs w:val="20"/>
                <w:lang w:eastAsia="fr-FR"/>
              </w:rPr>
              <w:t>85</w:t>
            </w:r>
          </w:p>
          <w:p w14:paraId="71FAF75F"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786" w:type="dxa"/>
            <w:shd w:val="clear" w:color="auto" w:fill="E2EFD9" w:themeFill="accent6" w:themeFillTint="33"/>
            <w:tcMar>
              <w:top w:w="150" w:type="dxa"/>
              <w:left w:w="150" w:type="dxa"/>
              <w:bottom w:w="150" w:type="dxa"/>
              <w:right w:w="150" w:type="dxa"/>
            </w:tcMar>
            <w:vAlign w:val="center"/>
          </w:tcPr>
          <w:p w14:paraId="43F0FCE2" w14:textId="77777777" w:rsidR="0064331C" w:rsidRPr="0064331C" w:rsidRDefault="0064331C" w:rsidP="005D385E">
            <w:pPr>
              <w:jc w:val="center"/>
              <w:rPr>
                <w:b/>
                <w:bCs/>
                <w:sz w:val="20"/>
                <w:szCs w:val="20"/>
                <w:lang w:eastAsia="fr-FR"/>
              </w:rPr>
            </w:pPr>
            <w:r w:rsidRPr="0064331C">
              <w:rPr>
                <w:b/>
                <w:bCs/>
                <w:sz w:val="20"/>
                <w:szCs w:val="20"/>
                <w:lang w:eastAsia="fr-FR"/>
              </w:rPr>
              <w:t>160</w:t>
            </w:r>
          </w:p>
        </w:tc>
        <w:tc>
          <w:tcPr>
            <w:tcW w:w="793" w:type="dxa"/>
            <w:shd w:val="clear" w:color="auto" w:fill="B4C6E7" w:themeFill="accent5" w:themeFillTint="66"/>
            <w:vAlign w:val="center"/>
          </w:tcPr>
          <w:p w14:paraId="0F22503B"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24" w:type="dxa"/>
            <w:shd w:val="clear" w:color="auto" w:fill="92D050"/>
            <w:vAlign w:val="center"/>
          </w:tcPr>
          <w:p w14:paraId="326CB104"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0ECFA82B"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66" w:type="dxa"/>
            <w:shd w:val="clear" w:color="auto" w:fill="E2EFD9" w:themeFill="accent6" w:themeFillTint="33"/>
            <w:vAlign w:val="center"/>
          </w:tcPr>
          <w:p w14:paraId="4F73388F" w14:textId="77777777" w:rsidR="0064331C" w:rsidRPr="0064331C" w:rsidRDefault="0064331C" w:rsidP="005D385E">
            <w:pPr>
              <w:jc w:val="center"/>
              <w:rPr>
                <w:b/>
                <w:bCs/>
                <w:sz w:val="20"/>
                <w:szCs w:val="20"/>
                <w:lang w:eastAsia="fr-FR"/>
              </w:rPr>
            </w:pPr>
            <w:r w:rsidRPr="0064331C">
              <w:rPr>
                <w:b/>
                <w:bCs/>
                <w:sz w:val="20"/>
                <w:szCs w:val="20"/>
                <w:lang w:eastAsia="fr-FR"/>
              </w:rPr>
              <w:t>16</w:t>
            </w:r>
          </w:p>
        </w:tc>
        <w:tc>
          <w:tcPr>
            <w:tcW w:w="1055" w:type="dxa"/>
            <w:shd w:val="clear" w:color="auto" w:fill="E2EFD9" w:themeFill="accent6" w:themeFillTint="33"/>
            <w:vAlign w:val="center"/>
          </w:tcPr>
          <w:p w14:paraId="124DB5F8" w14:textId="77777777" w:rsidR="0064331C" w:rsidRPr="0064331C" w:rsidRDefault="0064331C" w:rsidP="005D385E">
            <w:pPr>
              <w:jc w:val="center"/>
              <w:rPr>
                <w:b/>
                <w:bCs/>
                <w:sz w:val="20"/>
                <w:szCs w:val="20"/>
                <w:lang w:eastAsia="fr-FR"/>
              </w:rPr>
            </w:pPr>
            <w:r w:rsidRPr="0064331C">
              <w:rPr>
                <w:b/>
                <w:bCs/>
                <w:sz w:val="20"/>
                <w:szCs w:val="20"/>
                <w:lang w:eastAsia="fr-FR"/>
              </w:rPr>
              <w:t>16</w:t>
            </w:r>
          </w:p>
        </w:tc>
      </w:tr>
      <w:tr w:rsidR="0064331C" w:rsidRPr="0064331C" w14:paraId="4B50DC1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shd w:val="clear" w:color="auto" w:fill="auto"/>
            <w:tcMar>
              <w:top w:w="150" w:type="dxa"/>
              <w:left w:w="150" w:type="dxa"/>
              <w:bottom w:w="150" w:type="dxa"/>
              <w:right w:w="150" w:type="dxa"/>
            </w:tcMar>
            <w:vAlign w:val="center"/>
            <w:hideMark/>
          </w:tcPr>
          <w:p w14:paraId="2EDF941D" w14:textId="77777777" w:rsidR="0064331C" w:rsidRPr="0064331C" w:rsidRDefault="0064331C" w:rsidP="005D385E">
            <w:pPr>
              <w:jc w:val="center"/>
              <w:rPr>
                <w:b/>
                <w:bCs/>
                <w:sz w:val="20"/>
                <w:szCs w:val="20"/>
                <w:lang w:eastAsia="fr-FR"/>
              </w:rPr>
            </w:pPr>
            <w:r w:rsidRPr="0064331C">
              <w:rPr>
                <w:b/>
                <w:bCs/>
                <w:sz w:val="20"/>
                <w:szCs w:val="20"/>
                <w:lang w:eastAsia="fr-FR"/>
              </w:rPr>
              <w:t>Charbon ou lignite</w:t>
            </w:r>
          </w:p>
        </w:tc>
        <w:tc>
          <w:tcPr>
            <w:tcW w:w="1587" w:type="dxa"/>
            <w:shd w:val="clear" w:color="auto" w:fill="auto"/>
            <w:tcMar>
              <w:top w:w="150" w:type="dxa"/>
              <w:left w:w="150" w:type="dxa"/>
              <w:bottom w:w="150" w:type="dxa"/>
              <w:right w:w="150" w:type="dxa"/>
            </w:tcMar>
            <w:vAlign w:val="center"/>
            <w:hideMark/>
          </w:tcPr>
          <w:p w14:paraId="5241E690"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shd w:val="clear" w:color="auto" w:fill="E2EFD9" w:themeFill="accent6" w:themeFillTint="33"/>
            <w:tcMar>
              <w:top w:w="150" w:type="dxa"/>
              <w:left w:w="150" w:type="dxa"/>
              <w:bottom w:w="150" w:type="dxa"/>
              <w:right w:w="150" w:type="dxa"/>
            </w:tcMar>
            <w:vAlign w:val="center"/>
          </w:tcPr>
          <w:p w14:paraId="45370DD6" w14:textId="77777777" w:rsidR="0064331C" w:rsidRPr="0064331C" w:rsidRDefault="0064331C" w:rsidP="005D385E">
            <w:pPr>
              <w:jc w:val="center"/>
              <w:rPr>
                <w:b/>
                <w:bCs/>
                <w:sz w:val="20"/>
                <w:szCs w:val="20"/>
                <w:highlight w:val="green"/>
                <w:lang w:eastAsia="fr-FR"/>
              </w:rPr>
            </w:pPr>
            <w:r w:rsidRPr="0064331C">
              <w:rPr>
                <w:b/>
                <w:bCs/>
                <w:sz w:val="20"/>
                <w:szCs w:val="20"/>
                <w:lang w:eastAsia="fr-FR"/>
              </w:rPr>
              <w:t>360</w:t>
            </w:r>
          </w:p>
        </w:tc>
        <w:tc>
          <w:tcPr>
            <w:tcW w:w="766" w:type="dxa"/>
            <w:shd w:val="clear" w:color="auto" w:fill="B4C6E7" w:themeFill="accent5" w:themeFillTint="66"/>
            <w:vAlign w:val="center"/>
          </w:tcPr>
          <w:p w14:paraId="6C1A9751" w14:textId="77777777" w:rsidR="0064331C" w:rsidRPr="0064331C" w:rsidRDefault="0064331C" w:rsidP="005D385E">
            <w:pPr>
              <w:jc w:val="center"/>
              <w:rPr>
                <w:b/>
                <w:bCs/>
                <w:sz w:val="20"/>
                <w:szCs w:val="20"/>
                <w:lang w:eastAsia="fr-FR"/>
              </w:rPr>
            </w:pPr>
            <w:r w:rsidRPr="0064331C">
              <w:rPr>
                <w:b/>
                <w:bCs/>
                <w:sz w:val="20"/>
                <w:szCs w:val="20"/>
                <w:lang w:eastAsia="fr-FR"/>
              </w:rPr>
              <w:t>400</w:t>
            </w:r>
          </w:p>
        </w:tc>
        <w:tc>
          <w:tcPr>
            <w:tcW w:w="965" w:type="dxa"/>
            <w:shd w:val="clear" w:color="auto" w:fill="E2EFD9" w:themeFill="accent6" w:themeFillTint="33"/>
            <w:vAlign w:val="center"/>
          </w:tcPr>
          <w:p w14:paraId="532BF0B1" w14:textId="77777777" w:rsidR="0064331C" w:rsidRPr="0064331C" w:rsidRDefault="0064331C" w:rsidP="005D385E">
            <w:pPr>
              <w:jc w:val="center"/>
              <w:rPr>
                <w:b/>
                <w:bCs/>
                <w:sz w:val="20"/>
                <w:szCs w:val="20"/>
                <w:lang w:eastAsia="fr-FR"/>
              </w:rPr>
            </w:pPr>
            <w:r w:rsidRPr="0064331C">
              <w:rPr>
                <w:b/>
                <w:bCs/>
                <w:sz w:val="20"/>
                <w:szCs w:val="20"/>
                <w:lang w:eastAsia="fr-FR"/>
              </w:rPr>
              <w:t>400</w:t>
            </w:r>
          </w:p>
        </w:tc>
        <w:tc>
          <w:tcPr>
            <w:tcW w:w="786" w:type="dxa"/>
            <w:shd w:val="clear" w:color="auto" w:fill="E2EFD9" w:themeFill="accent6" w:themeFillTint="33"/>
            <w:tcMar>
              <w:top w:w="150" w:type="dxa"/>
              <w:left w:w="150" w:type="dxa"/>
              <w:bottom w:w="150" w:type="dxa"/>
              <w:right w:w="150" w:type="dxa"/>
            </w:tcMar>
            <w:vAlign w:val="center"/>
          </w:tcPr>
          <w:p w14:paraId="57BD904A"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793" w:type="dxa"/>
            <w:shd w:val="clear" w:color="auto" w:fill="B4C6E7" w:themeFill="accent5" w:themeFillTint="66"/>
            <w:vAlign w:val="center"/>
          </w:tcPr>
          <w:p w14:paraId="1E55467E" w14:textId="77777777" w:rsidR="0064331C" w:rsidRPr="0064331C" w:rsidRDefault="0064331C" w:rsidP="005D385E">
            <w:pPr>
              <w:jc w:val="center"/>
              <w:rPr>
                <w:b/>
                <w:bCs/>
                <w:sz w:val="20"/>
                <w:szCs w:val="20"/>
                <w:lang w:eastAsia="fr-FR"/>
              </w:rPr>
            </w:pPr>
            <w:r w:rsidRPr="0064331C">
              <w:rPr>
                <w:b/>
                <w:bCs/>
                <w:sz w:val="20"/>
                <w:szCs w:val="20"/>
                <w:lang w:eastAsia="fr-FR"/>
              </w:rPr>
              <w:t>300</w:t>
            </w:r>
          </w:p>
        </w:tc>
        <w:tc>
          <w:tcPr>
            <w:tcW w:w="924" w:type="dxa"/>
            <w:shd w:val="clear" w:color="auto" w:fill="92D050"/>
            <w:vAlign w:val="center"/>
          </w:tcPr>
          <w:p w14:paraId="487E20EC" w14:textId="77777777" w:rsidR="0064331C" w:rsidRPr="0064331C" w:rsidRDefault="0064331C" w:rsidP="005D385E">
            <w:pPr>
              <w:jc w:val="center"/>
              <w:rPr>
                <w:b/>
                <w:bCs/>
                <w:sz w:val="20"/>
                <w:szCs w:val="20"/>
                <w:lang w:eastAsia="fr-FR"/>
              </w:rPr>
            </w:pPr>
            <w:r w:rsidRPr="0064331C">
              <w:rPr>
                <w:b/>
                <w:bCs/>
                <w:sz w:val="20"/>
                <w:szCs w:val="20"/>
                <w:lang w:eastAsia="fr-FR"/>
              </w:rPr>
              <w:t>330</w:t>
            </w:r>
          </w:p>
        </w:tc>
        <w:tc>
          <w:tcPr>
            <w:tcW w:w="786" w:type="dxa"/>
            <w:shd w:val="clear" w:color="auto" w:fill="E2EFD9" w:themeFill="accent6" w:themeFillTint="33"/>
            <w:tcMar>
              <w:top w:w="150" w:type="dxa"/>
              <w:left w:w="150" w:type="dxa"/>
              <w:bottom w:w="150" w:type="dxa"/>
              <w:right w:w="150" w:type="dxa"/>
            </w:tcMar>
            <w:vAlign w:val="center"/>
          </w:tcPr>
          <w:p w14:paraId="29C1CCB6"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766" w:type="dxa"/>
            <w:shd w:val="clear" w:color="auto" w:fill="B4C6E7" w:themeFill="accent5" w:themeFillTint="66"/>
            <w:vAlign w:val="center"/>
          </w:tcPr>
          <w:p w14:paraId="0AD726D4"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1055" w:type="dxa"/>
            <w:shd w:val="clear" w:color="auto" w:fill="92D050"/>
            <w:vAlign w:val="center"/>
          </w:tcPr>
          <w:p w14:paraId="7AF95C24"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71D7A48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hideMark/>
          </w:tcPr>
          <w:p w14:paraId="78177647"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hideMark/>
          </w:tcPr>
          <w:p w14:paraId="37217688"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86" w:type="dxa"/>
            <w:shd w:val="clear" w:color="auto" w:fill="E2EFD9" w:themeFill="accent6" w:themeFillTint="33"/>
            <w:tcMar>
              <w:top w:w="150" w:type="dxa"/>
              <w:left w:w="150" w:type="dxa"/>
              <w:bottom w:w="150" w:type="dxa"/>
              <w:right w:w="150" w:type="dxa"/>
            </w:tcMar>
            <w:vAlign w:val="center"/>
          </w:tcPr>
          <w:p w14:paraId="19CD193F" w14:textId="77777777" w:rsidR="0064331C" w:rsidRPr="0064331C" w:rsidRDefault="0064331C" w:rsidP="005D385E">
            <w:pPr>
              <w:jc w:val="center"/>
              <w:rPr>
                <w:b/>
                <w:bCs/>
                <w:sz w:val="20"/>
                <w:szCs w:val="20"/>
                <w:highlight w:val="green"/>
                <w:lang w:eastAsia="fr-FR"/>
              </w:rPr>
            </w:pPr>
            <w:r w:rsidRPr="0064331C">
              <w:rPr>
                <w:b/>
                <w:bCs/>
                <w:sz w:val="20"/>
                <w:szCs w:val="20"/>
                <w:lang w:eastAsia="fr-FR"/>
              </w:rPr>
              <w:t>200</w:t>
            </w:r>
          </w:p>
        </w:tc>
        <w:tc>
          <w:tcPr>
            <w:tcW w:w="766" w:type="dxa"/>
            <w:shd w:val="clear" w:color="auto" w:fill="B4C6E7" w:themeFill="accent5" w:themeFillTint="66"/>
            <w:vAlign w:val="center"/>
          </w:tcPr>
          <w:p w14:paraId="6C4E578E"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65" w:type="dxa"/>
            <w:shd w:val="clear" w:color="auto" w:fill="B4C6E7" w:themeFill="accent5" w:themeFillTint="66"/>
            <w:vAlign w:val="center"/>
          </w:tcPr>
          <w:p w14:paraId="1481E257"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786" w:type="dxa"/>
            <w:shd w:val="clear" w:color="auto" w:fill="E2EFD9" w:themeFill="accent6" w:themeFillTint="33"/>
            <w:tcMar>
              <w:top w:w="150" w:type="dxa"/>
              <w:left w:w="150" w:type="dxa"/>
              <w:bottom w:w="150" w:type="dxa"/>
              <w:right w:w="150" w:type="dxa"/>
            </w:tcMar>
            <w:vAlign w:val="center"/>
          </w:tcPr>
          <w:p w14:paraId="55D4F1E8" w14:textId="77777777" w:rsidR="0064331C" w:rsidRPr="0064331C" w:rsidRDefault="0064331C" w:rsidP="005D385E">
            <w:pPr>
              <w:jc w:val="center"/>
              <w:rPr>
                <w:b/>
                <w:bCs/>
                <w:sz w:val="20"/>
                <w:szCs w:val="20"/>
                <w:highlight w:val="green"/>
                <w:lang w:eastAsia="fr-FR"/>
              </w:rPr>
            </w:pPr>
            <w:r w:rsidRPr="0064331C">
              <w:rPr>
                <w:b/>
                <w:bCs/>
                <w:sz w:val="20"/>
                <w:szCs w:val="20"/>
                <w:lang w:eastAsia="fr-FR"/>
              </w:rPr>
              <w:t>180</w:t>
            </w:r>
          </w:p>
        </w:tc>
        <w:tc>
          <w:tcPr>
            <w:tcW w:w="793" w:type="dxa"/>
            <w:shd w:val="clear" w:color="auto" w:fill="B4C6E7" w:themeFill="accent5" w:themeFillTint="66"/>
            <w:vAlign w:val="center"/>
          </w:tcPr>
          <w:p w14:paraId="65512400"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24" w:type="dxa"/>
            <w:shd w:val="clear" w:color="auto" w:fill="E2EFD9" w:themeFill="accent6" w:themeFillTint="33"/>
            <w:vAlign w:val="center"/>
          </w:tcPr>
          <w:p w14:paraId="74DF0237" w14:textId="77777777" w:rsidR="0064331C" w:rsidRPr="0064331C" w:rsidRDefault="0064331C" w:rsidP="005D385E">
            <w:pPr>
              <w:jc w:val="center"/>
              <w:rPr>
                <w:b/>
                <w:bCs/>
                <w:sz w:val="20"/>
                <w:szCs w:val="20"/>
                <w:lang w:eastAsia="fr-FR"/>
              </w:rPr>
            </w:pPr>
            <w:r w:rsidRPr="0064331C">
              <w:rPr>
                <w:b/>
                <w:bCs/>
                <w:sz w:val="20"/>
                <w:szCs w:val="20"/>
                <w:lang w:eastAsia="fr-FR"/>
              </w:rPr>
              <w:t xml:space="preserve">210 </w:t>
            </w:r>
          </w:p>
        </w:tc>
        <w:tc>
          <w:tcPr>
            <w:tcW w:w="786" w:type="dxa"/>
            <w:shd w:val="clear" w:color="auto" w:fill="E2EFD9" w:themeFill="accent6" w:themeFillTint="33"/>
            <w:tcMar>
              <w:top w:w="150" w:type="dxa"/>
              <w:left w:w="150" w:type="dxa"/>
              <w:bottom w:w="150" w:type="dxa"/>
              <w:right w:w="150" w:type="dxa"/>
            </w:tcMar>
            <w:vAlign w:val="center"/>
          </w:tcPr>
          <w:p w14:paraId="2A64FF9A" w14:textId="77777777" w:rsidR="0064331C" w:rsidRPr="0064331C" w:rsidRDefault="0064331C" w:rsidP="005D385E">
            <w:pPr>
              <w:jc w:val="center"/>
              <w:rPr>
                <w:b/>
                <w:bCs/>
                <w:sz w:val="20"/>
                <w:szCs w:val="20"/>
                <w:lang w:eastAsia="fr-FR"/>
              </w:rPr>
            </w:pPr>
            <w:r w:rsidRPr="0064331C">
              <w:rPr>
                <w:b/>
                <w:bCs/>
                <w:sz w:val="20"/>
                <w:szCs w:val="20"/>
                <w:lang w:eastAsia="fr-FR"/>
              </w:rPr>
              <w:t>14</w:t>
            </w:r>
          </w:p>
        </w:tc>
        <w:tc>
          <w:tcPr>
            <w:tcW w:w="766" w:type="dxa"/>
            <w:shd w:val="clear" w:color="auto" w:fill="B4C6E7" w:themeFill="accent5" w:themeFillTint="66"/>
            <w:vAlign w:val="center"/>
          </w:tcPr>
          <w:p w14:paraId="7FAE8817"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1055" w:type="dxa"/>
            <w:shd w:val="clear" w:color="auto" w:fill="92D050"/>
            <w:vAlign w:val="center"/>
          </w:tcPr>
          <w:p w14:paraId="65A7CFB1"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60A0A83D"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jc w:val="center"/>
        </w:trPr>
        <w:tc>
          <w:tcPr>
            <w:tcW w:w="1413" w:type="dxa"/>
            <w:vMerge/>
            <w:shd w:val="clear" w:color="auto" w:fill="auto"/>
            <w:vAlign w:val="center"/>
            <w:hideMark/>
          </w:tcPr>
          <w:p w14:paraId="78CF7FBE"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hideMark/>
          </w:tcPr>
          <w:p w14:paraId="4B649EEC"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6E31AA29" w14:textId="77777777" w:rsidR="0064331C" w:rsidRPr="0064331C" w:rsidRDefault="0064331C" w:rsidP="005D385E">
            <w:pPr>
              <w:jc w:val="center"/>
              <w:rPr>
                <w:b/>
                <w:bCs/>
                <w:sz w:val="20"/>
                <w:szCs w:val="20"/>
                <w:lang w:eastAsia="fr-FR"/>
              </w:rPr>
            </w:pPr>
            <w:r w:rsidRPr="0064331C">
              <w:rPr>
                <w:b/>
                <w:bCs/>
                <w:sz w:val="20"/>
                <w:szCs w:val="20"/>
                <w:lang w:eastAsia="fr-FR"/>
              </w:rPr>
              <w:t>Chaudières à pulvérisation</w:t>
            </w:r>
          </w:p>
          <w:p w14:paraId="0259CC5A" w14:textId="77777777" w:rsidR="0064331C" w:rsidRPr="0064331C" w:rsidRDefault="0064331C" w:rsidP="005D385E">
            <w:pPr>
              <w:jc w:val="center"/>
              <w:rPr>
                <w:b/>
                <w:bCs/>
                <w:sz w:val="20"/>
                <w:szCs w:val="20"/>
                <w:lang w:eastAsia="fr-FR"/>
              </w:rPr>
            </w:pPr>
            <w:r w:rsidRPr="0064331C">
              <w:rPr>
                <w:b/>
                <w:bCs/>
                <w:sz w:val="20"/>
                <w:szCs w:val="20"/>
                <w:lang w:eastAsia="fr-FR"/>
              </w:rPr>
              <w:t>(</w:t>
            </w:r>
            <w:proofErr w:type="gramStart"/>
            <w:r w:rsidRPr="0064331C">
              <w:rPr>
                <w:b/>
                <w:bCs/>
                <w:sz w:val="20"/>
                <w:szCs w:val="20"/>
                <w:lang w:eastAsia="fr-FR"/>
              </w:rPr>
              <w:t>lignite</w:t>
            </w:r>
            <w:proofErr w:type="gramEnd"/>
            <w:r w:rsidRPr="0064331C">
              <w:rPr>
                <w:b/>
                <w:bCs/>
                <w:sz w:val="20"/>
                <w:szCs w:val="20"/>
                <w:lang w:eastAsia="fr-FR"/>
              </w:rPr>
              <w:t>)</w:t>
            </w:r>
          </w:p>
        </w:tc>
        <w:tc>
          <w:tcPr>
            <w:tcW w:w="786" w:type="dxa"/>
            <w:shd w:val="clear" w:color="auto" w:fill="E2EFD9" w:themeFill="accent6" w:themeFillTint="33"/>
            <w:tcMar>
              <w:top w:w="150" w:type="dxa"/>
              <w:left w:w="150" w:type="dxa"/>
              <w:bottom w:w="150" w:type="dxa"/>
              <w:right w:w="150" w:type="dxa"/>
            </w:tcMar>
            <w:vAlign w:val="center"/>
          </w:tcPr>
          <w:p w14:paraId="4A014A13" w14:textId="77777777" w:rsidR="0064331C" w:rsidRPr="0064331C" w:rsidRDefault="0064331C" w:rsidP="005D385E">
            <w:pPr>
              <w:jc w:val="center"/>
              <w:rPr>
                <w:b/>
                <w:bCs/>
                <w:sz w:val="20"/>
                <w:szCs w:val="20"/>
                <w:lang w:eastAsia="fr-FR"/>
              </w:rPr>
            </w:pPr>
            <w:r w:rsidRPr="0064331C">
              <w:rPr>
                <w:b/>
                <w:bCs/>
                <w:sz w:val="20"/>
                <w:szCs w:val="20"/>
                <w:lang w:eastAsia="fr-FR"/>
              </w:rPr>
              <w:t>130</w:t>
            </w:r>
          </w:p>
        </w:tc>
        <w:tc>
          <w:tcPr>
            <w:tcW w:w="766" w:type="dxa"/>
            <w:shd w:val="clear" w:color="auto" w:fill="B4C6E7" w:themeFill="accent5" w:themeFillTint="66"/>
            <w:vAlign w:val="center"/>
          </w:tcPr>
          <w:p w14:paraId="2E838948"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65" w:type="dxa"/>
            <w:shd w:val="clear" w:color="auto" w:fill="92D050"/>
            <w:vAlign w:val="center"/>
          </w:tcPr>
          <w:p w14:paraId="0736597D"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4B13CB14"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3" w:type="dxa"/>
            <w:shd w:val="clear" w:color="auto" w:fill="B4C6E7" w:themeFill="accent5" w:themeFillTint="66"/>
            <w:vAlign w:val="center"/>
          </w:tcPr>
          <w:p w14:paraId="5162A0B8"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24" w:type="dxa"/>
            <w:shd w:val="clear" w:color="auto" w:fill="92D050"/>
            <w:vAlign w:val="center"/>
          </w:tcPr>
          <w:p w14:paraId="4FBCA69B"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13507A81" w14:textId="77777777" w:rsidR="0064331C" w:rsidRPr="0064331C" w:rsidRDefault="0064331C" w:rsidP="005D385E">
            <w:pPr>
              <w:jc w:val="center"/>
              <w:rPr>
                <w:b/>
                <w:bCs/>
                <w:sz w:val="20"/>
                <w:szCs w:val="20"/>
                <w:lang w:eastAsia="fr-FR"/>
              </w:rPr>
            </w:pPr>
            <w:r w:rsidRPr="0064331C">
              <w:rPr>
                <w:b/>
                <w:bCs/>
                <w:sz w:val="20"/>
                <w:szCs w:val="20"/>
                <w:lang w:eastAsia="fr-FR"/>
              </w:rPr>
              <w:t>12 (5)</w:t>
            </w:r>
          </w:p>
        </w:tc>
        <w:tc>
          <w:tcPr>
            <w:tcW w:w="766" w:type="dxa"/>
            <w:shd w:val="clear" w:color="auto" w:fill="B4C6E7" w:themeFill="accent5" w:themeFillTint="66"/>
            <w:vAlign w:val="center"/>
          </w:tcPr>
          <w:p w14:paraId="11785373"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1055" w:type="dxa"/>
            <w:shd w:val="clear" w:color="auto" w:fill="92D050"/>
            <w:vAlign w:val="center"/>
          </w:tcPr>
          <w:p w14:paraId="5026192D"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3E9A57E9"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0E6324A6"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0C81AAC8"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65817027" w14:textId="77777777" w:rsidR="0064331C" w:rsidRPr="0064331C" w:rsidRDefault="0064331C" w:rsidP="005D385E">
            <w:pPr>
              <w:jc w:val="center"/>
              <w:rPr>
                <w:b/>
                <w:bCs/>
                <w:sz w:val="20"/>
                <w:szCs w:val="20"/>
                <w:lang w:eastAsia="fr-FR"/>
              </w:rPr>
            </w:pPr>
            <w:r w:rsidRPr="0064331C">
              <w:rPr>
                <w:b/>
                <w:bCs/>
                <w:sz w:val="20"/>
                <w:szCs w:val="20"/>
                <w:lang w:eastAsia="fr-FR"/>
              </w:rPr>
              <w:t>Chaudières à pulvérisation</w:t>
            </w:r>
          </w:p>
          <w:p w14:paraId="31B87C88" w14:textId="77777777" w:rsidR="0064331C" w:rsidRPr="0064331C" w:rsidRDefault="0064331C" w:rsidP="005D385E">
            <w:pPr>
              <w:jc w:val="center"/>
              <w:rPr>
                <w:b/>
                <w:bCs/>
                <w:sz w:val="20"/>
                <w:szCs w:val="20"/>
                <w:lang w:eastAsia="fr-FR"/>
              </w:rPr>
            </w:pPr>
            <w:r w:rsidRPr="0064331C">
              <w:rPr>
                <w:b/>
                <w:bCs/>
                <w:sz w:val="20"/>
                <w:szCs w:val="20"/>
                <w:lang w:eastAsia="fr-FR"/>
              </w:rPr>
              <w:t>(</w:t>
            </w:r>
            <w:proofErr w:type="gramStart"/>
            <w:r w:rsidRPr="0064331C">
              <w:rPr>
                <w:b/>
                <w:bCs/>
                <w:sz w:val="20"/>
                <w:szCs w:val="20"/>
                <w:lang w:eastAsia="fr-FR"/>
              </w:rPr>
              <w:t>charbon</w:t>
            </w:r>
            <w:proofErr w:type="gramEnd"/>
            <w:r w:rsidRPr="0064331C">
              <w:rPr>
                <w:b/>
                <w:bCs/>
                <w:sz w:val="20"/>
                <w:szCs w:val="20"/>
                <w:lang w:eastAsia="fr-FR"/>
              </w:rPr>
              <w:t>)</w:t>
            </w:r>
          </w:p>
        </w:tc>
        <w:tc>
          <w:tcPr>
            <w:tcW w:w="786" w:type="dxa"/>
            <w:shd w:val="clear" w:color="auto" w:fill="E2EFD9" w:themeFill="accent6" w:themeFillTint="33"/>
            <w:tcMar>
              <w:top w:w="150" w:type="dxa"/>
              <w:left w:w="150" w:type="dxa"/>
              <w:bottom w:w="150" w:type="dxa"/>
              <w:right w:w="150" w:type="dxa"/>
            </w:tcMar>
            <w:vAlign w:val="center"/>
          </w:tcPr>
          <w:p w14:paraId="0D8E4A9F" w14:textId="77777777" w:rsidR="0064331C" w:rsidRPr="0064331C" w:rsidRDefault="0064331C" w:rsidP="005D385E">
            <w:pPr>
              <w:jc w:val="center"/>
              <w:rPr>
                <w:b/>
                <w:bCs/>
                <w:sz w:val="20"/>
                <w:szCs w:val="20"/>
                <w:lang w:eastAsia="fr-FR"/>
              </w:rPr>
            </w:pPr>
            <w:r w:rsidRPr="0064331C">
              <w:rPr>
                <w:b/>
                <w:bCs/>
                <w:sz w:val="20"/>
                <w:szCs w:val="20"/>
                <w:lang w:eastAsia="fr-FR"/>
              </w:rPr>
              <w:t>130</w:t>
            </w:r>
          </w:p>
        </w:tc>
        <w:tc>
          <w:tcPr>
            <w:tcW w:w="766" w:type="dxa"/>
            <w:shd w:val="clear" w:color="auto" w:fill="B4C6E7" w:themeFill="accent5" w:themeFillTint="66"/>
            <w:vAlign w:val="center"/>
          </w:tcPr>
          <w:p w14:paraId="26D167BE"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65" w:type="dxa"/>
            <w:shd w:val="clear" w:color="auto" w:fill="92D050"/>
            <w:vAlign w:val="center"/>
          </w:tcPr>
          <w:p w14:paraId="4A859D6B"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02F4F0F6"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3" w:type="dxa"/>
            <w:shd w:val="clear" w:color="auto" w:fill="B4C6E7" w:themeFill="accent5" w:themeFillTint="66"/>
            <w:vAlign w:val="center"/>
          </w:tcPr>
          <w:p w14:paraId="09CCADBD"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24" w:type="dxa"/>
            <w:shd w:val="clear" w:color="auto" w:fill="92D050"/>
            <w:vAlign w:val="center"/>
          </w:tcPr>
          <w:p w14:paraId="0C31F120"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72FC0B57" w14:textId="77777777" w:rsidR="0064331C" w:rsidRPr="0064331C" w:rsidRDefault="0064331C" w:rsidP="005D385E">
            <w:pPr>
              <w:jc w:val="center"/>
              <w:rPr>
                <w:b/>
                <w:bCs/>
                <w:sz w:val="20"/>
                <w:szCs w:val="20"/>
                <w:lang w:eastAsia="fr-FR"/>
              </w:rPr>
            </w:pPr>
            <w:r w:rsidRPr="0064331C">
              <w:rPr>
                <w:b/>
                <w:bCs/>
                <w:sz w:val="20"/>
                <w:szCs w:val="20"/>
                <w:lang w:eastAsia="fr-FR"/>
              </w:rPr>
              <w:t>12 (5)</w:t>
            </w:r>
          </w:p>
        </w:tc>
        <w:tc>
          <w:tcPr>
            <w:tcW w:w="766" w:type="dxa"/>
            <w:shd w:val="clear" w:color="auto" w:fill="B4C6E7" w:themeFill="accent5" w:themeFillTint="66"/>
            <w:vAlign w:val="center"/>
          </w:tcPr>
          <w:p w14:paraId="4A4BF86D"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1055" w:type="dxa"/>
            <w:shd w:val="clear" w:color="auto" w:fill="92D050"/>
            <w:vAlign w:val="center"/>
          </w:tcPr>
          <w:p w14:paraId="5F864F3A"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5B6A265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422B5871"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13ECB5E1"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7B0A2F82" w14:textId="77777777" w:rsidR="0064331C" w:rsidRPr="0064331C" w:rsidRDefault="0064331C" w:rsidP="005D385E">
            <w:pPr>
              <w:jc w:val="center"/>
              <w:rPr>
                <w:b/>
                <w:bCs/>
                <w:sz w:val="20"/>
                <w:szCs w:val="20"/>
                <w:lang w:eastAsia="fr-FR"/>
              </w:rPr>
            </w:pPr>
            <w:r w:rsidRPr="0064331C">
              <w:rPr>
                <w:b/>
                <w:bCs/>
                <w:sz w:val="20"/>
                <w:szCs w:val="20"/>
                <w:lang w:eastAsia="fr-FR"/>
              </w:rPr>
              <w:t>Chaudières à lit fluidisé</w:t>
            </w:r>
          </w:p>
        </w:tc>
        <w:tc>
          <w:tcPr>
            <w:tcW w:w="786" w:type="dxa"/>
            <w:shd w:val="clear" w:color="auto" w:fill="E2EFD9" w:themeFill="accent6" w:themeFillTint="33"/>
            <w:tcMar>
              <w:top w:w="150" w:type="dxa"/>
              <w:left w:w="150" w:type="dxa"/>
              <w:bottom w:w="150" w:type="dxa"/>
              <w:right w:w="150" w:type="dxa"/>
            </w:tcMar>
            <w:vAlign w:val="center"/>
          </w:tcPr>
          <w:p w14:paraId="50CD85F6"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766" w:type="dxa"/>
            <w:shd w:val="clear" w:color="auto" w:fill="B4C6E7" w:themeFill="accent5" w:themeFillTint="66"/>
            <w:vAlign w:val="center"/>
          </w:tcPr>
          <w:p w14:paraId="77991265" w14:textId="77777777" w:rsidR="0064331C" w:rsidRPr="0064331C" w:rsidRDefault="0064331C" w:rsidP="005D385E">
            <w:pPr>
              <w:jc w:val="center"/>
              <w:rPr>
                <w:b/>
                <w:bCs/>
                <w:sz w:val="20"/>
                <w:szCs w:val="20"/>
                <w:lang w:eastAsia="fr-FR"/>
              </w:rPr>
            </w:pPr>
            <w:r w:rsidRPr="0064331C">
              <w:rPr>
                <w:b/>
                <w:bCs/>
                <w:sz w:val="20"/>
                <w:szCs w:val="20"/>
                <w:lang w:eastAsia="fr-FR"/>
              </w:rPr>
              <w:t>150</w:t>
            </w:r>
          </w:p>
          <w:p w14:paraId="46639956" w14:textId="77777777" w:rsidR="0064331C" w:rsidRPr="0064331C" w:rsidRDefault="0064331C" w:rsidP="005D385E">
            <w:pPr>
              <w:jc w:val="center"/>
              <w:rPr>
                <w:b/>
                <w:bCs/>
                <w:sz w:val="20"/>
                <w:szCs w:val="20"/>
                <w:lang w:eastAsia="fr-FR"/>
              </w:rPr>
            </w:pPr>
            <w:r w:rsidRPr="0064331C">
              <w:rPr>
                <w:b/>
                <w:bCs/>
                <w:sz w:val="20"/>
                <w:szCs w:val="20"/>
                <w:lang w:eastAsia="fr-FR"/>
              </w:rPr>
              <w:t>(6)</w:t>
            </w:r>
          </w:p>
        </w:tc>
        <w:tc>
          <w:tcPr>
            <w:tcW w:w="965" w:type="dxa"/>
            <w:shd w:val="clear" w:color="auto" w:fill="B4C6E7" w:themeFill="accent5" w:themeFillTint="66"/>
            <w:vAlign w:val="center"/>
          </w:tcPr>
          <w:p w14:paraId="75FE60C4" w14:textId="77777777" w:rsidR="0064331C" w:rsidRPr="0064331C" w:rsidRDefault="0064331C" w:rsidP="005D385E">
            <w:pPr>
              <w:jc w:val="center"/>
              <w:rPr>
                <w:b/>
                <w:bCs/>
                <w:sz w:val="20"/>
                <w:szCs w:val="20"/>
                <w:lang w:eastAsia="fr-FR"/>
              </w:rPr>
            </w:pPr>
            <w:r w:rsidRPr="0064331C">
              <w:rPr>
                <w:b/>
                <w:bCs/>
                <w:sz w:val="20"/>
                <w:szCs w:val="20"/>
                <w:lang w:eastAsia="fr-FR"/>
              </w:rPr>
              <w:t>165</w:t>
            </w:r>
          </w:p>
          <w:p w14:paraId="3AD327F4" w14:textId="77777777" w:rsidR="0064331C" w:rsidRPr="0064331C" w:rsidRDefault="0064331C" w:rsidP="005D385E">
            <w:pPr>
              <w:jc w:val="center"/>
              <w:rPr>
                <w:b/>
                <w:bCs/>
                <w:sz w:val="20"/>
                <w:szCs w:val="20"/>
                <w:lang w:eastAsia="fr-FR"/>
              </w:rPr>
            </w:pPr>
            <w:r w:rsidRPr="0064331C">
              <w:rPr>
                <w:b/>
                <w:bCs/>
                <w:sz w:val="20"/>
                <w:szCs w:val="20"/>
                <w:lang w:eastAsia="fr-FR"/>
              </w:rPr>
              <w:t>(6)</w:t>
            </w:r>
          </w:p>
        </w:tc>
        <w:tc>
          <w:tcPr>
            <w:tcW w:w="786" w:type="dxa"/>
            <w:shd w:val="clear" w:color="auto" w:fill="E2EFD9" w:themeFill="accent6" w:themeFillTint="33"/>
            <w:tcMar>
              <w:top w:w="150" w:type="dxa"/>
              <w:left w:w="150" w:type="dxa"/>
              <w:bottom w:w="150" w:type="dxa"/>
              <w:right w:w="150" w:type="dxa"/>
            </w:tcMar>
            <w:vAlign w:val="center"/>
          </w:tcPr>
          <w:p w14:paraId="51B09315"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3" w:type="dxa"/>
            <w:shd w:val="clear" w:color="auto" w:fill="B4C6E7" w:themeFill="accent5" w:themeFillTint="66"/>
            <w:vAlign w:val="center"/>
          </w:tcPr>
          <w:p w14:paraId="7E07657E"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24" w:type="dxa"/>
            <w:shd w:val="clear" w:color="auto" w:fill="92D050"/>
            <w:vAlign w:val="center"/>
          </w:tcPr>
          <w:p w14:paraId="7CCD7CF2"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723F3896" w14:textId="77777777" w:rsidR="0064331C" w:rsidRPr="0064331C" w:rsidRDefault="0064331C" w:rsidP="005D385E">
            <w:pPr>
              <w:jc w:val="center"/>
              <w:rPr>
                <w:b/>
                <w:bCs/>
                <w:sz w:val="20"/>
                <w:szCs w:val="20"/>
                <w:lang w:eastAsia="fr-FR"/>
              </w:rPr>
            </w:pPr>
            <w:r w:rsidRPr="0064331C">
              <w:rPr>
                <w:b/>
                <w:bCs/>
                <w:sz w:val="20"/>
                <w:szCs w:val="20"/>
                <w:lang w:eastAsia="fr-FR"/>
              </w:rPr>
              <w:t>12 (5)</w:t>
            </w:r>
          </w:p>
        </w:tc>
        <w:tc>
          <w:tcPr>
            <w:tcW w:w="766" w:type="dxa"/>
            <w:shd w:val="clear" w:color="auto" w:fill="B4C6E7" w:themeFill="accent5" w:themeFillTint="66"/>
            <w:vAlign w:val="center"/>
          </w:tcPr>
          <w:p w14:paraId="7E6AC940"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1055" w:type="dxa"/>
            <w:shd w:val="clear" w:color="auto" w:fill="92D050"/>
            <w:vAlign w:val="center"/>
          </w:tcPr>
          <w:p w14:paraId="61B798B4"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0833F30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shd w:val="clear" w:color="auto" w:fill="auto"/>
            <w:vAlign w:val="center"/>
          </w:tcPr>
          <w:p w14:paraId="124E394B" w14:textId="77777777" w:rsidR="0064331C" w:rsidRPr="0064331C" w:rsidRDefault="0064331C" w:rsidP="005D385E">
            <w:pPr>
              <w:jc w:val="center"/>
              <w:rPr>
                <w:b/>
                <w:bCs/>
                <w:sz w:val="20"/>
                <w:szCs w:val="20"/>
                <w:lang w:eastAsia="fr-FR"/>
              </w:rPr>
            </w:pPr>
            <w:r w:rsidRPr="0064331C">
              <w:rPr>
                <w:b/>
                <w:bCs/>
                <w:sz w:val="20"/>
                <w:szCs w:val="20"/>
                <w:lang w:eastAsia="fr-FR"/>
              </w:rPr>
              <w:t>Fioul domestique</w:t>
            </w:r>
          </w:p>
        </w:tc>
        <w:tc>
          <w:tcPr>
            <w:tcW w:w="1587" w:type="dxa"/>
            <w:shd w:val="clear" w:color="auto" w:fill="auto"/>
            <w:tcMar>
              <w:top w:w="150" w:type="dxa"/>
              <w:left w:w="150" w:type="dxa"/>
              <w:bottom w:w="150" w:type="dxa"/>
              <w:right w:w="150" w:type="dxa"/>
            </w:tcMar>
            <w:vAlign w:val="center"/>
          </w:tcPr>
          <w:p w14:paraId="5DF8A99E"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shd w:val="clear" w:color="auto" w:fill="E2EFD9" w:themeFill="accent6" w:themeFillTint="33"/>
            <w:tcMar>
              <w:top w:w="150" w:type="dxa"/>
              <w:left w:w="150" w:type="dxa"/>
              <w:bottom w:w="150" w:type="dxa"/>
              <w:right w:w="150" w:type="dxa"/>
            </w:tcMar>
            <w:vAlign w:val="center"/>
          </w:tcPr>
          <w:p w14:paraId="278FF528"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66" w:type="dxa"/>
            <w:shd w:val="clear" w:color="auto" w:fill="B4C6E7" w:themeFill="accent5" w:themeFillTint="66"/>
            <w:vAlign w:val="center"/>
          </w:tcPr>
          <w:p w14:paraId="58BCC271"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965" w:type="dxa"/>
            <w:shd w:val="clear" w:color="auto" w:fill="B4C6E7" w:themeFill="accent5" w:themeFillTint="66"/>
            <w:vAlign w:val="center"/>
          </w:tcPr>
          <w:p w14:paraId="5C7C4AC2" w14:textId="77777777" w:rsidR="0064331C" w:rsidRPr="0064331C" w:rsidRDefault="0064331C" w:rsidP="005D385E">
            <w:pPr>
              <w:jc w:val="center"/>
              <w:rPr>
                <w:b/>
                <w:bCs/>
                <w:sz w:val="20"/>
                <w:szCs w:val="20"/>
                <w:lang w:eastAsia="fr-FR"/>
              </w:rPr>
            </w:pPr>
            <w:r w:rsidRPr="0064331C">
              <w:rPr>
                <w:b/>
                <w:bCs/>
                <w:sz w:val="20"/>
                <w:szCs w:val="20"/>
                <w:lang w:eastAsia="fr-FR"/>
              </w:rPr>
              <w:t>187</w:t>
            </w:r>
          </w:p>
        </w:tc>
        <w:tc>
          <w:tcPr>
            <w:tcW w:w="786" w:type="dxa"/>
            <w:shd w:val="clear" w:color="auto" w:fill="E2EFD9" w:themeFill="accent6" w:themeFillTint="33"/>
            <w:tcMar>
              <w:top w:w="150" w:type="dxa"/>
              <w:left w:w="150" w:type="dxa"/>
              <w:bottom w:w="150" w:type="dxa"/>
              <w:right w:w="150" w:type="dxa"/>
            </w:tcMar>
            <w:vAlign w:val="center"/>
          </w:tcPr>
          <w:p w14:paraId="274CC8EC"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793" w:type="dxa"/>
            <w:shd w:val="clear" w:color="auto" w:fill="B4C6E7" w:themeFill="accent5" w:themeFillTint="66"/>
            <w:vAlign w:val="center"/>
          </w:tcPr>
          <w:p w14:paraId="47C4D469"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24" w:type="dxa"/>
            <w:shd w:val="clear" w:color="auto" w:fill="B4C6E7" w:themeFill="accent5" w:themeFillTint="66"/>
            <w:vAlign w:val="center"/>
          </w:tcPr>
          <w:p w14:paraId="65158F58"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0728FC96"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766" w:type="dxa"/>
            <w:shd w:val="clear" w:color="auto" w:fill="B4C6E7" w:themeFill="accent5" w:themeFillTint="66"/>
            <w:vAlign w:val="center"/>
          </w:tcPr>
          <w:p w14:paraId="4A6EC342"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1055" w:type="dxa"/>
            <w:shd w:val="clear" w:color="auto" w:fill="92D050"/>
            <w:vAlign w:val="center"/>
          </w:tcPr>
          <w:p w14:paraId="1645A0BB"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7CA01FA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4BFF7696" w14:textId="77777777" w:rsidR="0064331C" w:rsidRPr="0064331C" w:rsidRDefault="0064331C" w:rsidP="005D385E">
            <w:pPr>
              <w:jc w:val="cente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22753BED"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86" w:type="dxa"/>
            <w:shd w:val="clear" w:color="auto" w:fill="E2EFD9" w:themeFill="accent6" w:themeFillTint="33"/>
            <w:tcMar>
              <w:top w:w="150" w:type="dxa"/>
              <w:left w:w="150" w:type="dxa"/>
              <w:bottom w:w="150" w:type="dxa"/>
              <w:right w:w="150" w:type="dxa"/>
            </w:tcMar>
            <w:vAlign w:val="center"/>
          </w:tcPr>
          <w:p w14:paraId="0688A800"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66" w:type="dxa"/>
            <w:shd w:val="clear" w:color="auto" w:fill="B4C6E7" w:themeFill="accent5" w:themeFillTint="66"/>
            <w:vAlign w:val="center"/>
          </w:tcPr>
          <w:p w14:paraId="43A1C49E"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965" w:type="dxa"/>
            <w:shd w:val="clear" w:color="auto" w:fill="B4C6E7" w:themeFill="accent5" w:themeFillTint="66"/>
            <w:vAlign w:val="center"/>
          </w:tcPr>
          <w:p w14:paraId="3000B937" w14:textId="77777777" w:rsidR="0064331C" w:rsidRPr="0064331C" w:rsidRDefault="0064331C" w:rsidP="005D385E">
            <w:pPr>
              <w:jc w:val="center"/>
              <w:rPr>
                <w:b/>
                <w:bCs/>
                <w:sz w:val="20"/>
                <w:szCs w:val="20"/>
                <w:lang w:eastAsia="fr-FR"/>
              </w:rPr>
            </w:pPr>
            <w:r w:rsidRPr="0064331C">
              <w:rPr>
                <w:b/>
                <w:bCs/>
                <w:sz w:val="20"/>
                <w:szCs w:val="20"/>
                <w:lang w:eastAsia="fr-FR"/>
              </w:rPr>
              <w:t>187</w:t>
            </w:r>
          </w:p>
        </w:tc>
        <w:tc>
          <w:tcPr>
            <w:tcW w:w="786" w:type="dxa"/>
            <w:shd w:val="clear" w:color="auto" w:fill="E2EFD9" w:themeFill="accent6" w:themeFillTint="33"/>
            <w:tcMar>
              <w:top w:w="150" w:type="dxa"/>
              <w:left w:w="150" w:type="dxa"/>
              <w:bottom w:w="150" w:type="dxa"/>
              <w:right w:w="150" w:type="dxa"/>
            </w:tcMar>
            <w:vAlign w:val="center"/>
          </w:tcPr>
          <w:p w14:paraId="26CE4853"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3" w:type="dxa"/>
            <w:shd w:val="clear" w:color="auto" w:fill="E2EFD9" w:themeFill="accent6" w:themeFillTint="33"/>
            <w:vAlign w:val="center"/>
          </w:tcPr>
          <w:p w14:paraId="52B96DB8" w14:textId="77777777" w:rsidR="0064331C" w:rsidRPr="0064331C" w:rsidRDefault="0064331C" w:rsidP="005D385E">
            <w:pPr>
              <w:jc w:val="center"/>
              <w:rPr>
                <w:b/>
                <w:bCs/>
                <w:sz w:val="20"/>
                <w:szCs w:val="20"/>
                <w:lang w:eastAsia="fr-FR"/>
              </w:rPr>
            </w:pPr>
            <w:r w:rsidRPr="0064331C">
              <w:rPr>
                <w:b/>
                <w:bCs/>
                <w:sz w:val="20"/>
                <w:szCs w:val="20"/>
                <w:lang w:eastAsia="fr-FR"/>
              </w:rPr>
              <w:t>145</w:t>
            </w:r>
          </w:p>
        </w:tc>
        <w:tc>
          <w:tcPr>
            <w:tcW w:w="924" w:type="dxa"/>
            <w:shd w:val="clear" w:color="auto" w:fill="E2EFD9" w:themeFill="accent6" w:themeFillTint="33"/>
            <w:vAlign w:val="center"/>
          </w:tcPr>
          <w:p w14:paraId="2EB31651" w14:textId="77777777" w:rsidR="0064331C" w:rsidRPr="0064331C" w:rsidRDefault="0064331C" w:rsidP="005D385E">
            <w:pPr>
              <w:jc w:val="center"/>
              <w:rPr>
                <w:b/>
                <w:bCs/>
                <w:sz w:val="20"/>
                <w:szCs w:val="20"/>
                <w:lang w:eastAsia="fr-FR"/>
              </w:rPr>
            </w:pPr>
            <w:r w:rsidRPr="0064331C">
              <w:rPr>
                <w:b/>
                <w:bCs/>
                <w:sz w:val="20"/>
                <w:szCs w:val="20"/>
                <w:lang w:eastAsia="fr-FR"/>
              </w:rPr>
              <w:t>145</w:t>
            </w:r>
          </w:p>
        </w:tc>
        <w:tc>
          <w:tcPr>
            <w:tcW w:w="786" w:type="dxa"/>
            <w:shd w:val="clear" w:color="auto" w:fill="E2EFD9" w:themeFill="accent6" w:themeFillTint="33"/>
            <w:tcMar>
              <w:top w:w="150" w:type="dxa"/>
              <w:left w:w="150" w:type="dxa"/>
              <w:bottom w:w="150" w:type="dxa"/>
              <w:right w:w="150" w:type="dxa"/>
            </w:tcMar>
            <w:vAlign w:val="center"/>
          </w:tcPr>
          <w:p w14:paraId="276BFF8A"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766" w:type="dxa"/>
            <w:shd w:val="clear" w:color="auto" w:fill="B4C6E7" w:themeFill="accent5" w:themeFillTint="66"/>
            <w:vAlign w:val="center"/>
          </w:tcPr>
          <w:p w14:paraId="75370A00"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1055" w:type="dxa"/>
            <w:shd w:val="clear" w:color="auto" w:fill="92D050"/>
            <w:vAlign w:val="center"/>
          </w:tcPr>
          <w:p w14:paraId="5B879D08"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046F0E4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25EA80FD" w14:textId="77777777" w:rsidR="0064331C" w:rsidRPr="0064331C" w:rsidRDefault="0064331C" w:rsidP="005D385E">
            <w:pPr>
              <w:jc w:val="cente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30633C8F"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86" w:type="dxa"/>
            <w:shd w:val="clear" w:color="auto" w:fill="E2EFD9" w:themeFill="accent6" w:themeFillTint="33"/>
            <w:tcMar>
              <w:top w:w="150" w:type="dxa"/>
              <w:left w:w="150" w:type="dxa"/>
              <w:bottom w:w="150" w:type="dxa"/>
              <w:right w:w="150" w:type="dxa"/>
            </w:tcMar>
            <w:vAlign w:val="center"/>
          </w:tcPr>
          <w:p w14:paraId="6A16FAD6"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66" w:type="dxa"/>
            <w:shd w:val="clear" w:color="auto" w:fill="B4C6E7" w:themeFill="accent5" w:themeFillTint="66"/>
            <w:vAlign w:val="center"/>
          </w:tcPr>
          <w:p w14:paraId="0EA1C920"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65" w:type="dxa"/>
            <w:shd w:val="clear" w:color="auto" w:fill="92D050"/>
            <w:vAlign w:val="center"/>
          </w:tcPr>
          <w:p w14:paraId="6FAD7AE2"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6D501B06"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3" w:type="dxa"/>
            <w:shd w:val="clear" w:color="auto" w:fill="B4C6E7" w:themeFill="accent5" w:themeFillTint="66"/>
            <w:vAlign w:val="center"/>
          </w:tcPr>
          <w:p w14:paraId="352996D0"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924" w:type="dxa"/>
            <w:shd w:val="clear" w:color="auto" w:fill="92D050"/>
            <w:vAlign w:val="center"/>
          </w:tcPr>
          <w:p w14:paraId="178B771E"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86" w:type="dxa"/>
            <w:shd w:val="clear" w:color="auto" w:fill="E2EFD9" w:themeFill="accent6" w:themeFillTint="33"/>
            <w:tcMar>
              <w:top w:w="150" w:type="dxa"/>
              <w:left w:w="150" w:type="dxa"/>
              <w:bottom w:w="150" w:type="dxa"/>
              <w:right w:w="150" w:type="dxa"/>
            </w:tcMar>
            <w:vAlign w:val="center"/>
          </w:tcPr>
          <w:p w14:paraId="5C656D4C"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66" w:type="dxa"/>
            <w:shd w:val="clear" w:color="auto" w:fill="B4C6E7" w:themeFill="accent5" w:themeFillTint="66"/>
            <w:vAlign w:val="center"/>
          </w:tcPr>
          <w:p w14:paraId="3A1EEDAD"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1055" w:type="dxa"/>
            <w:shd w:val="clear" w:color="auto" w:fill="92D050"/>
            <w:vAlign w:val="center"/>
          </w:tcPr>
          <w:p w14:paraId="4F90E35C"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7DA5532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shd w:val="clear" w:color="auto" w:fill="auto"/>
            <w:vAlign w:val="center"/>
          </w:tcPr>
          <w:p w14:paraId="338362B4" w14:textId="77777777" w:rsidR="0064331C" w:rsidRPr="0064331C" w:rsidRDefault="0064331C" w:rsidP="005D385E">
            <w:pPr>
              <w:jc w:val="center"/>
              <w:rPr>
                <w:b/>
                <w:bCs/>
                <w:sz w:val="20"/>
                <w:szCs w:val="20"/>
                <w:lang w:eastAsia="fr-FR"/>
              </w:rPr>
            </w:pPr>
            <w:r w:rsidRPr="0064331C">
              <w:rPr>
                <w:b/>
                <w:bCs/>
                <w:sz w:val="20"/>
                <w:szCs w:val="20"/>
                <w:lang w:eastAsia="fr-FR"/>
              </w:rPr>
              <w:t>Fioul lourd</w:t>
            </w:r>
          </w:p>
        </w:tc>
        <w:tc>
          <w:tcPr>
            <w:tcW w:w="1587" w:type="dxa"/>
            <w:shd w:val="clear" w:color="auto" w:fill="auto"/>
            <w:tcMar>
              <w:top w:w="150" w:type="dxa"/>
              <w:left w:w="150" w:type="dxa"/>
              <w:bottom w:w="150" w:type="dxa"/>
              <w:right w:w="150" w:type="dxa"/>
            </w:tcMar>
            <w:vAlign w:val="center"/>
          </w:tcPr>
          <w:p w14:paraId="526E73F9"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shd w:val="clear" w:color="auto" w:fill="E2EFD9" w:themeFill="accent6" w:themeFillTint="33"/>
            <w:tcMar>
              <w:top w:w="150" w:type="dxa"/>
              <w:left w:w="150" w:type="dxa"/>
              <w:bottom w:w="150" w:type="dxa"/>
              <w:right w:w="150" w:type="dxa"/>
            </w:tcMar>
            <w:vAlign w:val="center"/>
          </w:tcPr>
          <w:p w14:paraId="7263F677"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66" w:type="dxa"/>
            <w:shd w:val="clear" w:color="auto" w:fill="E2EFD9" w:themeFill="accent6" w:themeFillTint="33"/>
            <w:vAlign w:val="center"/>
          </w:tcPr>
          <w:p w14:paraId="7FF3195B"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65" w:type="dxa"/>
            <w:shd w:val="clear" w:color="auto" w:fill="E2EFD9" w:themeFill="accent6" w:themeFillTint="33"/>
            <w:vAlign w:val="center"/>
          </w:tcPr>
          <w:p w14:paraId="2C20A814"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86" w:type="dxa"/>
            <w:shd w:val="clear" w:color="auto" w:fill="E2EFD9" w:themeFill="accent6" w:themeFillTint="33"/>
            <w:tcMar>
              <w:top w:w="150" w:type="dxa"/>
              <w:left w:w="150" w:type="dxa"/>
              <w:bottom w:w="150" w:type="dxa"/>
              <w:right w:w="150" w:type="dxa"/>
            </w:tcMar>
            <w:vAlign w:val="center"/>
          </w:tcPr>
          <w:p w14:paraId="7BDCD005"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793" w:type="dxa"/>
            <w:shd w:val="clear" w:color="auto" w:fill="B4C6E7" w:themeFill="accent5" w:themeFillTint="66"/>
            <w:vAlign w:val="center"/>
          </w:tcPr>
          <w:p w14:paraId="612537F7" w14:textId="77777777" w:rsidR="0064331C" w:rsidRPr="0064331C" w:rsidRDefault="0064331C" w:rsidP="005D385E">
            <w:pPr>
              <w:jc w:val="center"/>
              <w:rPr>
                <w:b/>
                <w:bCs/>
                <w:sz w:val="20"/>
                <w:szCs w:val="20"/>
                <w:lang w:eastAsia="fr-FR"/>
              </w:rPr>
            </w:pPr>
            <w:r w:rsidRPr="0064331C">
              <w:rPr>
                <w:b/>
                <w:bCs/>
                <w:sz w:val="20"/>
                <w:szCs w:val="20"/>
                <w:lang w:eastAsia="fr-FR"/>
              </w:rPr>
              <w:t>300</w:t>
            </w:r>
          </w:p>
        </w:tc>
        <w:tc>
          <w:tcPr>
            <w:tcW w:w="924" w:type="dxa"/>
            <w:shd w:val="clear" w:color="auto" w:fill="92D050"/>
            <w:vAlign w:val="center"/>
          </w:tcPr>
          <w:p w14:paraId="6BE0EB26" w14:textId="77777777" w:rsidR="0064331C" w:rsidRPr="0064331C" w:rsidRDefault="0064331C" w:rsidP="005D385E">
            <w:pPr>
              <w:jc w:val="center"/>
              <w:rPr>
                <w:b/>
                <w:bCs/>
                <w:sz w:val="20"/>
                <w:szCs w:val="20"/>
                <w:lang w:eastAsia="fr-FR"/>
              </w:rPr>
            </w:pPr>
            <w:r w:rsidRPr="0064331C">
              <w:rPr>
                <w:b/>
                <w:bCs/>
                <w:sz w:val="20"/>
                <w:szCs w:val="20"/>
                <w:lang w:eastAsia="fr-FR"/>
              </w:rPr>
              <w:t>330</w:t>
            </w:r>
          </w:p>
        </w:tc>
        <w:tc>
          <w:tcPr>
            <w:tcW w:w="786" w:type="dxa"/>
            <w:shd w:val="clear" w:color="auto" w:fill="E2EFD9" w:themeFill="accent6" w:themeFillTint="33"/>
            <w:tcMar>
              <w:top w:w="150" w:type="dxa"/>
              <w:left w:w="150" w:type="dxa"/>
              <w:bottom w:w="150" w:type="dxa"/>
              <w:right w:w="150" w:type="dxa"/>
            </w:tcMar>
            <w:vAlign w:val="center"/>
          </w:tcPr>
          <w:p w14:paraId="2EAA0AA4"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766" w:type="dxa"/>
            <w:shd w:val="clear" w:color="auto" w:fill="B4C6E7" w:themeFill="accent5" w:themeFillTint="66"/>
            <w:vAlign w:val="center"/>
          </w:tcPr>
          <w:p w14:paraId="4C66F68A"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1055" w:type="dxa"/>
            <w:shd w:val="clear" w:color="auto" w:fill="92D050"/>
            <w:vAlign w:val="center"/>
          </w:tcPr>
          <w:p w14:paraId="250CF87B"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744CD00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413" w:type="dxa"/>
            <w:vMerge/>
            <w:shd w:val="clear" w:color="auto" w:fill="auto"/>
            <w:vAlign w:val="center"/>
          </w:tcPr>
          <w:p w14:paraId="4A751D5F"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09F4A38D"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86" w:type="dxa"/>
            <w:shd w:val="clear" w:color="auto" w:fill="E2EFD9" w:themeFill="accent6" w:themeFillTint="33"/>
            <w:tcMar>
              <w:top w:w="150" w:type="dxa"/>
              <w:left w:w="150" w:type="dxa"/>
              <w:bottom w:w="150" w:type="dxa"/>
              <w:right w:w="150" w:type="dxa"/>
            </w:tcMar>
            <w:vAlign w:val="center"/>
          </w:tcPr>
          <w:p w14:paraId="09330A21"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66" w:type="dxa"/>
            <w:shd w:val="clear" w:color="auto" w:fill="B4C6E7" w:themeFill="accent5" w:themeFillTint="66"/>
            <w:vAlign w:val="center"/>
          </w:tcPr>
          <w:p w14:paraId="0618466B"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65" w:type="dxa"/>
            <w:shd w:val="clear" w:color="auto" w:fill="E2EFD9" w:themeFill="accent6" w:themeFillTint="33"/>
            <w:vAlign w:val="center"/>
          </w:tcPr>
          <w:p w14:paraId="6C5233B6"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86" w:type="dxa"/>
            <w:shd w:val="clear" w:color="auto" w:fill="E2EFD9" w:themeFill="accent6" w:themeFillTint="33"/>
            <w:tcMar>
              <w:top w:w="150" w:type="dxa"/>
              <w:left w:w="150" w:type="dxa"/>
              <w:bottom w:w="150" w:type="dxa"/>
              <w:right w:w="150" w:type="dxa"/>
            </w:tcMar>
            <w:vAlign w:val="center"/>
          </w:tcPr>
          <w:p w14:paraId="2896B9D7"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3" w:type="dxa"/>
            <w:shd w:val="clear" w:color="auto" w:fill="E2EFD9" w:themeFill="accent6" w:themeFillTint="33"/>
            <w:vAlign w:val="center"/>
          </w:tcPr>
          <w:p w14:paraId="39643629" w14:textId="77777777" w:rsidR="0064331C" w:rsidRPr="0064331C" w:rsidRDefault="0064331C" w:rsidP="005D385E">
            <w:pPr>
              <w:jc w:val="center"/>
              <w:rPr>
                <w:b/>
                <w:bCs/>
                <w:sz w:val="20"/>
                <w:szCs w:val="20"/>
                <w:lang w:eastAsia="fr-FR"/>
              </w:rPr>
            </w:pPr>
            <w:r w:rsidRPr="0064331C">
              <w:rPr>
                <w:b/>
                <w:bCs/>
                <w:sz w:val="20"/>
                <w:szCs w:val="20"/>
                <w:lang w:eastAsia="fr-FR"/>
              </w:rPr>
              <w:t>145</w:t>
            </w:r>
          </w:p>
        </w:tc>
        <w:tc>
          <w:tcPr>
            <w:tcW w:w="924" w:type="dxa"/>
            <w:shd w:val="clear" w:color="auto" w:fill="E2EFD9" w:themeFill="accent6" w:themeFillTint="33"/>
            <w:vAlign w:val="center"/>
          </w:tcPr>
          <w:p w14:paraId="547EA08E" w14:textId="77777777" w:rsidR="0064331C" w:rsidRPr="0064331C" w:rsidRDefault="0064331C" w:rsidP="005D385E">
            <w:pPr>
              <w:jc w:val="center"/>
              <w:rPr>
                <w:b/>
                <w:bCs/>
                <w:sz w:val="20"/>
                <w:szCs w:val="20"/>
                <w:lang w:eastAsia="fr-FR"/>
              </w:rPr>
            </w:pPr>
            <w:r w:rsidRPr="0064331C">
              <w:rPr>
                <w:b/>
                <w:bCs/>
                <w:sz w:val="20"/>
                <w:szCs w:val="20"/>
                <w:lang w:eastAsia="fr-FR"/>
              </w:rPr>
              <w:t>145</w:t>
            </w:r>
          </w:p>
        </w:tc>
        <w:tc>
          <w:tcPr>
            <w:tcW w:w="786" w:type="dxa"/>
            <w:shd w:val="clear" w:color="auto" w:fill="E2EFD9" w:themeFill="accent6" w:themeFillTint="33"/>
            <w:tcMar>
              <w:top w:w="150" w:type="dxa"/>
              <w:left w:w="150" w:type="dxa"/>
              <w:bottom w:w="150" w:type="dxa"/>
              <w:right w:w="150" w:type="dxa"/>
            </w:tcMar>
            <w:vAlign w:val="center"/>
          </w:tcPr>
          <w:p w14:paraId="18E24360"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766" w:type="dxa"/>
            <w:shd w:val="clear" w:color="auto" w:fill="B4C6E7" w:themeFill="accent5" w:themeFillTint="66"/>
            <w:vAlign w:val="center"/>
          </w:tcPr>
          <w:p w14:paraId="3B3F80E8"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1055" w:type="dxa"/>
            <w:shd w:val="clear" w:color="auto" w:fill="92D050"/>
            <w:vAlign w:val="center"/>
          </w:tcPr>
          <w:p w14:paraId="0E41259E"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7E22863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41D47348"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0E575E8F"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86" w:type="dxa"/>
            <w:shd w:val="clear" w:color="auto" w:fill="E2EFD9" w:themeFill="accent6" w:themeFillTint="33"/>
            <w:tcMar>
              <w:top w:w="150" w:type="dxa"/>
              <w:left w:w="150" w:type="dxa"/>
              <w:bottom w:w="150" w:type="dxa"/>
              <w:right w:w="150" w:type="dxa"/>
            </w:tcMar>
            <w:vAlign w:val="center"/>
          </w:tcPr>
          <w:p w14:paraId="48D35FC7"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66" w:type="dxa"/>
            <w:shd w:val="clear" w:color="auto" w:fill="B4C6E7" w:themeFill="accent5" w:themeFillTint="66"/>
            <w:vAlign w:val="center"/>
          </w:tcPr>
          <w:p w14:paraId="700E283C"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965" w:type="dxa"/>
            <w:shd w:val="clear" w:color="auto" w:fill="92D050"/>
            <w:vAlign w:val="center"/>
          </w:tcPr>
          <w:p w14:paraId="6A2A88EB" w14:textId="77777777" w:rsidR="0064331C" w:rsidRPr="0064331C" w:rsidRDefault="0064331C" w:rsidP="005D385E">
            <w:pPr>
              <w:jc w:val="center"/>
              <w:rPr>
                <w:b/>
                <w:bCs/>
                <w:sz w:val="20"/>
                <w:szCs w:val="20"/>
                <w:lang w:eastAsia="fr-FR"/>
              </w:rPr>
            </w:pPr>
            <w:r w:rsidRPr="0064331C">
              <w:rPr>
                <w:b/>
                <w:bCs/>
                <w:sz w:val="20"/>
                <w:szCs w:val="20"/>
                <w:lang w:eastAsia="fr-FR"/>
              </w:rPr>
              <w:t>165</w:t>
            </w:r>
          </w:p>
        </w:tc>
        <w:tc>
          <w:tcPr>
            <w:tcW w:w="786" w:type="dxa"/>
            <w:shd w:val="clear" w:color="auto" w:fill="E2EFD9" w:themeFill="accent6" w:themeFillTint="33"/>
            <w:tcMar>
              <w:top w:w="150" w:type="dxa"/>
              <w:left w:w="150" w:type="dxa"/>
              <w:bottom w:w="150" w:type="dxa"/>
              <w:right w:w="150" w:type="dxa"/>
            </w:tcMar>
            <w:vAlign w:val="center"/>
          </w:tcPr>
          <w:p w14:paraId="7CD39AC6"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3" w:type="dxa"/>
            <w:shd w:val="clear" w:color="auto" w:fill="B4C6E7" w:themeFill="accent5" w:themeFillTint="66"/>
            <w:vAlign w:val="center"/>
          </w:tcPr>
          <w:p w14:paraId="5CE5A45A"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924" w:type="dxa"/>
            <w:shd w:val="clear" w:color="auto" w:fill="92D050"/>
            <w:vAlign w:val="center"/>
          </w:tcPr>
          <w:p w14:paraId="70DEE570"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86" w:type="dxa"/>
            <w:shd w:val="clear" w:color="auto" w:fill="E2EFD9" w:themeFill="accent6" w:themeFillTint="33"/>
            <w:tcMar>
              <w:top w:w="150" w:type="dxa"/>
              <w:left w:w="150" w:type="dxa"/>
              <w:bottom w:w="150" w:type="dxa"/>
              <w:right w:w="150" w:type="dxa"/>
            </w:tcMar>
            <w:vAlign w:val="center"/>
          </w:tcPr>
          <w:p w14:paraId="3214E43D"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66" w:type="dxa"/>
            <w:shd w:val="clear" w:color="auto" w:fill="B4C6E7" w:themeFill="accent5" w:themeFillTint="66"/>
            <w:vAlign w:val="center"/>
          </w:tcPr>
          <w:p w14:paraId="6684B706"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1055" w:type="dxa"/>
            <w:shd w:val="clear" w:color="auto" w:fill="92D050"/>
            <w:vAlign w:val="center"/>
          </w:tcPr>
          <w:p w14:paraId="0C6E4A3C"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A836D7" w:rsidRPr="0064331C" w14:paraId="1B06D76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shd w:val="clear" w:color="auto" w:fill="auto"/>
            <w:vAlign w:val="center"/>
          </w:tcPr>
          <w:p w14:paraId="0D848C9C" w14:textId="77777777" w:rsidR="00A836D7" w:rsidRPr="0064331C" w:rsidRDefault="00A836D7" w:rsidP="005D385E">
            <w:pPr>
              <w:jc w:val="center"/>
              <w:rPr>
                <w:b/>
                <w:bCs/>
                <w:sz w:val="20"/>
                <w:szCs w:val="20"/>
                <w:lang w:eastAsia="fr-FR"/>
              </w:rPr>
            </w:pPr>
            <w:bookmarkStart w:id="15" w:name="_Hlk159593069"/>
            <w:r w:rsidRPr="0064331C">
              <w:rPr>
                <w:b/>
                <w:bCs/>
                <w:sz w:val="20"/>
                <w:szCs w:val="20"/>
                <w:lang w:eastAsia="fr-FR"/>
              </w:rPr>
              <w:t>Gaz naturel</w:t>
            </w:r>
          </w:p>
        </w:tc>
        <w:tc>
          <w:tcPr>
            <w:tcW w:w="1587" w:type="dxa"/>
            <w:shd w:val="clear" w:color="auto" w:fill="auto"/>
            <w:tcMar>
              <w:top w:w="150" w:type="dxa"/>
              <w:left w:w="150" w:type="dxa"/>
              <w:bottom w:w="150" w:type="dxa"/>
              <w:right w:w="150" w:type="dxa"/>
            </w:tcMar>
            <w:vAlign w:val="center"/>
          </w:tcPr>
          <w:p w14:paraId="3112E3DC" w14:textId="77777777" w:rsidR="00A836D7" w:rsidRPr="0064331C" w:rsidRDefault="00A836D7" w:rsidP="005D385E">
            <w:pPr>
              <w:jc w:val="center"/>
              <w:rPr>
                <w:b/>
                <w:bCs/>
                <w:sz w:val="20"/>
                <w:szCs w:val="20"/>
                <w:lang w:eastAsia="fr-FR"/>
              </w:rPr>
            </w:pPr>
            <w:r w:rsidRPr="0064331C">
              <w:rPr>
                <w:b/>
                <w:bCs/>
                <w:sz w:val="20"/>
                <w:szCs w:val="20"/>
                <w:lang w:eastAsia="fr-FR"/>
              </w:rPr>
              <w:t>50 ≤ P &lt; 100</w:t>
            </w:r>
          </w:p>
        </w:tc>
        <w:tc>
          <w:tcPr>
            <w:tcW w:w="786" w:type="dxa"/>
            <w:vMerge w:val="restart"/>
            <w:shd w:val="clear" w:color="auto" w:fill="BFBFBF" w:themeFill="background1" w:themeFillShade="BF"/>
            <w:tcMar>
              <w:top w:w="150" w:type="dxa"/>
              <w:left w:w="150" w:type="dxa"/>
              <w:bottom w:w="150" w:type="dxa"/>
              <w:right w:w="150" w:type="dxa"/>
            </w:tcMar>
            <w:vAlign w:val="center"/>
          </w:tcPr>
          <w:p w14:paraId="3CBC48B0" w14:textId="77777777" w:rsidR="00A836D7" w:rsidRPr="0064331C" w:rsidRDefault="00A836D7" w:rsidP="005D385E">
            <w:pPr>
              <w:jc w:val="center"/>
              <w:rPr>
                <w:b/>
                <w:bCs/>
                <w:sz w:val="20"/>
                <w:szCs w:val="20"/>
                <w:lang w:eastAsia="fr-FR"/>
              </w:rPr>
            </w:pPr>
          </w:p>
        </w:tc>
        <w:tc>
          <w:tcPr>
            <w:tcW w:w="766" w:type="dxa"/>
            <w:vMerge w:val="restart"/>
            <w:shd w:val="clear" w:color="auto" w:fill="BFBFBF" w:themeFill="background1" w:themeFillShade="BF"/>
            <w:vAlign w:val="center"/>
          </w:tcPr>
          <w:p w14:paraId="1E3D52A5" w14:textId="77777777" w:rsidR="00A836D7" w:rsidRPr="0064331C" w:rsidRDefault="00A836D7" w:rsidP="005D385E">
            <w:pPr>
              <w:jc w:val="center"/>
              <w:rPr>
                <w:b/>
                <w:bCs/>
                <w:sz w:val="20"/>
                <w:szCs w:val="20"/>
                <w:lang w:eastAsia="fr-FR"/>
              </w:rPr>
            </w:pPr>
          </w:p>
        </w:tc>
        <w:tc>
          <w:tcPr>
            <w:tcW w:w="965" w:type="dxa"/>
            <w:vMerge w:val="restart"/>
            <w:shd w:val="clear" w:color="auto" w:fill="BFBFBF" w:themeFill="background1" w:themeFillShade="BF"/>
            <w:vAlign w:val="center"/>
          </w:tcPr>
          <w:p w14:paraId="31983B17" w14:textId="77777777" w:rsidR="00A836D7" w:rsidRPr="0064331C" w:rsidRDefault="00A836D7" w:rsidP="005D385E">
            <w:pPr>
              <w:jc w:val="center"/>
              <w:rPr>
                <w:b/>
                <w:bCs/>
                <w:sz w:val="20"/>
                <w:szCs w:val="20"/>
                <w:lang w:eastAsia="fr-FR"/>
              </w:rPr>
            </w:pPr>
          </w:p>
        </w:tc>
        <w:tc>
          <w:tcPr>
            <w:tcW w:w="786" w:type="dxa"/>
            <w:vMerge w:val="restart"/>
            <w:shd w:val="clear" w:color="auto" w:fill="E2EFD9" w:themeFill="accent6" w:themeFillTint="33"/>
            <w:tcMar>
              <w:top w:w="150" w:type="dxa"/>
              <w:left w:w="150" w:type="dxa"/>
              <w:bottom w:w="150" w:type="dxa"/>
              <w:right w:w="150" w:type="dxa"/>
            </w:tcMar>
            <w:vAlign w:val="center"/>
          </w:tcPr>
          <w:p w14:paraId="381FAF35" w14:textId="07BBE789" w:rsidR="00A836D7" w:rsidRPr="0064331C" w:rsidRDefault="00A836D7" w:rsidP="00A836D7">
            <w:pPr>
              <w:jc w:val="center"/>
              <w:rPr>
                <w:b/>
                <w:bCs/>
                <w:sz w:val="20"/>
                <w:szCs w:val="20"/>
                <w:lang w:eastAsia="fr-FR"/>
              </w:rPr>
            </w:pPr>
            <w:r w:rsidRPr="0064331C">
              <w:rPr>
                <w:b/>
                <w:bCs/>
                <w:sz w:val="20"/>
                <w:szCs w:val="20"/>
                <w:lang w:eastAsia="fr-FR"/>
              </w:rPr>
              <w:t>100</w:t>
            </w:r>
          </w:p>
        </w:tc>
        <w:tc>
          <w:tcPr>
            <w:tcW w:w="793" w:type="dxa"/>
            <w:vMerge w:val="restart"/>
            <w:shd w:val="clear" w:color="auto" w:fill="B4C6E7" w:themeFill="accent5" w:themeFillTint="66"/>
            <w:vAlign w:val="center"/>
          </w:tcPr>
          <w:p w14:paraId="32915387" w14:textId="588BDDB7" w:rsidR="00A836D7" w:rsidRPr="0064331C" w:rsidRDefault="00A836D7" w:rsidP="00A836D7">
            <w:pPr>
              <w:jc w:val="center"/>
              <w:rPr>
                <w:b/>
                <w:bCs/>
                <w:sz w:val="20"/>
                <w:szCs w:val="20"/>
                <w:lang w:eastAsia="fr-FR"/>
              </w:rPr>
            </w:pPr>
            <w:r w:rsidRPr="0064331C">
              <w:rPr>
                <w:b/>
                <w:bCs/>
                <w:sz w:val="20"/>
                <w:szCs w:val="20"/>
                <w:lang w:eastAsia="fr-FR"/>
              </w:rPr>
              <w:t>100</w:t>
            </w:r>
          </w:p>
        </w:tc>
        <w:tc>
          <w:tcPr>
            <w:tcW w:w="924" w:type="dxa"/>
            <w:vMerge w:val="restart"/>
            <w:shd w:val="clear" w:color="auto" w:fill="92D050"/>
            <w:vAlign w:val="center"/>
          </w:tcPr>
          <w:p w14:paraId="0C3E42A1" w14:textId="75B04E61" w:rsidR="00A836D7" w:rsidRPr="0064331C" w:rsidRDefault="00A836D7" w:rsidP="00A836D7">
            <w:pPr>
              <w:jc w:val="center"/>
              <w:rPr>
                <w:b/>
                <w:bCs/>
                <w:sz w:val="20"/>
                <w:szCs w:val="20"/>
                <w:lang w:eastAsia="fr-FR"/>
              </w:rPr>
            </w:pPr>
            <w:r w:rsidRPr="0064331C">
              <w:rPr>
                <w:b/>
                <w:bCs/>
                <w:sz w:val="20"/>
                <w:szCs w:val="20"/>
                <w:lang w:eastAsia="fr-FR"/>
              </w:rPr>
              <w:t>110</w:t>
            </w:r>
          </w:p>
        </w:tc>
        <w:tc>
          <w:tcPr>
            <w:tcW w:w="786" w:type="dxa"/>
            <w:vMerge w:val="restart"/>
            <w:shd w:val="clear" w:color="auto" w:fill="BFBFBF" w:themeFill="background1" w:themeFillShade="BF"/>
            <w:tcMar>
              <w:top w:w="150" w:type="dxa"/>
              <w:left w:w="150" w:type="dxa"/>
              <w:bottom w:w="150" w:type="dxa"/>
              <w:right w:w="150" w:type="dxa"/>
            </w:tcMar>
            <w:vAlign w:val="center"/>
          </w:tcPr>
          <w:p w14:paraId="4B8ED322" w14:textId="77777777" w:rsidR="00A836D7" w:rsidRPr="0064331C" w:rsidRDefault="00A836D7" w:rsidP="005D385E">
            <w:pPr>
              <w:jc w:val="center"/>
              <w:rPr>
                <w:b/>
                <w:bCs/>
                <w:sz w:val="20"/>
                <w:szCs w:val="20"/>
                <w:lang w:eastAsia="fr-FR"/>
              </w:rPr>
            </w:pPr>
          </w:p>
        </w:tc>
        <w:tc>
          <w:tcPr>
            <w:tcW w:w="766" w:type="dxa"/>
            <w:vMerge w:val="restart"/>
            <w:shd w:val="clear" w:color="auto" w:fill="BFBFBF" w:themeFill="background1" w:themeFillShade="BF"/>
            <w:vAlign w:val="center"/>
          </w:tcPr>
          <w:p w14:paraId="4146A57B" w14:textId="77777777" w:rsidR="00A836D7" w:rsidRPr="0064331C" w:rsidRDefault="00A836D7" w:rsidP="005D385E">
            <w:pPr>
              <w:jc w:val="center"/>
              <w:rPr>
                <w:b/>
                <w:bCs/>
                <w:sz w:val="20"/>
                <w:szCs w:val="20"/>
                <w:lang w:eastAsia="fr-FR"/>
              </w:rPr>
            </w:pPr>
          </w:p>
        </w:tc>
        <w:tc>
          <w:tcPr>
            <w:tcW w:w="1055" w:type="dxa"/>
            <w:vMerge w:val="restart"/>
            <w:shd w:val="clear" w:color="auto" w:fill="BFBFBF" w:themeFill="background1" w:themeFillShade="BF"/>
            <w:vAlign w:val="center"/>
          </w:tcPr>
          <w:p w14:paraId="4E472943" w14:textId="77777777" w:rsidR="00A836D7" w:rsidRPr="0064331C" w:rsidRDefault="00A836D7" w:rsidP="005D385E">
            <w:pPr>
              <w:jc w:val="center"/>
              <w:rPr>
                <w:b/>
                <w:bCs/>
                <w:sz w:val="20"/>
                <w:szCs w:val="20"/>
                <w:lang w:eastAsia="fr-FR"/>
              </w:rPr>
            </w:pPr>
          </w:p>
        </w:tc>
      </w:tr>
      <w:tr w:rsidR="00A836D7" w:rsidRPr="0064331C" w14:paraId="2113A43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7082E2CF" w14:textId="77777777" w:rsidR="00A836D7" w:rsidRPr="0064331C" w:rsidRDefault="00A836D7"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68440F37" w14:textId="77777777" w:rsidR="00A836D7" w:rsidRPr="0064331C" w:rsidRDefault="00A836D7" w:rsidP="005D385E">
            <w:pPr>
              <w:jc w:val="center"/>
              <w:rPr>
                <w:b/>
                <w:bCs/>
                <w:sz w:val="20"/>
                <w:szCs w:val="20"/>
                <w:lang w:eastAsia="fr-FR"/>
              </w:rPr>
            </w:pPr>
            <w:r w:rsidRPr="0064331C">
              <w:rPr>
                <w:b/>
                <w:bCs/>
                <w:sz w:val="20"/>
                <w:szCs w:val="20"/>
                <w:lang w:eastAsia="fr-FR"/>
              </w:rPr>
              <w:t>100 ≤ P &lt; 300</w:t>
            </w:r>
          </w:p>
        </w:tc>
        <w:tc>
          <w:tcPr>
            <w:tcW w:w="786" w:type="dxa"/>
            <w:vMerge/>
            <w:shd w:val="clear" w:color="auto" w:fill="BFBFBF" w:themeFill="background1" w:themeFillShade="BF"/>
            <w:tcMar>
              <w:top w:w="150" w:type="dxa"/>
              <w:left w:w="150" w:type="dxa"/>
              <w:bottom w:w="150" w:type="dxa"/>
              <w:right w:w="150" w:type="dxa"/>
            </w:tcMar>
            <w:vAlign w:val="center"/>
          </w:tcPr>
          <w:p w14:paraId="1608A01A" w14:textId="77777777" w:rsidR="00A836D7" w:rsidRPr="0064331C" w:rsidRDefault="00A836D7" w:rsidP="005D385E">
            <w:pPr>
              <w:jc w:val="center"/>
              <w:rPr>
                <w:b/>
                <w:bCs/>
                <w:sz w:val="20"/>
                <w:szCs w:val="20"/>
                <w:lang w:eastAsia="fr-FR"/>
              </w:rPr>
            </w:pPr>
          </w:p>
        </w:tc>
        <w:tc>
          <w:tcPr>
            <w:tcW w:w="766" w:type="dxa"/>
            <w:vMerge/>
            <w:shd w:val="clear" w:color="auto" w:fill="BFBFBF" w:themeFill="background1" w:themeFillShade="BF"/>
            <w:vAlign w:val="center"/>
          </w:tcPr>
          <w:p w14:paraId="63F2C73B" w14:textId="77777777" w:rsidR="00A836D7" w:rsidRPr="0064331C" w:rsidRDefault="00A836D7" w:rsidP="005D385E">
            <w:pPr>
              <w:jc w:val="center"/>
              <w:rPr>
                <w:b/>
                <w:bCs/>
                <w:sz w:val="20"/>
                <w:szCs w:val="20"/>
                <w:lang w:eastAsia="fr-FR"/>
              </w:rPr>
            </w:pPr>
          </w:p>
        </w:tc>
        <w:tc>
          <w:tcPr>
            <w:tcW w:w="965" w:type="dxa"/>
            <w:vMerge/>
            <w:shd w:val="clear" w:color="auto" w:fill="BFBFBF" w:themeFill="background1" w:themeFillShade="BF"/>
            <w:vAlign w:val="center"/>
          </w:tcPr>
          <w:p w14:paraId="73D20EB4" w14:textId="77777777" w:rsidR="00A836D7" w:rsidRPr="0064331C" w:rsidRDefault="00A836D7" w:rsidP="005D385E">
            <w:pPr>
              <w:jc w:val="center"/>
              <w:rPr>
                <w:b/>
                <w:bCs/>
                <w:sz w:val="20"/>
                <w:szCs w:val="20"/>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5C8AFB49" w14:textId="47FE854C" w:rsidR="00A836D7" w:rsidRPr="0064331C" w:rsidRDefault="00A836D7" w:rsidP="005D385E">
            <w:pPr>
              <w:jc w:val="center"/>
              <w:rPr>
                <w:b/>
                <w:bCs/>
                <w:sz w:val="20"/>
                <w:szCs w:val="20"/>
                <w:lang w:eastAsia="fr-FR"/>
              </w:rPr>
            </w:pPr>
          </w:p>
        </w:tc>
        <w:tc>
          <w:tcPr>
            <w:tcW w:w="793" w:type="dxa"/>
            <w:vMerge/>
            <w:shd w:val="clear" w:color="auto" w:fill="B4C6E7" w:themeFill="accent5" w:themeFillTint="66"/>
            <w:vAlign w:val="center"/>
          </w:tcPr>
          <w:p w14:paraId="5AD70EF0" w14:textId="08D4C3BF" w:rsidR="00A836D7" w:rsidRPr="0064331C" w:rsidRDefault="00A836D7" w:rsidP="005D385E">
            <w:pPr>
              <w:jc w:val="center"/>
              <w:rPr>
                <w:b/>
                <w:bCs/>
                <w:sz w:val="20"/>
                <w:szCs w:val="20"/>
                <w:lang w:eastAsia="fr-FR"/>
              </w:rPr>
            </w:pPr>
          </w:p>
        </w:tc>
        <w:tc>
          <w:tcPr>
            <w:tcW w:w="924" w:type="dxa"/>
            <w:vMerge/>
            <w:shd w:val="clear" w:color="auto" w:fill="92D050"/>
            <w:vAlign w:val="center"/>
          </w:tcPr>
          <w:p w14:paraId="0764EADA" w14:textId="1B010493" w:rsidR="00A836D7" w:rsidRPr="0064331C" w:rsidRDefault="00A836D7" w:rsidP="005D385E">
            <w:pPr>
              <w:jc w:val="center"/>
              <w:rPr>
                <w:b/>
                <w:bCs/>
                <w:sz w:val="20"/>
                <w:szCs w:val="20"/>
                <w:lang w:eastAsia="fr-FR"/>
              </w:rPr>
            </w:pPr>
          </w:p>
        </w:tc>
        <w:tc>
          <w:tcPr>
            <w:tcW w:w="786" w:type="dxa"/>
            <w:vMerge/>
            <w:shd w:val="clear" w:color="auto" w:fill="BFBFBF" w:themeFill="background1" w:themeFillShade="BF"/>
            <w:tcMar>
              <w:top w:w="150" w:type="dxa"/>
              <w:left w:w="150" w:type="dxa"/>
              <w:bottom w:w="150" w:type="dxa"/>
              <w:right w:w="150" w:type="dxa"/>
            </w:tcMar>
            <w:vAlign w:val="center"/>
          </w:tcPr>
          <w:p w14:paraId="4592629F" w14:textId="77777777" w:rsidR="00A836D7" w:rsidRPr="0064331C" w:rsidRDefault="00A836D7" w:rsidP="005D385E">
            <w:pPr>
              <w:jc w:val="center"/>
              <w:rPr>
                <w:b/>
                <w:bCs/>
                <w:sz w:val="20"/>
                <w:szCs w:val="20"/>
                <w:lang w:eastAsia="fr-FR"/>
              </w:rPr>
            </w:pPr>
          </w:p>
        </w:tc>
        <w:tc>
          <w:tcPr>
            <w:tcW w:w="766" w:type="dxa"/>
            <w:vMerge/>
            <w:shd w:val="clear" w:color="auto" w:fill="BFBFBF" w:themeFill="background1" w:themeFillShade="BF"/>
            <w:vAlign w:val="center"/>
          </w:tcPr>
          <w:p w14:paraId="1BDE34CC" w14:textId="77777777" w:rsidR="00A836D7" w:rsidRPr="0064331C" w:rsidRDefault="00A836D7" w:rsidP="005D385E">
            <w:pPr>
              <w:jc w:val="center"/>
              <w:rPr>
                <w:b/>
                <w:bCs/>
                <w:sz w:val="20"/>
                <w:szCs w:val="20"/>
                <w:lang w:eastAsia="fr-FR"/>
              </w:rPr>
            </w:pPr>
          </w:p>
        </w:tc>
        <w:tc>
          <w:tcPr>
            <w:tcW w:w="1055" w:type="dxa"/>
            <w:vMerge/>
            <w:shd w:val="clear" w:color="auto" w:fill="BFBFBF" w:themeFill="background1" w:themeFillShade="BF"/>
            <w:vAlign w:val="center"/>
          </w:tcPr>
          <w:p w14:paraId="369C3114" w14:textId="77777777" w:rsidR="00A836D7" w:rsidRPr="0064331C" w:rsidRDefault="00A836D7" w:rsidP="005D385E">
            <w:pPr>
              <w:jc w:val="center"/>
              <w:rPr>
                <w:b/>
                <w:bCs/>
                <w:sz w:val="20"/>
                <w:szCs w:val="20"/>
                <w:lang w:eastAsia="fr-FR"/>
              </w:rPr>
            </w:pPr>
          </w:p>
        </w:tc>
      </w:tr>
      <w:tr w:rsidR="00A836D7" w:rsidRPr="0064331C" w14:paraId="0FE6499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09904EB8" w14:textId="77777777" w:rsidR="00A836D7" w:rsidRPr="0064331C" w:rsidRDefault="00A836D7"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00288FD0" w14:textId="77777777" w:rsidR="00A836D7" w:rsidRPr="0064331C" w:rsidRDefault="00A836D7" w:rsidP="005D385E">
            <w:pPr>
              <w:jc w:val="center"/>
              <w:rPr>
                <w:b/>
                <w:bCs/>
                <w:sz w:val="20"/>
                <w:szCs w:val="20"/>
                <w:lang w:eastAsia="fr-FR"/>
              </w:rPr>
            </w:pPr>
            <w:r w:rsidRPr="0064331C">
              <w:rPr>
                <w:b/>
                <w:bCs/>
                <w:sz w:val="20"/>
                <w:szCs w:val="20"/>
                <w:lang w:eastAsia="fr-FR"/>
              </w:rPr>
              <w:t>300 ≤ P</w:t>
            </w:r>
          </w:p>
        </w:tc>
        <w:tc>
          <w:tcPr>
            <w:tcW w:w="786" w:type="dxa"/>
            <w:vMerge/>
            <w:shd w:val="clear" w:color="auto" w:fill="BFBFBF" w:themeFill="background1" w:themeFillShade="BF"/>
            <w:tcMar>
              <w:top w:w="150" w:type="dxa"/>
              <w:left w:w="150" w:type="dxa"/>
              <w:bottom w:w="150" w:type="dxa"/>
              <w:right w:w="150" w:type="dxa"/>
            </w:tcMar>
            <w:vAlign w:val="center"/>
          </w:tcPr>
          <w:p w14:paraId="2F21BD0F" w14:textId="77777777" w:rsidR="00A836D7" w:rsidRPr="0064331C" w:rsidRDefault="00A836D7" w:rsidP="005D385E">
            <w:pPr>
              <w:jc w:val="center"/>
              <w:rPr>
                <w:b/>
                <w:bCs/>
                <w:sz w:val="20"/>
                <w:szCs w:val="20"/>
                <w:lang w:eastAsia="fr-FR"/>
              </w:rPr>
            </w:pPr>
          </w:p>
        </w:tc>
        <w:tc>
          <w:tcPr>
            <w:tcW w:w="766" w:type="dxa"/>
            <w:vMerge/>
            <w:shd w:val="clear" w:color="auto" w:fill="BFBFBF" w:themeFill="background1" w:themeFillShade="BF"/>
            <w:vAlign w:val="center"/>
          </w:tcPr>
          <w:p w14:paraId="3C5EBF85" w14:textId="77777777" w:rsidR="00A836D7" w:rsidRPr="0064331C" w:rsidRDefault="00A836D7" w:rsidP="005D385E">
            <w:pPr>
              <w:jc w:val="center"/>
              <w:rPr>
                <w:b/>
                <w:bCs/>
                <w:sz w:val="20"/>
                <w:szCs w:val="20"/>
                <w:lang w:eastAsia="fr-FR"/>
              </w:rPr>
            </w:pPr>
          </w:p>
        </w:tc>
        <w:tc>
          <w:tcPr>
            <w:tcW w:w="965" w:type="dxa"/>
            <w:vMerge/>
            <w:shd w:val="clear" w:color="auto" w:fill="BFBFBF" w:themeFill="background1" w:themeFillShade="BF"/>
            <w:vAlign w:val="center"/>
          </w:tcPr>
          <w:p w14:paraId="19E615BB" w14:textId="77777777" w:rsidR="00A836D7" w:rsidRPr="0064331C" w:rsidRDefault="00A836D7" w:rsidP="005D385E">
            <w:pPr>
              <w:jc w:val="center"/>
              <w:rPr>
                <w:b/>
                <w:bCs/>
                <w:sz w:val="20"/>
                <w:szCs w:val="20"/>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2ADC5431" w14:textId="2ACAC4D7" w:rsidR="00A836D7" w:rsidRPr="0064331C" w:rsidRDefault="00A836D7" w:rsidP="005D385E">
            <w:pPr>
              <w:jc w:val="center"/>
              <w:rPr>
                <w:b/>
                <w:bCs/>
                <w:sz w:val="20"/>
                <w:szCs w:val="20"/>
                <w:lang w:eastAsia="fr-FR"/>
              </w:rPr>
            </w:pPr>
          </w:p>
        </w:tc>
        <w:tc>
          <w:tcPr>
            <w:tcW w:w="793" w:type="dxa"/>
            <w:vMerge/>
            <w:shd w:val="clear" w:color="auto" w:fill="B4C6E7" w:themeFill="accent5" w:themeFillTint="66"/>
            <w:vAlign w:val="center"/>
          </w:tcPr>
          <w:p w14:paraId="6196AA8C" w14:textId="3B74773D" w:rsidR="00A836D7" w:rsidRPr="0064331C" w:rsidRDefault="00A836D7" w:rsidP="005D385E">
            <w:pPr>
              <w:jc w:val="center"/>
              <w:rPr>
                <w:b/>
                <w:bCs/>
                <w:sz w:val="20"/>
                <w:szCs w:val="20"/>
                <w:lang w:eastAsia="fr-FR"/>
              </w:rPr>
            </w:pPr>
          </w:p>
        </w:tc>
        <w:tc>
          <w:tcPr>
            <w:tcW w:w="924" w:type="dxa"/>
            <w:vMerge/>
            <w:shd w:val="clear" w:color="auto" w:fill="92D050"/>
            <w:vAlign w:val="center"/>
          </w:tcPr>
          <w:p w14:paraId="6C19B963" w14:textId="29D44F3F" w:rsidR="00A836D7" w:rsidRPr="0064331C" w:rsidRDefault="00A836D7" w:rsidP="005D385E">
            <w:pPr>
              <w:jc w:val="center"/>
              <w:rPr>
                <w:b/>
                <w:bCs/>
                <w:sz w:val="20"/>
                <w:szCs w:val="20"/>
                <w:lang w:eastAsia="fr-FR"/>
              </w:rPr>
            </w:pPr>
          </w:p>
        </w:tc>
        <w:tc>
          <w:tcPr>
            <w:tcW w:w="786" w:type="dxa"/>
            <w:vMerge/>
            <w:shd w:val="clear" w:color="auto" w:fill="BFBFBF" w:themeFill="background1" w:themeFillShade="BF"/>
            <w:tcMar>
              <w:top w:w="150" w:type="dxa"/>
              <w:left w:w="150" w:type="dxa"/>
              <w:bottom w:w="150" w:type="dxa"/>
              <w:right w:w="150" w:type="dxa"/>
            </w:tcMar>
            <w:vAlign w:val="center"/>
          </w:tcPr>
          <w:p w14:paraId="31EA06D3" w14:textId="77777777" w:rsidR="00A836D7" w:rsidRPr="0064331C" w:rsidRDefault="00A836D7" w:rsidP="005D385E">
            <w:pPr>
              <w:jc w:val="center"/>
              <w:rPr>
                <w:b/>
                <w:bCs/>
                <w:sz w:val="20"/>
                <w:szCs w:val="20"/>
                <w:lang w:eastAsia="fr-FR"/>
              </w:rPr>
            </w:pPr>
          </w:p>
        </w:tc>
        <w:tc>
          <w:tcPr>
            <w:tcW w:w="766" w:type="dxa"/>
            <w:vMerge/>
            <w:shd w:val="clear" w:color="auto" w:fill="BFBFBF" w:themeFill="background1" w:themeFillShade="BF"/>
            <w:vAlign w:val="center"/>
          </w:tcPr>
          <w:p w14:paraId="7A1489DE" w14:textId="77777777" w:rsidR="00A836D7" w:rsidRPr="0064331C" w:rsidRDefault="00A836D7" w:rsidP="005D385E">
            <w:pPr>
              <w:jc w:val="center"/>
              <w:rPr>
                <w:b/>
                <w:bCs/>
                <w:sz w:val="20"/>
                <w:szCs w:val="20"/>
                <w:lang w:eastAsia="fr-FR"/>
              </w:rPr>
            </w:pPr>
          </w:p>
        </w:tc>
        <w:tc>
          <w:tcPr>
            <w:tcW w:w="1055" w:type="dxa"/>
            <w:vMerge/>
            <w:shd w:val="clear" w:color="auto" w:fill="BFBFBF" w:themeFill="background1" w:themeFillShade="BF"/>
            <w:vAlign w:val="center"/>
          </w:tcPr>
          <w:p w14:paraId="00F9F2DA" w14:textId="77777777" w:rsidR="00A836D7" w:rsidRPr="0064331C" w:rsidRDefault="00A836D7" w:rsidP="005D385E">
            <w:pPr>
              <w:jc w:val="center"/>
              <w:rPr>
                <w:b/>
                <w:bCs/>
                <w:sz w:val="20"/>
                <w:szCs w:val="20"/>
                <w:lang w:eastAsia="fr-FR"/>
              </w:rPr>
            </w:pPr>
          </w:p>
        </w:tc>
      </w:tr>
      <w:tr w:rsidR="0064331C" w:rsidRPr="0064331C" w14:paraId="740389D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shd w:val="clear" w:color="auto" w:fill="auto"/>
            <w:vAlign w:val="center"/>
          </w:tcPr>
          <w:p w14:paraId="10A13E9C" w14:textId="77777777" w:rsidR="0064331C" w:rsidRPr="0064331C" w:rsidRDefault="0064331C" w:rsidP="005D385E">
            <w:pPr>
              <w:jc w:val="center"/>
              <w:rPr>
                <w:b/>
                <w:bCs/>
                <w:sz w:val="20"/>
                <w:szCs w:val="20"/>
                <w:lang w:eastAsia="fr-FR"/>
              </w:rPr>
            </w:pPr>
            <w:bookmarkStart w:id="16" w:name="_Hlk159594734"/>
            <w:r w:rsidRPr="0064331C">
              <w:rPr>
                <w:b/>
                <w:bCs/>
                <w:sz w:val="20"/>
                <w:szCs w:val="20"/>
                <w:lang w:eastAsia="fr-FR"/>
              </w:rPr>
              <w:t>Gaz de haut fourneau</w:t>
            </w:r>
          </w:p>
        </w:tc>
        <w:tc>
          <w:tcPr>
            <w:tcW w:w="1587" w:type="dxa"/>
            <w:shd w:val="clear" w:color="auto" w:fill="auto"/>
            <w:tcMar>
              <w:top w:w="150" w:type="dxa"/>
              <w:left w:w="150" w:type="dxa"/>
              <w:bottom w:w="150" w:type="dxa"/>
              <w:right w:w="150" w:type="dxa"/>
            </w:tcMar>
            <w:vAlign w:val="center"/>
          </w:tcPr>
          <w:p w14:paraId="14EB9A1D"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vMerge w:val="restart"/>
            <w:shd w:val="clear" w:color="auto" w:fill="E2EFD9" w:themeFill="accent6" w:themeFillTint="33"/>
            <w:tcMar>
              <w:top w:w="150" w:type="dxa"/>
              <w:left w:w="150" w:type="dxa"/>
              <w:bottom w:w="150" w:type="dxa"/>
              <w:right w:w="150" w:type="dxa"/>
            </w:tcMar>
            <w:vAlign w:val="center"/>
          </w:tcPr>
          <w:p w14:paraId="2D84058B"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66" w:type="dxa"/>
            <w:vMerge w:val="restart"/>
            <w:shd w:val="clear" w:color="auto" w:fill="B4C6E7" w:themeFill="accent5" w:themeFillTint="66"/>
            <w:vAlign w:val="center"/>
          </w:tcPr>
          <w:p w14:paraId="3CD56DC4"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65" w:type="dxa"/>
            <w:vMerge w:val="restart"/>
            <w:shd w:val="clear" w:color="auto" w:fill="E2EFD9" w:themeFill="accent6" w:themeFillTint="33"/>
            <w:vAlign w:val="center"/>
          </w:tcPr>
          <w:p w14:paraId="62E0C63D"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86" w:type="dxa"/>
            <w:vMerge w:val="restart"/>
            <w:shd w:val="clear" w:color="auto" w:fill="E2EFD9" w:themeFill="accent6" w:themeFillTint="33"/>
            <w:tcMar>
              <w:top w:w="150" w:type="dxa"/>
              <w:left w:w="150" w:type="dxa"/>
              <w:bottom w:w="150" w:type="dxa"/>
              <w:right w:w="150" w:type="dxa"/>
            </w:tcMar>
            <w:vAlign w:val="center"/>
          </w:tcPr>
          <w:p w14:paraId="642205FF"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3" w:type="dxa"/>
            <w:vMerge w:val="restart"/>
            <w:shd w:val="clear" w:color="auto" w:fill="B4C6E7" w:themeFill="accent5" w:themeFillTint="66"/>
            <w:vAlign w:val="center"/>
          </w:tcPr>
          <w:p w14:paraId="084D00CD"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924" w:type="dxa"/>
            <w:vMerge w:val="restart"/>
            <w:shd w:val="clear" w:color="auto" w:fill="B4C6E7" w:themeFill="accent5" w:themeFillTint="66"/>
            <w:vAlign w:val="center"/>
          </w:tcPr>
          <w:p w14:paraId="0D2460F0"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86" w:type="dxa"/>
            <w:vMerge w:val="restart"/>
            <w:shd w:val="clear" w:color="auto" w:fill="E2EFD9" w:themeFill="accent6" w:themeFillTint="33"/>
            <w:tcMar>
              <w:top w:w="150" w:type="dxa"/>
              <w:left w:w="150" w:type="dxa"/>
              <w:bottom w:w="150" w:type="dxa"/>
              <w:right w:w="150" w:type="dxa"/>
            </w:tcMar>
            <w:vAlign w:val="center"/>
          </w:tcPr>
          <w:p w14:paraId="47A78DF6"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66" w:type="dxa"/>
            <w:vMerge w:val="restart"/>
            <w:shd w:val="clear" w:color="auto" w:fill="B4C6E7" w:themeFill="accent5" w:themeFillTint="66"/>
            <w:vAlign w:val="center"/>
          </w:tcPr>
          <w:p w14:paraId="01FDE7BE"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1055" w:type="dxa"/>
            <w:vMerge w:val="restart"/>
            <w:shd w:val="clear" w:color="auto" w:fill="E2EFD9" w:themeFill="accent6" w:themeFillTint="33"/>
            <w:vAlign w:val="center"/>
          </w:tcPr>
          <w:p w14:paraId="04B0218B"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321570FD"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46CC04B7"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1BDDC8B5"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86" w:type="dxa"/>
            <w:vMerge/>
            <w:shd w:val="clear" w:color="auto" w:fill="E2EFD9" w:themeFill="accent6" w:themeFillTint="33"/>
            <w:tcMar>
              <w:top w:w="150" w:type="dxa"/>
              <w:left w:w="150" w:type="dxa"/>
              <w:bottom w:w="150" w:type="dxa"/>
              <w:right w:w="150" w:type="dxa"/>
            </w:tcMar>
            <w:vAlign w:val="center"/>
          </w:tcPr>
          <w:p w14:paraId="266994A2" w14:textId="77777777" w:rsidR="0064331C" w:rsidRPr="0064331C" w:rsidRDefault="0064331C" w:rsidP="005D385E">
            <w:pPr>
              <w:rPr>
                <w:b/>
                <w:bCs/>
                <w:sz w:val="20"/>
                <w:szCs w:val="20"/>
                <w:lang w:eastAsia="fr-FR"/>
              </w:rPr>
            </w:pPr>
          </w:p>
        </w:tc>
        <w:tc>
          <w:tcPr>
            <w:tcW w:w="766" w:type="dxa"/>
            <w:vMerge/>
            <w:shd w:val="clear" w:color="auto" w:fill="B4C6E7" w:themeFill="accent5" w:themeFillTint="66"/>
            <w:vAlign w:val="center"/>
          </w:tcPr>
          <w:p w14:paraId="3B77CC44" w14:textId="77777777" w:rsidR="0064331C" w:rsidRPr="0064331C" w:rsidRDefault="0064331C" w:rsidP="005D385E">
            <w:pPr>
              <w:jc w:val="center"/>
              <w:rPr>
                <w:b/>
                <w:bCs/>
                <w:sz w:val="20"/>
                <w:szCs w:val="20"/>
                <w:lang w:eastAsia="fr-FR"/>
              </w:rPr>
            </w:pPr>
          </w:p>
        </w:tc>
        <w:tc>
          <w:tcPr>
            <w:tcW w:w="965" w:type="dxa"/>
            <w:vMerge/>
            <w:shd w:val="clear" w:color="auto" w:fill="E2EFD9" w:themeFill="accent6" w:themeFillTint="33"/>
            <w:vAlign w:val="center"/>
          </w:tcPr>
          <w:p w14:paraId="7DE41621" w14:textId="77777777" w:rsidR="0064331C" w:rsidRPr="0064331C" w:rsidRDefault="0064331C" w:rsidP="005D385E">
            <w:pPr>
              <w:jc w:val="center"/>
              <w:rPr>
                <w:b/>
                <w:bCs/>
                <w:sz w:val="20"/>
                <w:szCs w:val="20"/>
                <w:highlight w:val="yellow"/>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3231F07E" w14:textId="77777777" w:rsidR="0064331C" w:rsidRPr="0064331C" w:rsidRDefault="0064331C" w:rsidP="005D385E">
            <w:pPr>
              <w:jc w:val="center"/>
              <w:rPr>
                <w:b/>
                <w:bCs/>
                <w:sz w:val="20"/>
                <w:szCs w:val="20"/>
                <w:lang w:eastAsia="fr-FR"/>
              </w:rPr>
            </w:pPr>
          </w:p>
        </w:tc>
        <w:tc>
          <w:tcPr>
            <w:tcW w:w="793" w:type="dxa"/>
            <w:vMerge/>
            <w:shd w:val="clear" w:color="auto" w:fill="B4C6E7" w:themeFill="accent5" w:themeFillTint="66"/>
            <w:vAlign w:val="center"/>
          </w:tcPr>
          <w:p w14:paraId="40E3D908" w14:textId="77777777" w:rsidR="0064331C" w:rsidRPr="0064331C" w:rsidRDefault="0064331C" w:rsidP="005D385E">
            <w:pPr>
              <w:jc w:val="center"/>
              <w:rPr>
                <w:b/>
                <w:bCs/>
                <w:sz w:val="20"/>
                <w:szCs w:val="20"/>
                <w:lang w:eastAsia="fr-FR"/>
              </w:rPr>
            </w:pPr>
          </w:p>
        </w:tc>
        <w:tc>
          <w:tcPr>
            <w:tcW w:w="924" w:type="dxa"/>
            <w:vMerge/>
            <w:shd w:val="clear" w:color="auto" w:fill="B4C6E7" w:themeFill="accent5" w:themeFillTint="66"/>
            <w:vAlign w:val="center"/>
          </w:tcPr>
          <w:p w14:paraId="0009D7C9" w14:textId="77777777" w:rsidR="0064331C" w:rsidRPr="0064331C" w:rsidRDefault="0064331C" w:rsidP="005D385E">
            <w:pPr>
              <w:jc w:val="center"/>
              <w:rPr>
                <w:b/>
                <w:bCs/>
                <w:sz w:val="20"/>
                <w:szCs w:val="20"/>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14A7DF43" w14:textId="77777777" w:rsidR="0064331C" w:rsidRPr="0064331C" w:rsidRDefault="0064331C" w:rsidP="005D385E">
            <w:pPr>
              <w:jc w:val="center"/>
              <w:rPr>
                <w:b/>
                <w:bCs/>
                <w:sz w:val="20"/>
                <w:szCs w:val="20"/>
                <w:lang w:eastAsia="fr-FR"/>
              </w:rPr>
            </w:pPr>
          </w:p>
        </w:tc>
        <w:tc>
          <w:tcPr>
            <w:tcW w:w="766" w:type="dxa"/>
            <w:vMerge/>
            <w:shd w:val="clear" w:color="auto" w:fill="B4C6E7" w:themeFill="accent5" w:themeFillTint="66"/>
            <w:vAlign w:val="center"/>
          </w:tcPr>
          <w:p w14:paraId="072CCB63" w14:textId="77777777" w:rsidR="0064331C" w:rsidRPr="0064331C" w:rsidRDefault="0064331C" w:rsidP="005D385E">
            <w:pPr>
              <w:jc w:val="center"/>
              <w:rPr>
                <w:b/>
                <w:bCs/>
                <w:sz w:val="20"/>
                <w:szCs w:val="20"/>
                <w:lang w:eastAsia="fr-FR"/>
              </w:rPr>
            </w:pPr>
          </w:p>
        </w:tc>
        <w:tc>
          <w:tcPr>
            <w:tcW w:w="1055" w:type="dxa"/>
            <w:vMerge/>
            <w:shd w:val="clear" w:color="auto" w:fill="E2EFD9" w:themeFill="accent6" w:themeFillTint="33"/>
            <w:vAlign w:val="center"/>
          </w:tcPr>
          <w:p w14:paraId="5C833F04" w14:textId="77777777" w:rsidR="0064331C" w:rsidRPr="0064331C" w:rsidRDefault="0064331C" w:rsidP="005D385E">
            <w:pPr>
              <w:jc w:val="center"/>
              <w:rPr>
                <w:b/>
                <w:bCs/>
                <w:sz w:val="20"/>
                <w:szCs w:val="20"/>
                <w:lang w:eastAsia="fr-FR"/>
              </w:rPr>
            </w:pPr>
          </w:p>
        </w:tc>
      </w:tr>
      <w:tr w:rsidR="0064331C" w:rsidRPr="0064331C" w14:paraId="2E8168E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7B9C56D3"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37BBD058"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86" w:type="dxa"/>
            <w:vMerge/>
            <w:shd w:val="clear" w:color="auto" w:fill="E2EFD9" w:themeFill="accent6" w:themeFillTint="33"/>
            <w:tcMar>
              <w:top w:w="150" w:type="dxa"/>
              <w:left w:w="150" w:type="dxa"/>
              <w:bottom w:w="150" w:type="dxa"/>
              <w:right w:w="150" w:type="dxa"/>
            </w:tcMar>
            <w:vAlign w:val="center"/>
          </w:tcPr>
          <w:p w14:paraId="3B3484D4" w14:textId="77777777" w:rsidR="0064331C" w:rsidRPr="0064331C" w:rsidRDefault="0064331C" w:rsidP="005D385E">
            <w:pPr>
              <w:jc w:val="center"/>
              <w:rPr>
                <w:b/>
                <w:bCs/>
                <w:sz w:val="20"/>
                <w:szCs w:val="20"/>
                <w:lang w:eastAsia="fr-FR"/>
              </w:rPr>
            </w:pPr>
          </w:p>
        </w:tc>
        <w:tc>
          <w:tcPr>
            <w:tcW w:w="766" w:type="dxa"/>
            <w:vMerge/>
            <w:shd w:val="clear" w:color="auto" w:fill="B4C6E7" w:themeFill="accent5" w:themeFillTint="66"/>
            <w:vAlign w:val="center"/>
          </w:tcPr>
          <w:p w14:paraId="68D89015" w14:textId="77777777" w:rsidR="0064331C" w:rsidRPr="0064331C" w:rsidRDefault="0064331C" w:rsidP="005D385E">
            <w:pPr>
              <w:jc w:val="center"/>
              <w:rPr>
                <w:b/>
                <w:bCs/>
                <w:sz w:val="20"/>
                <w:szCs w:val="20"/>
                <w:lang w:eastAsia="fr-FR"/>
              </w:rPr>
            </w:pPr>
          </w:p>
        </w:tc>
        <w:tc>
          <w:tcPr>
            <w:tcW w:w="965" w:type="dxa"/>
            <w:vMerge/>
            <w:shd w:val="clear" w:color="auto" w:fill="E2EFD9" w:themeFill="accent6" w:themeFillTint="33"/>
            <w:vAlign w:val="center"/>
          </w:tcPr>
          <w:p w14:paraId="571C5204" w14:textId="77777777" w:rsidR="0064331C" w:rsidRPr="0064331C" w:rsidRDefault="0064331C" w:rsidP="005D385E">
            <w:pPr>
              <w:jc w:val="center"/>
              <w:rPr>
                <w:b/>
                <w:bCs/>
                <w:sz w:val="20"/>
                <w:szCs w:val="20"/>
                <w:highlight w:val="yellow"/>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74833BDE" w14:textId="77777777" w:rsidR="0064331C" w:rsidRPr="0064331C" w:rsidRDefault="0064331C" w:rsidP="005D385E">
            <w:pPr>
              <w:jc w:val="center"/>
              <w:rPr>
                <w:b/>
                <w:bCs/>
                <w:sz w:val="20"/>
                <w:szCs w:val="20"/>
                <w:lang w:eastAsia="fr-FR"/>
              </w:rPr>
            </w:pPr>
          </w:p>
        </w:tc>
        <w:tc>
          <w:tcPr>
            <w:tcW w:w="793" w:type="dxa"/>
            <w:vMerge/>
            <w:shd w:val="clear" w:color="auto" w:fill="B4C6E7" w:themeFill="accent5" w:themeFillTint="66"/>
            <w:vAlign w:val="center"/>
          </w:tcPr>
          <w:p w14:paraId="699C9A5F" w14:textId="77777777" w:rsidR="0064331C" w:rsidRPr="0064331C" w:rsidRDefault="0064331C" w:rsidP="005D385E">
            <w:pPr>
              <w:jc w:val="center"/>
              <w:rPr>
                <w:b/>
                <w:bCs/>
                <w:sz w:val="20"/>
                <w:szCs w:val="20"/>
                <w:lang w:eastAsia="fr-FR"/>
              </w:rPr>
            </w:pPr>
          </w:p>
        </w:tc>
        <w:tc>
          <w:tcPr>
            <w:tcW w:w="924" w:type="dxa"/>
            <w:vMerge/>
            <w:shd w:val="clear" w:color="auto" w:fill="B4C6E7" w:themeFill="accent5" w:themeFillTint="66"/>
            <w:vAlign w:val="center"/>
          </w:tcPr>
          <w:p w14:paraId="37DB2FEA" w14:textId="77777777" w:rsidR="0064331C" w:rsidRPr="0064331C" w:rsidRDefault="0064331C" w:rsidP="005D385E">
            <w:pPr>
              <w:jc w:val="center"/>
              <w:rPr>
                <w:b/>
                <w:bCs/>
                <w:sz w:val="20"/>
                <w:szCs w:val="20"/>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6EC9F215" w14:textId="77777777" w:rsidR="0064331C" w:rsidRPr="0064331C" w:rsidRDefault="0064331C" w:rsidP="005D385E">
            <w:pPr>
              <w:jc w:val="center"/>
              <w:rPr>
                <w:b/>
                <w:bCs/>
                <w:sz w:val="20"/>
                <w:szCs w:val="20"/>
                <w:lang w:eastAsia="fr-FR"/>
              </w:rPr>
            </w:pPr>
          </w:p>
        </w:tc>
        <w:tc>
          <w:tcPr>
            <w:tcW w:w="766" w:type="dxa"/>
            <w:vMerge/>
            <w:shd w:val="clear" w:color="auto" w:fill="B4C6E7" w:themeFill="accent5" w:themeFillTint="66"/>
            <w:vAlign w:val="center"/>
          </w:tcPr>
          <w:p w14:paraId="5458F3CF" w14:textId="77777777" w:rsidR="0064331C" w:rsidRPr="0064331C" w:rsidRDefault="0064331C" w:rsidP="005D385E">
            <w:pPr>
              <w:jc w:val="center"/>
              <w:rPr>
                <w:b/>
                <w:bCs/>
                <w:sz w:val="20"/>
                <w:szCs w:val="20"/>
                <w:lang w:eastAsia="fr-FR"/>
              </w:rPr>
            </w:pPr>
          </w:p>
        </w:tc>
        <w:tc>
          <w:tcPr>
            <w:tcW w:w="1055" w:type="dxa"/>
            <w:vMerge/>
            <w:shd w:val="clear" w:color="auto" w:fill="E2EFD9" w:themeFill="accent6" w:themeFillTint="33"/>
            <w:vAlign w:val="center"/>
          </w:tcPr>
          <w:p w14:paraId="738E207E" w14:textId="77777777" w:rsidR="0064331C" w:rsidRPr="0064331C" w:rsidRDefault="0064331C" w:rsidP="005D385E">
            <w:pPr>
              <w:jc w:val="center"/>
              <w:rPr>
                <w:b/>
                <w:bCs/>
                <w:sz w:val="20"/>
                <w:szCs w:val="20"/>
                <w:lang w:eastAsia="fr-FR"/>
              </w:rPr>
            </w:pPr>
          </w:p>
        </w:tc>
      </w:tr>
      <w:tr w:rsidR="0064331C" w:rsidRPr="0064331C" w14:paraId="599C24A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shd w:val="clear" w:color="auto" w:fill="auto"/>
            <w:vAlign w:val="center"/>
          </w:tcPr>
          <w:p w14:paraId="35A130D1" w14:textId="77777777" w:rsidR="0064331C" w:rsidRPr="0064331C" w:rsidRDefault="0064331C" w:rsidP="005D385E">
            <w:pPr>
              <w:jc w:val="center"/>
              <w:rPr>
                <w:b/>
                <w:bCs/>
                <w:sz w:val="20"/>
                <w:szCs w:val="20"/>
                <w:lang w:eastAsia="fr-FR"/>
              </w:rPr>
            </w:pPr>
            <w:r w:rsidRPr="0064331C">
              <w:rPr>
                <w:b/>
                <w:bCs/>
                <w:sz w:val="20"/>
                <w:szCs w:val="20"/>
                <w:lang w:eastAsia="fr-FR"/>
              </w:rPr>
              <w:t>Gaz de cokerie</w:t>
            </w:r>
          </w:p>
        </w:tc>
        <w:tc>
          <w:tcPr>
            <w:tcW w:w="1587" w:type="dxa"/>
            <w:shd w:val="clear" w:color="auto" w:fill="auto"/>
            <w:tcMar>
              <w:top w:w="150" w:type="dxa"/>
              <w:left w:w="150" w:type="dxa"/>
              <w:bottom w:w="150" w:type="dxa"/>
              <w:right w:w="150" w:type="dxa"/>
            </w:tcMar>
            <w:vAlign w:val="center"/>
          </w:tcPr>
          <w:p w14:paraId="03DA9ACB"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vMerge w:val="restart"/>
            <w:shd w:val="clear" w:color="auto" w:fill="E2EFD9" w:themeFill="accent6" w:themeFillTint="33"/>
            <w:tcMar>
              <w:top w:w="150" w:type="dxa"/>
              <w:left w:w="150" w:type="dxa"/>
              <w:bottom w:w="150" w:type="dxa"/>
              <w:right w:w="150" w:type="dxa"/>
            </w:tcMar>
            <w:vAlign w:val="center"/>
          </w:tcPr>
          <w:p w14:paraId="7471218E"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66" w:type="dxa"/>
            <w:vMerge w:val="restart"/>
            <w:shd w:val="clear" w:color="auto" w:fill="E2EFD9" w:themeFill="accent6" w:themeFillTint="33"/>
            <w:vAlign w:val="center"/>
          </w:tcPr>
          <w:p w14:paraId="33212D30"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1ACF53CB"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965" w:type="dxa"/>
            <w:vMerge w:val="restart"/>
            <w:shd w:val="clear" w:color="auto" w:fill="E2EFD9" w:themeFill="accent6" w:themeFillTint="33"/>
            <w:vAlign w:val="center"/>
          </w:tcPr>
          <w:p w14:paraId="1ECE65EB"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6F28B3AC"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86" w:type="dxa"/>
            <w:vMerge w:val="restart"/>
            <w:shd w:val="clear" w:color="auto" w:fill="E2EFD9" w:themeFill="accent6" w:themeFillTint="33"/>
            <w:tcMar>
              <w:top w:w="150" w:type="dxa"/>
              <w:left w:w="150" w:type="dxa"/>
              <w:bottom w:w="150" w:type="dxa"/>
              <w:right w:w="150" w:type="dxa"/>
            </w:tcMar>
            <w:vAlign w:val="center"/>
          </w:tcPr>
          <w:p w14:paraId="0781BC62"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3" w:type="dxa"/>
            <w:vMerge w:val="restart"/>
            <w:shd w:val="clear" w:color="auto" w:fill="B4C6E7" w:themeFill="accent5" w:themeFillTint="66"/>
            <w:vAlign w:val="center"/>
          </w:tcPr>
          <w:p w14:paraId="1724A87D"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924" w:type="dxa"/>
            <w:vMerge w:val="restart"/>
            <w:shd w:val="clear" w:color="auto" w:fill="B4C6E7" w:themeFill="accent5" w:themeFillTint="66"/>
            <w:vAlign w:val="center"/>
          </w:tcPr>
          <w:p w14:paraId="74606F51"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86" w:type="dxa"/>
            <w:vMerge w:val="restart"/>
            <w:shd w:val="clear" w:color="auto" w:fill="E2EFD9" w:themeFill="accent6" w:themeFillTint="33"/>
            <w:tcMar>
              <w:top w:w="150" w:type="dxa"/>
              <w:left w:w="150" w:type="dxa"/>
              <w:bottom w:w="150" w:type="dxa"/>
              <w:right w:w="150" w:type="dxa"/>
            </w:tcMar>
            <w:vAlign w:val="center"/>
          </w:tcPr>
          <w:p w14:paraId="329B6133"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66" w:type="dxa"/>
            <w:vMerge w:val="restart"/>
            <w:shd w:val="clear" w:color="auto" w:fill="B4C6E7" w:themeFill="accent5" w:themeFillTint="66"/>
            <w:vAlign w:val="center"/>
          </w:tcPr>
          <w:p w14:paraId="0DECB53A"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1055" w:type="dxa"/>
            <w:vMerge w:val="restart"/>
            <w:shd w:val="clear" w:color="auto" w:fill="E2EFD9" w:themeFill="accent6" w:themeFillTint="33"/>
            <w:vAlign w:val="center"/>
          </w:tcPr>
          <w:p w14:paraId="4CF1216D"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38895571"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5636A3CF"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09371C30"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86" w:type="dxa"/>
            <w:vMerge/>
            <w:shd w:val="clear" w:color="auto" w:fill="E2EFD9" w:themeFill="accent6" w:themeFillTint="33"/>
            <w:tcMar>
              <w:top w:w="150" w:type="dxa"/>
              <w:left w:w="150" w:type="dxa"/>
              <w:bottom w:w="150" w:type="dxa"/>
              <w:right w:w="150" w:type="dxa"/>
            </w:tcMar>
            <w:vAlign w:val="center"/>
          </w:tcPr>
          <w:p w14:paraId="224104B4" w14:textId="77777777" w:rsidR="0064331C" w:rsidRPr="0064331C" w:rsidRDefault="0064331C" w:rsidP="005D385E">
            <w:pPr>
              <w:jc w:val="center"/>
              <w:rPr>
                <w:b/>
                <w:bCs/>
                <w:sz w:val="20"/>
                <w:szCs w:val="20"/>
                <w:lang w:eastAsia="fr-FR"/>
              </w:rPr>
            </w:pPr>
          </w:p>
        </w:tc>
        <w:tc>
          <w:tcPr>
            <w:tcW w:w="766" w:type="dxa"/>
            <w:vMerge/>
            <w:shd w:val="clear" w:color="auto" w:fill="E2EFD9" w:themeFill="accent6" w:themeFillTint="33"/>
            <w:vAlign w:val="center"/>
          </w:tcPr>
          <w:p w14:paraId="335E27C3" w14:textId="77777777" w:rsidR="0064331C" w:rsidRPr="0064331C" w:rsidRDefault="0064331C" w:rsidP="005D385E">
            <w:pPr>
              <w:jc w:val="center"/>
              <w:rPr>
                <w:b/>
                <w:bCs/>
                <w:sz w:val="20"/>
                <w:szCs w:val="20"/>
                <w:lang w:eastAsia="fr-FR"/>
              </w:rPr>
            </w:pPr>
          </w:p>
        </w:tc>
        <w:tc>
          <w:tcPr>
            <w:tcW w:w="965" w:type="dxa"/>
            <w:vMerge/>
            <w:shd w:val="clear" w:color="auto" w:fill="E2EFD9" w:themeFill="accent6" w:themeFillTint="33"/>
            <w:vAlign w:val="center"/>
          </w:tcPr>
          <w:p w14:paraId="3E282A6C" w14:textId="77777777" w:rsidR="0064331C" w:rsidRPr="0064331C" w:rsidRDefault="0064331C" w:rsidP="005D385E">
            <w:pPr>
              <w:jc w:val="center"/>
              <w:rPr>
                <w:b/>
                <w:bCs/>
                <w:sz w:val="20"/>
                <w:szCs w:val="20"/>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25F04F1F" w14:textId="77777777" w:rsidR="0064331C" w:rsidRPr="0064331C" w:rsidRDefault="0064331C" w:rsidP="005D385E">
            <w:pPr>
              <w:jc w:val="center"/>
              <w:rPr>
                <w:b/>
                <w:bCs/>
                <w:sz w:val="20"/>
                <w:szCs w:val="20"/>
                <w:lang w:eastAsia="fr-FR"/>
              </w:rPr>
            </w:pPr>
          </w:p>
        </w:tc>
        <w:tc>
          <w:tcPr>
            <w:tcW w:w="793" w:type="dxa"/>
            <w:vMerge/>
            <w:shd w:val="clear" w:color="auto" w:fill="B4C6E7" w:themeFill="accent5" w:themeFillTint="66"/>
            <w:vAlign w:val="center"/>
          </w:tcPr>
          <w:p w14:paraId="0F182298" w14:textId="77777777" w:rsidR="0064331C" w:rsidRPr="0064331C" w:rsidRDefault="0064331C" w:rsidP="005D385E">
            <w:pPr>
              <w:jc w:val="center"/>
              <w:rPr>
                <w:b/>
                <w:bCs/>
                <w:sz w:val="20"/>
                <w:szCs w:val="20"/>
                <w:lang w:eastAsia="fr-FR"/>
              </w:rPr>
            </w:pPr>
          </w:p>
        </w:tc>
        <w:tc>
          <w:tcPr>
            <w:tcW w:w="924" w:type="dxa"/>
            <w:vMerge/>
            <w:shd w:val="clear" w:color="auto" w:fill="B4C6E7" w:themeFill="accent5" w:themeFillTint="66"/>
            <w:vAlign w:val="center"/>
          </w:tcPr>
          <w:p w14:paraId="2BF3DBE4" w14:textId="77777777" w:rsidR="0064331C" w:rsidRPr="0064331C" w:rsidRDefault="0064331C" w:rsidP="005D385E">
            <w:pPr>
              <w:jc w:val="center"/>
              <w:rPr>
                <w:b/>
                <w:bCs/>
                <w:sz w:val="20"/>
                <w:szCs w:val="20"/>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454775EC" w14:textId="77777777" w:rsidR="0064331C" w:rsidRPr="0064331C" w:rsidRDefault="0064331C" w:rsidP="005D385E">
            <w:pPr>
              <w:jc w:val="center"/>
              <w:rPr>
                <w:b/>
                <w:bCs/>
                <w:sz w:val="20"/>
                <w:szCs w:val="20"/>
                <w:lang w:eastAsia="fr-FR"/>
              </w:rPr>
            </w:pPr>
          </w:p>
        </w:tc>
        <w:tc>
          <w:tcPr>
            <w:tcW w:w="766" w:type="dxa"/>
            <w:vMerge/>
            <w:shd w:val="clear" w:color="auto" w:fill="B4C6E7" w:themeFill="accent5" w:themeFillTint="66"/>
            <w:vAlign w:val="center"/>
          </w:tcPr>
          <w:p w14:paraId="6183AC22" w14:textId="77777777" w:rsidR="0064331C" w:rsidRPr="0064331C" w:rsidRDefault="0064331C" w:rsidP="005D385E">
            <w:pPr>
              <w:jc w:val="center"/>
              <w:rPr>
                <w:b/>
                <w:bCs/>
                <w:sz w:val="20"/>
                <w:szCs w:val="20"/>
                <w:lang w:eastAsia="fr-FR"/>
              </w:rPr>
            </w:pPr>
          </w:p>
        </w:tc>
        <w:tc>
          <w:tcPr>
            <w:tcW w:w="1055" w:type="dxa"/>
            <w:vMerge/>
            <w:shd w:val="clear" w:color="auto" w:fill="E2EFD9" w:themeFill="accent6" w:themeFillTint="33"/>
            <w:vAlign w:val="center"/>
          </w:tcPr>
          <w:p w14:paraId="136F868C" w14:textId="77777777" w:rsidR="0064331C" w:rsidRPr="0064331C" w:rsidRDefault="0064331C" w:rsidP="005D385E">
            <w:pPr>
              <w:jc w:val="center"/>
              <w:rPr>
                <w:b/>
                <w:bCs/>
                <w:sz w:val="20"/>
                <w:szCs w:val="20"/>
                <w:lang w:eastAsia="fr-FR"/>
              </w:rPr>
            </w:pPr>
          </w:p>
        </w:tc>
      </w:tr>
      <w:tr w:rsidR="0064331C" w:rsidRPr="0064331C" w14:paraId="0EB67D34"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shd w:val="clear" w:color="auto" w:fill="auto"/>
            <w:vAlign w:val="center"/>
          </w:tcPr>
          <w:p w14:paraId="079FACD1" w14:textId="77777777" w:rsidR="0064331C" w:rsidRPr="0064331C" w:rsidRDefault="0064331C" w:rsidP="005D385E">
            <w:pPr>
              <w:rPr>
                <w:b/>
                <w:bCs/>
                <w:sz w:val="20"/>
                <w:szCs w:val="20"/>
                <w:lang w:eastAsia="fr-FR"/>
              </w:rPr>
            </w:pPr>
          </w:p>
        </w:tc>
        <w:tc>
          <w:tcPr>
            <w:tcW w:w="1587" w:type="dxa"/>
            <w:shd w:val="clear" w:color="auto" w:fill="auto"/>
            <w:tcMar>
              <w:top w:w="150" w:type="dxa"/>
              <w:left w:w="150" w:type="dxa"/>
              <w:bottom w:w="150" w:type="dxa"/>
              <w:right w:w="150" w:type="dxa"/>
            </w:tcMar>
            <w:vAlign w:val="center"/>
          </w:tcPr>
          <w:p w14:paraId="13B57C76"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86" w:type="dxa"/>
            <w:vMerge/>
            <w:shd w:val="clear" w:color="auto" w:fill="E2EFD9" w:themeFill="accent6" w:themeFillTint="33"/>
            <w:tcMar>
              <w:top w:w="150" w:type="dxa"/>
              <w:left w:w="150" w:type="dxa"/>
              <w:bottom w:w="150" w:type="dxa"/>
              <w:right w:w="150" w:type="dxa"/>
            </w:tcMar>
            <w:vAlign w:val="center"/>
          </w:tcPr>
          <w:p w14:paraId="347466A0" w14:textId="77777777" w:rsidR="0064331C" w:rsidRPr="0064331C" w:rsidRDefault="0064331C" w:rsidP="005D385E">
            <w:pPr>
              <w:jc w:val="center"/>
              <w:rPr>
                <w:b/>
                <w:bCs/>
                <w:sz w:val="20"/>
                <w:szCs w:val="20"/>
                <w:lang w:eastAsia="fr-FR"/>
              </w:rPr>
            </w:pPr>
          </w:p>
        </w:tc>
        <w:tc>
          <w:tcPr>
            <w:tcW w:w="766" w:type="dxa"/>
            <w:vMerge/>
            <w:shd w:val="clear" w:color="auto" w:fill="E2EFD9" w:themeFill="accent6" w:themeFillTint="33"/>
            <w:vAlign w:val="center"/>
          </w:tcPr>
          <w:p w14:paraId="7091E4F5" w14:textId="77777777" w:rsidR="0064331C" w:rsidRPr="0064331C" w:rsidRDefault="0064331C" w:rsidP="005D385E">
            <w:pPr>
              <w:jc w:val="center"/>
              <w:rPr>
                <w:b/>
                <w:bCs/>
                <w:sz w:val="20"/>
                <w:szCs w:val="20"/>
                <w:lang w:eastAsia="fr-FR"/>
              </w:rPr>
            </w:pPr>
          </w:p>
        </w:tc>
        <w:tc>
          <w:tcPr>
            <w:tcW w:w="965" w:type="dxa"/>
            <w:vMerge/>
            <w:shd w:val="clear" w:color="auto" w:fill="E2EFD9" w:themeFill="accent6" w:themeFillTint="33"/>
            <w:vAlign w:val="center"/>
          </w:tcPr>
          <w:p w14:paraId="28098D3B" w14:textId="77777777" w:rsidR="0064331C" w:rsidRPr="0064331C" w:rsidRDefault="0064331C" w:rsidP="005D385E">
            <w:pPr>
              <w:jc w:val="center"/>
              <w:rPr>
                <w:b/>
                <w:bCs/>
                <w:sz w:val="20"/>
                <w:szCs w:val="20"/>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117BDE96" w14:textId="77777777" w:rsidR="0064331C" w:rsidRPr="0064331C" w:rsidRDefault="0064331C" w:rsidP="005D385E">
            <w:pPr>
              <w:jc w:val="center"/>
              <w:rPr>
                <w:b/>
                <w:bCs/>
                <w:sz w:val="20"/>
                <w:szCs w:val="20"/>
                <w:lang w:eastAsia="fr-FR"/>
              </w:rPr>
            </w:pPr>
          </w:p>
        </w:tc>
        <w:tc>
          <w:tcPr>
            <w:tcW w:w="793" w:type="dxa"/>
            <w:vMerge/>
            <w:shd w:val="clear" w:color="auto" w:fill="B4C6E7" w:themeFill="accent5" w:themeFillTint="66"/>
            <w:vAlign w:val="center"/>
          </w:tcPr>
          <w:p w14:paraId="5816E546" w14:textId="77777777" w:rsidR="0064331C" w:rsidRPr="0064331C" w:rsidRDefault="0064331C" w:rsidP="005D385E">
            <w:pPr>
              <w:jc w:val="center"/>
              <w:rPr>
                <w:b/>
                <w:bCs/>
                <w:sz w:val="20"/>
                <w:szCs w:val="20"/>
                <w:lang w:eastAsia="fr-FR"/>
              </w:rPr>
            </w:pPr>
          </w:p>
        </w:tc>
        <w:tc>
          <w:tcPr>
            <w:tcW w:w="924" w:type="dxa"/>
            <w:vMerge/>
            <w:shd w:val="clear" w:color="auto" w:fill="B4C6E7" w:themeFill="accent5" w:themeFillTint="66"/>
            <w:vAlign w:val="center"/>
          </w:tcPr>
          <w:p w14:paraId="0166A4E5" w14:textId="77777777" w:rsidR="0064331C" w:rsidRPr="0064331C" w:rsidRDefault="0064331C" w:rsidP="005D385E">
            <w:pPr>
              <w:jc w:val="center"/>
              <w:rPr>
                <w:b/>
                <w:bCs/>
                <w:sz w:val="20"/>
                <w:szCs w:val="20"/>
                <w:lang w:eastAsia="fr-FR"/>
              </w:rPr>
            </w:pPr>
          </w:p>
        </w:tc>
        <w:tc>
          <w:tcPr>
            <w:tcW w:w="786" w:type="dxa"/>
            <w:vMerge/>
            <w:shd w:val="clear" w:color="auto" w:fill="E2EFD9" w:themeFill="accent6" w:themeFillTint="33"/>
            <w:tcMar>
              <w:top w:w="150" w:type="dxa"/>
              <w:left w:w="150" w:type="dxa"/>
              <w:bottom w:w="150" w:type="dxa"/>
              <w:right w:w="150" w:type="dxa"/>
            </w:tcMar>
            <w:vAlign w:val="center"/>
          </w:tcPr>
          <w:p w14:paraId="59D09F56" w14:textId="77777777" w:rsidR="0064331C" w:rsidRPr="0064331C" w:rsidRDefault="0064331C" w:rsidP="005D385E">
            <w:pPr>
              <w:jc w:val="center"/>
              <w:rPr>
                <w:b/>
                <w:bCs/>
                <w:sz w:val="20"/>
                <w:szCs w:val="20"/>
                <w:lang w:eastAsia="fr-FR"/>
              </w:rPr>
            </w:pPr>
          </w:p>
        </w:tc>
        <w:tc>
          <w:tcPr>
            <w:tcW w:w="766" w:type="dxa"/>
            <w:vMerge/>
            <w:shd w:val="clear" w:color="auto" w:fill="B4C6E7" w:themeFill="accent5" w:themeFillTint="66"/>
            <w:vAlign w:val="center"/>
          </w:tcPr>
          <w:p w14:paraId="337D7E49" w14:textId="77777777" w:rsidR="0064331C" w:rsidRPr="0064331C" w:rsidRDefault="0064331C" w:rsidP="005D385E">
            <w:pPr>
              <w:jc w:val="center"/>
              <w:rPr>
                <w:b/>
                <w:bCs/>
                <w:sz w:val="20"/>
                <w:szCs w:val="20"/>
                <w:lang w:eastAsia="fr-FR"/>
              </w:rPr>
            </w:pPr>
          </w:p>
        </w:tc>
        <w:tc>
          <w:tcPr>
            <w:tcW w:w="1055" w:type="dxa"/>
            <w:vMerge/>
            <w:shd w:val="clear" w:color="auto" w:fill="E2EFD9" w:themeFill="accent6" w:themeFillTint="33"/>
            <w:vAlign w:val="center"/>
          </w:tcPr>
          <w:p w14:paraId="706285DE" w14:textId="77777777" w:rsidR="0064331C" w:rsidRPr="0064331C" w:rsidRDefault="0064331C" w:rsidP="005D385E">
            <w:pPr>
              <w:jc w:val="center"/>
              <w:rPr>
                <w:b/>
                <w:bCs/>
                <w:sz w:val="20"/>
                <w:szCs w:val="20"/>
                <w:lang w:eastAsia="fr-FR"/>
              </w:rPr>
            </w:pPr>
          </w:p>
        </w:tc>
      </w:tr>
      <w:tr w:rsidR="0064331C" w:rsidRPr="0064331C" w14:paraId="63DBC2AD"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shd w:val="clear" w:color="auto" w:fill="auto"/>
            <w:vAlign w:val="center"/>
          </w:tcPr>
          <w:p w14:paraId="09EDE892" w14:textId="77777777" w:rsidR="0064331C" w:rsidRPr="0064331C" w:rsidRDefault="0064331C" w:rsidP="005D385E">
            <w:pPr>
              <w:jc w:val="center"/>
              <w:rPr>
                <w:b/>
                <w:bCs/>
                <w:sz w:val="20"/>
                <w:szCs w:val="20"/>
                <w:highlight w:val="magenta"/>
                <w:lang w:eastAsia="fr-FR"/>
              </w:rPr>
            </w:pPr>
            <w:r w:rsidRPr="0064331C">
              <w:rPr>
                <w:b/>
                <w:bCs/>
                <w:sz w:val="20"/>
                <w:szCs w:val="20"/>
                <w:lang w:eastAsia="fr-FR"/>
              </w:rPr>
              <w:t>Gaz de convertisseurs à l’oxygène</w:t>
            </w:r>
          </w:p>
        </w:tc>
        <w:tc>
          <w:tcPr>
            <w:tcW w:w="1587" w:type="dxa"/>
            <w:shd w:val="clear" w:color="auto" w:fill="auto"/>
            <w:tcMar>
              <w:top w:w="150" w:type="dxa"/>
              <w:left w:w="150" w:type="dxa"/>
              <w:bottom w:w="150" w:type="dxa"/>
              <w:right w:w="150" w:type="dxa"/>
            </w:tcMar>
            <w:vAlign w:val="center"/>
          </w:tcPr>
          <w:p w14:paraId="06FFD0C1"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shd w:val="clear" w:color="auto" w:fill="E2EFD9" w:themeFill="accent6" w:themeFillTint="33"/>
            <w:tcMar>
              <w:top w:w="150" w:type="dxa"/>
              <w:left w:w="150" w:type="dxa"/>
              <w:bottom w:w="150" w:type="dxa"/>
              <w:right w:w="150" w:type="dxa"/>
            </w:tcMar>
            <w:vAlign w:val="center"/>
          </w:tcPr>
          <w:p w14:paraId="1EF839EE"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66" w:type="dxa"/>
            <w:shd w:val="clear" w:color="auto" w:fill="B4C6E7" w:themeFill="accent5" w:themeFillTint="66"/>
            <w:vAlign w:val="center"/>
          </w:tcPr>
          <w:p w14:paraId="33D333AE"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965" w:type="dxa"/>
            <w:shd w:val="clear" w:color="auto" w:fill="B4C6E7" w:themeFill="accent5" w:themeFillTint="66"/>
            <w:vAlign w:val="center"/>
          </w:tcPr>
          <w:p w14:paraId="48727A58" w14:textId="77777777" w:rsidR="0064331C" w:rsidRPr="0064331C" w:rsidRDefault="0064331C" w:rsidP="005D385E">
            <w:pPr>
              <w:jc w:val="center"/>
              <w:rPr>
                <w:b/>
                <w:bCs/>
                <w:sz w:val="20"/>
                <w:szCs w:val="20"/>
                <w:lang w:eastAsia="fr-FR"/>
              </w:rPr>
            </w:pPr>
            <w:r w:rsidRPr="0064331C">
              <w:rPr>
                <w:b/>
                <w:bCs/>
                <w:sz w:val="20"/>
                <w:szCs w:val="20"/>
                <w:lang w:eastAsia="fr-FR"/>
              </w:rPr>
              <w:t>38,5</w:t>
            </w:r>
          </w:p>
        </w:tc>
        <w:tc>
          <w:tcPr>
            <w:tcW w:w="786" w:type="dxa"/>
            <w:shd w:val="clear" w:color="auto" w:fill="E2EFD9" w:themeFill="accent6" w:themeFillTint="33"/>
            <w:tcMar>
              <w:top w:w="150" w:type="dxa"/>
              <w:left w:w="150" w:type="dxa"/>
              <w:bottom w:w="150" w:type="dxa"/>
              <w:right w:w="150" w:type="dxa"/>
            </w:tcMar>
            <w:vAlign w:val="center"/>
          </w:tcPr>
          <w:p w14:paraId="6ACC5D87"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3" w:type="dxa"/>
            <w:shd w:val="clear" w:color="auto" w:fill="B4C6E7" w:themeFill="accent5" w:themeFillTint="66"/>
            <w:vAlign w:val="center"/>
          </w:tcPr>
          <w:p w14:paraId="3D2D02E6"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924" w:type="dxa"/>
            <w:shd w:val="clear" w:color="auto" w:fill="B4C6E7" w:themeFill="accent5" w:themeFillTint="66"/>
            <w:vAlign w:val="center"/>
          </w:tcPr>
          <w:p w14:paraId="02D4F8F7"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86" w:type="dxa"/>
            <w:shd w:val="clear" w:color="auto" w:fill="E2EFD9" w:themeFill="accent6" w:themeFillTint="33"/>
            <w:tcMar>
              <w:top w:w="150" w:type="dxa"/>
              <w:left w:w="150" w:type="dxa"/>
              <w:bottom w:w="150" w:type="dxa"/>
              <w:right w:w="150" w:type="dxa"/>
            </w:tcMar>
            <w:vAlign w:val="center"/>
          </w:tcPr>
          <w:p w14:paraId="3F5FD32E"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66" w:type="dxa"/>
            <w:shd w:val="clear" w:color="auto" w:fill="B4C6E7" w:themeFill="accent5" w:themeFillTint="66"/>
            <w:vAlign w:val="center"/>
          </w:tcPr>
          <w:p w14:paraId="5A354F13"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1055" w:type="dxa"/>
            <w:shd w:val="clear" w:color="auto" w:fill="B4C6E7" w:themeFill="accent5" w:themeFillTint="66"/>
            <w:vAlign w:val="center"/>
          </w:tcPr>
          <w:p w14:paraId="4A2761B2"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14B8397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C85EF6" w14:textId="77777777" w:rsidR="0064331C" w:rsidRPr="0064331C" w:rsidRDefault="0064331C" w:rsidP="005D385E">
            <w:pPr>
              <w:jc w:val="center"/>
              <w:rPr>
                <w:b/>
                <w:bCs/>
                <w:sz w:val="20"/>
                <w:szCs w:val="20"/>
                <w:lang w:eastAsia="fr-FR"/>
              </w:rPr>
            </w:pPr>
            <w:bookmarkStart w:id="17" w:name="_Hlk159599544"/>
            <w:r w:rsidRPr="0064331C">
              <w:rPr>
                <w:b/>
                <w:bCs/>
                <w:sz w:val="20"/>
                <w:szCs w:val="20"/>
                <w:lang w:eastAsia="fr-FR"/>
              </w:rPr>
              <w:t>Gaz issus de procédés de l’industrie chimique</w:t>
            </w:r>
          </w:p>
        </w:tc>
        <w:tc>
          <w:tcPr>
            <w:tcW w:w="1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21EFBD5D"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54062E5"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66"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121E9C76" w14:textId="77777777" w:rsidR="0064331C" w:rsidRPr="0064331C" w:rsidRDefault="0064331C" w:rsidP="005D385E">
            <w:pPr>
              <w:jc w:val="center"/>
              <w:rPr>
                <w:b/>
                <w:bCs/>
                <w:sz w:val="20"/>
                <w:szCs w:val="20"/>
                <w:lang w:eastAsia="fr-FR"/>
              </w:rPr>
            </w:pPr>
            <w:r w:rsidRPr="0064331C">
              <w:rPr>
                <w:b/>
                <w:bCs/>
                <w:sz w:val="20"/>
                <w:szCs w:val="20"/>
                <w:highlight w:val="magenta"/>
                <w:lang w:eastAsia="fr-FR"/>
              </w:rPr>
              <w:t>35</w:t>
            </w:r>
          </w:p>
        </w:tc>
        <w:tc>
          <w:tcPr>
            <w:tcW w:w="965"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3B650B9C" w14:textId="77777777" w:rsidR="0064331C" w:rsidRPr="0064331C" w:rsidRDefault="0064331C" w:rsidP="005D385E">
            <w:pPr>
              <w:jc w:val="center"/>
              <w:rPr>
                <w:b/>
                <w:bCs/>
                <w:sz w:val="20"/>
                <w:szCs w:val="20"/>
                <w:highlight w:val="magenta"/>
                <w:lang w:eastAsia="fr-FR"/>
              </w:rPr>
            </w:pPr>
            <w:r w:rsidRPr="0064331C">
              <w:rPr>
                <w:b/>
                <w:bCs/>
                <w:sz w:val="20"/>
                <w:szCs w:val="20"/>
                <w:lang w:eastAsia="fr-FR"/>
              </w:rPr>
              <w:t>38,5</w:t>
            </w:r>
          </w:p>
        </w:tc>
        <w:tc>
          <w:tcPr>
            <w:tcW w:w="786"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E7B2C5D"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793"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4661AEEC"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924"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2C8063FC"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86" w:type="dxa"/>
            <w:vMerge w:val="restart"/>
            <w:tcBorders>
              <w:top w:val="single" w:sz="4" w:space="0" w:color="auto"/>
              <w:left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548882A1" w14:textId="77777777" w:rsidR="0064331C" w:rsidRPr="0064331C" w:rsidRDefault="0064331C" w:rsidP="005D385E">
            <w:pPr>
              <w:jc w:val="center"/>
              <w:rPr>
                <w:b/>
                <w:bCs/>
                <w:sz w:val="20"/>
                <w:szCs w:val="20"/>
                <w:lang w:eastAsia="fr-FR"/>
              </w:rPr>
            </w:pPr>
          </w:p>
        </w:tc>
        <w:tc>
          <w:tcPr>
            <w:tcW w:w="76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4082A4A"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105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84B1D85"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7972EA0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1E611" w14:textId="77777777" w:rsidR="0064331C" w:rsidRPr="0064331C" w:rsidRDefault="0064331C" w:rsidP="005D385E">
            <w:pPr>
              <w:rPr>
                <w:b/>
                <w:bCs/>
                <w:sz w:val="20"/>
                <w:szCs w:val="20"/>
                <w:lang w:eastAsia="fr-FR"/>
              </w:rPr>
            </w:pPr>
          </w:p>
        </w:tc>
        <w:tc>
          <w:tcPr>
            <w:tcW w:w="1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646417D4"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86"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EF31161" w14:textId="77777777" w:rsidR="0064331C" w:rsidRPr="0064331C" w:rsidRDefault="0064331C" w:rsidP="005D385E">
            <w:pPr>
              <w:jc w:val="center"/>
              <w:rPr>
                <w:b/>
                <w:bCs/>
                <w:sz w:val="20"/>
                <w:szCs w:val="20"/>
                <w:lang w:eastAsia="fr-FR"/>
              </w:rPr>
            </w:pPr>
          </w:p>
        </w:tc>
        <w:tc>
          <w:tcPr>
            <w:tcW w:w="766" w:type="dxa"/>
            <w:vMerge/>
            <w:tcBorders>
              <w:left w:val="single" w:sz="4" w:space="0" w:color="auto"/>
              <w:right w:val="single" w:sz="4" w:space="0" w:color="auto"/>
            </w:tcBorders>
            <w:shd w:val="clear" w:color="auto" w:fill="B4C6E7" w:themeFill="accent5" w:themeFillTint="66"/>
            <w:vAlign w:val="center"/>
          </w:tcPr>
          <w:p w14:paraId="7DEEAF9E" w14:textId="77777777" w:rsidR="0064331C" w:rsidRPr="0064331C" w:rsidRDefault="0064331C" w:rsidP="005D385E">
            <w:pPr>
              <w:jc w:val="center"/>
              <w:rPr>
                <w:b/>
                <w:bCs/>
                <w:sz w:val="20"/>
                <w:szCs w:val="20"/>
                <w:lang w:eastAsia="fr-FR"/>
              </w:rPr>
            </w:pPr>
          </w:p>
        </w:tc>
        <w:tc>
          <w:tcPr>
            <w:tcW w:w="965" w:type="dxa"/>
            <w:vMerge/>
            <w:tcBorders>
              <w:left w:val="single" w:sz="4" w:space="0" w:color="auto"/>
              <w:right w:val="single" w:sz="4" w:space="0" w:color="auto"/>
            </w:tcBorders>
            <w:shd w:val="clear" w:color="auto" w:fill="B4C6E7" w:themeFill="accent5" w:themeFillTint="66"/>
            <w:vAlign w:val="center"/>
          </w:tcPr>
          <w:p w14:paraId="48D44A7E" w14:textId="77777777" w:rsidR="0064331C" w:rsidRPr="0064331C" w:rsidRDefault="0064331C" w:rsidP="005D385E">
            <w:pPr>
              <w:jc w:val="center"/>
              <w:rPr>
                <w:b/>
                <w:bCs/>
                <w:sz w:val="20"/>
                <w:szCs w:val="20"/>
                <w:lang w:eastAsia="fr-FR"/>
              </w:rPr>
            </w:pPr>
          </w:p>
        </w:tc>
        <w:tc>
          <w:tcPr>
            <w:tcW w:w="786"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33A94A0" w14:textId="77777777" w:rsidR="0064331C" w:rsidRPr="0064331C" w:rsidRDefault="0064331C" w:rsidP="005D385E">
            <w:pPr>
              <w:jc w:val="center"/>
              <w:rPr>
                <w:b/>
                <w:bCs/>
                <w:sz w:val="20"/>
                <w:szCs w:val="20"/>
                <w:lang w:eastAsia="fr-FR"/>
              </w:rPr>
            </w:pPr>
          </w:p>
        </w:tc>
        <w:tc>
          <w:tcPr>
            <w:tcW w:w="793" w:type="dxa"/>
            <w:vMerge/>
            <w:tcBorders>
              <w:left w:val="single" w:sz="4" w:space="0" w:color="auto"/>
              <w:right w:val="single" w:sz="4" w:space="0" w:color="auto"/>
            </w:tcBorders>
            <w:shd w:val="clear" w:color="auto" w:fill="B4C6E7" w:themeFill="accent5" w:themeFillTint="66"/>
            <w:vAlign w:val="center"/>
          </w:tcPr>
          <w:p w14:paraId="4964713A" w14:textId="77777777" w:rsidR="0064331C" w:rsidRPr="0064331C" w:rsidRDefault="0064331C" w:rsidP="005D385E">
            <w:pPr>
              <w:jc w:val="center"/>
              <w:rPr>
                <w:b/>
                <w:bCs/>
                <w:sz w:val="20"/>
                <w:szCs w:val="20"/>
                <w:lang w:eastAsia="fr-FR"/>
              </w:rPr>
            </w:pPr>
          </w:p>
        </w:tc>
        <w:tc>
          <w:tcPr>
            <w:tcW w:w="924" w:type="dxa"/>
            <w:vMerge/>
            <w:tcBorders>
              <w:left w:val="single" w:sz="4" w:space="0" w:color="auto"/>
              <w:right w:val="single" w:sz="4" w:space="0" w:color="auto"/>
            </w:tcBorders>
            <w:shd w:val="clear" w:color="auto" w:fill="B4C6E7" w:themeFill="accent5" w:themeFillTint="66"/>
            <w:vAlign w:val="center"/>
          </w:tcPr>
          <w:p w14:paraId="2D589344" w14:textId="77777777" w:rsidR="0064331C" w:rsidRPr="0064331C" w:rsidRDefault="0064331C" w:rsidP="005D385E">
            <w:pPr>
              <w:jc w:val="center"/>
              <w:rPr>
                <w:b/>
                <w:bCs/>
                <w:sz w:val="20"/>
                <w:szCs w:val="20"/>
                <w:lang w:eastAsia="fr-FR"/>
              </w:rPr>
            </w:pPr>
          </w:p>
        </w:tc>
        <w:tc>
          <w:tcPr>
            <w:tcW w:w="786" w:type="dxa"/>
            <w:vMerge/>
            <w:tcBorders>
              <w:left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3A165F56" w14:textId="77777777" w:rsidR="0064331C" w:rsidRPr="0064331C" w:rsidRDefault="0064331C" w:rsidP="005D385E">
            <w:pPr>
              <w:jc w:val="center"/>
              <w:rPr>
                <w:b/>
                <w:bCs/>
                <w:sz w:val="20"/>
                <w:szCs w:val="20"/>
                <w:lang w:eastAsia="fr-FR"/>
              </w:rPr>
            </w:pPr>
          </w:p>
        </w:tc>
        <w:tc>
          <w:tcPr>
            <w:tcW w:w="766" w:type="dxa"/>
            <w:vMerge/>
            <w:tcBorders>
              <w:left w:val="single" w:sz="4" w:space="0" w:color="auto"/>
              <w:right w:val="single" w:sz="4" w:space="0" w:color="auto"/>
            </w:tcBorders>
            <w:shd w:val="clear" w:color="auto" w:fill="BFBFBF" w:themeFill="background1" w:themeFillShade="BF"/>
            <w:vAlign w:val="center"/>
          </w:tcPr>
          <w:p w14:paraId="07543299" w14:textId="77777777" w:rsidR="0064331C" w:rsidRPr="0064331C" w:rsidRDefault="0064331C" w:rsidP="005D385E">
            <w:pPr>
              <w:jc w:val="center"/>
              <w:rPr>
                <w:b/>
                <w:bCs/>
                <w:sz w:val="20"/>
                <w:szCs w:val="20"/>
                <w:lang w:eastAsia="fr-FR"/>
              </w:rPr>
            </w:pPr>
          </w:p>
        </w:tc>
        <w:tc>
          <w:tcPr>
            <w:tcW w:w="1055" w:type="dxa"/>
            <w:vMerge/>
            <w:tcBorders>
              <w:left w:val="single" w:sz="4" w:space="0" w:color="auto"/>
              <w:right w:val="single" w:sz="4" w:space="0" w:color="auto"/>
            </w:tcBorders>
            <w:shd w:val="clear" w:color="auto" w:fill="BFBFBF" w:themeFill="background1" w:themeFillShade="BF"/>
            <w:vAlign w:val="center"/>
          </w:tcPr>
          <w:p w14:paraId="4425CE94" w14:textId="77777777" w:rsidR="0064331C" w:rsidRPr="0064331C" w:rsidRDefault="0064331C" w:rsidP="005D385E">
            <w:pPr>
              <w:jc w:val="center"/>
              <w:rPr>
                <w:b/>
                <w:bCs/>
                <w:sz w:val="20"/>
                <w:szCs w:val="20"/>
                <w:lang w:eastAsia="fr-FR"/>
              </w:rPr>
            </w:pPr>
          </w:p>
        </w:tc>
      </w:tr>
      <w:tr w:rsidR="0064331C" w:rsidRPr="0064331C" w14:paraId="733E5826"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897F83" w14:textId="77777777" w:rsidR="0064331C" w:rsidRPr="0064331C" w:rsidRDefault="0064331C" w:rsidP="005D385E">
            <w:pPr>
              <w:rPr>
                <w:b/>
                <w:bCs/>
                <w:sz w:val="20"/>
                <w:szCs w:val="20"/>
                <w:lang w:eastAsia="fr-FR"/>
              </w:rPr>
            </w:pPr>
          </w:p>
        </w:tc>
        <w:tc>
          <w:tcPr>
            <w:tcW w:w="1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5DEDA46C"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86" w:type="dxa"/>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0C9A94A" w14:textId="77777777" w:rsidR="0064331C" w:rsidRPr="0064331C" w:rsidRDefault="0064331C" w:rsidP="005D385E">
            <w:pPr>
              <w:jc w:val="center"/>
              <w:rPr>
                <w:b/>
                <w:bCs/>
                <w:sz w:val="20"/>
                <w:szCs w:val="20"/>
                <w:lang w:eastAsia="fr-FR"/>
              </w:rPr>
            </w:pPr>
          </w:p>
        </w:tc>
        <w:tc>
          <w:tcPr>
            <w:tcW w:w="766" w:type="dxa"/>
            <w:vMerge/>
            <w:tcBorders>
              <w:left w:val="single" w:sz="4" w:space="0" w:color="auto"/>
              <w:bottom w:val="single" w:sz="4" w:space="0" w:color="auto"/>
              <w:right w:val="single" w:sz="4" w:space="0" w:color="auto"/>
            </w:tcBorders>
            <w:shd w:val="clear" w:color="auto" w:fill="B4C6E7" w:themeFill="accent5" w:themeFillTint="66"/>
            <w:vAlign w:val="center"/>
          </w:tcPr>
          <w:p w14:paraId="53703E7E" w14:textId="77777777" w:rsidR="0064331C" w:rsidRPr="0064331C" w:rsidRDefault="0064331C" w:rsidP="005D385E">
            <w:pPr>
              <w:jc w:val="center"/>
              <w:rPr>
                <w:b/>
                <w:bCs/>
                <w:sz w:val="20"/>
                <w:szCs w:val="20"/>
                <w:lang w:eastAsia="fr-FR"/>
              </w:rPr>
            </w:pPr>
          </w:p>
        </w:tc>
        <w:tc>
          <w:tcPr>
            <w:tcW w:w="965" w:type="dxa"/>
            <w:vMerge/>
            <w:tcBorders>
              <w:left w:val="single" w:sz="4" w:space="0" w:color="auto"/>
              <w:bottom w:val="single" w:sz="4" w:space="0" w:color="auto"/>
              <w:right w:val="single" w:sz="4" w:space="0" w:color="auto"/>
            </w:tcBorders>
            <w:shd w:val="clear" w:color="auto" w:fill="B4C6E7" w:themeFill="accent5" w:themeFillTint="66"/>
            <w:vAlign w:val="center"/>
          </w:tcPr>
          <w:p w14:paraId="141A53F9" w14:textId="77777777" w:rsidR="0064331C" w:rsidRPr="0064331C" w:rsidRDefault="0064331C" w:rsidP="005D385E">
            <w:pPr>
              <w:jc w:val="center"/>
              <w:rPr>
                <w:b/>
                <w:bCs/>
                <w:sz w:val="20"/>
                <w:szCs w:val="20"/>
                <w:lang w:eastAsia="fr-FR"/>
              </w:rPr>
            </w:pPr>
          </w:p>
        </w:tc>
        <w:tc>
          <w:tcPr>
            <w:tcW w:w="786" w:type="dxa"/>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114417C" w14:textId="77777777" w:rsidR="0064331C" w:rsidRPr="0064331C" w:rsidRDefault="0064331C" w:rsidP="005D385E">
            <w:pPr>
              <w:jc w:val="center"/>
              <w:rPr>
                <w:b/>
                <w:bCs/>
                <w:sz w:val="20"/>
                <w:szCs w:val="20"/>
                <w:lang w:eastAsia="fr-FR"/>
              </w:rPr>
            </w:pPr>
          </w:p>
        </w:tc>
        <w:tc>
          <w:tcPr>
            <w:tcW w:w="793" w:type="dxa"/>
            <w:vMerge/>
            <w:tcBorders>
              <w:left w:val="single" w:sz="4" w:space="0" w:color="auto"/>
              <w:bottom w:val="single" w:sz="4" w:space="0" w:color="auto"/>
              <w:right w:val="single" w:sz="4" w:space="0" w:color="auto"/>
            </w:tcBorders>
            <w:shd w:val="clear" w:color="auto" w:fill="B4C6E7" w:themeFill="accent5" w:themeFillTint="66"/>
            <w:vAlign w:val="center"/>
          </w:tcPr>
          <w:p w14:paraId="11211D92" w14:textId="77777777" w:rsidR="0064331C" w:rsidRPr="0064331C" w:rsidRDefault="0064331C" w:rsidP="005D385E">
            <w:pPr>
              <w:jc w:val="center"/>
              <w:rPr>
                <w:b/>
                <w:bCs/>
                <w:sz w:val="20"/>
                <w:szCs w:val="20"/>
                <w:lang w:eastAsia="fr-FR"/>
              </w:rPr>
            </w:pPr>
          </w:p>
        </w:tc>
        <w:tc>
          <w:tcPr>
            <w:tcW w:w="924" w:type="dxa"/>
            <w:vMerge/>
            <w:tcBorders>
              <w:left w:val="single" w:sz="4" w:space="0" w:color="auto"/>
              <w:bottom w:val="single" w:sz="4" w:space="0" w:color="auto"/>
              <w:right w:val="single" w:sz="4" w:space="0" w:color="auto"/>
            </w:tcBorders>
            <w:shd w:val="clear" w:color="auto" w:fill="B4C6E7" w:themeFill="accent5" w:themeFillTint="66"/>
            <w:vAlign w:val="center"/>
          </w:tcPr>
          <w:p w14:paraId="3E78369E" w14:textId="77777777" w:rsidR="0064331C" w:rsidRPr="0064331C" w:rsidRDefault="0064331C" w:rsidP="005D385E">
            <w:pPr>
              <w:jc w:val="center"/>
              <w:rPr>
                <w:b/>
                <w:bCs/>
                <w:sz w:val="20"/>
                <w:szCs w:val="20"/>
                <w:lang w:eastAsia="fr-FR"/>
              </w:rPr>
            </w:pPr>
          </w:p>
        </w:tc>
        <w:tc>
          <w:tcPr>
            <w:tcW w:w="786" w:type="dxa"/>
            <w:vMerge/>
            <w:tcBorders>
              <w:left w:val="single" w:sz="4" w:space="0" w:color="auto"/>
              <w:bottom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24D4174E" w14:textId="77777777" w:rsidR="0064331C" w:rsidRPr="0064331C" w:rsidRDefault="0064331C" w:rsidP="005D385E">
            <w:pPr>
              <w:jc w:val="center"/>
              <w:rPr>
                <w:b/>
                <w:bCs/>
                <w:sz w:val="20"/>
                <w:szCs w:val="20"/>
                <w:lang w:eastAsia="fr-FR"/>
              </w:rPr>
            </w:pPr>
          </w:p>
        </w:tc>
        <w:tc>
          <w:tcPr>
            <w:tcW w:w="76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78EBEE2" w14:textId="77777777" w:rsidR="0064331C" w:rsidRPr="0064331C" w:rsidRDefault="0064331C" w:rsidP="005D385E">
            <w:pPr>
              <w:jc w:val="center"/>
              <w:rPr>
                <w:b/>
                <w:bCs/>
                <w:sz w:val="20"/>
                <w:szCs w:val="20"/>
                <w:lang w:eastAsia="fr-FR"/>
              </w:rPr>
            </w:pPr>
          </w:p>
        </w:tc>
        <w:tc>
          <w:tcPr>
            <w:tcW w:w="1055"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A3DE31B" w14:textId="77777777" w:rsidR="0064331C" w:rsidRPr="0064331C" w:rsidRDefault="0064331C" w:rsidP="005D385E">
            <w:pPr>
              <w:jc w:val="center"/>
              <w:rPr>
                <w:b/>
                <w:bCs/>
                <w:sz w:val="20"/>
                <w:szCs w:val="20"/>
                <w:lang w:eastAsia="fr-FR"/>
              </w:rPr>
            </w:pPr>
          </w:p>
        </w:tc>
      </w:tr>
      <w:bookmarkEnd w:id="15"/>
      <w:bookmarkEnd w:id="16"/>
      <w:bookmarkEnd w:id="17"/>
      <w:tr w:rsidR="0064331C" w:rsidRPr="0064331C" w14:paraId="593B12C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39C8A5BD" w14:textId="77777777" w:rsidR="0064331C" w:rsidRPr="0064331C" w:rsidRDefault="0064331C" w:rsidP="005D385E">
            <w:pPr>
              <w:jc w:val="center"/>
              <w:rPr>
                <w:b/>
                <w:bCs/>
                <w:sz w:val="20"/>
                <w:szCs w:val="20"/>
                <w:lang w:eastAsia="fr-FR"/>
              </w:rPr>
            </w:pPr>
            <w:r w:rsidRPr="0064331C">
              <w:rPr>
                <w:b/>
                <w:bCs/>
                <w:sz w:val="20"/>
                <w:szCs w:val="20"/>
                <w:lang w:eastAsia="fr-FR"/>
              </w:rPr>
              <w:t>Mélanges de liquides et de gaz issus de procédés de l’industrie chimique</w:t>
            </w:r>
          </w:p>
        </w:tc>
        <w:tc>
          <w:tcPr>
            <w:tcW w:w="1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618B07EB"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786"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DBBAE6B"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6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41F15DE" w14:textId="77777777" w:rsidR="0064331C" w:rsidRPr="0064331C" w:rsidRDefault="0064331C" w:rsidP="005D385E">
            <w:pPr>
              <w:jc w:val="center"/>
              <w:rPr>
                <w:b/>
                <w:bCs/>
                <w:sz w:val="20"/>
                <w:szCs w:val="20"/>
                <w:lang w:eastAsia="fr-FR"/>
              </w:rPr>
            </w:pPr>
          </w:p>
        </w:tc>
        <w:tc>
          <w:tcPr>
            <w:tcW w:w="965"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079694B5"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86"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6D399EE" w14:textId="77777777" w:rsidR="0064331C" w:rsidRPr="0064331C" w:rsidRDefault="0064331C" w:rsidP="005D385E">
            <w:pPr>
              <w:jc w:val="center"/>
              <w:rPr>
                <w:b/>
                <w:bCs/>
                <w:sz w:val="20"/>
                <w:szCs w:val="20"/>
                <w:lang w:eastAsia="fr-FR"/>
              </w:rPr>
            </w:pPr>
            <w:r w:rsidRPr="0064331C">
              <w:rPr>
                <w:b/>
                <w:bCs/>
                <w:sz w:val="20"/>
                <w:szCs w:val="20"/>
                <w:lang w:eastAsia="fr-FR"/>
              </w:rPr>
              <w:t>290</w:t>
            </w:r>
          </w:p>
        </w:tc>
        <w:tc>
          <w:tcPr>
            <w:tcW w:w="793" w:type="dxa"/>
            <w:vMerge w:val="restart"/>
            <w:tcBorders>
              <w:top w:val="single" w:sz="4" w:space="0" w:color="auto"/>
              <w:left w:val="single" w:sz="4" w:space="0" w:color="auto"/>
              <w:right w:val="single" w:sz="4" w:space="0" w:color="auto"/>
            </w:tcBorders>
            <w:shd w:val="clear" w:color="auto" w:fill="C9C9C9" w:themeFill="accent3" w:themeFillTint="99"/>
            <w:vAlign w:val="center"/>
          </w:tcPr>
          <w:p w14:paraId="6EC4FF72" w14:textId="77777777" w:rsidR="0064331C" w:rsidRPr="0064331C" w:rsidRDefault="0064331C" w:rsidP="005D385E">
            <w:pPr>
              <w:jc w:val="center"/>
              <w:rPr>
                <w:b/>
                <w:bCs/>
                <w:sz w:val="20"/>
                <w:szCs w:val="20"/>
                <w:lang w:eastAsia="fr-FR"/>
              </w:rPr>
            </w:pPr>
          </w:p>
        </w:tc>
        <w:tc>
          <w:tcPr>
            <w:tcW w:w="924"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1688BD44" w14:textId="77777777" w:rsidR="0064331C" w:rsidRPr="0064331C" w:rsidRDefault="0064331C" w:rsidP="005D385E">
            <w:pPr>
              <w:jc w:val="center"/>
              <w:rPr>
                <w:b/>
                <w:bCs/>
                <w:sz w:val="20"/>
                <w:szCs w:val="20"/>
                <w:lang w:eastAsia="fr-FR"/>
              </w:rPr>
            </w:pPr>
            <w:r w:rsidRPr="0064331C">
              <w:rPr>
                <w:b/>
                <w:bCs/>
                <w:sz w:val="20"/>
                <w:szCs w:val="20"/>
                <w:lang w:eastAsia="fr-FR"/>
              </w:rPr>
              <w:t>330</w:t>
            </w:r>
          </w:p>
        </w:tc>
        <w:tc>
          <w:tcPr>
            <w:tcW w:w="786"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6D18F21"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76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06CAC06" w14:textId="77777777" w:rsidR="0064331C" w:rsidRPr="0064331C" w:rsidRDefault="0064331C" w:rsidP="005D385E">
            <w:pPr>
              <w:jc w:val="center"/>
              <w:rPr>
                <w:b/>
                <w:bCs/>
                <w:sz w:val="20"/>
                <w:szCs w:val="20"/>
                <w:lang w:eastAsia="fr-FR"/>
              </w:rPr>
            </w:pPr>
          </w:p>
        </w:tc>
        <w:tc>
          <w:tcPr>
            <w:tcW w:w="1055"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64101D25" w14:textId="77777777" w:rsidR="0064331C" w:rsidRPr="0064331C" w:rsidRDefault="0064331C" w:rsidP="005D385E">
            <w:pPr>
              <w:jc w:val="center"/>
              <w:rPr>
                <w:b/>
                <w:bCs/>
                <w:sz w:val="20"/>
                <w:szCs w:val="20"/>
                <w:lang w:eastAsia="fr-FR"/>
              </w:rPr>
            </w:pPr>
            <w:r w:rsidRPr="0064331C">
              <w:rPr>
                <w:b/>
                <w:bCs/>
                <w:sz w:val="20"/>
                <w:szCs w:val="20"/>
                <w:lang w:eastAsia="fr-FR"/>
              </w:rPr>
              <w:t>25</w:t>
            </w:r>
          </w:p>
        </w:tc>
      </w:tr>
      <w:tr w:rsidR="0064331C" w:rsidRPr="0064331C" w14:paraId="0622A736"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tcBorders>
              <w:left w:val="single" w:sz="4" w:space="0" w:color="auto"/>
              <w:right w:val="single" w:sz="4" w:space="0" w:color="auto"/>
            </w:tcBorders>
            <w:shd w:val="clear" w:color="auto" w:fill="auto"/>
            <w:vAlign w:val="center"/>
          </w:tcPr>
          <w:p w14:paraId="4A4BFE4F" w14:textId="77777777" w:rsidR="0064331C" w:rsidRPr="0064331C" w:rsidRDefault="0064331C" w:rsidP="005D385E">
            <w:pPr>
              <w:jc w:val="center"/>
              <w:rPr>
                <w:b/>
                <w:bCs/>
                <w:sz w:val="20"/>
                <w:szCs w:val="20"/>
                <w:highlight w:val="magenta"/>
                <w:lang w:eastAsia="fr-FR"/>
              </w:rPr>
            </w:pPr>
          </w:p>
        </w:tc>
        <w:tc>
          <w:tcPr>
            <w:tcW w:w="1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6068085F"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786"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215FF07" w14:textId="77777777" w:rsidR="0064331C" w:rsidRPr="0064331C" w:rsidRDefault="0064331C" w:rsidP="005D385E">
            <w:pPr>
              <w:jc w:val="center"/>
              <w:rPr>
                <w:b/>
                <w:bCs/>
                <w:sz w:val="20"/>
                <w:szCs w:val="20"/>
                <w:lang w:eastAsia="fr-FR"/>
              </w:rPr>
            </w:pPr>
          </w:p>
        </w:tc>
        <w:tc>
          <w:tcPr>
            <w:tcW w:w="766" w:type="dxa"/>
            <w:vMerge/>
            <w:tcBorders>
              <w:left w:val="single" w:sz="4" w:space="0" w:color="auto"/>
              <w:right w:val="single" w:sz="4" w:space="0" w:color="auto"/>
            </w:tcBorders>
            <w:shd w:val="clear" w:color="auto" w:fill="BFBFBF" w:themeFill="background1" w:themeFillShade="BF"/>
            <w:vAlign w:val="center"/>
          </w:tcPr>
          <w:p w14:paraId="70E57333" w14:textId="77777777" w:rsidR="0064331C" w:rsidRPr="0064331C" w:rsidRDefault="0064331C" w:rsidP="005D385E">
            <w:pPr>
              <w:jc w:val="center"/>
              <w:rPr>
                <w:b/>
                <w:bCs/>
                <w:sz w:val="20"/>
                <w:szCs w:val="20"/>
                <w:lang w:eastAsia="fr-FR"/>
              </w:rPr>
            </w:pPr>
          </w:p>
        </w:tc>
        <w:tc>
          <w:tcPr>
            <w:tcW w:w="965" w:type="dxa"/>
            <w:vMerge/>
            <w:tcBorders>
              <w:left w:val="single" w:sz="4" w:space="0" w:color="auto"/>
              <w:right w:val="single" w:sz="4" w:space="0" w:color="auto"/>
            </w:tcBorders>
            <w:shd w:val="clear" w:color="auto" w:fill="E2EFD9" w:themeFill="accent6" w:themeFillTint="33"/>
            <w:vAlign w:val="center"/>
          </w:tcPr>
          <w:p w14:paraId="2D816C8E" w14:textId="77777777" w:rsidR="0064331C" w:rsidRPr="0064331C" w:rsidRDefault="0064331C" w:rsidP="005D385E">
            <w:pPr>
              <w:jc w:val="center"/>
              <w:rPr>
                <w:b/>
                <w:bCs/>
                <w:sz w:val="20"/>
                <w:szCs w:val="20"/>
                <w:lang w:eastAsia="fr-FR"/>
              </w:rPr>
            </w:pPr>
          </w:p>
        </w:tc>
        <w:tc>
          <w:tcPr>
            <w:tcW w:w="786"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92E5555" w14:textId="77777777" w:rsidR="0064331C" w:rsidRPr="0064331C" w:rsidRDefault="0064331C" w:rsidP="005D385E">
            <w:pPr>
              <w:jc w:val="center"/>
              <w:rPr>
                <w:b/>
                <w:bCs/>
                <w:sz w:val="20"/>
                <w:szCs w:val="20"/>
                <w:lang w:eastAsia="fr-FR"/>
              </w:rPr>
            </w:pPr>
          </w:p>
        </w:tc>
        <w:tc>
          <w:tcPr>
            <w:tcW w:w="793" w:type="dxa"/>
            <w:vMerge/>
            <w:tcBorders>
              <w:left w:val="single" w:sz="4" w:space="0" w:color="auto"/>
              <w:right w:val="single" w:sz="4" w:space="0" w:color="auto"/>
            </w:tcBorders>
            <w:shd w:val="clear" w:color="auto" w:fill="C9C9C9" w:themeFill="accent3" w:themeFillTint="99"/>
            <w:vAlign w:val="center"/>
          </w:tcPr>
          <w:p w14:paraId="618C7E3C" w14:textId="77777777" w:rsidR="0064331C" w:rsidRPr="0064331C" w:rsidRDefault="0064331C" w:rsidP="005D385E">
            <w:pPr>
              <w:jc w:val="center"/>
              <w:rPr>
                <w:b/>
                <w:bCs/>
                <w:sz w:val="20"/>
                <w:szCs w:val="20"/>
                <w:lang w:eastAsia="fr-FR"/>
              </w:rPr>
            </w:pPr>
          </w:p>
        </w:tc>
        <w:tc>
          <w:tcPr>
            <w:tcW w:w="924" w:type="dxa"/>
            <w:vMerge/>
            <w:tcBorders>
              <w:left w:val="single" w:sz="4" w:space="0" w:color="auto"/>
              <w:right w:val="single" w:sz="4" w:space="0" w:color="auto"/>
            </w:tcBorders>
            <w:shd w:val="clear" w:color="auto" w:fill="E2EFD9" w:themeFill="accent6" w:themeFillTint="33"/>
            <w:vAlign w:val="center"/>
          </w:tcPr>
          <w:p w14:paraId="65D3B443" w14:textId="77777777" w:rsidR="0064331C" w:rsidRPr="0064331C" w:rsidRDefault="0064331C" w:rsidP="005D385E">
            <w:pPr>
              <w:jc w:val="center"/>
              <w:rPr>
                <w:b/>
                <w:bCs/>
                <w:sz w:val="20"/>
                <w:szCs w:val="20"/>
                <w:lang w:eastAsia="fr-FR"/>
              </w:rPr>
            </w:pPr>
          </w:p>
        </w:tc>
        <w:tc>
          <w:tcPr>
            <w:tcW w:w="786"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5B760D6" w14:textId="77777777" w:rsidR="0064331C" w:rsidRPr="0064331C" w:rsidRDefault="0064331C" w:rsidP="005D385E">
            <w:pPr>
              <w:jc w:val="center"/>
              <w:rPr>
                <w:b/>
                <w:bCs/>
                <w:sz w:val="20"/>
                <w:szCs w:val="20"/>
                <w:lang w:eastAsia="fr-FR"/>
              </w:rPr>
            </w:pPr>
          </w:p>
        </w:tc>
        <w:tc>
          <w:tcPr>
            <w:tcW w:w="766" w:type="dxa"/>
            <w:vMerge/>
            <w:tcBorders>
              <w:left w:val="single" w:sz="4" w:space="0" w:color="auto"/>
              <w:right w:val="single" w:sz="4" w:space="0" w:color="auto"/>
            </w:tcBorders>
            <w:shd w:val="clear" w:color="auto" w:fill="BFBFBF" w:themeFill="background1" w:themeFillShade="BF"/>
            <w:vAlign w:val="center"/>
          </w:tcPr>
          <w:p w14:paraId="670A93D5" w14:textId="77777777" w:rsidR="0064331C" w:rsidRPr="0064331C" w:rsidRDefault="0064331C" w:rsidP="005D385E">
            <w:pPr>
              <w:jc w:val="center"/>
              <w:rPr>
                <w:b/>
                <w:bCs/>
                <w:sz w:val="20"/>
                <w:szCs w:val="20"/>
                <w:lang w:eastAsia="fr-FR"/>
              </w:rPr>
            </w:pPr>
          </w:p>
        </w:tc>
        <w:tc>
          <w:tcPr>
            <w:tcW w:w="1055" w:type="dxa"/>
            <w:vMerge/>
            <w:tcBorders>
              <w:left w:val="single" w:sz="4" w:space="0" w:color="auto"/>
              <w:right w:val="single" w:sz="4" w:space="0" w:color="auto"/>
            </w:tcBorders>
            <w:shd w:val="clear" w:color="auto" w:fill="E2EFD9" w:themeFill="accent6" w:themeFillTint="33"/>
            <w:vAlign w:val="center"/>
          </w:tcPr>
          <w:p w14:paraId="1BD64506" w14:textId="77777777" w:rsidR="0064331C" w:rsidRPr="0064331C" w:rsidRDefault="0064331C" w:rsidP="005D385E">
            <w:pPr>
              <w:jc w:val="center"/>
              <w:rPr>
                <w:b/>
                <w:bCs/>
                <w:sz w:val="20"/>
                <w:szCs w:val="20"/>
                <w:lang w:eastAsia="fr-FR"/>
              </w:rPr>
            </w:pPr>
          </w:p>
        </w:tc>
      </w:tr>
      <w:tr w:rsidR="0064331C" w:rsidRPr="0064331C" w14:paraId="24C8C64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tcBorders>
              <w:left w:val="single" w:sz="4" w:space="0" w:color="auto"/>
              <w:right w:val="single" w:sz="4" w:space="0" w:color="auto"/>
            </w:tcBorders>
            <w:shd w:val="clear" w:color="auto" w:fill="auto"/>
            <w:vAlign w:val="center"/>
          </w:tcPr>
          <w:p w14:paraId="7A7586A6" w14:textId="77777777" w:rsidR="0064331C" w:rsidRPr="0064331C" w:rsidRDefault="0064331C" w:rsidP="005D385E">
            <w:pPr>
              <w:jc w:val="center"/>
              <w:rPr>
                <w:b/>
                <w:bCs/>
                <w:sz w:val="20"/>
                <w:szCs w:val="20"/>
                <w:highlight w:val="magenta"/>
                <w:lang w:eastAsia="fr-FR"/>
              </w:rPr>
            </w:pPr>
          </w:p>
        </w:tc>
        <w:tc>
          <w:tcPr>
            <w:tcW w:w="1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09BB8BD0"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786"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AEF67A0" w14:textId="77777777" w:rsidR="0064331C" w:rsidRPr="0064331C" w:rsidRDefault="0064331C" w:rsidP="005D385E">
            <w:pPr>
              <w:jc w:val="center"/>
              <w:rPr>
                <w:b/>
                <w:bCs/>
                <w:sz w:val="20"/>
                <w:szCs w:val="20"/>
                <w:lang w:eastAsia="fr-FR"/>
              </w:rPr>
            </w:pPr>
          </w:p>
        </w:tc>
        <w:tc>
          <w:tcPr>
            <w:tcW w:w="766" w:type="dxa"/>
            <w:vMerge/>
            <w:tcBorders>
              <w:left w:val="single" w:sz="4" w:space="0" w:color="auto"/>
              <w:right w:val="single" w:sz="4" w:space="0" w:color="auto"/>
            </w:tcBorders>
            <w:shd w:val="clear" w:color="auto" w:fill="BFBFBF" w:themeFill="background1" w:themeFillShade="BF"/>
            <w:vAlign w:val="center"/>
          </w:tcPr>
          <w:p w14:paraId="4D6766C0" w14:textId="77777777" w:rsidR="0064331C" w:rsidRPr="0064331C" w:rsidRDefault="0064331C" w:rsidP="005D385E">
            <w:pPr>
              <w:jc w:val="center"/>
              <w:rPr>
                <w:b/>
                <w:bCs/>
                <w:sz w:val="20"/>
                <w:szCs w:val="20"/>
                <w:lang w:eastAsia="fr-FR"/>
              </w:rPr>
            </w:pPr>
          </w:p>
        </w:tc>
        <w:tc>
          <w:tcPr>
            <w:tcW w:w="965" w:type="dxa"/>
            <w:vMerge/>
            <w:tcBorders>
              <w:left w:val="single" w:sz="4" w:space="0" w:color="auto"/>
              <w:right w:val="single" w:sz="4" w:space="0" w:color="auto"/>
            </w:tcBorders>
            <w:shd w:val="clear" w:color="auto" w:fill="E2EFD9" w:themeFill="accent6" w:themeFillTint="33"/>
            <w:vAlign w:val="center"/>
          </w:tcPr>
          <w:p w14:paraId="12DDB6E2" w14:textId="77777777" w:rsidR="0064331C" w:rsidRPr="0064331C" w:rsidRDefault="0064331C" w:rsidP="005D385E">
            <w:pPr>
              <w:jc w:val="center"/>
              <w:rPr>
                <w:b/>
                <w:bCs/>
                <w:sz w:val="20"/>
                <w:szCs w:val="20"/>
                <w:lang w:eastAsia="fr-FR"/>
              </w:rPr>
            </w:pPr>
          </w:p>
        </w:tc>
        <w:tc>
          <w:tcPr>
            <w:tcW w:w="786"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EBDBB7D" w14:textId="77777777" w:rsidR="0064331C" w:rsidRPr="0064331C" w:rsidRDefault="0064331C" w:rsidP="005D385E">
            <w:pPr>
              <w:jc w:val="center"/>
              <w:rPr>
                <w:b/>
                <w:bCs/>
                <w:sz w:val="20"/>
                <w:szCs w:val="20"/>
                <w:lang w:eastAsia="fr-FR"/>
              </w:rPr>
            </w:pPr>
          </w:p>
        </w:tc>
        <w:tc>
          <w:tcPr>
            <w:tcW w:w="793" w:type="dxa"/>
            <w:vMerge/>
            <w:tcBorders>
              <w:left w:val="single" w:sz="4" w:space="0" w:color="auto"/>
              <w:right w:val="single" w:sz="4" w:space="0" w:color="auto"/>
            </w:tcBorders>
            <w:shd w:val="clear" w:color="auto" w:fill="C9C9C9" w:themeFill="accent3" w:themeFillTint="99"/>
            <w:vAlign w:val="center"/>
          </w:tcPr>
          <w:p w14:paraId="2FCE9DE0" w14:textId="77777777" w:rsidR="0064331C" w:rsidRPr="0064331C" w:rsidRDefault="0064331C" w:rsidP="005D385E">
            <w:pPr>
              <w:jc w:val="center"/>
              <w:rPr>
                <w:b/>
                <w:bCs/>
                <w:sz w:val="20"/>
                <w:szCs w:val="20"/>
                <w:lang w:eastAsia="fr-FR"/>
              </w:rPr>
            </w:pPr>
          </w:p>
        </w:tc>
        <w:tc>
          <w:tcPr>
            <w:tcW w:w="924" w:type="dxa"/>
            <w:vMerge/>
            <w:tcBorders>
              <w:left w:val="single" w:sz="4" w:space="0" w:color="auto"/>
              <w:right w:val="single" w:sz="4" w:space="0" w:color="auto"/>
            </w:tcBorders>
            <w:shd w:val="clear" w:color="auto" w:fill="E2EFD9" w:themeFill="accent6" w:themeFillTint="33"/>
            <w:vAlign w:val="center"/>
          </w:tcPr>
          <w:p w14:paraId="248B70B2" w14:textId="77777777" w:rsidR="0064331C" w:rsidRPr="0064331C" w:rsidRDefault="0064331C" w:rsidP="005D385E">
            <w:pPr>
              <w:jc w:val="center"/>
              <w:rPr>
                <w:b/>
                <w:bCs/>
                <w:sz w:val="20"/>
                <w:szCs w:val="20"/>
                <w:lang w:eastAsia="fr-FR"/>
              </w:rPr>
            </w:pPr>
          </w:p>
        </w:tc>
        <w:tc>
          <w:tcPr>
            <w:tcW w:w="786"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46F19BC" w14:textId="77777777" w:rsidR="0064331C" w:rsidRPr="0064331C" w:rsidRDefault="0064331C" w:rsidP="005D385E">
            <w:pPr>
              <w:jc w:val="center"/>
              <w:rPr>
                <w:b/>
                <w:bCs/>
                <w:sz w:val="20"/>
                <w:szCs w:val="20"/>
                <w:lang w:eastAsia="fr-FR"/>
              </w:rPr>
            </w:pPr>
          </w:p>
        </w:tc>
        <w:tc>
          <w:tcPr>
            <w:tcW w:w="766" w:type="dxa"/>
            <w:vMerge/>
            <w:tcBorders>
              <w:left w:val="single" w:sz="4" w:space="0" w:color="auto"/>
              <w:right w:val="single" w:sz="4" w:space="0" w:color="auto"/>
            </w:tcBorders>
            <w:shd w:val="clear" w:color="auto" w:fill="BFBFBF" w:themeFill="background1" w:themeFillShade="BF"/>
            <w:vAlign w:val="center"/>
          </w:tcPr>
          <w:p w14:paraId="053AF633" w14:textId="77777777" w:rsidR="0064331C" w:rsidRPr="0064331C" w:rsidRDefault="0064331C" w:rsidP="005D385E">
            <w:pPr>
              <w:jc w:val="center"/>
              <w:rPr>
                <w:b/>
                <w:bCs/>
                <w:sz w:val="20"/>
                <w:szCs w:val="20"/>
                <w:lang w:eastAsia="fr-FR"/>
              </w:rPr>
            </w:pPr>
          </w:p>
        </w:tc>
        <w:tc>
          <w:tcPr>
            <w:tcW w:w="1055" w:type="dxa"/>
            <w:vMerge/>
            <w:tcBorders>
              <w:left w:val="single" w:sz="4" w:space="0" w:color="auto"/>
              <w:right w:val="single" w:sz="4" w:space="0" w:color="auto"/>
            </w:tcBorders>
            <w:shd w:val="clear" w:color="auto" w:fill="E2EFD9" w:themeFill="accent6" w:themeFillTint="33"/>
            <w:vAlign w:val="center"/>
          </w:tcPr>
          <w:p w14:paraId="4203BF25" w14:textId="77777777" w:rsidR="0064331C" w:rsidRPr="0064331C" w:rsidRDefault="0064331C" w:rsidP="005D385E">
            <w:pPr>
              <w:jc w:val="center"/>
              <w:rPr>
                <w:b/>
                <w:bCs/>
                <w:sz w:val="20"/>
                <w:szCs w:val="20"/>
                <w:lang w:eastAsia="fr-FR"/>
              </w:rPr>
            </w:pPr>
          </w:p>
        </w:tc>
      </w:tr>
      <w:tr w:rsidR="0064331C" w:rsidRPr="0064331C" w14:paraId="2ADE1285"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150" w:type="dxa"/>
              <w:left w:w="150" w:type="dxa"/>
              <w:bottom w:w="150" w:type="dxa"/>
              <w:right w:w="150" w:type="dxa"/>
            </w:tcMar>
            <w:vAlign w:val="center"/>
          </w:tcPr>
          <w:p w14:paraId="456AA752" w14:textId="77777777" w:rsidR="0064331C" w:rsidRPr="0064331C" w:rsidRDefault="0064331C" w:rsidP="005D385E">
            <w:pPr>
              <w:jc w:val="center"/>
              <w:rPr>
                <w:sz w:val="20"/>
                <w:szCs w:val="20"/>
              </w:rPr>
            </w:pPr>
            <w:r w:rsidRPr="0064331C">
              <w:rPr>
                <w:b/>
                <w:bCs/>
                <w:sz w:val="20"/>
                <w:szCs w:val="20"/>
                <w:lang w:eastAsia="fr-FR"/>
              </w:rPr>
              <w:t>Renvoi</w:t>
            </w:r>
          </w:p>
        </w:tc>
        <w:tc>
          <w:tcPr>
            <w:tcW w:w="6607" w:type="dxa"/>
            <w:gridSpan w:val="7"/>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7A1CA5C" w14:textId="77777777" w:rsidR="0064331C" w:rsidRPr="0064331C" w:rsidRDefault="0064331C" w:rsidP="005D385E">
            <w:pPr>
              <w:jc w:val="both"/>
              <w:rPr>
                <w:bCs/>
                <w:sz w:val="20"/>
                <w:szCs w:val="20"/>
                <w:lang w:eastAsia="fr-FR"/>
              </w:rPr>
            </w:pPr>
            <w:r w:rsidRPr="0064331C">
              <w:rPr>
                <w:b/>
                <w:bCs/>
                <w:sz w:val="20"/>
                <w:szCs w:val="20"/>
                <w:lang w:eastAsia="fr-FR"/>
              </w:rPr>
              <w:t>Conditions</w:t>
            </w:r>
          </w:p>
        </w:tc>
        <w:tc>
          <w:tcPr>
            <w:tcW w:w="2607"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tcMar>
              <w:top w:w="150" w:type="dxa"/>
              <w:left w:w="150" w:type="dxa"/>
              <w:bottom w:w="150" w:type="dxa"/>
              <w:right w:w="150" w:type="dxa"/>
            </w:tcMar>
            <w:vAlign w:val="center"/>
          </w:tcPr>
          <w:p w14:paraId="04DCEF89" w14:textId="77777777" w:rsidR="0064331C" w:rsidRPr="0064331C" w:rsidRDefault="0064331C" w:rsidP="005D385E">
            <w:pPr>
              <w:jc w:val="center"/>
              <w:rPr>
                <w:sz w:val="20"/>
                <w:szCs w:val="20"/>
              </w:rPr>
            </w:pPr>
            <w:r w:rsidRPr="0064331C">
              <w:rPr>
                <w:b/>
                <w:bCs/>
                <w:sz w:val="20"/>
                <w:szCs w:val="20"/>
                <w:lang w:eastAsia="fr-FR"/>
              </w:rPr>
              <w:t>Valeur limite d'émission (mg/Nm</w:t>
            </w:r>
            <w:r w:rsidRPr="0064331C">
              <w:rPr>
                <w:b/>
                <w:bCs/>
                <w:sz w:val="20"/>
                <w:szCs w:val="20"/>
                <w:vertAlign w:val="superscript"/>
                <w:lang w:eastAsia="fr-FR"/>
              </w:rPr>
              <w:t>3</w:t>
            </w:r>
            <w:r w:rsidRPr="0064331C">
              <w:rPr>
                <w:b/>
                <w:bCs/>
                <w:sz w:val="20"/>
                <w:szCs w:val="20"/>
                <w:lang w:eastAsia="fr-FR"/>
              </w:rPr>
              <w:t>)</w:t>
            </w:r>
          </w:p>
        </w:tc>
      </w:tr>
      <w:tr w:rsidR="0064331C" w:rsidRPr="0064331C" w14:paraId="496F6534"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24793130" w14:textId="77777777" w:rsidR="0064331C" w:rsidRPr="0064331C" w:rsidRDefault="0064331C" w:rsidP="005D385E">
            <w:pPr>
              <w:jc w:val="center"/>
              <w:rPr>
                <w:sz w:val="20"/>
                <w:szCs w:val="20"/>
              </w:rPr>
            </w:pPr>
            <w:r w:rsidRPr="0064331C">
              <w:rPr>
                <w:sz w:val="20"/>
                <w:szCs w:val="20"/>
              </w:rPr>
              <w:t>(1)</w:t>
            </w:r>
          </w:p>
        </w:tc>
        <w:tc>
          <w:tcPr>
            <w:tcW w:w="66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0D31B" w14:textId="27873C17" w:rsidR="0064331C" w:rsidRPr="0064331C" w:rsidRDefault="0064331C" w:rsidP="005D385E">
            <w:pPr>
              <w:jc w:val="both"/>
              <w:rPr>
                <w:bCs/>
                <w:sz w:val="20"/>
                <w:szCs w:val="20"/>
                <w:lang w:eastAsia="fr-FR"/>
              </w:rPr>
            </w:pPr>
            <w:r w:rsidRPr="0064331C">
              <w:rPr>
                <w:bCs/>
                <w:sz w:val="20"/>
                <w:szCs w:val="20"/>
                <w:lang w:eastAsia="fr-FR"/>
              </w:rPr>
              <w:t>Dans le cas des installations brûlant des combustibles à teneur moyenne en soufre égale ou supérieure à 0,1</w:t>
            </w:r>
            <w:r w:rsidR="00C6184A">
              <w:rPr>
                <w:bCs/>
                <w:sz w:val="20"/>
                <w:szCs w:val="20"/>
                <w:lang w:eastAsia="fr-FR"/>
              </w:rPr>
              <w:t xml:space="preserve"> </w:t>
            </w:r>
            <w:r w:rsidRPr="0064331C">
              <w:rPr>
                <w:bCs/>
                <w:sz w:val="20"/>
                <w:szCs w:val="20"/>
                <w:lang w:eastAsia="fr-FR"/>
              </w:rPr>
              <w:t>% (poids sec)</w:t>
            </w:r>
          </w:p>
        </w:tc>
        <w:tc>
          <w:tcPr>
            <w:tcW w:w="26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158F9664"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A = 100</w:t>
            </w:r>
          </w:p>
          <w:p w14:paraId="40893D2A"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200</w:t>
            </w:r>
          </w:p>
          <w:p w14:paraId="6BFC4EFE"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w:t>
            </w:r>
            <w:r w:rsidRPr="0064331C">
              <w:rPr>
                <w:sz w:val="20"/>
                <w:szCs w:val="20"/>
                <w:shd w:val="clear" w:color="auto" w:fill="E2EFD9" w:themeFill="accent6" w:themeFillTint="33"/>
              </w:rPr>
              <w:t>: J = 215</w:t>
            </w:r>
          </w:p>
        </w:tc>
      </w:tr>
      <w:tr w:rsidR="0064331C" w:rsidRPr="0064331C" w14:paraId="78AC616E"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518A4A57" w14:textId="77777777" w:rsidR="0064331C" w:rsidRPr="0064331C" w:rsidRDefault="0064331C" w:rsidP="005D385E">
            <w:pPr>
              <w:jc w:val="center"/>
              <w:rPr>
                <w:sz w:val="20"/>
                <w:szCs w:val="20"/>
                <w:highlight w:val="yellow"/>
              </w:rPr>
            </w:pPr>
            <w:r w:rsidRPr="0064331C">
              <w:rPr>
                <w:sz w:val="20"/>
                <w:szCs w:val="20"/>
              </w:rPr>
              <w:t>(2)</w:t>
            </w:r>
          </w:p>
        </w:tc>
        <w:tc>
          <w:tcPr>
            <w:tcW w:w="66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2CC43" w14:textId="0A18F32F" w:rsidR="0064331C" w:rsidRPr="0064331C" w:rsidRDefault="0064331C" w:rsidP="005D385E">
            <w:pPr>
              <w:jc w:val="both"/>
              <w:rPr>
                <w:bCs/>
                <w:sz w:val="20"/>
                <w:szCs w:val="20"/>
                <w:lang w:eastAsia="fr-FR"/>
              </w:rPr>
            </w:pPr>
            <w:r w:rsidRPr="0064331C">
              <w:rPr>
                <w:bCs/>
                <w:sz w:val="20"/>
                <w:szCs w:val="20"/>
                <w:lang w:eastAsia="fr-FR"/>
              </w:rPr>
              <w:t>Dans le cas des installations brûlant des combustibles à teneur moyenne en soufre égale ou supérieure à 0,1</w:t>
            </w:r>
            <w:r w:rsidR="00C6184A">
              <w:rPr>
                <w:bCs/>
                <w:sz w:val="20"/>
                <w:szCs w:val="20"/>
                <w:lang w:eastAsia="fr-FR"/>
              </w:rPr>
              <w:t xml:space="preserve"> </w:t>
            </w:r>
            <w:r w:rsidRPr="0064331C">
              <w:rPr>
                <w:bCs/>
                <w:sz w:val="20"/>
                <w:szCs w:val="20"/>
                <w:lang w:eastAsia="fr-FR"/>
              </w:rPr>
              <w:t>% (poids sec)</w:t>
            </w:r>
          </w:p>
        </w:tc>
        <w:tc>
          <w:tcPr>
            <w:tcW w:w="26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20730C52"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A = 100</w:t>
            </w:r>
          </w:p>
        </w:tc>
      </w:tr>
      <w:tr w:rsidR="0064331C" w:rsidRPr="0064331C" w14:paraId="6D8755F6"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0822A948" w14:textId="77777777" w:rsidR="0064331C" w:rsidRPr="0064331C" w:rsidRDefault="0064331C" w:rsidP="005D385E">
            <w:pPr>
              <w:jc w:val="center"/>
              <w:rPr>
                <w:sz w:val="20"/>
                <w:szCs w:val="20"/>
                <w:highlight w:val="yellow"/>
              </w:rPr>
            </w:pPr>
            <w:r w:rsidRPr="0064331C">
              <w:rPr>
                <w:sz w:val="20"/>
                <w:szCs w:val="20"/>
              </w:rPr>
              <w:t>(3)</w:t>
            </w:r>
          </w:p>
        </w:tc>
        <w:tc>
          <w:tcPr>
            <w:tcW w:w="66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4ED6C" w14:textId="7A3607B8" w:rsidR="0064331C" w:rsidRPr="0064331C" w:rsidRDefault="0064331C" w:rsidP="005D385E">
            <w:pPr>
              <w:jc w:val="both"/>
              <w:rPr>
                <w:bCs/>
                <w:sz w:val="20"/>
                <w:szCs w:val="20"/>
                <w:lang w:eastAsia="fr-FR"/>
              </w:rPr>
            </w:pPr>
            <w:r w:rsidRPr="0064331C">
              <w:rPr>
                <w:bCs/>
                <w:sz w:val="20"/>
                <w:szCs w:val="20"/>
                <w:lang w:eastAsia="fr-FR"/>
              </w:rPr>
              <w:t>Dans le cas des installations brûlant des combustibles à teneur moyenne en soufre égale ou supérieure à 0,1</w:t>
            </w:r>
            <w:r w:rsidR="00C6184A">
              <w:rPr>
                <w:bCs/>
                <w:sz w:val="20"/>
                <w:szCs w:val="20"/>
                <w:lang w:eastAsia="fr-FR"/>
              </w:rPr>
              <w:t xml:space="preserve"> </w:t>
            </w:r>
            <w:r w:rsidRPr="0064331C">
              <w:rPr>
                <w:bCs/>
                <w:sz w:val="20"/>
                <w:szCs w:val="20"/>
                <w:lang w:eastAsia="fr-FR"/>
              </w:rPr>
              <w:t>% (poids sec) ou chaudière à lit fluidisé brûlant de la tourbe</w:t>
            </w:r>
          </w:p>
        </w:tc>
        <w:tc>
          <w:tcPr>
            <w:tcW w:w="26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01D51FE8"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150</w:t>
            </w:r>
          </w:p>
          <w:p w14:paraId="6835A853"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165</w:t>
            </w:r>
          </w:p>
        </w:tc>
      </w:tr>
      <w:tr w:rsidR="0064331C" w:rsidRPr="0064331C" w14:paraId="3CEBE986"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7BF9BF17" w14:textId="77777777" w:rsidR="0064331C" w:rsidRPr="0064331C" w:rsidRDefault="0064331C" w:rsidP="005D385E">
            <w:pPr>
              <w:jc w:val="center"/>
              <w:rPr>
                <w:sz w:val="20"/>
                <w:szCs w:val="20"/>
              </w:rPr>
            </w:pPr>
            <w:r w:rsidRPr="0064331C">
              <w:rPr>
                <w:sz w:val="20"/>
                <w:szCs w:val="20"/>
              </w:rPr>
              <w:t>(4)</w:t>
            </w:r>
          </w:p>
        </w:tc>
        <w:tc>
          <w:tcPr>
            <w:tcW w:w="66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24D7F5" w14:textId="77777777" w:rsidR="0064331C" w:rsidRPr="0064331C" w:rsidRDefault="0064331C" w:rsidP="005D385E">
            <w:pPr>
              <w:jc w:val="both"/>
              <w:rPr>
                <w:bCs/>
                <w:sz w:val="20"/>
                <w:szCs w:val="20"/>
                <w:lang w:eastAsia="fr-FR"/>
              </w:rPr>
            </w:pPr>
            <w:r w:rsidRPr="0064331C">
              <w:rPr>
                <w:sz w:val="20"/>
                <w:szCs w:val="20"/>
              </w:rPr>
              <w:t>Dans le cas des installations brûlant des combustibles à teneur moyenne en potassium égale ou supérieure à 2 000 mg/kg (poids sec) ou à teneur moyenne en sodium égale ou supérieure à 300 mg/kg</w:t>
            </w:r>
          </w:p>
        </w:tc>
        <w:tc>
          <w:tcPr>
            <w:tcW w:w="26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1B7D9C8F"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A = 250</w:t>
            </w:r>
          </w:p>
        </w:tc>
      </w:tr>
      <w:tr w:rsidR="0064331C" w:rsidRPr="0064331C" w14:paraId="0E395B10"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416A8FC6" w14:textId="77777777" w:rsidR="0064331C" w:rsidRPr="0064331C" w:rsidRDefault="0064331C" w:rsidP="005D385E">
            <w:pPr>
              <w:jc w:val="center"/>
              <w:rPr>
                <w:sz w:val="20"/>
                <w:szCs w:val="20"/>
              </w:rPr>
            </w:pPr>
            <w:r w:rsidRPr="0064331C">
              <w:rPr>
                <w:sz w:val="20"/>
                <w:szCs w:val="20"/>
              </w:rPr>
              <w:t>(5)</w:t>
            </w:r>
          </w:p>
        </w:tc>
        <w:tc>
          <w:tcPr>
            <w:tcW w:w="66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1A6D75" w14:textId="77777777" w:rsidR="0064331C" w:rsidRPr="0064331C" w:rsidRDefault="0064331C" w:rsidP="005D385E">
            <w:pPr>
              <w:jc w:val="both"/>
              <w:rPr>
                <w:bCs/>
                <w:sz w:val="20"/>
                <w:szCs w:val="20"/>
                <w:lang w:eastAsia="fr-FR"/>
              </w:rPr>
            </w:pPr>
            <w:r w:rsidRPr="0064331C">
              <w:rPr>
                <w:sz w:val="20"/>
                <w:szCs w:val="20"/>
              </w:rPr>
              <w:t xml:space="preserve">Pour les installations dont la puissance thermique &gt; 1000 </w:t>
            </w:r>
            <w:proofErr w:type="spellStart"/>
            <w:r w:rsidRPr="0064331C">
              <w:rPr>
                <w:sz w:val="20"/>
                <w:szCs w:val="20"/>
              </w:rPr>
              <w:t>MWth</w:t>
            </w:r>
            <w:proofErr w:type="spellEnd"/>
          </w:p>
        </w:tc>
        <w:tc>
          <w:tcPr>
            <w:tcW w:w="26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00E5E2C5" w14:textId="77777777" w:rsidR="0064331C" w:rsidRPr="0064331C" w:rsidRDefault="0064331C" w:rsidP="005D385E">
            <w:pPr>
              <w:jc w:val="center"/>
              <w:rPr>
                <w:sz w:val="20"/>
                <w:szCs w:val="20"/>
              </w:rPr>
            </w:pPr>
            <w:r w:rsidRPr="0064331C">
              <w:rPr>
                <w:sz w:val="20"/>
                <w:szCs w:val="20"/>
              </w:rPr>
              <w:t xml:space="preserve">Poussières : </w:t>
            </w:r>
            <w:r w:rsidRPr="0064331C">
              <w:rPr>
                <w:sz w:val="20"/>
                <w:szCs w:val="20"/>
                <w:shd w:val="clear" w:color="auto" w:fill="E2EFD9" w:themeFill="accent6" w:themeFillTint="33"/>
              </w:rPr>
              <w:t>A = 8</w:t>
            </w:r>
          </w:p>
        </w:tc>
      </w:tr>
      <w:tr w:rsidR="0064331C" w:rsidRPr="0064331C" w14:paraId="23C0C35C"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496730D5" w14:textId="77777777" w:rsidR="0064331C" w:rsidRPr="0064331C" w:rsidRDefault="0064331C" w:rsidP="005D385E">
            <w:pPr>
              <w:jc w:val="center"/>
              <w:rPr>
                <w:sz w:val="20"/>
                <w:szCs w:val="20"/>
              </w:rPr>
            </w:pPr>
            <w:r w:rsidRPr="0064331C">
              <w:rPr>
                <w:sz w:val="20"/>
                <w:szCs w:val="20"/>
              </w:rPr>
              <w:t>(6)</w:t>
            </w:r>
          </w:p>
        </w:tc>
        <w:tc>
          <w:tcPr>
            <w:tcW w:w="66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92D51" w14:textId="77777777" w:rsidR="0064331C" w:rsidRPr="0064331C" w:rsidRDefault="0064331C" w:rsidP="005D385E">
            <w:pPr>
              <w:rPr>
                <w:sz w:val="20"/>
                <w:szCs w:val="20"/>
              </w:rPr>
            </w:pPr>
            <w:r w:rsidRPr="0064331C">
              <w:rPr>
                <w:bCs/>
                <w:sz w:val="20"/>
                <w:szCs w:val="20"/>
                <w:lang w:eastAsia="fr-FR"/>
              </w:rPr>
              <w:t>En cas de combustion en lit fluidisé circulant ou sous pression</w:t>
            </w:r>
          </w:p>
        </w:tc>
        <w:tc>
          <w:tcPr>
            <w:tcW w:w="26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3EDC349F"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200</w:t>
            </w:r>
          </w:p>
          <w:p w14:paraId="20DB9A72"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220</w:t>
            </w:r>
          </w:p>
        </w:tc>
      </w:tr>
      <w:tr w:rsidR="0064331C" w:rsidRPr="0064331C" w14:paraId="6023F282"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35135FE3" w14:textId="77777777" w:rsidR="0064331C" w:rsidRPr="0064331C" w:rsidRDefault="0064331C" w:rsidP="005D385E">
            <w:pPr>
              <w:jc w:val="center"/>
              <w:rPr>
                <w:sz w:val="20"/>
                <w:szCs w:val="20"/>
              </w:rPr>
            </w:pPr>
            <w:bookmarkStart w:id="18" w:name="_Hlk159596485"/>
            <w:r w:rsidRPr="0064331C">
              <w:rPr>
                <w:sz w:val="20"/>
                <w:szCs w:val="20"/>
              </w:rPr>
              <w:t>(7)</w:t>
            </w:r>
          </w:p>
        </w:tc>
        <w:tc>
          <w:tcPr>
            <w:tcW w:w="66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25B89" w14:textId="05D32026" w:rsidR="0064331C" w:rsidRPr="0064331C" w:rsidRDefault="0064331C" w:rsidP="005D385E">
            <w:pPr>
              <w:jc w:val="center"/>
              <w:rPr>
                <w:sz w:val="20"/>
                <w:szCs w:val="20"/>
              </w:rPr>
            </w:pPr>
            <w:r w:rsidRPr="0064331C">
              <w:rPr>
                <w:sz w:val="20"/>
                <w:szCs w:val="20"/>
              </w:rPr>
              <w:t>Si la proportion de gaz de cokerie est ≤ 50</w:t>
            </w:r>
            <w:r w:rsidR="00C6184A">
              <w:rPr>
                <w:sz w:val="20"/>
                <w:szCs w:val="20"/>
              </w:rPr>
              <w:t xml:space="preserve"> </w:t>
            </w:r>
            <w:r w:rsidRPr="0064331C">
              <w:rPr>
                <w:sz w:val="20"/>
                <w:szCs w:val="20"/>
              </w:rPr>
              <w:t xml:space="preserve">% </w:t>
            </w:r>
          </w:p>
        </w:tc>
        <w:tc>
          <w:tcPr>
            <w:tcW w:w="26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498E68F7" w14:textId="7E013A4B" w:rsidR="0064331C" w:rsidRPr="0064331C" w:rsidRDefault="00A836D7" w:rsidP="005D385E">
            <w:pPr>
              <w:jc w:val="center"/>
              <w:rPr>
                <w:sz w:val="20"/>
                <w:szCs w:val="20"/>
              </w:rPr>
            </w:pPr>
            <w:proofErr w:type="spellStart"/>
            <w:r w:rsidRPr="0064331C">
              <w:rPr>
                <w:sz w:val="20"/>
                <w:szCs w:val="20"/>
              </w:rPr>
              <w:t>SO</w:t>
            </w:r>
            <w:r>
              <w:rPr>
                <w:sz w:val="20"/>
                <w:szCs w:val="20"/>
              </w:rPr>
              <w:t>x</w:t>
            </w:r>
            <w:proofErr w:type="spellEnd"/>
            <w:r w:rsidRPr="0064331C">
              <w:rPr>
                <w:sz w:val="20"/>
                <w:szCs w:val="20"/>
              </w:rPr>
              <w:t xml:space="preserve"> :</w:t>
            </w:r>
            <w:r w:rsidR="0064331C" w:rsidRPr="0064331C">
              <w:rPr>
                <w:sz w:val="20"/>
                <w:szCs w:val="20"/>
              </w:rPr>
              <w:t xml:space="preserve"> </w:t>
            </w:r>
            <w:r w:rsidR="0064331C" w:rsidRPr="0064331C">
              <w:rPr>
                <w:sz w:val="20"/>
                <w:szCs w:val="20"/>
                <w:shd w:val="clear" w:color="auto" w:fill="E2EFD9" w:themeFill="accent6" w:themeFillTint="33"/>
              </w:rPr>
              <w:t>M = 200</w:t>
            </w:r>
          </w:p>
          <w:p w14:paraId="775DAF88" w14:textId="77564E49" w:rsidR="0064331C" w:rsidRPr="0064331C" w:rsidRDefault="0064331C" w:rsidP="005D385E">
            <w:pPr>
              <w:jc w:val="center"/>
              <w:rPr>
                <w:sz w:val="20"/>
                <w:szCs w:val="20"/>
              </w:rPr>
            </w:pPr>
            <w:proofErr w:type="spellStart"/>
            <w:r w:rsidRPr="0064331C">
              <w:rPr>
                <w:sz w:val="20"/>
                <w:szCs w:val="20"/>
              </w:rPr>
              <w:t>SO</w:t>
            </w:r>
            <w:r w:rsidR="00A836D7">
              <w:rPr>
                <w:sz w:val="20"/>
                <w:szCs w:val="20"/>
              </w:rPr>
              <w:t>x</w:t>
            </w:r>
            <w:proofErr w:type="spellEnd"/>
            <w:r w:rsidRPr="0064331C">
              <w:rPr>
                <w:sz w:val="20"/>
                <w:szCs w:val="20"/>
              </w:rPr>
              <w:t xml:space="preserve"> : </w:t>
            </w:r>
            <w:r w:rsidRPr="0064331C">
              <w:rPr>
                <w:sz w:val="20"/>
                <w:szCs w:val="20"/>
                <w:shd w:val="clear" w:color="auto" w:fill="E2EFD9" w:themeFill="accent6" w:themeFillTint="33"/>
              </w:rPr>
              <w:t>J = 200</w:t>
            </w:r>
          </w:p>
        </w:tc>
      </w:tr>
      <w:bookmarkEnd w:id="18"/>
    </w:tbl>
    <w:p w14:paraId="5E1B5A0A" w14:textId="77777777" w:rsidR="0064331C" w:rsidRPr="0064331C" w:rsidRDefault="0064331C" w:rsidP="0064331C"/>
    <w:p w14:paraId="5A5A124A" w14:textId="46096B54" w:rsidR="0064331C" w:rsidRPr="00B07376" w:rsidRDefault="0064331C" w:rsidP="002B0DC1">
      <w:r w:rsidRPr="00B07376">
        <w:t>« </w:t>
      </w:r>
      <w:proofErr w:type="gramStart"/>
      <w:r w:rsidRPr="00B07376">
        <w:t>d</w:t>
      </w:r>
      <w:proofErr w:type="gramEnd"/>
      <w:r w:rsidRPr="00B07376">
        <w:t xml:space="preserve">) Installations de combustion autorisées avant le </w:t>
      </w:r>
      <w:r w:rsidR="00963737" w:rsidRPr="00B07376">
        <w:t>1</w:t>
      </w:r>
      <w:r w:rsidR="00963737" w:rsidRPr="00B07376">
        <w:rPr>
          <w:vertAlign w:val="superscript"/>
        </w:rPr>
        <w:t>er</w:t>
      </w:r>
      <w:r w:rsidR="00963737" w:rsidRPr="00B07376">
        <w:t xml:space="preserve"> novembre 2010 </w:t>
      </w:r>
      <w:r w:rsidRPr="00B07376">
        <w:t>:</w:t>
      </w:r>
    </w:p>
    <w:p w14:paraId="604E87ED" w14:textId="663B3D4A" w:rsidR="0064331C" w:rsidRPr="0064331C" w:rsidRDefault="0064331C" w:rsidP="002B0DC1">
      <w:pPr>
        <w:jc w:val="both"/>
        <w:rPr>
          <w:bCs/>
          <w:lang w:eastAsia="fr-FR"/>
        </w:rPr>
      </w:pPr>
      <w:r>
        <w:rPr>
          <w:bCs/>
          <w:lang w:eastAsia="fr-FR"/>
        </w:rPr>
        <w:t>« </w:t>
      </w:r>
      <w:r w:rsidRPr="0064331C">
        <w:rPr>
          <w:bCs/>
          <w:lang w:eastAsia="fr-FR"/>
        </w:rPr>
        <w:t xml:space="preserve">Pour les polluants et combustibles pour lesquels aucune valeur limite d’émission n’est mentionnée dans le tableau ci-dessous, </w:t>
      </w:r>
      <w:r w:rsidR="00316A25" w:rsidRPr="00316A25">
        <w:rPr>
          <w:bCs/>
          <w:lang w:eastAsia="fr-FR"/>
        </w:rPr>
        <w:t xml:space="preserve">les valeurs limites applicables sont celles du point b) du I de l’article 10 du présent </w:t>
      </w:r>
      <w:r w:rsidR="00316A25">
        <w:rPr>
          <w:bCs/>
          <w:lang w:eastAsia="fr-FR"/>
        </w:rPr>
        <w:t>arrêté</w:t>
      </w:r>
      <w:r w:rsidRPr="0064331C">
        <w:rPr>
          <w:bCs/>
          <w:lang w:eastAsia="fr-FR"/>
        </w:rPr>
        <w:t>.</w:t>
      </w:r>
    </w:p>
    <w:p w14:paraId="70FDD27C" w14:textId="67114694" w:rsidR="00316A25" w:rsidRPr="0064331C" w:rsidRDefault="0064331C" w:rsidP="002B0DC1">
      <w:pPr>
        <w:jc w:val="both"/>
        <w:rPr>
          <w:bCs/>
          <w:lang w:eastAsia="fr-FR"/>
        </w:rPr>
      </w:pPr>
      <w:r>
        <w:rPr>
          <w:bCs/>
          <w:lang w:eastAsia="fr-FR"/>
        </w:rPr>
        <w:t>« </w:t>
      </w:r>
      <w:r w:rsidRPr="0064331C">
        <w:rPr>
          <w:bCs/>
          <w:lang w:eastAsia="fr-FR"/>
        </w:rPr>
        <w:t xml:space="preserve">Pour les installations </w:t>
      </w:r>
      <w:r w:rsidR="00DB1F91">
        <w:rPr>
          <w:bCs/>
          <w:lang w:eastAsia="fr-FR"/>
        </w:rPr>
        <w:t xml:space="preserve">de combustion </w:t>
      </w:r>
      <w:r w:rsidRPr="0064331C">
        <w:rPr>
          <w:bCs/>
          <w:lang w:eastAsia="fr-FR"/>
        </w:rPr>
        <w:t xml:space="preserve">exploitées moins de 500 heures par an, </w:t>
      </w:r>
      <w:r w:rsidR="00316A25" w:rsidRPr="0064331C">
        <w:rPr>
          <w:bCs/>
          <w:lang w:eastAsia="fr-FR"/>
        </w:rPr>
        <w:t xml:space="preserve">seules les dispositions </w:t>
      </w:r>
      <w:r w:rsidR="00316A25">
        <w:rPr>
          <w:bCs/>
          <w:lang w:eastAsia="fr-FR"/>
        </w:rPr>
        <w:t xml:space="preserve">du point b) du I </w:t>
      </w:r>
      <w:r w:rsidR="00316A25" w:rsidRPr="0064331C">
        <w:rPr>
          <w:bCs/>
          <w:lang w:eastAsia="fr-FR"/>
        </w:rPr>
        <w:t>de l’article 10 s’appliquent.</w:t>
      </w:r>
    </w:p>
    <w:p w14:paraId="634A03C2" w14:textId="6A6B283A" w:rsidR="00DB1F91" w:rsidRDefault="0064331C" w:rsidP="002B0DC1">
      <w:pPr>
        <w:jc w:val="both"/>
        <w:rPr>
          <w:bCs/>
          <w:lang w:eastAsia="fr-FR"/>
        </w:rPr>
      </w:pPr>
      <w:r>
        <w:rPr>
          <w:bCs/>
          <w:lang w:eastAsia="fr-FR"/>
        </w:rPr>
        <w:t>« </w:t>
      </w:r>
      <w:r w:rsidRPr="0064331C">
        <w:rPr>
          <w:bCs/>
          <w:lang w:eastAsia="fr-FR"/>
        </w:rPr>
        <w:t xml:space="preserve">Pour les installations </w:t>
      </w:r>
      <w:r w:rsidR="00DB1F91">
        <w:rPr>
          <w:bCs/>
          <w:lang w:eastAsia="fr-FR"/>
        </w:rPr>
        <w:t xml:space="preserve">de combustion </w:t>
      </w:r>
      <w:r w:rsidRPr="0064331C">
        <w:rPr>
          <w:bCs/>
          <w:lang w:eastAsia="fr-FR"/>
        </w:rPr>
        <w:t xml:space="preserve">exploitées moins de 1500 heures par an, les </w:t>
      </w:r>
      <w:r w:rsidR="00DB1F91">
        <w:rPr>
          <w:bCs/>
          <w:lang w:eastAsia="fr-FR"/>
        </w:rPr>
        <w:t>valeurs limites d’émission</w:t>
      </w:r>
      <w:r w:rsidR="00DB1F91" w:rsidRPr="0064331C">
        <w:rPr>
          <w:bCs/>
          <w:lang w:eastAsia="fr-FR"/>
        </w:rPr>
        <w:t xml:space="preserve"> </w:t>
      </w:r>
      <w:r w:rsidRPr="0064331C">
        <w:rPr>
          <w:bCs/>
          <w:lang w:eastAsia="fr-FR"/>
        </w:rPr>
        <w:t xml:space="preserve">annuelles ne s’appliquent pas. </w:t>
      </w:r>
    </w:p>
    <w:p w14:paraId="7DA1A990" w14:textId="77777777" w:rsidR="00CB0156" w:rsidRPr="0064331C" w:rsidRDefault="00CB0156" w:rsidP="0064331C">
      <w:pPr>
        <w:jc w:val="both"/>
        <w:rPr>
          <w:bCs/>
          <w:lang w:eastAsia="fr-FR"/>
        </w:rPr>
      </w:pPr>
    </w:p>
    <w:tbl>
      <w:tblPr>
        <w:tblW w:w="10627"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06"/>
        <w:gridCol w:w="242"/>
        <w:gridCol w:w="1511"/>
        <w:gridCol w:w="803"/>
        <w:gridCol w:w="794"/>
        <w:gridCol w:w="794"/>
        <w:gridCol w:w="803"/>
        <w:gridCol w:w="834"/>
        <w:gridCol w:w="923"/>
        <w:gridCol w:w="140"/>
        <w:gridCol w:w="667"/>
        <w:gridCol w:w="794"/>
        <w:gridCol w:w="916"/>
      </w:tblGrid>
      <w:tr w:rsidR="0064331C" w:rsidRPr="0064331C" w14:paraId="292F558B" w14:textId="77777777" w:rsidTr="005D385E">
        <w:trPr>
          <w:trHeight w:val="285"/>
          <w:jc w:val="center"/>
        </w:trPr>
        <w:tc>
          <w:tcPr>
            <w:tcW w:w="1648" w:type="dxa"/>
            <w:gridSpan w:val="2"/>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64BD3882" w14:textId="77777777" w:rsidR="0064331C" w:rsidRPr="0064331C" w:rsidRDefault="0064331C" w:rsidP="005D385E">
            <w:pPr>
              <w:jc w:val="center"/>
              <w:rPr>
                <w:b/>
                <w:bCs/>
                <w:color w:val="FFFFFF" w:themeColor="background1"/>
                <w:sz w:val="20"/>
                <w:szCs w:val="20"/>
                <w:lang w:eastAsia="fr-FR"/>
              </w:rPr>
            </w:pPr>
            <w:bookmarkStart w:id="19" w:name="_Hlk146875435"/>
            <w:r w:rsidRPr="0064331C">
              <w:rPr>
                <w:b/>
                <w:bCs/>
                <w:color w:val="FFFFFF" w:themeColor="background1"/>
                <w:sz w:val="20"/>
                <w:szCs w:val="20"/>
                <w:lang w:eastAsia="fr-FR"/>
              </w:rPr>
              <w:t>Combustibles</w:t>
            </w:r>
          </w:p>
        </w:tc>
        <w:tc>
          <w:tcPr>
            <w:tcW w:w="1511"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4A2DC531"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Puissance P (MW)</w:t>
            </w:r>
          </w:p>
        </w:tc>
        <w:tc>
          <w:tcPr>
            <w:tcW w:w="2391"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58F2CD34"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SO</w:t>
            </w:r>
            <w:r w:rsidRPr="0064331C">
              <w:rPr>
                <w:b/>
                <w:bCs/>
                <w:color w:val="FFFFFF" w:themeColor="background1"/>
                <w:sz w:val="20"/>
                <w:szCs w:val="20"/>
                <w:vertAlign w:val="subscript"/>
                <w:lang w:eastAsia="fr-FR"/>
              </w:rPr>
              <w:t>2</w:t>
            </w:r>
            <w:r w:rsidRPr="0064331C">
              <w:rPr>
                <w:b/>
                <w:bCs/>
                <w:color w:val="FFFFFF" w:themeColor="background1"/>
                <w:sz w:val="20"/>
                <w:szCs w:val="20"/>
                <w:lang w:eastAsia="fr-FR"/>
              </w:rPr>
              <w:t xml:space="preserve">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c>
          <w:tcPr>
            <w:tcW w:w="2560"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75B72D03"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NOx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c>
          <w:tcPr>
            <w:tcW w:w="2517" w:type="dxa"/>
            <w:gridSpan w:val="4"/>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0F46C63A"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Poussières (mg/Nm</w:t>
            </w:r>
            <w:r w:rsidRPr="0064331C">
              <w:rPr>
                <w:b/>
                <w:bCs/>
                <w:color w:val="FFFFFF" w:themeColor="background1"/>
                <w:sz w:val="20"/>
                <w:szCs w:val="20"/>
                <w:vertAlign w:val="superscript"/>
                <w:lang w:eastAsia="fr-FR"/>
              </w:rPr>
              <w:t>3</w:t>
            </w:r>
            <w:r w:rsidRPr="0064331C">
              <w:rPr>
                <w:b/>
                <w:bCs/>
                <w:color w:val="FFFFFF" w:themeColor="background1"/>
                <w:sz w:val="20"/>
                <w:szCs w:val="20"/>
                <w:lang w:eastAsia="fr-FR"/>
              </w:rPr>
              <w:t>)</w:t>
            </w:r>
          </w:p>
        </w:tc>
      </w:tr>
      <w:tr w:rsidR="0064331C" w:rsidRPr="0064331C" w14:paraId="033CE05A" w14:textId="77777777" w:rsidTr="005D385E">
        <w:trPr>
          <w:trHeight w:val="285"/>
          <w:jc w:val="center"/>
        </w:trPr>
        <w:tc>
          <w:tcPr>
            <w:tcW w:w="1648" w:type="dxa"/>
            <w:gridSpan w:val="2"/>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17F1915C" w14:textId="77777777" w:rsidR="0064331C" w:rsidRPr="0064331C" w:rsidRDefault="0064331C" w:rsidP="005D385E">
            <w:pPr>
              <w:jc w:val="center"/>
              <w:rPr>
                <w:b/>
                <w:bCs/>
                <w:color w:val="FFFFFF" w:themeColor="background1"/>
                <w:sz w:val="20"/>
                <w:szCs w:val="20"/>
                <w:lang w:eastAsia="fr-FR"/>
              </w:rPr>
            </w:pPr>
          </w:p>
        </w:tc>
        <w:tc>
          <w:tcPr>
            <w:tcW w:w="1511"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962446D" w14:textId="77777777" w:rsidR="0064331C" w:rsidRPr="0064331C" w:rsidRDefault="0064331C" w:rsidP="005D385E">
            <w:pPr>
              <w:jc w:val="center"/>
              <w:rPr>
                <w:b/>
                <w:bCs/>
                <w:color w:val="FFFFFF" w:themeColor="background1"/>
                <w:sz w:val="20"/>
                <w:szCs w:val="20"/>
                <w:lang w:eastAsia="fr-FR"/>
              </w:rPr>
            </w:pPr>
          </w:p>
        </w:tc>
        <w:tc>
          <w:tcPr>
            <w:tcW w:w="803"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39E7C072"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94" w:type="dxa"/>
            <w:tcBorders>
              <w:top w:val="single" w:sz="4" w:space="0" w:color="auto"/>
              <w:left w:val="single" w:sz="4" w:space="0" w:color="auto"/>
              <w:bottom w:val="single" w:sz="4" w:space="0" w:color="auto"/>
              <w:right w:val="single" w:sz="4" w:space="0" w:color="auto"/>
            </w:tcBorders>
            <w:shd w:val="clear" w:color="auto" w:fill="5C75A2"/>
            <w:vAlign w:val="center"/>
          </w:tcPr>
          <w:p w14:paraId="0ACEADC2"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794" w:type="dxa"/>
            <w:tcBorders>
              <w:top w:val="single" w:sz="4" w:space="0" w:color="auto"/>
              <w:left w:val="single" w:sz="4" w:space="0" w:color="auto"/>
              <w:bottom w:val="single" w:sz="4" w:space="0" w:color="auto"/>
              <w:right w:val="single" w:sz="4" w:space="0" w:color="auto"/>
            </w:tcBorders>
            <w:shd w:val="clear" w:color="auto" w:fill="5C75A2"/>
            <w:vAlign w:val="center"/>
          </w:tcPr>
          <w:p w14:paraId="35ECA4DF"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c>
          <w:tcPr>
            <w:tcW w:w="803"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27DDE18"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834" w:type="dxa"/>
            <w:tcBorders>
              <w:top w:val="single" w:sz="4" w:space="0" w:color="auto"/>
              <w:left w:val="single" w:sz="4" w:space="0" w:color="auto"/>
              <w:bottom w:val="single" w:sz="4" w:space="0" w:color="auto"/>
              <w:right w:val="single" w:sz="4" w:space="0" w:color="auto"/>
            </w:tcBorders>
            <w:shd w:val="clear" w:color="auto" w:fill="5C75A2"/>
            <w:vAlign w:val="center"/>
          </w:tcPr>
          <w:p w14:paraId="41BE2BD1"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923" w:type="dxa"/>
            <w:tcBorders>
              <w:top w:val="single" w:sz="4" w:space="0" w:color="auto"/>
              <w:left w:val="single" w:sz="4" w:space="0" w:color="auto"/>
              <w:bottom w:val="single" w:sz="4" w:space="0" w:color="auto"/>
              <w:right w:val="single" w:sz="4" w:space="0" w:color="auto"/>
            </w:tcBorders>
            <w:shd w:val="clear" w:color="auto" w:fill="5C75A2"/>
            <w:vAlign w:val="center"/>
          </w:tcPr>
          <w:p w14:paraId="37A3B663"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c>
          <w:tcPr>
            <w:tcW w:w="807" w:type="dxa"/>
            <w:gridSpan w:val="2"/>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1E98B60E"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A</w:t>
            </w:r>
          </w:p>
        </w:tc>
        <w:tc>
          <w:tcPr>
            <w:tcW w:w="794" w:type="dxa"/>
            <w:tcBorders>
              <w:top w:val="single" w:sz="4" w:space="0" w:color="auto"/>
              <w:left w:val="single" w:sz="4" w:space="0" w:color="auto"/>
              <w:bottom w:val="single" w:sz="4" w:space="0" w:color="auto"/>
              <w:right w:val="single" w:sz="4" w:space="0" w:color="auto"/>
            </w:tcBorders>
            <w:shd w:val="clear" w:color="auto" w:fill="5C75A2"/>
            <w:vAlign w:val="center"/>
          </w:tcPr>
          <w:p w14:paraId="638CF281"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M</w:t>
            </w:r>
          </w:p>
        </w:tc>
        <w:tc>
          <w:tcPr>
            <w:tcW w:w="916" w:type="dxa"/>
            <w:tcBorders>
              <w:top w:val="single" w:sz="4" w:space="0" w:color="auto"/>
              <w:left w:val="single" w:sz="4" w:space="0" w:color="auto"/>
              <w:bottom w:val="single" w:sz="4" w:space="0" w:color="auto"/>
              <w:right w:val="single" w:sz="4" w:space="0" w:color="auto"/>
            </w:tcBorders>
            <w:shd w:val="clear" w:color="auto" w:fill="5C75A2"/>
            <w:vAlign w:val="center"/>
          </w:tcPr>
          <w:p w14:paraId="31401A47" w14:textId="77777777" w:rsidR="0064331C" w:rsidRPr="0064331C" w:rsidRDefault="0064331C" w:rsidP="005D385E">
            <w:pPr>
              <w:jc w:val="center"/>
              <w:rPr>
                <w:b/>
                <w:bCs/>
                <w:color w:val="FFFFFF" w:themeColor="background1"/>
                <w:sz w:val="20"/>
                <w:szCs w:val="20"/>
                <w:lang w:eastAsia="fr-FR"/>
              </w:rPr>
            </w:pPr>
            <w:r w:rsidRPr="0064331C">
              <w:rPr>
                <w:b/>
                <w:bCs/>
                <w:color w:val="FFFFFF" w:themeColor="background1"/>
                <w:sz w:val="20"/>
                <w:szCs w:val="20"/>
                <w:lang w:eastAsia="fr-FR"/>
              </w:rPr>
              <w:t>J</w:t>
            </w:r>
          </w:p>
        </w:tc>
      </w:tr>
      <w:bookmarkEnd w:id="19"/>
      <w:tr w:rsidR="0064331C" w:rsidRPr="0064331C" w14:paraId="556660C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shd w:val="clear" w:color="auto" w:fill="auto"/>
            <w:tcMar>
              <w:top w:w="150" w:type="dxa"/>
              <w:left w:w="150" w:type="dxa"/>
              <w:bottom w:w="150" w:type="dxa"/>
              <w:right w:w="150" w:type="dxa"/>
            </w:tcMar>
            <w:vAlign w:val="center"/>
          </w:tcPr>
          <w:p w14:paraId="517785E8" w14:textId="77777777" w:rsidR="0064331C" w:rsidRPr="0064331C" w:rsidRDefault="0064331C" w:rsidP="005D385E">
            <w:pPr>
              <w:jc w:val="center"/>
              <w:rPr>
                <w:b/>
                <w:bCs/>
                <w:sz w:val="20"/>
                <w:szCs w:val="20"/>
                <w:lang w:eastAsia="fr-FR"/>
              </w:rPr>
            </w:pPr>
            <w:r w:rsidRPr="0064331C">
              <w:rPr>
                <w:b/>
                <w:bCs/>
                <w:sz w:val="20"/>
                <w:szCs w:val="20"/>
                <w:lang w:eastAsia="fr-FR"/>
              </w:rPr>
              <w:t>Biomasse solide ou tourbe</w:t>
            </w:r>
          </w:p>
        </w:tc>
        <w:tc>
          <w:tcPr>
            <w:tcW w:w="1511" w:type="dxa"/>
            <w:shd w:val="clear" w:color="auto" w:fill="auto"/>
            <w:tcMar>
              <w:top w:w="150" w:type="dxa"/>
              <w:left w:w="150" w:type="dxa"/>
              <w:bottom w:w="150" w:type="dxa"/>
              <w:right w:w="150" w:type="dxa"/>
            </w:tcMar>
            <w:vAlign w:val="center"/>
          </w:tcPr>
          <w:p w14:paraId="7158EB60"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shd w:val="clear" w:color="auto" w:fill="E2EFD9" w:themeFill="accent6" w:themeFillTint="33"/>
            <w:tcMar>
              <w:top w:w="150" w:type="dxa"/>
              <w:left w:w="150" w:type="dxa"/>
              <w:bottom w:w="150" w:type="dxa"/>
              <w:right w:w="150" w:type="dxa"/>
            </w:tcMar>
            <w:vAlign w:val="center"/>
          </w:tcPr>
          <w:p w14:paraId="7B4AA766"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794" w:type="dxa"/>
            <w:shd w:val="clear" w:color="auto" w:fill="B4C6E7" w:themeFill="accent5" w:themeFillTint="66"/>
            <w:vAlign w:val="center"/>
          </w:tcPr>
          <w:p w14:paraId="7A04F90D"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4" w:type="dxa"/>
            <w:shd w:val="clear" w:color="auto" w:fill="E2EFD9" w:themeFill="accent6" w:themeFillTint="33"/>
            <w:vAlign w:val="center"/>
          </w:tcPr>
          <w:p w14:paraId="2BD35173" w14:textId="77777777" w:rsidR="0064331C" w:rsidRPr="0064331C" w:rsidRDefault="0064331C" w:rsidP="005D385E">
            <w:pPr>
              <w:jc w:val="center"/>
              <w:rPr>
                <w:b/>
                <w:bCs/>
                <w:sz w:val="20"/>
                <w:szCs w:val="20"/>
                <w:lang w:eastAsia="fr-FR"/>
              </w:rPr>
            </w:pPr>
            <w:r w:rsidRPr="0064331C">
              <w:rPr>
                <w:b/>
                <w:bCs/>
                <w:sz w:val="20"/>
                <w:szCs w:val="20"/>
                <w:lang w:eastAsia="fr-FR"/>
              </w:rPr>
              <w:t>215</w:t>
            </w:r>
          </w:p>
        </w:tc>
        <w:tc>
          <w:tcPr>
            <w:tcW w:w="803" w:type="dxa"/>
            <w:shd w:val="clear" w:color="auto" w:fill="E2EFD9" w:themeFill="accent6" w:themeFillTint="33"/>
            <w:tcMar>
              <w:top w:w="150" w:type="dxa"/>
              <w:left w:w="150" w:type="dxa"/>
              <w:bottom w:w="150" w:type="dxa"/>
              <w:right w:w="150" w:type="dxa"/>
            </w:tcMar>
            <w:vAlign w:val="center"/>
          </w:tcPr>
          <w:p w14:paraId="64E867A4" w14:textId="77777777" w:rsidR="0064331C" w:rsidRPr="0064331C" w:rsidRDefault="0064331C" w:rsidP="005D385E">
            <w:pPr>
              <w:jc w:val="center"/>
              <w:rPr>
                <w:b/>
                <w:bCs/>
                <w:sz w:val="20"/>
                <w:szCs w:val="20"/>
                <w:lang w:eastAsia="fr-FR"/>
              </w:rPr>
            </w:pPr>
            <w:r w:rsidRPr="0064331C">
              <w:rPr>
                <w:b/>
                <w:bCs/>
                <w:sz w:val="20"/>
                <w:szCs w:val="20"/>
                <w:lang w:eastAsia="fr-FR"/>
              </w:rPr>
              <w:t>225</w:t>
            </w:r>
          </w:p>
          <w:p w14:paraId="42DCE7A1"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834" w:type="dxa"/>
            <w:shd w:val="clear" w:color="auto" w:fill="E2EFD9" w:themeFill="accent6" w:themeFillTint="33"/>
            <w:vAlign w:val="center"/>
          </w:tcPr>
          <w:p w14:paraId="2FAED84B" w14:textId="77777777" w:rsidR="0064331C" w:rsidRPr="0064331C" w:rsidRDefault="0064331C" w:rsidP="005D385E">
            <w:pPr>
              <w:jc w:val="center"/>
              <w:rPr>
                <w:b/>
                <w:bCs/>
                <w:sz w:val="20"/>
                <w:szCs w:val="20"/>
                <w:lang w:eastAsia="fr-FR"/>
              </w:rPr>
            </w:pPr>
            <w:r w:rsidRPr="0064331C">
              <w:rPr>
                <w:b/>
                <w:bCs/>
                <w:sz w:val="20"/>
                <w:szCs w:val="20"/>
                <w:lang w:eastAsia="fr-FR"/>
              </w:rPr>
              <w:t>275</w:t>
            </w:r>
          </w:p>
          <w:p w14:paraId="61AC6FB0"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923" w:type="dxa"/>
            <w:shd w:val="clear" w:color="auto" w:fill="E2EFD9" w:themeFill="accent6" w:themeFillTint="33"/>
            <w:vAlign w:val="center"/>
          </w:tcPr>
          <w:p w14:paraId="2F45A6DA" w14:textId="77777777" w:rsidR="0064331C" w:rsidRPr="0064331C" w:rsidRDefault="0064331C" w:rsidP="005D385E">
            <w:pPr>
              <w:jc w:val="center"/>
              <w:rPr>
                <w:b/>
                <w:bCs/>
                <w:sz w:val="20"/>
                <w:szCs w:val="20"/>
                <w:lang w:eastAsia="fr-FR"/>
              </w:rPr>
            </w:pPr>
            <w:r w:rsidRPr="0064331C">
              <w:rPr>
                <w:b/>
                <w:bCs/>
                <w:sz w:val="20"/>
                <w:szCs w:val="20"/>
                <w:lang w:eastAsia="fr-FR"/>
              </w:rPr>
              <w:t>275</w:t>
            </w:r>
          </w:p>
          <w:p w14:paraId="1E1ED2F6" w14:textId="77777777" w:rsidR="0064331C" w:rsidRPr="0064331C" w:rsidRDefault="0064331C" w:rsidP="005D385E">
            <w:pPr>
              <w:jc w:val="center"/>
              <w:rPr>
                <w:b/>
                <w:bCs/>
                <w:sz w:val="20"/>
                <w:szCs w:val="20"/>
                <w:lang w:eastAsia="fr-FR"/>
              </w:rPr>
            </w:pPr>
            <w:r w:rsidRPr="0064331C">
              <w:rPr>
                <w:b/>
                <w:bCs/>
                <w:sz w:val="20"/>
                <w:szCs w:val="20"/>
                <w:lang w:eastAsia="fr-FR"/>
              </w:rPr>
              <w:t>(3)</w:t>
            </w:r>
          </w:p>
        </w:tc>
        <w:tc>
          <w:tcPr>
            <w:tcW w:w="807" w:type="dxa"/>
            <w:gridSpan w:val="2"/>
            <w:shd w:val="clear" w:color="auto" w:fill="E2EFD9" w:themeFill="accent6" w:themeFillTint="33"/>
            <w:tcMar>
              <w:top w:w="150" w:type="dxa"/>
              <w:left w:w="150" w:type="dxa"/>
              <w:bottom w:w="150" w:type="dxa"/>
              <w:right w:w="150" w:type="dxa"/>
            </w:tcMar>
            <w:vAlign w:val="center"/>
          </w:tcPr>
          <w:p w14:paraId="1F8FF213"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794" w:type="dxa"/>
            <w:shd w:val="clear" w:color="auto" w:fill="E2EFD9" w:themeFill="accent6" w:themeFillTint="33"/>
            <w:vAlign w:val="center"/>
          </w:tcPr>
          <w:p w14:paraId="70467A0C" w14:textId="77777777" w:rsidR="0064331C" w:rsidRPr="0064331C" w:rsidRDefault="0064331C" w:rsidP="005D385E">
            <w:pPr>
              <w:jc w:val="center"/>
              <w:rPr>
                <w:b/>
                <w:bCs/>
                <w:sz w:val="20"/>
                <w:szCs w:val="20"/>
                <w:lang w:eastAsia="fr-FR"/>
              </w:rPr>
            </w:pPr>
            <w:r w:rsidRPr="0064331C">
              <w:rPr>
                <w:b/>
                <w:bCs/>
                <w:sz w:val="20"/>
                <w:szCs w:val="20"/>
                <w:lang w:eastAsia="fr-FR"/>
              </w:rPr>
              <w:t>22</w:t>
            </w:r>
          </w:p>
        </w:tc>
        <w:tc>
          <w:tcPr>
            <w:tcW w:w="916" w:type="dxa"/>
            <w:shd w:val="clear" w:color="auto" w:fill="E2EFD9" w:themeFill="accent6" w:themeFillTint="33"/>
            <w:vAlign w:val="center"/>
          </w:tcPr>
          <w:p w14:paraId="5AC51292" w14:textId="77777777" w:rsidR="0064331C" w:rsidRPr="0064331C" w:rsidRDefault="0064331C" w:rsidP="005D385E">
            <w:pPr>
              <w:jc w:val="center"/>
              <w:rPr>
                <w:b/>
                <w:bCs/>
                <w:sz w:val="20"/>
                <w:szCs w:val="20"/>
                <w:lang w:eastAsia="fr-FR"/>
              </w:rPr>
            </w:pPr>
            <w:r w:rsidRPr="0064331C">
              <w:rPr>
                <w:b/>
                <w:bCs/>
                <w:sz w:val="20"/>
                <w:szCs w:val="20"/>
                <w:lang w:eastAsia="fr-FR"/>
              </w:rPr>
              <w:t>22</w:t>
            </w:r>
          </w:p>
        </w:tc>
      </w:tr>
      <w:tr w:rsidR="0064331C" w:rsidRPr="0064331C" w14:paraId="4E99D00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tcMar>
              <w:top w:w="150" w:type="dxa"/>
              <w:left w:w="150" w:type="dxa"/>
              <w:bottom w:w="150" w:type="dxa"/>
              <w:right w:w="150" w:type="dxa"/>
            </w:tcMar>
            <w:vAlign w:val="center"/>
          </w:tcPr>
          <w:p w14:paraId="539A8D4D" w14:textId="77777777" w:rsidR="0064331C" w:rsidRPr="0064331C" w:rsidRDefault="0064331C" w:rsidP="005D385E">
            <w:pPr>
              <w:jc w:val="cente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6B2B9DDC"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shd w:val="clear" w:color="auto" w:fill="E2EFD9" w:themeFill="accent6" w:themeFillTint="33"/>
            <w:tcMar>
              <w:top w:w="150" w:type="dxa"/>
              <w:left w:w="150" w:type="dxa"/>
              <w:bottom w:w="150" w:type="dxa"/>
              <w:right w:w="150" w:type="dxa"/>
            </w:tcMar>
            <w:vAlign w:val="center"/>
          </w:tcPr>
          <w:p w14:paraId="0353E76E" w14:textId="77777777" w:rsidR="0064331C" w:rsidRPr="0064331C" w:rsidRDefault="0064331C" w:rsidP="005D385E">
            <w:pPr>
              <w:jc w:val="center"/>
              <w:rPr>
                <w:b/>
                <w:bCs/>
                <w:sz w:val="20"/>
                <w:szCs w:val="20"/>
                <w:lang w:eastAsia="fr-FR"/>
              </w:rPr>
            </w:pPr>
            <w:r w:rsidRPr="0064331C">
              <w:rPr>
                <w:b/>
                <w:bCs/>
                <w:sz w:val="20"/>
                <w:szCs w:val="20"/>
                <w:lang w:eastAsia="fr-FR"/>
              </w:rPr>
              <w:t>70</w:t>
            </w:r>
          </w:p>
          <w:p w14:paraId="44E206A8"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794" w:type="dxa"/>
            <w:shd w:val="clear" w:color="auto" w:fill="E2EFD9" w:themeFill="accent6" w:themeFillTint="33"/>
            <w:vAlign w:val="center"/>
          </w:tcPr>
          <w:p w14:paraId="2E262E81"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09D2E2AF"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794" w:type="dxa"/>
            <w:shd w:val="clear" w:color="auto" w:fill="E2EFD9" w:themeFill="accent6" w:themeFillTint="33"/>
            <w:vAlign w:val="center"/>
          </w:tcPr>
          <w:p w14:paraId="7A4F028D"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4421D727"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803" w:type="dxa"/>
            <w:shd w:val="clear" w:color="auto" w:fill="E2EFD9" w:themeFill="accent6" w:themeFillTint="33"/>
            <w:tcMar>
              <w:top w:w="150" w:type="dxa"/>
              <w:left w:w="150" w:type="dxa"/>
              <w:bottom w:w="150" w:type="dxa"/>
              <w:right w:w="150" w:type="dxa"/>
            </w:tcMar>
            <w:vAlign w:val="center"/>
          </w:tcPr>
          <w:p w14:paraId="6147DDCA"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834" w:type="dxa"/>
            <w:shd w:val="clear" w:color="auto" w:fill="E2EFD9" w:themeFill="accent6" w:themeFillTint="33"/>
            <w:vAlign w:val="center"/>
          </w:tcPr>
          <w:p w14:paraId="1D147A6F"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923" w:type="dxa"/>
            <w:shd w:val="clear" w:color="auto" w:fill="E2EFD9" w:themeFill="accent6" w:themeFillTint="33"/>
            <w:vAlign w:val="center"/>
          </w:tcPr>
          <w:p w14:paraId="35A9A4F4"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807" w:type="dxa"/>
            <w:gridSpan w:val="2"/>
            <w:shd w:val="clear" w:color="auto" w:fill="E2EFD9" w:themeFill="accent6" w:themeFillTint="33"/>
            <w:tcMar>
              <w:top w:w="150" w:type="dxa"/>
              <w:left w:w="150" w:type="dxa"/>
              <w:bottom w:w="150" w:type="dxa"/>
              <w:right w:w="150" w:type="dxa"/>
            </w:tcMar>
            <w:vAlign w:val="center"/>
          </w:tcPr>
          <w:p w14:paraId="4829FA0F" w14:textId="77777777" w:rsidR="0064331C" w:rsidRPr="0064331C" w:rsidRDefault="0064331C" w:rsidP="005D385E">
            <w:pPr>
              <w:jc w:val="center"/>
              <w:rPr>
                <w:b/>
                <w:bCs/>
                <w:sz w:val="20"/>
                <w:szCs w:val="20"/>
                <w:lang w:eastAsia="fr-FR"/>
              </w:rPr>
            </w:pPr>
            <w:r w:rsidRPr="0064331C">
              <w:rPr>
                <w:b/>
                <w:bCs/>
                <w:sz w:val="20"/>
                <w:szCs w:val="20"/>
                <w:lang w:eastAsia="fr-FR"/>
              </w:rPr>
              <w:t>12</w:t>
            </w:r>
          </w:p>
        </w:tc>
        <w:tc>
          <w:tcPr>
            <w:tcW w:w="794" w:type="dxa"/>
            <w:shd w:val="clear" w:color="auto" w:fill="E2EFD9" w:themeFill="accent6" w:themeFillTint="33"/>
            <w:vAlign w:val="center"/>
          </w:tcPr>
          <w:p w14:paraId="0D6AEDFD"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916" w:type="dxa"/>
            <w:shd w:val="clear" w:color="auto" w:fill="E2EFD9" w:themeFill="accent6" w:themeFillTint="33"/>
            <w:vAlign w:val="center"/>
          </w:tcPr>
          <w:p w14:paraId="5A38C2E6" w14:textId="77777777" w:rsidR="0064331C" w:rsidRPr="0064331C" w:rsidRDefault="0064331C" w:rsidP="005D385E">
            <w:pPr>
              <w:jc w:val="center"/>
              <w:rPr>
                <w:b/>
                <w:bCs/>
                <w:sz w:val="20"/>
                <w:szCs w:val="20"/>
                <w:lang w:eastAsia="fr-FR"/>
              </w:rPr>
            </w:pPr>
            <w:r w:rsidRPr="0064331C">
              <w:rPr>
                <w:b/>
                <w:bCs/>
                <w:sz w:val="20"/>
                <w:szCs w:val="20"/>
                <w:lang w:eastAsia="fr-FR"/>
              </w:rPr>
              <w:t>18</w:t>
            </w:r>
          </w:p>
        </w:tc>
      </w:tr>
      <w:tr w:rsidR="0064331C" w:rsidRPr="0064331C" w14:paraId="6EC99921"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tcMar>
              <w:top w:w="150" w:type="dxa"/>
              <w:left w:w="150" w:type="dxa"/>
              <w:bottom w:w="150" w:type="dxa"/>
              <w:right w:w="150" w:type="dxa"/>
            </w:tcMar>
            <w:vAlign w:val="center"/>
          </w:tcPr>
          <w:p w14:paraId="7DCEEB57" w14:textId="77777777" w:rsidR="0064331C" w:rsidRPr="0064331C" w:rsidRDefault="0064331C" w:rsidP="005D385E">
            <w:pPr>
              <w:jc w:val="cente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06277566"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3" w:type="dxa"/>
            <w:shd w:val="clear" w:color="auto" w:fill="E2EFD9" w:themeFill="accent6" w:themeFillTint="33"/>
            <w:tcMar>
              <w:top w:w="150" w:type="dxa"/>
              <w:left w:w="150" w:type="dxa"/>
              <w:bottom w:w="150" w:type="dxa"/>
              <w:right w:w="150" w:type="dxa"/>
            </w:tcMar>
            <w:vAlign w:val="center"/>
          </w:tcPr>
          <w:p w14:paraId="32CF8938" w14:textId="77777777" w:rsidR="0064331C" w:rsidRPr="0064331C" w:rsidRDefault="0064331C" w:rsidP="005D385E">
            <w:pPr>
              <w:jc w:val="center"/>
              <w:rPr>
                <w:b/>
                <w:bCs/>
                <w:sz w:val="20"/>
                <w:szCs w:val="20"/>
                <w:lang w:eastAsia="fr-FR"/>
              </w:rPr>
            </w:pPr>
            <w:r w:rsidRPr="0064331C">
              <w:rPr>
                <w:b/>
                <w:bCs/>
                <w:sz w:val="20"/>
                <w:szCs w:val="20"/>
                <w:lang w:eastAsia="fr-FR"/>
              </w:rPr>
              <w:t>50</w:t>
            </w:r>
          </w:p>
          <w:p w14:paraId="5ED007E7" w14:textId="77777777" w:rsidR="0064331C" w:rsidRPr="0064331C" w:rsidRDefault="0064331C" w:rsidP="005D385E">
            <w:pPr>
              <w:jc w:val="center"/>
              <w:rPr>
                <w:b/>
                <w:bCs/>
                <w:sz w:val="20"/>
                <w:szCs w:val="20"/>
                <w:lang w:eastAsia="fr-FR"/>
              </w:rPr>
            </w:pPr>
            <w:r w:rsidRPr="0064331C">
              <w:rPr>
                <w:b/>
                <w:bCs/>
                <w:sz w:val="20"/>
                <w:szCs w:val="20"/>
                <w:lang w:eastAsia="fr-FR"/>
              </w:rPr>
              <w:t>(1)</w:t>
            </w:r>
          </w:p>
        </w:tc>
        <w:tc>
          <w:tcPr>
            <w:tcW w:w="794" w:type="dxa"/>
            <w:shd w:val="clear" w:color="auto" w:fill="E2EFD9" w:themeFill="accent6" w:themeFillTint="33"/>
            <w:vAlign w:val="center"/>
          </w:tcPr>
          <w:p w14:paraId="6DCC0B99" w14:textId="77777777" w:rsidR="0064331C" w:rsidRPr="0064331C" w:rsidRDefault="0064331C" w:rsidP="005D385E">
            <w:pPr>
              <w:jc w:val="center"/>
              <w:rPr>
                <w:b/>
                <w:bCs/>
                <w:sz w:val="20"/>
                <w:szCs w:val="20"/>
                <w:lang w:eastAsia="fr-FR"/>
              </w:rPr>
            </w:pPr>
            <w:r w:rsidRPr="0064331C">
              <w:rPr>
                <w:b/>
                <w:bCs/>
                <w:sz w:val="20"/>
                <w:szCs w:val="20"/>
                <w:lang w:eastAsia="fr-FR"/>
              </w:rPr>
              <w:t>85</w:t>
            </w:r>
          </w:p>
          <w:p w14:paraId="47E5CEE3" w14:textId="77777777" w:rsidR="0064331C" w:rsidRPr="0064331C" w:rsidRDefault="0064331C" w:rsidP="005D385E">
            <w:pPr>
              <w:jc w:val="center"/>
              <w:rPr>
                <w:b/>
                <w:bCs/>
                <w:sz w:val="20"/>
                <w:szCs w:val="20"/>
                <w:lang w:eastAsia="fr-FR"/>
              </w:rPr>
            </w:pPr>
            <w:r w:rsidRPr="0064331C">
              <w:rPr>
                <w:b/>
                <w:bCs/>
                <w:sz w:val="20"/>
                <w:szCs w:val="20"/>
                <w:lang w:eastAsia="fr-FR"/>
              </w:rPr>
              <w:t>(1)(2)</w:t>
            </w:r>
          </w:p>
        </w:tc>
        <w:tc>
          <w:tcPr>
            <w:tcW w:w="794" w:type="dxa"/>
            <w:shd w:val="clear" w:color="auto" w:fill="E2EFD9" w:themeFill="accent6" w:themeFillTint="33"/>
            <w:vAlign w:val="center"/>
          </w:tcPr>
          <w:p w14:paraId="563EC04B" w14:textId="77777777" w:rsidR="0064331C" w:rsidRPr="0064331C" w:rsidRDefault="0064331C" w:rsidP="005D385E">
            <w:pPr>
              <w:jc w:val="center"/>
              <w:rPr>
                <w:b/>
                <w:bCs/>
                <w:sz w:val="20"/>
                <w:szCs w:val="20"/>
                <w:lang w:eastAsia="fr-FR"/>
              </w:rPr>
            </w:pPr>
            <w:r w:rsidRPr="0064331C">
              <w:rPr>
                <w:b/>
                <w:bCs/>
                <w:sz w:val="20"/>
                <w:szCs w:val="20"/>
                <w:lang w:eastAsia="fr-FR"/>
              </w:rPr>
              <w:t>85</w:t>
            </w:r>
          </w:p>
          <w:p w14:paraId="4063D151" w14:textId="77777777" w:rsidR="0064331C" w:rsidRPr="0064331C" w:rsidRDefault="0064331C" w:rsidP="005D385E">
            <w:pPr>
              <w:jc w:val="center"/>
              <w:rPr>
                <w:b/>
                <w:bCs/>
                <w:sz w:val="20"/>
                <w:szCs w:val="20"/>
                <w:lang w:eastAsia="fr-FR"/>
              </w:rPr>
            </w:pPr>
            <w:r w:rsidRPr="0064331C">
              <w:rPr>
                <w:b/>
                <w:bCs/>
                <w:sz w:val="20"/>
                <w:szCs w:val="20"/>
                <w:lang w:eastAsia="fr-FR"/>
              </w:rPr>
              <w:t xml:space="preserve">(1)(2) </w:t>
            </w:r>
          </w:p>
        </w:tc>
        <w:tc>
          <w:tcPr>
            <w:tcW w:w="803" w:type="dxa"/>
            <w:shd w:val="clear" w:color="auto" w:fill="E2EFD9" w:themeFill="accent6" w:themeFillTint="33"/>
            <w:tcMar>
              <w:top w:w="150" w:type="dxa"/>
              <w:left w:w="150" w:type="dxa"/>
              <w:bottom w:w="150" w:type="dxa"/>
              <w:right w:w="150" w:type="dxa"/>
            </w:tcMar>
            <w:vAlign w:val="center"/>
          </w:tcPr>
          <w:p w14:paraId="5061E29F" w14:textId="77777777" w:rsidR="0064331C" w:rsidRPr="0064331C" w:rsidRDefault="0064331C" w:rsidP="005D385E">
            <w:pPr>
              <w:jc w:val="center"/>
              <w:rPr>
                <w:b/>
                <w:bCs/>
                <w:sz w:val="20"/>
                <w:szCs w:val="20"/>
                <w:lang w:eastAsia="fr-FR"/>
              </w:rPr>
            </w:pPr>
            <w:r w:rsidRPr="0064331C">
              <w:rPr>
                <w:b/>
                <w:bCs/>
                <w:sz w:val="20"/>
                <w:szCs w:val="20"/>
                <w:lang w:eastAsia="fr-FR"/>
              </w:rPr>
              <w:t>160</w:t>
            </w:r>
          </w:p>
        </w:tc>
        <w:tc>
          <w:tcPr>
            <w:tcW w:w="834" w:type="dxa"/>
            <w:shd w:val="clear" w:color="auto" w:fill="B4C6E7" w:themeFill="accent5" w:themeFillTint="66"/>
            <w:vAlign w:val="center"/>
          </w:tcPr>
          <w:p w14:paraId="563FD191"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23" w:type="dxa"/>
            <w:shd w:val="clear" w:color="auto" w:fill="E2EFD9" w:themeFill="accent6" w:themeFillTint="33"/>
            <w:vAlign w:val="center"/>
          </w:tcPr>
          <w:p w14:paraId="69577F6A"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7" w:type="dxa"/>
            <w:gridSpan w:val="2"/>
            <w:shd w:val="clear" w:color="auto" w:fill="E2EFD9" w:themeFill="accent6" w:themeFillTint="33"/>
            <w:tcMar>
              <w:top w:w="150" w:type="dxa"/>
              <w:left w:w="150" w:type="dxa"/>
              <w:bottom w:w="150" w:type="dxa"/>
              <w:right w:w="150" w:type="dxa"/>
            </w:tcMar>
            <w:vAlign w:val="center"/>
          </w:tcPr>
          <w:p w14:paraId="5CBFFA3F"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4" w:type="dxa"/>
            <w:shd w:val="clear" w:color="auto" w:fill="E2EFD9" w:themeFill="accent6" w:themeFillTint="33"/>
            <w:vAlign w:val="center"/>
          </w:tcPr>
          <w:p w14:paraId="4BF01C93" w14:textId="77777777" w:rsidR="0064331C" w:rsidRPr="0064331C" w:rsidRDefault="0064331C" w:rsidP="005D385E">
            <w:pPr>
              <w:jc w:val="center"/>
              <w:rPr>
                <w:b/>
                <w:bCs/>
                <w:sz w:val="20"/>
                <w:szCs w:val="20"/>
                <w:lang w:eastAsia="fr-FR"/>
              </w:rPr>
            </w:pPr>
            <w:r w:rsidRPr="0064331C">
              <w:rPr>
                <w:b/>
                <w:bCs/>
                <w:sz w:val="20"/>
                <w:szCs w:val="20"/>
                <w:lang w:eastAsia="fr-FR"/>
              </w:rPr>
              <w:t>16</w:t>
            </w:r>
          </w:p>
        </w:tc>
        <w:tc>
          <w:tcPr>
            <w:tcW w:w="916" w:type="dxa"/>
            <w:shd w:val="clear" w:color="auto" w:fill="E2EFD9" w:themeFill="accent6" w:themeFillTint="33"/>
            <w:vAlign w:val="center"/>
          </w:tcPr>
          <w:p w14:paraId="55851D80" w14:textId="77777777" w:rsidR="0064331C" w:rsidRPr="0064331C" w:rsidRDefault="0064331C" w:rsidP="005D385E">
            <w:pPr>
              <w:jc w:val="center"/>
              <w:rPr>
                <w:b/>
                <w:bCs/>
                <w:sz w:val="20"/>
                <w:szCs w:val="20"/>
                <w:lang w:eastAsia="fr-FR"/>
              </w:rPr>
            </w:pPr>
            <w:r w:rsidRPr="0064331C">
              <w:rPr>
                <w:b/>
                <w:bCs/>
                <w:sz w:val="20"/>
                <w:szCs w:val="20"/>
                <w:lang w:eastAsia="fr-FR"/>
              </w:rPr>
              <w:t>16</w:t>
            </w:r>
          </w:p>
        </w:tc>
      </w:tr>
      <w:tr w:rsidR="0064331C" w:rsidRPr="0064331C" w14:paraId="66ABE96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shd w:val="clear" w:color="auto" w:fill="auto"/>
            <w:tcMar>
              <w:top w:w="150" w:type="dxa"/>
              <w:left w:w="150" w:type="dxa"/>
              <w:bottom w:w="150" w:type="dxa"/>
              <w:right w:w="150" w:type="dxa"/>
            </w:tcMar>
            <w:vAlign w:val="center"/>
            <w:hideMark/>
          </w:tcPr>
          <w:p w14:paraId="47047AD4" w14:textId="77777777" w:rsidR="0064331C" w:rsidRPr="0064331C" w:rsidRDefault="0064331C" w:rsidP="005D385E">
            <w:pPr>
              <w:jc w:val="center"/>
              <w:rPr>
                <w:b/>
                <w:bCs/>
                <w:sz w:val="20"/>
                <w:szCs w:val="20"/>
                <w:lang w:eastAsia="fr-FR"/>
              </w:rPr>
            </w:pPr>
            <w:r w:rsidRPr="0064331C">
              <w:rPr>
                <w:b/>
                <w:bCs/>
                <w:sz w:val="20"/>
                <w:szCs w:val="20"/>
                <w:lang w:eastAsia="fr-FR"/>
              </w:rPr>
              <w:t>Charbon ou lignite</w:t>
            </w:r>
          </w:p>
        </w:tc>
        <w:tc>
          <w:tcPr>
            <w:tcW w:w="1511" w:type="dxa"/>
            <w:shd w:val="clear" w:color="auto" w:fill="auto"/>
            <w:tcMar>
              <w:top w:w="150" w:type="dxa"/>
              <w:left w:w="150" w:type="dxa"/>
              <w:bottom w:w="150" w:type="dxa"/>
              <w:right w:w="150" w:type="dxa"/>
            </w:tcMar>
            <w:vAlign w:val="center"/>
            <w:hideMark/>
          </w:tcPr>
          <w:p w14:paraId="11E8E9F7"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shd w:val="clear" w:color="auto" w:fill="E2EFD9" w:themeFill="accent6" w:themeFillTint="33"/>
            <w:tcMar>
              <w:top w:w="150" w:type="dxa"/>
              <w:left w:w="150" w:type="dxa"/>
              <w:bottom w:w="150" w:type="dxa"/>
              <w:right w:w="150" w:type="dxa"/>
            </w:tcMar>
            <w:vAlign w:val="center"/>
          </w:tcPr>
          <w:p w14:paraId="2F645F21" w14:textId="77777777" w:rsidR="0064331C" w:rsidRPr="0064331C" w:rsidRDefault="0064331C" w:rsidP="005D385E">
            <w:pPr>
              <w:jc w:val="center"/>
              <w:rPr>
                <w:b/>
                <w:bCs/>
                <w:sz w:val="20"/>
                <w:szCs w:val="20"/>
                <w:lang w:eastAsia="fr-FR"/>
              </w:rPr>
            </w:pPr>
            <w:r w:rsidRPr="0064331C">
              <w:rPr>
                <w:b/>
                <w:bCs/>
                <w:sz w:val="20"/>
                <w:szCs w:val="20"/>
                <w:lang w:eastAsia="fr-FR"/>
              </w:rPr>
              <w:t>360</w:t>
            </w:r>
          </w:p>
        </w:tc>
        <w:tc>
          <w:tcPr>
            <w:tcW w:w="794" w:type="dxa"/>
            <w:shd w:val="clear" w:color="auto" w:fill="B4C6E7" w:themeFill="accent5" w:themeFillTint="66"/>
            <w:vAlign w:val="center"/>
          </w:tcPr>
          <w:p w14:paraId="38A249E2" w14:textId="77777777" w:rsidR="0064331C" w:rsidRPr="0064331C" w:rsidRDefault="0064331C" w:rsidP="005D385E">
            <w:pPr>
              <w:jc w:val="center"/>
              <w:rPr>
                <w:b/>
                <w:bCs/>
                <w:sz w:val="20"/>
                <w:szCs w:val="20"/>
                <w:lang w:eastAsia="fr-FR"/>
              </w:rPr>
            </w:pPr>
            <w:r w:rsidRPr="0064331C">
              <w:rPr>
                <w:b/>
                <w:bCs/>
                <w:sz w:val="20"/>
                <w:szCs w:val="20"/>
                <w:lang w:eastAsia="fr-FR"/>
              </w:rPr>
              <w:t>400</w:t>
            </w:r>
          </w:p>
        </w:tc>
        <w:tc>
          <w:tcPr>
            <w:tcW w:w="794" w:type="dxa"/>
            <w:shd w:val="clear" w:color="auto" w:fill="E2EFD9" w:themeFill="accent6" w:themeFillTint="33"/>
            <w:vAlign w:val="center"/>
          </w:tcPr>
          <w:p w14:paraId="44F93539" w14:textId="77777777" w:rsidR="0064331C" w:rsidRPr="0064331C" w:rsidRDefault="0064331C" w:rsidP="005D385E">
            <w:pPr>
              <w:jc w:val="center"/>
              <w:rPr>
                <w:b/>
                <w:bCs/>
                <w:sz w:val="20"/>
                <w:szCs w:val="20"/>
                <w:lang w:eastAsia="fr-FR"/>
              </w:rPr>
            </w:pPr>
            <w:r w:rsidRPr="0064331C">
              <w:rPr>
                <w:b/>
                <w:bCs/>
                <w:sz w:val="20"/>
                <w:szCs w:val="20"/>
                <w:lang w:eastAsia="fr-FR"/>
              </w:rPr>
              <w:t>400</w:t>
            </w:r>
          </w:p>
        </w:tc>
        <w:tc>
          <w:tcPr>
            <w:tcW w:w="803" w:type="dxa"/>
            <w:shd w:val="clear" w:color="auto" w:fill="E2EFD9" w:themeFill="accent6" w:themeFillTint="33"/>
            <w:tcMar>
              <w:top w:w="150" w:type="dxa"/>
              <w:left w:w="150" w:type="dxa"/>
              <w:bottom w:w="150" w:type="dxa"/>
              <w:right w:w="150" w:type="dxa"/>
            </w:tcMar>
            <w:vAlign w:val="center"/>
          </w:tcPr>
          <w:p w14:paraId="277BA88C"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834" w:type="dxa"/>
            <w:shd w:val="clear" w:color="auto" w:fill="B4C6E7" w:themeFill="accent5" w:themeFillTint="66"/>
            <w:vAlign w:val="center"/>
          </w:tcPr>
          <w:p w14:paraId="4DFDB85C"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19966F6D" w14:textId="77777777" w:rsidR="0064331C" w:rsidRPr="0064331C" w:rsidRDefault="0064331C" w:rsidP="005D385E">
            <w:pPr>
              <w:jc w:val="center"/>
              <w:rPr>
                <w:b/>
                <w:bCs/>
                <w:sz w:val="20"/>
                <w:szCs w:val="20"/>
                <w:lang w:eastAsia="fr-FR"/>
              </w:rPr>
            </w:pPr>
            <w:r w:rsidRPr="0064331C">
              <w:rPr>
                <w:b/>
                <w:bCs/>
                <w:sz w:val="20"/>
                <w:szCs w:val="20"/>
                <w:lang w:eastAsia="fr-FR"/>
              </w:rPr>
              <w:t>(7)(8)</w:t>
            </w:r>
          </w:p>
        </w:tc>
        <w:tc>
          <w:tcPr>
            <w:tcW w:w="923" w:type="dxa"/>
            <w:shd w:val="clear" w:color="auto" w:fill="92D050"/>
            <w:vAlign w:val="center"/>
          </w:tcPr>
          <w:p w14:paraId="3B3D5F72" w14:textId="77777777" w:rsidR="0064331C" w:rsidRPr="0064331C" w:rsidRDefault="0064331C" w:rsidP="005D385E">
            <w:pPr>
              <w:jc w:val="center"/>
              <w:rPr>
                <w:b/>
                <w:bCs/>
                <w:sz w:val="20"/>
                <w:szCs w:val="20"/>
                <w:lang w:eastAsia="fr-FR"/>
              </w:rPr>
            </w:pPr>
            <w:r w:rsidRPr="0064331C">
              <w:rPr>
                <w:b/>
                <w:bCs/>
                <w:sz w:val="20"/>
                <w:szCs w:val="20"/>
                <w:lang w:eastAsia="fr-FR"/>
              </w:rPr>
              <w:t xml:space="preserve">330 </w:t>
            </w:r>
          </w:p>
          <w:p w14:paraId="3C8370C1"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807" w:type="dxa"/>
            <w:gridSpan w:val="2"/>
            <w:shd w:val="clear" w:color="auto" w:fill="E2EFD9" w:themeFill="accent6" w:themeFillTint="33"/>
            <w:tcMar>
              <w:top w:w="150" w:type="dxa"/>
              <w:left w:w="150" w:type="dxa"/>
              <w:bottom w:w="150" w:type="dxa"/>
              <w:right w:w="150" w:type="dxa"/>
            </w:tcMar>
            <w:vAlign w:val="center"/>
          </w:tcPr>
          <w:p w14:paraId="19897BE0"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794" w:type="dxa"/>
            <w:shd w:val="clear" w:color="auto" w:fill="E2EFD9" w:themeFill="accent6" w:themeFillTint="33"/>
            <w:vAlign w:val="center"/>
          </w:tcPr>
          <w:p w14:paraId="4A61F918" w14:textId="77777777" w:rsidR="0064331C" w:rsidRPr="0064331C" w:rsidRDefault="0064331C" w:rsidP="005D385E">
            <w:pPr>
              <w:jc w:val="center"/>
              <w:rPr>
                <w:b/>
                <w:bCs/>
                <w:sz w:val="20"/>
                <w:szCs w:val="20"/>
                <w:lang w:eastAsia="fr-FR"/>
              </w:rPr>
            </w:pPr>
            <w:r w:rsidRPr="0064331C">
              <w:rPr>
                <w:b/>
                <w:bCs/>
                <w:sz w:val="20"/>
                <w:szCs w:val="20"/>
                <w:lang w:eastAsia="fr-FR"/>
              </w:rPr>
              <w:t>28</w:t>
            </w:r>
          </w:p>
        </w:tc>
        <w:tc>
          <w:tcPr>
            <w:tcW w:w="916" w:type="dxa"/>
            <w:shd w:val="clear" w:color="auto" w:fill="E2EFD9" w:themeFill="accent6" w:themeFillTint="33"/>
            <w:vAlign w:val="center"/>
          </w:tcPr>
          <w:p w14:paraId="2B9DFAD1" w14:textId="77777777" w:rsidR="0064331C" w:rsidRPr="0064331C" w:rsidRDefault="0064331C" w:rsidP="005D385E">
            <w:pPr>
              <w:jc w:val="center"/>
              <w:rPr>
                <w:b/>
                <w:bCs/>
                <w:sz w:val="20"/>
                <w:szCs w:val="20"/>
                <w:lang w:eastAsia="fr-FR"/>
              </w:rPr>
            </w:pPr>
            <w:r w:rsidRPr="0064331C">
              <w:rPr>
                <w:b/>
                <w:bCs/>
                <w:sz w:val="20"/>
                <w:szCs w:val="20"/>
                <w:lang w:eastAsia="fr-FR"/>
              </w:rPr>
              <w:t>28</w:t>
            </w:r>
          </w:p>
        </w:tc>
      </w:tr>
      <w:tr w:rsidR="0064331C" w:rsidRPr="0064331C" w14:paraId="42B078C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hideMark/>
          </w:tcPr>
          <w:p w14:paraId="6C253D0D"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hideMark/>
          </w:tcPr>
          <w:p w14:paraId="6BA3FD80"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shd w:val="clear" w:color="auto" w:fill="E2EFD9" w:themeFill="accent6" w:themeFillTint="33"/>
            <w:tcMar>
              <w:top w:w="150" w:type="dxa"/>
              <w:left w:w="150" w:type="dxa"/>
              <w:bottom w:w="150" w:type="dxa"/>
              <w:right w:w="150" w:type="dxa"/>
            </w:tcMar>
            <w:vAlign w:val="center"/>
          </w:tcPr>
          <w:p w14:paraId="0D41195B"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4" w:type="dxa"/>
            <w:shd w:val="clear" w:color="auto" w:fill="B4C6E7" w:themeFill="accent5" w:themeFillTint="66"/>
            <w:vAlign w:val="center"/>
          </w:tcPr>
          <w:p w14:paraId="1576634C"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79CC06AA" w14:textId="77777777" w:rsidR="0064331C" w:rsidRPr="0064331C" w:rsidRDefault="0064331C" w:rsidP="005D385E">
            <w:pPr>
              <w:jc w:val="center"/>
              <w:rPr>
                <w:b/>
                <w:bCs/>
                <w:sz w:val="20"/>
                <w:szCs w:val="20"/>
                <w:lang w:eastAsia="fr-FR"/>
              </w:rPr>
            </w:pPr>
            <w:r w:rsidRPr="0064331C">
              <w:rPr>
                <w:b/>
                <w:bCs/>
                <w:sz w:val="20"/>
                <w:szCs w:val="20"/>
                <w:lang w:eastAsia="fr-FR"/>
              </w:rPr>
              <w:t>(4)</w:t>
            </w:r>
          </w:p>
        </w:tc>
        <w:tc>
          <w:tcPr>
            <w:tcW w:w="794" w:type="dxa"/>
            <w:shd w:val="clear" w:color="auto" w:fill="92D050"/>
            <w:vAlign w:val="center"/>
          </w:tcPr>
          <w:p w14:paraId="2328A078" w14:textId="77777777" w:rsidR="0064331C" w:rsidRPr="0064331C" w:rsidRDefault="0064331C" w:rsidP="005D385E">
            <w:pPr>
              <w:jc w:val="center"/>
              <w:rPr>
                <w:b/>
                <w:bCs/>
                <w:sz w:val="20"/>
                <w:szCs w:val="20"/>
                <w:lang w:eastAsia="fr-FR"/>
              </w:rPr>
            </w:pPr>
            <w:r w:rsidRPr="0064331C">
              <w:rPr>
                <w:b/>
                <w:bCs/>
                <w:sz w:val="20"/>
                <w:szCs w:val="20"/>
                <w:lang w:eastAsia="fr-FR"/>
              </w:rPr>
              <w:t>220</w:t>
            </w:r>
          </w:p>
          <w:p w14:paraId="68A0E70B" w14:textId="77777777" w:rsidR="0064331C" w:rsidRPr="0064331C" w:rsidRDefault="0064331C" w:rsidP="005D385E">
            <w:pPr>
              <w:jc w:val="center"/>
              <w:rPr>
                <w:b/>
                <w:bCs/>
                <w:sz w:val="20"/>
                <w:szCs w:val="20"/>
                <w:lang w:eastAsia="fr-FR"/>
              </w:rPr>
            </w:pPr>
            <w:r w:rsidRPr="0064331C">
              <w:rPr>
                <w:b/>
                <w:bCs/>
                <w:sz w:val="20"/>
                <w:szCs w:val="20"/>
                <w:lang w:eastAsia="fr-FR"/>
              </w:rPr>
              <w:t>(4)</w:t>
            </w:r>
          </w:p>
        </w:tc>
        <w:tc>
          <w:tcPr>
            <w:tcW w:w="803" w:type="dxa"/>
            <w:shd w:val="clear" w:color="auto" w:fill="E2EFD9" w:themeFill="accent6" w:themeFillTint="33"/>
            <w:tcMar>
              <w:top w:w="150" w:type="dxa"/>
              <w:left w:w="150" w:type="dxa"/>
              <w:bottom w:w="150" w:type="dxa"/>
              <w:right w:w="150" w:type="dxa"/>
            </w:tcMar>
            <w:vAlign w:val="center"/>
          </w:tcPr>
          <w:p w14:paraId="7FCC8DD3"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834" w:type="dxa"/>
            <w:shd w:val="clear" w:color="auto" w:fill="B4C6E7" w:themeFill="accent5" w:themeFillTint="66"/>
            <w:vAlign w:val="center"/>
          </w:tcPr>
          <w:p w14:paraId="6569C904"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265197EA" w14:textId="77777777" w:rsidR="0064331C" w:rsidRPr="0064331C" w:rsidRDefault="0064331C" w:rsidP="005D385E">
            <w:pPr>
              <w:jc w:val="center"/>
              <w:rPr>
                <w:b/>
                <w:bCs/>
                <w:sz w:val="20"/>
                <w:szCs w:val="20"/>
                <w:lang w:eastAsia="fr-FR"/>
              </w:rPr>
            </w:pPr>
            <w:r w:rsidRPr="0064331C">
              <w:rPr>
                <w:b/>
                <w:bCs/>
                <w:sz w:val="20"/>
                <w:szCs w:val="20"/>
                <w:lang w:eastAsia="fr-FR"/>
              </w:rPr>
              <w:t>(7)(8)</w:t>
            </w:r>
          </w:p>
        </w:tc>
        <w:tc>
          <w:tcPr>
            <w:tcW w:w="923" w:type="dxa"/>
            <w:shd w:val="clear" w:color="auto" w:fill="E2EFD9" w:themeFill="accent6" w:themeFillTint="33"/>
            <w:vAlign w:val="center"/>
          </w:tcPr>
          <w:p w14:paraId="233DB058" w14:textId="77777777" w:rsidR="0064331C" w:rsidRPr="0064331C" w:rsidRDefault="0064331C" w:rsidP="005D385E">
            <w:pPr>
              <w:jc w:val="center"/>
              <w:rPr>
                <w:b/>
                <w:bCs/>
                <w:sz w:val="20"/>
                <w:szCs w:val="20"/>
                <w:lang w:eastAsia="fr-FR"/>
              </w:rPr>
            </w:pPr>
            <w:r w:rsidRPr="0064331C">
              <w:rPr>
                <w:b/>
                <w:bCs/>
                <w:sz w:val="20"/>
                <w:szCs w:val="20"/>
                <w:lang w:eastAsia="fr-FR"/>
              </w:rPr>
              <w:t xml:space="preserve">210 </w:t>
            </w:r>
          </w:p>
          <w:p w14:paraId="10A2ECA0"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807" w:type="dxa"/>
            <w:gridSpan w:val="2"/>
            <w:shd w:val="clear" w:color="auto" w:fill="E2EFD9" w:themeFill="accent6" w:themeFillTint="33"/>
            <w:tcMar>
              <w:top w:w="150" w:type="dxa"/>
              <w:left w:w="150" w:type="dxa"/>
              <w:bottom w:w="150" w:type="dxa"/>
              <w:right w:w="150" w:type="dxa"/>
            </w:tcMar>
            <w:vAlign w:val="center"/>
          </w:tcPr>
          <w:p w14:paraId="555C62A2" w14:textId="77777777" w:rsidR="0064331C" w:rsidRPr="0064331C" w:rsidRDefault="0064331C" w:rsidP="005D385E">
            <w:pPr>
              <w:jc w:val="center"/>
              <w:rPr>
                <w:b/>
                <w:bCs/>
                <w:sz w:val="20"/>
                <w:szCs w:val="20"/>
                <w:lang w:eastAsia="fr-FR"/>
              </w:rPr>
            </w:pPr>
            <w:r w:rsidRPr="0064331C">
              <w:rPr>
                <w:b/>
                <w:bCs/>
                <w:sz w:val="20"/>
                <w:szCs w:val="20"/>
                <w:lang w:eastAsia="fr-FR"/>
              </w:rPr>
              <w:t>14</w:t>
            </w:r>
          </w:p>
        </w:tc>
        <w:tc>
          <w:tcPr>
            <w:tcW w:w="794" w:type="dxa"/>
            <w:shd w:val="clear" w:color="auto" w:fill="B4C6E7" w:themeFill="accent5" w:themeFillTint="66"/>
            <w:vAlign w:val="center"/>
          </w:tcPr>
          <w:p w14:paraId="5440B6A5" w14:textId="77777777" w:rsidR="0064331C" w:rsidRPr="0064331C" w:rsidRDefault="0064331C" w:rsidP="005D385E">
            <w:pPr>
              <w:jc w:val="center"/>
              <w:rPr>
                <w:b/>
                <w:bCs/>
                <w:sz w:val="20"/>
                <w:szCs w:val="20"/>
                <w:lang w:eastAsia="fr-FR"/>
              </w:rPr>
            </w:pPr>
            <w:r w:rsidRPr="0064331C">
              <w:rPr>
                <w:b/>
                <w:bCs/>
                <w:sz w:val="20"/>
                <w:szCs w:val="20"/>
                <w:lang w:eastAsia="fr-FR"/>
              </w:rPr>
              <w:t>25</w:t>
            </w:r>
          </w:p>
        </w:tc>
        <w:tc>
          <w:tcPr>
            <w:tcW w:w="916" w:type="dxa"/>
            <w:shd w:val="clear" w:color="auto" w:fill="E2EFD9" w:themeFill="accent6" w:themeFillTint="33"/>
            <w:vAlign w:val="center"/>
          </w:tcPr>
          <w:p w14:paraId="51ABB0F5" w14:textId="77777777" w:rsidR="0064331C" w:rsidRPr="0064331C" w:rsidRDefault="0064331C" w:rsidP="005D385E">
            <w:pPr>
              <w:jc w:val="center"/>
              <w:rPr>
                <w:b/>
                <w:bCs/>
                <w:sz w:val="20"/>
                <w:szCs w:val="20"/>
                <w:lang w:eastAsia="fr-FR"/>
              </w:rPr>
            </w:pPr>
            <w:r w:rsidRPr="0064331C">
              <w:rPr>
                <w:b/>
                <w:bCs/>
                <w:sz w:val="20"/>
                <w:szCs w:val="20"/>
                <w:lang w:eastAsia="fr-FR"/>
              </w:rPr>
              <w:t>25</w:t>
            </w:r>
          </w:p>
        </w:tc>
      </w:tr>
      <w:tr w:rsidR="0064331C" w:rsidRPr="0064331C" w14:paraId="2D11A78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hideMark/>
          </w:tcPr>
          <w:p w14:paraId="07153E1D"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hideMark/>
          </w:tcPr>
          <w:p w14:paraId="54FC8246"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761EA9EB" w14:textId="77777777" w:rsidR="0064331C" w:rsidRPr="0064331C" w:rsidRDefault="0064331C" w:rsidP="005D385E">
            <w:pPr>
              <w:jc w:val="center"/>
              <w:rPr>
                <w:b/>
                <w:bCs/>
                <w:sz w:val="20"/>
                <w:szCs w:val="20"/>
                <w:lang w:eastAsia="fr-FR"/>
              </w:rPr>
            </w:pPr>
            <w:r w:rsidRPr="0064331C">
              <w:rPr>
                <w:b/>
                <w:bCs/>
                <w:sz w:val="20"/>
                <w:szCs w:val="20"/>
                <w:lang w:eastAsia="fr-FR"/>
              </w:rPr>
              <w:t>Chaudières à pulvérisation (lignite)</w:t>
            </w:r>
          </w:p>
        </w:tc>
        <w:tc>
          <w:tcPr>
            <w:tcW w:w="803" w:type="dxa"/>
            <w:shd w:val="clear" w:color="auto" w:fill="E2EFD9" w:themeFill="accent6" w:themeFillTint="33"/>
            <w:tcMar>
              <w:top w:w="150" w:type="dxa"/>
              <w:left w:w="150" w:type="dxa"/>
              <w:bottom w:w="150" w:type="dxa"/>
              <w:right w:w="150" w:type="dxa"/>
            </w:tcMar>
            <w:vAlign w:val="center"/>
          </w:tcPr>
          <w:p w14:paraId="11698B31" w14:textId="77777777" w:rsidR="0064331C" w:rsidRPr="0064331C" w:rsidRDefault="0064331C" w:rsidP="005D385E">
            <w:pPr>
              <w:jc w:val="center"/>
              <w:rPr>
                <w:b/>
                <w:bCs/>
                <w:sz w:val="20"/>
                <w:szCs w:val="20"/>
                <w:lang w:eastAsia="fr-FR"/>
              </w:rPr>
            </w:pPr>
            <w:r w:rsidRPr="0064331C">
              <w:rPr>
                <w:b/>
                <w:bCs/>
                <w:sz w:val="20"/>
                <w:szCs w:val="20"/>
                <w:lang w:eastAsia="fr-FR"/>
              </w:rPr>
              <w:t>130</w:t>
            </w:r>
          </w:p>
        </w:tc>
        <w:tc>
          <w:tcPr>
            <w:tcW w:w="794" w:type="dxa"/>
            <w:shd w:val="clear" w:color="auto" w:fill="B4C6E7" w:themeFill="accent5" w:themeFillTint="66"/>
            <w:vAlign w:val="center"/>
          </w:tcPr>
          <w:p w14:paraId="190DA328"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3B38EC87"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4" w:type="dxa"/>
            <w:shd w:val="clear" w:color="auto" w:fill="E2EFD9" w:themeFill="accent6" w:themeFillTint="33"/>
            <w:vAlign w:val="center"/>
          </w:tcPr>
          <w:p w14:paraId="11D6DD53" w14:textId="77777777" w:rsidR="0064331C" w:rsidRPr="0064331C" w:rsidRDefault="0064331C" w:rsidP="005D385E">
            <w:pPr>
              <w:jc w:val="center"/>
              <w:rPr>
                <w:b/>
                <w:bCs/>
                <w:sz w:val="20"/>
                <w:szCs w:val="20"/>
                <w:lang w:eastAsia="fr-FR"/>
              </w:rPr>
            </w:pPr>
            <w:r w:rsidRPr="0064331C">
              <w:rPr>
                <w:b/>
                <w:bCs/>
                <w:sz w:val="20"/>
                <w:szCs w:val="20"/>
                <w:lang w:eastAsia="fr-FR"/>
              </w:rPr>
              <w:t>205</w:t>
            </w:r>
          </w:p>
          <w:p w14:paraId="7AF56A4D" w14:textId="77777777" w:rsidR="0064331C" w:rsidRPr="0064331C" w:rsidRDefault="0064331C" w:rsidP="005D385E">
            <w:pPr>
              <w:jc w:val="center"/>
              <w:rPr>
                <w:b/>
                <w:bCs/>
                <w:sz w:val="20"/>
                <w:szCs w:val="20"/>
                <w:lang w:eastAsia="fr-FR"/>
              </w:rPr>
            </w:pPr>
            <w:r w:rsidRPr="0064331C">
              <w:rPr>
                <w:b/>
                <w:bCs/>
                <w:sz w:val="20"/>
                <w:szCs w:val="20"/>
                <w:lang w:eastAsia="fr-FR"/>
              </w:rPr>
              <w:t>(6)</w:t>
            </w:r>
          </w:p>
        </w:tc>
        <w:tc>
          <w:tcPr>
            <w:tcW w:w="803" w:type="dxa"/>
            <w:shd w:val="clear" w:color="auto" w:fill="E2EFD9" w:themeFill="accent6" w:themeFillTint="33"/>
            <w:tcMar>
              <w:top w:w="150" w:type="dxa"/>
              <w:left w:w="150" w:type="dxa"/>
              <w:bottom w:w="150" w:type="dxa"/>
              <w:right w:w="150" w:type="dxa"/>
            </w:tcMar>
            <w:vAlign w:val="center"/>
          </w:tcPr>
          <w:p w14:paraId="33FC122C"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834" w:type="dxa"/>
            <w:shd w:val="clear" w:color="auto" w:fill="B4C6E7" w:themeFill="accent5" w:themeFillTint="66"/>
            <w:vAlign w:val="center"/>
          </w:tcPr>
          <w:p w14:paraId="6851E1BF"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284E4C55" w14:textId="77777777" w:rsidR="0064331C" w:rsidRPr="0064331C" w:rsidRDefault="0064331C" w:rsidP="005D385E">
            <w:pPr>
              <w:jc w:val="center"/>
              <w:rPr>
                <w:b/>
                <w:bCs/>
                <w:sz w:val="20"/>
                <w:szCs w:val="20"/>
                <w:lang w:eastAsia="fr-FR"/>
              </w:rPr>
            </w:pPr>
            <w:r w:rsidRPr="0064331C">
              <w:rPr>
                <w:b/>
                <w:bCs/>
                <w:sz w:val="20"/>
                <w:szCs w:val="20"/>
                <w:lang w:eastAsia="fr-FR"/>
              </w:rPr>
              <w:t>(7)(8)</w:t>
            </w:r>
          </w:p>
        </w:tc>
        <w:tc>
          <w:tcPr>
            <w:tcW w:w="923" w:type="dxa"/>
            <w:shd w:val="clear" w:color="auto" w:fill="92D050"/>
            <w:vAlign w:val="center"/>
          </w:tcPr>
          <w:p w14:paraId="5ED31A97" w14:textId="77777777" w:rsidR="0064331C" w:rsidRPr="0064331C" w:rsidRDefault="0064331C" w:rsidP="005D385E">
            <w:pPr>
              <w:jc w:val="center"/>
              <w:rPr>
                <w:b/>
                <w:bCs/>
                <w:sz w:val="20"/>
                <w:szCs w:val="20"/>
                <w:lang w:eastAsia="fr-FR"/>
              </w:rPr>
            </w:pPr>
            <w:r w:rsidRPr="0064331C">
              <w:rPr>
                <w:b/>
                <w:bCs/>
                <w:sz w:val="20"/>
                <w:szCs w:val="20"/>
                <w:lang w:eastAsia="fr-FR"/>
              </w:rPr>
              <w:t xml:space="preserve">220 </w:t>
            </w:r>
          </w:p>
          <w:p w14:paraId="63AFF828"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807" w:type="dxa"/>
            <w:gridSpan w:val="2"/>
            <w:shd w:val="clear" w:color="auto" w:fill="E2EFD9" w:themeFill="accent6" w:themeFillTint="33"/>
            <w:tcMar>
              <w:top w:w="150" w:type="dxa"/>
              <w:left w:w="150" w:type="dxa"/>
              <w:bottom w:w="150" w:type="dxa"/>
              <w:right w:w="150" w:type="dxa"/>
            </w:tcMar>
            <w:vAlign w:val="center"/>
          </w:tcPr>
          <w:p w14:paraId="70D0068C" w14:textId="77777777" w:rsidR="0064331C" w:rsidRPr="0064331C" w:rsidRDefault="0064331C" w:rsidP="005D385E">
            <w:pPr>
              <w:jc w:val="center"/>
              <w:rPr>
                <w:b/>
                <w:bCs/>
                <w:sz w:val="20"/>
                <w:szCs w:val="20"/>
                <w:lang w:eastAsia="fr-FR"/>
              </w:rPr>
            </w:pPr>
            <w:r w:rsidRPr="0064331C">
              <w:rPr>
                <w:b/>
                <w:bCs/>
                <w:sz w:val="20"/>
                <w:szCs w:val="20"/>
                <w:lang w:eastAsia="fr-FR"/>
              </w:rPr>
              <w:t>12 (10)</w:t>
            </w:r>
          </w:p>
        </w:tc>
        <w:tc>
          <w:tcPr>
            <w:tcW w:w="794" w:type="dxa"/>
            <w:shd w:val="clear" w:color="auto" w:fill="B4C6E7" w:themeFill="accent5" w:themeFillTint="66"/>
            <w:vAlign w:val="center"/>
          </w:tcPr>
          <w:p w14:paraId="779817E6" w14:textId="77777777" w:rsidR="0064331C" w:rsidRPr="0064331C" w:rsidRDefault="0064331C" w:rsidP="005D385E">
            <w:pPr>
              <w:jc w:val="center"/>
              <w:rPr>
                <w:b/>
                <w:bCs/>
                <w:sz w:val="20"/>
                <w:szCs w:val="20"/>
                <w:lang w:eastAsia="fr-FR"/>
              </w:rPr>
            </w:pPr>
            <w:r w:rsidRPr="0064331C">
              <w:rPr>
                <w:b/>
                <w:bCs/>
                <w:sz w:val="20"/>
                <w:szCs w:val="20"/>
                <w:lang w:eastAsia="fr-FR"/>
              </w:rPr>
              <w:t>20</w:t>
            </w:r>
          </w:p>
          <w:p w14:paraId="20D9DA41" w14:textId="77777777" w:rsidR="0064331C" w:rsidRPr="0064331C" w:rsidRDefault="0064331C" w:rsidP="005D385E">
            <w:pPr>
              <w:jc w:val="center"/>
              <w:rPr>
                <w:b/>
                <w:bCs/>
                <w:sz w:val="20"/>
                <w:szCs w:val="20"/>
                <w:lang w:eastAsia="fr-FR"/>
              </w:rPr>
            </w:pPr>
            <w:r w:rsidRPr="0064331C">
              <w:rPr>
                <w:b/>
                <w:bCs/>
                <w:sz w:val="20"/>
                <w:szCs w:val="20"/>
                <w:lang w:eastAsia="fr-FR"/>
              </w:rPr>
              <w:t>(11)</w:t>
            </w:r>
          </w:p>
        </w:tc>
        <w:tc>
          <w:tcPr>
            <w:tcW w:w="916" w:type="dxa"/>
            <w:shd w:val="clear" w:color="auto" w:fill="E2EFD9" w:themeFill="accent6" w:themeFillTint="33"/>
            <w:vAlign w:val="center"/>
          </w:tcPr>
          <w:p w14:paraId="6096A14A" w14:textId="77777777" w:rsidR="0064331C" w:rsidRPr="0064331C" w:rsidRDefault="0064331C" w:rsidP="005D385E">
            <w:pPr>
              <w:jc w:val="center"/>
              <w:rPr>
                <w:b/>
                <w:bCs/>
                <w:sz w:val="20"/>
                <w:szCs w:val="20"/>
                <w:lang w:eastAsia="fr-FR"/>
              </w:rPr>
            </w:pPr>
            <w:r w:rsidRPr="0064331C">
              <w:rPr>
                <w:b/>
                <w:bCs/>
                <w:sz w:val="20"/>
                <w:szCs w:val="20"/>
                <w:lang w:eastAsia="fr-FR"/>
              </w:rPr>
              <w:t>20</w:t>
            </w:r>
          </w:p>
          <w:p w14:paraId="0DB67E22"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524AEF9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1955DE30"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0E39849F"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4FA18F8B" w14:textId="77777777" w:rsidR="0064331C" w:rsidRPr="0064331C" w:rsidRDefault="0064331C" w:rsidP="005D385E">
            <w:pPr>
              <w:jc w:val="center"/>
              <w:rPr>
                <w:b/>
                <w:bCs/>
                <w:sz w:val="20"/>
                <w:szCs w:val="20"/>
                <w:lang w:eastAsia="fr-FR"/>
              </w:rPr>
            </w:pPr>
            <w:r w:rsidRPr="0064331C">
              <w:rPr>
                <w:b/>
                <w:bCs/>
                <w:sz w:val="20"/>
                <w:szCs w:val="20"/>
                <w:lang w:eastAsia="fr-FR"/>
              </w:rPr>
              <w:t>Chaudières à pulvérisation (charbon)</w:t>
            </w:r>
          </w:p>
        </w:tc>
        <w:tc>
          <w:tcPr>
            <w:tcW w:w="803" w:type="dxa"/>
            <w:shd w:val="clear" w:color="auto" w:fill="E2EFD9" w:themeFill="accent6" w:themeFillTint="33"/>
            <w:tcMar>
              <w:top w:w="150" w:type="dxa"/>
              <w:left w:w="150" w:type="dxa"/>
              <w:bottom w:w="150" w:type="dxa"/>
              <w:right w:w="150" w:type="dxa"/>
            </w:tcMar>
            <w:vAlign w:val="center"/>
          </w:tcPr>
          <w:p w14:paraId="040CA1CA" w14:textId="77777777" w:rsidR="0064331C" w:rsidRPr="0064331C" w:rsidRDefault="0064331C" w:rsidP="005D385E">
            <w:pPr>
              <w:jc w:val="center"/>
              <w:rPr>
                <w:b/>
                <w:bCs/>
                <w:sz w:val="20"/>
                <w:szCs w:val="20"/>
                <w:lang w:eastAsia="fr-FR"/>
              </w:rPr>
            </w:pPr>
            <w:r w:rsidRPr="0064331C">
              <w:rPr>
                <w:b/>
                <w:bCs/>
                <w:sz w:val="20"/>
                <w:szCs w:val="20"/>
                <w:lang w:eastAsia="fr-FR"/>
              </w:rPr>
              <w:t>130</w:t>
            </w:r>
          </w:p>
        </w:tc>
        <w:tc>
          <w:tcPr>
            <w:tcW w:w="794" w:type="dxa"/>
            <w:shd w:val="clear" w:color="auto" w:fill="B4C6E7" w:themeFill="accent5" w:themeFillTint="66"/>
            <w:vAlign w:val="center"/>
          </w:tcPr>
          <w:p w14:paraId="73A77123"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79AC32BD"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4" w:type="dxa"/>
            <w:shd w:val="clear" w:color="auto" w:fill="E2EFD9" w:themeFill="accent6" w:themeFillTint="33"/>
            <w:vAlign w:val="center"/>
          </w:tcPr>
          <w:p w14:paraId="5E237392" w14:textId="77777777" w:rsidR="0064331C" w:rsidRPr="0064331C" w:rsidRDefault="0064331C" w:rsidP="005D385E">
            <w:pPr>
              <w:jc w:val="center"/>
              <w:rPr>
                <w:b/>
                <w:bCs/>
                <w:sz w:val="20"/>
                <w:szCs w:val="20"/>
                <w:lang w:eastAsia="fr-FR"/>
              </w:rPr>
            </w:pPr>
            <w:r w:rsidRPr="0064331C">
              <w:rPr>
                <w:b/>
                <w:bCs/>
                <w:sz w:val="20"/>
                <w:szCs w:val="20"/>
                <w:lang w:eastAsia="fr-FR"/>
              </w:rPr>
              <w:t>205</w:t>
            </w:r>
          </w:p>
          <w:p w14:paraId="11158C12" w14:textId="77777777" w:rsidR="0064331C" w:rsidRPr="0064331C" w:rsidRDefault="0064331C" w:rsidP="005D385E">
            <w:pPr>
              <w:jc w:val="center"/>
              <w:rPr>
                <w:b/>
                <w:bCs/>
                <w:sz w:val="20"/>
                <w:szCs w:val="20"/>
                <w:lang w:eastAsia="fr-FR"/>
              </w:rPr>
            </w:pPr>
            <w:r w:rsidRPr="0064331C">
              <w:rPr>
                <w:b/>
                <w:bCs/>
                <w:sz w:val="20"/>
                <w:szCs w:val="20"/>
                <w:lang w:eastAsia="fr-FR"/>
              </w:rPr>
              <w:t>(6)</w:t>
            </w:r>
          </w:p>
        </w:tc>
        <w:tc>
          <w:tcPr>
            <w:tcW w:w="803" w:type="dxa"/>
            <w:shd w:val="clear" w:color="auto" w:fill="E2EFD9" w:themeFill="accent6" w:themeFillTint="33"/>
            <w:tcMar>
              <w:top w:w="150" w:type="dxa"/>
              <w:left w:w="150" w:type="dxa"/>
              <w:bottom w:w="150" w:type="dxa"/>
              <w:right w:w="150" w:type="dxa"/>
            </w:tcMar>
            <w:vAlign w:val="center"/>
          </w:tcPr>
          <w:p w14:paraId="02AB54D3"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834" w:type="dxa"/>
            <w:shd w:val="clear" w:color="auto" w:fill="B4C6E7" w:themeFill="accent5" w:themeFillTint="66"/>
            <w:vAlign w:val="center"/>
          </w:tcPr>
          <w:p w14:paraId="01E1E4AB"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520E2893" w14:textId="77777777" w:rsidR="0064331C" w:rsidRPr="0064331C" w:rsidRDefault="0064331C" w:rsidP="005D385E">
            <w:pPr>
              <w:jc w:val="center"/>
              <w:rPr>
                <w:b/>
                <w:bCs/>
                <w:sz w:val="20"/>
                <w:szCs w:val="20"/>
                <w:lang w:eastAsia="fr-FR"/>
              </w:rPr>
            </w:pPr>
            <w:r w:rsidRPr="0064331C">
              <w:rPr>
                <w:b/>
                <w:bCs/>
                <w:sz w:val="20"/>
                <w:szCs w:val="20"/>
                <w:lang w:eastAsia="fr-FR"/>
              </w:rPr>
              <w:t>(7)(8)</w:t>
            </w:r>
          </w:p>
        </w:tc>
        <w:tc>
          <w:tcPr>
            <w:tcW w:w="923" w:type="dxa"/>
            <w:shd w:val="clear" w:color="auto" w:fill="E2EFD9" w:themeFill="accent6" w:themeFillTint="33"/>
            <w:vAlign w:val="center"/>
          </w:tcPr>
          <w:p w14:paraId="04375F93"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5B5A43DF" w14:textId="77777777" w:rsidR="0064331C" w:rsidRPr="0064331C" w:rsidRDefault="0064331C" w:rsidP="005D385E">
            <w:pPr>
              <w:jc w:val="center"/>
              <w:rPr>
                <w:b/>
                <w:bCs/>
                <w:sz w:val="20"/>
                <w:szCs w:val="20"/>
                <w:lang w:eastAsia="fr-FR"/>
              </w:rPr>
            </w:pPr>
            <w:r w:rsidRPr="0064331C">
              <w:rPr>
                <w:b/>
                <w:bCs/>
                <w:sz w:val="20"/>
                <w:szCs w:val="20"/>
                <w:lang w:eastAsia="fr-FR"/>
              </w:rPr>
              <w:t>(7)(9)</w:t>
            </w:r>
          </w:p>
        </w:tc>
        <w:tc>
          <w:tcPr>
            <w:tcW w:w="807" w:type="dxa"/>
            <w:gridSpan w:val="2"/>
            <w:shd w:val="clear" w:color="auto" w:fill="E2EFD9" w:themeFill="accent6" w:themeFillTint="33"/>
            <w:tcMar>
              <w:top w:w="150" w:type="dxa"/>
              <w:left w:w="150" w:type="dxa"/>
              <w:bottom w:w="150" w:type="dxa"/>
              <w:right w:w="150" w:type="dxa"/>
            </w:tcMar>
            <w:vAlign w:val="center"/>
          </w:tcPr>
          <w:p w14:paraId="30EAA811" w14:textId="77777777" w:rsidR="0064331C" w:rsidRPr="0064331C" w:rsidRDefault="0064331C" w:rsidP="005D385E">
            <w:pPr>
              <w:jc w:val="center"/>
              <w:rPr>
                <w:b/>
                <w:bCs/>
                <w:sz w:val="20"/>
                <w:szCs w:val="20"/>
                <w:lang w:eastAsia="fr-FR"/>
              </w:rPr>
            </w:pPr>
            <w:r w:rsidRPr="0064331C">
              <w:rPr>
                <w:b/>
                <w:bCs/>
                <w:sz w:val="20"/>
                <w:szCs w:val="20"/>
                <w:lang w:eastAsia="fr-FR"/>
              </w:rPr>
              <w:t>12 (10)</w:t>
            </w:r>
          </w:p>
        </w:tc>
        <w:tc>
          <w:tcPr>
            <w:tcW w:w="794" w:type="dxa"/>
            <w:shd w:val="clear" w:color="auto" w:fill="B4C6E7" w:themeFill="accent5" w:themeFillTint="66"/>
            <w:vAlign w:val="center"/>
          </w:tcPr>
          <w:p w14:paraId="353E56CA" w14:textId="77777777" w:rsidR="0064331C" w:rsidRPr="0064331C" w:rsidRDefault="0064331C" w:rsidP="005D385E">
            <w:pPr>
              <w:jc w:val="center"/>
              <w:rPr>
                <w:b/>
                <w:bCs/>
                <w:sz w:val="20"/>
                <w:szCs w:val="20"/>
                <w:lang w:eastAsia="fr-FR"/>
              </w:rPr>
            </w:pPr>
            <w:r w:rsidRPr="0064331C">
              <w:rPr>
                <w:b/>
                <w:bCs/>
                <w:sz w:val="20"/>
                <w:szCs w:val="20"/>
                <w:lang w:eastAsia="fr-FR"/>
              </w:rPr>
              <w:t>20</w:t>
            </w:r>
          </w:p>
          <w:p w14:paraId="33944938" w14:textId="77777777" w:rsidR="0064331C" w:rsidRPr="0064331C" w:rsidRDefault="0064331C" w:rsidP="005D385E">
            <w:pPr>
              <w:jc w:val="center"/>
              <w:rPr>
                <w:b/>
                <w:bCs/>
                <w:sz w:val="20"/>
                <w:szCs w:val="20"/>
                <w:lang w:eastAsia="fr-FR"/>
              </w:rPr>
            </w:pPr>
            <w:r w:rsidRPr="0064331C">
              <w:rPr>
                <w:b/>
                <w:bCs/>
                <w:sz w:val="20"/>
                <w:szCs w:val="20"/>
                <w:lang w:eastAsia="fr-FR"/>
              </w:rPr>
              <w:t>(11)</w:t>
            </w:r>
          </w:p>
        </w:tc>
        <w:tc>
          <w:tcPr>
            <w:tcW w:w="916" w:type="dxa"/>
            <w:shd w:val="clear" w:color="auto" w:fill="E2EFD9" w:themeFill="accent6" w:themeFillTint="33"/>
            <w:vAlign w:val="center"/>
          </w:tcPr>
          <w:p w14:paraId="5AC9A7E8" w14:textId="77777777" w:rsidR="0064331C" w:rsidRPr="0064331C" w:rsidRDefault="0064331C" w:rsidP="005D385E">
            <w:pPr>
              <w:jc w:val="center"/>
              <w:rPr>
                <w:b/>
                <w:bCs/>
                <w:sz w:val="20"/>
                <w:szCs w:val="20"/>
                <w:lang w:eastAsia="fr-FR"/>
              </w:rPr>
            </w:pPr>
            <w:r w:rsidRPr="0064331C">
              <w:rPr>
                <w:b/>
                <w:bCs/>
                <w:sz w:val="20"/>
                <w:szCs w:val="20"/>
                <w:lang w:eastAsia="fr-FR"/>
              </w:rPr>
              <w:t>20</w:t>
            </w:r>
          </w:p>
          <w:p w14:paraId="053B62D3"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7D52EC7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1FD5B9B7"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654256C1" w14:textId="77777777" w:rsidR="0064331C" w:rsidRPr="0064331C" w:rsidRDefault="0064331C" w:rsidP="005D385E">
            <w:pPr>
              <w:jc w:val="center"/>
              <w:rPr>
                <w:b/>
                <w:bCs/>
                <w:sz w:val="20"/>
                <w:szCs w:val="20"/>
                <w:lang w:eastAsia="fr-FR"/>
              </w:rPr>
            </w:pPr>
            <w:r w:rsidRPr="0064331C">
              <w:rPr>
                <w:b/>
                <w:bCs/>
                <w:sz w:val="20"/>
                <w:szCs w:val="20"/>
                <w:lang w:eastAsia="fr-FR"/>
              </w:rPr>
              <w:t>300 ≤ P</w:t>
            </w:r>
          </w:p>
          <w:p w14:paraId="3D070993" w14:textId="77777777" w:rsidR="0064331C" w:rsidRPr="0064331C" w:rsidRDefault="0064331C" w:rsidP="005D385E">
            <w:pPr>
              <w:jc w:val="center"/>
              <w:rPr>
                <w:b/>
                <w:bCs/>
                <w:sz w:val="20"/>
                <w:szCs w:val="20"/>
                <w:lang w:eastAsia="fr-FR"/>
              </w:rPr>
            </w:pPr>
            <w:r w:rsidRPr="0064331C">
              <w:rPr>
                <w:b/>
                <w:bCs/>
                <w:sz w:val="20"/>
                <w:szCs w:val="20"/>
                <w:lang w:eastAsia="fr-FR"/>
              </w:rPr>
              <w:t>Chaudières à lit fluidisé</w:t>
            </w:r>
          </w:p>
        </w:tc>
        <w:tc>
          <w:tcPr>
            <w:tcW w:w="803" w:type="dxa"/>
            <w:shd w:val="clear" w:color="auto" w:fill="E2EFD9" w:themeFill="accent6" w:themeFillTint="33"/>
            <w:tcMar>
              <w:top w:w="150" w:type="dxa"/>
              <w:left w:w="150" w:type="dxa"/>
              <w:bottom w:w="150" w:type="dxa"/>
              <w:right w:w="150" w:type="dxa"/>
            </w:tcMar>
            <w:vAlign w:val="center"/>
          </w:tcPr>
          <w:p w14:paraId="52070F9D"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794" w:type="dxa"/>
            <w:shd w:val="clear" w:color="auto" w:fill="B4C6E7" w:themeFill="accent5" w:themeFillTint="66"/>
            <w:vAlign w:val="center"/>
          </w:tcPr>
          <w:p w14:paraId="73EED140"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2BDE6E93"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794" w:type="dxa"/>
            <w:shd w:val="clear" w:color="auto" w:fill="92D050"/>
            <w:vAlign w:val="center"/>
          </w:tcPr>
          <w:p w14:paraId="0F44CDA7"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803" w:type="dxa"/>
            <w:shd w:val="clear" w:color="auto" w:fill="E2EFD9" w:themeFill="accent6" w:themeFillTint="33"/>
            <w:tcMar>
              <w:top w:w="150" w:type="dxa"/>
              <w:left w:w="150" w:type="dxa"/>
              <w:bottom w:w="150" w:type="dxa"/>
              <w:right w:w="150" w:type="dxa"/>
            </w:tcMar>
            <w:vAlign w:val="center"/>
          </w:tcPr>
          <w:p w14:paraId="5D9247BF"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834" w:type="dxa"/>
            <w:shd w:val="clear" w:color="auto" w:fill="B4C6E7" w:themeFill="accent5" w:themeFillTint="66"/>
            <w:vAlign w:val="center"/>
          </w:tcPr>
          <w:p w14:paraId="4FD7608C"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149FC5DC" w14:textId="77777777" w:rsidR="0064331C" w:rsidRPr="0064331C" w:rsidRDefault="0064331C" w:rsidP="005D385E">
            <w:pPr>
              <w:jc w:val="center"/>
              <w:rPr>
                <w:b/>
                <w:bCs/>
                <w:sz w:val="20"/>
                <w:szCs w:val="20"/>
                <w:lang w:eastAsia="fr-FR"/>
              </w:rPr>
            </w:pPr>
            <w:r w:rsidRPr="0064331C">
              <w:rPr>
                <w:b/>
                <w:bCs/>
                <w:sz w:val="20"/>
                <w:szCs w:val="20"/>
                <w:lang w:eastAsia="fr-FR"/>
              </w:rPr>
              <w:t>(8)</w:t>
            </w:r>
          </w:p>
        </w:tc>
        <w:tc>
          <w:tcPr>
            <w:tcW w:w="923" w:type="dxa"/>
            <w:shd w:val="clear" w:color="auto" w:fill="92D050"/>
            <w:vAlign w:val="center"/>
          </w:tcPr>
          <w:p w14:paraId="50764B15" w14:textId="77777777" w:rsidR="0064331C" w:rsidRPr="0064331C" w:rsidRDefault="0064331C" w:rsidP="005D385E">
            <w:pPr>
              <w:jc w:val="center"/>
              <w:rPr>
                <w:b/>
                <w:bCs/>
                <w:sz w:val="20"/>
                <w:szCs w:val="20"/>
                <w:lang w:eastAsia="fr-FR"/>
              </w:rPr>
            </w:pPr>
            <w:r w:rsidRPr="0064331C">
              <w:rPr>
                <w:b/>
                <w:bCs/>
                <w:sz w:val="20"/>
                <w:szCs w:val="20"/>
                <w:lang w:eastAsia="fr-FR"/>
              </w:rPr>
              <w:t>220</w:t>
            </w:r>
          </w:p>
        </w:tc>
        <w:tc>
          <w:tcPr>
            <w:tcW w:w="807" w:type="dxa"/>
            <w:gridSpan w:val="2"/>
            <w:shd w:val="clear" w:color="auto" w:fill="E2EFD9" w:themeFill="accent6" w:themeFillTint="33"/>
            <w:tcMar>
              <w:top w:w="150" w:type="dxa"/>
              <w:left w:w="150" w:type="dxa"/>
              <w:bottom w:w="150" w:type="dxa"/>
              <w:right w:w="150" w:type="dxa"/>
            </w:tcMar>
            <w:vAlign w:val="center"/>
          </w:tcPr>
          <w:p w14:paraId="652B4D60" w14:textId="77777777" w:rsidR="0064331C" w:rsidRPr="0064331C" w:rsidRDefault="0064331C" w:rsidP="005D385E">
            <w:pPr>
              <w:jc w:val="center"/>
              <w:rPr>
                <w:b/>
                <w:bCs/>
                <w:sz w:val="20"/>
                <w:szCs w:val="20"/>
                <w:lang w:eastAsia="fr-FR"/>
              </w:rPr>
            </w:pPr>
            <w:r w:rsidRPr="0064331C">
              <w:rPr>
                <w:b/>
                <w:bCs/>
                <w:sz w:val="20"/>
                <w:szCs w:val="20"/>
                <w:lang w:eastAsia="fr-FR"/>
              </w:rPr>
              <w:t>12 (10)</w:t>
            </w:r>
          </w:p>
        </w:tc>
        <w:tc>
          <w:tcPr>
            <w:tcW w:w="794" w:type="dxa"/>
            <w:shd w:val="clear" w:color="auto" w:fill="B4C6E7" w:themeFill="accent5" w:themeFillTint="66"/>
            <w:vAlign w:val="center"/>
          </w:tcPr>
          <w:p w14:paraId="49445988" w14:textId="77777777" w:rsidR="0064331C" w:rsidRPr="0064331C" w:rsidRDefault="0064331C" w:rsidP="005D385E">
            <w:pPr>
              <w:jc w:val="center"/>
              <w:rPr>
                <w:b/>
                <w:bCs/>
                <w:sz w:val="20"/>
                <w:szCs w:val="20"/>
                <w:lang w:eastAsia="fr-FR"/>
              </w:rPr>
            </w:pPr>
            <w:r w:rsidRPr="0064331C">
              <w:rPr>
                <w:b/>
                <w:bCs/>
                <w:sz w:val="20"/>
                <w:szCs w:val="20"/>
                <w:lang w:eastAsia="fr-FR"/>
              </w:rPr>
              <w:t>20</w:t>
            </w:r>
          </w:p>
          <w:p w14:paraId="5E2B8155" w14:textId="77777777" w:rsidR="0064331C" w:rsidRPr="0064331C" w:rsidRDefault="0064331C" w:rsidP="005D385E">
            <w:pPr>
              <w:jc w:val="center"/>
              <w:rPr>
                <w:b/>
                <w:bCs/>
                <w:sz w:val="20"/>
                <w:szCs w:val="20"/>
                <w:lang w:eastAsia="fr-FR"/>
              </w:rPr>
            </w:pPr>
            <w:r w:rsidRPr="0064331C">
              <w:rPr>
                <w:b/>
                <w:bCs/>
                <w:sz w:val="20"/>
                <w:szCs w:val="20"/>
                <w:lang w:eastAsia="fr-FR"/>
              </w:rPr>
              <w:t>(11)</w:t>
            </w:r>
          </w:p>
        </w:tc>
        <w:tc>
          <w:tcPr>
            <w:tcW w:w="916" w:type="dxa"/>
            <w:shd w:val="clear" w:color="auto" w:fill="E2EFD9" w:themeFill="accent6" w:themeFillTint="33"/>
            <w:vAlign w:val="center"/>
          </w:tcPr>
          <w:p w14:paraId="460D8C4B" w14:textId="77777777" w:rsidR="0064331C" w:rsidRPr="0064331C" w:rsidRDefault="0064331C" w:rsidP="005D385E">
            <w:pPr>
              <w:jc w:val="center"/>
              <w:rPr>
                <w:b/>
                <w:bCs/>
                <w:sz w:val="20"/>
                <w:szCs w:val="20"/>
                <w:lang w:eastAsia="fr-FR"/>
              </w:rPr>
            </w:pPr>
            <w:r w:rsidRPr="0064331C">
              <w:rPr>
                <w:b/>
                <w:bCs/>
                <w:sz w:val="20"/>
                <w:szCs w:val="20"/>
                <w:lang w:eastAsia="fr-FR"/>
              </w:rPr>
              <w:t>20</w:t>
            </w:r>
          </w:p>
          <w:p w14:paraId="10CC011A" w14:textId="77777777" w:rsidR="0064331C" w:rsidRPr="0064331C" w:rsidRDefault="0064331C" w:rsidP="005D385E">
            <w:pPr>
              <w:jc w:val="center"/>
              <w:rPr>
                <w:b/>
                <w:bCs/>
                <w:sz w:val="20"/>
                <w:szCs w:val="20"/>
                <w:lang w:eastAsia="fr-FR"/>
              </w:rPr>
            </w:pPr>
            <w:r w:rsidRPr="0064331C">
              <w:rPr>
                <w:b/>
                <w:bCs/>
                <w:sz w:val="20"/>
                <w:szCs w:val="20"/>
                <w:lang w:eastAsia="fr-FR"/>
              </w:rPr>
              <w:t>(11)</w:t>
            </w:r>
          </w:p>
        </w:tc>
      </w:tr>
      <w:tr w:rsidR="0064331C" w:rsidRPr="0064331C" w14:paraId="4A841F21"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shd w:val="clear" w:color="auto" w:fill="auto"/>
            <w:vAlign w:val="center"/>
          </w:tcPr>
          <w:p w14:paraId="714700B3" w14:textId="77777777" w:rsidR="0064331C" w:rsidRPr="0064331C" w:rsidRDefault="0064331C" w:rsidP="005D385E">
            <w:pPr>
              <w:jc w:val="center"/>
              <w:rPr>
                <w:b/>
                <w:bCs/>
                <w:sz w:val="20"/>
                <w:szCs w:val="20"/>
                <w:lang w:eastAsia="fr-FR"/>
              </w:rPr>
            </w:pPr>
            <w:r w:rsidRPr="0064331C">
              <w:rPr>
                <w:b/>
                <w:bCs/>
                <w:sz w:val="20"/>
                <w:szCs w:val="20"/>
                <w:lang w:eastAsia="fr-FR"/>
              </w:rPr>
              <w:t>Fioul domestique</w:t>
            </w:r>
          </w:p>
        </w:tc>
        <w:tc>
          <w:tcPr>
            <w:tcW w:w="1511" w:type="dxa"/>
            <w:shd w:val="clear" w:color="auto" w:fill="auto"/>
            <w:tcMar>
              <w:top w:w="150" w:type="dxa"/>
              <w:left w:w="150" w:type="dxa"/>
              <w:bottom w:w="150" w:type="dxa"/>
              <w:right w:w="150" w:type="dxa"/>
            </w:tcMar>
            <w:vAlign w:val="center"/>
          </w:tcPr>
          <w:p w14:paraId="4BF2C0F2"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shd w:val="clear" w:color="auto" w:fill="E2EFD9" w:themeFill="accent6" w:themeFillTint="33"/>
            <w:tcMar>
              <w:top w:w="150" w:type="dxa"/>
              <w:left w:w="150" w:type="dxa"/>
              <w:bottom w:w="150" w:type="dxa"/>
              <w:right w:w="150" w:type="dxa"/>
            </w:tcMar>
            <w:vAlign w:val="center"/>
          </w:tcPr>
          <w:p w14:paraId="3AE0EFBD"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4" w:type="dxa"/>
            <w:shd w:val="clear" w:color="auto" w:fill="B4C6E7" w:themeFill="accent5" w:themeFillTint="66"/>
            <w:vAlign w:val="center"/>
          </w:tcPr>
          <w:p w14:paraId="6259E7BF"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794" w:type="dxa"/>
            <w:shd w:val="clear" w:color="auto" w:fill="B4C6E7" w:themeFill="accent5" w:themeFillTint="66"/>
            <w:vAlign w:val="center"/>
          </w:tcPr>
          <w:p w14:paraId="2E1C6C2B" w14:textId="77777777" w:rsidR="0064331C" w:rsidRPr="0064331C" w:rsidRDefault="0064331C" w:rsidP="005D385E">
            <w:pPr>
              <w:jc w:val="center"/>
              <w:rPr>
                <w:b/>
                <w:bCs/>
                <w:sz w:val="20"/>
                <w:szCs w:val="20"/>
                <w:lang w:eastAsia="fr-FR"/>
              </w:rPr>
            </w:pPr>
            <w:r w:rsidRPr="0064331C">
              <w:rPr>
                <w:b/>
                <w:bCs/>
                <w:sz w:val="20"/>
                <w:szCs w:val="20"/>
                <w:lang w:eastAsia="fr-FR"/>
              </w:rPr>
              <w:t>187</w:t>
            </w:r>
          </w:p>
        </w:tc>
        <w:tc>
          <w:tcPr>
            <w:tcW w:w="803" w:type="dxa"/>
            <w:shd w:val="clear" w:color="auto" w:fill="E2EFD9" w:themeFill="accent6" w:themeFillTint="33"/>
            <w:tcMar>
              <w:top w:w="150" w:type="dxa"/>
              <w:left w:w="150" w:type="dxa"/>
              <w:bottom w:w="150" w:type="dxa"/>
              <w:right w:w="150" w:type="dxa"/>
            </w:tcMar>
            <w:vAlign w:val="center"/>
          </w:tcPr>
          <w:p w14:paraId="136E8909"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834" w:type="dxa"/>
            <w:shd w:val="clear" w:color="auto" w:fill="B4C6E7" w:themeFill="accent5" w:themeFillTint="66"/>
            <w:vAlign w:val="center"/>
          </w:tcPr>
          <w:p w14:paraId="128BE8D4" w14:textId="77777777" w:rsidR="0064331C" w:rsidRPr="0064331C" w:rsidRDefault="0064331C" w:rsidP="005D385E">
            <w:pPr>
              <w:jc w:val="center"/>
              <w:rPr>
                <w:b/>
                <w:bCs/>
                <w:sz w:val="20"/>
                <w:szCs w:val="20"/>
                <w:lang w:eastAsia="fr-FR"/>
              </w:rPr>
            </w:pPr>
            <w:r w:rsidRPr="0064331C">
              <w:rPr>
                <w:b/>
                <w:bCs/>
                <w:sz w:val="20"/>
                <w:szCs w:val="20"/>
                <w:lang w:eastAsia="fr-FR"/>
              </w:rPr>
              <w:t>150</w:t>
            </w:r>
          </w:p>
          <w:p w14:paraId="1C6FB63B" w14:textId="77777777" w:rsidR="0064331C" w:rsidRPr="0064331C" w:rsidRDefault="0064331C" w:rsidP="005D385E">
            <w:pPr>
              <w:jc w:val="center"/>
              <w:rPr>
                <w:b/>
                <w:bCs/>
                <w:sz w:val="20"/>
                <w:szCs w:val="20"/>
                <w:lang w:eastAsia="fr-FR"/>
              </w:rPr>
            </w:pPr>
            <w:r w:rsidRPr="0064331C">
              <w:rPr>
                <w:b/>
                <w:bCs/>
                <w:sz w:val="20"/>
                <w:szCs w:val="20"/>
                <w:lang w:eastAsia="fr-FR"/>
              </w:rPr>
              <w:t>(13)</w:t>
            </w:r>
          </w:p>
        </w:tc>
        <w:tc>
          <w:tcPr>
            <w:tcW w:w="923" w:type="dxa"/>
            <w:shd w:val="clear" w:color="auto" w:fill="B4C6E7" w:themeFill="accent5" w:themeFillTint="66"/>
            <w:vAlign w:val="center"/>
          </w:tcPr>
          <w:p w14:paraId="04AEA52B" w14:textId="77777777" w:rsidR="0064331C" w:rsidRPr="0064331C" w:rsidRDefault="0064331C" w:rsidP="005D385E">
            <w:pPr>
              <w:jc w:val="center"/>
              <w:rPr>
                <w:b/>
                <w:bCs/>
                <w:sz w:val="20"/>
                <w:szCs w:val="20"/>
                <w:lang w:eastAsia="fr-FR"/>
              </w:rPr>
            </w:pPr>
            <w:r w:rsidRPr="0064331C">
              <w:rPr>
                <w:b/>
                <w:bCs/>
                <w:sz w:val="20"/>
                <w:szCs w:val="20"/>
                <w:lang w:eastAsia="fr-FR"/>
              </w:rPr>
              <w:t>165</w:t>
            </w:r>
          </w:p>
          <w:p w14:paraId="3B030AC9" w14:textId="77777777" w:rsidR="0064331C" w:rsidRPr="0064331C" w:rsidRDefault="0064331C" w:rsidP="005D385E">
            <w:pPr>
              <w:jc w:val="center"/>
              <w:rPr>
                <w:b/>
                <w:bCs/>
                <w:sz w:val="20"/>
                <w:szCs w:val="20"/>
                <w:lang w:eastAsia="fr-FR"/>
              </w:rPr>
            </w:pPr>
            <w:r w:rsidRPr="0064331C">
              <w:rPr>
                <w:b/>
                <w:bCs/>
                <w:sz w:val="20"/>
                <w:szCs w:val="20"/>
                <w:lang w:eastAsia="fr-FR"/>
              </w:rPr>
              <w:t>(13)</w:t>
            </w:r>
          </w:p>
        </w:tc>
        <w:tc>
          <w:tcPr>
            <w:tcW w:w="807" w:type="dxa"/>
            <w:gridSpan w:val="2"/>
            <w:shd w:val="clear" w:color="auto" w:fill="E2EFD9" w:themeFill="accent6" w:themeFillTint="33"/>
            <w:tcMar>
              <w:top w:w="150" w:type="dxa"/>
              <w:left w:w="150" w:type="dxa"/>
              <w:bottom w:w="150" w:type="dxa"/>
              <w:right w:w="150" w:type="dxa"/>
            </w:tcMar>
            <w:vAlign w:val="center"/>
          </w:tcPr>
          <w:p w14:paraId="7EC18247"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794" w:type="dxa"/>
            <w:shd w:val="clear" w:color="auto" w:fill="E2EFD9" w:themeFill="accent6" w:themeFillTint="33"/>
            <w:vAlign w:val="center"/>
          </w:tcPr>
          <w:p w14:paraId="60AFE603" w14:textId="77777777" w:rsidR="0064331C" w:rsidRPr="0064331C" w:rsidRDefault="0064331C" w:rsidP="005D385E">
            <w:pPr>
              <w:jc w:val="center"/>
              <w:rPr>
                <w:b/>
                <w:bCs/>
                <w:sz w:val="20"/>
                <w:szCs w:val="20"/>
                <w:lang w:eastAsia="fr-FR"/>
              </w:rPr>
            </w:pPr>
            <w:r w:rsidRPr="0064331C">
              <w:rPr>
                <w:b/>
                <w:bCs/>
                <w:sz w:val="20"/>
                <w:szCs w:val="20"/>
                <w:lang w:eastAsia="fr-FR"/>
              </w:rPr>
              <w:t>25</w:t>
            </w:r>
          </w:p>
        </w:tc>
        <w:tc>
          <w:tcPr>
            <w:tcW w:w="916" w:type="dxa"/>
            <w:shd w:val="clear" w:color="auto" w:fill="E2EFD9" w:themeFill="accent6" w:themeFillTint="33"/>
            <w:vAlign w:val="center"/>
          </w:tcPr>
          <w:p w14:paraId="5717E39F" w14:textId="77777777" w:rsidR="0064331C" w:rsidRPr="0064331C" w:rsidRDefault="0064331C" w:rsidP="005D385E">
            <w:pPr>
              <w:jc w:val="center"/>
              <w:rPr>
                <w:b/>
                <w:bCs/>
                <w:sz w:val="20"/>
                <w:szCs w:val="20"/>
                <w:lang w:eastAsia="fr-FR"/>
              </w:rPr>
            </w:pPr>
            <w:r w:rsidRPr="0064331C">
              <w:rPr>
                <w:b/>
                <w:bCs/>
                <w:sz w:val="20"/>
                <w:szCs w:val="20"/>
                <w:lang w:eastAsia="fr-FR"/>
              </w:rPr>
              <w:t>25</w:t>
            </w:r>
          </w:p>
        </w:tc>
      </w:tr>
      <w:tr w:rsidR="0064331C" w:rsidRPr="0064331C" w14:paraId="18AC30E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49AB230F" w14:textId="77777777" w:rsidR="0064331C" w:rsidRPr="0064331C" w:rsidRDefault="0064331C" w:rsidP="005D385E">
            <w:pPr>
              <w:jc w:val="cente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456CC9C5"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shd w:val="clear" w:color="auto" w:fill="E2EFD9" w:themeFill="accent6" w:themeFillTint="33"/>
            <w:tcMar>
              <w:top w:w="150" w:type="dxa"/>
              <w:left w:w="150" w:type="dxa"/>
              <w:bottom w:w="150" w:type="dxa"/>
              <w:right w:w="150" w:type="dxa"/>
            </w:tcMar>
            <w:vAlign w:val="center"/>
          </w:tcPr>
          <w:p w14:paraId="798563CE"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4" w:type="dxa"/>
            <w:shd w:val="clear" w:color="auto" w:fill="B4C6E7" w:themeFill="accent5" w:themeFillTint="66"/>
            <w:vAlign w:val="center"/>
          </w:tcPr>
          <w:p w14:paraId="0D52BC7E"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794" w:type="dxa"/>
            <w:shd w:val="clear" w:color="auto" w:fill="B4C6E7" w:themeFill="accent5" w:themeFillTint="66"/>
            <w:vAlign w:val="center"/>
          </w:tcPr>
          <w:p w14:paraId="3A15DB8E" w14:textId="77777777" w:rsidR="0064331C" w:rsidRPr="0064331C" w:rsidRDefault="0064331C" w:rsidP="005D385E">
            <w:pPr>
              <w:jc w:val="center"/>
              <w:rPr>
                <w:b/>
                <w:bCs/>
                <w:sz w:val="20"/>
                <w:szCs w:val="20"/>
                <w:lang w:eastAsia="fr-FR"/>
              </w:rPr>
            </w:pPr>
            <w:r w:rsidRPr="0064331C">
              <w:rPr>
                <w:b/>
                <w:bCs/>
                <w:sz w:val="20"/>
                <w:szCs w:val="20"/>
                <w:lang w:eastAsia="fr-FR"/>
              </w:rPr>
              <w:t>187</w:t>
            </w:r>
          </w:p>
        </w:tc>
        <w:tc>
          <w:tcPr>
            <w:tcW w:w="803" w:type="dxa"/>
            <w:shd w:val="clear" w:color="auto" w:fill="E2EFD9" w:themeFill="accent6" w:themeFillTint="33"/>
            <w:tcMar>
              <w:top w:w="150" w:type="dxa"/>
              <w:left w:w="150" w:type="dxa"/>
              <w:bottom w:w="150" w:type="dxa"/>
              <w:right w:w="150" w:type="dxa"/>
            </w:tcMar>
            <w:vAlign w:val="center"/>
          </w:tcPr>
          <w:p w14:paraId="7394AFBF"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4" w:type="dxa"/>
            <w:shd w:val="clear" w:color="auto" w:fill="E2EFD9" w:themeFill="accent6" w:themeFillTint="33"/>
            <w:vAlign w:val="center"/>
          </w:tcPr>
          <w:p w14:paraId="2A27386F" w14:textId="77777777" w:rsidR="0064331C" w:rsidRPr="0064331C" w:rsidRDefault="0064331C" w:rsidP="005D385E">
            <w:pPr>
              <w:jc w:val="center"/>
              <w:rPr>
                <w:b/>
                <w:bCs/>
                <w:sz w:val="20"/>
                <w:szCs w:val="20"/>
                <w:lang w:eastAsia="fr-FR"/>
              </w:rPr>
            </w:pPr>
            <w:r w:rsidRPr="0064331C">
              <w:rPr>
                <w:b/>
                <w:bCs/>
                <w:sz w:val="20"/>
                <w:szCs w:val="20"/>
                <w:lang w:eastAsia="fr-FR"/>
              </w:rPr>
              <w:t>145</w:t>
            </w:r>
          </w:p>
          <w:p w14:paraId="3DACD284" w14:textId="77777777" w:rsidR="0064331C" w:rsidRPr="0064331C" w:rsidRDefault="0064331C" w:rsidP="005D385E">
            <w:pPr>
              <w:jc w:val="center"/>
              <w:rPr>
                <w:b/>
                <w:bCs/>
                <w:sz w:val="20"/>
                <w:szCs w:val="20"/>
                <w:lang w:eastAsia="fr-FR"/>
              </w:rPr>
            </w:pPr>
            <w:r w:rsidRPr="0064331C">
              <w:rPr>
                <w:b/>
                <w:bCs/>
                <w:sz w:val="20"/>
                <w:szCs w:val="20"/>
                <w:lang w:eastAsia="fr-FR"/>
              </w:rPr>
              <w:t>(13)</w:t>
            </w:r>
          </w:p>
        </w:tc>
        <w:tc>
          <w:tcPr>
            <w:tcW w:w="923" w:type="dxa"/>
            <w:shd w:val="clear" w:color="auto" w:fill="E2EFD9" w:themeFill="accent6" w:themeFillTint="33"/>
            <w:vAlign w:val="center"/>
          </w:tcPr>
          <w:p w14:paraId="2A14E3C7" w14:textId="77777777" w:rsidR="0064331C" w:rsidRPr="0064331C" w:rsidRDefault="0064331C" w:rsidP="005D385E">
            <w:pPr>
              <w:jc w:val="center"/>
              <w:rPr>
                <w:b/>
                <w:bCs/>
                <w:sz w:val="20"/>
                <w:szCs w:val="20"/>
                <w:lang w:eastAsia="fr-FR"/>
              </w:rPr>
            </w:pPr>
            <w:r w:rsidRPr="0064331C">
              <w:rPr>
                <w:b/>
                <w:bCs/>
                <w:sz w:val="20"/>
                <w:szCs w:val="20"/>
                <w:lang w:eastAsia="fr-FR"/>
              </w:rPr>
              <w:t>145</w:t>
            </w:r>
          </w:p>
          <w:p w14:paraId="7E730A41" w14:textId="77777777" w:rsidR="0064331C" w:rsidRPr="0064331C" w:rsidRDefault="0064331C" w:rsidP="005D385E">
            <w:pPr>
              <w:jc w:val="center"/>
              <w:rPr>
                <w:b/>
                <w:bCs/>
                <w:sz w:val="20"/>
                <w:szCs w:val="20"/>
                <w:lang w:eastAsia="fr-FR"/>
              </w:rPr>
            </w:pPr>
            <w:r w:rsidRPr="0064331C">
              <w:rPr>
                <w:b/>
                <w:bCs/>
                <w:sz w:val="20"/>
                <w:szCs w:val="20"/>
                <w:lang w:eastAsia="fr-FR"/>
              </w:rPr>
              <w:t>(13)</w:t>
            </w:r>
          </w:p>
        </w:tc>
        <w:tc>
          <w:tcPr>
            <w:tcW w:w="807" w:type="dxa"/>
            <w:gridSpan w:val="2"/>
            <w:shd w:val="clear" w:color="auto" w:fill="E2EFD9" w:themeFill="accent6" w:themeFillTint="33"/>
            <w:tcMar>
              <w:top w:w="150" w:type="dxa"/>
              <w:left w:w="150" w:type="dxa"/>
              <w:bottom w:w="150" w:type="dxa"/>
              <w:right w:w="150" w:type="dxa"/>
            </w:tcMar>
            <w:vAlign w:val="center"/>
          </w:tcPr>
          <w:p w14:paraId="1E5D4BF6"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794" w:type="dxa"/>
            <w:shd w:val="clear" w:color="auto" w:fill="B4C6E7" w:themeFill="accent5" w:themeFillTint="66"/>
            <w:vAlign w:val="center"/>
          </w:tcPr>
          <w:p w14:paraId="7C37E904" w14:textId="77777777" w:rsidR="0064331C" w:rsidRPr="0064331C" w:rsidRDefault="0064331C" w:rsidP="005D385E">
            <w:pPr>
              <w:jc w:val="center"/>
              <w:rPr>
                <w:b/>
                <w:bCs/>
                <w:sz w:val="20"/>
                <w:szCs w:val="20"/>
                <w:lang w:eastAsia="fr-FR"/>
              </w:rPr>
            </w:pPr>
            <w:r w:rsidRPr="0064331C">
              <w:rPr>
                <w:b/>
                <w:bCs/>
                <w:sz w:val="20"/>
                <w:szCs w:val="20"/>
                <w:lang w:eastAsia="fr-FR"/>
              </w:rPr>
              <w:t>25</w:t>
            </w:r>
          </w:p>
        </w:tc>
        <w:tc>
          <w:tcPr>
            <w:tcW w:w="916" w:type="dxa"/>
            <w:shd w:val="clear" w:color="auto" w:fill="E2EFD9" w:themeFill="accent6" w:themeFillTint="33"/>
            <w:vAlign w:val="center"/>
          </w:tcPr>
          <w:p w14:paraId="07F337B1" w14:textId="77777777" w:rsidR="0064331C" w:rsidRPr="0064331C" w:rsidRDefault="0064331C" w:rsidP="005D385E">
            <w:pPr>
              <w:jc w:val="center"/>
              <w:rPr>
                <w:b/>
                <w:bCs/>
                <w:sz w:val="20"/>
                <w:szCs w:val="20"/>
                <w:lang w:eastAsia="fr-FR"/>
              </w:rPr>
            </w:pPr>
            <w:r w:rsidRPr="0064331C">
              <w:rPr>
                <w:b/>
                <w:bCs/>
                <w:sz w:val="20"/>
                <w:szCs w:val="20"/>
                <w:lang w:eastAsia="fr-FR"/>
              </w:rPr>
              <w:t>25</w:t>
            </w:r>
          </w:p>
        </w:tc>
      </w:tr>
      <w:tr w:rsidR="0064331C" w:rsidRPr="0064331C" w14:paraId="21C94BF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20DC0EB1" w14:textId="77777777" w:rsidR="0064331C" w:rsidRPr="0064331C" w:rsidRDefault="0064331C" w:rsidP="005D385E">
            <w:pPr>
              <w:jc w:val="cente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352C65CE"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3" w:type="dxa"/>
            <w:shd w:val="clear" w:color="auto" w:fill="E2EFD9" w:themeFill="accent6" w:themeFillTint="33"/>
            <w:tcMar>
              <w:top w:w="150" w:type="dxa"/>
              <w:left w:w="150" w:type="dxa"/>
              <w:bottom w:w="150" w:type="dxa"/>
              <w:right w:w="150" w:type="dxa"/>
            </w:tcMar>
            <w:vAlign w:val="center"/>
          </w:tcPr>
          <w:p w14:paraId="034A70F2"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4" w:type="dxa"/>
            <w:shd w:val="clear" w:color="auto" w:fill="B4C6E7" w:themeFill="accent5" w:themeFillTint="66"/>
            <w:vAlign w:val="center"/>
          </w:tcPr>
          <w:p w14:paraId="59DBB6F9" w14:textId="77777777" w:rsidR="0064331C" w:rsidRPr="0064331C" w:rsidRDefault="0064331C" w:rsidP="005D385E">
            <w:pPr>
              <w:jc w:val="center"/>
              <w:rPr>
                <w:b/>
                <w:bCs/>
                <w:sz w:val="20"/>
                <w:szCs w:val="20"/>
                <w:lang w:eastAsia="fr-FR"/>
              </w:rPr>
            </w:pPr>
            <w:r w:rsidRPr="0064331C">
              <w:rPr>
                <w:b/>
                <w:bCs/>
                <w:sz w:val="20"/>
                <w:szCs w:val="20"/>
                <w:lang w:eastAsia="fr-FR"/>
              </w:rPr>
              <w:t>170</w:t>
            </w:r>
          </w:p>
        </w:tc>
        <w:tc>
          <w:tcPr>
            <w:tcW w:w="794" w:type="dxa"/>
            <w:shd w:val="clear" w:color="auto" w:fill="E2EFD9" w:themeFill="accent6" w:themeFillTint="33"/>
            <w:vAlign w:val="center"/>
          </w:tcPr>
          <w:p w14:paraId="5D075E1A"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7EB1EEA6" w14:textId="77777777" w:rsidR="0064331C" w:rsidRPr="0064331C" w:rsidRDefault="0064331C" w:rsidP="005D385E">
            <w:pPr>
              <w:jc w:val="center"/>
              <w:rPr>
                <w:b/>
                <w:bCs/>
                <w:sz w:val="20"/>
                <w:szCs w:val="20"/>
                <w:lang w:eastAsia="fr-FR"/>
              </w:rPr>
            </w:pPr>
            <w:r w:rsidRPr="0064331C">
              <w:rPr>
                <w:b/>
                <w:bCs/>
                <w:sz w:val="20"/>
                <w:szCs w:val="20"/>
                <w:lang w:eastAsia="fr-FR"/>
              </w:rPr>
              <w:t>(12)</w:t>
            </w:r>
          </w:p>
        </w:tc>
        <w:tc>
          <w:tcPr>
            <w:tcW w:w="803" w:type="dxa"/>
            <w:shd w:val="clear" w:color="auto" w:fill="E2EFD9" w:themeFill="accent6" w:themeFillTint="33"/>
            <w:tcMar>
              <w:top w:w="150" w:type="dxa"/>
              <w:left w:w="150" w:type="dxa"/>
              <w:bottom w:w="150" w:type="dxa"/>
              <w:right w:w="150" w:type="dxa"/>
            </w:tcMar>
            <w:vAlign w:val="center"/>
          </w:tcPr>
          <w:p w14:paraId="0B1D4307"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4" w:type="dxa"/>
            <w:shd w:val="clear" w:color="auto" w:fill="E2EFD9" w:themeFill="accent6" w:themeFillTint="33"/>
            <w:vAlign w:val="center"/>
          </w:tcPr>
          <w:p w14:paraId="7CA12C98" w14:textId="77777777" w:rsidR="0064331C" w:rsidRPr="0064331C" w:rsidRDefault="0064331C" w:rsidP="005D385E">
            <w:pPr>
              <w:jc w:val="center"/>
              <w:rPr>
                <w:b/>
                <w:bCs/>
                <w:sz w:val="20"/>
                <w:szCs w:val="20"/>
                <w:lang w:eastAsia="fr-FR"/>
              </w:rPr>
            </w:pPr>
            <w:r w:rsidRPr="0064331C">
              <w:rPr>
                <w:b/>
                <w:bCs/>
                <w:sz w:val="20"/>
                <w:szCs w:val="20"/>
                <w:lang w:eastAsia="fr-FR"/>
              </w:rPr>
              <w:t>145</w:t>
            </w:r>
          </w:p>
          <w:p w14:paraId="4E38C73E" w14:textId="77777777" w:rsidR="0064331C" w:rsidRPr="0064331C" w:rsidRDefault="0064331C" w:rsidP="005D385E">
            <w:pPr>
              <w:jc w:val="center"/>
              <w:rPr>
                <w:b/>
                <w:bCs/>
                <w:sz w:val="20"/>
                <w:szCs w:val="20"/>
                <w:lang w:eastAsia="fr-FR"/>
              </w:rPr>
            </w:pPr>
            <w:r w:rsidRPr="0064331C">
              <w:rPr>
                <w:b/>
                <w:bCs/>
                <w:sz w:val="20"/>
                <w:szCs w:val="20"/>
                <w:lang w:eastAsia="fr-FR"/>
              </w:rPr>
              <w:t>(13)</w:t>
            </w:r>
          </w:p>
        </w:tc>
        <w:tc>
          <w:tcPr>
            <w:tcW w:w="923" w:type="dxa"/>
            <w:shd w:val="clear" w:color="auto" w:fill="E2EFD9" w:themeFill="accent6" w:themeFillTint="33"/>
            <w:vAlign w:val="center"/>
          </w:tcPr>
          <w:p w14:paraId="73407175" w14:textId="77777777" w:rsidR="0064331C" w:rsidRPr="0064331C" w:rsidRDefault="0064331C" w:rsidP="005D385E">
            <w:pPr>
              <w:jc w:val="center"/>
              <w:rPr>
                <w:b/>
                <w:bCs/>
                <w:sz w:val="20"/>
                <w:szCs w:val="20"/>
                <w:lang w:eastAsia="fr-FR"/>
              </w:rPr>
            </w:pPr>
            <w:r w:rsidRPr="0064331C">
              <w:rPr>
                <w:b/>
                <w:bCs/>
                <w:sz w:val="20"/>
                <w:szCs w:val="20"/>
                <w:lang w:eastAsia="fr-FR"/>
              </w:rPr>
              <w:t>145</w:t>
            </w:r>
          </w:p>
          <w:p w14:paraId="0A4D90D7" w14:textId="77777777" w:rsidR="0064331C" w:rsidRPr="0064331C" w:rsidRDefault="0064331C" w:rsidP="005D385E">
            <w:pPr>
              <w:jc w:val="center"/>
              <w:rPr>
                <w:b/>
                <w:bCs/>
                <w:sz w:val="20"/>
                <w:szCs w:val="20"/>
                <w:lang w:eastAsia="fr-FR"/>
              </w:rPr>
            </w:pPr>
            <w:r w:rsidRPr="0064331C">
              <w:rPr>
                <w:b/>
                <w:bCs/>
                <w:sz w:val="20"/>
                <w:szCs w:val="20"/>
                <w:lang w:eastAsia="fr-FR"/>
              </w:rPr>
              <w:t>(13)</w:t>
            </w:r>
          </w:p>
        </w:tc>
        <w:tc>
          <w:tcPr>
            <w:tcW w:w="807" w:type="dxa"/>
            <w:gridSpan w:val="2"/>
            <w:shd w:val="clear" w:color="auto" w:fill="E2EFD9" w:themeFill="accent6" w:themeFillTint="33"/>
            <w:tcMar>
              <w:top w:w="150" w:type="dxa"/>
              <w:left w:w="150" w:type="dxa"/>
              <w:bottom w:w="150" w:type="dxa"/>
              <w:right w:w="150" w:type="dxa"/>
            </w:tcMar>
            <w:vAlign w:val="center"/>
          </w:tcPr>
          <w:p w14:paraId="5CBA3AFB"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4" w:type="dxa"/>
            <w:shd w:val="clear" w:color="auto" w:fill="E2EFD9" w:themeFill="accent6" w:themeFillTint="33"/>
            <w:vAlign w:val="center"/>
          </w:tcPr>
          <w:p w14:paraId="6F7595D5"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916" w:type="dxa"/>
            <w:shd w:val="clear" w:color="auto" w:fill="E2EFD9" w:themeFill="accent6" w:themeFillTint="33"/>
            <w:vAlign w:val="center"/>
          </w:tcPr>
          <w:p w14:paraId="0D0206BE" w14:textId="77777777" w:rsidR="0064331C" w:rsidRPr="0064331C" w:rsidRDefault="0064331C" w:rsidP="005D385E">
            <w:pPr>
              <w:jc w:val="center"/>
              <w:rPr>
                <w:b/>
                <w:bCs/>
                <w:sz w:val="20"/>
                <w:szCs w:val="20"/>
                <w:lang w:eastAsia="fr-FR"/>
              </w:rPr>
            </w:pPr>
            <w:r w:rsidRPr="0064331C">
              <w:rPr>
                <w:b/>
                <w:bCs/>
                <w:sz w:val="20"/>
                <w:szCs w:val="20"/>
                <w:lang w:eastAsia="fr-FR"/>
              </w:rPr>
              <w:t>15</w:t>
            </w:r>
          </w:p>
        </w:tc>
      </w:tr>
      <w:tr w:rsidR="0064331C" w:rsidRPr="0064331C" w14:paraId="04E2532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shd w:val="clear" w:color="auto" w:fill="auto"/>
            <w:vAlign w:val="center"/>
          </w:tcPr>
          <w:p w14:paraId="42740B43" w14:textId="77777777" w:rsidR="0064331C" w:rsidRPr="0064331C" w:rsidRDefault="0064331C" w:rsidP="005D385E">
            <w:pPr>
              <w:jc w:val="center"/>
              <w:rPr>
                <w:b/>
                <w:bCs/>
                <w:sz w:val="20"/>
                <w:szCs w:val="20"/>
                <w:lang w:eastAsia="fr-FR"/>
              </w:rPr>
            </w:pPr>
            <w:r w:rsidRPr="0064331C">
              <w:rPr>
                <w:b/>
                <w:bCs/>
                <w:sz w:val="20"/>
                <w:szCs w:val="20"/>
                <w:lang w:eastAsia="fr-FR"/>
              </w:rPr>
              <w:t>Fioul lourd</w:t>
            </w:r>
          </w:p>
        </w:tc>
        <w:tc>
          <w:tcPr>
            <w:tcW w:w="1511" w:type="dxa"/>
            <w:shd w:val="clear" w:color="auto" w:fill="auto"/>
            <w:tcMar>
              <w:top w:w="150" w:type="dxa"/>
              <w:left w:w="150" w:type="dxa"/>
              <w:bottom w:w="150" w:type="dxa"/>
              <w:right w:w="150" w:type="dxa"/>
            </w:tcMar>
            <w:vAlign w:val="center"/>
          </w:tcPr>
          <w:p w14:paraId="78E0DC95"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shd w:val="clear" w:color="auto" w:fill="E2EFD9" w:themeFill="accent6" w:themeFillTint="33"/>
            <w:tcMar>
              <w:top w:w="150" w:type="dxa"/>
              <w:left w:w="150" w:type="dxa"/>
              <w:bottom w:w="150" w:type="dxa"/>
              <w:right w:w="150" w:type="dxa"/>
            </w:tcMar>
            <w:vAlign w:val="center"/>
          </w:tcPr>
          <w:p w14:paraId="657B38C3"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4" w:type="dxa"/>
            <w:shd w:val="clear" w:color="auto" w:fill="E2EFD9" w:themeFill="accent6" w:themeFillTint="33"/>
            <w:vAlign w:val="center"/>
          </w:tcPr>
          <w:p w14:paraId="433D7BC3"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28C1C966" w14:textId="77777777" w:rsidR="0064331C" w:rsidRPr="0064331C" w:rsidRDefault="0064331C" w:rsidP="005D385E">
            <w:pPr>
              <w:jc w:val="center"/>
              <w:rPr>
                <w:b/>
                <w:bCs/>
                <w:sz w:val="20"/>
                <w:szCs w:val="20"/>
                <w:lang w:eastAsia="fr-FR"/>
              </w:rPr>
            </w:pPr>
            <w:r w:rsidRPr="0064331C">
              <w:rPr>
                <w:b/>
                <w:bCs/>
                <w:sz w:val="20"/>
                <w:szCs w:val="20"/>
                <w:lang w:eastAsia="fr-FR"/>
              </w:rPr>
              <w:t>(14)</w:t>
            </w:r>
          </w:p>
        </w:tc>
        <w:tc>
          <w:tcPr>
            <w:tcW w:w="794" w:type="dxa"/>
            <w:shd w:val="clear" w:color="auto" w:fill="E2EFD9" w:themeFill="accent6" w:themeFillTint="33"/>
            <w:vAlign w:val="center"/>
          </w:tcPr>
          <w:p w14:paraId="2D581490"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2719AF3B" w14:textId="77777777" w:rsidR="0064331C" w:rsidRPr="0064331C" w:rsidRDefault="0064331C" w:rsidP="005D385E">
            <w:pPr>
              <w:jc w:val="center"/>
              <w:rPr>
                <w:b/>
                <w:bCs/>
                <w:sz w:val="20"/>
                <w:szCs w:val="20"/>
                <w:lang w:eastAsia="fr-FR"/>
              </w:rPr>
            </w:pPr>
            <w:r w:rsidRPr="0064331C">
              <w:rPr>
                <w:b/>
                <w:bCs/>
                <w:sz w:val="20"/>
                <w:szCs w:val="20"/>
                <w:lang w:eastAsia="fr-FR"/>
              </w:rPr>
              <w:t>(14)</w:t>
            </w:r>
          </w:p>
        </w:tc>
        <w:tc>
          <w:tcPr>
            <w:tcW w:w="803" w:type="dxa"/>
            <w:shd w:val="clear" w:color="auto" w:fill="E2EFD9" w:themeFill="accent6" w:themeFillTint="33"/>
            <w:tcMar>
              <w:top w:w="150" w:type="dxa"/>
              <w:left w:w="150" w:type="dxa"/>
              <w:bottom w:w="150" w:type="dxa"/>
              <w:right w:w="150" w:type="dxa"/>
            </w:tcMar>
            <w:vAlign w:val="center"/>
          </w:tcPr>
          <w:p w14:paraId="1F6438E3" w14:textId="77777777" w:rsidR="0064331C" w:rsidRPr="0064331C" w:rsidRDefault="0064331C" w:rsidP="005D385E">
            <w:pPr>
              <w:jc w:val="center"/>
              <w:rPr>
                <w:b/>
                <w:bCs/>
                <w:sz w:val="20"/>
                <w:szCs w:val="20"/>
                <w:lang w:eastAsia="fr-FR"/>
              </w:rPr>
            </w:pPr>
            <w:r w:rsidRPr="0064331C">
              <w:rPr>
                <w:b/>
                <w:bCs/>
                <w:sz w:val="20"/>
                <w:szCs w:val="20"/>
                <w:lang w:eastAsia="fr-FR"/>
              </w:rPr>
              <w:t>270</w:t>
            </w:r>
          </w:p>
        </w:tc>
        <w:tc>
          <w:tcPr>
            <w:tcW w:w="834" w:type="dxa"/>
            <w:shd w:val="clear" w:color="auto" w:fill="E2EFD9" w:themeFill="accent6" w:themeFillTint="33"/>
            <w:vAlign w:val="center"/>
          </w:tcPr>
          <w:p w14:paraId="62E716C2" w14:textId="77777777" w:rsidR="0064331C" w:rsidRPr="0064331C" w:rsidRDefault="0064331C" w:rsidP="005D385E">
            <w:pPr>
              <w:jc w:val="center"/>
              <w:rPr>
                <w:b/>
                <w:bCs/>
                <w:sz w:val="20"/>
                <w:szCs w:val="20"/>
                <w:lang w:eastAsia="fr-FR"/>
              </w:rPr>
            </w:pPr>
            <w:r w:rsidRPr="0064331C">
              <w:rPr>
                <w:b/>
                <w:bCs/>
                <w:sz w:val="20"/>
                <w:szCs w:val="20"/>
                <w:lang w:eastAsia="fr-FR"/>
              </w:rPr>
              <w:t>330</w:t>
            </w:r>
          </w:p>
          <w:p w14:paraId="5660F674" w14:textId="77777777" w:rsidR="0064331C" w:rsidRPr="0064331C" w:rsidRDefault="0064331C" w:rsidP="005D385E">
            <w:pPr>
              <w:jc w:val="center"/>
              <w:rPr>
                <w:b/>
                <w:bCs/>
                <w:sz w:val="20"/>
                <w:szCs w:val="20"/>
                <w:lang w:eastAsia="fr-FR"/>
              </w:rPr>
            </w:pPr>
            <w:r w:rsidRPr="0064331C">
              <w:rPr>
                <w:b/>
                <w:bCs/>
                <w:sz w:val="20"/>
                <w:szCs w:val="20"/>
                <w:lang w:eastAsia="fr-FR"/>
              </w:rPr>
              <w:t>(16)</w:t>
            </w:r>
          </w:p>
        </w:tc>
        <w:tc>
          <w:tcPr>
            <w:tcW w:w="923" w:type="dxa"/>
            <w:shd w:val="clear" w:color="auto" w:fill="E2EFD9" w:themeFill="accent6" w:themeFillTint="33"/>
            <w:vAlign w:val="center"/>
          </w:tcPr>
          <w:p w14:paraId="60DBA225" w14:textId="77777777" w:rsidR="0064331C" w:rsidRPr="0064331C" w:rsidRDefault="0064331C" w:rsidP="005D385E">
            <w:pPr>
              <w:jc w:val="center"/>
              <w:rPr>
                <w:b/>
                <w:bCs/>
                <w:sz w:val="20"/>
                <w:szCs w:val="20"/>
                <w:lang w:eastAsia="fr-FR"/>
              </w:rPr>
            </w:pPr>
            <w:r w:rsidRPr="0064331C">
              <w:rPr>
                <w:b/>
                <w:bCs/>
                <w:sz w:val="20"/>
                <w:szCs w:val="20"/>
                <w:lang w:eastAsia="fr-FR"/>
              </w:rPr>
              <w:t>330</w:t>
            </w:r>
          </w:p>
          <w:p w14:paraId="64E855C2" w14:textId="77777777" w:rsidR="0064331C" w:rsidRPr="0064331C" w:rsidRDefault="0064331C" w:rsidP="005D385E">
            <w:pPr>
              <w:jc w:val="center"/>
              <w:rPr>
                <w:b/>
                <w:bCs/>
                <w:sz w:val="20"/>
                <w:szCs w:val="20"/>
                <w:lang w:eastAsia="fr-FR"/>
              </w:rPr>
            </w:pPr>
            <w:r w:rsidRPr="0064331C">
              <w:rPr>
                <w:b/>
                <w:bCs/>
                <w:sz w:val="20"/>
                <w:szCs w:val="20"/>
                <w:lang w:eastAsia="fr-FR"/>
              </w:rPr>
              <w:t>(16)</w:t>
            </w:r>
          </w:p>
        </w:tc>
        <w:tc>
          <w:tcPr>
            <w:tcW w:w="807" w:type="dxa"/>
            <w:gridSpan w:val="2"/>
            <w:shd w:val="clear" w:color="auto" w:fill="E2EFD9" w:themeFill="accent6" w:themeFillTint="33"/>
            <w:tcMar>
              <w:top w:w="150" w:type="dxa"/>
              <w:left w:w="150" w:type="dxa"/>
              <w:bottom w:w="150" w:type="dxa"/>
              <w:right w:w="150" w:type="dxa"/>
            </w:tcMar>
            <w:vAlign w:val="center"/>
          </w:tcPr>
          <w:p w14:paraId="402ED808"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794" w:type="dxa"/>
            <w:shd w:val="clear" w:color="auto" w:fill="E2EFD9" w:themeFill="accent6" w:themeFillTint="33"/>
            <w:vAlign w:val="center"/>
          </w:tcPr>
          <w:p w14:paraId="60227B9A" w14:textId="77777777" w:rsidR="0064331C" w:rsidRPr="0064331C" w:rsidRDefault="0064331C" w:rsidP="005D385E">
            <w:pPr>
              <w:jc w:val="center"/>
              <w:rPr>
                <w:b/>
                <w:bCs/>
                <w:sz w:val="20"/>
                <w:szCs w:val="20"/>
                <w:lang w:eastAsia="fr-FR"/>
              </w:rPr>
            </w:pPr>
            <w:r w:rsidRPr="0064331C">
              <w:rPr>
                <w:b/>
                <w:bCs/>
                <w:sz w:val="20"/>
                <w:szCs w:val="20"/>
                <w:lang w:eastAsia="fr-FR"/>
              </w:rPr>
              <w:t>25</w:t>
            </w:r>
          </w:p>
        </w:tc>
        <w:tc>
          <w:tcPr>
            <w:tcW w:w="916" w:type="dxa"/>
            <w:shd w:val="clear" w:color="auto" w:fill="E2EFD9" w:themeFill="accent6" w:themeFillTint="33"/>
            <w:vAlign w:val="center"/>
          </w:tcPr>
          <w:p w14:paraId="25ECB4D7" w14:textId="77777777" w:rsidR="0064331C" w:rsidRPr="0064331C" w:rsidRDefault="0064331C" w:rsidP="005D385E">
            <w:pPr>
              <w:jc w:val="center"/>
              <w:rPr>
                <w:b/>
                <w:bCs/>
                <w:sz w:val="20"/>
                <w:szCs w:val="20"/>
                <w:lang w:eastAsia="fr-FR"/>
              </w:rPr>
            </w:pPr>
            <w:r w:rsidRPr="0064331C">
              <w:rPr>
                <w:b/>
                <w:bCs/>
                <w:sz w:val="20"/>
                <w:szCs w:val="20"/>
                <w:lang w:eastAsia="fr-FR"/>
              </w:rPr>
              <w:t>25</w:t>
            </w:r>
          </w:p>
        </w:tc>
      </w:tr>
      <w:tr w:rsidR="0064331C" w:rsidRPr="0064331C" w14:paraId="4836A9B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799DD297"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36A4E49D"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shd w:val="clear" w:color="auto" w:fill="E2EFD9" w:themeFill="accent6" w:themeFillTint="33"/>
            <w:tcMar>
              <w:top w:w="150" w:type="dxa"/>
              <w:left w:w="150" w:type="dxa"/>
              <w:bottom w:w="150" w:type="dxa"/>
              <w:right w:w="150" w:type="dxa"/>
            </w:tcMar>
            <w:vAlign w:val="center"/>
          </w:tcPr>
          <w:p w14:paraId="6EE33B51" w14:textId="77777777" w:rsidR="0064331C" w:rsidRPr="0064331C" w:rsidRDefault="0064331C" w:rsidP="005D385E">
            <w:pPr>
              <w:jc w:val="center"/>
              <w:rPr>
                <w:b/>
                <w:bCs/>
                <w:sz w:val="20"/>
                <w:szCs w:val="20"/>
                <w:lang w:eastAsia="fr-FR"/>
              </w:rPr>
            </w:pPr>
            <w:r w:rsidRPr="0064331C">
              <w:rPr>
                <w:b/>
                <w:bCs/>
                <w:sz w:val="20"/>
                <w:szCs w:val="20"/>
                <w:lang w:eastAsia="fr-FR"/>
              </w:rPr>
              <w:t>175</w:t>
            </w:r>
          </w:p>
        </w:tc>
        <w:tc>
          <w:tcPr>
            <w:tcW w:w="794" w:type="dxa"/>
            <w:shd w:val="clear" w:color="auto" w:fill="E2EFD9" w:themeFill="accent6" w:themeFillTint="33"/>
            <w:vAlign w:val="center"/>
          </w:tcPr>
          <w:p w14:paraId="1E677BED"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030A035A" w14:textId="77777777" w:rsidR="0064331C" w:rsidRPr="0064331C" w:rsidRDefault="0064331C" w:rsidP="005D385E">
            <w:pPr>
              <w:jc w:val="center"/>
              <w:rPr>
                <w:b/>
                <w:bCs/>
                <w:sz w:val="20"/>
                <w:szCs w:val="20"/>
                <w:lang w:eastAsia="fr-FR"/>
              </w:rPr>
            </w:pPr>
            <w:r w:rsidRPr="0064331C">
              <w:rPr>
                <w:b/>
                <w:bCs/>
                <w:sz w:val="20"/>
                <w:szCs w:val="20"/>
                <w:lang w:eastAsia="fr-FR"/>
              </w:rPr>
              <w:t>(14)</w:t>
            </w:r>
          </w:p>
        </w:tc>
        <w:tc>
          <w:tcPr>
            <w:tcW w:w="794" w:type="dxa"/>
            <w:shd w:val="clear" w:color="auto" w:fill="E2EFD9" w:themeFill="accent6" w:themeFillTint="33"/>
            <w:vAlign w:val="center"/>
          </w:tcPr>
          <w:p w14:paraId="322F356A" w14:textId="77777777" w:rsidR="0064331C" w:rsidRPr="0064331C" w:rsidRDefault="0064331C" w:rsidP="005D385E">
            <w:pPr>
              <w:jc w:val="center"/>
              <w:rPr>
                <w:b/>
                <w:bCs/>
                <w:sz w:val="20"/>
                <w:szCs w:val="20"/>
                <w:lang w:eastAsia="fr-FR"/>
              </w:rPr>
            </w:pPr>
            <w:r w:rsidRPr="0064331C">
              <w:rPr>
                <w:b/>
                <w:bCs/>
                <w:sz w:val="20"/>
                <w:szCs w:val="20"/>
                <w:lang w:eastAsia="fr-FR"/>
              </w:rPr>
              <w:t>200</w:t>
            </w:r>
          </w:p>
          <w:p w14:paraId="5820F34F" w14:textId="77777777" w:rsidR="0064331C" w:rsidRPr="0064331C" w:rsidRDefault="0064331C" w:rsidP="005D385E">
            <w:pPr>
              <w:jc w:val="center"/>
              <w:rPr>
                <w:b/>
                <w:bCs/>
                <w:sz w:val="20"/>
                <w:szCs w:val="20"/>
                <w:lang w:eastAsia="fr-FR"/>
              </w:rPr>
            </w:pPr>
            <w:r w:rsidRPr="0064331C">
              <w:rPr>
                <w:b/>
                <w:bCs/>
                <w:sz w:val="20"/>
                <w:szCs w:val="20"/>
                <w:lang w:eastAsia="fr-FR"/>
              </w:rPr>
              <w:t>(14)</w:t>
            </w:r>
          </w:p>
        </w:tc>
        <w:tc>
          <w:tcPr>
            <w:tcW w:w="803" w:type="dxa"/>
            <w:shd w:val="clear" w:color="auto" w:fill="E2EFD9" w:themeFill="accent6" w:themeFillTint="33"/>
            <w:tcMar>
              <w:top w:w="150" w:type="dxa"/>
              <w:left w:w="150" w:type="dxa"/>
              <w:bottom w:w="150" w:type="dxa"/>
              <w:right w:w="150" w:type="dxa"/>
            </w:tcMar>
            <w:vAlign w:val="center"/>
          </w:tcPr>
          <w:p w14:paraId="0322F957"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4" w:type="dxa"/>
            <w:shd w:val="clear" w:color="auto" w:fill="E2EFD9" w:themeFill="accent6" w:themeFillTint="33"/>
            <w:vAlign w:val="center"/>
          </w:tcPr>
          <w:p w14:paraId="6FC437B3" w14:textId="77777777" w:rsidR="0064331C" w:rsidRPr="0064331C" w:rsidRDefault="0064331C" w:rsidP="005D385E">
            <w:pPr>
              <w:jc w:val="center"/>
              <w:rPr>
                <w:b/>
                <w:bCs/>
                <w:sz w:val="20"/>
                <w:szCs w:val="20"/>
                <w:lang w:eastAsia="fr-FR"/>
              </w:rPr>
            </w:pPr>
            <w:r w:rsidRPr="0064331C">
              <w:rPr>
                <w:b/>
                <w:bCs/>
                <w:sz w:val="20"/>
                <w:szCs w:val="20"/>
                <w:lang w:eastAsia="fr-FR"/>
              </w:rPr>
              <w:t>145</w:t>
            </w:r>
          </w:p>
          <w:p w14:paraId="5599B79A" w14:textId="77777777" w:rsidR="0064331C" w:rsidRPr="0064331C" w:rsidRDefault="0064331C" w:rsidP="005D385E">
            <w:pPr>
              <w:jc w:val="center"/>
              <w:rPr>
                <w:b/>
                <w:bCs/>
                <w:sz w:val="20"/>
                <w:szCs w:val="20"/>
                <w:lang w:eastAsia="fr-FR"/>
              </w:rPr>
            </w:pPr>
            <w:r w:rsidRPr="0064331C">
              <w:rPr>
                <w:b/>
                <w:bCs/>
                <w:sz w:val="20"/>
                <w:szCs w:val="20"/>
                <w:lang w:eastAsia="fr-FR"/>
              </w:rPr>
              <w:t>(17)</w:t>
            </w:r>
          </w:p>
        </w:tc>
        <w:tc>
          <w:tcPr>
            <w:tcW w:w="923" w:type="dxa"/>
            <w:shd w:val="clear" w:color="auto" w:fill="E2EFD9" w:themeFill="accent6" w:themeFillTint="33"/>
            <w:vAlign w:val="center"/>
          </w:tcPr>
          <w:p w14:paraId="05257D2B" w14:textId="77777777" w:rsidR="0064331C" w:rsidRPr="0064331C" w:rsidRDefault="0064331C" w:rsidP="005D385E">
            <w:pPr>
              <w:jc w:val="center"/>
              <w:rPr>
                <w:b/>
                <w:bCs/>
                <w:sz w:val="20"/>
                <w:szCs w:val="20"/>
                <w:lang w:eastAsia="fr-FR"/>
              </w:rPr>
            </w:pPr>
            <w:r w:rsidRPr="0064331C">
              <w:rPr>
                <w:b/>
                <w:bCs/>
                <w:sz w:val="20"/>
                <w:szCs w:val="20"/>
                <w:lang w:eastAsia="fr-FR"/>
              </w:rPr>
              <w:t>145</w:t>
            </w:r>
          </w:p>
          <w:p w14:paraId="0A3F9585" w14:textId="77777777" w:rsidR="0064331C" w:rsidRPr="0064331C" w:rsidRDefault="0064331C" w:rsidP="005D385E">
            <w:pPr>
              <w:jc w:val="center"/>
              <w:rPr>
                <w:b/>
                <w:bCs/>
                <w:sz w:val="20"/>
                <w:szCs w:val="20"/>
                <w:lang w:eastAsia="fr-FR"/>
              </w:rPr>
            </w:pPr>
            <w:r w:rsidRPr="0064331C">
              <w:rPr>
                <w:b/>
                <w:bCs/>
                <w:sz w:val="20"/>
                <w:szCs w:val="20"/>
                <w:lang w:eastAsia="fr-FR"/>
              </w:rPr>
              <w:t>(17)</w:t>
            </w:r>
          </w:p>
        </w:tc>
        <w:tc>
          <w:tcPr>
            <w:tcW w:w="807" w:type="dxa"/>
            <w:gridSpan w:val="2"/>
            <w:shd w:val="clear" w:color="auto" w:fill="E2EFD9" w:themeFill="accent6" w:themeFillTint="33"/>
            <w:tcMar>
              <w:top w:w="150" w:type="dxa"/>
              <w:left w:w="150" w:type="dxa"/>
              <w:bottom w:w="150" w:type="dxa"/>
              <w:right w:w="150" w:type="dxa"/>
            </w:tcMar>
            <w:vAlign w:val="center"/>
          </w:tcPr>
          <w:p w14:paraId="4457B9F3"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794" w:type="dxa"/>
            <w:shd w:val="clear" w:color="auto" w:fill="B4C6E7" w:themeFill="accent5" w:themeFillTint="66"/>
            <w:vAlign w:val="center"/>
          </w:tcPr>
          <w:p w14:paraId="748586AD" w14:textId="77777777" w:rsidR="0064331C" w:rsidRPr="0064331C" w:rsidRDefault="0064331C" w:rsidP="005D385E">
            <w:pPr>
              <w:jc w:val="center"/>
              <w:rPr>
                <w:b/>
                <w:bCs/>
                <w:sz w:val="20"/>
                <w:szCs w:val="20"/>
                <w:lang w:eastAsia="fr-FR"/>
              </w:rPr>
            </w:pPr>
            <w:r w:rsidRPr="0064331C">
              <w:rPr>
                <w:b/>
                <w:bCs/>
                <w:sz w:val="20"/>
                <w:szCs w:val="20"/>
                <w:lang w:eastAsia="fr-FR"/>
              </w:rPr>
              <w:t>25</w:t>
            </w:r>
          </w:p>
        </w:tc>
        <w:tc>
          <w:tcPr>
            <w:tcW w:w="916" w:type="dxa"/>
            <w:shd w:val="clear" w:color="auto" w:fill="E2EFD9" w:themeFill="accent6" w:themeFillTint="33"/>
            <w:vAlign w:val="center"/>
          </w:tcPr>
          <w:p w14:paraId="418C8E2A" w14:textId="77777777" w:rsidR="0064331C" w:rsidRPr="0064331C" w:rsidRDefault="0064331C" w:rsidP="005D385E">
            <w:pPr>
              <w:jc w:val="center"/>
              <w:rPr>
                <w:b/>
                <w:bCs/>
                <w:sz w:val="20"/>
                <w:szCs w:val="20"/>
                <w:lang w:eastAsia="fr-FR"/>
              </w:rPr>
            </w:pPr>
            <w:r w:rsidRPr="0064331C">
              <w:rPr>
                <w:b/>
                <w:bCs/>
                <w:sz w:val="20"/>
                <w:szCs w:val="20"/>
                <w:lang w:eastAsia="fr-FR"/>
              </w:rPr>
              <w:t>25</w:t>
            </w:r>
          </w:p>
        </w:tc>
      </w:tr>
      <w:tr w:rsidR="0064331C" w:rsidRPr="0064331C" w14:paraId="25FF5A34"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74199DC1"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15C5F1DF"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3" w:type="dxa"/>
            <w:shd w:val="clear" w:color="auto" w:fill="E2EFD9" w:themeFill="accent6" w:themeFillTint="33"/>
            <w:tcMar>
              <w:top w:w="150" w:type="dxa"/>
              <w:left w:w="150" w:type="dxa"/>
              <w:bottom w:w="150" w:type="dxa"/>
              <w:right w:w="150" w:type="dxa"/>
            </w:tcMar>
            <w:vAlign w:val="center"/>
          </w:tcPr>
          <w:p w14:paraId="65DCBC1F"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4" w:type="dxa"/>
            <w:shd w:val="clear" w:color="auto" w:fill="E2EFD9" w:themeFill="accent6" w:themeFillTint="33"/>
            <w:vAlign w:val="center"/>
          </w:tcPr>
          <w:p w14:paraId="6029CF5F"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3F054EBF"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794" w:type="dxa"/>
            <w:shd w:val="clear" w:color="auto" w:fill="E2EFD9" w:themeFill="accent6" w:themeFillTint="33"/>
            <w:vAlign w:val="center"/>
          </w:tcPr>
          <w:p w14:paraId="49AACA0E" w14:textId="77777777" w:rsidR="0064331C" w:rsidRPr="0064331C" w:rsidRDefault="0064331C" w:rsidP="005D385E">
            <w:pPr>
              <w:jc w:val="center"/>
              <w:rPr>
                <w:b/>
                <w:bCs/>
                <w:sz w:val="20"/>
                <w:szCs w:val="20"/>
                <w:lang w:eastAsia="fr-FR"/>
              </w:rPr>
            </w:pPr>
            <w:r w:rsidRPr="0064331C">
              <w:rPr>
                <w:b/>
                <w:bCs/>
                <w:sz w:val="20"/>
                <w:szCs w:val="20"/>
                <w:lang w:eastAsia="fr-FR"/>
              </w:rPr>
              <w:t>175</w:t>
            </w:r>
          </w:p>
          <w:p w14:paraId="38165EAB"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803" w:type="dxa"/>
            <w:shd w:val="clear" w:color="auto" w:fill="E2EFD9" w:themeFill="accent6" w:themeFillTint="33"/>
            <w:tcMar>
              <w:top w:w="150" w:type="dxa"/>
              <w:left w:w="150" w:type="dxa"/>
              <w:bottom w:w="150" w:type="dxa"/>
              <w:right w:w="150" w:type="dxa"/>
            </w:tcMar>
            <w:vAlign w:val="center"/>
          </w:tcPr>
          <w:p w14:paraId="4D3A88F5"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834" w:type="dxa"/>
            <w:shd w:val="clear" w:color="auto" w:fill="E2EFD9" w:themeFill="accent6" w:themeFillTint="33"/>
            <w:vAlign w:val="center"/>
          </w:tcPr>
          <w:p w14:paraId="59A4F9BE" w14:textId="77777777" w:rsidR="0064331C" w:rsidRPr="0064331C" w:rsidRDefault="0064331C" w:rsidP="005D385E">
            <w:pPr>
              <w:jc w:val="center"/>
              <w:rPr>
                <w:b/>
                <w:bCs/>
                <w:sz w:val="20"/>
                <w:szCs w:val="20"/>
                <w:lang w:eastAsia="fr-FR"/>
              </w:rPr>
            </w:pPr>
            <w:r w:rsidRPr="0064331C">
              <w:rPr>
                <w:b/>
                <w:bCs/>
                <w:sz w:val="20"/>
                <w:szCs w:val="20"/>
                <w:lang w:eastAsia="fr-FR"/>
              </w:rPr>
              <w:t>145</w:t>
            </w:r>
          </w:p>
          <w:p w14:paraId="290DC697" w14:textId="77777777" w:rsidR="0064331C" w:rsidRPr="0064331C" w:rsidRDefault="0064331C" w:rsidP="005D385E">
            <w:pPr>
              <w:jc w:val="center"/>
              <w:rPr>
                <w:b/>
                <w:bCs/>
                <w:sz w:val="20"/>
                <w:szCs w:val="20"/>
                <w:lang w:eastAsia="fr-FR"/>
              </w:rPr>
            </w:pPr>
            <w:r w:rsidRPr="0064331C">
              <w:rPr>
                <w:b/>
                <w:bCs/>
                <w:sz w:val="20"/>
                <w:szCs w:val="20"/>
                <w:lang w:eastAsia="fr-FR"/>
              </w:rPr>
              <w:t>(17)</w:t>
            </w:r>
          </w:p>
        </w:tc>
        <w:tc>
          <w:tcPr>
            <w:tcW w:w="923" w:type="dxa"/>
            <w:shd w:val="clear" w:color="auto" w:fill="E2EFD9" w:themeFill="accent6" w:themeFillTint="33"/>
            <w:vAlign w:val="center"/>
          </w:tcPr>
          <w:p w14:paraId="10885D29" w14:textId="77777777" w:rsidR="0064331C" w:rsidRPr="0064331C" w:rsidRDefault="0064331C" w:rsidP="005D385E">
            <w:pPr>
              <w:jc w:val="center"/>
              <w:rPr>
                <w:b/>
                <w:bCs/>
                <w:sz w:val="20"/>
                <w:szCs w:val="20"/>
                <w:lang w:eastAsia="fr-FR"/>
              </w:rPr>
            </w:pPr>
            <w:r w:rsidRPr="0064331C">
              <w:rPr>
                <w:b/>
                <w:bCs/>
                <w:sz w:val="20"/>
                <w:szCs w:val="20"/>
                <w:lang w:eastAsia="fr-FR"/>
              </w:rPr>
              <w:t>145</w:t>
            </w:r>
          </w:p>
          <w:p w14:paraId="5A6A9A40" w14:textId="77777777" w:rsidR="0064331C" w:rsidRPr="0064331C" w:rsidRDefault="0064331C" w:rsidP="005D385E">
            <w:pPr>
              <w:jc w:val="center"/>
              <w:rPr>
                <w:b/>
                <w:bCs/>
                <w:sz w:val="20"/>
                <w:szCs w:val="20"/>
                <w:lang w:eastAsia="fr-FR"/>
              </w:rPr>
            </w:pPr>
            <w:r w:rsidRPr="0064331C">
              <w:rPr>
                <w:b/>
                <w:bCs/>
                <w:sz w:val="20"/>
                <w:szCs w:val="20"/>
                <w:lang w:eastAsia="fr-FR"/>
              </w:rPr>
              <w:t>(17)</w:t>
            </w:r>
          </w:p>
        </w:tc>
        <w:tc>
          <w:tcPr>
            <w:tcW w:w="807" w:type="dxa"/>
            <w:gridSpan w:val="2"/>
            <w:shd w:val="clear" w:color="auto" w:fill="E2EFD9" w:themeFill="accent6" w:themeFillTint="33"/>
            <w:tcMar>
              <w:top w:w="150" w:type="dxa"/>
              <w:left w:w="150" w:type="dxa"/>
              <w:bottom w:w="150" w:type="dxa"/>
              <w:right w:w="150" w:type="dxa"/>
            </w:tcMar>
            <w:vAlign w:val="center"/>
          </w:tcPr>
          <w:p w14:paraId="46AC7778"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794" w:type="dxa"/>
            <w:shd w:val="clear" w:color="auto" w:fill="E2EFD9" w:themeFill="accent6" w:themeFillTint="33"/>
            <w:vAlign w:val="center"/>
          </w:tcPr>
          <w:p w14:paraId="617017D9"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916" w:type="dxa"/>
            <w:shd w:val="clear" w:color="auto" w:fill="E2EFD9" w:themeFill="accent6" w:themeFillTint="33"/>
            <w:vAlign w:val="center"/>
          </w:tcPr>
          <w:p w14:paraId="244FD732" w14:textId="77777777" w:rsidR="0064331C" w:rsidRPr="0064331C" w:rsidRDefault="0064331C" w:rsidP="005D385E">
            <w:pPr>
              <w:jc w:val="center"/>
              <w:rPr>
                <w:b/>
                <w:bCs/>
                <w:sz w:val="20"/>
                <w:szCs w:val="20"/>
                <w:lang w:eastAsia="fr-FR"/>
              </w:rPr>
            </w:pPr>
            <w:r w:rsidRPr="0064331C">
              <w:rPr>
                <w:b/>
                <w:bCs/>
                <w:sz w:val="20"/>
                <w:szCs w:val="20"/>
                <w:lang w:eastAsia="fr-FR"/>
              </w:rPr>
              <w:t>15</w:t>
            </w:r>
          </w:p>
        </w:tc>
      </w:tr>
      <w:tr w:rsidR="00C6184A" w:rsidRPr="0064331C" w14:paraId="3242F0D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shd w:val="clear" w:color="auto" w:fill="auto"/>
            <w:vAlign w:val="center"/>
          </w:tcPr>
          <w:p w14:paraId="503449D7" w14:textId="77777777" w:rsidR="00C6184A" w:rsidRPr="0064331C" w:rsidRDefault="00C6184A" w:rsidP="005D385E">
            <w:pPr>
              <w:jc w:val="center"/>
              <w:rPr>
                <w:b/>
                <w:bCs/>
                <w:sz w:val="20"/>
                <w:szCs w:val="20"/>
                <w:lang w:eastAsia="fr-FR"/>
              </w:rPr>
            </w:pPr>
            <w:r w:rsidRPr="0064331C">
              <w:rPr>
                <w:b/>
                <w:bCs/>
                <w:sz w:val="20"/>
                <w:szCs w:val="20"/>
                <w:lang w:eastAsia="fr-FR"/>
              </w:rPr>
              <w:t>Gaz naturel</w:t>
            </w:r>
          </w:p>
        </w:tc>
        <w:tc>
          <w:tcPr>
            <w:tcW w:w="1511" w:type="dxa"/>
            <w:shd w:val="clear" w:color="auto" w:fill="auto"/>
            <w:tcMar>
              <w:top w:w="150" w:type="dxa"/>
              <w:left w:w="150" w:type="dxa"/>
              <w:bottom w:w="150" w:type="dxa"/>
              <w:right w:w="150" w:type="dxa"/>
            </w:tcMar>
            <w:vAlign w:val="center"/>
          </w:tcPr>
          <w:p w14:paraId="0101ABDB" w14:textId="77777777" w:rsidR="00C6184A" w:rsidRPr="0064331C" w:rsidRDefault="00C6184A" w:rsidP="005D385E">
            <w:pPr>
              <w:jc w:val="center"/>
              <w:rPr>
                <w:b/>
                <w:bCs/>
                <w:sz w:val="20"/>
                <w:szCs w:val="20"/>
                <w:lang w:eastAsia="fr-FR"/>
              </w:rPr>
            </w:pPr>
            <w:r w:rsidRPr="0064331C">
              <w:rPr>
                <w:b/>
                <w:bCs/>
                <w:sz w:val="20"/>
                <w:szCs w:val="20"/>
                <w:lang w:eastAsia="fr-FR"/>
              </w:rPr>
              <w:t>50 ≤ P &lt; 100</w:t>
            </w:r>
          </w:p>
        </w:tc>
        <w:tc>
          <w:tcPr>
            <w:tcW w:w="803" w:type="dxa"/>
            <w:vMerge w:val="restart"/>
            <w:shd w:val="clear" w:color="auto" w:fill="BFBFBF" w:themeFill="background1" w:themeFillShade="BF"/>
            <w:tcMar>
              <w:top w:w="150" w:type="dxa"/>
              <w:left w:w="150" w:type="dxa"/>
              <w:bottom w:w="150" w:type="dxa"/>
              <w:right w:w="150" w:type="dxa"/>
            </w:tcMar>
            <w:vAlign w:val="center"/>
          </w:tcPr>
          <w:p w14:paraId="382A8F81" w14:textId="77777777" w:rsidR="00C6184A" w:rsidRPr="0064331C" w:rsidRDefault="00C6184A" w:rsidP="005D385E">
            <w:pPr>
              <w:jc w:val="center"/>
              <w:rPr>
                <w:b/>
                <w:bCs/>
                <w:sz w:val="20"/>
                <w:szCs w:val="20"/>
                <w:highlight w:val="yellow"/>
                <w:lang w:eastAsia="fr-FR"/>
              </w:rPr>
            </w:pPr>
          </w:p>
        </w:tc>
        <w:tc>
          <w:tcPr>
            <w:tcW w:w="794" w:type="dxa"/>
            <w:vMerge w:val="restart"/>
            <w:shd w:val="clear" w:color="auto" w:fill="BFBFBF" w:themeFill="background1" w:themeFillShade="BF"/>
            <w:vAlign w:val="center"/>
          </w:tcPr>
          <w:p w14:paraId="53D02260" w14:textId="09B579B2" w:rsidR="00C6184A" w:rsidRPr="0064331C" w:rsidRDefault="00C6184A" w:rsidP="00C6184A">
            <w:pPr>
              <w:jc w:val="center"/>
              <w:rPr>
                <w:b/>
                <w:bCs/>
                <w:sz w:val="20"/>
                <w:szCs w:val="20"/>
                <w:lang w:eastAsia="fr-FR"/>
              </w:rPr>
            </w:pPr>
            <w:r w:rsidRPr="0064331C">
              <w:rPr>
                <w:b/>
                <w:bCs/>
                <w:sz w:val="20"/>
                <w:szCs w:val="20"/>
                <w:lang w:eastAsia="fr-FR"/>
              </w:rPr>
              <w:t>35</w:t>
            </w:r>
          </w:p>
        </w:tc>
        <w:tc>
          <w:tcPr>
            <w:tcW w:w="794" w:type="dxa"/>
            <w:vMerge w:val="restart"/>
            <w:shd w:val="clear" w:color="auto" w:fill="BFBFBF" w:themeFill="background1" w:themeFillShade="BF"/>
            <w:vAlign w:val="center"/>
          </w:tcPr>
          <w:p w14:paraId="72C3B25C" w14:textId="0F780070" w:rsidR="00C6184A" w:rsidRPr="0064331C" w:rsidRDefault="00C6184A" w:rsidP="00C6184A">
            <w:pPr>
              <w:jc w:val="center"/>
              <w:rPr>
                <w:b/>
                <w:bCs/>
                <w:sz w:val="20"/>
                <w:szCs w:val="20"/>
                <w:lang w:eastAsia="fr-FR"/>
              </w:rPr>
            </w:pPr>
            <w:r w:rsidRPr="0064331C">
              <w:rPr>
                <w:b/>
                <w:bCs/>
                <w:sz w:val="20"/>
                <w:szCs w:val="20"/>
                <w:lang w:eastAsia="fr-FR"/>
              </w:rPr>
              <w:t>38,5</w:t>
            </w:r>
          </w:p>
        </w:tc>
        <w:tc>
          <w:tcPr>
            <w:tcW w:w="803" w:type="dxa"/>
            <w:vMerge w:val="restart"/>
            <w:shd w:val="clear" w:color="auto" w:fill="E2EFD9" w:themeFill="accent6" w:themeFillTint="33"/>
            <w:tcMar>
              <w:top w:w="150" w:type="dxa"/>
              <w:left w:w="150" w:type="dxa"/>
              <w:bottom w:w="150" w:type="dxa"/>
              <w:right w:w="150" w:type="dxa"/>
            </w:tcMar>
            <w:vAlign w:val="center"/>
          </w:tcPr>
          <w:p w14:paraId="589E6C6E" w14:textId="120A4D33" w:rsidR="00C6184A" w:rsidRPr="0064331C" w:rsidRDefault="00C6184A" w:rsidP="00C6184A">
            <w:pPr>
              <w:jc w:val="center"/>
              <w:rPr>
                <w:b/>
                <w:bCs/>
                <w:sz w:val="20"/>
                <w:szCs w:val="20"/>
                <w:lang w:eastAsia="fr-FR"/>
              </w:rPr>
            </w:pPr>
            <w:r w:rsidRPr="0064331C">
              <w:rPr>
                <w:b/>
                <w:bCs/>
                <w:sz w:val="20"/>
                <w:szCs w:val="20"/>
                <w:lang w:eastAsia="fr-FR"/>
              </w:rPr>
              <w:t>100</w:t>
            </w:r>
          </w:p>
        </w:tc>
        <w:tc>
          <w:tcPr>
            <w:tcW w:w="834" w:type="dxa"/>
            <w:vMerge w:val="restart"/>
            <w:shd w:val="clear" w:color="auto" w:fill="B4C6E7" w:themeFill="accent5" w:themeFillTint="66"/>
            <w:vAlign w:val="center"/>
          </w:tcPr>
          <w:p w14:paraId="50B29F49" w14:textId="30406576" w:rsidR="00C6184A" w:rsidRPr="0064331C" w:rsidRDefault="00C6184A" w:rsidP="00C6184A">
            <w:pPr>
              <w:jc w:val="center"/>
              <w:rPr>
                <w:b/>
                <w:bCs/>
                <w:sz w:val="20"/>
                <w:szCs w:val="20"/>
                <w:lang w:eastAsia="fr-FR"/>
              </w:rPr>
            </w:pPr>
            <w:r w:rsidRPr="0064331C">
              <w:rPr>
                <w:b/>
                <w:bCs/>
                <w:sz w:val="20"/>
                <w:szCs w:val="20"/>
                <w:lang w:eastAsia="fr-FR"/>
              </w:rPr>
              <w:t>100</w:t>
            </w:r>
          </w:p>
        </w:tc>
        <w:tc>
          <w:tcPr>
            <w:tcW w:w="923" w:type="dxa"/>
            <w:vMerge w:val="restart"/>
            <w:shd w:val="clear" w:color="auto" w:fill="92D050"/>
            <w:vAlign w:val="center"/>
          </w:tcPr>
          <w:p w14:paraId="6F959FDD" w14:textId="318121BB" w:rsidR="00C6184A" w:rsidRPr="0064331C" w:rsidRDefault="00C6184A" w:rsidP="00C6184A">
            <w:pPr>
              <w:jc w:val="center"/>
              <w:rPr>
                <w:b/>
                <w:bCs/>
                <w:sz w:val="20"/>
                <w:szCs w:val="20"/>
                <w:lang w:eastAsia="fr-FR"/>
              </w:rPr>
            </w:pPr>
            <w:r w:rsidRPr="0064331C">
              <w:rPr>
                <w:b/>
                <w:bCs/>
                <w:sz w:val="20"/>
                <w:szCs w:val="20"/>
                <w:lang w:eastAsia="fr-FR"/>
              </w:rPr>
              <w:t>110</w:t>
            </w:r>
          </w:p>
        </w:tc>
        <w:tc>
          <w:tcPr>
            <w:tcW w:w="807" w:type="dxa"/>
            <w:gridSpan w:val="2"/>
            <w:vMerge w:val="restart"/>
            <w:shd w:val="clear" w:color="auto" w:fill="BFBFBF" w:themeFill="background1" w:themeFillShade="BF"/>
            <w:tcMar>
              <w:top w:w="150" w:type="dxa"/>
              <w:left w:w="150" w:type="dxa"/>
              <w:bottom w:w="150" w:type="dxa"/>
              <w:right w:w="150" w:type="dxa"/>
            </w:tcMar>
            <w:vAlign w:val="center"/>
          </w:tcPr>
          <w:p w14:paraId="5A22D426" w14:textId="77777777" w:rsidR="00C6184A" w:rsidRPr="0064331C" w:rsidRDefault="00C6184A" w:rsidP="005D385E">
            <w:pPr>
              <w:jc w:val="center"/>
              <w:rPr>
                <w:b/>
                <w:bCs/>
                <w:sz w:val="20"/>
                <w:szCs w:val="20"/>
                <w:highlight w:val="yellow"/>
                <w:lang w:eastAsia="fr-FR"/>
              </w:rPr>
            </w:pPr>
          </w:p>
        </w:tc>
        <w:tc>
          <w:tcPr>
            <w:tcW w:w="794" w:type="dxa"/>
            <w:vMerge w:val="restart"/>
            <w:shd w:val="clear" w:color="auto" w:fill="BFBFBF" w:themeFill="background1" w:themeFillShade="BF"/>
            <w:vAlign w:val="center"/>
          </w:tcPr>
          <w:p w14:paraId="0531A12E" w14:textId="41F7CFCF" w:rsidR="00C6184A" w:rsidRPr="0064331C" w:rsidRDefault="00C6184A" w:rsidP="00C6184A">
            <w:pPr>
              <w:jc w:val="center"/>
              <w:rPr>
                <w:b/>
                <w:bCs/>
                <w:sz w:val="20"/>
                <w:szCs w:val="20"/>
                <w:lang w:eastAsia="fr-FR"/>
              </w:rPr>
            </w:pPr>
            <w:r w:rsidRPr="0064331C">
              <w:rPr>
                <w:b/>
                <w:bCs/>
                <w:sz w:val="20"/>
                <w:szCs w:val="20"/>
                <w:lang w:eastAsia="fr-FR"/>
              </w:rPr>
              <w:t>5</w:t>
            </w:r>
          </w:p>
        </w:tc>
        <w:tc>
          <w:tcPr>
            <w:tcW w:w="916" w:type="dxa"/>
            <w:vMerge w:val="restart"/>
            <w:shd w:val="clear" w:color="auto" w:fill="BFBFBF" w:themeFill="background1" w:themeFillShade="BF"/>
            <w:vAlign w:val="center"/>
          </w:tcPr>
          <w:p w14:paraId="5C012059" w14:textId="5AEC1FF9" w:rsidR="00C6184A" w:rsidRPr="0064331C" w:rsidRDefault="00C6184A" w:rsidP="00C6184A">
            <w:pPr>
              <w:jc w:val="center"/>
              <w:rPr>
                <w:b/>
                <w:bCs/>
                <w:sz w:val="20"/>
                <w:szCs w:val="20"/>
                <w:lang w:eastAsia="fr-FR"/>
              </w:rPr>
            </w:pPr>
            <w:r w:rsidRPr="0064331C">
              <w:rPr>
                <w:b/>
                <w:bCs/>
                <w:sz w:val="20"/>
                <w:szCs w:val="20"/>
                <w:lang w:eastAsia="fr-FR"/>
              </w:rPr>
              <w:t>5,5</w:t>
            </w:r>
          </w:p>
        </w:tc>
      </w:tr>
      <w:tr w:rsidR="00C6184A" w:rsidRPr="0064331C" w14:paraId="4A805861"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4D1E4145" w14:textId="77777777" w:rsidR="00C6184A" w:rsidRPr="0064331C" w:rsidRDefault="00C6184A"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1CBAD3C1" w14:textId="77777777" w:rsidR="00C6184A" w:rsidRPr="0064331C" w:rsidRDefault="00C6184A" w:rsidP="005D385E">
            <w:pPr>
              <w:jc w:val="center"/>
              <w:rPr>
                <w:b/>
                <w:bCs/>
                <w:sz w:val="20"/>
                <w:szCs w:val="20"/>
                <w:lang w:eastAsia="fr-FR"/>
              </w:rPr>
            </w:pPr>
            <w:r w:rsidRPr="0064331C">
              <w:rPr>
                <w:b/>
                <w:bCs/>
                <w:sz w:val="20"/>
                <w:szCs w:val="20"/>
                <w:lang w:eastAsia="fr-FR"/>
              </w:rPr>
              <w:t>100 ≤ P &lt; 300</w:t>
            </w:r>
          </w:p>
        </w:tc>
        <w:tc>
          <w:tcPr>
            <w:tcW w:w="803" w:type="dxa"/>
            <w:vMerge/>
            <w:shd w:val="clear" w:color="auto" w:fill="BFBFBF" w:themeFill="background1" w:themeFillShade="BF"/>
            <w:tcMar>
              <w:top w:w="150" w:type="dxa"/>
              <w:left w:w="150" w:type="dxa"/>
              <w:bottom w:w="150" w:type="dxa"/>
              <w:right w:w="150" w:type="dxa"/>
            </w:tcMar>
            <w:vAlign w:val="center"/>
          </w:tcPr>
          <w:p w14:paraId="465A44DE" w14:textId="77777777" w:rsidR="00C6184A" w:rsidRPr="0064331C" w:rsidRDefault="00C6184A" w:rsidP="005D385E">
            <w:pPr>
              <w:jc w:val="center"/>
              <w:rPr>
                <w:b/>
                <w:bCs/>
                <w:sz w:val="20"/>
                <w:szCs w:val="20"/>
                <w:highlight w:val="yellow"/>
                <w:lang w:eastAsia="fr-FR"/>
              </w:rPr>
            </w:pPr>
          </w:p>
        </w:tc>
        <w:tc>
          <w:tcPr>
            <w:tcW w:w="794" w:type="dxa"/>
            <w:vMerge/>
            <w:shd w:val="clear" w:color="auto" w:fill="BFBFBF" w:themeFill="background1" w:themeFillShade="BF"/>
            <w:vAlign w:val="center"/>
          </w:tcPr>
          <w:p w14:paraId="1010C381" w14:textId="5DC7FB9B" w:rsidR="00C6184A" w:rsidRPr="0064331C" w:rsidRDefault="00C6184A" w:rsidP="005D385E">
            <w:pPr>
              <w:jc w:val="center"/>
              <w:rPr>
                <w:b/>
                <w:bCs/>
                <w:sz w:val="20"/>
                <w:szCs w:val="20"/>
                <w:lang w:eastAsia="fr-FR"/>
              </w:rPr>
            </w:pPr>
          </w:p>
        </w:tc>
        <w:tc>
          <w:tcPr>
            <w:tcW w:w="794" w:type="dxa"/>
            <w:vMerge/>
            <w:shd w:val="clear" w:color="auto" w:fill="BFBFBF" w:themeFill="background1" w:themeFillShade="BF"/>
            <w:vAlign w:val="center"/>
          </w:tcPr>
          <w:p w14:paraId="6E28F0F2" w14:textId="1D6FD745" w:rsidR="00C6184A" w:rsidRPr="0064331C" w:rsidRDefault="00C6184A" w:rsidP="005D385E">
            <w:pPr>
              <w:jc w:val="center"/>
              <w:rPr>
                <w:b/>
                <w:bCs/>
                <w:sz w:val="20"/>
                <w:szCs w:val="20"/>
                <w:lang w:eastAsia="fr-FR"/>
              </w:rPr>
            </w:pPr>
          </w:p>
        </w:tc>
        <w:tc>
          <w:tcPr>
            <w:tcW w:w="803" w:type="dxa"/>
            <w:vMerge/>
            <w:shd w:val="clear" w:color="auto" w:fill="E2EFD9" w:themeFill="accent6" w:themeFillTint="33"/>
            <w:tcMar>
              <w:top w:w="150" w:type="dxa"/>
              <w:left w:w="150" w:type="dxa"/>
              <w:bottom w:w="150" w:type="dxa"/>
              <w:right w:w="150" w:type="dxa"/>
            </w:tcMar>
            <w:vAlign w:val="center"/>
          </w:tcPr>
          <w:p w14:paraId="33B05FE3" w14:textId="4BAF6614" w:rsidR="00C6184A" w:rsidRPr="0064331C" w:rsidRDefault="00C6184A" w:rsidP="005D385E">
            <w:pPr>
              <w:jc w:val="center"/>
              <w:rPr>
                <w:b/>
                <w:bCs/>
                <w:sz w:val="20"/>
                <w:szCs w:val="20"/>
                <w:lang w:eastAsia="fr-FR"/>
              </w:rPr>
            </w:pPr>
          </w:p>
        </w:tc>
        <w:tc>
          <w:tcPr>
            <w:tcW w:w="834" w:type="dxa"/>
            <w:vMerge/>
            <w:shd w:val="clear" w:color="auto" w:fill="B4C6E7" w:themeFill="accent5" w:themeFillTint="66"/>
            <w:vAlign w:val="center"/>
          </w:tcPr>
          <w:p w14:paraId="105B5791" w14:textId="6284F35F" w:rsidR="00C6184A" w:rsidRPr="0064331C" w:rsidRDefault="00C6184A" w:rsidP="005D385E">
            <w:pPr>
              <w:jc w:val="center"/>
              <w:rPr>
                <w:b/>
                <w:bCs/>
                <w:sz w:val="20"/>
                <w:szCs w:val="20"/>
                <w:lang w:eastAsia="fr-FR"/>
              </w:rPr>
            </w:pPr>
          </w:p>
        </w:tc>
        <w:tc>
          <w:tcPr>
            <w:tcW w:w="923" w:type="dxa"/>
            <w:vMerge/>
            <w:shd w:val="clear" w:color="auto" w:fill="92D050"/>
            <w:vAlign w:val="center"/>
          </w:tcPr>
          <w:p w14:paraId="1B3B0FD3" w14:textId="1649D1FB" w:rsidR="00C6184A" w:rsidRPr="0064331C" w:rsidRDefault="00C6184A" w:rsidP="005D385E">
            <w:pPr>
              <w:jc w:val="center"/>
              <w:rPr>
                <w:b/>
                <w:bCs/>
                <w:sz w:val="20"/>
                <w:szCs w:val="20"/>
                <w:lang w:eastAsia="fr-FR"/>
              </w:rPr>
            </w:pPr>
          </w:p>
        </w:tc>
        <w:tc>
          <w:tcPr>
            <w:tcW w:w="807" w:type="dxa"/>
            <w:gridSpan w:val="2"/>
            <w:vMerge/>
            <w:shd w:val="clear" w:color="auto" w:fill="BFBFBF" w:themeFill="background1" w:themeFillShade="BF"/>
            <w:tcMar>
              <w:top w:w="150" w:type="dxa"/>
              <w:left w:w="150" w:type="dxa"/>
              <w:bottom w:w="150" w:type="dxa"/>
              <w:right w:w="150" w:type="dxa"/>
            </w:tcMar>
            <w:vAlign w:val="center"/>
          </w:tcPr>
          <w:p w14:paraId="43DAC354" w14:textId="77777777" w:rsidR="00C6184A" w:rsidRPr="0064331C" w:rsidRDefault="00C6184A" w:rsidP="005D385E">
            <w:pPr>
              <w:jc w:val="center"/>
              <w:rPr>
                <w:b/>
                <w:bCs/>
                <w:sz w:val="20"/>
                <w:szCs w:val="20"/>
                <w:highlight w:val="yellow"/>
                <w:lang w:eastAsia="fr-FR"/>
              </w:rPr>
            </w:pPr>
          </w:p>
        </w:tc>
        <w:tc>
          <w:tcPr>
            <w:tcW w:w="794" w:type="dxa"/>
            <w:vMerge/>
            <w:shd w:val="clear" w:color="auto" w:fill="BFBFBF" w:themeFill="background1" w:themeFillShade="BF"/>
            <w:vAlign w:val="center"/>
          </w:tcPr>
          <w:p w14:paraId="3A8457C4" w14:textId="53F96C32" w:rsidR="00C6184A" w:rsidRPr="0064331C" w:rsidRDefault="00C6184A" w:rsidP="005D385E">
            <w:pPr>
              <w:jc w:val="center"/>
              <w:rPr>
                <w:b/>
                <w:bCs/>
                <w:sz w:val="20"/>
                <w:szCs w:val="20"/>
                <w:lang w:eastAsia="fr-FR"/>
              </w:rPr>
            </w:pPr>
          </w:p>
        </w:tc>
        <w:tc>
          <w:tcPr>
            <w:tcW w:w="916" w:type="dxa"/>
            <w:vMerge/>
            <w:shd w:val="clear" w:color="auto" w:fill="BFBFBF" w:themeFill="background1" w:themeFillShade="BF"/>
            <w:vAlign w:val="center"/>
          </w:tcPr>
          <w:p w14:paraId="0227C36A" w14:textId="411FD40E" w:rsidR="00C6184A" w:rsidRPr="0064331C" w:rsidRDefault="00C6184A" w:rsidP="005D385E">
            <w:pPr>
              <w:jc w:val="center"/>
              <w:rPr>
                <w:b/>
                <w:bCs/>
                <w:sz w:val="20"/>
                <w:szCs w:val="20"/>
                <w:lang w:eastAsia="fr-FR"/>
              </w:rPr>
            </w:pPr>
          </w:p>
        </w:tc>
      </w:tr>
      <w:tr w:rsidR="00C6184A" w:rsidRPr="0064331C" w14:paraId="7023768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38CB54C9" w14:textId="77777777" w:rsidR="00C6184A" w:rsidRPr="0064331C" w:rsidRDefault="00C6184A"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6B8081CD" w14:textId="77777777" w:rsidR="00C6184A" w:rsidRPr="0064331C" w:rsidRDefault="00C6184A" w:rsidP="005D385E">
            <w:pPr>
              <w:jc w:val="center"/>
              <w:rPr>
                <w:b/>
                <w:bCs/>
                <w:sz w:val="20"/>
                <w:szCs w:val="20"/>
                <w:lang w:eastAsia="fr-FR"/>
              </w:rPr>
            </w:pPr>
            <w:r w:rsidRPr="0064331C">
              <w:rPr>
                <w:b/>
                <w:bCs/>
                <w:sz w:val="20"/>
                <w:szCs w:val="20"/>
                <w:lang w:eastAsia="fr-FR"/>
              </w:rPr>
              <w:t>300 ≤ P</w:t>
            </w:r>
          </w:p>
        </w:tc>
        <w:tc>
          <w:tcPr>
            <w:tcW w:w="803" w:type="dxa"/>
            <w:vMerge/>
            <w:shd w:val="clear" w:color="auto" w:fill="BFBFBF" w:themeFill="background1" w:themeFillShade="BF"/>
            <w:tcMar>
              <w:top w:w="150" w:type="dxa"/>
              <w:left w:w="150" w:type="dxa"/>
              <w:bottom w:w="150" w:type="dxa"/>
              <w:right w:w="150" w:type="dxa"/>
            </w:tcMar>
            <w:vAlign w:val="center"/>
          </w:tcPr>
          <w:p w14:paraId="3C008D0F" w14:textId="77777777" w:rsidR="00C6184A" w:rsidRPr="0064331C" w:rsidRDefault="00C6184A" w:rsidP="005D385E">
            <w:pPr>
              <w:jc w:val="center"/>
              <w:rPr>
                <w:b/>
                <w:bCs/>
                <w:sz w:val="20"/>
                <w:szCs w:val="20"/>
                <w:highlight w:val="yellow"/>
                <w:lang w:eastAsia="fr-FR"/>
              </w:rPr>
            </w:pPr>
          </w:p>
        </w:tc>
        <w:tc>
          <w:tcPr>
            <w:tcW w:w="794" w:type="dxa"/>
            <w:vMerge/>
            <w:shd w:val="clear" w:color="auto" w:fill="BFBFBF" w:themeFill="background1" w:themeFillShade="BF"/>
            <w:vAlign w:val="center"/>
          </w:tcPr>
          <w:p w14:paraId="7C304E63" w14:textId="0325616E" w:rsidR="00C6184A" w:rsidRPr="0064331C" w:rsidRDefault="00C6184A" w:rsidP="005D385E">
            <w:pPr>
              <w:jc w:val="center"/>
              <w:rPr>
                <w:b/>
                <w:bCs/>
                <w:sz w:val="20"/>
                <w:szCs w:val="20"/>
                <w:lang w:eastAsia="fr-FR"/>
              </w:rPr>
            </w:pPr>
          </w:p>
        </w:tc>
        <w:tc>
          <w:tcPr>
            <w:tcW w:w="794" w:type="dxa"/>
            <w:vMerge/>
            <w:shd w:val="clear" w:color="auto" w:fill="BFBFBF" w:themeFill="background1" w:themeFillShade="BF"/>
            <w:vAlign w:val="center"/>
          </w:tcPr>
          <w:p w14:paraId="643C3947" w14:textId="387101E4" w:rsidR="00C6184A" w:rsidRPr="0064331C" w:rsidRDefault="00C6184A" w:rsidP="005D385E">
            <w:pPr>
              <w:jc w:val="center"/>
              <w:rPr>
                <w:b/>
                <w:bCs/>
                <w:sz w:val="20"/>
                <w:szCs w:val="20"/>
                <w:lang w:eastAsia="fr-FR"/>
              </w:rPr>
            </w:pPr>
          </w:p>
        </w:tc>
        <w:tc>
          <w:tcPr>
            <w:tcW w:w="803" w:type="dxa"/>
            <w:vMerge/>
            <w:shd w:val="clear" w:color="auto" w:fill="E2EFD9" w:themeFill="accent6" w:themeFillTint="33"/>
            <w:tcMar>
              <w:top w:w="150" w:type="dxa"/>
              <w:left w:w="150" w:type="dxa"/>
              <w:bottom w:w="150" w:type="dxa"/>
              <w:right w:w="150" w:type="dxa"/>
            </w:tcMar>
            <w:vAlign w:val="center"/>
          </w:tcPr>
          <w:p w14:paraId="756E48CF" w14:textId="35B89EE7" w:rsidR="00C6184A" w:rsidRPr="0064331C" w:rsidRDefault="00C6184A" w:rsidP="005D385E">
            <w:pPr>
              <w:jc w:val="center"/>
              <w:rPr>
                <w:b/>
                <w:bCs/>
                <w:sz w:val="20"/>
                <w:szCs w:val="20"/>
                <w:lang w:eastAsia="fr-FR"/>
              </w:rPr>
            </w:pPr>
          </w:p>
        </w:tc>
        <w:tc>
          <w:tcPr>
            <w:tcW w:w="834" w:type="dxa"/>
            <w:vMerge/>
            <w:shd w:val="clear" w:color="auto" w:fill="B4C6E7" w:themeFill="accent5" w:themeFillTint="66"/>
            <w:vAlign w:val="center"/>
          </w:tcPr>
          <w:p w14:paraId="22EC1C3F" w14:textId="1D2F3504" w:rsidR="00C6184A" w:rsidRPr="0064331C" w:rsidRDefault="00C6184A" w:rsidP="005D385E">
            <w:pPr>
              <w:jc w:val="center"/>
              <w:rPr>
                <w:b/>
                <w:bCs/>
                <w:sz w:val="20"/>
                <w:szCs w:val="20"/>
                <w:lang w:eastAsia="fr-FR"/>
              </w:rPr>
            </w:pPr>
          </w:p>
        </w:tc>
        <w:tc>
          <w:tcPr>
            <w:tcW w:w="923" w:type="dxa"/>
            <w:vMerge/>
            <w:shd w:val="clear" w:color="auto" w:fill="92D050"/>
            <w:vAlign w:val="center"/>
          </w:tcPr>
          <w:p w14:paraId="570457DB" w14:textId="6F2CB91C" w:rsidR="00C6184A" w:rsidRPr="0064331C" w:rsidRDefault="00C6184A" w:rsidP="005D385E">
            <w:pPr>
              <w:jc w:val="center"/>
              <w:rPr>
                <w:b/>
                <w:bCs/>
                <w:sz w:val="20"/>
                <w:szCs w:val="20"/>
                <w:lang w:eastAsia="fr-FR"/>
              </w:rPr>
            </w:pPr>
          </w:p>
        </w:tc>
        <w:tc>
          <w:tcPr>
            <w:tcW w:w="807" w:type="dxa"/>
            <w:gridSpan w:val="2"/>
            <w:vMerge/>
            <w:shd w:val="clear" w:color="auto" w:fill="BFBFBF" w:themeFill="background1" w:themeFillShade="BF"/>
            <w:tcMar>
              <w:top w:w="150" w:type="dxa"/>
              <w:left w:w="150" w:type="dxa"/>
              <w:bottom w:w="150" w:type="dxa"/>
              <w:right w:w="150" w:type="dxa"/>
            </w:tcMar>
            <w:vAlign w:val="center"/>
          </w:tcPr>
          <w:p w14:paraId="5CAB4486" w14:textId="77777777" w:rsidR="00C6184A" w:rsidRPr="0064331C" w:rsidRDefault="00C6184A" w:rsidP="005D385E">
            <w:pPr>
              <w:jc w:val="center"/>
              <w:rPr>
                <w:b/>
                <w:bCs/>
                <w:sz w:val="20"/>
                <w:szCs w:val="20"/>
                <w:highlight w:val="yellow"/>
                <w:lang w:eastAsia="fr-FR"/>
              </w:rPr>
            </w:pPr>
          </w:p>
        </w:tc>
        <w:tc>
          <w:tcPr>
            <w:tcW w:w="794" w:type="dxa"/>
            <w:vMerge/>
            <w:shd w:val="clear" w:color="auto" w:fill="BFBFBF" w:themeFill="background1" w:themeFillShade="BF"/>
            <w:vAlign w:val="center"/>
          </w:tcPr>
          <w:p w14:paraId="3170ABF6" w14:textId="2431D08F" w:rsidR="00C6184A" w:rsidRPr="0064331C" w:rsidRDefault="00C6184A" w:rsidP="005D385E">
            <w:pPr>
              <w:jc w:val="center"/>
              <w:rPr>
                <w:b/>
                <w:bCs/>
                <w:sz w:val="20"/>
                <w:szCs w:val="20"/>
                <w:lang w:eastAsia="fr-FR"/>
              </w:rPr>
            </w:pPr>
          </w:p>
        </w:tc>
        <w:tc>
          <w:tcPr>
            <w:tcW w:w="916" w:type="dxa"/>
            <w:vMerge/>
            <w:shd w:val="clear" w:color="auto" w:fill="BFBFBF" w:themeFill="background1" w:themeFillShade="BF"/>
            <w:vAlign w:val="center"/>
          </w:tcPr>
          <w:p w14:paraId="4A81C9B1" w14:textId="3AE5FA86" w:rsidR="00C6184A" w:rsidRPr="0064331C" w:rsidRDefault="00C6184A" w:rsidP="005D385E">
            <w:pPr>
              <w:jc w:val="center"/>
              <w:rPr>
                <w:b/>
                <w:bCs/>
                <w:sz w:val="20"/>
                <w:szCs w:val="20"/>
                <w:lang w:eastAsia="fr-FR"/>
              </w:rPr>
            </w:pPr>
          </w:p>
        </w:tc>
      </w:tr>
      <w:tr w:rsidR="0064331C" w:rsidRPr="0064331C" w14:paraId="2336A30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shd w:val="clear" w:color="auto" w:fill="auto"/>
            <w:vAlign w:val="center"/>
          </w:tcPr>
          <w:p w14:paraId="1B86C9C0" w14:textId="77777777" w:rsidR="0064331C" w:rsidRPr="0064331C" w:rsidRDefault="0064331C" w:rsidP="005D385E">
            <w:pPr>
              <w:jc w:val="center"/>
              <w:rPr>
                <w:b/>
                <w:bCs/>
                <w:sz w:val="20"/>
                <w:szCs w:val="20"/>
                <w:lang w:eastAsia="fr-FR"/>
              </w:rPr>
            </w:pPr>
            <w:bookmarkStart w:id="20" w:name="_Hlk159593100"/>
            <w:bookmarkStart w:id="21" w:name="_Hlk159577642"/>
            <w:r w:rsidRPr="0064331C">
              <w:rPr>
                <w:b/>
                <w:bCs/>
                <w:sz w:val="20"/>
                <w:szCs w:val="20"/>
                <w:lang w:eastAsia="fr-FR"/>
              </w:rPr>
              <w:t>Gaz de haut fourneau</w:t>
            </w:r>
          </w:p>
        </w:tc>
        <w:tc>
          <w:tcPr>
            <w:tcW w:w="1511" w:type="dxa"/>
            <w:shd w:val="clear" w:color="auto" w:fill="auto"/>
            <w:tcMar>
              <w:top w:w="150" w:type="dxa"/>
              <w:left w:w="150" w:type="dxa"/>
              <w:bottom w:w="150" w:type="dxa"/>
              <w:right w:w="150" w:type="dxa"/>
            </w:tcMar>
            <w:vAlign w:val="center"/>
          </w:tcPr>
          <w:p w14:paraId="1CF680ED"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vMerge w:val="restart"/>
            <w:shd w:val="clear" w:color="auto" w:fill="E2EFD9" w:themeFill="accent6" w:themeFillTint="33"/>
            <w:tcMar>
              <w:top w:w="150" w:type="dxa"/>
              <w:left w:w="150" w:type="dxa"/>
              <w:bottom w:w="150" w:type="dxa"/>
              <w:right w:w="150" w:type="dxa"/>
            </w:tcMar>
            <w:vAlign w:val="center"/>
          </w:tcPr>
          <w:p w14:paraId="37BCC416"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4" w:type="dxa"/>
            <w:vMerge w:val="restart"/>
            <w:shd w:val="clear" w:color="auto" w:fill="B4C6E7" w:themeFill="accent5" w:themeFillTint="66"/>
            <w:vAlign w:val="center"/>
          </w:tcPr>
          <w:p w14:paraId="5FBB5E7A"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794" w:type="dxa"/>
            <w:vMerge w:val="restart"/>
            <w:shd w:val="clear" w:color="auto" w:fill="E2EFD9" w:themeFill="accent6" w:themeFillTint="33"/>
            <w:vAlign w:val="center"/>
          </w:tcPr>
          <w:p w14:paraId="32244A09"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3" w:type="dxa"/>
            <w:vMerge w:val="restart"/>
            <w:shd w:val="clear" w:color="auto" w:fill="E2EFD9" w:themeFill="accent6" w:themeFillTint="33"/>
            <w:tcMar>
              <w:top w:w="150" w:type="dxa"/>
              <w:left w:w="150" w:type="dxa"/>
              <w:bottom w:w="150" w:type="dxa"/>
              <w:right w:w="150" w:type="dxa"/>
            </w:tcMar>
            <w:vAlign w:val="center"/>
          </w:tcPr>
          <w:p w14:paraId="3538FB56"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34" w:type="dxa"/>
            <w:vMerge w:val="restart"/>
            <w:shd w:val="clear" w:color="auto" w:fill="E2EFD9" w:themeFill="accent6" w:themeFillTint="33"/>
            <w:vAlign w:val="center"/>
          </w:tcPr>
          <w:p w14:paraId="660ED154" w14:textId="77777777" w:rsidR="0064331C" w:rsidRPr="0064331C" w:rsidRDefault="0064331C" w:rsidP="005D385E">
            <w:pPr>
              <w:jc w:val="center"/>
              <w:rPr>
                <w:b/>
                <w:bCs/>
                <w:sz w:val="20"/>
                <w:szCs w:val="20"/>
                <w:lang w:eastAsia="fr-FR"/>
              </w:rPr>
            </w:pPr>
            <w:r w:rsidRPr="0064331C">
              <w:rPr>
                <w:b/>
                <w:bCs/>
                <w:sz w:val="20"/>
                <w:szCs w:val="20"/>
                <w:lang w:eastAsia="fr-FR"/>
              </w:rPr>
              <w:t>160</w:t>
            </w:r>
          </w:p>
        </w:tc>
        <w:tc>
          <w:tcPr>
            <w:tcW w:w="923" w:type="dxa"/>
            <w:vMerge w:val="restart"/>
            <w:shd w:val="clear" w:color="auto" w:fill="E2EFD9" w:themeFill="accent6" w:themeFillTint="33"/>
            <w:vAlign w:val="center"/>
          </w:tcPr>
          <w:p w14:paraId="61818178" w14:textId="77777777" w:rsidR="0064331C" w:rsidRPr="0064331C" w:rsidRDefault="0064331C" w:rsidP="005D385E">
            <w:pPr>
              <w:jc w:val="center"/>
              <w:rPr>
                <w:b/>
                <w:bCs/>
                <w:sz w:val="20"/>
                <w:szCs w:val="20"/>
                <w:lang w:eastAsia="fr-FR"/>
              </w:rPr>
            </w:pPr>
            <w:r w:rsidRPr="0064331C">
              <w:rPr>
                <w:b/>
                <w:bCs/>
                <w:sz w:val="20"/>
                <w:szCs w:val="20"/>
                <w:lang w:eastAsia="fr-FR"/>
              </w:rPr>
              <w:t>160</w:t>
            </w:r>
          </w:p>
        </w:tc>
        <w:tc>
          <w:tcPr>
            <w:tcW w:w="807" w:type="dxa"/>
            <w:gridSpan w:val="2"/>
            <w:vMerge w:val="restart"/>
            <w:shd w:val="clear" w:color="auto" w:fill="E2EFD9" w:themeFill="accent6" w:themeFillTint="33"/>
            <w:tcMar>
              <w:top w:w="150" w:type="dxa"/>
              <w:left w:w="150" w:type="dxa"/>
              <w:bottom w:w="150" w:type="dxa"/>
              <w:right w:w="150" w:type="dxa"/>
            </w:tcMar>
            <w:vAlign w:val="center"/>
          </w:tcPr>
          <w:p w14:paraId="4050BF65"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94" w:type="dxa"/>
            <w:vMerge w:val="restart"/>
            <w:shd w:val="clear" w:color="auto" w:fill="B4C6E7" w:themeFill="accent5" w:themeFillTint="66"/>
            <w:vAlign w:val="center"/>
          </w:tcPr>
          <w:p w14:paraId="74CB679F"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16" w:type="dxa"/>
            <w:vMerge w:val="restart"/>
            <w:shd w:val="clear" w:color="auto" w:fill="E2EFD9" w:themeFill="accent6" w:themeFillTint="33"/>
            <w:vAlign w:val="center"/>
          </w:tcPr>
          <w:p w14:paraId="3A53281D"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2704C93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0217EEE7"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6B34B45C"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vMerge/>
            <w:shd w:val="clear" w:color="auto" w:fill="E2EFD9" w:themeFill="accent6" w:themeFillTint="33"/>
            <w:tcMar>
              <w:top w:w="150" w:type="dxa"/>
              <w:left w:w="150" w:type="dxa"/>
              <w:bottom w:w="150" w:type="dxa"/>
              <w:right w:w="150" w:type="dxa"/>
            </w:tcMar>
            <w:vAlign w:val="center"/>
          </w:tcPr>
          <w:p w14:paraId="5FF82036" w14:textId="77777777" w:rsidR="0064331C" w:rsidRPr="0064331C" w:rsidRDefault="0064331C" w:rsidP="005D385E">
            <w:pPr>
              <w:rPr>
                <w:b/>
                <w:bCs/>
                <w:sz w:val="20"/>
                <w:szCs w:val="20"/>
                <w:lang w:eastAsia="fr-FR"/>
              </w:rPr>
            </w:pPr>
          </w:p>
        </w:tc>
        <w:tc>
          <w:tcPr>
            <w:tcW w:w="794" w:type="dxa"/>
            <w:vMerge/>
            <w:shd w:val="clear" w:color="auto" w:fill="B4C6E7" w:themeFill="accent5" w:themeFillTint="66"/>
            <w:vAlign w:val="center"/>
          </w:tcPr>
          <w:p w14:paraId="4CF8B306" w14:textId="77777777" w:rsidR="0064331C" w:rsidRPr="0064331C" w:rsidRDefault="0064331C" w:rsidP="005D385E">
            <w:pPr>
              <w:jc w:val="center"/>
              <w:rPr>
                <w:b/>
                <w:bCs/>
                <w:sz w:val="20"/>
                <w:szCs w:val="20"/>
                <w:lang w:eastAsia="fr-FR"/>
              </w:rPr>
            </w:pPr>
          </w:p>
        </w:tc>
        <w:tc>
          <w:tcPr>
            <w:tcW w:w="794" w:type="dxa"/>
            <w:vMerge/>
            <w:shd w:val="clear" w:color="auto" w:fill="E2EFD9" w:themeFill="accent6" w:themeFillTint="33"/>
            <w:vAlign w:val="center"/>
          </w:tcPr>
          <w:p w14:paraId="7BF8CD3C" w14:textId="77777777" w:rsidR="0064331C" w:rsidRPr="0064331C" w:rsidRDefault="0064331C" w:rsidP="005D385E">
            <w:pPr>
              <w:jc w:val="center"/>
              <w:rPr>
                <w:b/>
                <w:bCs/>
                <w:sz w:val="20"/>
                <w:szCs w:val="20"/>
                <w:lang w:eastAsia="fr-FR"/>
              </w:rPr>
            </w:pPr>
          </w:p>
        </w:tc>
        <w:tc>
          <w:tcPr>
            <w:tcW w:w="803" w:type="dxa"/>
            <w:vMerge/>
            <w:shd w:val="clear" w:color="auto" w:fill="E2EFD9" w:themeFill="accent6" w:themeFillTint="33"/>
            <w:tcMar>
              <w:top w:w="150" w:type="dxa"/>
              <w:left w:w="150" w:type="dxa"/>
              <w:bottom w:w="150" w:type="dxa"/>
              <w:right w:w="150" w:type="dxa"/>
            </w:tcMar>
            <w:vAlign w:val="center"/>
          </w:tcPr>
          <w:p w14:paraId="12E671C2" w14:textId="77777777" w:rsidR="0064331C" w:rsidRPr="0064331C" w:rsidRDefault="0064331C" w:rsidP="005D385E">
            <w:pPr>
              <w:jc w:val="center"/>
              <w:rPr>
                <w:b/>
                <w:bCs/>
                <w:sz w:val="20"/>
                <w:szCs w:val="20"/>
                <w:lang w:eastAsia="fr-FR"/>
              </w:rPr>
            </w:pPr>
          </w:p>
        </w:tc>
        <w:tc>
          <w:tcPr>
            <w:tcW w:w="834" w:type="dxa"/>
            <w:vMerge/>
            <w:shd w:val="clear" w:color="auto" w:fill="E2EFD9" w:themeFill="accent6" w:themeFillTint="33"/>
            <w:vAlign w:val="center"/>
          </w:tcPr>
          <w:p w14:paraId="2DA6D5CD" w14:textId="77777777" w:rsidR="0064331C" w:rsidRPr="0064331C" w:rsidRDefault="0064331C" w:rsidP="005D385E">
            <w:pPr>
              <w:jc w:val="center"/>
              <w:rPr>
                <w:b/>
                <w:bCs/>
                <w:sz w:val="20"/>
                <w:szCs w:val="20"/>
                <w:lang w:eastAsia="fr-FR"/>
              </w:rPr>
            </w:pPr>
          </w:p>
        </w:tc>
        <w:tc>
          <w:tcPr>
            <w:tcW w:w="923" w:type="dxa"/>
            <w:vMerge/>
            <w:shd w:val="clear" w:color="auto" w:fill="E2EFD9" w:themeFill="accent6" w:themeFillTint="33"/>
            <w:vAlign w:val="center"/>
          </w:tcPr>
          <w:p w14:paraId="7464E765" w14:textId="77777777" w:rsidR="0064331C" w:rsidRPr="0064331C" w:rsidRDefault="0064331C" w:rsidP="005D385E">
            <w:pPr>
              <w:jc w:val="center"/>
              <w:rPr>
                <w:b/>
                <w:bCs/>
                <w:sz w:val="20"/>
                <w:szCs w:val="20"/>
                <w:lang w:eastAsia="fr-FR"/>
              </w:rPr>
            </w:pPr>
          </w:p>
        </w:tc>
        <w:tc>
          <w:tcPr>
            <w:tcW w:w="807" w:type="dxa"/>
            <w:gridSpan w:val="2"/>
            <w:vMerge/>
            <w:shd w:val="clear" w:color="auto" w:fill="E2EFD9" w:themeFill="accent6" w:themeFillTint="33"/>
            <w:tcMar>
              <w:top w:w="150" w:type="dxa"/>
              <w:left w:w="150" w:type="dxa"/>
              <w:bottom w:w="150" w:type="dxa"/>
              <w:right w:w="150" w:type="dxa"/>
            </w:tcMar>
            <w:vAlign w:val="center"/>
          </w:tcPr>
          <w:p w14:paraId="5E0E0A4C"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5BADE225" w14:textId="77777777" w:rsidR="0064331C" w:rsidRPr="0064331C" w:rsidRDefault="0064331C" w:rsidP="005D385E">
            <w:pPr>
              <w:jc w:val="center"/>
              <w:rPr>
                <w:b/>
                <w:bCs/>
                <w:sz w:val="20"/>
                <w:szCs w:val="20"/>
                <w:lang w:eastAsia="fr-FR"/>
              </w:rPr>
            </w:pPr>
          </w:p>
        </w:tc>
        <w:tc>
          <w:tcPr>
            <w:tcW w:w="916" w:type="dxa"/>
            <w:vMerge/>
            <w:shd w:val="clear" w:color="auto" w:fill="E2EFD9" w:themeFill="accent6" w:themeFillTint="33"/>
            <w:vAlign w:val="center"/>
          </w:tcPr>
          <w:p w14:paraId="38C98BCB" w14:textId="77777777" w:rsidR="0064331C" w:rsidRPr="0064331C" w:rsidRDefault="0064331C" w:rsidP="005D385E">
            <w:pPr>
              <w:jc w:val="center"/>
              <w:rPr>
                <w:b/>
                <w:bCs/>
                <w:sz w:val="20"/>
                <w:szCs w:val="20"/>
                <w:lang w:eastAsia="fr-FR"/>
              </w:rPr>
            </w:pPr>
          </w:p>
        </w:tc>
      </w:tr>
      <w:tr w:rsidR="0064331C" w:rsidRPr="0064331C" w14:paraId="743FBB0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7DA8B824"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4CAD49DE"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3" w:type="dxa"/>
            <w:vMerge/>
            <w:shd w:val="clear" w:color="auto" w:fill="E2EFD9" w:themeFill="accent6" w:themeFillTint="33"/>
            <w:tcMar>
              <w:top w:w="150" w:type="dxa"/>
              <w:left w:w="150" w:type="dxa"/>
              <w:bottom w:w="150" w:type="dxa"/>
              <w:right w:w="150" w:type="dxa"/>
            </w:tcMar>
            <w:vAlign w:val="center"/>
          </w:tcPr>
          <w:p w14:paraId="2EF7AF2D"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6F082FE8" w14:textId="77777777" w:rsidR="0064331C" w:rsidRPr="0064331C" w:rsidRDefault="0064331C" w:rsidP="005D385E">
            <w:pPr>
              <w:jc w:val="center"/>
              <w:rPr>
                <w:b/>
                <w:bCs/>
                <w:sz w:val="20"/>
                <w:szCs w:val="20"/>
                <w:lang w:eastAsia="fr-FR"/>
              </w:rPr>
            </w:pPr>
          </w:p>
        </w:tc>
        <w:tc>
          <w:tcPr>
            <w:tcW w:w="794" w:type="dxa"/>
            <w:vMerge/>
            <w:shd w:val="clear" w:color="auto" w:fill="E2EFD9" w:themeFill="accent6" w:themeFillTint="33"/>
            <w:vAlign w:val="center"/>
          </w:tcPr>
          <w:p w14:paraId="2822B9F7" w14:textId="77777777" w:rsidR="0064331C" w:rsidRPr="0064331C" w:rsidRDefault="0064331C" w:rsidP="005D385E">
            <w:pPr>
              <w:jc w:val="center"/>
              <w:rPr>
                <w:b/>
                <w:bCs/>
                <w:sz w:val="20"/>
                <w:szCs w:val="20"/>
                <w:lang w:eastAsia="fr-FR"/>
              </w:rPr>
            </w:pPr>
          </w:p>
        </w:tc>
        <w:tc>
          <w:tcPr>
            <w:tcW w:w="803" w:type="dxa"/>
            <w:vMerge/>
            <w:shd w:val="clear" w:color="auto" w:fill="E2EFD9" w:themeFill="accent6" w:themeFillTint="33"/>
            <w:tcMar>
              <w:top w:w="150" w:type="dxa"/>
              <w:left w:w="150" w:type="dxa"/>
              <w:bottom w:w="150" w:type="dxa"/>
              <w:right w:w="150" w:type="dxa"/>
            </w:tcMar>
            <w:vAlign w:val="center"/>
          </w:tcPr>
          <w:p w14:paraId="5744F4BF" w14:textId="77777777" w:rsidR="0064331C" w:rsidRPr="0064331C" w:rsidRDefault="0064331C" w:rsidP="005D385E">
            <w:pPr>
              <w:jc w:val="center"/>
              <w:rPr>
                <w:b/>
                <w:bCs/>
                <w:sz w:val="20"/>
                <w:szCs w:val="20"/>
                <w:lang w:eastAsia="fr-FR"/>
              </w:rPr>
            </w:pPr>
          </w:p>
        </w:tc>
        <w:tc>
          <w:tcPr>
            <w:tcW w:w="834" w:type="dxa"/>
            <w:vMerge/>
            <w:shd w:val="clear" w:color="auto" w:fill="E2EFD9" w:themeFill="accent6" w:themeFillTint="33"/>
            <w:vAlign w:val="center"/>
          </w:tcPr>
          <w:p w14:paraId="0B6E3030" w14:textId="77777777" w:rsidR="0064331C" w:rsidRPr="0064331C" w:rsidRDefault="0064331C" w:rsidP="005D385E">
            <w:pPr>
              <w:jc w:val="center"/>
              <w:rPr>
                <w:b/>
                <w:bCs/>
                <w:sz w:val="20"/>
                <w:szCs w:val="20"/>
                <w:lang w:eastAsia="fr-FR"/>
              </w:rPr>
            </w:pPr>
          </w:p>
        </w:tc>
        <w:tc>
          <w:tcPr>
            <w:tcW w:w="923" w:type="dxa"/>
            <w:vMerge/>
            <w:shd w:val="clear" w:color="auto" w:fill="E2EFD9" w:themeFill="accent6" w:themeFillTint="33"/>
            <w:vAlign w:val="center"/>
          </w:tcPr>
          <w:p w14:paraId="1D3B4B06" w14:textId="77777777" w:rsidR="0064331C" w:rsidRPr="0064331C" w:rsidRDefault="0064331C" w:rsidP="005D385E">
            <w:pPr>
              <w:jc w:val="center"/>
              <w:rPr>
                <w:b/>
                <w:bCs/>
                <w:sz w:val="20"/>
                <w:szCs w:val="20"/>
                <w:lang w:eastAsia="fr-FR"/>
              </w:rPr>
            </w:pPr>
          </w:p>
        </w:tc>
        <w:tc>
          <w:tcPr>
            <w:tcW w:w="807" w:type="dxa"/>
            <w:gridSpan w:val="2"/>
            <w:vMerge/>
            <w:shd w:val="clear" w:color="auto" w:fill="E2EFD9" w:themeFill="accent6" w:themeFillTint="33"/>
            <w:tcMar>
              <w:top w:w="150" w:type="dxa"/>
              <w:left w:w="150" w:type="dxa"/>
              <w:bottom w:w="150" w:type="dxa"/>
              <w:right w:w="150" w:type="dxa"/>
            </w:tcMar>
            <w:vAlign w:val="center"/>
          </w:tcPr>
          <w:p w14:paraId="06B9F7C1"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27626109" w14:textId="77777777" w:rsidR="0064331C" w:rsidRPr="0064331C" w:rsidRDefault="0064331C" w:rsidP="005D385E">
            <w:pPr>
              <w:jc w:val="center"/>
              <w:rPr>
                <w:b/>
                <w:bCs/>
                <w:sz w:val="20"/>
                <w:szCs w:val="20"/>
                <w:lang w:eastAsia="fr-FR"/>
              </w:rPr>
            </w:pPr>
          </w:p>
        </w:tc>
        <w:tc>
          <w:tcPr>
            <w:tcW w:w="916" w:type="dxa"/>
            <w:vMerge/>
            <w:shd w:val="clear" w:color="auto" w:fill="E2EFD9" w:themeFill="accent6" w:themeFillTint="33"/>
            <w:vAlign w:val="center"/>
          </w:tcPr>
          <w:p w14:paraId="04315969" w14:textId="77777777" w:rsidR="0064331C" w:rsidRPr="0064331C" w:rsidRDefault="0064331C" w:rsidP="005D385E">
            <w:pPr>
              <w:jc w:val="center"/>
              <w:rPr>
                <w:b/>
                <w:bCs/>
                <w:sz w:val="20"/>
                <w:szCs w:val="20"/>
                <w:lang w:eastAsia="fr-FR"/>
              </w:rPr>
            </w:pPr>
          </w:p>
        </w:tc>
      </w:tr>
      <w:tr w:rsidR="0064331C" w:rsidRPr="0064331C" w14:paraId="06057C1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shd w:val="clear" w:color="auto" w:fill="auto"/>
            <w:vAlign w:val="center"/>
          </w:tcPr>
          <w:p w14:paraId="4BF6E9FD" w14:textId="77777777" w:rsidR="0064331C" w:rsidRPr="0064331C" w:rsidRDefault="0064331C" w:rsidP="005D385E">
            <w:pPr>
              <w:jc w:val="center"/>
              <w:rPr>
                <w:b/>
                <w:bCs/>
                <w:sz w:val="20"/>
                <w:szCs w:val="20"/>
                <w:lang w:eastAsia="fr-FR"/>
              </w:rPr>
            </w:pPr>
            <w:r w:rsidRPr="0064331C">
              <w:rPr>
                <w:b/>
                <w:bCs/>
                <w:sz w:val="20"/>
                <w:szCs w:val="20"/>
                <w:lang w:eastAsia="fr-FR"/>
              </w:rPr>
              <w:t>Gaz de cokerie</w:t>
            </w:r>
          </w:p>
        </w:tc>
        <w:tc>
          <w:tcPr>
            <w:tcW w:w="1511" w:type="dxa"/>
            <w:shd w:val="clear" w:color="auto" w:fill="auto"/>
            <w:tcMar>
              <w:top w:w="150" w:type="dxa"/>
              <w:left w:w="150" w:type="dxa"/>
              <w:bottom w:w="150" w:type="dxa"/>
              <w:right w:w="150" w:type="dxa"/>
            </w:tcMar>
            <w:vAlign w:val="center"/>
          </w:tcPr>
          <w:p w14:paraId="5A7B5EDB"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vMerge w:val="restart"/>
            <w:shd w:val="clear" w:color="auto" w:fill="E2EFD9" w:themeFill="accent6" w:themeFillTint="33"/>
            <w:tcMar>
              <w:top w:w="150" w:type="dxa"/>
              <w:left w:w="150" w:type="dxa"/>
              <w:bottom w:w="150" w:type="dxa"/>
              <w:right w:w="150" w:type="dxa"/>
            </w:tcMar>
            <w:vAlign w:val="center"/>
          </w:tcPr>
          <w:p w14:paraId="49F2F07E"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4" w:type="dxa"/>
            <w:vMerge w:val="restart"/>
            <w:shd w:val="clear" w:color="auto" w:fill="E2EFD9" w:themeFill="accent6" w:themeFillTint="33"/>
            <w:vAlign w:val="center"/>
          </w:tcPr>
          <w:p w14:paraId="0800F20F"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2752EC96"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794" w:type="dxa"/>
            <w:vMerge w:val="restart"/>
            <w:shd w:val="clear" w:color="auto" w:fill="E2EFD9" w:themeFill="accent6" w:themeFillTint="33"/>
            <w:vAlign w:val="center"/>
          </w:tcPr>
          <w:p w14:paraId="334B06BE" w14:textId="77777777" w:rsidR="0064331C" w:rsidRPr="0064331C" w:rsidRDefault="0064331C" w:rsidP="005D385E">
            <w:pPr>
              <w:jc w:val="center"/>
              <w:rPr>
                <w:b/>
                <w:bCs/>
                <w:sz w:val="20"/>
                <w:szCs w:val="20"/>
                <w:lang w:eastAsia="fr-FR"/>
              </w:rPr>
            </w:pPr>
            <w:r w:rsidRPr="0064331C">
              <w:rPr>
                <w:b/>
                <w:bCs/>
                <w:sz w:val="20"/>
                <w:szCs w:val="20"/>
                <w:lang w:eastAsia="fr-FR"/>
              </w:rPr>
              <w:t>300</w:t>
            </w:r>
          </w:p>
          <w:p w14:paraId="604E6F1A" w14:textId="77777777" w:rsidR="0064331C" w:rsidRPr="0064331C" w:rsidRDefault="0064331C" w:rsidP="005D385E">
            <w:pPr>
              <w:jc w:val="center"/>
              <w:rPr>
                <w:b/>
                <w:bCs/>
                <w:sz w:val="20"/>
                <w:szCs w:val="20"/>
                <w:lang w:eastAsia="fr-FR"/>
              </w:rPr>
            </w:pPr>
            <w:r w:rsidRPr="0064331C">
              <w:rPr>
                <w:b/>
                <w:bCs/>
                <w:sz w:val="20"/>
                <w:szCs w:val="20"/>
                <w:lang w:eastAsia="fr-FR"/>
              </w:rPr>
              <w:t>(18)</w:t>
            </w:r>
          </w:p>
        </w:tc>
        <w:tc>
          <w:tcPr>
            <w:tcW w:w="803" w:type="dxa"/>
            <w:vMerge w:val="restart"/>
            <w:shd w:val="clear" w:color="auto" w:fill="E2EFD9" w:themeFill="accent6" w:themeFillTint="33"/>
            <w:tcMar>
              <w:top w:w="150" w:type="dxa"/>
              <w:left w:w="150" w:type="dxa"/>
              <w:bottom w:w="150" w:type="dxa"/>
              <w:right w:w="150" w:type="dxa"/>
            </w:tcMar>
            <w:vAlign w:val="center"/>
          </w:tcPr>
          <w:p w14:paraId="3C092E9C"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34" w:type="dxa"/>
            <w:vMerge w:val="restart"/>
            <w:shd w:val="clear" w:color="auto" w:fill="E2EFD9" w:themeFill="accent6" w:themeFillTint="33"/>
            <w:vAlign w:val="center"/>
          </w:tcPr>
          <w:p w14:paraId="474DDB4E" w14:textId="77777777" w:rsidR="0064331C" w:rsidRPr="0064331C" w:rsidRDefault="0064331C" w:rsidP="005D385E">
            <w:pPr>
              <w:jc w:val="center"/>
              <w:rPr>
                <w:b/>
                <w:bCs/>
                <w:sz w:val="20"/>
                <w:szCs w:val="20"/>
                <w:lang w:eastAsia="fr-FR"/>
              </w:rPr>
            </w:pPr>
            <w:r w:rsidRPr="0064331C">
              <w:rPr>
                <w:b/>
                <w:bCs/>
                <w:sz w:val="20"/>
                <w:szCs w:val="20"/>
                <w:lang w:eastAsia="fr-FR"/>
              </w:rPr>
              <w:t>160</w:t>
            </w:r>
          </w:p>
          <w:p w14:paraId="10E327DD" w14:textId="77777777" w:rsidR="0064331C" w:rsidRPr="0064331C" w:rsidRDefault="0064331C" w:rsidP="005D385E">
            <w:pPr>
              <w:jc w:val="center"/>
              <w:rPr>
                <w:b/>
                <w:bCs/>
                <w:sz w:val="20"/>
                <w:szCs w:val="20"/>
                <w:lang w:eastAsia="fr-FR"/>
              </w:rPr>
            </w:pPr>
            <w:r w:rsidRPr="0064331C">
              <w:rPr>
                <w:b/>
                <w:bCs/>
                <w:sz w:val="20"/>
                <w:szCs w:val="20"/>
                <w:lang w:eastAsia="fr-FR"/>
              </w:rPr>
              <w:t>(19)</w:t>
            </w:r>
          </w:p>
        </w:tc>
        <w:tc>
          <w:tcPr>
            <w:tcW w:w="923" w:type="dxa"/>
            <w:vMerge w:val="restart"/>
            <w:shd w:val="clear" w:color="auto" w:fill="E2EFD9" w:themeFill="accent6" w:themeFillTint="33"/>
            <w:vAlign w:val="center"/>
          </w:tcPr>
          <w:p w14:paraId="757D0BAB" w14:textId="77777777" w:rsidR="0064331C" w:rsidRPr="0064331C" w:rsidRDefault="0064331C" w:rsidP="005D385E">
            <w:pPr>
              <w:jc w:val="center"/>
              <w:rPr>
                <w:b/>
                <w:bCs/>
                <w:sz w:val="20"/>
                <w:szCs w:val="20"/>
                <w:lang w:eastAsia="fr-FR"/>
              </w:rPr>
            </w:pPr>
            <w:r w:rsidRPr="0064331C">
              <w:rPr>
                <w:b/>
                <w:bCs/>
                <w:sz w:val="20"/>
                <w:szCs w:val="20"/>
                <w:lang w:eastAsia="fr-FR"/>
              </w:rPr>
              <w:t>160</w:t>
            </w:r>
          </w:p>
          <w:p w14:paraId="59359CC6" w14:textId="77777777" w:rsidR="0064331C" w:rsidRPr="0064331C" w:rsidRDefault="0064331C" w:rsidP="005D385E">
            <w:pPr>
              <w:jc w:val="center"/>
              <w:rPr>
                <w:b/>
                <w:bCs/>
                <w:sz w:val="20"/>
                <w:szCs w:val="20"/>
                <w:lang w:eastAsia="fr-FR"/>
              </w:rPr>
            </w:pPr>
            <w:r w:rsidRPr="0064331C">
              <w:rPr>
                <w:b/>
                <w:bCs/>
                <w:sz w:val="20"/>
                <w:szCs w:val="20"/>
                <w:lang w:eastAsia="fr-FR"/>
              </w:rPr>
              <w:t>(19)</w:t>
            </w:r>
          </w:p>
        </w:tc>
        <w:tc>
          <w:tcPr>
            <w:tcW w:w="807" w:type="dxa"/>
            <w:gridSpan w:val="2"/>
            <w:vMerge w:val="restart"/>
            <w:shd w:val="clear" w:color="auto" w:fill="E2EFD9" w:themeFill="accent6" w:themeFillTint="33"/>
            <w:tcMar>
              <w:top w:w="150" w:type="dxa"/>
              <w:left w:w="150" w:type="dxa"/>
              <w:bottom w:w="150" w:type="dxa"/>
              <w:right w:w="150" w:type="dxa"/>
            </w:tcMar>
            <w:vAlign w:val="center"/>
          </w:tcPr>
          <w:p w14:paraId="78CC494B"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94" w:type="dxa"/>
            <w:vMerge w:val="restart"/>
            <w:shd w:val="clear" w:color="auto" w:fill="B4C6E7" w:themeFill="accent5" w:themeFillTint="66"/>
            <w:vAlign w:val="center"/>
          </w:tcPr>
          <w:p w14:paraId="5024BBA1" w14:textId="77777777" w:rsidR="0064331C" w:rsidRPr="0064331C" w:rsidRDefault="0064331C" w:rsidP="005D385E">
            <w:pPr>
              <w:jc w:val="center"/>
              <w:rPr>
                <w:b/>
                <w:bCs/>
                <w:sz w:val="20"/>
                <w:szCs w:val="20"/>
                <w:lang w:eastAsia="fr-FR"/>
              </w:rPr>
            </w:pPr>
            <w:r w:rsidRPr="0064331C">
              <w:rPr>
                <w:b/>
                <w:bCs/>
                <w:sz w:val="20"/>
                <w:szCs w:val="20"/>
                <w:lang w:eastAsia="fr-FR"/>
              </w:rPr>
              <w:t>10</w:t>
            </w:r>
          </w:p>
        </w:tc>
        <w:tc>
          <w:tcPr>
            <w:tcW w:w="916" w:type="dxa"/>
            <w:vMerge w:val="restart"/>
            <w:shd w:val="clear" w:color="auto" w:fill="E2EFD9" w:themeFill="accent6" w:themeFillTint="33"/>
            <w:vAlign w:val="center"/>
          </w:tcPr>
          <w:p w14:paraId="2C3EF338" w14:textId="77777777" w:rsidR="0064331C" w:rsidRPr="0064331C" w:rsidRDefault="0064331C" w:rsidP="005D385E">
            <w:pPr>
              <w:jc w:val="center"/>
              <w:rPr>
                <w:b/>
                <w:bCs/>
                <w:sz w:val="20"/>
                <w:szCs w:val="20"/>
                <w:lang w:eastAsia="fr-FR"/>
              </w:rPr>
            </w:pPr>
            <w:r w:rsidRPr="0064331C">
              <w:rPr>
                <w:b/>
                <w:bCs/>
                <w:sz w:val="20"/>
                <w:szCs w:val="20"/>
                <w:lang w:eastAsia="fr-FR"/>
              </w:rPr>
              <w:t>10</w:t>
            </w:r>
          </w:p>
        </w:tc>
      </w:tr>
      <w:tr w:rsidR="0064331C" w:rsidRPr="0064331C" w14:paraId="2A82F894"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1B775D66"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4D46C501"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vMerge/>
            <w:shd w:val="clear" w:color="auto" w:fill="E2EFD9" w:themeFill="accent6" w:themeFillTint="33"/>
            <w:tcMar>
              <w:top w:w="150" w:type="dxa"/>
              <w:left w:w="150" w:type="dxa"/>
              <w:bottom w:w="150" w:type="dxa"/>
              <w:right w:w="150" w:type="dxa"/>
            </w:tcMar>
            <w:vAlign w:val="center"/>
          </w:tcPr>
          <w:p w14:paraId="2F00A4FC" w14:textId="77777777" w:rsidR="0064331C" w:rsidRPr="0064331C" w:rsidRDefault="0064331C" w:rsidP="005D385E">
            <w:pPr>
              <w:jc w:val="center"/>
              <w:rPr>
                <w:b/>
                <w:bCs/>
                <w:sz w:val="20"/>
                <w:szCs w:val="20"/>
                <w:lang w:eastAsia="fr-FR"/>
              </w:rPr>
            </w:pPr>
          </w:p>
        </w:tc>
        <w:tc>
          <w:tcPr>
            <w:tcW w:w="794" w:type="dxa"/>
            <w:vMerge/>
            <w:shd w:val="clear" w:color="auto" w:fill="E2EFD9" w:themeFill="accent6" w:themeFillTint="33"/>
            <w:vAlign w:val="center"/>
          </w:tcPr>
          <w:p w14:paraId="46C6276C" w14:textId="77777777" w:rsidR="0064331C" w:rsidRPr="0064331C" w:rsidRDefault="0064331C" w:rsidP="005D385E">
            <w:pPr>
              <w:jc w:val="center"/>
              <w:rPr>
                <w:b/>
                <w:bCs/>
                <w:sz w:val="20"/>
                <w:szCs w:val="20"/>
                <w:lang w:eastAsia="fr-FR"/>
              </w:rPr>
            </w:pPr>
          </w:p>
        </w:tc>
        <w:tc>
          <w:tcPr>
            <w:tcW w:w="794" w:type="dxa"/>
            <w:vMerge/>
            <w:shd w:val="clear" w:color="auto" w:fill="E2EFD9" w:themeFill="accent6" w:themeFillTint="33"/>
            <w:vAlign w:val="center"/>
          </w:tcPr>
          <w:p w14:paraId="3AE325D6" w14:textId="77777777" w:rsidR="0064331C" w:rsidRPr="0064331C" w:rsidRDefault="0064331C" w:rsidP="005D385E">
            <w:pPr>
              <w:jc w:val="center"/>
              <w:rPr>
                <w:b/>
                <w:bCs/>
                <w:sz w:val="20"/>
                <w:szCs w:val="20"/>
                <w:lang w:eastAsia="fr-FR"/>
              </w:rPr>
            </w:pPr>
          </w:p>
        </w:tc>
        <w:tc>
          <w:tcPr>
            <w:tcW w:w="803" w:type="dxa"/>
            <w:vMerge/>
            <w:shd w:val="clear" w:color="auto" w:fill="E2EFD9" w:themeFill="accent6" w:themeFillTint="33"/>
            <w:tcMar>
              <w:top w:w="150" w:type="dxa"/>
              <w:left w:w="150" w:type="dxa"/>
              <w:bottom w:w="150" w:type="dxa"/>
              <w:right w:w="150" w:type="dxa"/>
            </w:tcMar>
            <w:vAlign w:val="center"/>
          </w:tcPr>
          <w:p w14:paraId="372F6726" w14:textId="77777777" w:rsidR="0064331C" w:rsidRPr="0064331C" w:rsidRDefault="0064331C" w:rsidP="005D385E">
            <w:pPr>
              <w:jc w:val="center"/>
              <w:rPr>
                <w:b/>
                <w:bCs/>
                <w:sz w:val="20"/>
                <w:szCs w:val="20"/>
                <w:lang w:eastAsia="fr-FR"/>
              </w:rPr>
            </w:pPr>
          </w:p>
        </w:tc>
        <w:tc>
          <w:tcPr>
            <w:tcW w:w="834" w:type="dxa"/>
            <w:vMerge/>
            <w:shd w:val="clear" w:color="auto" w:fill="E2EFD9" w:themeFill="accent6" w:themeFillTint="33"/>
            <w:vAlign w:val="center"/>
          </w:tcPr>
          <w:p w14:paraId="3094DF91" w14:textId="77777777" w:rsidR="0064331C" w:rsidRPr="0064331C" w:rsidRDefault="0064331C" w:rsidP="005D385E">
            <w:pPr>
              <w:jc w:val="center"/>
              <w:rPr>
                <w:b/>
                <w:bCs/>
                <w:sz w:val="20"/>
                <w:szCs w:val="20"/>
                <w:lang w:eastAsia="fr-FR"/>
              </w:rPr>
            </w:pPr>
          </w:p>
        </w:tc>
        <w:tc>
          <w:tcPr>
            <w:tcW w:w="923" w:type="dxa"/>
            <w:vMerge/>
            <w:shd w:val="clear" w:color="auto" w:fill="E2EFD9" w:themeFill="accent6" w:themeFillTint="33"/>
            <w:vAlign w:val="center"/>
          </w:tcPr>
          <w:p w14:paraId="5A519172" w14:textId="77777777" w:rsidR="0064331C" w:rsidRPr="0064331C" w:rsidRDefault="0064331C" w:rsidP="005D385E">
            <w:pPr>
              <w:jc w:val="center"/>
              <w:rPr>
                <w:b/>
                <w:bCs/>
                <w:sz w:val="20"/>
                <w:szCs w:val="20"/>
                <w:lang w:eastAsia="fr-FR"/>
              </w:rPr>
            </w:pPr>
          </w:p>
        </w:tc>
        <w:tc>
          <w:tcPr>
            <w:tcW w:w="807" w:type="dxa"/>
            <w:gridSpan w:val="2"/>
            <w:vMerge/>
            <w:shd w:val="clear" w:color="auto" w:fill="E2EFD9" w:themeFill="accent6" w:themeFillTint="33"/>
            <w:tcMar>
              <w:top w:w="150" w:type="dxa"/>
              <w:left w:w="150" w:type="dxa"/>
              <w:bottom w:w="150" w:type="dxa"/>
              <w:right w:w="150" w:type="dxa"/>
            </w:tcMar>
            <w:vAlign w:val="center"/>
          </w:tcPr>
          <w:p w14:paraId="06459F1B"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37F5765F" w14:textId="77777777" w:rsidR="0064331C" w:rsidRPr="0064331C" w:rsidRDefault="0064331C" w:rsidP="005D385E">
            <w:pPr>
              <w:jc w:val="center"/>
              <w:rPr>
                <w:b/>
                <w:bCs/>
                <w:sz w:val="20"/>
                <w:szCs w:val="20"/>
                <w:lang w:eastAsia="fr-FR"/>
              </w:rPr>
            </w:pPr>
          </w:p>
        </w:tc>
        <w:tc>
          <w:tcPr>
            <w:tcW w:w="916" w:type="dxa"/>
            <w:vMerge/>
            <w:shd w:val="clear" w:color="auto" w:fill="E2EFD9" w:themeFill="accent6" w:themeFillTint="33"/>
            <w:vAlign w:val="center"/>
          </w:tcPr>
          <w:p w14:paraId="5ECAF0C1" w14:textId="77777777" w:rsidR="0064331C" w:rsidRPr="0064331C" w:rsidRDefault="0064331C" w:rsidP="005D385E">
            <w:pPr>
              <w:jc w:val="center"/>
              <w:rPr>
                <w:b/>
                <w:bCs/>
                <w:sz w:val="20"/>
                <w:szCs w:val="20"/>
                <w:lang w:eastAsia="fr-FR"/>
              </w:rPr>
            </w:pPr>
          </w:p>
        </w:tc>
      </w:tr>
      <w:tr w:rsidR="0064331C" w:rsidRPr="0064331C" w14:paraId="121094DE"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7D86FEC8"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3EE947A0"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3" w:type="dxa"/>
            <w:vMerge/>
            <w:shd w:val="clear" w:color="auto" w:fill="E2EFD9" w:themeFill="accent6" w:themeFillTint="33"/>
            <w:tcMar>
              <w:top w:w="150" w:type="dxa"/>
              <w:left w:w="150" w:type="dxa"/>
              <w:bottom w:w="150" w:type="dxa"/>
              <w:right w:w="150" w:type="dxa"/>
            </w:tcMar>
            <w:vAlign w:val="center"/>
          </w:tcPr>
          <w:p w14:paraId="166DA077" w14:textId="77777777" w:rsidR="0064331C" w:rsidRPr="0064331C" w:rsidRDefault="0064331C" w:rsidP="005D385E">
            <w:pPr>
              <w:jc w:val="center"/>
              <w:rPr>
                <w:b/>
                <w:bCs/>
                <w:sz w:val="20"/>
                <w:szCs w:val="20"/>
                <w:lang w:eastAsia="fr-FR"/>
              </w:rPr>
            </w:pPr>
          </w:p>
        </w:tc>
        <w:tc>
          <w:tcPr>
            <w:tcW w:w="794" w:type="dxa"/>
            <w:vMerge/>
            <w:shd w:val="clear" w:color="auto" w:fill="E2EFD9" w:themeFill="accent6" w:themeFillTint="33"/>
            <w:vAlign w:val="center"/>
          </w:tcPr>
          <w:p w14:paraId="06B1B8D2" w14:textId="77777777" w:rsidR="0064331C" w:rsidRPr="0064331C" w:rsidRDefault="0064331C" w:rsidP="005D385E">
            <w:pPr>
              <w:jc w:val="center"/>
              <w:rPr>
                <w:b/>
                <w:bCs/>
                <w:sz w:val="20"/>
                <w:szCs w:val="20"/>
                <w:lang w:eastAsia="fr-FR"/>
              </w:rPr>
            </w:pPr>
          </w:p>
        </w:tc>
        <w:tc>
          <w:tcPr>
            <w:tcW w:w="794" w:type="dxa"/>
            <w:vMerge/>
            <w:shd w:val="clear" w:color="auto" w:fill="E2EFD9" w:themeFill="accent6" w:themeFillTint="33"/>
            <w:vAlign w:val="center"/>
          </w:tcPr>
          <w:p w14:paraId="6B0BFD9E" w14:textId="77777777" w:rsidR="0064331C" w:rsidRPr="0064331C" w:rsidRDefault="0064331C" w:rsidP="005D385E">
            <w:pPr>
              <w:jc w:val="center"/>
              <w:rPr>
                <w:b/>
                <w:bCs/>
                <w:sz w:val="20"/>
                <w:szCs w:val="20"/>
                <w:lang w:eastAsia="fr-FR"/>
              </w:rPr>
            </w:pPr>
          </w:p>
        </w:tc>
        <w:tc>
          <w:tcPr>
            <w:tcW w:w="803" w:type="dxa"/>
            <w:vMerge/>
            <w:shd w:val="clear" w:color="auto" w:fill="E2EFD9" w:themeFill="accent6" w:themeFillTint="33"/>
            <w:tcMar>
              <w:top w:w="150" w:type="dxa"/>
              <w:left w:w="150" w:type="dxa"/>
              <w:bottom w:w="150" w:type="dxa"/>
              <w:right w:w="150" w:type="dxa"/>
            </w:tcMar>
            <w:vAlign w:val="center"/>
          </w:tcPr>
          <w:p w14:paraId="460D927B" w14:textId="77777777" w:rsidR="0064331C" w:rsidRPr="0064331C" w:rsidRDefault="0064331C" w:rsidP="005D385E">
            <w:pPr>
              <w:jc w:val="center"/>
              <w:rPr>
                <w:b/>
                <w:bCs/>
                <w:sz w:val="20"/>
                <w:szCs w:val="20"/>
                <w:lang w:eastAsia="fr-FR"/>
              </w:rPr>
            </w:pPr>
          </w:p>
        </w:tc>
        <w:tc>
          <w:tcPr>
            <w:tcW w:w="834" w:type="dxa"/>
            <w:vMerge/>
            <w:shd w:val="clear" w:color="auto" w:fill="E2EFD9" w:themeFill="accent6" w:themeFillTint="33"/>
            <w:vAlign w:val="center"/>
          </w:tcPr>
          <w:p w14:paraId="11B94ABC" w14:textId="77777777" w:rsidR="0064331C" w:rsidRPr="0064331C" w:rsidRDefault="0064331C" w:rsidP="005D385E">
            <w:pPr>
              <w:jc w:val="center"/>
              <w:rPr>
                <w:b/>
                <w:bCs/>
                <w:sz w:val="20"/>
                <w:szCs w:val="20"/>
                <w:lang w:eastAsia="fr-FR"/>
              </w:rPr>
            </w:pPr>
          </w:p>
        </w:tc>
        <w:tc>
          <w:tcPr>
            <w:tcW w:w="923" w:type="dxa"/>
            <w:vMerge/>
            <w:shd w:val="clear" w:color="auto" w:fill="E2EFD9" w:themeFill="accent6" w:themeFillTint="33"/>
            <w:vAlign w:val="center"/>
          </w:tcPr>
          <w:p w14:paraId="0C74BDCE" w14:textId="77777777" w:rsidR="0064331C" w:rsidRPr="0064331C" w:rsidRDefault="0064331C" w:rsidP="005D385E">
            <w:pPr>
              <w:jc w:val="center"/>
              <w:rPr>
                <w:b/>
                <w:bCs/>
                <w:sz w:val="20"/>
                <w:szCs w:val="20"/>
                <w:lang w:eastAsia="fr-FR"/>
              </w:rPr>
            </w:pPr>
          </w:p>
        </w:tc>
        <w:tc>
          <w:tcPr>
            <w:tcW w:w="807" w:type="dxa"/>
            <w:gridSpan w:val="2"/>
            <w:vMerge/>
            <w:shd w:val="clear" w:color="auto" w:fill="E2EFD9" w:themeFill="accent6" w:themeFillTint="33"/>
            <w:tcMar>
              <w:top w:w="150" w:type="dxa"/>
              <w:left w:w="150" w:type="dxa"/>
              <w:bottom w:w="150" w:type="dxa"/>
              <w:right w:w="150" w:type="dxa"/>
            </w:tcMar>
            <w:vAlign w:val="center"/>
          </w:tcPr>
          <w:p w14:paraId="75A24174"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6CB5F321" w14:textId="77777777" w:rsidR="0064331C" w:rsidRPr="0064331C" w:rsidRDefault="0064331C" w:rsidP="005D385E">
            <w:pPr>
              <w:jc w:val="center"/>
              <w:rPr>
                <w:b/>
                <w:bCs/>
                <w:sz w:val="20"/>
                <w:szCs w:val="20"/>
                <w:lang w:eastAsia="fr-FR"/>
              </w:rPr>
            </w:pPr>
          </w:p>
        </w:tc>
        <w:tc>
          <w:tcPr>
            <w:tcW w:w="916" w:type="dxa"/>
            <w:vMerge/>
            <w:shd w:val="clear" w:color="auto" w:fill="E2EFD9" w:themeFill="accent6" w:themeFillTint="33"/>
            <w:vAlign w:val="center"/>
          </w:tcPr>
          <w:p w14:paraId="1B3D19B9" w14:textId="77777777" w:rsidR="0064331C" w:rsidRPr="0064331C" w:rsidRDefault="0064331C" w:rsidP="005D385E">
            <w:pPr>
              <w:jc w:val="center"/>
              <w:rPr>
                <w:b/>
                <w:bCs/>
                <w:sz w:val="20"/>
                <w:szCs w:val="20"/>
                <w:lang w:eastAsia="fr-FR"/>
              </w:rPr>
            </w:pPr>
          </w:p>
        </w:tc>
      </w:tr>
      <w:tr w:rsidR="0064331C" w:rsidRPr="0064331C" w14:paraId="7A914246"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shd w:val="clear" w:color="auto" w:fill="auto"/>
            <w:vAlign w:val="center"/>
          </w:tcPr>
          <w:p w14:paraId="212BC724" w14:textId="77777777" w:rsidR="0064331C" w:rsidRPr="0064331C" w:rsidRDefault="0064331C" w:rsidP="005D385E">
            <w:pPr>
              <w:jc w:val="center"/>
              <w:rPr>
                <w:b/>
                <w:bCs/>
                <w:sz w:val="20"/>
                <w:szCs w:val="20"/>
                <w:lang w:eastAsia="fr-FR"/>
              </w:rPr>
            </w:pPr>
            <w:r w:rsidRPr="0064331C">
              <w:rPr>
                <w:b/>
                <w:bCs/>
                <w:sz w:val="20"/>
                <w:szCs w:val="20"/>
                <w:lang w:eastAsia="fr-FR"/>
              </w:rPr>
              <w:t>Gaz de convertisseurs à l’oxygène</w:t>
            </w:r>
          </w:p>
        </w:tc>
        <w:tc>
          <w:tcPr>
            <w:tcW w:w="1511" w:type="dxa"/>
            <w:shd w:val="clear" w:color="auto" w:fill="auto"/>
            <w:tcMar>
              <w:top w:w="150" w:type="dxa"/>
              <w:left w:w="150" w:type="dxa"/>
              <w:bottom w:w="150" w:type="dxa"/>
              <w:right w:w="150" w:type="dxa"/>
            </w:tcMar>
            <w:vAlign w:val="center"/>
          </w:tcPr>
          <w:p w14:paraId="2783764A"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vMerge w:val="restart"/>
            <w:shd w:val="clear" w:color="auto" w:fill="E2EFD9" w:themeFill="accent6" w:themeFillTint="33"/>
            <w:tcMar>
              <w:top w:w="150" w:type="dxa"/>
              <w:left w:w="150" w:type="dxa"/>
              <w:bottom w:w="150" w:type="dxa"/>
              <w:right w:w="150" w:type="dxa"/>
            </w:tcMar>
            <w:vAlign w:val="center"/>
          </w:tcPr>
          <w:p w14:paraId="795DAFEC" w14:textId="77777777" w:rsidR="0064331C" w:rsidRPr="0064331C" w:rsidRDefault="0064331C" w:rsidP="005D385E">
            <w:pPr>
              <w:jc w:val="center"/>
              <w:rPr>
                <w:b/>
                <w:bCs/>
                <w:sz w:val="20"/>
                <w:szCs w:val="20"/>
                <w:lang w:eastAsia="fr-FR"/>
              </w:rPr>
            </w:pPr>
            <w:r w:rsidRPr="0064331C">
              <w:rPr>
                <w:b/>
                <w:bCs/>
                <w:sz w:val="20"/>
                <w:szCs w:val="20"/>
                <w:lang w:eastAsia="fr-FR"/>
              </w:rPr>
              <w:t>150</w:t>
            </w:r>
          </w:p>
        </w:tc>
        <w:tc>
          <w:tcPr>
            <w:tcW w:w="794" w:type="dxa"/>
            <w:vMerge w:val="restart"/>
            <w:shd w:val="clear" w:color="auto" w:fill="B4C6E7" w:themeFill="accent5" w:themeFillTint="66"/>
            <w:vAlign w:val="center"/>
          </w:tcPr>
          <w:p w14:paraId="1A32F609" w14:textId="77777777" w:rsidR="0064331C" w:rsidRPr="0064331C" w:rsidRDefault="0064331C" w:rsidP="005D385E">
            <w:pPr>
              <w:jc w:val="center"/>
              <w:rPr>
                <w:b/>
                <w:bCs/>
                <w:sz w:val="20"/>
                <w:szCs w:val="20"/>
                <w:lang w:eastAsia="fr-FR"/>
              </w:rPr>
            </w:pPr>
            <w:r w:rsidRPr="0064331C">
              <w:rPr>
                <w:b/>
                <w:bCs/>
                <w:sz w:val="20"/>
                <w:szCs w:val="20"/>
                <w:lang w:eastAsia="fr-FR"/>
              </w:rPr>
              <w:t>35</w:t>
            </w:r>
          </w:p>
        </w:tc>
        <w:tc>
          <w:tcPr>
            <w:tcW w:w="794" w:type="dxa"/>
            <w:vMerge w:val="restart"/>
            <w:shd w:val="clear" w:color="auto" w:fill="B4C6E7" w:themeFill="accent5" w:themeFillTint="66"/>
            <w:vAlign w:val="center"/>
          </w:tcPr>
          <w:p w14:paraId="30157024" w14:textId="77777777" w:rsidR="0064331C" w:rsidRPr="0064331C" w:rsidRDefault="0064331C" w:rsidP="005D385E">
            <w:pPr>
              <w:jc w:val="center"/>
              <w:rPr>
                <w:b/>
                <w:bCs/>
                <w:sz w:val="20"/>
                <w:szCs w:val="20"/>
                <w:lang w:eastAsia="fr-FR"/>
              </w:rPr>
            </w:pPr>
            <w:r w:rsidRPr="0064331C">
              <w:rPr>
                <w:b/>
                <w:bCs/>
                <w:sz w:val="20"/>
                <w:szCs w:val="20"/>
                <w:lang w:eastAsia="fr-FR"/>
              </w:rPr>
              <w:t>38,5</w:t>
            </w:r>
          </w:p>
        </w:tc>
        <w:tc>
          <w:tcPr>
            <w:tcW w:w="803" w:type="dxa"/>
            <w:vMerge w:val="restart"/>
            <w:shd w:val="clear" w:color="auto" w:fill="E2EFD9" w:themeFill="accent6" w:themeFillTint="33"/>
            <w:tcMar>
              <w:top w:w="150" w:type="dxa"/>
              <w:left w:w="150" w:type="dxa"/>
              <w:bottom w:w="150" w:type="dxa"/>
              <w:right w:w="150" w:type="dxa"/>
            </w:tcMar>
            <w:vAlign w:val="center"/>
          </w:tcPr>
          <w:p w14:paraId="417BE9BF" w14:textId="77777777" w:rsidR="0064331C" w:rsidRPr="0064331C" w:rsidRDefault="0064331C" w:rsidP="005D385E">
            <w:pPr>
              <w:jc w:val="center"/>
              <w:rPr>
                <w:b/>
                <w:bCs/>
                <w:sz w:val="20"/>
                <w:szCs w:val="20"/>
                <w:lang w:eastAsia="fr-FR"/>
              </w:rPr>
            </w:pPr>
            <w:r w:rsidRPr="0064331C">
              <w:rPr>
                <w:b/>
                <w:bCs/>
                <w:sz w:val="20"/>
                <w:szCs w:val="20"/>
                <w:lang w:eastAsia="fr-FR"/>
              </w:rPr>
              <w:t>100</w:t>
            </w:r>
          </w:p>
        </w:tc>
        <w:tc>
          <w:tcPr>
            <w:tcW w:w="834" w:type="dxa"/>
            <w:vMerge w:val="restart"/>
            <w:shd w:val="clear" w:color="auto" w:fill="E2EFD9" w:themeFill="accent6" w:themeFillTint="33"/>
            <w:vAlign w:val="center"/>
          </w:tcPr>
          <w:p w14:paraId="49C327F7" w14:textId="77777777" w:rsidR="0064331C" w:rsidRPr="0064331C" w:rsidRDefault="0064331C" w:rsidP="005D385E">
            <w:pPr>
              <w:jc w:val="center"/>
              <w:rPr>
                <w:b/>
                <w:bCs/>
                <w:sz w:val="20"/>
                <w:szCs w:val="20"/>
                <w:lang w:eastAsia="fr-FR"/>
              </w:rPr>
            </w:pPr>
            <w:r w:rsidRPr="0064331C">
              <w:rPr>
                <w:b/>
                <w:bCs/>
                <w:sz w:val="20"/>
                <w:szCs w:val="20"/>
                <w:lang w:eastAsia="fr-FR"/>
              </w:rPr>
              <w:t>160</w:t>
            </w:r>
          </w:p>
        </w:tc>
        <w:tc>
          <w:tcPr>
            <w:tcW w:w="923" w:type="dxa"/>
            <w:vMerge w:val="restart"/>
            <w:shd w:val="clear" w:color="auto" w:fill="E2EFD9" w:themeFill="accent6" w:themeFillTint="33"/>
            <w:vAlign w:val="center"/>
          </w:tcPr>
          <w:p w14:paraId="5EE117EE" w14:textId="77777777" w:rsidR="0064331C" w:rsidRPr="0064331C" w:rsidRDefault="0064331C" w:rsidP="005D385E">
            <w:pPr>
              <w:jc w:val="center"/>
              <w:rPr>
                <w:b/>
                <w:bCs/>
                <w:sz w:val="20"/>
                <w:szCs w:val="20"/>
                <w:lang w:eastAsia="fr-FR"/>
              </w:rPr>
            </w:pPr>
            <w:r w:rsidRPr="0064331C">
              <w:rPr>
                <w:b/>
                <w:bCs/>
                <w:sz w:val="20"/>
                <w:szCs w:val="20"/>
                <w:lang w:eastAsia="fr-FR"/>
              </w:rPr>
              <w:t>160</w:t>
            </w:r>
          </w:p>
        </w:tc>
        <w:tc>
          <w:tcPr>
            <w:tcW w:w="807" w:type="dxa"/>
            <w:gridSpan w:val="2"/>
            <w:vMerge w:val="restart"/>
            <w:shd w:val="clear" w:color="auto" w:fill="E2EFD9" w:themeFill="accent6" w:themeFillTint="33"/>
            <w:tcMar>
              <w:top w:w="150" w:type="dxa"/>
              <w:left w:w="150" w:type="dxa"/>
              <w:bottom w:w="150" w:type="dxa"/>
              <w:right w:w="150" w:type="dxa"/>
            </w:tcMar>
            <w:vAlign w:val="center"/>
          </w:tcPr>
          <w:p w14:paraId="7C5FE032" w14:textId="77777777" w:rsidR="0064331C" w:rsidRPr="0064331C" w:rsidRDefault="0064331C" w:rsidP="005D385E">
            <w:pPr>
              <w:jc w:val="center"/>
              <w:rPr>
                <w:b/>
                <w:bCs/>
                <w:sz w:val="20"/>
                <w:szCs w:val="20"/>
                <w:lang w:eastAsia="fr-FR"/>
              </w:rPr>
            </w:pPr>
            <w:r w:rsidRPr="0064331C">
              <w:rPr>
                <w:b/>
                <w:bCs/>
                <w:sz w:val="20"/>
                <w:szCs w:val="20"/>
                <w:lang w:eastAsia="fr-FR"/>
              </w:rPr>
              <w:t>7</w:t>
            </w:r>
          </w:p>
        </w:tc>
        <w:tc>
          <w:tcPr>
            <w:tcW w:w="794" w:type="dxa"/>
            <w:vMerge w:val="restart"/>
            <w:shd w:val="clear" w:color="auto" w:fill="B4C6E7" w:themeFill="accent5" w:themeFillTint="66"/>
            <w:vAlign w:val="center"/>
          </w:tcPr>
          <w:p w14:paraId="0528DD19"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916" w:type="dxa"/>
            <w:vMerge w:val="restart"/>
            <w:shd w:val="clear" w:color="auto" w:fill="B4C6E7" w:themeFill="accent5" w:themeFillTint="66"/>
            <w:vAlign w:val="center"/>
          </w:tcPr>
          <w:p w14:paraId="0BB6B02C" w14:textId="77777777" w:rsidR="0064331C" w:rsidRPr="0064331C" w:rsidRDefault="0064331C" w:rsidP="005D385E">
            <w:pPr>
              <w:jc w:val="center"/>
              <w:rPr>
                <w:b/>
                <w:bCs/>
                <w:sz w:val="20"/>
                <w:szCs w:val="20"/>
                <w:lang w:eastAsia="fr-FR"/>
              </w:rPr>
            </w:pPr>
            <w:r w:rsidRPr="0064331C">
              <w:rPr>
                <w:b/>
                <w:bCs/>
                <w:sz w:val="20"/>
                <w:szCs w:val="20"/>
                <w:lang w:eastAsia="fr-FR"/>
              </w:rPr>
              <w:t>5,5</w:t>
            </w:r>
          </w:p>
        </w:tc>
      </w:tr>
      <w:bookmarkEnd w:id="20"/>
      <w:tr w:rsidR="0064331C" w:rsidRPr="0064331C" w14:paraId="4C48522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shd w:val="clear" w:color="auto" w:fill="auto"/>
            <w:vAlign w:val="center"/>
          </w:tcPr>
          <w:p w14:paraId="31A883C6" w14:textId="77777777" w:rsidR="0064331C" w:rsidRPr="0064331C" w:rsidRDefault="0064331C" w:rsidP="005D385E">
            <w:pPr>
              <w:rPr>
                <w:b/>
                <w:bCs/>
                <w:sz w:val="20"/>
                <w:szCs w:val="20"/>
                <w:lang w:eastAsia="fr-FR"/>
              </w:rPr>
            </w:pPr>
          </w:p>
        </w:tc>
        <w:tc>
          <w:tcPr>
            <w:tcW w:w="1511" w:type="dxa"/>
            <w:shd w:val="clear" w:color="auto" w:fill="auto"/>
            <w:tcMar>
              <w:top w:w="150" w:type="dxa"/>
              <w:left w:w="150" w:type="dxa"/>
              <w:bottom w:w="150" w:type="dxa"/>
              <w:right w:w="150" w:type="dxa"/>
            </w:tcMar>
            <w:vAlign w:val="center"/>
          </w:tcPr>
          <w:p w14:paraId="28D3FEA6"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vMerge/>
            <w:shd w:val="clear" w:color="auto" w:fill="E2EFD9" w:themeFill="accent6" w:themeFillTint="33"/>
            <w:tcMar>
              <w:top w:w="150" w:type="dxa"/>
              <w:left w:w="150" w:type="dxa"/>
              <w:bottom w:w="150" w:type="dxa"/>
              <w:right w:w="150" w:type="dxa"/>
            </w:tcMar>
            <w:vAlign w:val="center"/>
          </w:tcPr>
          <w:p w14:paraId="67DCF73A"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23054C81"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1D54C1F0" w14:textId="77777777" w:rsidR="0064331C" w:rsidRPr="0064331C" w:rsidRDefault="0064331C" w:rsidP="005D385E">
            <w:pPr>
              <w:jc w:val="center"/>
              <w:rPr>
                <w:b/>
                <w:bCs/>
                <w:sz w:val="20"/>
                <w:szCs w:val="20"/>
                <w:lang w:eastAsia="fr-FR"/>
              </w:rPr>
            </w:pPr>
          </w:p>
        </w:tc>
        <w:tc>
          <w:tcPr>
            <w:tcW w:w="803" w:type="dxa"/>
            <w:vMerge/>
            <w:shd w:val="clear" w:color="auto" w:fill="E2EFD9" w:themeFill="accent6" w:themeFillTint="33"/>
            <w:tcMar>
              <w:top w:w="150" w:type="dxa"/>
              <w:left w:w="150" w:type="dxa"/>
              <w:bottom w:w="150" w:type="dxa"/>
              <w:right w:w="150" w:type="dxa"/>
            </w:tcMar>
            <w:vAlign w:val="center"/>
          </w:tcPr>
          <w:p w14:paraId="57A0DC31" w14:textId="77777777" w:rsidR="0064331C" w:rsidRPr="0064331C" w:rsidRDefault="0064331C" w:rsidP="005D385E">
            <w:pPr>
              <w:jc w:val="center"/>
              <w:rPr>
                <w:b/>
                <w:bCs/>
                <w:sz w:val="20"/>
                <w:szCs w:val="20"/>
                <w:lang w:eastAsia="fr-FR"/>
              </w:rPr>
            </w:pPr>
          </w:p>
        </w:tc>
        <w:tc>
          <w:tcPr>
            <w:tcW w:w="834" w:type="dxa"/>
            <w:vMerge/>
            <w:shd w:val="clear" w:color="auto" w:fill="E2EFD9" w:themeFill="accent6" w:themeFillTint="33"/>
            <w:vAlign w:val="center"/>
          </w:tcPr>
          <w:p w14:paraId="512C32FE" w14:textId="77777777" w:rsidR="0064331C" w:rsidRPr="0064331C" w:rsidRDefault="0064331C" w:rsidP="005D385E">
            <w:pPr>
              <w:jc w:val="center"/>
              <w:rPr>
                <w:b/>
                <w:bCs/>
                <w:sz w:val="20"/>
                <w:szCs w:val="20"/>
                <w:lang w:eastAsia="fr-FR"/>
              </w:rPr>
            </w:pPr>
          </w:p>
        </w:tc>
        <w:tc>
          <w:tcPr>
            <w:tcW w:w="923" w:type="dxa"/>
            <w:vMerge/>
            <w:shd w:val="clear" w:color="auto" w:fill="E2EFD9" w:themeFill="accent6" w:themeFillTint="33"/>
            <w:vAlign w:val="center"/>
          </w:tcPr>
          <w:p w14:paraId="27AD2965" w14:textId="77777777" w:rsidR="0064331C" w:rsidRPr="0064331C" w:rsidRDefault="0064331C" w:rsidP="005D385E">
            <w:pPr>
              <w:jc w:val="center"/>
              <w:rPr>
                <w:b/>
                <w:bCs/>
                <w:sz w:val="20"/>
                <w:szCs w:val="20"/>
                <w:lang w:eastAsia="fr-FR"/>
              </w:rPr>
            </w:pPr>
          </w:p>
        </w:tc>
        <w:tc>
          <w:tcPr>
            <w:tcW w:w="807" w:type="dxa"/>
            <w:gridSpan w:val="2"/>
            <w:vMerge/>
            <w:shd w:val="clear" w:color="auto" w:fill="E2EFD9" w:themeFill="accent6" w:themeFillTint="33"/>
            <w:tcMar>
              <w:top w:w="150" w:type="dxa"/>
              <w:left w:w="150" w:type="dxa"/>
              <w:bottom w:w="150" w:type="dxa"/>
              <w:right w:w="150" w:type="dxa"/>
            </w:tcMar>
            <w:vAlign w:val="center"/>
          </w:tcPr>
          <w:p w14:paraId="3919C97B"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2D533998" w14:textId="77777777" w:rsidR="0064331C" w:rsidRPr="0064331C" w:rsidRDefault="0064331C" w:rsidP="005D385E">
            <w:pPr>
              <w:jc w:val="center"/>
              <w:rPr>
                <w:b/>
                <w:bCs/>
                <w:sz w:val="20"/>
                <w:szCs w:val="20"/>
                <w:lang w:eastAsia="fr-FR"/>
              </w:rPr>
            </w:pPr>
          </w:p>
        </w:tc>
        <w:tc>
          <w:tcPr>
            <w:tcW w:w="916" w:type="dxa"/>
            <w:vMerge/>
            <w:shd w:val="clear" w:color="auto" w:fill="B4C6E7" w:themeFill="accent5" w:themeFillTint="66"/>
            <w:vAlign w:val="center"/>
          </w:tcPr>
          <w:p w14:paraId="6CD541C0" w14:textId="77777777" w:rsidR="0064331C" w:rsidRPr="0064331C" w:rsidRDefault="0064331C" w:rsidP="005D385E">
            <w:pPr>
              <w:jc w:val="center"/>
              <w:rPr>
                <w:b/>
                <w:bCs/>
                <w:sz w:val="20"/>
                <w:szCs w:val="20"/>
                <w:lang w:eastAsia="fr-FR"/>
              </w:rPr>
            </w:pPr>
          </w:p>
        </w:tc>
      </w:tr>
      <w:tr w:rsidR="0064331C" w:rsidRPr="0064331C" w14:paraId="4B1C73EE"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tcBorders>
              <w:bottom w:val="single" w:sz="4" w:space="0" w:color="auto"/>
            </w:tcBorders>
            <w:shd w:val="clear" w:color="auto" w:fill="auto"/>
            <w:vAlign w:val="center"/>
          </w:tcPr>
          <w:p w14:paraId="0D85195C" w14:textId="77777777" w:rsidR="0064331C" w:rsidRPr="0064331C" w:rsidRDefault="0064331C" w:rsidP="005D385E">
            <w:pPr>
              <w:rPr>
                <w:b/>
                <w:bCs/>
                <w:sz w:val="20"/>
                <w:szCs w:val="20"/>
                <w:lang w:eastAsia="fr-FR"/>
              </w:rPr>
            </w:pPr>
          </w:p>
        </w:tc>
        <w:tc>
          <w:tcPr>
            <w:tcW w:w="1511" w:type="dxa"/>
            <w:tcBorders>
              <w:bottom w:val="single" w:sz="4" w:space="0" w:color="auto"/>
            </w:tcBorders>
            <w:shd w:val="clear" w:color="auto" w:fill="auto"/>
            <w:tcMar>
              <w:top w:w="150" w:type="dxa"/>
              <w:left w:w="150" w:type="dxa"/>
              <w:bottom w:w="150" w:type="dxa"/>
              <w:right w:w="150" w:type="dxa"/>
            </w:tcMar>
            <w:vAlign w:val="center"/>
          </w:tcPr>
          <w:p w14:paraId="462A9AD0"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3" w:type="dxa"/>
            <w:vMerge/>
            <w:shd w:val="clear" w:color="auto" w:fill="E2EFD9" w:themeFill="accent6" w:themeFillTint="33"/>
            <w:tcMar>
              <w:top w:w="150" w:type="dxa"/>
              <w:left w:w="150" w:type="dxa"/>
              <w:bottom w:w="150" w:type="dxa"/>
              <w:right w:w="150" w:type="dxa"/>
            </w:tcMar>
            <w:vAlign w:val="center"/>
          </w:tcPr>
          <w:p w14:paraId="6B8206D6"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764D2172"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08090D3A" w14:textId="77777777" w:rsidR="0064331C" w:rsidRPr="0064331C" w:rsidRDefault="0064331C" w:rsidP="005D385E">
            <w:pPr>
              <w:jc w:val="center"/>
              <w:rPr>
                <w:b/>
                <w:bCs/>
                <w:sz w:val="20"/>
                <w:szCs w:val="20"/>
                <w:lang w:eastAsia="fr-FR"/>
              </w:rPr>
            </w:pPr>
          </w:p>
        </w:tc>
        <w:tc>
          <w:tcPr>
            <w:tcW w:w="803" w:type="dxa"/>
            <w:vMerge/>
            <w:shd w:val="clear" w:color="auto" w:fill="E2EFD9" w:themeFill="accent6" w:themeFillTint="33"/>
            <w:tcMar>
              <w:top w:w="150" w:type="dxa"/>
              <w:left w:w="150" w:type="dxa"/>
              <w:bottom w:w="150" w:type="dxa"/>
              <w:right w:w="150" w:type="dxa"/>
            </w:tcMar>
            <w:vAlign w:val="center"/>
          </w:tcPr>
          <w:p w14:paraId="5E4D1275" w14:textId="77777777" w:rsidR="0064331C" w:rsidRPr="0064331C" w:rsidRDefault="0064331C" w:rsidP="005D385E">
            <w:pPr>
              <w:jc w:val="center"/>
              <w:rPr>
                <w:b/>
                <w:bCs/>
                <w:sz w:val="20"/>
                <w:szCs w:val="20"/>
                <w:lang w:eastAsia="fr-FR"/>
              </w:rPr>
            </w:pPr>
          </w:p>
        </w:tc>
        <w:tc>
          <w:tcPr>
            <w:tcW w:w="834" w:type="dxa"/>
            <w:vMerge/>
            <w:shd w:val="clear" w:color="auto" w:fill="E2EFD9" w:themeFill="accent6" w:themeFillTint="33"/>
            <w:vAlign w:val="center"/>
          </w:tcPr>
          <w:p w14:paraId="4DC9E8AC" w14:textId="77777777" w:rsidR="0064331C" w:rsidRPr="0064331C" w:rsidRDefault="0064331C" w:rsidP="005D385E">
            <w:pPr>
              <w:jc w:val="center"/>
              <w:rPr>
                <w:b/>
                <w:bCs/>
                <w:sz w:val="20"/>
                <w:szCs w:val="20"/>
                <w:lang w:eastAsia="fr-FR"/>
              </w:rPr>
            </w:pPr>
          </w:p>
        </w:tc>
        <w:tc>
          <w:tcPr>
            <w:tcW w:w="923" w:type="dxa"/>
            <w:vMerge/>
            <w:shd w:val="clear" w:color="auto" w:fill="E2EFD9" w:themeFill="accent6" w:themeFillTint="33"/>
            <w:vAlign w:val="center"/>
          </w:tcPr>
          <w:p w14:paraId="55EFE3FA" w14:textId="77777777" w:rsidR="0064331C" w:rsidRPr="0064331C" w:rsidRDefault="0064331C" w:rsidP="005D385E">
            <w:pPr>
              <w:jc w:val="center"/>
              <w:rPr>
                <w:b/>
                <w:bCs/>
                <w:sz w:val="20"/>
                <w:szCs w:val="20"/>
                <w:lang w:eastAsia="fr-FR"/>
              </w:rPr>
            </w:pPr>
          </w:p>
        </w:tc>
        <w:tc>
          <w:tcPr>
            <w:tcW w:w="807" w:type="dxa"/>
            <w:gridSpan w:val="2"/>
            <w:vMerge/>
            <w:shd w:val="clear" w:color="auto" w:fill="E2EFD9" w:themeFill="accent6" w:themeFillTint="33"/>
            <w:tcMar>
              <w:top w:w="150" w:type="dxa"/>
              <w:left w:w="150" w:type="dxa"/>
              <w:bottom w:w="150" w:type="dxa"/>
              <w:right w:w="150" w:type="dxa"/>
            </w:tcMar>
            <w:vAlign w:val="center"/>
          </w:tcPr>
          <w:p w14:paraId="6F09D153" w14:textId="77777777" w:rsidR="0064331C" w:rsidRPr="0064331C" w:rsidRDefault="0064331C" w:rsidP="005D385E">
            <w:pPr>
              <w:jc w:val="center"/>
              <w:rPr>
                <w:b/>
                <w:bCs/>
                <w:sz w:val="20"/>
                <w:szCs w:val="20"/>
                <w:lang w:eastAsia="fr-FR"/>
              </w:rPr>
            </w:pPr>
          </w:p>
        </w:tc>
        <w:tc>
          <w:tcPr>
            <w:tcW w:w="794" w:type="dxa"/>
            <w:vMerge/>
            <w:shd w:val="clear" w:color="auto" w:fill="B4C6E7" w:themeFill="accent5" w:themeFillTint="66"/>
            <w:vAlign w:val="center"/>
          </w:tcPr>
          <w:p w14:paraId="66B03F62" w14:textId="77777777" w:rsidR="0064331C" w:rsidRPr="0064331C" w:rsidRDefault="0064331C" w:rsidP="005D385E">
            <w:pPr>
              <w:jc w:val="center"/>
              <w:rPr>
                <w:b/>
                <w:bCs/>
                <w:sz w:val="20"/>
                <w:szCs w:val="20"/>
                <w:lang w:eastAsia="fr-FR"/>
              </w:rPr>
            </w:pPr>
          </w:p>
        </w:tc>
        <w:tc>
          <w:tcPr>
            <w:tcW w:w="916" w:type="dxa"/>
            <w:vMerge/>
            <w:shd w:val="clear" w:color="auto" w:fill="B4C6E7" w:themeFill="accent5" w:themeFillTint="66"/>
            <w:vAlign w:val="center"/>
          </w:tcPr>
          <w:p w14:paraId="127C718A" w14:textId="77777777" w:rsidR="0064331C" w:rsidRPr="0064331C" w:rsidRDefault="0064331C" w:rsidP="005D385E">
            <w:pPr>
              <w:jc w:val="center"/>
              <w:rPr>
                <w:b/>
                <w:bCs/>
                <w:sz w:val="20"/>
                <w:szCs w:val="20"/>
                <w:lang w:eastAsia="fr-FR"/>
              </w:rPr>
            </w:pPr>
          </w:p>
        </w:tc>
      </w:tr>
      <w:tr w:rsidR="0064331C" w:rsidRPr="0064331C" w14:paraId="707E9BC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83F2A" w14:textId="77777777" w:rsidR="0064331C" w:rsidRPr="0064331C" w:rsidRDefault="0064331C" w:rsidP="005D385E">
            <w:pPr>
              <w:jc w:val="center"/>
              <w:rPr>
                <w:b/>
                <w:bCs/>
                <w:sz w:val="20"/>
                <w:szCs w:val="20"/>
                <w:lang w:eastAsia="fr-FR"/>
              </w:rPr>
            </w:pPr>
            <w:bookmarkStart w:id="22" w:name="_Hlk159599246"/>
            <w:bookmarkEnd w:id="21"/>
            <w:r w:rsidRPr="0064331C">
              <w:rPr>
                <w:b/>
                <w:bCs/>
                <w:sz w:val="20"/>
                <w:szCs w:val="20"/>
                <w:lang w:eastAsia="fr-FR"/>
              </w:rPr>
              <w:t>Gaz issus de procédés de l’industrie chimique</w:t>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74BBEF98"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8E3830B"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4"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7B271B54" w14:textId="77777777" w:rsidR="0064331C" w:rsidRPr="0064331C" w:rsidRDefault="0064331C" w:rsidP="005D385E">
            <w:pPr>
              <w:jc w:val="center"/>
              <w:rPr>
                <w:b/>
                <w:bCs/>
                <w:sz w:val="20"/>
                <w:szCs w:val="20"/>
                <w:lang w:eastAsia="fr-FR"/>
              </w:rPr>
            </w:pPr>
            <w:r w:rsidRPr="0064331C">
              <w:rPr>
                <w:b/>
                <w:bCs/>
                <w:sz w:val="20"/>
                <w:szCs w:val="20"/>
                <w:highlight w:val="magenta"/>
                <w:lang w:eastAsia="fr-FR"/>
              </w:rPr>
              <w:t>35</w:t>
            </w:r>
          </w:p>
        </w:tc>
        <w:tc>
          <w:tcPr>
            <w:tcW w:w="794"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265059A8" w14:textId="77777777" w:rsidR="0064331C" w:rsidRPr="0064331C" w:rsidRDefault="0064331C" w:rsidP="005D385E">
            <w:pPr>
              <w:jc w:val="center"/>
              <w:rPr>
                <w:b/>
                <w:bCs/>
                <w:sz w:val="20"/>
                <w:szCs w:val="20"/>
                <w:lang w:eastAsia="fr-FR"/>
              </w:rPr>
            </w:pPr>
            <w:r w:rsidRPr="0064331C">
              <w:rPr>
                <w:b/>
                <w:bCs/>
                <w:sz w:val="20"/>
                <w:szCs w:val="20"/>
                <w:lang w:eastAsia="fr-FR"/>
              </w:rPr>
              <w:t>38,5</w:t>
            </w:r>
          </w:p>
        </w:tc>
        <w:tc>
          <w:tcPr>
            <w:tcW w:w="803"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38C4A7C" w14:textId="77777777" w:rsidR="0064331C" w:rsidRPr="0064331C" w:rsidRDefault="0064331C" w:rsidP="005D385E">
            <w:pPr>
              <w:jc w:val="center"/>
              <w:rPr>
                <w:b/>
                <w:bCs/>
                <w:sz w:val="20"/>
                <w:szCs w:val="20"/>
                <w:lang w:eastAsia="fr-FR"/>
              </w:rPr>
            </w:pPr>
            <w:r w:rsidRPr="0064331C">
              <w:rPr>
                <w:b/>
                <w:bCs/>
                <w:sz w:val="20"/>
                <w:szCs w:val="20"/>
                <w:lang w:eastAsia="fr-FR"/>
              </w:rPr>
              <w:t>180</w:t>
            </w:r>
          </w:p>
        </w:tc>
        <w:tc>
          <w:tcPr>
            <w:tcW w:w="834"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681269AF"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923"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256D5B7B" w14:textId="77777777" w:rsidR="0064331C" w:rsidRPr="0064331C" w:rsidRDefault="0064331C" w:rsidP="005D385E">
            <w:pPr>
              <w:jc w:val="center"/>
              <w:rPr>
                <w:b/>
                <w:bCs/>
                <w:sz w:val="20"/>
                <w:szCs w:val="20"/>
                <w:lang w:eastAsia="fr-FR"/>
              </w:rPr>
            </w:pPr>
            <w:r w:rsidRPr="0064331C">
              <w:rPr>
                <w:b/>
                <w:bCs/>
                <w:sz w:val="20"/>
                <w:szCs w:val="20"/>
                <w:lang w:eastAsia="fr-FR"/>
              </w:rPr>
              <w:t>210</w:t>
            </w:r>
          </w:p>
        </w:tc>
        <w:tc>
          <w:tcPr>
            <w:tcW w:w="807" w:type="dxa"/>
            <w:gridSpan w:val="2"/>
            <w:vMerge w:val="restart"/>
            <w:tcBorders>
              <w:top w:val="single" w:sz="4" w:space="0" w:color="auto"/>
              <w:left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6F5B4FA7" w14:textId="77777777" w:rsidR="0064331C" w:rsidRPr="0064331C" w:rsidRDefault="0064331C" w:rsidP="005D385E">
            <w:pPr>
              <w:jc w:val="center"/>
              <w:rPr>
                <w:b/>
                <w:bCs/>
                <w:sz w:val="20"/>
                <w:szCs w:val="20"/>
                <w:lang w:eastAsia="fr-FR"/>
              </w:rPr>
            </w:pPr>
          </w:p>
        </w:tc>
        <w:tc>
          <w:tcPr>
            <w:tcW w:w="79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D0BAEEF" w14:textId="77777777" w:rsidR="0064331C" w:rsidRPr="0064331C" w:rsidRDefault="0064331C" w:rsidP="005D385E">
            <w:pPr>
              <w:jc w:val="center"/>
              <w:rPr>
                <w:b/>
                <w:bCs/>
                <w:sz w:val="20"/>
                <w:szCs w:val="20"/>
                <w:lang w:eastAsia="fr-FR"/>
              </w:rPr>
            </w:pPr>
            <w:r w:rsidRPr="0064331C">
              <w:rPr>
                <w:b/>
                <w:bCs/>
                <w:sz w:val="20"/>
                <w:szCs w:val="20"/>
                <w:lang w:eastAsia="fr-FR"/>
              </w:rPr>
              <w:t>5</w:t>
            </w:r>
          </w:p>
        </w:tc>
        <w:tc>
          <w:tcPr>
            <w:tcW w:w="91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442C4A3" w14:textId="77777777" w:rsidR="0064331C" w:rsidRPr="0064331C" w:rsidRDefault="0064331C" w:rsidP="005D385E">
            <w:pPr>
              <w:jc w:val="center"/>
              <w:rPr>
                <w:b/>
                <w:bCs/>
                <w:sz w:val="20"/>
                <w:szCs w:val="20"/>
                <w:lang w:eastAsia="fr-FR"/>
              </w:rPr>
            </w:pPr>
            <w:r w:rsidRPr="0064331C">
              <w:rPr>
                <w:b/>
                <w:bCs/>
                <w:sz w:val="20"/>
                <w:szCs w:val="20"/>
                <w:lang w:eastAsia="fr-FR"/>
              </w:rPr>
              <w:t>5,5</w:t>
            </w:r>
          </w:p>
        </w:tc>
      </w:tr>
      <w:tr w:rsidR="0064331C" w:rsidRPr="0064331C" w14:paraId="4BDAB921"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2BC13E" w14:textId="77777777" w:rsidR="0064331C" w:rsidRPr="0064331C" w:rsidRDefault="0064331C" w:rsidP="005D385E">
            <w:pPr>
              <w:rPr>
                <w:b/>
                <w:bCs/>
                <w:sz w:val="20"/>
                <w:szCs w:val="20"/>
                <w:lang w:eastAsia="fr-FR"/>
              </w:rPr>
            </w:pPr>
          </w:p>
        </w:tc>
        <w:tc>
          <w:tcPr>
            <w:tcW w:w="151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5DA14329"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E9A5B5B" w14:textId="77777777" w:rsidR="0064331C" w:rsidRPr="0064331C" w:rsidRDefault="0064331C" w:rsidP="005D385E">
            <w:pPr>
              <w:jc w:val="center"/>
              <w:rPr>
                <w:b/>
                <w:bCs/>
                <w:sz w:val="20"/>
                <w:szCs w:val="20"/>
                <w:lang w:eastAsia="fr-FR"/>
              </w:rPr>
            </w:pPr>
          </w:p>
        </w:tc>
        <w:tc>
          <w:tcPr>
            <w:tcW w:w="794" w:type="dxa"/>
            <w:vMerge/>
            <w:tcBorders>
              <w:left w:val="single" w:sz="4" w:space="0" w:color="auto"/>
              <w:right w:val="single" w:sz="4" w:space="0" w:color="auto"/>
            </w:tcBorders>
            <w:shd w:val="clear" w:color="auto" w:fill="B4C6E7" w:themeFill="accent5" w:themeFillTint="66"/>
            <w:vAlign w:val="center"/>
          </w:tcPr>
          <w:p w14:paraId="52AF7545" w14:textId="77777777" w:rsidR="0064331C" w:rsidRPr="0064331C" w:rsidRDefault="0064331C" w:rsidP="005D385E">
            <w:pPr>
              <w:jc w:val="center"/>
              <w:rPr>
                <w:b/>
                <w:bCs/>
                <w:sz w:val="20"/>
                <w:szCs w:val="20"/>
                <w:lang w:eastAsia="fr-FR"/>
              </w:rPr>
            </w:pPr>
          </w:p>
        </w:tc>
        <w:tc>
          <w:tcPr>
            <w:tcW w:w="794" w:type="dxa"/>
            <w:vMerge/>
            <w:tcBorders>
              <w:left w:val="single" w:sz="4" w:space="0" w:color="auto"/>
              <w:right w:val="single" w:sz="4" w:space="0" w:color="auto"/>
            </w:tcBorders>
            <w:shd w:val="clear" w:color="auto" w:fill="B4C6E7" w:themeFill="accent5" w:themeFillTint="66"/>
            <w:vAlign w:val="center"/>
          </w:tcPr>
          <w:p w14:paraId="3032AF49" w14:textId="77777777" w:rsidR="0064331C" w:rsidRPr="0064331C" w:rsidRDefault="0064331C" w:rsidP="005D385E">
            <w:pPr>
              <w:jc w:val="center"/>
              <w:rPr>
                <w:b/>
                <w:bCs/>
                <w:sz w:val="20"/>
                <w:szCs w:val="20"/>
                <w:lang w:eastAsia="fr-FR"/>
              </w:rPr>
            </w:pPr>
          </w:p>
        </w:tc>
        <w:tc>
          <w:tcPr>
            <w:tcW w:w="803"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37B477B" w14:textId="77777777" w:rsidR="0064331C" w:rsidRPr="0064331C" w:rsidRDefault="0064331C" w:rsidP="005D385E">
            <w:pPr>
              <w:jc w:val="center"/>
              <w:rPr>
                <w:b/>
                <w:bCs/>
                <w:sz w:val="20"/>
                <w:szCs w:val="20"/>
                <w:lang w:eastAsia="fr-FR"/>
              </w:rPr>
            </w:pPr>
          </w:p>
        </w:tc>
        <w:tc>
          <w:tcPr>
            <w:tcW w:w="834" w:type="dxa"/>
            <w:vMerge/>
            <w:tcBorders>
              <w:left w:val="single" w:sz="4" w:space="0" w:color="auto"/>
              <w:right w:val="single" w:sz="4" w:space="0" w:color="auto"/>
            </w:tcBorders>
            <w:shd w:val="clear" w:color="auto" w:fill="B4C6E7" w:themeFill="accent5" w:themeFillTint="66"/>
            <w:vAlign w:val="center"/>
          </w:tcPr>
          <w:p w14:paraId="4B7209DB" w14:textId="77777777" w:rsidR="0064331C" w:rsidRPr="0064331C" w:rsidRDefault="0064331C" w:rsidP="005D385E">
            <w:pPr>
              <w:jc w:val="center"/>
              <w:rPr>
                <w:b/>
                <w:bCs/>
                <w:sz w:val="20"/>
                <w:szCs w:val="20"/>
                <w:lang w:eastAsia="fr-FR"/>
              </w:rPr>
            </w:pPr>
          </w:p>
        </w:tc>
        <w:tc>
          <w:tcPr>
            <w:tcW w:w="923" w:type="dxa"/>
            <w:vMerge/>
            <w:tcBorders>
              <w:left w:val="single" w:sz="4" w:space="0" w:color="auto"/>
              <w:right w:val="single" w:sz="4" w:space="0" w:color="auto"/>
            </w:tcBorders>
            <w:shd w:val="clear" w:color="auto" w:fill="E2EFD9" w:themeFill="accent6" w:themeFillTint="33"/>
            <w:vAlign w:val="center"/>
          </w:tcPr>
          <w:p w14:paraId="70F0FE08" w14:textId="77777777" w:rsidR="0064331C" w:rsidRPr="0064331C" w:rsidRDefault="0064331C" w:rsidP="005D385E">
            <w:pPr>
              <w:jc w:val="center"/>
              <w:rPr>
                <w:b/>
                <w:bCs/>
                <w:sz w:val="20"/>
                <w:szCs w:val="20"/>
                <w:lang w:eastAsia="fr-FR"/>
              </w:rPr>
            </w:pPr>
          </w:p>
        </w:tc>
        <w:tc>
          <w:tcPr>
            <w:tcW w:w="807" w:type="dxa"/>
            <w:gridSpan w:val="2"/>
            <w:vMerge/>
            <w:tcBorders>
              <w:left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684E7330" w14:textId="77777777" w:rsidR="0064331C" w:rsidRPr="0064331C" w:rsidRDefault="0064331C" w:rsidP="005D385E">
            <w:pPr>
              <w:jc w:val="center"/>
              <w:rPr>
                <w:b/>
                <w:bCs/>
                <w:sz w:val="20"/>
                <w:szCs w:val="20"/>
                <w:lang w:eastAsia="fr-FR"/>
              </w:rPr>
            </w:pPr>
          </w:p>
        </w:tc>
        <w:tc>
          <w:tcPr>
            <w:tcW w:w="794" w:type="dxa"/>
            <w:vMerge/>
            <w:tcBorders>
              <w:left w:val="single" w:sz="4" w:space="0" w:color="auto"/>
              <w:right w:val="single" w:sz="4" w:space="0" w:color="auto"/>
            </w:tcBorders>
            <w:shd w:val="clear" w:color="auto" w:fill="BFBFBF" w:themeFill="background1" w:themeFillShade="BF"/>
            <w:vAlign w:val="center"/>
          </w:tcPr>
          <w:p w14:paraId="24A5E310" w14:textId="77777777" w:rsidR="0064331C" w:rsidRPr="0064331C" w:rsidRDefault="0064331C" w:rsidP="005D385E">
            <w:pPr>
              <w:jc w:val="center"/>
              <w:rPr>
                <w:b/>
                <w:bCs/>
                <w:sz w:val="20"/>
                <w:szCs w:val="20"/>
                <w:lang w:eastAsia="fr-FR"/>
              </w:rPr>
            </w:pPr>
          </w:p>
        </w:tc>
        <w:tc>
          <w:tcPr>
            <w:tcW w:w="916" w:type="dxa"/>
            <w:vMerge/>
            <w:tcBorders>
              <w:left w:val="single" w:sz="4" w:space="0" w:color="auto"/>
              <w:right w:val="single" w:sz="4" w:space="0" w:color="auto"/>
            </w:tcBorders>
            <w:shd w:val="clear" w:color="auto" w:fill="BFBFBF" w:themeFill="background1" w:themeFillShade="BF"/>
            <w:vAlign w:val="center"/>
          </w:tcPr>
          <w:p w14:paraId="0B04A280" w14:textId="77777777" w:rsidR="0064331C" w:rsidRPr="0064331C" w:rsidRDefault="0064331C" w:rsidP="005D385E">
            <w:pPr>
              <w:jc w:val="center"/>
              <w:rPr>
                <w:b/>
                <w:bCs/>
                <w:sz w:val="20"/>
                <w:szCs w:val="20"/>
                <w:lang w:eastAsia="fr-FR"/>
              </w:rPr>
            </w:pPr>
          </w:p>
        </w:tc>
      </w:tr>
      <w:tr w:rsidR="0064331C" w:rsidRPr="0064331C" w14:paraId="62B24079"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0FCFC69" w14:textId="77777777" w:rsidR="0064331C" w:rsidRPr="0064331C" w:rsidRDefault="0064331C" w:rsidP="005D385E">
            <w:pPr>
              <w:rPr>
                <w:b/>
                <w:bCs/>
                <w:sz w:val="20"/>
                <w:szCs w:val="20"/>
                <w:lang w:eastAsia="fr-FR"/>
              </w:rPr>
            </w:pPr>
          </w:p>
        </w:tc>
        <w:tc>
          <w:tcPr>
            <w:tcW w:w="151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246BFE52"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3" w:type="dxa"/>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E084FC7" w14:textId="77777777" w:rsidR="0064331C" w:rsidRPr="0064331C" w:rsidRDefault="0064331C" w:rsidP="005D385E">
            <w:pPr>
              <w:jc w:val="center"/>
              <w:rPr>
                <w:b/>
                <w:bCs/>
                <w:sz w:val="20"/>
                <w:szCs w:val="20"/>
                <w:lang w:eastAsia="fr-FR"/>
              </w:rPr>
            </w:pPr>
          </w:p>
        </w:tc>
        <w:tc>
          <w:tcPr>
            <w:tcW w:w="794" w:type="dxa"/>
            <w:vMerge/>
            <w:tcBorders>
              <w:left w:val="single" w:sz="4" w:space="0" w:color="auto"/>
              <w:bottom w:val="single" w:sz="4" w:space="0" w:color="auto"/>
              <w:right w:val="single" w:sz="4" w:space="0" w:color="auto"/>
            </w:tcBorders>
            <w:shd w:val="clear" w:color="auto" w:fill="B4C6E7" w:themeFill="accent5" w:themeFillTint="66"/>
            <w:vAlign w:val="center"/>
          </w:tcPr>
          <w:p w14:paraId="7FE963C6" w14:textId="77777777" w:rsidR="0064331C" w:rsidRPr="0064331C" w:rsidRDefault="0064331C" w:rsidP="005D385E">
            <w:pPr>
              <w:jc w:val="center"/>
              <w:rPr>
                <w:b/>
                <w:bCs/>
                <w:sz w:val="20"/>
                <w:szCs w:val="20"/>
                <w:lang w:eastAsia="fr-FR"/>
              </w:rPr>
            </w:pPr>
          </w:p>
        </w:tc>
        <w:tc>
          <w:tcPr>
            <w:tcW w:w="794" w:type="dxa"/>
            <w:vMerge/>
            <w:tcBorders>
              <w:left w:val="single" w:sz="4" w:space="0" w:color="auto"/>
              <w:bottom w:val="single" w:sz="4" w:space="0" w:color="auto"/>
              <w:right w:val="single" w:sz="4" w:space="0" w:color="auto"/>
            </w:tcBorders>
            <w:shd w:val="clear" w:color="auto" w:fill="B4C6E7" w:themeFill="accent5" w:themeFillTint="66"/>
            <w:vAlign w:val="center"/>
          </w:tcPr>
          <w:p w14:paraId="37A5A502" w14:textId="77777777" w:rsidR="0064331C" w:rsidRPr="0064331C" w:rsidRDefault="0064331C" w:rsidP="005D385E">
            <w:pPr>
              <w:jc w:val="center"/>
              <w:rPr>
                <w:b/>
                <w:bCs/>
                <w:sz w:val="20"/>
                <w:szCs w:val="20"/>
                <w:lang w:eastAsia="fr-FR"/>
              </w:rPr>
            </w:pPr>
          </w:p>
        </w:tc>
        <w:tc>
          <w:tcPr>
            <w:tcW w:w="803" w:type="dxa"/>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8B7FDCA" w14:textId="77777777" w:rsidR="0064331C" w:rsidRPr="0064331C" w:rsidRDefault="0064331C" w:rsidP="005D385E">
            <w:pPr>
              <w:jc w:val="center"/>
              <w:rPr>
                <w:b/>
                <w:bCs/>
                <w:sz w:val="20"/>
                <w:szCs w:val="20"/>
                <w:lang w:eastAsia="fr-FR"/>
              </w:rPr>
            </w:pPr>
          </w:p>
        </w:tc>
        <w:tc>
          <w:tcPr>
            <w:tcW w:w="834" w:type="dxa"/>
            <w:vMerge/>
            <w:tcBorders>
              <w:left w:val="single" w:sz="4" w:space="0" w:color="auto"/>
              <w:bottom w:val="single" w:sz="4" w:space="0" w:color="auto"/>
              <w:right w:val="single" w:sz="4" w:space="0" w:color="auto"/>
            </w:tcBorders>
            <w:shd w:val="clear" w:color="auto" w:fill="B4C6E7" w:themeFill="accent5" w:themeFillTint="66"/>
            <w:vAlign w:val="center"/>
          </w:tcPr>
          <w:p w14:paraId="759013D5" w14:textId="77777777" w:rsidR="0064331C" w:rsidRPr="0064331C" w:rsidRDefault="0064331C" w:rsidP="005D385E">
            <w:pPr>
              <w:jc w:val="center"/>
              <w:rPr>
                <w:b/>
                <w:bCs/>
                <w:sz w:val="20"/>
                <w:szCs w:val="20"/>
                <w:lang w:eastAsia="fr-FR"/>
              </w:rPr>
            </w:pPr>
          </w:p>
        </w:tc>
        <w:tc>
          <w:tcPr>
            <w:tcW w:w="923" w:type="dxa"/>
            <w:vMerge/>
            <w:tcBorders>
              <w:left w:val="single" w:sz="4" w:space="0" w:color="auto"/>
              <w:bottom w:val="single" w:sz="4" w:space="0" w:color="auto"/>
              <w:right w:val="single" w:sz="4" w:space="0" w:color="auto"/>
            </w:tcBorders>
            <w:shd w:val="clear" w:color="auto" w:fill="E2EFD9" w:themeFill="accent6" w:themeFillTint="33"/>
            <w:vAlign w:val="center"/>
          </w:tcPr>
          <w:p w14:paraId="3355D056" w14:textId="77777777" w:rsidR="0064331C" w:rsidRPr="0064331C" w:rsidRDefault="0064331C" w:rsidP="005D385E">
            <w:pPr>
              <w:jc w:val="center"/>
              <w:rPr>
                <w:b/>
                <w:bCs/>
                <w:sz w:val="20"/>
                <w:szCs w:val="20"/>
                <w:lang w:eastAsia="fr-FR"/>
              </w:rPr>
            </w:pPr>
          </w:p>
        </w:tc>
        <w:tc>
          <w:tcPr>
            <w:tcW w:w="807" w:type="dxa"/>
            <w:gridSpan w:val="2"/>
            <w:vMerge/>
            <w:tcBorders>
              <w:left w:val="single" w:sz="4" w:space="0" w:color="auto"/>
              <w:bottom w:val="single" w:sz="4" w:space="0" w:color="auto"/>
              <w:right w:val="single" w:sz="4" w:space="0" w:color="auto"/>
            </w:tcBorders>
            <w:shd w:val="clear" w:color="auto" w:fill="BFBFBF" w:themeFill="background1" w:themeFillShade="BF"/>
            <w:tcMar>
              <w:top w:w="150" w:type="dxa"/>
              <w:left w:w="150" w:type="dxa"/>
              <w:bottom w:w="150" w:type="dxa"/>
              <w:right w:w="150" w:type="dxa"/>
            </w:tcMar>
            <w:vAlign w:val="center"/>
          </w:tcPr>
          <w:p w14:paraId="7E2633C1" w14:textId="77777777" w:rsidR="0064331C" w:rsidRPr="0064331C" w:rsidRDefault="0064331C" w:rsidP="005D385E">
            <w:pPr>
              <w:jc w:val="center"/>
              <w:rPr>
                <w:b/>
                <w:bCs/>
                <w:sz w:val="20"/>
                <w:szCs w:val="20"/>
                <w:lang w:eastAsia="fr-FR"/>
              </w:rPr>
            </w:pPr>
          </w:p>
        </w:tc>
        <w:tc>
          <w:tcPr>
            <w:tcW w:w="79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A9C5C04" w14:textId="77777777" w:rsidR="0064331C" w:rsidRPr="0064331C" w:rsidRDefault="0064331C" w:rsidP="005D385E">
            <w:pPr>
              <w:jc w:val="center"/>
              <w:rPr>
                <w:b/>
                <w:bCs/>
                <w:sz w:val="20"/>
                <w:szCs w:val="20"/>
                <w:lang w:eastAsia="fr-FR"/>
              </w:rPr>
            </w:pPr>
          </w:p>
        </w:tc>
        <w:tc>
          <w:tcPr>
            <w:tcW w:w="9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B82C451" w14:textId="77777777" w:rsidR="0064331C" w:rsidRPr="0064331C" w:rsidRDefault="0064331C" w:rsidP="005D385E">
            <w:pPr>
              <w:jc w:val="center"/>
              <w:rPr>
                <w:b/>
                <w:bCs/>
                <w:sz w:val="20"/>
                <w:szCs w:val="20"/>
                <w:lang w:eastAsia="fr-FR"/>
              </w:rPr>
            </w:pPr>
          </w:p>
        </w:tc>
      </w:tr>
      <w:tr w:rsidR="0064331C" w:rsidRPr="0064331C" w14:paraId="7D232F8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val="restart"/>
            <w:tcBorders>
              <w:top w:val="single" w:sz="4" w:space="0" w:color="auto"/>
              <w:left w:val="single" w:sz="4" w:space="0" w:color="auto"/>
              <w:right w:val="single" w:sz="4" w:space="0" w:color="auto"/>
            </w:tcBorders>
            <w:shd w:val="clear" w:color="auto" w:fill="auto"/>
            <w:vAlign w:val="center"/>
          </w:tcPr>
          <w:p w14:paraId="6B605545" w14:textId="77777777" w:rsidR="0064331C" w:rsidRPr="0064331C" w:rsidRDefault="0064331C" w:rsidP="005D385E">
            <w:pPr>
              <w:jc w:val="center"/>
              <w:rPr>
                <w:b/>
                <w:bCs/>
                <w:sz w:val="20"/>
                <w:szCs w:val="20"/>
                <w:lang w:eastAsia="fr-FR"/>
              </w:rPr>
            </w:pPr>
            <w:r w:rsidRPr="0064331C">
              <w:rPr>
                <w:b/>
                <w:bCs/>
                <w:sz w:val="20"/>
                <w:szCs w:val="20"/>
                <w:lang w:eastAsia="fr-FR"/>
              </w:rPr>
              <w:t>Mélanges de liquides et de gaz issus de procédés de l’industrie chimique</w:t>
            </w:r>
          </w:p>
          <w:p w14:paraId="69B426CF" w14:textId="32334AF6" w:rsidR="0064331C" w:rsidRPr="0064331C" w:rsidRDefault="0064331C" w:rsidP="005D385E">
            <w:pPr>
              <w:jc w:val="center"/>
              <w:rPr>
                <w:b/>
                <w:bCs/>
                <w:sz w:val="20"/>
                <w:szCs w:val="20"/>
                <w:lang w:eastAsia="fr-FR"/>
              </w:rPr>
            </w:pPr>
            <w:r w:rsidRPr="0064331C">
              <w:rPr>
                <w:b/>
                <w:bCs/>
                <w:sz w:val="20"/>
                <w:szCs w:val="20"/>
                <w:lang w:eastAsia="fr-FR"/>
              </w:rPr>
              <w:t>(100</w:t>
            </w:r>
            <w:r w:rsidR="000F02B5">
              <w:rPr>
                <w:b/>
                <w:bCs/>
                <w:sz w:val="20"/>
                <w:szCs w:val="20"/>
                <w:lang w:eastAsia="fr-FR"/>
              </w:rPr>
              <w:t xml:space="preserve"> </w:t>
            </w:r>
            <w:r w:rsidRPr="0064331C">
              <w:rPr>
                <w:b/>
                <w:bCs/>
                <w:sz w:val="20"/>
                <w:szCs w:val="20"/>
                <w:lang w:eastAsia="fr-FR"/>
              </w:rPr>
              <w:t>%)</w:t>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3F41BF05" w14:textId="77777777" w:rsidR="0064331C" w:rsidRPr="0064331C" w:rsidRDefault="0064331C" w:rsidP="005D385E">
            <w:pPr>
              <w:jc w:val="center"/>
              <w:rPr>
                <w:b/>
                <w:bCs/>
                <w:sz w:val="20"/>
                <w:szCs w:val="20"/>
                <w:lang w:eastAsia="fr-FR"/>
              </w:rPr>
            </w:pPr>
            <w:r w:rsidRPr="0064331C">
              <w:rPr>
                <w:b/>
                <w:bCs/>
                <w:sz w:val="20"/>
                <w:szCs w:val="20"/>
                <w:lang w:eastAsia="fr-FR"/>
              </w:rPr>
              <w:t>50 ≤ P &lt; 100</w:t>
            </w:r>
          </w:p>
        </w:tc>
        <w:tc>
          <w:tcPr>
            <w:tcW w:w="803"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84A0B44" w14:textId="77777777" w:rsidR="0064331C" w:rsidRPr="0064331C" w:rsidRDefault="0064331C" w:rsidP="005D385E">
            <w:pPr>
              <w:jc w:val="center"/>
              <w:rPr>
                <w:b/>
                <w:bCs/>
                <w:sz w:val="20"/>
                <w:szCs w:val="20"/>
                <w:lang w:eastAsia="fr-FR"/>
              </w:rPr>
            </w:pPr>
            <w:r w:rsidRPr="0064331C">
              <w:rPr>
                <w:b/>
                <w:bCs/>
                <w:sz w:val="20"/>
                <w:szCs w:val="20"/>
                <w:lang w:eastAsia="fr-FR"/>
              </w:rPr>
              <w:t>110</w:t>
            </w:r>
          </w:p>
        </w:tc>
        <w:tc>
          <w:tcPr>
            <w:tcW w:w="79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B9F117C" w14:textId="77777777" w:rsidR="0064331C" w:rsidRPr="0064331C" w:rsidRDefault="0064331C" w:rsidP="005D385E">
            <w:pPr>
              <w:jc w:val="center"/>
              <w:rPr>
                <w:b/>
                <w:bCs/>
                <w:sz w:val="20"/>
                <w:szCs w:val="20"/>
                <w:lang w:eastAsia="fr-FR"/>
              </w:rPr>
            </w:pPr>
          </w:p>
        </w:tc>
        <w:tc>
          <w:tcPr>
            <w:tcW w:w="794"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106E9D76" w14:textId="77777777" w:rsidR="0064331C" w:rsidRPr="0064331C" w:rsidRDefault="0064331C" w:rsidP="005D385E">
            <w:pPr>
              <w:jc w:val="center"/>
              <w:rPr>
                <w:b/>
                <w:bCs/>
                <w:sz w:val="20"/>
                <w:szCs w:val="20"/>
                <w:lang w:eastAsia="fr-FR"/>
              </w:rPr>
            </w:pPr>
            <w:r w:rsidRPr="0064331C">
              <w:rPr>
                <w:b/>
                <w:bCs/>
                <w:sz w:val="20"/>
                <w:szCs w:val="20"/>
                <w:lang w:eastAsia="fr-FR"/>
              </w:rPr>
              <w:t>200</w:t>
            </w:r>
          </w:p>
        </w:tc>
        <w:tc>
          <w:tcPr>
            <w:tcW w:w="803" w:type="dxa"/>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E9B826B" w14:textId="77777777" w:rsidR="0064331C" w:rsidRPr="0064331C" w:rsidRDefault="0064331C" w:rsidP="005D385E">
            <w:pPr>
              <w:jc w:val="center"/>
              <w:rPr>
                <w:b/>
                <w:bCs/>
                <w:sz w:val="20"/>
                <w:szCs w:val="20"/>
                <w:lang w:eastAsia="fr-FR"/>
              </w:rPr>
            </w:pPr>
            <w:r w:rsidRPr="0064331C">
              <w:rPr>
                <w:b/>
                <w:bCs/>
                <w:sz w:val="20"/>
                <w:szCs w:val="20"/>
                <w:lang w:eastAsia="fr-FR"/>
              </w:rPr>
              <w:t>290</w:t>
            </w:r>
          </w:p>
          <w:p w14:paraId="2EE738CF"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834" w:type="dxa"/>
            <w:vMerge w:val="restart"/>
            <w:tcBorders>
              <w:top w:val="single" w:sz="4" w:space="0" w:color="auto"/>
              <w:left w:val="single" w:sz="4" w:space="0" w:color="auto"/>
              <w:right w:val="single" w:sz="4" w:space="0" w:color="auto"/>
            </w:tcBorders>
            <w:shd w:val="clear" w:color="auto" w:fill="C9C9C9" w:themeFill="accent3" w:themeFillTint="99"/>
            <w:vAlign w:val="center"/>
          </w:tcPr>
          <w:p w14:paraId="777B3370" w14:textId="77777777" w:rsidR="0064331C" w:rsidRPr="0064331C" w:rsidRDefault="0064331C" w:rsidP="005D385E">
            <w:pPr>
              <w:jc w:val="center"/>
              <w:rPr>
                <w:b/>
                <w:bCs/>
                <w:sz w:val="20"/>
                <w:szCs w:val="20"/>
                <w:lang w:eastAsia="fr-FR"/>
              </w:rPr>
            </w:pPr>
          </w:p>
        </w:tc>
        <w:tc>
          <w:tcPr>
            <w:tcW w:w="923"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4C715283" w14:textId="77777777" w:rsidR="0064331C" w:rsidRPr="0064331C" w:rsidRDefault="0064331C" w:rsidP="005D385E">
            <w:pPr>
              <w:jc w:val="center"/>
              <w:rPr>
                <w:b/>
                <w:bCs/>
                <w:sz w:val="20"/>
                <w:szCs w:val="20"/>
                <w:lang w:eastAsia="fr-FR"/>
              </w:rPr>
            </w:pPr>
            <w:r w:rsidRPr="0064331C">
              <w:rPr>
                <w:b/>
                <w:bCs/>
                <w:sz w:val="20"/>
                <w:szCs w:val="20"/>
                <w:lang w:eastAsia="fr-FR"/>
              </w:rPr>
              <w:t>330</w:t>
            </w:r>
          </w:p>
          <w:p w14:paraId="32774B20" w14:textId="77777777" w:rsidR="0064331C" w:rsidRPr="0064331C" w:rsidRDefault="0064331C" w:rsidP="005D385E">
            <w:pPr>
              <w:jc w:val="center"/>
              <w:rPr>
                <w:b/>
                <w:bCs/>
                <w:sz w:val="20"/>
                <w:szCs w:val="20"/>
                <w:lang w:eastAsia="fr-FR"/>
              </w:rPr>
            </w:pPr>
            <w:r w:rsidRPr="0064331C">
              <w:rPr>
                <w:b/>
                <w:bCs/>
                <w:sz w:val="20"/>
                <w:szCs w:val="20"/>
                <w:lang w:eastAsia="fr-FR"/>
              </w:rPr>
              <w:t>(20)</w:t>
            </w:r>
          </w:p>
        </w:tc>
        <w:tc>
          <w:tcPr>
            <w:tcW w:w="807" w:type="dxa"/>
            <w:gridSpan w:val="2"/>
            <w:vMerge w:val="restart"/>
            <w:tcBorders>
              <w:top w:val="single" w:sz="4" w:space="0" w:color="auto"/>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589D4CE" w14:textId="77777777" w:rsidR="0064331C" w:rsidRPr="0064331C" w:rsidRDefault="0064331C" w:rsidP="005D385E">
            <w:pPr>
              <w:jc w:val="center"/>
              <w:rPr>
                <w:b/>
                <w:bCs/>
                <w:sz w:val="20"/>
                <w:szCs w:val="20"/>
                <w:lang w:eastAsia="fr-FR"/>
              </w:rPr>
            </w:pPr>
            <w:r w:rsidRPr="0064331C">
              <w:rPr>
                <w:b/>
                <w:bCs/>
                <w:sz w:val="20"/>
                <w:szCs w:val="20"/>
                <w:lang w:eastAsia="fr-FR"/>
              </w:rPr>
              <w:t>15</w:t>
            </w:r>
          </w:p>
        </w:tc>
        <w:tc>
          <w:tcPr>
            <w:tcW w:w="79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3B5B5EF" w14:textId="77777777" w:rsidR="0064331C" w:rsidRPr="0064331C" w:rsidRDefault="0064331C" w:rsidP="005D385E">
            <w:pPr>
              <w:jc w:val="center"/>
              <w:rPr>
                <w:b/>
                <w:bCs/>
                <w:sz w:val="20"/>
                <w:szCs w:val="20"/>
                <w:lang w:eastAsia="fr-FR"/>
              </w:rPr>
            </w:pPr>
          </w:p>
        </w:tc>
        <w:tc>
          <w:tcPr>
            <w:tcW w:w="916"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5D115628" w14:textId="77777777" w:rsidR="0064331C" w:rsidRPr="0064331C" w:rsidRDefault="0064331C" w:rsidP="005D385E">
            <w:pPr>
              <w:jc w:val="center"/>
              <w:rPr>
                <w:b/>
                <w:bCs/>
                <w:sz w:val="20"/>
                <w:szCs w:val="20"/>
                <w:lang w:eastAsia="fr-FR"/>
              </w:rPr>
            </w:pPr>
            <w:r w:rsidRPr="0064331C">
              <w:rPr>
                <w:b/>
                <w:bCs/>
                <w:sz w:val="20"/>
                <w:szCs w:val="20"/>
                <w:lang w:eastAsia="fr-FR"/>
              </w:rPr>
              <w:t>25</w:t>
            </w:r>
          </w:p>
        </w:tc>
      </w:tr>
      <w:bookmarkEnd w:id="22"/>
      <w:tr w:rsidR="0064331C" w:rsidRPr="0064331C" w14:paraId="49140AD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tcBorders>
              <w:left w:val="single" w:sz="4" w:space="0" w:color="auto"/>
              <w:right w:val="single" w:sz="4" w:space="0" w:color="auto"/>
            </w:tcBorders>
            <w:shd w:val="clear" w:color="auto" w:fill="auto"/>
            <w:vAlign w:val="center"/>
          </w:tcPr>
          <w:p w14:paraId="49E3E0BB" w14:textId="77777777" w:rsidR="0064331C" w:rsidRPr="0064331C" w:rsidRDefault="0064331C" w:rsidP="005D385E">
            <w:pPr>
              <w:rPr>
                <w:b/>
                <w:bCs/>
                <w:sz w:val="20"/>
                <w:szCs w:val="20"/>
                <w:lang w:eastAsia="fr-FR"/>
              </w:rPr>
            </w:pPr>
          </w:p>
        </w:tc>
        <w:tc>
          <w:tcPr>
            <w:tcW w:w="151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46313BE0" w14:textId="77777777" w:rsidR="0064331C" w:rsidRPr="0064331C" w:rsidRDefault="0064331C" w:rsidP="005D385E">
            <w:pPr>
              <w:jc w:val="center"/>
              <w:rPr>
                <w:b/>
                <w:bCs/>
                <w:sz w:val="20"/>
                <w:szCs w:val="20"/>
                <w:lang w:eastAsia="fr-FR"/>
              </w:rPr>
            </w:pPr>
            <w:r w:rsidRPr="0064331C">
              <w:rPr>
                <w:b/>
                <w:bCs/>
                <w:sz w:val="20"/>
                <w:szCs w:val="20"/>
                <w:lang w:eastAsia="fr-FR"/>
              </w:rPr>
              <w:t>100 ≤ P &lt; 300</w:t>
            </w:r>
          </w:p>
        </w:tc>
        <w:tc>
          <w:tcPr>
            <w:tcW w:w="803"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9D2E753" w14:textId="77777777" w:rsidR="0064331C" w:rsidRPr="0064331C" w:rsidRDefault="0064331C" w:rsidP="005D385E">
            <w:pPr>
              <w:jc w:val="center"/>
              <w:rPr>
                <w:b/>
                <w:bCs/>
                <w:sz w:val="20"/>
                <w:szCs w:val="20"/>
                <w:lang w:eastAsia="fr-FR"/>
              </w:rPr>
            </w:pPr>
          </w:p>
        </w:tc>
        <w:tc>
          <w:tcPr>
            <w:tcW w:w="794" w:type="dxa"/>
            <w:vMerge/>
            <w:tcBorders>
              <w:left w:val="single" w:sz="4" w:space="0" w:color="auto"/>
              <w:right w:val="single" w:sz="4" w:space="0" w:color="auto"/>
            </w:tcBorders>
            <w:shd w:val="clear" w:color="auto" w:fill="BFBFBF" w:themeFill="background1" w:themeFillShade="BF"/>
            <w:vAlign w:val="center"/>
          </w:tcPr>
          <w:p w14:paraId="5B014B05" w14:textId="77777777" w:rsidR="0064331C" w:rsidRPr="0064331C" w:rsidRDefault="0064331C" w:rsidP="005D385E">
            <w:pPr>
              <w:jc w:val="center"/>
              <w:rPr>
                <w:b/>
                <w:bCs/>
                <w:sz w:val="20"/>
                <w:szCs w:val="20"/>
                <w:lang w:eastAsia="fr-FR"/>
              </w:rPr>
            </w:pPr>
          </w:p>
        </w:tc>
        <w:tc>
          <w:tcPr>
            <w:tcW w:w="794" w:type="dxa"/>
            <w:vMerge/>
            <w:tcBorders>
              <w:left w:val="single" w:sz="4" w:space="0" w:color="auto"/>
              <w:right w:val="single" w:sz="4" w:space="0" w:color="auto"/>
            </w:tcBorders>
            <w:shd w:val="clear" w:color="auto" w:fill="E2EFD9" w:themeFill="accent6" w:themeFillTint="33"/>
            <w:vAlign w:val="center"/>
          </w:tcPr>
          <w:p w14:paraId="5BA7DFEC" w14:textId="77777777" w:rsidR="0064331C" w:rsidRPr="0064331C" w:rsidRDefault="0064331C" w:rsidP="005D385E">
            <w:pPr>
              <w:jc w:val="center"/>
              <w:rPr>
                <w:b/>
                <w:bCs/>
                <w:sz w:val="20"/>
                <w:szCs w:val="20"/>
                <w:lang w:eastAsia="fr-FR"/>
              </w:rPr>
            </w:pPr>
          </w:p>
        </w:tc>
        <w:tc>
          <w:tcPr>
            <w:tcW w:w="803" w:type="dxa"/>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2464A28" w14:textId="77777777" w:rsidR="0064331C" w:rsidRPr="0064331C" w:rsidRDefault="0064331C" w:rsidP="005D385E">
            <w:pPr>
              <w:jc w:val="center"/>
              <w:rPr>
                <w:b/>
                <w:bCs/>
                <w:sz w:val="20"/>
                <w:szCs w:val="20"/>
                <w:lang w:eastAsia="fr-FR"/>
              </w:rPr>
            </w:pPr>
          </w:p>
        </w:tc>
        <w:tc>
          <w:tcPr>
            <w:tcW w:w="834" w:type="dxa"/>
            <w:vMerge/>
            <w:tcBorders>
              <w:left w:val="single" w:sz="4" w:space="0" w:color="auto"/>
              <w:right w:val="single" w:sz="4" w:space="0" w:color="auto"/>
            </w:tcBorders>
            <w:shd w:val="clear" w:color="auto" w:fill="C9C9C9" w:themeFill="accent3" w:themeFillTint="99"/>
            <w:vAlign w:val="center"/>
          </w:tcPr>
          <w:p w14:paraId="6D97D02C" w14:textId="77777777" w:rsidR="0064331C" w:rsidRPr="0064331C" w:rsidRDefault="0064331C" w:rsidP="005D385E">
            <w:pPr>
              <w:jc w:val="center"/>
              <w:rPr>
                <w:b/>
                <w:bCs/>
                <w:sz w:val="20"/>
                <w:szCs w:val="20"/>
                <w:lang w:eastAsia="fr-FR"/>
              </w:rPr>
            </w:pPr>
          </w:p>
        </w:tc>
        <w:tc>
          <w:tcPr>
            <w:tcW w:w="923" w:type="dxa"/>
            <w:vMerge/>
            <w:tcBorders>
              <w:left w:val="single" w:sz="4" w:space="0" w:color="auto"/>
              <w:right w:val="single" w:sz="4" w:space="0" w:color="auto"/>
            </w:tcBorders>
            <w:shd w:val="clear" w:color="auto" w:fill="E2EFD9" w:themeFill="accent6" w:themeFillTint="33"/>
            <w:vAlign w:val="center"/>
          </w:tcPr>
          <w:p w14:paraId="741A1A8C" w14:textId="77777777" w:rsidR="0064331C" w:rsidRPr="0064331C" w:rsidRDefault="0064331C" w:rsidP="005D385E">
            <w:pPr>
              <w:jc w:val="center"/>
              <w:rPr>
                <w:b/>
                <w:bCs/>
                <w:sz w:val="20"/>
                <w:szCs w:val="20"/>
                <w:lang w:eastAsia="fr-FR"/>
              </w:rPr>
            </w:pPr>
          </w:p>
        </w:tc>
        <w:tc>
          <w:tcPr>
            <w:tcW w:w="807" w:type="dxa"/>
            <w:gridSpan w:val="2"/>
            <w:vMerge/>
            <w:tcBorders>
              <w:left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87962B9" w14:textId="77777777" w:rsidR="0064331C" w:rsidRPr="0064331C" w:rsidRDefault="0064331C" w:rsidP="005D385E">
            <w:pPr>
              <w:jc w:val="center"/>
              <w:rPr>
                <w:b/>
                <w:bCs/>
                <w:sz w:val="20"/>
                <w:szCs w:val="20"/>
                <w:lang w:eastAsia="fr-FR"/>
              </w:rPr>
            </w:pPr>
          </w:p>
        </w:tc>
        <w:tc>
          <w:tcPr>
            <w:tcW w:w="794" w:type="dxa"/>
            <w:vMerge/>
            <w:tcBorders>
              <w:left w:val="single" w:sz="4" w:space="0" w:color="auto"/>
              <w:right w:val="single" w:sz="4" w:space="0" w:color="auto"/>
            </w:tcBorders>
            <w:shd w:val="clear" w:color="auto" w:fill="BFBFBF" w:themeFill="background1" w:themeFillShade="BF"/>
            <w:vAlign w:val="center"/>
          </w:tcPr>
          <w:p w14:paraId="53CD2268" w14:textId="77777777" w:rsidR="0064331C" w:rsidRPr="0064331C" w:rsidRDefault="0064331C" w:rsidP="005D385E">
            <w:pPr>
              <w:jc w:val="center"/>
              <w:rPr>
                <w:b/>
                <w:bCs/>
                <w:sz w:val="20"/>
                <w:szCs w:val="20"/>
                <w:lang w:eastAsia="fr-FR"/>
              </w:rPr>
            </w:pPr>
          </w:p>
        </w:tc>
        <w:tc>
          <w:tcPr>
            <w:tcW w:w="916" w:type="dxa"/>
            <w:vMerge/>
            <w:tcBorders>
              <w:left w:val="single" w:sz="4" w:space="0" w:color="auto"/>
              <w:right w:val="single" w:sz="4" w:space="0" w:color="auto"/>
            </w:tcBorders>
            <w:shd w:val="clear" w:color="auto" w:fill="E2EFD9" w:themeFill="accent6" w:themeFillTint="33"/>
            <w:vAlign w:val="center"/>
          </w:tcPr>
          <w:p w14:paraId="7FADC964" w14:textId="77777777" w:rsidR="0064331C" w:rsidRPr="0064331C" w:rsidRDefault="0064331C" w:rsidP="005D385E">
            <w:pPr>
              <w:jc w:val="center"/>
              <w:rPr>
                <w:b/>
                <w:bCs/>
                <w:sz w:val="20"/>
                <w:szCs w:val="20"/>
                <w:lang w:eastAsia="fr-FR"/>
              </w:rPr>
            </w:pPr>
          </w:p>
        </w:tc>
      </w:tr>
      <w:tr w:rsidR="0064331C" w:rsidRPr="0064331C" w14:paraId="017251E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48" w:type="dxa"/>
            <w:gridSpan w:val="2"/>
            <w:vMerge/>
            <w:tcBorders>
              <w:left w:val="single" w:sz="4" w:space="0" w:color="auto"/>
              <w:bottom w:val="single" w:sz="4" w:space="0" w:color="auto"/>
              <w:right w:val="single" w:sz="4" w:space="0" w:color="auto"/>
            </w:tcBorders>
            <w:shd w:val="clear" w:color="auto" w:fill="auto"/>
            <w:vAlign w:val="center"/>
          </w:tcPr>
          <w:p w14:paraId="20F0001E" w14:textId="77777777" w:rsidR="0064331C" w:rsidRPr="0064331C" w:rsidRDefault="0064331C" w:rsidP="005D385E">
            <w:pPr>
              <w:rPr>
                <w:b/>
                <w:bCs/>
                <w:sz w:val="20"/>
                <w:szCs w:val="20"/>
                <w:lang w:eastAsia="fr-FR"/>
              </w:rPr>
            </w:pPr>
          </w:p>
        </w:tc>
        <w:tc>
          <w:tcPr>
            <w:tcW w:w="151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324152F8" w14:textId="77777777" w:rsidR="0064331C" w:rsidRPr="0064331C" w:rsidRDefault="0064331C" w:rsidP="005D385E">
            <w:pPr>
              <w:jc w:val="center"/>
              <w:rPr>
                <w:b/>
                <w:bCs/>
                <w:sz w:val="20"/>
                <w:szCs w:val="20"/>
                <w:lang w:eastAsia="fr-FR"/>
              </w:rPr>
            </w:pPr>
            <w:r w:rsidRPr="0064331C">
              <w:rPr>
                <w:b/>
                <w:bCs/>
                <w:sz w:val="20"/>
                <w:szCs w:val="20"/>
                <w:lang w:eastAsia="fr-FR"/>
              </w:rPr>
              <w:t>300 ≤ P</w:t>
            </w:r>
          </w:p>
        </w:tc>
        <w:tc>
          <w:tcPr>
            <w:tcW w:w="803" w:type="dxa"/>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F18C64B" w14:textId="77777777" w:rsidR="0064331C" w:rsidRPr="0064331C" w:rsidRDefault="0064331C" w:rsidP="005D385E">
            <w:pPr>
              <w:jc w:val="center"/>
              <w:rPr>
                <w:b/>
                <w:bCs/>
                <w:sz w:val="20"/>
                <w:szCs w:val="20"/>
                <w:lang w:eastAsia="fr-FR"/>
              </w:rPr>
            </w:pPr>
          </w:p>
        </w:tc>
        <w:tc>
          <w:tcPr>
            <w:tcW w:w="79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47BE8B0" w14:textId="77777777" w:rsidR="0064331C" w:rsidRPr="0064331C" w:rsidRDefault="0064331C" w:rsidP="005D385E">
            <w:pPr>
              <w:jc w:val="center"/>
              <w:rPr>
                <w:b/>
                <w:bCs/>
                <w:sz w:val="20"/>
                <w:szCs w:val="20"/>
                <w:lang w:eastAsia="fr-FR"/>
              </w:rPr>
            </w:pPr>
          </w:p>
        </w:tc>
        <w:tc>
          <w:tcPr>
            <w:tcW w:w="794" w:type="dxa"/>
            <w:vMerge/>
            <w:tcBorders>
              <w:left w:val="single" w:sz="4" w:space="0" w:color="auto"/>
              <w:bottom w:val="single" w:sz="4" w:space="0" w:color="auto"/>
              <w:right w:val="single" w:sz="4" w:space="0" w:color="auto"/>
            </w:tcBorders>
            <w:shd w:val="clear" w:color="auto" w:fill="E2EFD9" w:themeFill="accent6" w:themeFillTint="33"/>
            <w:vAlign w:val="center"/>
          </w:tcPr>
          <w:p w14:paraId="609A7FAD" w14:textId="77777777" w:rsidR="0064331C" w:rsidRPr="0064331C" w:rsidRDefault="0064331C" w:rsidP="005D385E">
            <w:pPr>
              <w:jc w:val="center"/>
              <w:rPr>
                <w:b/>
                <w:bCs/>
                <w:sz w:val="20"/>
                <w:szCs w:val="20"/>
                <w:lang w:eastAsia="fr-FR"/>
              </w:rPr>
            </w:pPr>
          </w:p>
        </w:tc>
        <w:tc>
          <w:tcPr>
            <w:tcW w:w="803" w:type="dxa"/>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2210497" w14:textId="77777777" w:rsidR="0064331C" w:rsidRPr="0064331C" w:rsidRDefault="0064331C" w:rsidP="005D385E">
            <w:pPr>
              <w:jc w:val="center"/>
              <w:rPr>
                <w:b/>
                <w:bCs/>
                <w:sz w:val="20"/>
                <w:szCs w:val="20"/>
                <w:lang w:eastAsia="fr-FR"/>
              </w:rPr>
            </w:pPr>
          </w:p>
        </w:tc>
        <w:tc>
          <w:tcPr>
            <w:tcW w:w="834" w:type="dxa"/>
            <w:vMerge/>
            <w:tcBorders>
              <w:left w:val="single" w:sz="4" w:space="0" w:color="auto"/>
              <w:bottom w:val="single" w:sz="4" w:space="0" w:color="auto"/>
              <w:right w:val="single" w:sz="4" w:space="0" w:color="auto"/>
            </w:tcBorders>
            <w:shd w:val="clear" w:color="auto" w:fill="C9C9C9" w:themeFill="accent3" w:themeFillTint="99"/>
            <w:vAlign w:val="center"/>
          </w:tcPr>
          <w:p w14:paraId="67B9C82E" w14:textId="77777777" w:rsidR="0064331C" w:rsidRPr="0064331C" w:rsidRDefault="0064331C" w:rsidP="005D385E">
            <w:pPr>
              <w:jc w:val="center"/>
              <w:rPr>
                <w:b/>
                <w:bCs/>
                <w:sz w:val="20"/>
                <w:szCs w:val="20"/>
                <w:lang w:eastAsia="fr-FR"/>
              </w:rPr>
            </w:pPr>
          </w:p>
        </w:tc>
        <w:tc>
          <w:tcPr>
            <w:tcW w:w="923" w:type="dxa"/>
            <w:vMerge/>
            <w:tcBorders>
              <w:left w:val="single" w:sz="4" w:space="0" w:color="auto"/>
              <w:bottom w:val="single" w:sz="4" w:space="0" w:color="auto"/>
              <w:right w:val="single" w:sz="4" w:space="0" w:color="auto"/>
            </w:tcBorders>
            <w:shd w:val="clear" w:color="auto" w:fill="E2EFD9" w:themeFill="accent6" w:themeFillTint="33"/>
            <w:vAlign w:val="center"/>
          </w:tcPr>
          <w:p w14:paraId="5D4176CF" w14:textId="77777777" w:rsidR="0064331C" w:rsidRPr="0064331C" w:rsidRDefault="0064331C" w:rsidP="005D385E">
            <w:pPr>
              <w:jc w:val="center"/>
              <w:rPr>
                <w:b/>
                <w:bCs/>
                <w:sz w:val="20"/>
                <w:szCs w:val="20"/>
                <w:lang w:eastAsia="fr-FR"/>
              </w:rPr>
            </w:pPr>
          </w:p>
        </w:tc>
        <w:tc>
          <w:tcPr>
            <w:tcW w:w="807" w:type="dxa"/>
            <w:gridSpan w:val="2"/>
            <w:vMerge/>
            <w:tcBorders>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377C4D5" w14:textId="77777777" w:rsidR="0064331C" w:rsidRPr="0064331C" w:rsidRDefault="0064331C" w:rsidP="005D385E">
            <w:pPr>
              <w:jc w:val="center"/>
              <w:rPr>
                <w:b/>
                <w:bCs/>
                <w:sz w:val="20"/>
                <w:szCs w:val="20"/>
                <w:lang w:eastAsia="fr-FR"/>
              </w:rPr>
            </w:pPr>
          </w:p>
        </w:tc>
        <w:tc>
          <w:tcPr>
            <w:tcW w:w="79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4C6ECDC" w14:textId="77777777" w:rsidR="0064331C" w:rsidRPr="0064331C" w:rsidRDefault="0064331C" w:rsidP="005D385E">
            <w:pPr>
              <w:jc w:val="center"/>
              <w:rPr>
                <w:b/>
                <w:bCs/>
                <w:sz w:val="20"/>
                <w:szCs w:val="20"/>
                <w:lang w:eastAsia="fr-FR"/>
              </w:rPr>
            </w:pPr>
          </w:p>
        </w:tc>
        <w:tc>
          <w:tcPr>
            <w:tcW w:w="916" w:type="dxa"/>
            <w:vMerge/>
            <w:tcBorders>
              <w:left w:val="single" w:sz="4" w:space="0" w:color="auto"/>
              <w:bottom w:val="single" w:sz="4" w:space="0" w:color="auto"/>
              <w:right w:val="single" w:sz="4" w:space="0" w:color="auto"/>
            </w:tcBorders>
            <w:shd w:val="clear" w:color="auto" w:fill="E2EFD9" w:themeFill="accent6" w:themeFillTint="33"/>
            <w:vAlign w:val="center"/>
          </w:tcPr>
          <w:p w14:paraId="2E79605B" w14:textId="77777777" w:rsidR="0064331C" w:rsidRPr="0064331C" w:rsidRDefault="0064331C" w:rsidP="005D385E">
            <w:pPr>
              <w:jc w:val="center"/>
              <w:rPr>
                <w:b/>
                <w:bCs/>
                <w:sz w:val="20"/>
                <w:szCs w:val="20"/>
                <w:lang w:eastAsia="fr-FR"/>
              </w:rPr>
            </w:pPr>
          </w:p>
        </w:tc>
      </w:tr>
      <w:tr w:rsidR="0064331C" w:rsidRPr="0064331C" w14:paraId="2530416B"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150" w:type="dxa"/>
              <w:left w:w="150" w:type="dxa"/>
              <w:bottom w:w="150" w:type="dxa"/>
              <w:right w:w="150" w:type="dxa"/>
            </w:tcMar>
            <w:vAlign w:val="center"/>
          </w:tcPr>
          <w:p w14:paraId="19BC283D" w14:textId="77777777" w:rsidR="0064331C" w:rsidRPr="0064331C" w:rsidRDefault="0064331C" w:rsidP="005D385E">
            <w:pPr>
              <w:jc w:val="center"/>
              <w:rPr>
                <w:sz w:val="20"/>
                <w:szCs w:val="20"/>
              </w:rPr>
            </w:pPr>
            <w:r w:rsidRPr="0064331C">
              <w:rPr>
                <w:b/>
                <w:bCs/>
                <w:sz w:val="20"/>
                <w:szCs w:val="20"/>
                <w:lang w:eastAsia="fr-FR"/>
              </w:rPr>
              <w:t>Renvoi</w:t>
            </w:r>
          </w:p>
        </w:tc>
        <w:tc>
          <w:tcPr>
            <w:tcW w:w="6844" w:type="dxa"/>
            <w:gridSpan w:val="9"/>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2607D88" w14:textId="77777777" w:rsidR="0064331C" w:rsidRPr="0064331C" w:rsidRDefault="0064331C" w:rsidP="005D385E">
            <w:pPr>
              <w:jc w:val="both"/>
              <w:rPr>
                <w:sz w:val="20"/>
                <w:szCs w:val="20"/>
              </w:rPr>
            </w:pPr>
            <w:r w:rsidRPr="0064331C">
              <w:rPr>
                <w:b/>
                <w:bCs/>
                <w:sz w:val="20"/>
                <w:szCs w:val="20"/>
                <w:lang w:eastAsia="fr-FR"/>
              </w:rPr>
              <w:t>Conditions</w:t>
            </w:r>
          </w:p>
        </w:tc>
        <w:tc>
          <w:tcPr>
            <w:tcW w:w="2377"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ABCB9CA" w14:textId="77777777" w:rsidR="0064331C" w:rsidRPr="0064331C" w:rsidRDefault="0064331C" w:rsidP="005D385E">
            <w:pPr>
              <w:jc w:val="center"/>
              <w:rPr>
                <w:sz w:val="20"/>
                <w:szCs w:val="20"/>
              </w:rPr>
            </w:pPr>
            <w:r w:rsidRPr="0064331C">
              <w:rPr>
                <w:b/>
                <w:bCs/>
                <w:sz w:val="20"/>
                <w:szCs w:val="20"/>
                <w:lang w:eastAsia="fr-FR"/>
              </w:rPr>
              <w:t>Valeur limite d'émission (mg/Nm</w:t>
            </w:r>
            <w:r w:rsidRPr="0064331C">
              <w:rPr>
                <w:b/>
                <w:bCs/>
                <w:sz w:val="20"/>
                <w:szCs w:val="20"/>
                <w:vertAlign w:val="superscript"/>
                <w:lang w:eastAsia="fr-FR"/>
              </w:rPr>
              <w:t>3</w:t>
            </w:r>
            <w:r w:rsidRPr="0064331C">
              <w:rPr>
                <w:b/>
                <w:bCs/>
                <w:sz w:val="20"/>
                <w:szCs w:val="20"/>
                <w:lang w:eastAsia="fr-FR"/>
              </w:rPr>
              <w:t>)</w:t>
            </w:r>
          </w:p>
        </w:tc>
      </w:tr>
      <w:tr w:rsidR="0064331C" w:rsidRPr="0064331C" w14:paraId="123E2B0C"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474A60D7" w14:textId="77777777" w:rsidR="0064331C" w:rsidRPr="0064331C" w:rsidRDefault="0064331C" w:rsidP="005D385E">
            <w:pPr>
              <w:jc w:val="center"/>
              <w:rPr>
                <w:sz w:val="20"/>
                <w:szCs w:val="20"/>
              </w:rPr>
            </w:pPr>
            <w:r w:rsidRPr="0064331C">
              <w:rPr>
                <w:sz w:val="20"/>
                <w:szCs w:val="20"/>
              </w:rPr>
              <w:t>(1)</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0B71F013" w14:textId="2F938340" w:rsidR="0064331C" w:rsidRPr="0064331C" w:rsidRDefault="0064331C" w:rsidP="005D385E">
            <w:pPr>
              <w:jc w:val="both"/>
              <w:rPr>
                <w:sz w:val="20"/>
                <w:szCs w:val="20"/>
              </w:rPr>
            </w:pPr>
            <w:r w:rsidRPr="0064331C">
              <w:rPr>
                <w:sz w:val="20"/>
                <w:szCs w:val="20"/>
              </w:rPr>
              <w:t>Dans le cas des installations brûlant des combustibles à teneur moyenne en soufre égale ou supérieure à 0,1</w:t>
            </w:r>
            <w:r w:rsidR="00C6184A">
              <w:rPr>
                <w:sz w:val="20"/>
                <w:szCs w:val="20"/>
              </w:rPr>
              <w:t xml:space="preserve"> </w:t>
            </w:r>
            <w:r w:rsidRPr="0064331C">
              <w:rPr>
                <w:sz w:val="20"/>
                <w:szCs w:val="20"/>
              </w:rPr>
              <w:t>% (poids sec)</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2D13C5D2"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A = 100</w:t>
            </w:r>
          </w:p>
          <w:p w14:paraId="6A98D69D"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200</w:t>
            </w:r>
          </w:p>
          <w:p w14:paraId="046E3043"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215</w:t>
            </w:r>
          </w:p>
        </w:tc>
      </w:tr>
      <w:tr w:rsidR="0064331C" w:rsidRPr="0064331C" w14:paraId="28D82FF5"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6062161" w14:textId="77777777" w:rsidR="0064331C" w:rsidRPr="0064331C" w:rsidRDefault="0064331C" w:rsidP="005D385E">
            <w:pPr>
              <w:jc w:val="center"/>
              <w:rPr>
                <w:sz w:val="20"/>
                <w:szCs w:val="20"/>
              </w:rPr>
            </w:pPr>
            <w:r w:rsidRPr="0064331C">
              <w:rPr>
                <w:sz w:val="20"/>
                <w:szCs w:val="20"/>
              </w:rPr>
              <w:t>(2)</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643B8504" w14:textId="77777777" w:rsidR="0064331C" w:rsidRPr="0064331C" w:rsidRDefault="0064331C" w:rsidP="005D385E">
            <w:pPr>
              <w:jc w:val="both"/>
              <w:rPr>
                <w:sz w:val="20"/>
                <w:szCs w:val="20"/>
              </w:rPr>
            </w:pPr>
            <w:r w:rsidRPr="0064331C">
              <w:rPr>
                <w:sz w:val="20"/>
                <w:szCs w:val="20"/>
              </w:rPr>
              <w:t>Dans le cas des chaudières à lit fluidisé brûlant de la tourbe</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5A6AD12E"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200</w:t>
            </w:r>
          </w:p>
          <w:p w14:paraId="4EE7ACAC"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215</w:t>
            </w:r>
          </w:p>
        </w:tc>
      </w:tr>
      <w:tr w:rsidR="0064331C" w:rsidRPr="0064331C" w14:paraId="124CE4D2"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8B48BF2" w14:textId="77777777" w:rsidR="0064331C" w:rsidRPr="0064331C" w:rsidRDefault="0064331C" w:rsidP="005D385E">
            <w:pPr>
              <w:jc w:val="center"/>
              <w:rPr>
                <w:sz w:val="20"/>
                <w:szCs w:val="20"/>
              </w:rPr>
            </w:pPr>
            <w:r w:rsidRPr="0064331C">
              <w:rPr>
                <w:sz w:val="20"/>
                <w:szCs w:val="20"/>
              </w:rPr>
              <w:t>(3)</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11697066" w14:textId="77777777" w:rsidR="0064331C" w:rsidRPr="0064331C" w:rsidRDefault="0064331C" w:rsidP="005D385E">
            <w:pPr>
              <w:jc w:val="both"/>
              <w:rPr>
                <w:sz w:val="20"/>
                <w:szCs w:val="20"/>
              </w:rPr>
            </w:pPr>
            <w:r w:rsidRPr="0064331C">
              <w:rPr>
                <w:sz w:val="20"/>
                <w:szCs w:val="20"/>
              </w:rPr>
              <w:t>Dans le cas des installations brûlant des combustibles à teneur moyenne en potassium égale ou supérieure à 2 000 mg/kg (poids sec) ou à teneur moyenne en sodium égale ou supérieure à 300 mg/kg</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1509B659"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A = 250</w:t>
            </w:r>
          </w:p>
          <w:p w14:paraId="30A53E23"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B4C6E7" w:themeFill="accent5" w:themeFillTint="66"/>
              </w:rPr>
              <w:t>M = 300</w:t>
            </w:r>
          </w:p>
          <w:p w14:paraId="4E4D9B55"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J = 310</w:t>
            </w:r>
          </w:p>
        </w:tc>
      </w:tr>
      <w:tr w:rsidR="0064331C" w:rsidRPr="0064331C" w14:paraId="2399F55D"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2AF31712" w14:textId="77777777" w:rsidR="0064331C" w:rsidRPr="0064331C" w:rsidRDefault="0064331C" w:rsidP="005D385E">
            <w:pPr>
              <w:jc w:val="center"/>
              <w:rPr>
                <w:sz w:val="20"/>
                <w:szCs w:val="20"/>
              </w:rPr>
            </w:pPr>
            <w:r w:rsidRPr="0064331C">
              <w:rPr>
                <w:sz w:val="20"/>
                <w:szCs w:val="20"/>
              </w:rPr>
              <w:t>(4)</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4AC8CBA7" w14:textId="6A6CC409" w:rsidR="0064331C" w:rsidRPr="0064331C" w:rsidRDefault="0064331C" w:rsidP="005D385E">
            <w:pPr>
              <w:jc w:val="both"/>
              <w:rPr>
                <w:sz w:val="20"/>
                <w:szCs w:val="20"/>
              </w:rPr>
            </w:pPr>
            <w:r w:rsidRPr="0064331C">
              <w:rPr>
                <w:sz w:val="20"/>
                <w:szCs w:val="20"/>
              </w:rPr>
              <w:t>Pour les installations exploitées entre 500 et 1500 heures par an et dont l’autorisation initiale a été accordée avant le 31 juillet 2002, ou qui a fait l’objet d’une demande d’autorisation avant cette date</w:t>
            </w:r>
            <w:r w:rsidR="00C6184A">
              <w:rPr>
                <w:sz w:val="20"/>
                <w:szCs w:val="20"/>
              </w:rPr>
              <w:t>,</w:t>
            </w:r>
            <w:r w:rsidRPr="0064331C">
              <w:rPr>
                <w:sz w:val="20"/>
                <w:szCs w:val="20"/>
              </w:rPr>
              <w:t xml:space="preserve"> pour autant que l’installation ait été mise en service au plus tard le 27 novembre 2003</w:t>
            </w:r>
            <w:r w:rsidR="00C6184A">
              <w:rPr>
                <w:sz w:val="20"/>
                <w:szCs w:val="20"/>
              </w:rPr>
              <w:t>,</w:t>
            </w:r>
          </w:p>
          <w:p w14:paraId="1439B5C4" w14:textId="77777777" w:rsidR="0064331C" w:rsidRPr="0064331C" w:rsidRDefault="0064331C" w:rsidP="005D385E">
            <w:pPr>
              <w:jc w:val="both"/>
              <w:rPr>
                <w:bCs/>
                <w:sz w:val="20"/>
                <w:szCs w:val="20"/>
                <w:lang w:eastAsia="fr-FR"/>
              </w:rPr>
            </w:pPr>
            <w:r w:rsidRPr="0064331C">
              <w:rPr>
                <w:sz w:val="20"/>
                <w:szCs w:val="20"/>
              </w:rPr>
              <w:t>Et qui n’a pas fait l’objet d’une modification ou d’une extension ayant conduit au dépôt d’une nouvelle demande d’autorisation en application de l’article R. 181-46 du code de l’environnement après le 31 juillet 2002</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04FEC97E"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M = 250</w:t>
            </w:r>
          </w:p>
          <w:p w14:paraId="3D849D79"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250</w:t>
            </w:r>
          </w:p>
        </w:tc>
      </w:tr>
      <w:tr w:rsidR="0064331C" w:rsidRPr="0064331C" w14:paraId="3AD65F23"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466B26C" w14:textId="77777777" w:rsidR="0064331C" w:rsidRPr="0064331C" w:rsidRDefault="0064331C" w:rsidP="005D385E">
            <w:pPr>
              <w:jc w:val="center"/>
              <w:rPr>
                <w:sz w:val="20"/>
                <w:szCs w:val="20"/>
              </w:rPr>
            </w:pPr>
            <w:r w:rsidRPr="0064331C">
              <w:rPr>
                <w:sz w:val="20"/>
                <w:szCs w:val="20"/>
              </w:rPr>
              <w:t>(5)</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52D7B791" w14:textId="77777777" w:rsidR="0064331C" w:rsidRPr="0064331C" w:rsidRDefault="0064331C" w:rsidP="005D385E">
            <w:pPr>
              <w:jc w:val="both"/>
              <w:rPr>
                <w:sz w:val="20"/>
                <w:szCs w:val="20"/>
              </w:rPr>
            </w:pPr>
            <w:r w:rsidRPr="0064331C">
              <w:rPr>
                <w:sz w:val="20"/>
                <w:szCs w:val="20"/>
              </w:rPr>
              <w:t xml:space="preserve">Pour les installations dont l’autorisation initiale a été accordée </w:t>
            </w:r>
            <w:r w:rsidRPr="0064331C">
              <w:rPr>
                <w:sz w:val="20"/>
                <w:szCs w:val="20"/>
                <w:u w:val="single"/>
              </w:rPr>
              <w:t>avant</w:t>
            </w:r>
            <w:r w:rsidRPr="0064331C">
              <w:rPr>
                <w:sz w:val="20"/>
                <w:szCs w:val="20"/>
              </w:rPr>
              <w:t xml:space="preserve"> le 27 novembre 2002 ou qui a fait l’objet d’une demande d’autorisation avant cette date, pour autant que l’installation ait été mise en service avant le 27 novembre 2003,</w:t>
            </w:r>
          </w:p>
          <w:p w14:paraId="38AA29D1" w14:textId="77777777" w:rsidR="0064331C" w:rsidRPr="0064331C" w:rsidRDefault="0064331C" w:rsidP="005D385E">
            <w:pPr>
              <w:jc w:val="both"/>
              <w:rPr>
                <w:bCs/>
                <w:sz w:val="20"/>
                <w:szCs w:val="20"/>
                <w:lang w:eastAsia="fr-FR"/>
              </w:rPr>
            </w:pPr>
            <w:r w:rsidRPr="0064331C">
              <w:rPr>
                <w:sz w:val="20"/>
                <w:szCs w:val="20"/>
              </w:rPr>
              <w:t>Et qui ne fonctionne pas plus de 1500 h d’exploitation par an en moyenne mobile calculée sur une période de cinq ans</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7312FF3B"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M = 220</w:t>
            </w:r>
          </w:p>
        </w:tc>
      </w:tr>
      <w:tr w:rsidR="0064331C" w:rsidRPr="0064331C" w14:paraId="6211426C"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4D0CA059" w14:textId="77777777" w:rsidR="0064331C" w:rsidRPr="0064331C" w:rsidRDefault="0064331C" w:rsidP="005D385E">
            <w:pPr>
              <w:jc w:val="center"/>
              <w:rPr>
                <w:sz w:val="20"/>
                <w:szCs w:val="20"/>
              </w:rPr>
            </w:pPr>
            <w:r w:rsidRPr="0064331C">
              <w:rPr>
                <w:sz w:val="20"/>
                <w:szCs w:val="20"/>
              </w:rPr>
              <w:t>(6)</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78705FFA" w14:textId="77777777" w:rsidR="0064331C" w:rsidRPr="0064331C" w:rsidRDefault="0064331C" w:rsidP="005D385E">
            <w:pPr>
              <w:jc w:val="both"/>
              <w:rPr>
                <w:sz w:val="20"/>
                <w:szCs w:val="20"/>
              </w:rPr>
            </w:pPr>
            <w:r w:rsidRPr="0064331C">
              <w:rPr>
                <w:sz w:val="20"/>
                <w:szCs w:val="20"/>
              </w:rPr>
              <w:t>Pour les installations exploitées entre 500 et 1500 h par an</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0A1EFE5F"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220</w:t>
            </w:r>
          </w:p>
        </w:tc>
      </w:tr>
      <w:tr w:rsidR="0064331C" w:rsidRPr="0064331C" w14:paraId="2C361EB3"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4B2E271D" w14:textId="77777777" w:rsidR="0064331C" w:rsidRPr="0064331C" w:rsidRDefault="0064331C" w:rsidP="005D385E">
            <w:pPr>
              <w:jc w:val="center"/>
              <w:rPr>
                <w:sz w:val="20"/>
                <w:szCs w:val="20"/>
              </w:rPr>
            </w:pPr>
            <w:r w:rsidRPr="0064331C">
              <w:rPr>
                <w:sz w:val="20"/>
                <w:szCs w:val="20"/>
              </w:rPr>
              <w:t>(7)</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449F635E" w14:textId="1290DE51" w:rsidR="0064331C" w:rsidRPr="0064331C" w:rsidRDefault="0064331C" w:rsidP="005D385E">
            <w:pPr>
              <w:jc w:val="both"/>
              <w:rPr>
                <w:sz w:val="20"/>
                <w:szCs w:val="20"/>
              </w:rPr>
            </w:pPr>
            <w:r w:rsidRPr="0064331C">
              <w:rPr>
                <w:sz w:val="20"/>
                <w:szCs w:val="20"/>
              </w:rPr>
              <w:t>Dans le cas des chaudières à pulvérisation mises en service au plus tard le 1</w:t>
            </w:r>
            <w:r w:rsidRPr="00864961">
              <w:rPr>
                <w:sz w:val="20"/>
                <w:szCs w:val="20"/>
                <w:vertAlign w:val="superscript"/>
              </w:rPr>
              <w:t>er</w:t>
            </w:r>
            <w:r w:rsidRPr="0064331C">
              <w:rPr>
                <w:sz w:val="20"/>
                <w:szCs w:val="20"/>
              </w:rPr>
              <w:t xml:space="preserve"> juillet 1987 qui sont exploitées entre 500 et 1 500 h/an et auxquelles la SCR ou la SNCR ne sont pas applicables</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31B3F334"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M = 340</w:t>
            </w:r>
          </w:p>
          <w:p w14:paraId="5F85D480"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J = 340</w:t>
            </w:r>
          </w:p>
        </w:tc>
      </w:tr>
      <w:tr w:rsidR="0064331C" w:rsidRPr="0064331C" w14:paraId="099A22CF"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3447798" w14:textId="77777777" w:rsidR="0064331C" w:rsidRPr="0064331C" w:rsidRDefault="0064331C" w:rsidP="005D385E">
            <w:pPr>
              <w:jc w:val="center"/>
              <w:rPr>
                <w:sz w:val="20"/>
                <w:szCs w:val="20"/>
              </w:rPr>
            </w:pPr>
            <w:r w:rsidRPr="0064331C">
              <w:rPr>
                <w:sz w:val="20"/>
                <w:szCs w:val="20"/>
              </w:rPr>
              <w:t>(8)</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64ACCF65" w14:textId="77777777" w:rsidR="0064331C" w:rsidRPr="0064331C" w:rsidRDefault="0064331C" w:rsidP="005D385E">
            <w:pPr>
              <w:jc w:val="both"/>
              <w:rPr>
                <w:sz w:val="20"/>
                <w:szCs w:val="20"/>
              </w:rPr>
            </w:pPr>
            <w:r w:rsidRPr="0064331C">
              <w:rPr>
                <w:sz w:val="20"/>
                <w:szCs w:val="20"/>
              </w:rPr>
              <w:t xml:space="preserve">Pour les installations dont l’autorisation initiale a été accordée </w:t>
            </w:r>
            <w:r w:rsidRPr="0064331C">
              <w:rPr>
                <w:sz w:val="20"/>
                <w:szCs w:val="20"/>
                <w:u w:val="single"/>
              </w:rPr>
              <w:t>avant</w:t>
            </w:r>
            <w:r w:rsidRPr="0064331C">
              <w:rPr>
                <w:sz w:val="20"/>
                <w:szCs w:val="20"/>
              </w:rPr>
              <w:t xml:space="preserve"> le 27 novembre 2002 ou qui a fait l’objet d’une demande d’autorisation avant cette date, pour autant que l’installation ait été mise en service avant le 27 novembre 2003,</w:t>
            </w:r>
          </w:p>
          <w:p w14:paraId="549D32FA" w14:textId="476EAC7F" w:rsidR="0064331C" w:rsidRPr="0064331C" w:rsidRDefault="0064331C" w:rsidP="005D385E">
            <w:pPr>
              <w:jc w:val="both"/>
              <w:rPr>
                <w:sz w:val="20"/>
                <w:szCs w:val="20"/>
              </w:rPr>
            </w:pPr>
            <w:r w:rsidRPr="0064331C">
              <w:rPr>
                <w:sz w:val="20"/>
                <w:szCs w:val="20"/>
              </w:rPr>
              <w:t>Et dont la puissance thermique nominale totale ne dépasse pas 500 MW</w:t>
            </w:r>
            <w:r w:rsidR="001070EB">
              <w:rPr>
                <w:sz w:val="20"/>
                <w:szCs w:val="20"/>
              </w:rPr>
              <w:t>,</w:t>
            </w:r>
          </w:p>
          <w:p w14:paraId="2DB98021" w14:textId="77777777" w:rsidR="0064331C" w:rsidRPr="0064331C" w:rsidRDefault="0064331C" w:rsidP="005D385E">
            <w:pPr>
              <w:jc w:val="both"/>
              <w:rPr>
                <w:sz w:val="20"/>
                <w:szCs w:val="20"/>
              </w:rPr>
            </w:pPr>
            <w:r w:rsidRPr="0064331C">
              <w:rPr>
                <w:sz w:val="20"/>
                <w:szCs w:val="20"/>
              </w:rPr>
              <w:t>Et qui ne fonctionnent pas plus de 1500 h d’exploitation par an en moyenne mobile calculée sur une période de cinq ans</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40754DA0" w14:textId="77777777" w:rsidR="0064331C" w:rsidRPr="0064331C" w:rsidRDefault="0064331C" w:rsidP="005D385E">
            <w:pPr>
              <w:jc w:val="center"/>
              <w:rPr>
                <w:sz w:val="20"/>
                <w:szCs w:val="20"/>
              </w:rPr>
            </w:pPr>
            <w:r w:rsidRPr="0064331C">
              <w:rPr>
                <w:sz w:val="20"/>
                <w:szCs w:val="20"/>
              </w:rPr>
              <w:t xml:space="preserve">50 ≤ P &lt; 100 : </w:t>
            </w:r>
          </w:p>
          <w:p w14:paraId="6F2FD295"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M = 330</w:t>
            </w:r>
          </w:p>
          <w:p w14:paraId="18AE87B5" w14:textId="77777777" w:rsidR="0064331C" w:rsidRPr="0064331C" w:rsidRDefault="0064331C" w:rsidP="005D385E">
            <w:pPr>
              <w:jc w:val="center"/>
              <w:rPr>
                <w:sz w:val="20"/>
                <w:szCs w:val="20"/>
              </w:rPr>
            </w:pPr>
          </w:p>
          <w:p w14:paraId="7A98DBAE" w14:textId="77777777" w:rsidR="0064331C" w:rsidRPr="0064331C" w:rsidRDefault="0064331C" w:rsidP="005D385E">
            <w:pPr>
              <w:jc w:val="center"/>
              <w:rPr>
                <w:sz w:val="20"/>
                <w:szCs w:val="20"/>
              </w:rPr>
            </w:pPr>
            <w:r w:rsidRPr="0064331C">
              <w:rPr>
                <w:sz w:val="20"/>
                <w:szCs w:val="20"/>
              </w:rPr>
              <w:t xml:space="preserve">100 ≤ P &lt; 300 : </w:t>
            </w:r>
          </w:p>
          <w:p w14:paraId="55309380"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M = 210</w:t>
            </w:r>
          </w:p>
          <w:p w14:paraId="439787EA" w14:textId="77777777" w:rsidR="0064331C" w:rsidRPr="0064331C" w:rsidRDefault="0064331C" w:rsidP="005D385E">
            <w:pPr>
              <w:jc w:val="center"/>
              <w:rPr>
                <w:sz w:val="20"/>
                <w:szCs w:val="20"/>
              </w:rPr>
            </w:pPr>
          </w:p>
          <w:p w14:paraId="274603DC" w14:textId="77777777" w:rsidR="0064331C" w:rsidRPr="0064331C" w:rsidRDefault="0064331C" w:rsidP="005D385E">
            <w:pPr>
              <w:jc w:val="center"/>
              <w:rPr>
                <w:sz w:val="20"/>
                <w:szCs w:val="20"/>
              </w:rPr>
            </w:pPr>
            <w:r w:rsidRPr="0064331C">
              <w:rPr>
                <w:sz w:val="20"/>
                <w:szCs w:val="20"/>
              </w:rPr>
              <w:t xml:space="preserve">300 ≤ P &lt; 500 : </w:t>
            </w:r>
          </w:p>
          <w:p w14:paraId="440EDF52"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M = 220</w:t>
            </w:r>
          </w:p>
        </w:tc>
      </w:tr>
      <w:tr w:rsidR="0064331C" w:rsidRPr="0064331C" w14:paraId="6753770F"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93626C1" w14:textId="77777777" w:rsidR="0064331C" w:rsidRPr="0064331C" w:rsidRDefault="0064331C" w:rsidP="005D385E">
            <w:pPr>
              <w:jc w:val="center"/>
              <w:rPr>
                <w:sz w:val="20"/>
                <w:szCs w:val="20"/>
              </w:rPr>
            </w:pPr>
            <w:r w:rsidRPr="0064331C">
              <w:rPr>
                <w:sz w:val="20"/>
                <w:szCs w:val="20"/>
              </w:rPr>
              <w:t>(9)</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2D79A5DD" w14:textId="77777777" w:rsidR="0064331C" w:rsidRPr="0064331C" w:rsidRDefault="0064331C" w:rsidP="005D385E">
            <w:pPr>
              <w:jc w:val="both"/>
              <w:rPr>
                <w:sz w:val="20"/>
                <w:szCs w:val="20"/>
              </w:rPr>
            </w:pPr>
            <w:r w:rsidRPr="0064331C">
              <w:rPr>
                <w:sz w:val="20"/>
                <w:szCs w:val="20"/>
              </w:rPr>
              <w:t>Pour les installations exploitées entre 500 et 1500 h par an</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2EDCCA8E"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J = 220</w:t>
            </w:r>
          </w:p>
        </w:tc>
      </w:tr>
      <w:tr w:rsidR="0064331C" w:rsidRPr="0064331C" w14:paraId="2BD8A5CE"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80B739D" w14:textId="77777777" w:rsidR="0064331C" w:rsidRPr="0064331C" w:rsidRDefault="0064331C" w:rsidP="005D385E">
            <w:pPr>
              <w:jc w:val="center"/>
              <w:rPr>
                <w:sz w:val="20"/>
                <w:szCs w:val="20"/>
              </w:rPr>
            </w:pPr>
            <w:r w:rsidRPr="0064331C">
              <w:rPr>
                <w:sz w:val="20"/>
                <w:szCs w:val="20"/>
              </w:rPr>
              <w:t>(10)</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3A5EF67F" w14:textId="77777777" w:rsidR="0064331C" w:rsidRPr="0064331C" w:rsidRDefault="0064331C" w:rsidP="005D385E">
            <w:pPr>
              <w:jc w:val="both"/>
              <w:rPr>
                <w:sz w:val="20"/>
                <w:szCs w:val="20"/>
              </w:rPr>
            </w:pPr>
            <w:r w:rsidRPr="0064331C">
              <w:rPr>
                <w:sz w:val="20"/>
                <w:szCs w:val="20"/>
              </w:rPr>
              <w:t xml:space="preserve">Pour les installations dont la puissance thermique &gt; 1000 </w:t>
            </w:r>
            <w:proofErr w:type="spellStart"/>
            <w:r w:rsidRPr="0064331C">
              <w:rPr>
                <w:sz w:val="20"/>
                <w:szCs w:val="20"/>
              </w:rPr>
              <w:t>MWth</w:t>
            </w:r>
            <w:proofErr w:type="spellEnd"/>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68234345" w14:textId="77777777" w:rsidR="0064331C" w:rsidRPr="0064331C" w:rsidRDefault="0064331C" w:rsidP="005D385E">
            <w:pPr>
              <w:jc w:val="center"/>
              <w:rPr>
                <w:sz w:val="20"/>
                <w:szCs w:val="20"/>
              </w:rPr>
            </w:pPr>
            <w:r w:rsidRPr="0064331C">
              <w:rPr>
                <w:sz w:val="20"/>
                <w:szCs w:val="20"/>
              </w:rPr>
              <w:t xml:space="preserve">Poussières : </w:t>
            </w:r>
            <w:r w:rsidRPr="0064331C">
              <w:rPr>
                <w:sz w:val="20"/>
                <w:szCs w:val="20"/>
                <w:shd w:val="clear" w:color="auto" w:fill="E2EFD9" w:themeFill="accent6" w:themeFillTint="33"/>
              </w:rPr>
              <w:t>A = 8</w:t>
            </w:r>
          </w:p>
        </w:tc>
      </w:tr>
      <w:tr w:rsidR="0064331C" w:rsidRPr="0064331C" w14:paraId="17B54E54"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15D8D5A" w14:textId="77777777" w:rsidR="0064331C" w:rsidRPr="0064331C" w:rsidRDefault="0064331C" w:rsidP="005D385E">
            <w:pPr>
              <w:jc w:val="center"/>
              <w:rPr>
                <w:sz w:val="20"/>
                <w:szCs w:val="20"/>
              </w:rPr>
            </w:pPr>
            <w:r w:rsidRPr="0064331C">
              <w:rPr>
                <w:sz w:val="20"/>
                <w:szCs w:val="20"/>
              </w:rPr>
              <w:t>(11)</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6D049467" w14:textId="77777777" w:rsidR="0064331C" w:rsidRPr="0064331C" w:rsidRDefault="0064331C" w:rsidP="005D385E">
            <w:pPr>
              <w:jc w:val="both"/>
              <w:rPr>
                <w:sz w:val="20"/>
                <w:szCs w:val="20"/>
              </w:rPr>
            </w:pPr>
            <w:r w:rsidRPr="0064331C">
              <w:rPr>
                <w:sz w:val="20"/>
                <w:szCs w:val="20"/>
              </w:rPr>
              <w:t>Pour les installations de puissance thermique nominale totale supérieure ou égale à 1000 MW</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63BE2409" w14:textId="77777777" w:rsidR="0064331C" w:rsidRPr="0064331C" w:rsidRDefault="0064331C" w:rsidP="005D385E">
            <w:pPr>
              <w:jc w:val="center"/>
              <w:rPr>
                <w:sz w:val="20"/>
                <w:szCs w:val="20"/>
              </w:rPr>
            </w:pPr>
            <w:r w:rsidRPr="0064331C">
              <w:rPr>
                <w:sz w:val="20"/>
                <w:szCs w:val="20"/>
              </w:rPr>
              <w:t xml:space="preserve">Poussières : </w:t>
            </w:r>
            <w:r w:rsidRPr="0064331C">
              <w:rPr>
                <w:sz w:val="20"/>
                <w:szCs w:val="20"/>
                <w:shd w:val="clear" w:color="auto" w:fill="E2EFD9" w:themeFill="accent6" w:themeFillTint="33"/>
              </w:rPr>
              <w:t>M = 14</w:t>
            </w:r>
          </w:p>
          <w:p w14:paraId="10794769" w14:textId="77777777" w:rsidR="0064331C" w:rsidRPr="0064331C" w:rsidRDefault="0064331C" w:rsidP="005D385E">
            <w:pPr>
              <w:jc w:val="center"/>
              <w:rPr>
                <w:sz w:val="20"/>
                <w:szCs w:val="20"/>
              </w:rPr>
            </w:pPr>
            <w:r w:rsidRPr="0064331C">
              <w:rPr>
                <w:sz w:val="20"/>
                <w:szCs w:val="20"/>
              </w:rPr>
              <w:t xml:space="preserve">Poussières : </w:t>
            </w:r>
            <w:r w:rsidRPr="0064331C">
              <w:rPr>
                <w:sz w:val="20"/>
                <w:szCs w:val="20"/>
                <w:shd w:val="clear" w:color="auto" w:fill="E2EFD9" w:themeFill="accent6" w:themeFillTint="33"/>
              </w:rPr>
              <w:t>J = 14</w:t>
            </w:r>
          </w:p>
        </w:tc>
      </w:tr>
      <w:tr w:rsidR="0064331C" w:rsidRPr="0064331C" w14:paraId="407C658D"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218AB56C" w14:textId="77777777" w:rsidR="0064331C" w:rsidRPr="0064331C" w:rsidRDefault="0064331C" w:rsidP="005D385E">
            <w:pPr>
              <w:jc w:val="center"/>
              <w:rPr>
                <w:sz w:val="20"/>
                <w:szCs w:val="20"/>
              </w:rPr>
            </w:pPr>
            <w:r w:rsidRPr="0064331C">
              <w:rPr>
                <w:sz w:val="20"/>
                <w:szCs w:val="20"/>
              </w:rPr>
              <w:t>(12)</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615EBFF5" w14:textId="77777777" w:rsidR="0064331C" w:rsidRPr="0064331C" w:rsidRDefault="0064331C" w:rsidP="005D385E">
            <w:pPr>
              <w:jc w:val="both"/>
              <w:rPr>
                <w:sz w:val="20"/>
                <w:szCs w:val="20"/>
              </w:rPr>
            </w:pPr>
            <w:r w:rsidRPr="0064331C">
              <w:rPr>
                <w:sz w:val="20"/>
                <w:szCs w:val="20"/>
              </w:rPr>
              <w:t>Dans le cas des chaudières industrielles et des installations de chauffage urbain mises en service au plus tard le 27 novembre 2003 qui sont exploitées moins de 1 500 h/an et auxquelles la FGD par voie humide n'est pas applicable (*)</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0AF6FE09"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J = 187</w:t>
            </w:r>
          </w:p>
        </w:tc>
      </w:tr>
      <w:tr w:rsidR="0064331C" w:rsidRPr="0064331C" w14:paraId="164E6D59"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F50BA98" w14:textId="77777777" w:rsidR="0064331C" w:rsidRPr="0064331C" w:rsidRDefault="0064331C" w:rsidP="005D385E">
            <w:pPr>
              <w:jc w:val="center"/>
              <w:rPr>
                <w:sz w:val="20"/>
                <w:szCs w:val="20"/>
              </w:rPr>
            </w:pPr>
            <w:r w:rsidRPr="0064331C">
              <w:rPr>
                <w:sz w:val="20"/>
                <w:szCs w:val="20"/>
              </w:rPr>
              <w:t>(13)</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tcPr>
          <w:p w14:paraId="57135A65" w14:textId="77777777" w:rsidR="0064331C" w:rsidRPr="0064331C" w:rsidRDefault="0064331C" w:rsidP="005D385E">
            <w:pPr>
              <w:jc w:val="both"/>
              <w:rPr>
                <w:sz w:val="20"/>
                <w:szCs w:val="20"/>
              </w:rPr>
            </w:pPr>
            <w:r w:rsidRPr="0064331C">
              <w:rPr>
                <w:sz w:val="20"/>
                <w:szCs w:val="20"/>
              </w:rPr>
              <w:t>Dans le cas des chaudières industrielles et des installations de chauffage urbain mises en service au plus tard le 27 novembre 2003 qui sont exploitées moins de 1 500 h/an et auxquelles la SCR ou la SNCR ne sont pas applicables (**)</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1C7FB43A"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B4C6E7" w:themeFill="accent5" w:themeFillTint="66"/>
              </w:rPr>
              <w:t>M = 300</w:t>
            </w:r>
          </w:p>
          <w:p w14:paraId="6A31DF3F"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B4C6E7" w:themeFill="accent5" w:themeFillTint="66"/>
              </w:rPr>
              <w:t>J = 330</w:t>
            </w:r>
          </w:p>
        </w:tc>
      </w:tr>
      <w:tr w:rsidR="0064331C" w:rsidRPr="0064331C" w14:paraId="6BECCCB7"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9C5B3AA" w14:textId="77777777" w:rsidR="0064331C" w:rsidRPr="0064331C" w:rsidRDefault="0064331C" w:rsidP="005D385E">
            <w:pPr>
              <w:jc w:val="center"/>
              <w:rPr>
                <w:sz w:val="20"/>
                <w:szCs w:val="20"/>
                <w:highlight w:val="yellow"/>
              </w:rPr>
            </w:pPr>
            <w:r w:rsidRPr="0064331C">
              <w:rPr>
                <w:sz w:val="20"/>
                <w:szCs w:val="20"/>
              </w:rPr>
              <w:t>(14)</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tcPr>
          <w:p w14:paraId="108A73C7" w14:textId="77777777" w:rsidR="0064331C" w:rsidRPr="0064331C" w:rsidRDefault="0064331C" w:rsidP="005D385E">
            <w:pPr>
              <w:jc w:val="both"/>
              <w:rPr>
                <w:sz w:val="20"/>
                <w:szCs w:val="20"/>
              </w:rPr>
            </w:pPr>
            <w:r w:rsidRPr="0064331C">
              <w:rPr>
                <w:sz w:val="20"/>
                <w:szCs w:val="20"/>
              </w:rPr>
              <w:t>Dans le cas des chaudières industrielles et des installations de chauffage urbain mises en service au plus tard le 27 novembre 2003 qui sont exploitées moins de 1 500 h/an</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2A8845CD"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400</w:t>
            </w:r>
          </w:p>
          <w:p w14:paraId="48EA9F44"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400</w:t>
            </w:r>
          </w:p>
        </w:tc>
      </w:tr>
      <w:tr w:rsidR="0064331C" w:rsidRPr="0064331C" w14:paraId="03302CD1"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6768096" w14:textId="77777777" w:rsidR="0064331C" w:rsidRPr="0064331C" w:rsidRDefault="0064331C" w:rsidP="005D385E">
            <w:pPr>
              <w:jc w:val="center"/>
              <w:rPr>
                <w:sz w:val="20"/>
                <w:szCs w:val="20"/>
                <w:highlight w:val="yellow"/>
              </w:rPr>
            </w:pPr>
            <w:r w:rsidRPr="0064331C">
              <w:rPr>
                <w:sz w:val="20"/>
                <w:szCs w:val="20"/>
              </w:rPr>
              <w:t>(15)</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tcPr>
          <w:p w14:paraId="3B30014A" w14:textId="77777777" w:rsidR="0064331C" w:rsidRPr="0064331C" w:rsidRDefault="0064331C" w:rsidP="005D385E">
            <w:pPr>
              <w:jc w:val="both"/>
              <w:rPr>
                <w:sz w:val="20"/>
                <w:szCs w:val="20"/>
              </w:rPr>
            </w:pPr>
            <w:r w:rsidRPr="0064331C">
              <w:rPr>
                <w:sz w:val="20"/>
                <w:szCs w:val="20"/>
              </w:rPr>
              <w:t>Dans le cas des chaudières industrielles et des installations de chauffage urbain mises en service au plus tard le 27 novembre 2003 qui sont exploitées moins de 1 500 h/an et auxquelles la FGD par voie humide n'est pas applicable (*)</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3BAE4508"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B4C6E7" w:themeFill="accent5" w:themeFillTint="66"/>
              </w:rPr>
              <w:t>M = 200</w:t>
            </w:r>
          </w:p>
          <w:p w14:paraId="279B12E2" w14:textId="77777777" w:rsidR="0064331C" w:rsidRPr="0064331C" w:rsidRDefault="0064331C" w:rsidP="005D385E">
            <w:pPr>
              <w:jc w:val="center"/>
              <w:rPr>
                <w:sz w:val="20"/>
                <w:szCs w:val="20"/>
              </w:rPr>
            </w:pPr>
            <w:proofErr w:type="spellStart"/>
            <w:r w:rsidRPr="0064331C">
              <w:rPr>
                <w:sz w:val="20"/>
                <w:szCs w:val="20"/>
              </w:rPr>
              <w:t>SOx</w:t>
            </w:r>
            <w:proofErr w:type="spellEnd"/>
            <w:r w:rsidRPr="0064331C">
              <w:rPr>
                <w:sz w:val="20"/>
                <w:szCs w:val="20"/>
              </w:rPr>
              <w:t xml:space="preserve"> : </w:t>
            </w:r>
            <w:r w:rsidRPr="0064331C">
              <w:rPr>
                <w:sz w:val="20"/>
                <w:szCs w:val="20"/>
                <w:shd w:val="clear" w:color="auto" w:fill="E2EFD9" w:themeFill="accent6" w:themeFillTint="33"/>
              </w:rPr>
              <w:t>J = 200</w:t>
            </w:r>
          </w:p>
        </w:tc>
      </w:tr>
      <w:tr w:rsidR="0064331C" w:rsidRPr="0064331C" w14:paraId="420F45EF"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A33F0B1" w14:textId="77777777" w:rsidR="0064331C" w:rsidRPr="0064331C" w:rsidRDefault="0064331C" w:rsidP="005D385E">
            <w:pPr>
              <w:jc w:val="center"/>
              <w:rPr>
                <w:sz w:val="20"/>
                <w:szCs w:val="20"/>
                <w:highlight w:val="yellow"/>
              </w:rPr>
            </w:pPr>
            <w:r w:rsidRPr="0064331C">
              <w:rPr>
                <w:sz w:val="20"/>
                <w:szCs w:val="20"/>
              </w:rPr>
              <w:t>(16)</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tcPr>
          <w:p w14:paraId="65A59AEE" w14:textId="77777777" w:rsidR="0064331C" w:rsidRPr="0064331C" w:rsidRDefault="0064331C" w:rsidP="005D385E">
            <w:pPr>
              <w:jc w:val="both"/>
              <w:rPr>
                <w:sz w:val="20"/>
                <w:szCs w:val="20"/>
              </w:rPr>
            </w:pPr>
            <w:r w:rsidRPr="0064331C">
              <w:rPr>
                <w:sz w:val="20"/>
                <w:szCs w:val="20"/>
                <w:shd w:val="clear" w:color="auto" w:fill="E2EFD9" w:themeFill="accent6" w:themeFillTint="33"/>
              </w:rPr>
              <w:t>Dans le cas des chaudières industrielles et des installations de chauffage urbain mises en service au plus tard le 27 novembre 2003 qui sont exploitées moins de 1 500 h/an et auxquelles la SCR ou la SNCR ne sont pas applicables</w:t>
            </w:r>
            <w:r w:rsidRPr="0064331C">
              <w:rPr>
                <w:sz w:val="20"/>
                <w:szCs w:val="20"/>
              </w:rPr>
              <w:t xml:space="preserve"> (**) </w:t>
            </w:r>
            <w:r w:rsidRPr="0064331C">
              <w:rPr>
                <w:sz w:val="20"/>
                <w:szCs w:val="20"/>
                <w:shd w:val="clear" w:color="auto" w:fill="B4C6E7" w:themeFill="accent5" w:themeFillTint="66"/>
              </w:rPr>
              <w:t>et qui n’a pas fait l’objet d’une modification ou d’une extension ayant conduit au dépôt d’une nouvelle demande d’autorisation en application de l’article R.181-46 du code de l’environnement après le 31 juillet 2002</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1D358B22"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M = 450</w:t>
            </w:r>
          </w:p>
          <w:p w14:paraId="2A2755B2"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J = 450</w:t>
            </w:r>
          </w:p>
        </w:tc>
      </w:tr>
      <w:tr w:rsidR="0064331C" w:rsidRPr="0064331C" w14:paraId="3D5A6D58"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EFACB79" w14:textId="77777777" w:rsidR="0064331C" w:rsidRPr="0064331C" w:rsidRDefault="0064331C" w:rsidP="005D385E">
            <w:pPr>
              <w:jc w:val="center"/>
              <w:rPr>
                <w:sz w:val="20"/>
                <w:szCs w:val="20"/>
                <w:highlight w:val="yellow"/>
              </w:rPr>
            </w:pPr>
            <w:r w:rsidRPr="0064331C">
              <w:rPr>
                <w:sz w:val="20"/>
                <w:szCs w:val="20"/>
              </w:rPr>
              <w:t>(17)</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tcPr>
          <w:p w14:paraId="565CBF24" w14:textId="77777777" w:rsidR="0064331C" w:rsidRPr="0064331C" w:rsidRDefault="0064331C" w:rsidP="005D385E">
            <w:pPr>
              <w:jc w:val="both"/>
              <w:rPr>
                <w:sz w:val="20"/>
                <w:szCs w:val="20"/>
              </w:rPr>
            </w:pPr>
            <w:r w:rsidRPr="0064331C">
              <w:rPr>
                <w:sz w:val="20"/>
                <w:szCs w:val="20"/>
                <w:shd w:val="clear" w:color="auto" w:fill="E2EFD9" w:themeFill="accent6" w:themeFillTint="33"/>
              </w:rPr>
              <w:t xml:space="preserve">Dans le cas des chaudières industrielles et des installations de chauffage urbain de puissance &gt; 100 </w:t>
            </w:r>
            <w:proofErr w:type="spellStart"/>
            <w:r w:rsidRPr="0064331C">
              <w:rPr>
                <w:sz w:val="20"/>
                <w:szCs w:val="20"/>
                <w:shd w:val="clear" w:color="auto" w:fill="E2EFD9" w:themeFill="accent6" w:themeFillTint="33"/>
              </w:rPr>
              <w:t>MWth</w:t>
            </w:r>
            <w:proofErr w:type="spellEnd"/>
            <w:r w:rsidRPr="0064331C">
              <w:rPr>
                <w:sz w:val="20"/>
                <w:szCs w:val="20"/>
              </w:rPr>
              <w:t xml:space="preserve"> </w:t>
            </w:r>
            <w:r w:rsidRPr="0064331C">
              <w:rPr>
                <w:sz w:val="20"/>
                <w:szCs w:val="20"/>
                <w:shd w:val="clear" w:color="auto" w:fill="B4C6E7" w:themeFill="accent5" w:themeFillTint="66"/>
              </w:rPr>
              <w:t xml:space="preserve">et inférieure à 500 </w:t>
            </w:r>
            <w:proofErr w:type="spellStart"/>
            <w:r w:rsidRPr="0064331C">
              <w:rPr>
                <w:sz w:val="20"/>
                <w:szCs w:val="20"/>
                <w:shd w:val="clear" w:color="auto" w:fill="B4C6E7" w:themeFill="accent5" w:themeFillTint="66"/>
              </w:rPr>
              <w:t>MWth</w:t>
            </w:r>
            <w:proofErr w:type="spellEnd"/>
            <w:r w:rsidRPr="0064331C">
              <w:rPr>
                <w:sz w:val="20"/>
                <w:szCs w:val="20"/>
              </w:rPr>
              <w:t xml:space="preserve"> </w:t>
            </w:r>
            <w:r w:rsidRPr="0064331C">
              <w:rPr>
                <w:sz w:val="20"/>
                <w:szCs w:val="20"/>
                <w:shd w:val="clear" w:color="auto" w:fill="E2EFD9" w:themeFill="accent6" w:themeFillTint="33"/>
              </w:rPr>
              <w:t xml:space="preserve">mises en service au plus tard le 27 novembre 2003 qui sont exploitées moins de 1 500 h/an et auxquelles la SCR ou la SNCR ne sont pas applicables </w:t>
            </w:r>
            <w:r w:rsidRPr="0064331C">
              <w:rPr>
                <w:sz w:val="20"/>
                <w:szCs w:val="20"/>
              </w:rPr>
              <w:t>(**)</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3F1DAE48"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M = 365</w:t>
            </w:r>
          </w:p>
          <w:p w14:paraId="70B3D0B4"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J = 365</w:t>
            </w:r>
          </w:p>
        </w:tc>
      </w:tr>
      <w:tr w:rsidR="0064331C" w:rsidRPr="0064331C" w14:paraId="33321DBC"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121AECC" w14:textId="77777777" w:rsidR="0064331C" w:rsidRPr="0064331C" w:rsidRDefault="0064331C" w:rsidP="005D385E">
            <w:pPr>
              <w:jc w:val="center"/>
              <w:rPr>
                <w:sz w:val="20"/>
                <w:szCs w:val="20"/>
              </w:rPr>
            </w:pPr>
            <w:r w:rsidRPr="0064331C">
              <w:rPr>
                <w:sz w:val="20"/>
                <w:szCs w:val="20"/>
              </w:rPr>
              <w:t>(18)</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143B9C2F" w14:textId="74CF7BFB" w:rsidR="0064331C" w:rsidRPr="0064331C" w:rsidRDefault="0064331C" w:rsidP="005D385E">
            <w:pPr>
              <w:jc w:val="both"/>
              <w:rPr>
                <w:sz w:val="20"/>
                <w:szCs w:val="20"/>
              </w:rPr>
            </w:pPr>
            <w:r w:rsidRPr="0064331C">
              <w:rPr>
                <w:sz w:val="20"/>
                <w:szCs w:val="20"/>
              </w:rPr>
              <w:t>Si la proportion de gaz de cokerie est ≤ 50</w:t>
            </w:r>
            <w:r w:rsidR="000F02B5">
              <w:rPr>
                <w:sz w:val="20"/>
                <w:szCs w:val="20"/>
              </w:rPr>
              <w:t xml:space="preserve"> </w:t>
            </w:r>
            <w:r w:rsidRPr="0064331C">
              <w:rPr>
                <w:sz w:val="20"/>
                <w:szCs w:val="20"/>
              </w:rPr>
              <w:t xml:space="preserve">% </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4DE362E8" w14:textId="53417814" w:rsidR="0064331C" w:rsidRPr="0064331C" w:rsidRDefault="00C6184A" w:rsidP="005D385E">
            <w:pPr>
              <w:jc w:val="center"/>
              <w:rPr>
                <w:sz w:val="20"/>
                <w:szCs w:val="20"/>
              </w:rPr>
            </w:pPr>
            <w:proofErr w:type="spellStart"/>
            <w:r w:rsidRPr="0064331C">
              <w:rPr>
                <w:sz w:val="20"/>
                <w:szCs w:val="20"/>
              </w:rPr>
              <w:t>SO</w:t>
            </w:r>
            <w:r>
              <w:rPr>
                <w:sz w:val="20"/>
                <w:szCs w:val="20"/>
              </w:rPr>
              <w:t>x</w:t>
            </w:r>
            <w:proofErr w:type="spellEnd"/>
            <w:r w:rsidRPr="0064331C">
              <w:rPr>
                <w:sz w:val="20"/>
                <w:szCs w:val="20"/>
              </w:rPr>
              <w:t> </w:t>
            </w:r>
            <w:r w:rsidR="0064331C" w:rsidRPr="0064331C">
              <w:rPr>
                <w:sz w:val="20"/>
                <w:szCs w:val="20"/>
              </w:rPr>
              <w:t xml:space="preserve">: </w:t>
            </w:r>
            <w:r w:rsidR="0064331C" w:rsidRPr="0064331C">
              <w:rPr>
                <w:sz w:val="20"/>
                <w:szCs w:val="20"/>
                <w:shd w:val="clear" w:color="auto" w:fill="E2EFD9" w:themeFill="accent6" w:themeFillTint="33"/>
              </w:rPr>
              <w:t>M = 200</w:t>
            </w:r>
          </w:p>
          <w:p w14:paraId="27564216" w14:textId="11A886D6" w:rsidR="0064331C" w:rsidRPr="0064331C" w:rsidRDefault="00C6184A" w:rsidP="005D385E">
            <w:pPr>
              <w:jc w:val="center"/>
              <w:rPr>
                <w:sz w:val="20"/>
                <w:szCs w:val="20"/>
              </w:rPr>
            </w:pPr>
            <w:proofErr w:type="spellStart"/>
            <w:r w:rsidRPr="0064331C">
              <w:rPr>
                <w:sz w:val="20"/>
                <w:szCs w:val="20"/>
              </w:rPr>
              <w:t>SO</w:t>
            </w:r>
            <w:r>
              <w:rPr>
                <w:sz w:val="20"/>
                <w:szCs w:val="20"/>
              </w:rPr>
              <w:t>x</w:t>
            </w:r>
            <w:proofErr w:type="spellEnd"/>
            <w:r w:rsidRPr="0064331C">
              <w:rPr>
                <w:sz w:val="20"/>
                <w:szCs w:val="20"/>
              </w:rPr>
              <w:t> </w:t>
            </w:r>
            <w:r w:rsidR="0064331C" w:rsidRPr="0064331C">
              <w:rPr>
                <w:sz w:val="20"/>
                <w:szCs w:val="20"/>
              </w:rPr>
              <w:t xml:space="preserve">: </w:t>
            </w:r>
            <w:r w:rsidR="0064331C" w:rsidRPr="0064331C">
              <w:rPr>
                <w:sz w:val="20"/>
                <w:szCs w:val="20"/>
                <w:shd w:val="clear" w:color="auto" w:fill="E2EFD9" w:themeFill="accent6" w:themeFillTint="33"/>
              </w:rPr>
              <w:t>J = 200</w:t>
            </w:r>
          </w:p>
        </w:tc>
      </w:tr>
      <w:tr w:rsidR="0064331C" w:rsidRPr="0064331C" w14:paraId="5EBA87D0"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24AB83AD" w14:textId="77777777" w:rsidR="0064331C" w:rsidRPr="0064331C" w:rsidRDefault="0064331C" w:rsidP="005D385E">
            <w:pPr>
              <w:jc w:val="center"/>
              <w:rPr>
                <w:sz w:val="20"/>
                <w:szCs w:val="20"/>
              </w:rPr>
            </w:pPr>
            <w:r w:rsidRPr="0064331C">
              <w:rPr>
                <w:sz w:val="20"/>
                <w:szCs w:val="20"/>
              </w:rPr>
              <w:t>(19)</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62E7372C" w14:textId="31946A9F" w:rsidR="0064331C" w:rsidRPr="0064331C" w:rsidRDefault="0064331C" w:rsidP="005D385E">
            <w:pPr>
              <w:jc w:val="both"/>
              <w:rPr>
                <w:sz w:val="20"/>
                <w:szCs w:val="20"/>
              </w:rPr>
            </w:pPr>
            <w:r w:rsidRPr="0064331C">
              <w:rPr>
                <w:sz w:val="20"/>
                <w:szCs w:val="20"/>
              </w:rPr>
              <w:t>Lorsque la SCR ne peut pas être utilisée et lorsque la proportion de COG (gaz de cokerie) est augmentée (&gt; 50 %), ou en cas de combustion de COG présentant une teneur en H</w:t>
            </w:r>
            <w:r w:rsidRPr="000F02B5">
              <w:rPr>
                <w:sz w:val="20"/>
                <w:szCs w:val="20"/>
                <w:vertAlign w:val="subscript"/>
              </w:rPr>
              <w:t>2</w:t>
            </w:r>
            <w:r w:rsidRPr="0064331C">
              <w:rPr>
                <w:sz w:val="20"/>
                <w:szCs w:val="20"/>
              </w:rPr>
              <w:t xml:space="preserve"> relativement élevée</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5B3C7D15"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M = 200</w:t>
            </w:r>
          </w:p>
          <w:p w14:paraId="3A977043" w14:textId="77777777" w:rsidR="0064331C" w:rsidRPr="0064331C" w:rsidRDefault="0064331C" w:rsidP="005D385E">
            <w:pPr>
              <w:jc w:val="center"/>
              <w:rPr>
                <w:sz w:val="20"/>
                <w:szCs w:val="20"/>
              </w:rPr>
            </w:pPr>
            <w:r w:rsidRPr="0064331C">
              <w:rPr>
                <w:sz w:val="20"/>
                <w:szCs w:val="20"/>
              </w:rPr>
              <w:t xml:space="preserve">NOx : </w:t>
            </w:r>
            <w:r w:rsidRPr="0064331C">
              <w:rPr>
                <w:sz w:val="20"/>
                <w:szCs w:val="20"/>
                <w:shd w:val="clear" w:color="auto" w:fill="E2EFD9" w:themeFill="accent6" w:themeFillTint="33"/>
              </w:rPr>
              <w:t>J = 220</w:t>
            </w:r>
          </w:p>
        </w:tc>
      </w:tr>
      <w:tr w:rsidR="0064331C" w:rsidRPr="0064331C" w14:paraId="5043CC07" w14:textId="77777777" w:rsidTr="005D385E">
        <w:trPr>
          <w:jc w:val="center"/>
        </w:trPr>
        <w:tc>
          <w:tcPr>
            <w:tcW w:w="1406"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4F92FB9" w14:textId="77777777" w:rsidR="0064331C" w:rsidRPr="0064331C" w:rsidRDefault="0064331C" w:rsidP="005D385E">
            <w:pPr>
              <w:jc w:val="center"/>
              <w:rPr>
                <w:sz w:val="20"/>
                <w:szCs w:val="20"/>
                <w:highlight w:val="yellow"/>
              </w:rPr>
            </w:pPr>
            <w:bookmarkStart w:id="23" w:name="_Hlk159591477"/>
            <w:r w:rsidRPr="0064331C">
              <w:rPr>
                <w:sz w:val="20"/>
                <w:szCs w:val="20"/>
              </w:rPr>
              <w:t>(20)</w:t>
            </w:r>
          </w:p>
        </w:tc>
        <w:tc>
          <w:tcPr>
            <w:tcW w:w="6844" w:type="dxa"/>
            <w:gridSpan w:val="9"/>
            <w:tcBorders>
              <w:top w:val="single" w:sz="4" w:space="0" w:color="auto"/>
              <w:left w:val="single" w:sz="4" w:space="0" w:color="auto"/>
              <w:bottom w:val="single" w:sz="4" w:space="0" w:color="auto"/>
              <w:right w:val="single" w:sz="4" w:space="0" w:color="auto"/>
            </w:tcBorders>
            <w:shd w:val="clear" w:color="auto" w:fill="EEEEEE"/>
            <w:vAlign w:val="center"/>
          </w:tcPr>
          <w:p w14:paraId="56A89B08" w14:textId="3B83849C" w:rsidR="0064331C" w:rsidRPr="0064331C" w:rsidRDefault="0064331C" w:rsidP="005D385E">
            <w:pPr>
              <w:jc w:val="both"/>
              <w:rPr>
                <w:sz w:val="20"/>
                <w:szCs w:val="20"/>
              </w:rPr>
            </w:pPr>
            <w:r w:rsidRPr="0064331C">
              <w:rPr>
                <w:sz w:val="20"/>
                <w:szCs w:val="20"/>
              </w:rPr>
              <w:t xml:space="preserve">Dans le cas des installations de puissance ≤ 500 </w:t>
            </w:r>
            <w:proofErr w:type="spellStart"/>
            <w:r w:rsidRPr="0064331C">
              <w:rPr>
                <w:sz w:val="20"/>
                <w:szCs w:val="20"/>
              </w:rPr>
              <w:t>MWth</w:t>
            </w:r>
            <w:proofErr w:type="spellEnd"/>
            <w:r w:rsidRPr="0064331C">
              <w:rPr>
                <w:sz w:val="20"/>
                <w:szCs w:val="20"/>
              </w:rPr>
              <w:t>, mises en services au plus tard le 27 novembre 2003, qui utilisent des combustibles liquides à teneur en azote supérieure à 0,6 % en poids</w:t>
            </w:r>
          </w:p>
        </w:tc>
        <w:tc>
          <w:tcPr>
            <w:tcW w:w="2377"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1D505F0B" w14:textId="2F58C828" w:rsidR="0064331C" w:rsidRPr="0064331C" w:rsidRDefault="00C6184A" w:rsidP="005D385E">
            <w:pPr>
              <w:jc w:val="center"/>
              <w:rPr>
                <w:sz w:val="20"/>
                <w:szCs w:val="20"/>
              </w:rPr>
            </w:pPr>
            <w:r w:rsidRPr="0064331C">
              <w:rPr>
                <w:sz w:val="20"/>
                <w:szCs w:val="20"/>
              </w:rPr>
              <w:t>NO</w:t>
            </w:r>
            <w:r>
              <w:rPr>
                <w:sz w:val="20"/>
                <w:szCs w:val="20"/>
              </w:rPr>
              <w:t xml:space="preserve">x </w:t>
            </w:r>
            <w:r w:rsidR="0064331C" w:rsidRPr="0064331C">
              <w:rPr>
                <w:sz w:val="20"/>
                <w:szCs w:val="20"/>
              </w:rPr>
              <w:t xml:space="preserve">: </w:t>
            </w:r>
            <w:r w:rsidR="0064331C" w:rsidRPr="0064331C">
              <w:rPr>
                <w:sz w:val="20"/>
                <w:szCs w:val="20"/>
                <w:shd w:val="clear" w:color="auto" w:fill="E2EFD9" w:themeFill="accent6" w:themeFillTint="33"/>
              </w:rPr>
              <w:t>A = 380</w:t>
            </w:r>
          </w:p>
          <w:p w14:paraId="2F5AFA5F" w14:textId="1AE71D39" w:rsidR="0064331C" w:rsidRPr="0064331C" w:rsidRDefault="00C6184A" w:rsidP="005D385E">
            <w:pPr>
              <w:jc w:val="center"/>
              <w:rPr>
                <w:sz w:val="20"/>
                <w:szCs w:val="20"/>
              </w:rPr>
            </w:pPr>
            <w:r w:rsidRPr="0064331C">
              <w:rPr>
                <w:sz w:val="20"/>
                <w:szCs w:val="20"/>
              </w:rPr>
              <w:t>NO</w:t>
            </w:r>
            <w:r>
              <w:rPr>
                <w:sz w:val="20"/>
                <w:szCs w:val="20"/>
              </w:rPr>
              <w:t>x</w:t>
            </w:r>
            <w:r w:rsidRPr="0064331C">
              <w:rPr>
                <w:sz w:val="20"/>
                <w:szCs w:val="20"/>
              </w:rPr>
              <w:t> </w:t>
            </w:r>
            <w:r w:rsidR="0064331C" w:rsidRPr="0064331C">
              <w:rPr>
                <w:sz w:val="20"/>
                <w:szCs w:val="20"/>
              </w:rPr>
              <w:t xml:space="preserve">: </w:t>
            </w:r>
            <w:r w:rsidR="0064331C" w:rsidRPr="0064331C">
              <w:rPr>
                <w:sz w:val="20"/>
                <w:szCs w:val="20"/>
                <w:shd w:val="clear" w:color="auto" w:fill="E2EFD9" w:themeFill="accent6" w:themeFillTint="33"/>
              </w:rPr>
              <w:t>J = 380</w:t>
            </w:r>
          </w:p>
        </w:tc>
      </w:tr>
    </w:tbl>
    <w:bookmarkEnd w:id="23"/>
    <w:p w14:paraId="53F70740" w14:textId="01A3EB6B" w:rsidR="0064331C" w:rsidRPr="0064331C" w:rsidRDefault="0064331C" w:rsidP="0064331C">
      <w:pPr>
        <w:jc w:val="both"/>
        <w:rPr>
          <w:b/>
          <w:bCs/>
          <w:u w:val="single"/>
        </w:rPr>
      </w:pPr>
      <w:r>
        <w:t>« </w:t>
      </w:r>
      <w:r w:rsidRPr="0064331C">
        <w:t xml:space="preserve">(*) Des considérations techniques et économiques peuvent limiter l'applicabilité de la technique FGD par voie humide aux installations de combustion de puissance &lt; 300 </w:t>
      </w:r>
      <w:proofErr w:type="spellStart"/>
      <w:r w:rsidRPr="0064331C">
        <w:t>MWth</w:t>
      </w:r>
      <w:proofErr w:type="spellEnd"/>
      <w:r w:rsidRPr="0064331C">
        <w:t>. Cette technique n’est</w:t>
      </w:r>
      <w:r w:rsidR="00B36061">
        <w:t>, de manière générale,</w:t>
      </w:r>
      <w:r w:rsidRPr="0064331C">
        <w:t xml:space="preserve"> pas applicable aux installations de combustion exploitées moins de 500 h/an. Des considérations techniques et économiques peuvent limiter l'applicabilité de la technique aux installations de combustion exploitées entre 500 et 1 500 h/an.</w:t>
      </w:r>
    </w:p>
    <w:p w14:paraId="46DE12DE" w14:textId="2BF33BAC" w:rsidR="0064331C" w:rsidRPr="0064331C" w:rsidRDefault="0064331C" w:rsidP="0064331C">
      <w:pPr>
        <w:jc w:val="both"/>
      </w:pPr>
      <w:r>
        <w:t>« </w:t>
      </w:r>
      <w:r w:rsidRPr="0064331C">
        <w:t xml:space="preserve">(**) La SNCR n’est pas applicable aux installations de combustion exploitées moins de 500 h/an à charge très variable de la chaudière. L'applicabilité </w:t>
      </w:r>
      <w:r w:rsidR="00FD5AD0">
        <w:t>est</w:t>
      </w:r>
      <w:r w:rsidRPr="0064331C">
        <w:t xml:space="preserve"> limitée dans le cas des installations de combustion exploitées entre 500 et 1 500 h/an à charge très variable de la chaudière.</w:t>
      </w:r>
    </w:p>
    <w:p w14:paraId="09B11CCA" w14:textId="5AA925D9" w:rsidR="00CA1744" w:rsidRDefault="0064331C" w:rsidP="0064331C">
      <w:pPr>
        <w:shd w:val="clear" w:color="auto" w:fill="FFFFFF"/>
        <w:jc w:val="both"/>
      </w:pPr>
      <w:r>
        <w:t>« </w:t>
      </w:r>
      <w:r w:rsidRPr="0064331C">
        <w:t>La SCR n’est pas applicable aux installations de combustion exploitées moins de 500 h/an. Des considérations techniques et économiques peuvent limiter l'applicabilité de la technique aux installations de combustion exploitées entre 500 et 1 500 h/an</w:t>
      </w:r>
      <w:r w:rsidR="001070EB">
        <w:t>. Cette technique n’est, de manière générale, pas</w:t>
      </w:r>
      <w:r w:rsidRPr="0064331C">
        <w:t xml:space="preserve"> applicable aux installations de combustion de puissance &lt; 100 </w:t>
      </w:r>
      <w:proofErr w:type="spellStart"/>
      <w:r w:rsidRPr="0064331C">
        <w:t>MWth</w:t>
      </w:r>
      <w:proofErr w:type="spellEnd"/>
      <w:r w:rsidRPr="0064331C">
        <w:t>.</w:t>
      </w:r>
      <w:r>
        <w:t> </w:t>
      </w:r>
    </w:p>
    <w:p w14:paraId="1A131797" w14:textId="77777777" w:rsidR="00CA1744" w:rsidRDefault="00CA1744" w:rsidP="0064331C">
      <w:pPr>
        <w:shd w:val="clear" w:color="auto" w:fill="FFFFFF"/>
        <w:jc w:val="both"/>
      </w:pPr>
    </w:p>
    <w:p w14:paraId="2668FA80" w14:textId="109E3EAE" w:rsidR="00CA1744" w:rsidRDefault="00020FF2" w:rsidP="00CA1744">
      <w:pPr>
        <w:shd w:val="clear" w:color="auto" w:fill="FFFFFF"/>
        <w:jc w:val="both"/>
      </w:pPr>
      <w:r>
        <w:t>« </w:t>
      </w:r>
      <w:proofErr w:type="gramStart"/>
      <w:r w:rsidR="00CA1744">
        <w:t>e</w:t>
      </w:r>
      <w:proofErr w:type="gramEnd"/>
      <w:r w:rsidR="00CA1744">
        <w:t>) Dispositions spécifiques concernant les valeurs limites d’émission en SO</w:t>
      </w:r>
      <w:r w:rsidR="00CA1744" w:rsidRPr="00020FF2">
        <w:rPr>
          <w:vertAlign w:val="subscript"/>
        </w:rPr>
        <w:t>2</w:t>
      </w:r>
      <w:r w:rsidR="00CA1744">
        <w:t xml:space="preserve"> pour les installations de puissance thermique nominale totale &gt; 300 MW et conçues pour utiliser des combustibles à base de lignite </w:t>
      </w:r>
      <w:r w:rsidR="00B83839">
        <w:t xml:space="preserve">provenant du territoire national </w:t>
      </w:r>
      <w:r w:rsidR="00CA1744">
        <w:t>:</w:t>
      </w:r>
    </w:p>
    <w:p w14:paraId="245EB494" w14:textId="77777777" w:rsidR="00CA1744" w:rsidRDefault="00CA1744" w:rsidP="00CA1744">
      <w:pPr>
        <w:shd w:val="clear" w:color="auto" w:fill="FFFFFF"/>
        <w:jc w:val="both"/>
      </w:pPr>
    </w:p>
    <w:p w14:paraId="60424E75" w14:textId="2777CAF1" w:rsidR="00CA1744" w:rsidRDefault="00020FF2" w:rsidP="00CA1744">
      <w:pPr>
        <w:shd w:val="clear" w:color="auto" w:fill="FFFFFF"/>
        <w:jc w:val="both"/>
      </w:pPr>
      <w:r>
        <w:t>« </w:t>
      </w:r>
      <w:r w:rsidR="00CA1744">
        <w:t>Si l’installation peut démontrer qu'elle ne peut pas respecter les valeurs limites d’émission en SO</w:t>
      </w:r>
      <w:r w:rsidR="00CA1744" w:rsidRPr="00020FF2">
        <w:rPr>
          <w:vertAlign w:val="subscript"/>
        </w:rPr>
        <w:t>2</w:t>
      </w:r>
      <w:r w:rsidR="00CA1744">
        <w:t xml:space="preserve"> indiquées dans les tableaux a), b), c) et d) du présent II pour des raisons technico-économiques, les valeurs limites d’émission de moyennes journalières et mensuelles figurant dans les tableaux a), b), c) et d) du présent II ne s'appliquent pas. Ainsi, les valeurs limites d’émission en SO</w:t>
      </w:r>
      <w:r w:rsidR="00CA1744" w:rsidRPr="00020FF2">
        <w:rPr>
          <w:vertAlign w:val="subscript"/>
        </w:rPr>
        <w:t>2</w:t>
      </w:r>
      <w:r w:rsidR="00CA1744">
        <w:t xml:space="preserve"> mensuelles et journalières pour les "autres combustibles solides" du I du présent article s'appliquent en lieu et place des valeurs limites d’émission prévues dans les tableaux a), b), c) et d) du présent II.</w:t>
      </w:r>
    </w:p>
    <w:p w14:paraId="6AC8BD49" w14:textId="19D59BE6" w:rsidR="00CA1744" w:rsidRDefault="00020FF2" w:rsidP="00CA1744">
      <w:pPr>
        <w:shd w:val="clear" w:color="auto" w:fill="FFFFFF"/>
        <w:jc w:val="both"/>
      </w:pPr>
      <w:r>
        <w:t>« </w:t>
      </w:r>
      <w:r w:rsidR="00CA1744">
        <w:t xml:space="preserve">La valeur limite d’émission </w:t>
      </w:r>
      <w:r w:rsidR="004412A9">
        <w:t xml:space="preserve">en </w:t>
      </w:r>
      <w:r w:rsidR="00CA1744">
        <w:t>moyenne annuelle est la suivante :</w:t>
      </w:r>
    </w:p>
    <w:p w14:paraId="3212911B" w14:textId="51B3BC30" w:rsidR="00CA1744" w:rsidRDefault="00020FF2" w:rsidP="00020FF2">
      <w:pPr>
        <w:shd w:val="clear" w:color="auto" w:fill="FFFFFF"/>
        <w:ind w:left="708"/>
        <w:jc w:val="both"/>
      </w:pPr>
      <w:r>
        <w:t>« </w:t>
      </w:r>
      <w:proofErr w:type="gramStart"/>
      <w:r w:rsidR="00CA1744">
        <w:t>i</w:t>
      </w:r>
      <w:proofErr w:type="gramEnd"/>
      <w:r w:rsidR="00CA1744">
        <w:t>) pour un système FGD nouveau</w:t>
      </w:r>
      <w:r w:rsidR="00802EA3">
        <w:t xml:space="preserve"> </w:t>
      </w:r>
      <w:r w:rsidR="00CA1744">
        <w:t>: CBG × 0,01 avec un maximum de 200 mg/Nm</w:t>
      </w:r>
      <w:r w:rsidR="00CA1744" w:rsidRPr="00020FF2">
        <w:rPr>
          <w:vertAlign w:val="superscript"/>
        </w:rPr>
        <w:t>3</w:t>
      </w:r>
      <w:r w:rsidR="00CA1744">
        <w:t>,</w:t>
      </w:r>
    </w:p>
    <w:p w14:paraId="0D558EC1" w14:textId="774750FB" w:rsidR="00CA1744" w:rsidRDefault="00020FF2" w:rsidP="00020FF2">
      <w:pPr>
        <w:shd w:val="clear" w:color="auto" w:fill="FFFFFF"/>
        <w:ind w:left="708"/>
        <w:jc w:val="both"/>
      </w:pPr>
      <w:r>
        <w:t>« </w:t>
      </w:r>
      <w:proofErr w:type="gramStart"/>
      <w:r w:rsidR="00CA1744">
        <w:t>ii</w:t>
      </w:r>
      <w:proofErr w:type="gramEnd"/>
      <w:r w:rsidR="00CA1744">
        <w:t>) pour un système FGD existant</w:t>
      </w:r>
      <w:r w:rsidR="00802EA3">
        <w:t xml:space="preserve"> </w:t>
      </w:r>
      <w:r w:rsidR="00CA1744">
        <w:t>: CBG × 0,03 avec un maximum de 320 mg/Nm</w:t>
      </w:r>
      <w:r w:rsidR="00CA1744" w:rsidRPr="00020FF2">
        <w:rPr>
          <w:vertAlign w:val="superscript"/>
        </w:rPr>
        <w:t>3</w:t>
      </w:r>
      <w:r w:rsidR="00CA1744">
        <w:t>,</w:t>
      </w:r>
    </w:p>
    <w:p w14:paraId="265242B4" w14:textId="179A588A" w:rsidR="00CA1744" w:rsidRDefault="00020FF2" w:rsidP="00802EA3">
      <w:pPr>
        <w:shd w:val="clear" w:color="auto" w:fill="FFFFFF"/>
        <w:ind w:left="708"/>
        <w:jc w:val="both"/>
      </w:pPr>
      <w:r>
        <w:t>« </w:t>
      </w:r>
      <w:proofErr w:type="gramStart"/>
      <w:r w:rsidR="00CA1744">
        <w:t>où</w:t>
      </w:r>
      <w:proofErr w:type="gramEnd"/>
      <w:r w:rsidR="00CA1744">
        <w:t xml:space="preserve"> CBG désigne la concentration de SO</w:t>
      </w:r>
      <w:r w:rsidR="00CA1744" w:rsidRPr="00020FF2">
        <w:rPr>
          <w:vertAlign w:val="subscript"/>
        </w:rPr>
        <w:t>2</w:t>
      </w:r>
      <w:r w:rsidR="00CA1744">
        <w:t xml:space="preserve"> dans les fumées non traitées, en moyenne annuelle (dans les conditions standard</w:t>
      </w:r>
      <w:r w:rsidR="00CA1744" w:rsidRPr="00020FF2">
        <w:t>), à</w:t>
      </w:r>
      <w:r w:rsidR="00CA1744">
        <w:t xml:space="preserve"> l'entrée du système de réduction des émissions de SO</w:t>
      </w:r>
      <w:r w:rsidR="00CA1744" w:rsidRPr="00020FF2">
        <w:rPr>
          <w:vertAlign w:val="subscript"/>
        </w:rPr>
        <w:t>X</w:t>
      </w:r>
      <w:r w:rsidR="00CA1744">
        <w:t>, pour une teneur de référence en oxygène (O</w:t>
      </w:r>
      <w:r w:rsidR="00CA1744" w:rsidRPr="00020FF2">
        <w:rPr>
          <w:vertAlign w:val="subscript"/>
        </w:rPr>
        <w:t>2</w:t>
      </w:r>
      <w:r w:rsidR="00CA1744">
        <w:t>) de 6 % en volume,</w:t>
      </w:r>
    </w:p>
    <w:p w14:paraId="5086A8B6" w14:textId="1541D6B3" w:rsidR="0064331C" w:rsidRDefault="00020FF2" w:rsidP="00802EA3">
      <w:pPr>
        <w:shd w:val="clear" w:color="auto" w:fill="FFFFFF"/>
        <w:ind w:left="708"/>
        <w:jc w:val="both"/>
      </w:pPr>
      <w:r>
        <w:t>« </w:t>
      </w:r>
      <w:proofErr w:type="gramStart"/>
      <w:r w:rsidR="00CA1744">
        <w:t>iii</w:t>
      </w:r>
      <w:proofErr w:type="gramEnd"/>
      <w:r w:rsidR="00CA1744">
        <w:t xml:space="preserve">) en cas de recours à l'injection de </w:t>
      </w:r>
      <w:proofErr w:type="spellStart"/>
      <w:r w:rsidR="00CA1744">
        <w:t>sorbant</w:t>
      </w:r>
      <w:proofErr w:type="spellEnd"/>
      <w:r w:rsidR="00CA1744">
        <w:t xml:space="preserve"> dans le foyer dans le cadre d'un système FGD, il est possible de corriger la CBG en tenant compte de l'efficacité de réduction des émissions de SO</w:t>
      </w:r>
      <w:r w:rsidR="00CA1744" w:rsidRPr="00020FF2">
        <w:rPr>
          <w:vertAlign w:val="subscript"/>
        </w:rPr>
        <w:t>2</w:t>
      </w:r>
      <w:r w:rsidR="00CA1744">
        <w:t xml:space="preserve"> de cette technique (</w:t>
      </w:r>
      <w:proofErr w:type="spellStart"/>
      <w:r w:rsidR="00CA1744">
        <w:t>ηΒSI</w:t>
      </w:r>
      <w:proofErr w:type="spellEnd"/>
      <w:r w:rsidR="00CA1744">
        <w:t>), comme suit</w:t>
      </w:r>
      <w:r w:rsidR="00802EA3">
        <w:t xml:space="preserve"> </w:t>
      </w:r>
      <w:r w:rsidR="00CA1744">
        <w:t>: CBG (corrigée) = CBG (mesurée)/(1-ηΒSI).</w:t>
      </w:r>
      <w:r w:rsidR="0064331C">
        <w:t>»</w:t>
      </w:r>
      <w:r w:rsidR="00802EA3">
        <w:t>.</w:t>
      </w:r>
    </w:p>
    <w:p w14:paraId="5CFCFE92" w14:textId="77777777" w:rsidR="0064331C" w:rsidRPr="0064331C" w:rsidRDefault="0064331C" w:rsidP="0064331C">
      <w:pPr>
        <w:shd w:val="clear" w:color="auto" w:fill="FFFFFF"/>
        <w:jc w:val="both"/>
        <w:rPr>
          <w:bCs/>
          <w:lang w:eastAsia="fr-FR"/>
        </w:rPr>
      </w:pPr>
    </w:p>
    <w:p w14:paraId="0FB8EAE1" w14:textId="2D541E98" w:rsidR="006F70DC" w:rsidRPr="00914E79" w:rsidRDefault="00914E79" w:rsidP="00914E79">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14</w:t>
      </w:r>
      <w:r w:rsidRPr="00914E79">
        <w:rPr>
          <w:b/>
          <w:bCs/>
          <w:i/>
          <w:iCs/>
        </w:rPr>
        <w:fldChar w:fldCharType="end"/>
      </w:r>
    </w:p>
    <w:p w14:paraId="337684BB" w14:textId="67180232" w:rsidR="00914E79" w:rsidRDefault="00914E79" w:rsidP="00CB0156"/>
    <w:p w14:paraId="79AA5B46" w14:textId="33C7DA8F" w:rsidR="00CB0156" w:rsidRDefault="00CB0156" w:rsidP="002B0DC1">
      <w:pPr>
        <w:jc w:val="both"/>
      </w:pPr>
      <w:r>
        <w:t>L’article 11 de l’arrêté susvisé est ainsi modifié :</w:t>
      </w:r>
    </w:p>
    <w:p w14:paraId="177C8E95" w14:textId="77777777" w:rsidR="00CB0156" w:rsidRDefault="00CB0156" w:rsidP="002B0DC1">
      <w:pPr>
        <w:jc w:val="both"/>
      </w:pPr>
    </w:p>
    <w:p w14:paraId="2076B13D" w14:textId="75445F47" w:rsidR="00CB0156" w:rsidRDefault="006A72C4" w:rsidP="002B0DC1">
      <w:pPr>
        <w:jc w:val="both"/>
      </w:pPr>
      <w:r>
        <w:t>1°</w:t>
      </w:r>
      <w:r w:rsidR="00CB0156">
        <w:t xml:space="preserve"> </w:t>
      </w:r>
      <w:r w:rsidR="004412A9">
        <w:t>Un alinéa </w:t>
      </w:r>
      <w:r w:rsidR="00CB0156">
        <w:t>« Turbines » est inséré avant le premier alinéa.</w:t>
      </w:r>
    </w:p>
    <w:p w14:paraId="047A331A" w14:textId="77777777" w:rsidR="00CB0156" w:rsidRDefault="00CB0156" w:rsidP="002B0DC1">
      <w:pPr>
        <w:jc w:val="both"/>
      </w:pPr>
    </w:p>
    <w:p w14:paraId="5F0719ED" w14:textId="6D1FF720" w:rsidR="00CB0156" w:rsidRPr="00CB0156" w:rsidRDefault="006A72C4" w:rsidP="002B0DC1">
      <w:pPr>
        <w:jc w:val="both"/>
      </w:pPr>
      <w:r>
        <w:t>2°</w:t>
      </w:r>
      <w:r w:rsidR="00CB0156" w:rsidRPr="00CB0156">
        <w:t xml:space="preserve"> </w:t>
      </w:r>
      <w:r w:rsidR="00B83839">
        <w:t>Au début du</w:t>
      </w:r>
      <w:r w:rsidR="00CB0156">
        <w:t> : « </w:t>
      </w:r>
      <w:r w:rsidR="00CB0156" w:rsidRPr="00CB0156">
        <w:t>I.-</w:t>
      </w:r>
      <w:r w:rsidR="00CB0156">
        <w:t xml:space="preserve"> » </w:t>
      </w:r>
      <w:r w:rsidR="00CB0156" w:rsidRPr="00CB0156">
        <w:t>sont insérés les alinéas suivants :</w:t>
      </w:r>
    </w:p>
    <w:p w14:paraId="310704E2" w14:textId="3AD07E9B" w:rsidR="00CB0156" w:rsidRPr="00CB0156" w:rsidRDefault="00CB0156" w:rsidP="002B0DC1">
      <w:pPr>
        <w:jc w:val="both"/>
        <w:rPr>
          <w:color w:val="000000"/>
          <w:lang w:eastAsia="fr-FR"/>
        </w:rPr>
      </w:pPr>
      <w:r w:rsidRPr="00CB0156">
        <w:rPr>
          <w:color w:val="000000"/>
          <w:lang w:eastAsia="fr-FR"/>
        </w:rPr>
        <w:t>« Les dispositions du présent I s’appliquent :</w:t>
      </w:r>
    </w:p>
    <w:p w14:paraId="75532D23" w14:textId="2D44FFF7" w:rsidR="00CB0156" w:rsidRPr="00CB0156" w:rsidRDefault="00CB0156" w:rsidP="002B0DC1">
      <w:pPr>
        <w:jc w:val="both"/>
        <w:rPr>
          <w:color w:val="000000"/>
          <w:lang w:eastAsia="fr-FR"/>
        </w:rPr>
      </w:pPr>
      <w:r w:rsidRPr="00CB0156">
        <w:rPr>
          <w:color w:val="000000"/>
          <w:lang w:eastAsia="fr-FR"/>
        </w:rPr>
        <w:t xml:space="preserve">« - aux turbines de </w:t>
      </w:r>
      <w:r w:rsidR="00A31153">
        <w:rPr>
          <w:color w:val="000000"/>
          <w:lang w:eastAsia="fr-FR"/>
        </w:rPr>
        <w:t xml:space="preserve">puissance thermique nominale inférieure à </w:t>
      </w:r>
      <w:r w:rsidRPr="00CB0156">
        <w:rPr>
          <w:color w:val="000000"/>
          <w:lang w:eastAsia="fr-FR"/>
        </w:rPr>
        <w:t>15 MW ;</w:t>
      </w:r>
    </w:p>
    <w:p w14:paraId="12F78C28" w14:textId="0880C6D9" w:rsidR="00CB0156" w:rsidRPr="00CB0156" w:rsidRDefault="00CB0156" w:rsidP="002B0DC1">
      <w:pPr>
        <w:jc w:val="both"/>
        <w:rPr>
          <w:color w:val="000000"/>
          <w:lang w:eastAsia="fr-FR"/>
        </w:rPr>
      </w:pPr>
      <w:r w:rsidRPr="00CB0156">
        <w:rPr>
          <w:color w:val="000000"/>
          <w:lang w:eastAsia="fr-FR"/>
        </w:rPr>
        <w:t xml:space="preserve">« - aux turbines </w:t>
      </w:r>
      <w:r w:rsidR="0094246F">
        <w:rPr>
          <w:color w:val="000000"/>
          <w:lang w:eastAsia="fr-FR"/>
        </w:rPr>
        <w:t xml:space="preserve">de puissance thermique nominale supérieure ou égale à 15 MW </w:t>
      </w:r>
      <w:r w:rsidRPr="00CB0156">
        <w:rPr>
          <w:color w:val="000000"/>
          <w:lang w:eastAsia="fr-FR"/>
        </w:rPr>
        <w:t>po</w:t>
      </w:r>
      <w:r w:rsidRPr="00353EFD">
        <w:rPr>
          <w:color w:val="000000"/>
          <w:lang w:eastAsia="fr-FR"/>
        </w:rPr>
        <w:t xml:space="preserve">ur lesquelles les délais mentionnés </w:t>
      </w:r>
      <w:r w:rsidR="00D9011B">
        <w:rPr>
          <w:color w:val="000000"/>
          <w:lang w:eastAsia="fr-FR"/>
        </w:rPr>
        <w:t>au VII de l’article 3</w:t>
      </w:r>
      <w:r w:rsidRPr="00353EFD">
        <w:rPr>
          <w:color w:val="000000"/>
          <w:lang w:eastAsia="fr-FR"/>
        </w:rPr>
        <w:t xml:space="preserve"> du présent arrêté ne sont pas encore échus ;</w:t>
      </w:r>
    </w:p>
    <w:p w14:paraId="3DC8987F" w14:textId="6B95E2B0" w:rsidR="00CB0156" w:rsidRDefault="00CB0156" w:rsidP="002B0DC1">
      <w:pPr>
        <w:jc w:val="both"/>
        <w:rPr>
          <w:color w:val="000000"/>
          <w:lang w:eastAsia="fr-FR"/>
        </w:rPr>
      </w:pPr>
      <w:r w:rsidRPr="00CB0156">
        <w:rPr>
          <w:color w:val="000000"/>
          <w:lang w:eastAsia="fr-FR"/>
        </w:rPr>
        <w:t xml:space="preserve">« - aux turbines pour lesquelles les </w:t>
      </w:r>
      <w:r w:rsidR="0094246F">
        <w:rPr>
          <w:color w:val="000000"/>
          <w:lang w:eastAsia="fr-FR"/>
        </w:rPr>
        <w:t>valeurs limites d’émission</w:t>
      </w:r>
      <w:r w:rsidR="0094246F" w:rsidRPr="00CB0156">
        <w:rPr>
          <w:color w:val="000000"/>
          <w:lang w:eastAsia="fr-FR"/>
        </w:rPr>
        <w:t xml:space="preserve"> </w:t>
      </w:r>
      <w:r w:rsidRPr="00CB0156">
        <w:rPr>
          <w:color w:val="000000"/>
          <w:lang w:eastAsia="fr-FR"/>
        </w:rPr>
        <w:t>du II du présent article ne sont pas applicables ou pas mentionnées dans le tableau du II.</w:t>
      </w:r>
    </w:p>
    <w:p w14:paraId="538F224B" w14:textId="77777777" w:rsidR="00CB0156" w:rsidRPr="00CB0156" w:rsidRDefault="00CB0156" w:rsidP="002B0DC1">
      <w:pPr>
        <w:jc w:val="both"/>
        <w:rPr>
          <w:color w:val="000000"/>
          <w:lang w:eastAsia="fr-FR"/>
        </w:rPr>
      </w:pPr>
    </w:p>
    <w:p w14:paraId="35236F23" w14:textId="4B36EE10" w:rsidR="00CB0156" w:rsidRDefault="00CB0156" w:rsidP="002B0DC1">
      <w:pPr>
        <w:spacing w:after="240"/>
        <w:jc w:val="both"/>
        <w:rPr>
          <w:color w:val="000000"/>
          <w:lang w:eastAsia="fr-FR"/>
        </w:rPr>
      </w:pPr>
      <w:r w:rsidRPr="00CB0156">
        <w:rPr>
          <w:color w:val="000000"/>
          <w:lang w:eastAsia="fr-FR"/>
        </w:rPr>
        <w:t>« </w:t>
      </w:r>
      <w:proofErr w:type="gramStart"/>
      <w:r w:rsidRPr="00CB0156">
        <w:rPr>
          <w:color w:val="000000"/>
          <w:lang w:eastAsia="fr-FR"/>
        </w:rPr>
        <w:t>a</w:t>
      </w:r>
      <w:proofErr w:type="gramEnd"/>
      <w:r w:rsidRPr="00CB0156">
        <w:rPr>
          <w:color w:val="000000"/>
          <w:lang w:eastAsia="fr-FR"/>
        </w:rPr>
        <w:t>) Turbines autorisées à compter du 1</w:t>
      </w:r>
      <w:r w:rsidRPr="00CB0156">
        <w:rPr>
          <w:color w:val="000000"/>
          <w:vertAlign w:val="superscript"/>
          <w:lang w:eastAsia="fr-FR"/>
        </w:rPr>
        <w:t>er</w:t>
      </w:r>
      <w:r w:rsidRPr="00CB0156">
        <w:rPr>
          <w:color w:val="000000"/>
          <w:lang w:eastAsia="fr-FR"/>
        </w:rPr>
        <w:t xml:space="preserve"> janvier 2014 ».</w:t>
      </w:r>
    </w:p>
    <w:p w14:paraId="1557CAB6" w14:textId="174F1EBE" w:rsidR="00CB0156" w:rsidRPr="00CB0156" w:rsidRDefault="006A72C4" w:rsidP="002B0DC1">
      <w:pPr>
        <w:spacing w:after="240"/>
        <w:jc w:val="both"/>
        <w:rPr>
          <w:color w:val="000000"/>
          <w:lang w:eastAsia="fr-FR"/>
        </w:rPr>
      </w:pPr>
      <w:r>
        <w:rPr>
          <w:color w:val="000000"/>
          <w:lang w:eastAsia="fr-FR"/>
        </w:rPr>
        <w:t>3°</w:t>
      </w:r>
      <w:r w:rsidR="00CB0156">
        <w:rPr>
          <w:color w:val="000000"/>
          <w:lang w:eastAsia="fr-FR"/>
        </w:rPr>
        <w:t xml:space="preserve"> A la ligne « autres combustibles liquides » du tableau du I, à la colonne « NOx », après le </w:t>
      </w:r>
      <w:r w:rsidR="004412A9">
        <w:rPr>
          <w:color w:val="000000"/>
          <w:lang w:eastAsia="fr-FR"/>
        </w:rPr>
        <w:t xml:space="preserve">nombre </w:t>
      </w:r>
      <w:r w:rsidR="00CB0156">
        <w:rPr>
          <w:color w:val="000000"/>
          <w:lang w:eastAsia="fr-FR"/>
        </w:rPr>
        <w:t xml:space="preserve">« 50 » </w:t>
      </w:r>
      <w:r w:rsidR="004412A9">
        <w:rPr>
          <w:color w:val="000000"/>
          <w:lang w:eastAsia="fr-FR"/>
        </w:rPr>
        <w:t xml:space="preserve">est </w:t>
      </w:r>
      <w:r w:rsidR="00CB0156">
        <w:rPr>
          <w:color w:val="000000"/>
          <w:lang w:eastAsia="fr-FR"/>
        </w:rPr>
        <w:t>inséré</w:t>
      </w:r>
      <w:r w:rsidR="004412A9">
        <w:rPr>
          <w:color w:val="000000"/>
          <w:lang w:eastAsia="fr-FR"/>
        </w:rPr>
        <w:t>e</w:t>
      </w:r>
      <w:r w:rsidR="00CB0156">
        <w:rPr>
          <w:color w:val="000000"/>
          <w:lang w:eastAsia="fr-FR"/>
        </w:rPr>
        <w:t xml:space="preserve"> </w:t>
      </w:r>
      <w:r w:rsidR="004412A9">
        <w:rPr>
          <w:color w:val="000000"/>
          <w:lang w:eastAsia="fr-FR"/>
        </w:rPr>
        <w:t>la référence</w:t>
      </w:r>
      <w:r w:rsidR="00CB0156">
        <w:rPr>
          <w:color w:val="000000"/>
          <w:lang w:eastAsia="fr-FR"/>
        </w:rPr>
        <w:t xml:space="preserve"> : </w:t>
      </w:r>
      <w:r w:rsidR="00F83D5A">
        <w:rPr>
          <w:color w:val="000000"/>
          <w:lang w:eastAsia="fr-FR"/>
        </w:rPr>
        <w:t>« </w:t>
      </w:r>
      <w:r w:rsidR="00CB0156">
        <w:rPr>
          <w:color w:val="000000"/>
          <w:lang w:eastAsia="fr-FR"/>
        </w:rPr>
        <w:t>(5)</w:t>
      </w:r>
      <w:r w:rsidR="00F83D5A">
        <w:rPr>
          <w:color w:val="000000"/>
          <w:lang w:eastAsia="fr-FR"/>
        </w:rPr>
        <w:t> »</w:t>
      </w:r>
      <w:r w:rsidR="00CB0156">
        <w:rPr>
          <w:color w:val="000000"/>
          <w:lang w:eastAsia="fr-FR"/>
        </w:rPr>
        <w:t>.</w:t>
      </w:r>
    </w:p>
    <w:p w14:paraId="05BCCB28" w14:textId="36608D85" w:rsidR="00CB0156" w:rsidRPr="0064331C" w:rsidRDefault="006A72C4" w:rsidP="002B0DC1">
      <w:pPr>
        <w:jc w:val="both"/>
        <w:rPr>
          <w:color w:val="000000"/>
          <w:lang w:eastAsia="fr-FR"/>
        </w:rPr>
      </w:pPr>
      <w:r>
        <w:rPr>
          <w:color w:val="000000"/>
          <w:lang w:eastAsia="fr-FR"/>
        </w:rPr>
        <w:t>4°</w:t>
      </w:r>
      <w:r w:rsidR="00CB0156">
        <w:rPr>
          <w:color w:val="000000"/>
          <w:lang w:eastAsia="fr-FR"/>
        </w:rPr>
        <w:t xml:space="preserve"> </w:t>
      </w:r>
      <w:r w:rsidR="00CB0156" w:rsidRPr="0064331C">
        <w:rPr>
          <w:color w:val="000000"/>
          <w:lang w:eastAsia="fr-FR"/>
        </w:rPr>
        <w:t>Le point II est modifié comme suit :</w:t>
      </w:r>
    </w:p>
    <w:p w14:paraId="04A71265" w14:textId="38851111" w:rsidR="00322B28" w:rsidRPr="00CB0156" w:rsidRDefault="004412A9" w:rsidP="002B0DC1">
      <w:pPr>
        <w:pStyle w:val="Titredetableau"/>
        <w:numPr>
          <w:ilvl w:val="0"/>
          <w:numId w:val="3"/>
        </w:numPr>
        <w:spacing w:after="240"/>
        <w:jc w:val="both"/>
        <w:rPr>
          <w:b w:val="0"/>
          <w:bCs w:val="0"/>
          <w:color w:val="000000"/>
        </w:rPr>
      </w:pPr>
      <w:proofErr w:type="gramStart"/>
      <w:r>
        <w:rPr>
          <w:b w:val="0"/>
          <w:bCs w:val="0"/>
          <w:color w:val="000000"/>
        </w:rPr>
        <w:t>la</w:t>
      </w:r>
      <w:proofErr w:type="gramEnd"/>
      <w:r>
        <w:rPr>
          <w:b w:val="0"/>
          <w:bCs w:val="0"/>
          <w:color w:val="000000"/>
        </w:rPr>
        <w:t xml:space="preserve"> référence </w:t>
      </w:r>
      <w:r w:rsidR="00322B28" w:rsidRPr="00CB0156">
        <w:rPr>
          <w:b w:val="0"/>
          <w:bCs w:val="0"/>
          <w:color w:val="000000"/>
          <w:lang w:eastAsia="fr-FR"/>
        </w:rPr>
        <w:t>« II.- » </w:t>
      </w:r>
      <w:r>
        <w:rPr>
          <w:b w:val="0"/>
          <w:bCs w:val="0"/>
          <w:color w:val="000000"/>
          <w:lang w:eastAsia="fr-FR"/>
        </w:rPr>
        <w:t>est</w:t>
      </w:r>
      <w:r w:rsidRPr="00CB0156">
        <w:rPr>
          <w:b w:val="0"/>
          <w:bCs w:val="0"/>
          <w:color w:val="000000"/>
          <w:lang w:eastAsia="fr-FR"/>
        </w:rPr>
        <w:t xml:space="preserve"> </w:t>
      </w:r>
      <w:r w:rsidR="00322B28" w:rsidRPr="00CB0156">
        <w:rPr>
          <w:b w:val="0"/>
          <w:bCs w:val="0"/>
          <w:color w:val="000000"/>
          <w:lang w:eastAsia="fr-FR"/>
        </w:rPr>
        <w:t>remplacé</w:t>
      </w:r>
      <w:r>
        <w:rPr>
          <w:b w:val="0"/>
          <w:bCs w:val="0"/>
          <w:color w:val="000000"/>
          <w:lang w:eastAsia="fr-FR"/>
        </w:rPr>
        <w:t>e</w:t>
      </w:r>
      <w:r w:rsidR="00322B28" w:rsidRPr="00CB0156">
        <w:rPr>
          <w:b w:val="0"/>
          <w:bCs w:val="0"/>
          <w:color w:val="000000"/>
          <w:lang w:eastAsia="fr-FR"/>
        </w:rPr>
        <w:t xml:space="preserve"> par </w:t>
      </w:r>
      <w:r>
        <w:rPr>
          <w:b w:val="0"/>
          <w:bCs w:val="0"/>
          <w:color w:val="000000"/>
          <w:lang w:eastAsia="fr-FR"/>
        </w:rPr>
        <w:t xml:space="preserve">les mots : </w:t>
      </w:r>
      <w:r w:rsidR="00322B28" w:rsidRPr="00CB0156">
        <w:rPr>
          <w:b w:val="0"/>
          <w:bCs w:val="0"/>
          <w:color w:val="000000"/>
          <w:lang w:eastAsia="fr-FR"/>
        </w:rPr>
        <w:t xml:space="preserve">« b) </w:t>
      </w:r>
      <w:r w:rsidR="00322B28">
        <w:rPr>
          <w:b w:val="0"/>
          <w:bCs w:val="0"/>
          <w:color w:val="000000"/>
          <w:lang w:eastAsia="fr-FR"/>
        </w:rPr>
        <w:t>Turbines autorisées avant le 1</w:t>
      </w:r>
      <w:r w:rsidR="00322B28" w:rsidRPr="00322B28">
        <w:rPr>
          <w:b w:val="0"/>
          <w:bCs w:val="0"/>
          <w:color w:val="000000"/>
          <w:vertAlign w:val="superscript"/>
          <w:lang w:eastAsia="fr-FR"/>
        </w:rPr>
        <w:t>er</w:t>
      </w:r>
      <w:r w:rsidR="00322B28">
        <w:rPr>
          <w:b w:val="0"/>
          <w:bCs w:val="0"/>
          <w:color w:val="000000"/>
          <w:lang w:eastAsia="fr-FR"/>
        </w:rPr>
        <w:t xml:space="preserve"> janvier 2014</w:t>
      </w:r>
      <w:r w:rsidR="00322B28" w:rsidRPr="00CB0156">
        <w:rPr>
          <w:b w:val="0"/>
          <w:bCs w:val="0"/>
          <w:color w:val="000000"/>
          <w:lang w:eastAsia="fr-FR"/>
        </w:rPr>
        <w:t> »</w:t>
      </w:r>
      <w:r w:rsidR="00322B28" w:rsidRPr="00CB0156">
        <w:rPr>
          <w:b w:val="0"/>
          <w:bCs w:val="0"/>
          <w:color w:val="000000"/>
        </w:rPr>
        <w:t> ;</w:t>
      </w:r>
    </w:p>
    <w:p w14:paraId="187967AA" w14:textId="3C765912" w:rsidR="00322B28" w:rsidRPr="00322B28" w:rsidRDefault="00322B28" w:rsidP="002B0DC1">
      <w:pPr>
        <w:pStyle w:val="Titredetableau"/>
        <w:numPr>
          <w:ilvl w:val="0"/>
          <w:numId w:val="3"/>
        </w:numPr>
        <w:spacing w:after="240"/>
        <w:jc w:val="both"/>
        <w:rPr>
          <w:b w:val="0"/>
          <w:bCs w:val="0"/>
          <w:color w:val="000000"/>
          <w:lang w:eastAsia="fr-FR"/>
        </w:rPr>
      </w:pPr>
      <w:proofErr w:type="gramStart"/>
      <w:r w:rsidRPr="00322B28">
        <w:rPr>
          <w:b w:val="0"/>
          <w:bCs w:val="0"/>
          <w:color w:val="000000"/>
        </w:rPr>
        <w:t>après</w:t>
      </w:r>
      <w:proofErr w:type="gramEnd"/>
      <w:r w:rsidRPr="00322B28">
        <w:rPr>
          <w:b w:val="0"/>
          <w:bCs w:val="0"/>
          <w:color w:val="000000"/>
        </w:rPr>
        <w:t xml:space="preserve"> les mots</w:t>
      </w:r>
      <w:r w:rsidR="00B83839">
        <w:rPr>
          <w:b w:val="0"/>
          <w:bCs w:val="0"/>
          <w:color w:val="000000"/>
        </w:rPr>
        <w:t xml:space="preserve"> : </w:t>
      </w:r>
      <w:r w:rsidRPr="00322B28">
        <w:rPr>
          <w:b w:val="0"/>
          <w:bCs w:val="0"/>
          <w:color w:val="000000"/>
        </w:rPr>
        <w:t>« qui ne relèvent pas</w:t>
      </w:r>
      <w:r w:rsidR="009B784E">
        <w:rPr>
          <w:b w:val="0"/>
          <w:bCs w:val="0"/>
          <w:color w:val="000000"/>
        </w:rPr>
        <w:t xml:space="preserve"> </w:t>
      </w:r>
      <w:r w:rsidRPr="00322B28">
        <w:rPr>
          <w:b w:val="0"/>
          <w:bCs w:val="0"/>
          <w:color w:val="000000"/>
        </w:rPr>
        <w:t xml:space="preserve">» </w:t>
      </w:r>
      <w:r w:rsidR="009B784E">
        <w:rPr>
          <w:b w:val="0"/>
          <w:bCs w:val="0"/>
          <w:color w:val="000000"/>
        </w:rPr>
        <w:t>sont</w:t>
      </w:r>
      <w:r w:rsidR="009B784E" w:rsidRPr="00322B28">
        <w:rPr>
          <w:b w:val="0"/>
          <w:bCs w:val="0"/>
          <w:color w:val="000000"/>
        </w:rPr>
        <w:t xml:space="preserve"> </w:t>
      </w:r>
      <w:r w:rsidRPr="00322B28">
        <w:rPr>
          <w:b w:val="0"/>
          <w:bCs w:val="0"/>
          <w:color w:val="000000"/>
        </w:rPr>
        <w:t>inséré</w:t>
      </w:r>
      <w:r w:rsidR="009B784E">
        <w:rPr>
          <w:b w:val="0"/>
          <w:bCs w:val="0"/>
          <w:color w:val="000000"/>
        </w:rPr>
        <w:t>s</w:t>
      </w:r>
      <w:r w:rsidRPr="00322B28">
        <w:rPr>
          <w:b w:val="0"/>
          <w:bCs w:val="0"/>
          <w:color w:val="000000"/>
        </w:rPr>
        <w:t xml:space="preserve"> le</w:t>
      </w:r>
      <w:r w:rsidR="009B784E">
        <w:rPr>
          <w:b w:val="0"/>
          <w:bCs w:val="0"/>
          <w:color w:val="000000"/>
        </w:rPr>
        <w:t>s</w:t>
      </w:r>
      <w:r w:rsidRPr="00322B28">
        <w:rPr>
          <w:b w:val="0"/>
          <w:bCs w:val="0"/>
          <w:color w:val="000000"/>
        </w:rPr>
        <w:t xml:space="preserve"> mot</w:t>
      </w:r>
      <w:r w:rsidR="009B784E">
        <w:rPr>
          <w:b w:val="0"/>
          <w:bCs w:val="0"/>
          <w:color w:val="000000"/>
        </w:rPr>
        <w:t>s</w:t>
      </w:r>
      <w:r w:rsidRPr="00322B28">
        <w:rPr>
          <w:b w:val="0"/>
          <w:bCs w:val="0"/>
          <w:color w:val="000000"/>
        </w:rPr>
        <w:t xml:space="preserve"> « </w:t>
      </w:r>
      <w:r w:rsidR="009B784E">
        <w:rPr>
          <w:b w:val="0"/>
          <w:bCs w:val="0"/>
          <w:color w:val="000000"/>
        </w:rPr>
        <w:t xml:space="preserve">du </w:t>
      </w:r>
      <w:r w:rsidRPr="00322B28">
        <w:rPr>
          <w:b w:val="0"/>
          <w:bCs w:val="0"/>
          <w:color w:val="000000"/>
        </w:rPr>
        <w:t>a) » ;</w:t>
      </w:r>
    </w:p>
    <w:p w14:paraId="1F192423" w14:textId="1E346FFA" w:rsidR="00CB0156" w:rsidRPr="00322B28" w:rsidRDefault="00322B28" w:rsidP="002B0DC1">
      <w:pPr>
        <w:pStyle w:val="Titredetableau"/>
        <w:numPr>
          <w:ilvl w:val="0"/>
          <w:numId w:val="3"/>
        </w:numPr>
        <w:spacing w:after="240"/>
        <w:jc w:val="both"/>
        <w:rPr>
          <w:b w:val="0"/>
          <w:bCs w:val="0"/>
        </w:rPr>
      </w:pPr>
      <w:proofErr w:type="gramStart"/>
      <w:r w:rsidRPr="00322B28">
        <w:rPr>
          <w:b w:val="0"/>
          <w:bCs w:val="0"/>
          <w:color w:val="000000"/>
        </w:rPr>
        <w:t>à</w:t>
      </w:r>
      <w:proofErr w:type="gramEnd"/>
      <w:r w:rsidRPr="00322B28">
        <w:rPr>
          <w:b w:val="0"/>
          <w:bCs w:val="0"/>
          <w:color w:val="000000"/>
        </w:rPr>
        <w:t xml:space="preserve"> la ligne</w:t>
      </w:r>
      <w:r w:rsidR="00B83839">
        <w:rPr>
          <w:b w:val="0"/>
          <w:bCs w:val="0"/>
          <w:color w:val="000000"/>
        </w:rPr>
        <w:t> :</w:t>
      </w:r>
      <w:r w:rsidRPr="00322B28">
        <w:rPr>
          <w:b w:val="0"/>
          <w:bCs w:val="0"/>
          <w:color w:val="000000"/>
        </w:rPr>
        <w:t xml:space="preserve"> « autres combustibles liquides » du tableau</w:t>
      </w:r>
      <w:r w:rsidR="009B784E">
        <w:rPr>
          <w:b w:val="0"/>
          <w:bCs w:val="0"/>
          <w:color w:val="000000"/>
        </w:rPr>
        <w:t>,</w:t>
      </w:r>
      <w:r w:rsidRPr="00322B28">
        <w:rPr>
          <w:b w:val="0"/>
          <w:bCs w:val="0"/>
          <w:color w:val="000000"/>
        </w:rPr>
        <w:t xml:space="preserve"> à la colonne</w:t>
      </w:r>
      <w:r w:rsidR="00B83839">
        <w:rPr>
          <w:b w:val="0"/>
          <w:bCs w:val="0"/>
          <w:color w:val="000000"/>
        </w:rPr>
        <w:t xml:space="preserve"> : </w:t>
      </w:r>
      <w:r w:rsidRPr="00322B28">
        <w:rPr>
          <w:b w:val="0"/>
          <w:bCs w:val="0"/>
          <w:color w:val="000000"/>
        </w:rPr>
        <w:t xml:space="preserve">« NOx », après les mots : « 90 (5) » </w:t>
      </w:r>
      <w:r w:rsidR="009B784E">
        <w:rPr>
          <w:b w:val="0"/>
          <w:bCs w:val="0"/>
          <w:color w:val="000000"/>
        </w:rPr>
        <w:t>est</w:t>
      </w:r>
      <w:r w:rsidR="009B784E" w:rsidRPr="00322B28">
        <w:rPr>
          <w:b w:val="0"/>
          <w:bCs w:val="0"/>
          <w:color w:val="000000"/>
        </w:rPr>
        <w:t xml:space="preserve"> </w:t>
      </w:r>
      <w:r w:rsidRPr="00322B28">
        <w:rPr>
          <w:b w:val="0"/>
          <w:bCs w:val="0"/>
          <w:color w:val="000000"/>
        </w:rPr>
        <w:t>ajouté</w:t>
      </w:r>
      <w:r w:rsidR="009B784E">
        <w:rPr>
          <w:b w:val="0"/>
          <w:bCs w:val="0"/>
          <w:color w:val="000000"/>
        </w:rPr>
        <w:t>e</w:t>
      </w:r>
      <w:r w:rsidRPr="00322B28">
        <w:rPr>
          <w:b w:val="0"/>
          <w:bCs w:val="0"/>
          <w:color w:val="000000"/>
        </w:rPr>
        <w:t xml:space="preserve"> </w:t>
      </w:r>
      <w:r w:rsidR="009B784E">
        <w:rPr>
          <w:b w:val="0"/>
          <w:bCs w:val="0"/>
          <w:color w:val="000000"/>
        </w:rPr>
        <w:t>la référence</w:t>
      </w:r>
      <w:r w:rsidR="00B83839">
        <w:rPr>
          <w:b w:val="0"/>
          <w:bCs w:val="0"/>
          <w:color w:val="000000"/>
        </w:rPr>
        <w:t xml:space="preserve"> : </w:t>
      </w:r>
      <w:r w:rsidRPr="00322B28">
        <w:rPr>
          <w:b w:val="0"/>
          <w:bCs w:val="0"/>
          <w:color w:val="000000"/>
        </w:rPr>
        <w:t>« (6) ».</w:t>
      </w:r>
    </w:p>
    <w:p w14:paraId="11AB0B84" w14:textId="252DFAF1" w:rsidR="00322B28" w:rsidRDefault="006A72C4" w:rsidP="002B0DC1">
      <w:pPr>
        <w:pStyle w:val="Titredetableau"/>
        <w:spacing w:after="240"/>
        <w:jc w:val="both"/>
        <w:rPr>
          <w:b w:val="0"/>
          <w:bCs w:val="0"/>
          <w:color w:val="000000"/>
        </w:rPr>
      </w:pPr>
      <w:r>
        <w:rPr>
          <w:b w:val="0"/>
          <w:bCs w:val="0"/>
          <w:color w:val="000000"/>
        </w:rPr>
        <w:t>5°</w:t>
      </w:r>
      <w:r w:rsidR="00322B28">
        <w:rPr>
          <w:b w:val="0"/>
          <w:bCs w:val="0"/>
          <w:color w:val="000000"/>
        </w:rPr>
        <w:t xml:space="preserve"> Le point « III.- » est modifié comme suit :</w:t>
      </w:r>
    </w:p>
    <w:p w14:paraId="2E072908" w14:textId="0E9DD7BF" w:rsidR="00322B28" w:rsidRPr="00CB0156" w:rsidRDefault="009B784E" w:rsidP="002B0DC1">
      <w:pPr>
        <w:pStyle w:val="Titredetableau"/>
        <w:numPr>
          <w:ilvl w:val="0"/>
          <w:numId w:val="3"/>
        </w:numPr>
        <w:spacing w:after="240"/>
        <w:jc w:val="both"/>
        <w:rPr>
          <w:b w:val="0"/>
          <w:bCs w:val="0"/>
          <w:color w:val="000000"/>
        </w:rPr>
      </w:pPr>
      <w:proofErr w:type="gramStart"/>
      <w:r>
        <w:rPr>
          <w:b w:val="0"/>
          <w:bCs w:val="0"/>
          <w:color w:val="000000"/>
        </w:rPr>
        <w:t>la</w:t>
      </w:r>
      <w:proofErr w:type="gramEnd"/>
      <w:r>
        <w:rPr>
          <w:b w:val="0"/>
          <w:bCs w:val="0"/>
          <w:color w:val="000000"/>
        </w:rPr>
        <w:t xml:space="preserve"> référence</w:t>
      </w:r>
      <w:r w:rsidR="00B83839">
        <w:rPr>
          <w:b w:val="0"/>
          <w:bCs w:val="0"/>
          <w:color w:val="000000"/>
          <w:lang w:eastAsia="fr-FR"/>
        </w:rPr>
        <w:t xml:space="preserve"> : </w:t>
      </w:r>
      <w:r w:rsidR="00322B28" w:rsidRPr="00CB0156">
        <w:rPr>
          <w:b w:val="0"/>
          <w:bCs w:val="0"/>
          <w:color w:val="000000"/>
          <w:lang w:eastAsia="fr-FR"/>
        </w:rPr>
        <w:t>« I</w:t>
      </w:r>
      <w:r w:rsidR="00322B28">
        <w:rPr>
          <w:b w:val="0"/>
          <w:bCs w:val="0"/>
          <w:color w:val="000000"/>
          <w:lang w:eastAsia="fr-FR"/>
        </w:rPr>
        <w:t>I</w:t>
      </w:r>
      <w:r w:rsidR="00322B28" w:rsidRPr="00CB0156">
        <w:rPr>
          <w:b w:val="0"/>
          <w:bCs w:val="0"/>
          <w:color w:val="000000"/>
          <w:lang w:eastAsia="fr-FR"/>
        </w:rPr>
        <w:t>I.- » </w:t>
      </w:r>
      <w:r>
        <w:rPr>
          <w:b w:val="0"/>
          <w:bCs w:val="0"/>
          <w:color w:val="000000"/>
          <w:lang w:eastAsia="fr-FR"/>
        </w:rPr>
        <w:t>est remplacée par les mots :</w:t>
      </w:r>
      <w:r w:rsidR="00322B28" w:rsidRPr="00CB0156">
        <w:rPr>
          <w:b w:val="0"/>
          <w:bCs w:val="0"/>
          <w:color w:val="000000"/>
          <w:lang w:eastAsia="fr-FR"/>
        </w:rPr>
        <w:t xml:space="preserve"> « </w:t>
      </w:r>
      <w:r w:rsidR="00322B28">
        <w:rPr>
          <w:b w:val="0"/>
          <w:bCs w:val="0"/>
          <w:color w:val="000000"/>
          <w:lang w:eastAsia="fr-FR"/>
        </w:rPr>
        <w:t>c</w:t>
      </w:r>
      <w:r w:rsidR="00322B28" w:rsidRPr="00CB0156">
        <w:rPr>
          <w:b w:val="0"/>
          <w:bCs w:val="0"/>
          <w:color w:val="000000"/>
          <w:lang w:eastAsia="fr-FR"/>
        </w:rPr>
        <w:t xml:space="preserve">) </w:t>
      </w:r>
      <w:r w:rsidR="00322B28">
        <w:rPr>
          <w:b w:val="0"/>
          <w:bCs w:val="0"/>
          <w:color w:val="000000"/>
          <w:lang w:eastAsia="fr-FR"/>
        </w:rPr>
        <w:t>Conditions d’application des valeurs limites d’émissions des points a) et b)</w:t>
      </w:r>
      <w:r w:rsidR="00322B28" w:rsidRPr="00CB0156">
        <w:rPr>
          <w:b w:val="0"/>
          <w:bCs w:val="0"/>
          <w:color w:val="000000"/>
          <w:lang w:eastAsia="fr-FR"/>
        </w:rPr>
        <w:t> »</w:t>
      </w:r>
      <w:r w:rsidR="00322B28" w:rsidRPr="00CB0156">
        <w:rPr>
          <w:b w:val="0"/>
          <w:bCs w:val="0"/>
          <w:color w:val="000000"/>
        </w:rPr>
        <w:t> ;</w:t>
      </w:r>
    </w:p>
    <w:p w14:paraId="63BDF677" w14:textId="7EB8B251" w:rsidR="00322B28" w:rsidRPr="00322B28" w:rsidRDefault="00322B28" w:rsidP="002B0DC1">
      <w:pPr>
        <w:pStyle w:val="Titredetableau"/>
        <w:numPr>
          <w:ilvl w:val="0"/>
          <w:numId w:val="3"/>
        </w:numPr>
        <w:spacing w:after="240"/>
        <w:jc w:val="both"/>
        <w:rPr>
          <w:b w:val="0"/>
          <w:bCs w:val="0"/>
          <w:color w:val="000000"/>
          <w:lang w:eastAsia="fr-FR"/>
        </w:rPr>
      </w:pPr>
      <w:proofErr w:type="gramStart"/>
      <w:r>
        <w:rPr>
          <w:b w:val="0"/>
          <w:bCs w:val="0"/>
          <w:color w:val="000000"/>
        </w:rPr>
        <w:t>le</w:t>
      </w:r>
      <w:proofErr w:type="gramEnd"/>
      <w:r>
        <w:rPr>
          <w:b w:val="0"/>
          <w:bCs w:val="0"/>
          <w:color w:val="000000"/>
        </w:rPr>
        <w:t xml:space="preserve"> mot</w:t>
      </w:r>
      <w:r w:rsidR="00B83839">
        <w:rPr>
          <w:b w:val="0"/>
          <w:bCs w:val="0"/>
          <w:color w:val="000000"/>
        </w:rPr>
        <w:t xml:space="preserve"> : </w:t>
      </w:r>
      <w:r>
        <w:rPr>
          <w:b w:val="0"/>
          <w:bCs w:val="0"/>
          <w:color w:val="000000"/>
        </w:rPr>
        <w:t xml:space="preserve">« article » est remplacé par </w:t>
      </w:r>
      <w:r w:rsidR="009B784E">
        <w:rPr>
          <w:b w:val="0"/>
          <w:bCs w:val="0"/>
          <w:color w:val="000000"/>
        </w:rPr>
        <w:t>la référence</w:t>
      </w:r>
      <w:r w:rsidR="00B83839">
        <w:rPr>
          <w:b w:val="0"/>
          <w:bCs w:val="0"/>
          <w:color w:val="000000"/>
        </w:rPr>
        <w:t> :</w:t>
      </w:r>
      <w:r>
        <w:rPr>
          <w:b w:val="0"/>
          <w:bCs w:val="0"/>
          <w:color w:val="000000"/>
        </w:rPr>
        <w:t xml:space="preserve"> « I ».</w:t>
      </w:r>
    </w:p>
    <w:p w14:paraId="616C63C8" w14:textId="2CC4CBDF" w:rsidR="00322B28" w:rsidRDefault="006A72C4" w:rsidP="002B0DC1">
      <w:pPr>
        <w:pStyle w:val="Titredetableau"/>
        <w:spacing w:after="240"/>
        <w:jc w:val="both"/>
        <w:rPr>
          <w:b w:val="0"/>
          <w:bCs w:val="0"/>
          <w:color w:val="000000"/>
        </w:rPr>
      </w:pPr>
      <w:r>
        <w:rPr>
          <w:b w:val="0"/>
          <w:bCs w:val="0"/>
          <w:color w:val="000000"/>
        </w:rPr>
        <w:t>6°</w:t>
      </w:r>
      <w:r w:rsidR="00322B28">
        <w:rPr>
          <w:b w:val="0"/>
          <w:bCs w:val="0"/>
          <w:color w:val="000000"/>
        </w:rPr>
        <w:t xml:space="preserve"> L’article 11 est complété par les dispositions suivantes :</w:t>
      </w:r>
    </w:p>
    <w:p w14:paraId="0762DC1C" w14:textId="07D17445" w:rsidR="00075803" w:rsidRDefault="00322B28" w:rsidP="002B0DC1">
      <w:pPr>
        <w:spacing w:after="240"/>
        <w:jc w:val="both"/>
        <w:rPr>
          <w:lang w:eastAsia="fr-FR"/>
        </w:rPr>
      </w:pPr>
      <w:r>
        <w:rPr>
          <w:lang w:eastAsia="fr-FR"/>
        </w:rPr>
        <w:t>« </w:t>
      </w:r>
      <w:r w:rsidRPr="00322B28">
        <w:rPr>
          <w:lang w:eastAsia="fr-FR"/>
        </w:rPr>
        <w:t xml:space="preserve">II. – </w:t>
      </w:r>
      <w:bookmarkStart w:id="24" w:name="_Hlk170134347"/>
      <w:r w:rsidR="00075803" w:rsidRPr="00075803">
        <w:rPr>
          <w:lang w:eastAsia="fr-FR"/>
        </w:rPr>
        <w:t xml:space="preserve">Les dispositions du présent II s’appliquent aux turbines de puissance supérieure ou égale à 15 MW dans les délais mentionnés </w:t>
      </w:r>
      <w:r w:rsidR="00D9011B">
        <w:rPr>
          <w:lang w:eastAsia="fr-FR"/>
        </w:rPr>
        <w:t>au VII de l’article 3</w:t>
      </w:r>
      <w:r w:rsidR="00075803" w:rsidRPr="00075803">
        <w:rPr>
          <w:lang w:eastAsia="fr-FR"/>
        </w:rPr>
        <w:t xml:space="preserve"> du présent arrêté.</w:t>
      </w:r>
      <w:bookmarkEnd w:id="24"/>
    </w:p>
    <w:p w14:paraId="23435072" w14:textId="050221D7" w:rsidR="00322B28" w:rsidRPr="00322B28" w:rsidRDefault="00322B28" w:rsidP="002B0DC1">
      <w:pPr>
        <w:spacing w:after="240"/>
        <w:jc w:val="both"/>
        <w:rPr>
          <w:bCs/>
          <w:lang w:eastAsia="fr-FR"/>
        </w:rPr>
      </w:pPr>
      <w:r>
        <w:rPr>
          <w:bCs/>
          <w:lang w:eastAsia="fr-FR"/>
        </w:rPr>
        <w:t>« </w:t>
      </w:r>
      <w:proofErr w:type="gramStart"/>
      <w:r w:rsidRPr="00322B28">
        <w:rPr>
          <w:bCs/>
          <w:lang w:eastAsia="fr-FR"/>
        </w:rPr>
        <w:t>a</w:t>
      </w:r>
      <w:proofErr w:type="gramEnd"/>
      <w:r w:rsidRPr="00322B28">
        <w:rPr>
          <w:bCs/>
          <w:lang w:eastAsia="fr-FR"/>
        </w:rPr>
        <w:t xml:space="preserve">) Turbines </w:t>
      </w:r>
      <w:r w:rsidR="00CC6C5E">
        <w:rPr>
          <w:bCs/>
          <w:lang w:eastAsia="fr-FR"/>
        </w:rPr>
        <w:t>autorisées</w:t>
      </w:r>
      <w:r w:rsidRPr="00322B28">
        <w:rPr>
          <w:bCs/>
          <w:lang w:eastAsia="fr-FR"/>
        </w:rPr>
        <w:t xml:space="preserve"> </w:t>
      </w:r>
      <w:r w:rsidR="006B21BB">
        <w:rPr>
          <w:bCs/>
          <w:lang w:eastAsia="fr-FR"/>
        </w:rPr>
        <w:t>à compter du</w:t>
      </w:r>
      <w:r w:rsidRPr="00322B28">
        <w:rPr>
          <w:bCs/>
          <w:lang w:eastAsia="fr-FR"/>
        </w:rPr>
        <w:t xml:space="preserve"> 17 août 2017</w:t>
      </w:r>
    </w:p>
    <w:p w14:paraId="5AF95A57" w14:textId="64446B8A" w:rsidR="00322B28" w:rsidRPr="00322B28" w:rsidRDefault="00322B28" w:rsidP="002B0DC1">
      <w:pPr>
        <w:jc w:val="both"/>
        <w:rPr>
          <w:bCs/>
          <w:lang w:eastAsia="fr-FR"/>
        </w:rPr>
      </w:pPr>
      <w:r>
        <w:rPr>
          <w:bCs/>
          <w:lang w:eastAsia="fr-FR"/>
        </w:rPr>
        <w:t>« </w:t>
      </w:r>
      <w:r w:rsidRPr="00322B28">
        <w:rPr>
          <w:bCs/>
          <w:lang w:eastAsia="fr-FR"/>
        </w:rPr>
        <w:t>Pour les polluants et combustibles pour lesquels aucune valeur limite d’émission n’est mentionnée dans le tableau ci-dessous, les valeurs limites applicables sont celles du</w:t>
      </w:r>
      <w:r w:rsidR="00316A25">
        <w:rPr>
          <w:bCs/>
          <w:lang w:eastAsia="fr-FR"/>
        </w:rPr>
        <w:t xml:space="preserve"> point a) du</w:t>
      </w:r>
      <w:r w:rsidRPr="00322B28">
        <w:rPr>
          <w:bCs/>
          <w:lang w:eastAsia="fr-FR"/>
        </w:rPr>
        <w:t xml:space="preserve"> I du présent article.</w:t>
      </w:r>
    </w:p>
    <w:p w14:paraId="2B0BA52E" w14:textId="0490F412" w:rsidR="00322B28" w:rsidRPr="00322B28" w:rsidRDefault="00322B28" w:rsidP="002B0DC1">
      <w:pPr>
        <w:jc w:val="both"/>
        <w:rPr>
          <w:bCs/>
          <w:lang w:eastAsia="fr-FR"/>
        </w:rPr>
      </w:pPr>
      <w:r>
        <w:rPr>
          <w:bCs/>
          <w:lang w:eastAsia="fr-FR"/>
        </w:rPr>
        <w:t>« </w:t>
      </w:r>
      <w:r w:rsidRPr="00322B28">
        <w:rPr>
          <w:bCs/>
          <w:lang w:eastAsia="fr-FR"/>
        </w:rPr>
        <w:t xml:space="preserve">Pour les installations </w:t>
      </w:r>
      <w:r w:rsidR="0094246F">
        <w:rPr>
          <w:bCs/>
          <w:lang w:eastAsia="fr-FR"/>
        </w:rPr>
        <w:t xml:space="preserve">de combustion </w:t>
      </w:r>
      <w:r w:rsidRPr="00322B28">
        <w:rPr>
          <w:bCs/>
          <w:lang w:eastAsia="fr-FR"/>
        </w:rPr>
        <w:t xml:space="preserve">exploitées moins de 500 heures par an, seules les dispositions </w:t>
      </w:r>
      <w:r w:rsidR="00316A25">
        <w:rPr>
          <w:bCs/>
          <w:lang w:eastAsia="fr-FR"/>
        </w:rPr>
        <w:t xml:space="preserve">du I </w:t>
      </w:r>
      <w:r w:rsidRPr="00322B28">
        <w:rPr>
          <w:bCs/>
          <w:lang w:eastAsia="fr-FR"/>
        </w:rPr>
        <w:t>de l’article 11 s’appliquent.</w:t>
      </w:r>
    </w:p>
    <w:p w14:paraId="5F12EA6B" w14:textId="77777777" w:rsidR="00322B28" w:rsidRDefault="00322B28" w:rsidP="002B0DC1">
      <w:pPr>
        <w:jc w:val="both"/>
        <w:rPr>
          <w:rFonts w:ascii="Arial" w:hAnsi="Arial" w:cs="Arial"/>
          <w:bCs/>
          <w:color w:val="4A5E81"/>
          <w:sz w:val="21"/>
          <w:szCs w:val="21"/>
          <w:lang w:eastAsia="fr-FR"/>
        </w:rPr>
      </w:pPr>
    </w:p>
    <w:tbl>
      <w:tblPr>
        <w:tblW w:w="10004"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44"/>
        <w:gridCol w:w="1852"/>
        <w:gridCol w:w="732"/>
        <w:gridCol w:w="685"/>
        <w:gridCol w:w="685"/>
        <w:gridCol w:w="733"/>
        <w:gridCol w:w="685"/>
        <w:gridCol w:w="685"/>
        <w:gridCol w:w="733"/>
        <w:gridCol w:w="685"/>
        <w:gridCol w:w="685"/>
      </w:tblGrid>
      <w:tr w:rsidR="00322B28" w:rsidRPr="003648F5" w14:paraId="6CD87845" w14:textId="77777777" w:rsidTr="005D385E">
        <w:trPr>
          <w:jc w:val="center"/>
        </w:trPr>
        <w:tc>
          <w:tcPr>
            <w:tcW w:w="1844" w:type="dxa"/>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hideMark/>
          </w:tcPr>
          <w:p w14:paraId="73B8017B" w14:textId="77777777" w:rsidR="00322B28" w:rsidRDefault="00322B28" w:rsidP="005D385E">
            <w:pPr>
              <w:jc w:val="center"/>
              <w:rPr>
                <w:b/>
                <w:bCs/>
                <w:color w:val="FFFFFF"/>
                <w:sz w:val="21"/>
                <w:szCs w:val="21"/>
                <w:lang w:eastAsia="fr-FR"/>
              </w:rPr>
            </w:pPr>
          </w:p>
          <w:p w14:paraId="751DBA20"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Combustible</w:t>
            </w:r>
          </w:p>
        </w:tc>
        <w:tc>
          <w:tcPr>
            <w:tcW w:w="1852" w:type="dxa"/>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hideMark/>
          </w:tcPr>
          <w:p w14:paraId="107A53F1"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Puissance P (MW)</w:t>
            </w:r>
          </w:p>
        </w:tc>
        <w:tc>
          <w:tcPr>
            <w:tcW w:w="2102" w:type="dxa"/>
            <w:gridSpan w:val="3"/>
            <w:tcBorders>
              <w:top w:val="outset" w:sz="6" w:space="0" w:color="auto"/>
              <w:left w:val="outset" w:sz="6" w:space="0" w:color="auto"/>
              <w:bottom w:val="single" w:sz="6" w:space="0" w:color="D8D8D8"/>
              <w:right w:val="outset" w:sz="6" w:space="0" w:color="auto"/>
            </w:tcBorders>
            <w:shd w:val="clear" w:color="auto" w:fill="5C75A2"/>
            <w:tcMar>
              <w:top w:w="75" w:type="dxa"/>
              <w:left w:w="75" w:type="dxa"/>
              <w:bottom w:w="75" w:type="dxa"/>
              <w:right w:w="75" w:type="dxa"/>
            </w:tcMar>
            <w:vAlign w:val="center"/>
            <w:hideMark/>
          </w:tcPr>
          <w:p w14:paraId="3FF2F0D5"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SO</w:t>
            </w:r>
            <w:r w:rsidRPr="003648F5">
              <w:rPr>
                <w:b/>
                <w:bCs/>
                <w:color w:val="FFFFFF"/>
                <w:sz w:val="21"/>
                <w:szCs w:val="21"/>
                <w:vertAlign w:val="subscript"/>
                <w:lang w:eastAsia="fr-FR"/>
              </w:rPr>
              <w:t>2</w:t>
            </w:r>
            <w:r w:rsidRPr="003648F5">
              <w:rPr>
                <w:b/>
                <w:bCs/>
                <w:color w:val="FFFFFF"/>
                <w:sz w:val="21"/>
                <w:szCs w:val="21"/>
                <w:lang w:eastAsia="fr-FR"/>
              </w:rPr>
              <w:t xml:space="preserve"> (mg/Nm</w:t>
            </w:r>
            <w:r w:rsidRPr="003648F5">
              <w:rPr>
                <w:b/>
                <w:bCs/>
                <w:color w:val="FFFFFF"/>
                <w:sz w:val="21"/>
                <w:szCs w:val="21"/>
                <w:vertAlign w:val="superscript"/>
                <w:lang w:eastAsia="fr-FR"/>
              </w:rPr>
              <w:t>3</w:t>
            </w:r>
            <w:r w:rsidRPr="003648F5">
              <w:rPr>
                <w:b/>
                <w:bCs/>
                <w:color w:val="FFFFFF"/>
                <w:sz w:val="21"/>
                <w:szCs w:val="21"/>
                <w:lang w:eastAsia="fr-FR"/>
              </w:rPr>
              <w:t>)</w:t>
            </w:r>
          </w:p>
        </w:tc>
        <w:tc>
          <w:tcPr>
            <w:tcW w:w="2103" w:type="dxa"/>
            <w:gridSpan w:val="3"/>
            <w:tcBorders>
              <w:top w:val="outset" w:sz="6" w:space="0" w:color="auto"/>
              <w:left w:val="outset" w:sz="6" w:space="0" w:color="auto"/>
              <w:bottom w:val="single" w:sz="6" w:space="0" w:color="D8D8D8"/>
              <w:right w:val="outset" w:sz="6" w:space="0" w:color="auto"/>
            </w:tcBorders>
            <w:shd w:val="clear" w:color="auto" w:fill="5C75A2"/>
            <w:tcMar>
              <w:top w:w="75" w:type="dxa"/>
              <w:left w:w="75" w:type="dxa"/>
              <w:bottom w:w="75" w:type="dxa"/>
              <w:right w:w="75" w:type="dxa"/>
            </w:tcMar>
            <w:vAlign w:val="center"/>
            <w:hideMark/>
          </w:tcPr>
          <w:p w14:paraId="660E02A1"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NO</w:t>
            </w:r>
            <w:r>
              <w:rPr>
                <w:b/>
                <w:bCs/>
                <w:color w:val="FFFFFF"/>
                <w:sz w:val="21"/>
                <w:szCs w:val="21"/>
                <w:lang w:eastAsia="fr-FR"/>
              </w:rPr>
              <w:t>x</w:t>
            </w:r>
            <w:r w:rsidRPr="003648F5">
              <w:rPr>
                <w:b/>
                <w:bCs/>
                <w:color w:val="FFFFFF"/>
                <w:sz w:val="21"/>
                <w:szCs w:val="21"/>
                <w:lang w:eastAsia="fr-FR"/>
              </w:rPr>
              <w:t xml:space="preserve"> (mg/Nm</w:t>
            </w:r>
            <w:r w:rsidRPr="003648F5">
              <w:rPr>
                <w:b/>
                <w:bCs/>
                <w:color w:val="FFFFFF"/>
                <w:sz w:val="21"/>
                <w:szCs w:val="21"/>
                <w:vertAlign w:val="superscript"/>
                <w:lang w:eastAsia="fr-FR"/>
              </w:rPr>
              <w:t>3</w:t>
            </w:r>
            <w:r w:rsidRPr="003648F5">
              <w:rPr>
                <w:b/>
                <w:bCs/>
                <w:color w:val="FFFFFF"/>
                <w:sz w:val="21"/>
                <w:szCs w:val="21"/>
                <w:lang w:eastAsia="fr-FR"/>
              </w:rPr>
              <w:t>)</w:t>
            </w:r>
          </w:p>
        </w:tc>
        <w:tc>
          <w:tcPr>
            <w:tcW w:w="2103" w:type="dxa"/>
            <w:gridSpan w:val="3"/>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4287BFDE"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Poussières (mg/Nm</w:t>
            </w:r>
            <w:r w:rsidRPr="003648F5">
              <w:rPr>
                <w:b/>
                <w:bCs/>
                <w:color w:val="FFFFFF"/>
                <w:sz w:val="21"/>
                <w:szCs w:val="21"/>
                <w:vertAlign w:val="superscript"/>
                <w:lang w:eastAsia="fr-FR"/>
              </w:rPr>
              <w:t>3</w:t>
            </w:r>
            <w:r w:rsidRPr="003648F5">
              <w:rPr>
                <w:b/>
                <w:bCs/>
                <w:color w:val="FFFFFF"/>
                <w:sz w:val="21"/>
                <w:szCs w:val="21"/>
                <w:lang w:eastAsia="fr-FR"/>
              </w:rPr>
              <w:t>)</w:t>
            </w:r>
          </w:p>
        </w:tc>
      </w:tr>
      <w:tr w:rsidR="00322B28" w:rsidRPr="003648F5" w14:paraId="5E8EBC9D" w14:textId="77777777" w:rsidTr="005D385E">
        <w:trPr>
          <w:jc w:val="center"/>
        </w:trPr>
        <w:tc>
          <w:tcPr>
            <w:tcW w:w="1844" w:type="dxa"/>
            <w:vMerge/>
            <w:tcBorders>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478AD9FD" w14:textId="77777777" w:rsidR="00322B28" w:rsidRPr="003648F5" w:rsidRDefault="00322B28" w:rsidP="005D385E">
            <w:pPr>
              <w:jc w:val="center"/>
              <w:rPr>
                <w:b/>
                <w:bCs/>
                <w:color w:val="FFFFFF"/>
                <w:sz w:val="21"/>
                <w:szCs w:val="21"/>
                <w:lang w:eastAsia="fr-FR"/>
              </w:rPr>
            </w:pPr>
          </w:p>
        </w:tc>
        <w:tc>
          <w:tcPr>
            <w:tcW w:w="1852" w:type="dxa"/>
            <w:vMerge/>
            <w:tcBorders>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34D9A08B" w14:textId="77777777" w:rsidR="00322B28" w:rsidRPr="003648F5" w:rsidRDefault="00322B28" w:rsidP="005D385E">
            <w:pPr>
              <w:jc w:val="center"/>
              <w:rPr>
                <w:b/>
                <w:bCs/>
                <w:color w:val="FFFFFF"/>
                <w:sz w:val="21"/>
                <w:szCs w:val="21"/>
                <w:lang w:eastAsia="fr-FR"/>
              </w:rPr>
            </w:pPr>
          </w:p>
        </w:tc>
        <w:tc>
          <w:tcPr>
            <w:tcW w:w="732" w:type="dxa"/>
            <w:tcBorders>
              <w:top w:val="outset" w:sz="6" w:space="0" w:color="auto"/>
              <w:left w:val="outset" w:sz="6" w:space="0" w:color="auto"/>
              <w:bottom w:val="single" w:sz="4" w:space="0" w:color="auto"/>
              <w:right w:val="outset" w:sz="6" w:space="0" w:color="auto"/>
            </w:tcBorders>
            <w:shd w:val="clear" w:color="auto" w:fill="5C75A2"/>
            <w:tcMar>
              <w:top w:w="75" w:type="dxa"/>
              <w:left w:w="75" w:type="dxa"/>
              <w:bottom w:w="75" w:type="dxa"/>
              <w:right w:w="75" w:type="dxa"/>
            </w:tcMar>
            <w:vAlign w:val="center"/>
          </w:tcPr>
          <w:p w14:paraId="1BF0C1F9"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A</w:t>
            </w:r>
          </w:p>
        </w:tc>
        <w:tc>
          <w:tcPr>
            <w:tcW w:w="685" w:type="dxa"/>
            <w:tcBorders>
              <w:top w:val="outset" w:sz="6" w:space="0" w:color="auto"/>
              <w:left w:val="outset" w:sz="6" w:space="0" w:color="auto"/>
              <w:bottom w:val="single" w:sz="4" w:space="0" w:color="auto"/>
              <w:right w:val="outset" w:sz="6" w:space="0" w:color="auto"/>
            </w:tcBorders>
            <w:shd w:val="clear" w:color="auto" w:fill="5C75A2"/>
            <w:vAlign w:val="center"/>
          </w:tcPr>
          <w:p w14:paraId="7E4E4040"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M</w:t>
            </w:r>
          </w:p>
        </w:tc>
        <w:tc>
          <w:tcPr>
            <w:tcW w:w="685" w:type="dxa"/>
            <w:tcBorders>
              <w:top w:val="outset" w:sz="6" w:space="0" w:color="auto"/>
              <w:left w:val="outset" w:sz="6" w:space="0" w:color="auto"/>
              <w:bottom w:val="single" w:sz="4" w:space="0" w:color="auto"/>
              <w:right w:val="outset" w:sz="6" w:space="0" w:color="auto"/>
            </w:tcBorders>
            <w:shd w:val="clear" w:color="auto" w:fill="5C75A2"/>
            <w:vAlign w:val="center"/>
          </w:tcPr>
          <w:p w14:paraId="1B03CC71"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J</w:t>
            </w:r>
          </w:p>
        </w:tc>
        <w:tc>
          <w:tcPr>
            <w:tcW w:w="733" w:type="dxa"/>
            <w:tcBorders>
              <w:top w:val="outset" w:sz="6" w:space="0" w:color="auto"/>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7BC6C1D2"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A</w:t>
            </w:r>
          </w:p>
        </w:tc>
        <w:tc>
          <w:tcPr>
            <w:tcW w:w="685" w:type="dxa"/>
            <w:tcBorders>
              <w:top w:val="outset" w:sz="6" w:space="0" w:color="auto"/>
              <w:left w:val="outset" w:sz="6" w:space="0" w:color="auto"/>
              <w:bottom w:val="single" w:sz="4" w:space="0" w:color="auto"/>
              <w:right w:val="outset" w:sz="6" w:space="0" w:color="auto"/>
            </w:tcBorders>
            <w:shd w:val="clear" w:color="auto" w:fill="5C75A2"/>
            <w:vAlign w:val="center"/>
          </w:tcPr>
          <w:p w14:paraId="13068D07"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M</w:t>
            </w:r>
          </w:p>
        </w:tc>
        <w:tc>
          <w:tcPr>
            <w:tcW w:w="685" w:type="dxa"/>
            <w:tcBorders>
              <w:top w:val="outset" w:sz="6" w:space="0" w:color="auto"/>
              <w:left w:val="outset" w:sz="6" w:space="0" w:color="auto"/>
              <w:bottom w:val="single" w:sz="4" w:space="0" w:color="auto"/>
              <w:right w:val="outset" w:sz="6" w:space="0" w:color="auto"/>
            </w:tcBorders>
            <w:shd w:val="clear" w:color="auto" w:fill="5C75A2"/>
            <w:vAlign w:val="center"/>
          </w:tcPr>
          <w:p w14:paraId="7D5D0335"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J</w:t>
            </w:r>
          </w:p>
        </w:tc>
        <w:tc>
          <w:tcPr>
            <w:tcW w:w="733" w:type="dxa"/>
            <w:tcBorders>
              <w:top w:val="outset" w:sz="6" w:space="0" w:color="auto"/>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7450F4E6"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A</w:t>
            </w:r>
          </w:p>
        </w:tc>
        <w:tc>
          <w:tcPr>
            <w:tcW w:w="685" w:type="dxa"/>
            <w:tcBorders>
              <w:top w:val="outset" w:sz="6" w:space="0" w:color="auto"/>
              <w:left w:val="outset" w:sz="6" w:space="0" w:color="auto"/>
              <w:bottom w:val="single" w:sz="4" w:space="0" w:color="auto"/>
              <w:right w:val="single" w:sz="6" w:space="0" w:color="D8D8D8"/>
            </w:tcBorders>
            <w:shd w:val="clear" w:color="auto" w:fill="5C75A2"/>
            <w:vAlign w:val="center"/>
          </w:tcPr>
          <w:p w14:paraId="60D00414"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M</w:t>
            </w:r>
          </w:p>
        </w:tc>
        <w:tc>
          <w:tcPr>
            <w:tcW w:w="685" w:type="dxa"/>
            <w:tcBorders>
              <w:top w:val="outset" w:sz="6" w:space="0" w:color="auto"/>
              <w:left w:val="outset" w:sz="6" w:space="0" w:color="auto"/>
              <w:bottom w:val="single" w:sz="4" w:space="0" w:color="auto"/>
              <w:right w:val="single" w:sz="6" w:space="0" w:color="D8D8D8"/>
            </w:tcBorders>
            <w:shd w:val="clear" w:color="auto" w:fill="5C75A2"/>
            <w:vAlign w:val="center"/>
          </w:tcPr>
          <w:p w14:paraId="27395C18" w14:textId="77777777" w:rsidR="00322B28" w:rsidRPr="003648F5" w:rsidRDefault="00322B28" w:rsidP="005D385E">
            <w:pPr>
              <w:jc w:val="center"/>
              <w:rPr>
                <w:b/>
                <w:bCs/>
                <w:color w:val="FFFFFF"/>
                <w:sz w:val="21"/>
                <w:szCs w:val="21"/>
                <w:lang w:eastAsia="fr-FR"/>
              </w:rPr>
            </w:pPr>
            <w:r w:rsidRPr="003648F5">
              <w:rPr>
                <w:b/>
                <w:bCs/>
                <w:color w:val="FFFFFF"/>
                <w:sz w:val="21"/>
                <w:szCs w:val="21"/>
                <w:lang w:eastAsia="fr-FR"/>
              </w:rPr>
              <w:t>J</w:t>
            </w:r>
          </w:p>
        </w:tc>
      </w:tr>
      <w:tr w:rsidR="00322B28" w:rsidRPr="003648F5" w14:paraId="13E4E395" w14:textId="77777777" w:rsidTr="002B0DC1">
        <w:trPr>
          <w:jc w:val="center"/>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4E6C035" w14:textId="77777777" w:rsidR="00322B28" w:rsidRPr="003648F5" w:rsidRDefault="00322B28" w:rsidP="005D385E">
            <w:pPr>
              <w:jc w:val="center"/>
              <w:rPr>
                <w:b/>
                <w:bCs/>
                <w:sz w:val="21"/>
                <w:szCs w:val="21"/>
                <w:lang w:eastAsia="fr-FR"/>
              </w:rPr>
            </w:pPr>
            <w:r w:rsidRPr="003648F5">
              <w:rPr>
                <w:b/>
                <w:bCs/>
                <w:sz w:val="21"/>
                <w:szCs w:val="21"/>
                <w:lang w:eastAsia="fr-FR"/>
              </w:rPr>
              <w:t>Fioul domestique</w:t>
            </w: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3687DAE" w14:textId="77777777" w:rsidR="00322B28" w:rsidRPr="003648F5" w:rsidRDefault="00322B28" w:rsidP="005D385E">
            <w:pPr>
              <w:jc w:val="center"/>
              <w:rPr>
                <w:b/>
                <w:bCs/>
                <w:sz w:val="21"/>
                <w:szCs w:val="21"/>
                <w:lang w:eastAsia="fr-FR"/>
              </w:rPr>
            </w:pPr>
            <w:r w:rsidRPr="003648F5">
              <w:rPr>
                <w:b/>
                <w:bCs/>
                <w:sz w:val="21"/>
                <w:szCs w:val="21"/>
                <w:lang w:eastAsia="fr-FR"/>
              </w:rPr>
              <w:t>50 ≤ P &lt; 100</w:t>
            </w:r>
          </w:p>
        </w:tc>
        <w:tc>
          <w:tcPr>
            <w:tcW w:w="732" w:type="dxa"/>
            <w:vMerge w:val="restart"/>
            <w:tcBorders>
              <w:top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AAA608B" w14:textId="77777777" w:rsidR="00322B28" w:rsidRPr="003648F5" w:rsidRDefault="00322B28" w:rsidP="005D385E">
            <w:pPr>
              <w:jc w:val="center"/>
              <w:rPr>
                <w:b/>
                <w:bCs/>
                <w:sz w:val="21"/>
                <w:szCs w:val="21"/>
                <w:lang w:eastAsia="fr-FR"/>
              </w:rPr>
            </w:pPr>
            <w:r>
              <w:rPr>
                <w:b/>
                <w:bCs/>
                <w:sz w:val="21"/>
                <w:szCs w:val="21"/>
                <w:lang w:eastAsia="fr-FR"/>
              </w:rPr>
              <w:t>60</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546704B" w14:textId="77777777" w:rsidR="00322B28" w:rsidRPr="003648F5" w:rsidRDefault="00322B28" w:rsidP="005D385E">
            <w:pPr>
              <w:jc w:val="center"/>
              <w:rPr>
                <w:b/>
                <w:bCs/>
                <w:sz w:val="21"/>
                <w:szCs w:val="21"/>
                <w:lang w:eastAsia="fr-FR"/>
              </w:rPr>
            </w:pPr>
            <w:r>
              <w:rPr>
                <w:b/>
                <w:bCs/>
                <w:sz w:val="21"/>
                <w:szCs w:val="21"/>
                <w:lang w:eastAsia="fr-FR"/>
              </w:rPr>
              <w:t>60</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4E9EC6" w14:textId="77777777" w:rsidR="00322B28" w:rsidRPr="003648F5" w:rsidRDefault="00322B28" w:rsidP="005D385E">
            <w:pPr>
              <w:jc w:val="center"/>
              <w:rPr>
                <w:b/>
                <w:bCs/>
                <w:sz w:val="21"/>
                <w:szCs w:val="21"/>
                <w:lang w:eastAsia="fr-FR"/>
              </w:rPr>
            </w:pPr>
            <w:r>
              <w:rPr>
                <w:b/>
                <w:bCs/>
                <w:sz w:val="21"/>
                <w:szCs w:val="21"/>
                <w:lang w:eastAsia="fr-FR"/>
              </w:rPr>
              <w:t>66</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150" w:type="dxa"/>
              <w:bottom w:w="150" w:type="dxa"/>
              <w:right w:w="150" w:type="dxa"/>
            </w:tcMar>
            <w:vAlign w:val="center"/>
          </w:tcPr>
          <w:p w14:paraId="452DEE3E" w14:textId="77777777" w:rsidR="00322B28" w:rsidRPr="003648F5" w:rsidRDefault="00322B28" w:rsidP="005D385E">
            <w:pPr>
              <w:jc w:val="center"/>
              <w:rPr>
                <w:b/>
                <w:bCs/>
                <w:sz w:val="21"/>
                <w:szCs w:val="21"/>
                <w:lang w:eastAsia="fr-FR"/>
              </w:rPr>
            </w:pPr>
          </w:p>
        </w:tc>
        <w:tc>
          <w:tcPr>
            <w:tcW w:w="68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E1991F9" w14:textId="77777777" w:rsidR="00322B28" w:rsidRPr="003648F5" w:rsidRDefault="00322B28" w:rsidP="005D385E">
            <w:pPr>
              <w:jc w:val="center"/>
              <w:rPr>
                <w:b/>
                <w:bCs/>
                <w:sz w:val="21"/>
                <w:szCs w:val="21"/>
                <w:lang w:eastAsia="fr-FR"/>
              </w:rPr>
            </w:pPr>
            <w:r>
              <w:rPr>
                <w:b/>
                <w:bCs/>
                <w:sz w:val="21"/>
                <w:szCs w:val="21"/>
                <w:lang w:eastAsia="fr-FR"/>
              </w:rPr>
              <w:t>50</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01C1F2" w14:textId="77777777" w:rsidR="00322B28" w:rsidRPr="003648F5" w:rsidRDefault="00322B28" w:rsidP="005D385E">
            <w:pPr>
              <w:jc w:val="center"/>
              <w:rPr>
                <w:b/>
                <w:bCs/>
                <w:sz w:val="21"/>
                <w:szCs w:val="21"/>
                <w:lang w:eastAsia="fr-FR"/>
              </w:rPr>
            </w:pPr>
            <w:r>
              <w:rPr>
                <w:b/>
                <w:bCs/>
                <w:sz w:val="21"/>
                <w:szCs w:val="21"/>
                <w:lang w:eastAsia="fr-FR"/>
              </w:rPr>
              <w:t>55</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C7A1524" w14:textId="77777777" w:rsidR="00322B28" w:rsidRPr="003648F5" w:rsidRDefault="00322B28" w:rsidP="005D385E">
            <w:pPr>
              <w:jc w:val="center"/>
              <w:rPr>
                <w:b/>
                <w:bCs/>
                <w:sz w:val="21"/>
                <w:szCs w:val="21"/>
                <w:lang w:eastAsia="fr-FR"/>
              </w:rPr>
            </w:pPr>
            <w:r>
              <w:rPr>
                <w:b/>
                <w:bCs/>
                <w:sz w:val="21"/>
                <w:szCs w:val="21"/>
                <w:lang w:eastAsia="fr-FR"/>
              </w:rPr>
              <w:t>5</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89D0B5" w14:textId="77777777" w:rsidR="00322B28" w:rsidRPr="003648F5" w:rsidRDefault="00322B28" w:rsidP="005D385E">
            <w:pPr>
              <w:jc w:val="center"/>
              <w:rPr>
                <w:b/>
                <w:bCs/>
                <w:sz w:val="21"/>
                <w:szCs w:val="21"/>
                <w:lang w:eastAsia="fr-FR"/>
              </w:rPr>
            </w:pPr>
            <w:r>
              <w:rPr>
                <w:b/>
                <w:bCs/>
                <w:sz w:val="21"/>
                <w:szCs w:val="21"/>
                <w:lang w:eastAsia="fr-FR"/>
              </w:rPr>
              <w:t>10</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18864C" w14:textId="77777777" w:rsidR="00322B28" w:rsidRPr="003648F5" w:rsidRDefault="00322B28" w:rsidP="005D385E">
            <w:pPr>
              <w:jc w:val="center"/>
              <w:rPr>
                <w:b/>
                <w:bCs/>
                <w:sz w:val="21"/>
                <w:szCs w:val="21"/>
                <w:lang w:eastAsia="fr-FR"/>
              </w:rPr>
            </w:pPr>
            <w:r>
              <w:rPr>
                <w:b/>
                <w:bCs/>
                <w:sz w:val="21"/>
                <w:szCs w:val="21"/>
                <w:lang w:eastAsia="fr-FR"/>
              </w:rPr>
              <w:t>10</w:t>
            </w:r>
          </w:p>
        </w:tc>
      </w:tr>
      <w:tr w:rsidR="00322B28" w:rsidRPr="003648F5" w14:paraId="71745347" w14:textId="77777777" w:rsidTr="002B0DC1">
        <w:trPr>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B9A07" w14:textId="77777777" w:rsidR="00322B28" w:rsidRPr="003648F5" w:rsidRDefault="00322B28" w:rsidP="005D385E">
            <w:pPr>
              <w:rPr>
                <w:b/>
                <w:bCs/>
                <w:sz w:val="21"/>
                <w:szCs w:val="21"/>
                <w:lang w:eastAsia="fr-FR"/>
              </w:rPr>
            </w:pP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550E2A6" w14:textId="77777777" w:rsidR="00322B28" w:rsidRPr="003648F5" w:rsidRDefault="00322B28" w:rsidP="005D385E">
            <w:pPr>
              <w:jc w:val="center"/>
              <w:rPr>
                <w:b/>
                <w:bCs/>
                <w:sz w:val="21"/>
                <w:szCs w:val="21"/>
                <w:lang w:eastAsia="fr-FR"/>
              </w:rPr>
            </w:pPr>
            <w:r w:rsidRPr="003648F5">
              <w:rPr>
                <w:b/>
                <w:bCs/>
                <w:sz w:val="21"/>
                <w:szCs w:val="21"/>
                <w:lang w:eastAsia="fr-FR"/>
              </w:rPr>
              <w:t>100 ≤ P &lt; 300</w:t>
            </w:r>
          </w:p>
        </w:tc>
        <w:tc>
          <w:tcPr>
            <w:tcW w:w="732" w:type="dxa"/>
            <w:vMerge/>
            <w:tcBorders>
              <w:top w:val="single" w:sz="4" w:space="0" w:color="auto"/>
              <w:bottom w:val="single" w:sz="4" w:space="0" w:color="auto"/>
              <w:right w:val="single" w:sz="4" w:space="0" w:color="auto"/>
            </w:tcBorders>
            <w:shd w:val="clear" w:color="auto" w:fill="E2EFD9" w:themeFill="accent6" w:themeFillTint="33"/>
            <w:vAlign w:val="center"/>
          </w:tcPr>
          <w:p w14:paraId="2B13C78F"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0DB76D7"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6AF14A" w14:textId="77777777" w:rsidR="00322B28" w:rsidRPr="003648F5" w:rsidRDefault="00322B28" w:rsidP="005D385E">
            <w:pPr>
              <w:jc w:val="center"/>
              <w:rPr>
                <w:b/>
                <w:bCs/>
                <w:sz w:val="21"/>
                <w:szCs w:val="21"/>
                <w:lang w:eastAsia="fr-FR"/>
              </w:rPr>
            </w:pPr>
          </w:p>
        </w:tc>
        <w:tc>
          <w:tcPr>
            <w:tcW w:w="733"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7B7A643"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B720DE9"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18C9EFA" w14:textId="77777777" w:rsidR="00322B28" w:rsidRPr="003648F5" w:rsidRDefault="00322B28" w:rsidP="005D385E">
            <w:pPr>
              <w:jc w:val="center"/>
              <w:rPr>
                <w:b/>
                <w:bCs/>
                <w:sz w:val="21"/>
                <w:szCs w:val="21"/>
                <w:lang w:eastAsia="fr-FR"/>
              </w:rPr>
            </w:pPr>
          </w:p>
        </w:tc>
        <w:tc>
          <w:tcPr>
            <w:tcW w:w="73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ABBB60F"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44441A"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F56D70" w14:textId="77777777" w:rsidR="00322B28" w:rsidRPr="003648F5" w:rsidRDefault="00322B28" w:rsidP="005D385E">
            <w:pPr>
              <w:jc w:val="center"/>
              <w:rPr>
                <w:b/>
                <w:bCs/>
                <w:sz w:val="21"/>
                <w:szCs w:val="21"/>
                <w:lang w:eastAsia="fr-FR"/>
              </w:rPr>
            </w:pPr>
          </w:p>
        </w:tc>
      </w:tr>
      <w:tr w:rsidR="00322B28" w:rsidRPr="003648F5" w14:paraId="27C5956B" w14:textId="77777777" w:rsidTr="002B0DC1">
        <w:trPr>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BB2B9" w14:textId="77777777" w:rsidR="00322B28" w:rsidRPr="003648F5" w:rsidRDefault="00322B28" w:rsidP="005D385E">
            <w:pPr>
              <w:rPr>
                <w:b/>
                <w:bCs/>
                <w:sz w:val="21"/>
                <w:szCs w:val="21"/>
                <w:lang w:eastAsia="fr-FR"/>
              </w:rPr>
            </w:pP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3F41449" w14:textId="77777777" w:rsidR="00322B28" w:rsidRPr="003648F5" w:rsidRDefault="00322B28" w:rsidP="005D385E">
            <w:pPr>
              <w:jc w:val="center"/>
              <w:rPr>
                <w:b/>
                <w:bCs/>
                <w:sz w:val="21"/>
                <w:szCs w:val="21"/>
                <w:lang w:eastAsia="fr-FR"/>
              </w:rPr>
            </w:pPr>
            <w:r w:rsidRPr="003648F5">
              <w:rPr>
                <w:b/>
                <w:bCs/>
                <w:sz w:val="21"/>
                <w:szCs w:val="21"/>
                <w:lang w:eastAsia="fr-FR"/>
              </w:rPr>
              <w:t>300 ≤ P</w:t>
            </w:r>
          </w:p>
        </w:tc>
        <w:tc>
          <w:tcPr>
            <w:tcW w:w="732" w:type="dxa"/>
            <w:vMerge/>
            <w:tcBorders>
              <w:top w:val="single" w:sz="4" w:space="0" w:color="auto"/>
              <w:bottom w:val="single" w:sz="4" w:space="0" w:color="auto"/>
              <w:right w:val="single" w:sz="4" w:space="0" w:color="auto"/>
            </w:tcBorders>
            <w:shd w:val="clear" w:color="auto" w:fill="E2EFD9" w:themeFill="accent6" w:themeFillTint="33"/>
            <w:vAlign w:val="center"/>
          </w:tcPr>
          <w:p w14:paraId="55BB0D62"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3FD52C7"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5D5E88" w14:textId="77777777" w:rsidR="00322B28" w:rsidRPr="003648F5" w:rsidRDefault="00322B28" w:rsidP="005D385E">
            <w:pPr>
              <w:jc w:val="center"/>
              <w:rPr>
                <w:b/>
                <w:bCs/>
                <w:sz w:val="21"/>
                <w:szCs w:val="21"/>
                <w:lang w:eastAsia="fr-FR"/>
              </w:rPr>
            </w:pPr>
          </w:p>
        </w:tc>
        <w:tc>
          <w:tcPr>
            <w:tcW w:w="733"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10050C3"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4271C03"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B6A6A65" w14:textId="77777777" w:rsidR="00322B28" w:rsidRPr="003648F5" w:rsidRDefault="00322B28" w:rsidP="005D385E">
            <w:pPr>
              <w:jc w:val="center"/>
              <w:rPr>
                <w:b/>
                <w:bCs/>
                <w:sz w:val="21"/>
                <w:szCs w:val="21"/>
                <w:lang w:eastAsia="fr-FR"/>
              </w:rPr>
            </w:pPr>
          </w:p>
        </w:tc>
        <w:tc>
          <w:tcPr>
            <w:tcW w:w="73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C806D3A"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EAF6F4"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10C0EA" w14:textId="77777777" w:rsidR="00322B28" w:rsidRPr="003648F5" w:rsidRDefault="00322B28" w:rsidP="005D385E">
            <w:pPr>
              <w:jc w:val="center"/>
              <w:rPr>
                <w:b/>
                <w:bCs/>
                <w:sz w:val="21"/>
                <w:szCs w:val="21"/>
                <w:lang w:eastAsia="fr-FR"/>
              </w:rPr>
            </w:pPr>
          </w:p>
        </w:tc>
      </w:tr>
      <w:tr w:rsidR="00322B28" w:rsidRPr="003648F5" w14:paraId="49D5C927" w14:textId="77777777" w:rsidTr="002B0DC1">
        <w:trPr>
          <w:jc w:val="center"/>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01FD7D" w14:textId="77777777" w:rsidR="00322B28" w:rsidRDefault="00322B28" w:rsidP="005D385E">
            <w:pPr>
              <w:jc w:val="center"/>
              <w:rPr>
                <w:b/>
                <w:bCs/>
                <w:sz w:val="21"/>
                <w:szCs w:val="21"/>
                <w:lang w:eastAsia="fr-FR"/>
              </w:rPr>
            </w:pPr>
            <w:r>
              <w:rPr>
                <w:b/>
                <w:bCs/>
                <w:sz w:val="21"/>
                <w:szCs w:val="21"/>
                <w:lang w:eastAsia="fr-FR"/>
              </w:rPr>
              <w:t>Gaz naturel</w:t>
            </w:r>
          </w:p>
          <w:p w14:paraId="01669987" w14:textId="77777777" w:rsidR="00322B28" w:rsidRPr="003648F5" w:rsidRDefault="00322B28" w:rsidP="005D385E">
            <w:pPr>
              <w:jc w:val="center"/>
              <w:rPr>
                <w:b/>
                <w:bCs/>
                <w:sz w:val="21"/>
                <w:szCs w:val="21"/>
                <w:lang w:eastAsia="fr-FR"/>
              </w:rPr>
            </w:pPr>
            <w:r>
              <w:rPr>
                <w:b/>
                <w:bCs/>
                <w:sz w:val="21"/>
                <w:szCs w:val="21"/>
                <w:lang w:eastAsia="fr-FR"/>
              </w:rPr>
              <w:t>(OCGT)</w:t>
            </w:r>
          </w:p>
        </w:tc>
        <w:tc>
          <w:tcPr>
            <w:tcW w:w="1852" w:type="dxa"/>
            <w:tcBorders>
              <w:top w:val="single" w:sz="4" w:space="0" w:color="auto"/>
              <w:left w:val="single" w:sz="4" w:space="0" w:color="auto"/>
              <w:bottom w:val="single" w:sz="4" w:space="0" w:color="auto"/>
            </w:tcBorders>
            <w:shd w:val="clear" w:color="auto" w:fill="auto"/>
            <w:tcMar>
              <w:top w:w="150" w:type="dxa"/>
              <w:left w:w="150" w:type="dxa"/>
              <w:bottom w:w="150" w:type="dxa"/>
              <w:right w:w="150" w:type="dxa"/>
            </w:tcMar>
            <w:vAlign w:val="center"/>
          </w:tcPr>
          <w:p w14:paraId="581C7FD9" w14:textId="77777777" w:rsidR="00322B28" w:rsidRPr="003648F5" w:rsidRDefault="00322B28" w:rsidP="005D385E">
            <w:pPr>
              <w:jc w:val="center"/>
              <w:rPr>
                <w:b/>
                <w:bCs/>
                <w:sz w:val="21"/>
                <w:szCs w:val="21"/>
                <w:lang w:eastAsia="fr-FR"/>
              </w:rPr>
            </w:pPr>
            <w:r w:rsidRPr="0087546D">
              <w:rPr>
                <w:b/>
                <w:bCs/>
                <w:sz w:val="21"/>
                <w:szCs w:val="21"/>
                <w:lang w:eastAsia="fr-FR"/>
              </w:rPr>
              <w:t>50 ≤ P &lt; 100</w:t>
            </w:r>
          </w:p>
        </w:tc>
        <w:tc>
          <w:tcPr>
            <w:tcW w:w="732" w:type="dxa"/>
            <w:vMerge w:val="restart"/>
            <w:tcBorders>
              <w:left w:val="single" w:sz="4" w:space="0" w:color="auto"/>
              <w:right w:val="single" w:sz="4" w:space="0" w:color="auto"/>
            </w:tcBorders>
            <w:shd w:val="clear" w:color="auto" w:fill="D9D9D9" w:themeFill="background1" w:themeFillShade="D9"/>
            <w:vAlign w:val="center"/>
          </w:tcPr>
          <w:p w14:paraId="58617D53" w14:textId="77777777" w:rsidR="00322B28" w:rsidRPr="003648F5" w:rsidRDefault="00322B28" w:rsidP="005D385E">
            <w:pPr>
              <w:jc w:val="center"/>
              <w:rPr>
                <w:b/>
                <w:bCs/>
                <w:sz w:val="21"/>
                <w:szCs w:val="21"/>
                <w:lang w:eastAsia="fr-FR"/>
              </w:rPr>
            </w:pPr>
          </w:p>
        </w:tc>
        <w:tc>
          <w:tcPr>
            <w:tcW w:w="685" w:type="dxa"/>
            <w:vMerge w:val="restart"/>
            <w:tcBorders>
              <w:left w:val="single" w:sz="4" w:space="0" w:color="auto"/>
              <w:right w:val="single" w:sz="4" w:space="0" w:color="auto"/>
            </w:tcBorders>
            <w:shd w:val="clear" w:color="auto" w:fill="D9D9D9" w:themeFill="background1" w:themeFillShade="D9"/>
            <w:vAlign w:val="center"/>
          </w:tcPr>
          <w:p w14:paraId="2F11C81F" w14:textId="77777777" w:rsidR="00322B28" w:rsidRPr="003648F5" w:rsidRDefault="00322B28" w:rsidP="005D385E">
            <w:pPr>
              <w:jc w:val="center"/>
              <w:rPr>
                <w:b/>
                <w:bCs/>
                <w:sz w:val="21"/>
                <w:szCs w:val="21"/>
                <w:lang w:eastAsia="fr-FR"/>
              </w:rPr>
            </w:pPr>
            <w:r>
              <w:rPr>
                <w:b/>
                <w:bCs/>
                <w:sz w:val="21"/>
                <w:szCs w:val="21"/>
                <w:lang w:eastAsia="fr-FR"/>
              </w:rPr>
              <w:t>10</w:t>
            </w:r>
          </w:p>
        </w:tc>
        <w:tc>
          <w:tcPr>
            <w:tcW w:w="685" w:type="dxa"/>
            <w:vMerge w:val="restart"/>
            <w:tcBorders>
              <w:left w:val="single" w:sz="4" w:space="0" w:color="auto"/>
              <w:right w:val="single" w:sz="4" w:space="0" w:color="auto"/>
            </w:tcBorders>
            <w:shd w:val="clear" w:color="auto" w:fill="D9D9D9" w:themeFill="background1" w:themeFillShade="D9"/>
            <w:vAlign w:val="center"/>
          </w:tcPr>
          <w:p w14:paraId="58372779" w14:textId="77777777" w:rsidR="00322B28" w:rsidRPr="003648F5" w:rsidRDefault="00322B28" w:rsidP="005D385E">
            <w:pPr>
              <w:jc w:val="center"/>
              <w:rPr>
                <w:b/>
                <w:bCs/>
                <w:sz w:val="21"/>
                <w:szCs w:val="21"/>
                <w:lang w:eastAsia="fr-FR"/>
              </w:rPr>
            </w:pPr>
            <w:r>
              <w:rPr>
                <w:b/>
                <w:bCs/>
                <w:sz w:val="21"/>
                <w:szCs w:val="21"/>
                <w:lang w:eastAsia="fr-FR"/>
              </w:rPr>
              <w:t>11</w:t>
            </w:r>
          </w:p>
        </w:tc>
        <w:tc>
          <w:tcPr>
            <w:tcW w:w="733" w:type="dxa"/>
            <w:vMerge w:val="restart"/>
            <w:tcBorders>
              <w:left w:val="single" w:sz="4" w:space="0" w:color="auto"/>
              <w:right w:val="single" w:sz="4" w:space="0" w:color="auto"/>
            </w:tcBorders>
            <w:shd w:val="clear" w:color="auto" w:fill="E2EFD9" w:themeFill="accent6" w:themeFillTint="33"/>
            <w:vAlign w:val="center"/>
          </w:tcPr>
          <w:p w14:paraId="56F24178" w14:textId="77777777" w:rsidR="00322B28" w:rsidRPr="003648F5" w:rsidRDefault="00322B28" w:rsidP="005D385E">
            <w:pPr>
              <w:jc w:val="center"/>
              <w:rPr>
                <w:b/>
                <w:bCs/>
                <w:sz w:val="21"/>
                <w:szCs w:val="21"/>
                <w:lang w:eastAsia="fr-FR"/>
              </w:rPr>
            </w:pPr>
            <w:r>
              <w:rPr>
                <w:b/>
                <w:bCs/>
                <w:sz w:val="21"/>
                <w:szCs w:val="21"/>
                <w:lang w:eastAsia="fr-FR"/>
              </w:rPr>
              <w:t>35</w:t>
            </w:r>
          </w:p>
        </w:tc>
        <w:tc>
          <w:tcPr>
            <w:tcW w:w="685" w:type="dxa"/>
            <w:vMerge w:val="restart"/>
            <w:tcBorders>
              <w:left w:val="single" w:sz="4" w:space="0" w:color="auto"/>
              <w:right w:val="single" w:sz="4" w:space="0" w:color="auto"/>
            </w:tcBorders>
            <w:shd w:val="clear" w:color="auto" w:fill="B4C6E7" w:themeFill="accent5" w:themeFillTint="66"/>
            <w:vAlign w:val="center"/>
          </w:tcPr>
          <w:p w14:paraId="26C683BE" w14:textId="77777777" w:rsidR="00322B28" w:rsidRPr="003648F5" w:rsidRDefault="00322B28" w:rsidP="005D385E">
            <w:pPr>
              <w:jc w:val="center"/>
              <w:rPr>
                <w:b/>
                <w:bCs/>
                <w:sz w:val="21"/>
                <w:szCs w:val="21"/>
                <w:lang w:eastAsia="fr-FR"/>
              </w:rPr>
            </w:pPr>
            <w:r>
              <w:rPr>
                <w:b/>
                <w:bCs/>
                <w:sz w:val="21"/>
                <w:szCs w:val="21"/>
                <w:lang w:eastAsia="fr-FR"/>
              </w:rPr>
              <w:t>50</w:t>
            </w:r>
          </w:p>
        </w:tc>
        <w:tc>
          <w:tcPr>
            <w:tcW w:w="685" w:type="dxa"/>
            <w:vMerge w:val="restart"/>
            <w:tcBorders>
              <w:left w:val="single" w:sz="4" w:space="0" w:color="auto"/>
              <w:right w:val="single" w:sz="4" w:space="0" w:color="auto"/>
            </w:tcBorders>
            <w:shd w:val="clear" w:color="auto" w:fill="E2EFD9" w:themeFill="accent6" w:themeFillTint="33"/>
            <w:vAlign w:val="center"/>
          </w:tcPr>
          <w:p w14:paraId="28B8E020" w14:textId="77777777" w:rsidR="00322B28" w:rsidRPr="003648F5" w:rsidRDefault="00322B28" w:rsidP="005D385E">
            <w:pPr>
              <w:jc w:val="center"/>
              <w:rPr>
                <w:b/>
                <w:bCs/>
                <w:sz w:val="21"/>
                <w:szCs w:val="21"/>
                <w:lang w:eastAsia="fr-FR"/>
              </w:rPr>
            </w:pPr>
            <w:r>
              <w:rPr>
                <w:b/>
                <w:bCs/>
                <w:sz w:val="21"/>
                <w:szCs w:val="21"/>
                <w:lang w:eastAsia="fr-FR"/>
              </w:rPr>
              <w:t>50</w:t>
            </w:r>
          </w:p>
        </w:tc>
        <w:tc>
          <w:tcPr>
            <w:tcW w:w="733" w:type="dxa"/>
            <w:vMerge w:val="restart"/>
            <w:tcBorders>
              <w:left w:val="single" w:sz="4" w:space="0" w:color="auto"/>
              <w:right w:val="single" w:sz="4" w:space="0" w:color="auto"/>
            </w:tcBorders>
            <w:shd w:val="clear" w:color="auto" w:fill="D9D9D9" w:themeFill="background1" w:themeFillShade="D9"/>
            <w:vAlign w:val="center"/>
          </w:tcPr>
          <w:p w14:paraId="577AE5C5" w14:textId="77777777" w:rsidR="00322B28" w:rsidRPr="003648F5" w:rsidRDefault="00322B28" w:rsidP="005D385E">
            <w:pPr>
              <w:jc w:val="center"/>
              <w:rPr>
                <w:b/>
                <w:bCs/>
                <w:sz w:val="21"/>
                <w:szCs w:val="21"/>
                <w:lang w:eastAsia="fr-FR"/>
              </w:rPr>
            </w:pPr>
          </w:p>
        </w:tc>
        <w:tc>
          <w:tcPr>
            <w:tcW w:w="685" w:type="dxa"/>
            <w:vMerge w:val="restart"/>
            <w:tcBorders>
              <w:left w:val="single" w:sz="4" w:space="0" w:color="auto"/>
              <w:right w:val="single" w:sz="4" w:space="0" w:color="auto"/>
            </w:tcBorders>
            <w:shd w:val="clear" w:color="auto" w:fill="D9D9D9" w:themeFill="background1" w:themeFillShade="D9"/>
            <w:vAlign w:val="center"/>
          </w:tcPr>
          <w:p w14:paraId="20CD8E9C" w14:textId="77777777" w:rsidR="00322B28" w:rsidRPr="003648F5" w:rsidRDefault="00322B28" w:rsidP="005D385E">
            <w:pPr>
              <w:jc w:val="center"/>
              <w:rPr>
                <w:b/>
                <w:bCs/>
                <w:sz w:val="21"/>
                <w:szCs w:val="21"/>
                <w:lang w:eastAsia="fr-FR"/>
              </w:rPr>
            </w:pPr>
            <w:r>
              <w:rPr>
                <w:b/>
                <w:bCs/>
                <w:sz w:val="21"/>
                <w:szCs w:val="21"/>
                <w:lang w:eastAsia="fr-FR"/>
              </w:rPr>
              <w:t>10</w:t>
            </w:r>
          </w:p>
        </w:tc>
        <w:tc>
          <w:tcPr>
            <w:tcW w:w="685" w:type="dxa"/>
            <w:vMerge w:val="restart"/>
            <w:tcBorders>
              <w:left w:val="single" w:sz="4" w:space="0" w:color="auto"/>
              <w:right w:val="single" w:sz="4" w:space="0" w:color="auto"/>
            </w:tcBorders>
            <w:shd w:val="clear" w:color="auto" w:fill="D9D9D9" w:themeFill="background1" w:themeFillShade="D9"/>
            <w:vAlign w:val="center"/>
          </w:tcPr>
          <w:p w14:paraId="08E4BA90" w14:textId="77777777" w:rsidR="00322B28" w:rsidRPr="003648F5" w:rsidRDefault="00322B28" w:rsidP="005D385E">
            <w:pPr>
              <w:jc w:val="center"/>
              <w:rPr>
                <w:b/>
                <w:bCs/>
                <w:sz w:val="21"/>
                <w:szCs w:val="21"/>
                <w:lang w:eastAsia="fr-FR"/>
              </w:rPr>
            </w:pPr>
            <w:r>
              <w:rPr>
                <w:b/>
                <w:bCs/>
                <w:sz w:val="21"/>
                <w:szCs w:val="21"/>
                <w:lang w:eastAsia="fr-FR"/>
              </w:rPr>
              <w:t>11</w:t>
            </w:r>
          </w:p>
        </w:tc>
      </w:tr>
      <w:tr w:rsidR="00322B28" w:rsidRPr="003648F5" w14:paraId="789249C8" w14:textId="77777777" w:rsidTr="002B0DC1">
        <w:trPr>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92C8C4" w14:textId="77777777" w:rsidR="00322B28" w:rsidRPr="003648F5" w:rsidRDefault="00322B28" w:rsidP="005D385E">
            <w:pPr>
              <w:rPr>
                <w:b/>
                <w:bCs/>
                <w:sz w:val="21"/>
                <w:szCs w:val="21"/>
                <w:lang w:eastAsia="fr-FR"/>
              </w:rPr>
            </w:pPr>
          </w:p>
        </w:tc>
        <w:tc>
          <w:tcPr>
            <w:tcW w:w="1852" w:type="dxa"/>
            <w:tcBorders>
              <w:top w:val="single" w:sz="4" w:space="0" w:color="auto"/>
              <w:left w:val="single" w:sz="4" w:space="0" w:color="auto"/>
              <w:bottom w:val="single" w:sz="4" w:space="0" w:color="auto"/>
            </w:tcBorders>
            <w:shd w:val="clear" w:color="auto" w:fill="auto"/>
            <w:tcMar>
              <w:top w:w="150" w:type="dxa"/>
              <w:left w:w="150" w:type="dxa"/>
              <w:bottom w:w="150" w:type="dxa"/>
              <w:right w:w="150" w:type="dxa"/>
            </w:tcMar>
            <w:vAlign w:val="center"/>
          </w:tcPr>
          <w:p w14:paraId="7F2CDABF" w14:textId="77777777" w:rsidR="00322B28" w:rsidRPr="003648F5" w:rsidRDefault="00322B28" w:rsidP="005D385E">
            <w:pPr>
              <w:jc w:val="center"/>
              <w:rPr>
                <w:b/>
                <w:bCs/>
                <w:sz w:val="21"/>
                <w:szCs w:val="21"/>
                <w:lang w:eastAsia="fr-FR"/>
              </w:rPr>
            </w:pPr>
            <w:r w:rsidRPr="0087546D">
              <w:rPr>
                <w:b/>
                <w:bCs/>
                <w:sz w:val="21"/>
                <w:szCs w:val="21"/>
                <w:lang w:eastAsia="fr-FR"/>
              </w:rPr>
              <w:t>100 ≤ P &lt; 300</w:t>
            </w:r>
          </w:p>
        </w:tc>
        <w:tc>
          <w:tcPr>
            <w:tcW w:w="732" w:type="dxa"/>
            <w:vMerge/>
            <w:tcBorders>
              <w:left w:val="single" w:sz="4" w:space="0" w:color="auto"/>
              <w:right w:val="single" w:sz="4" w:space="0" w:color="auto"/>
            </w:tcBorders>
            <w:shd w:val="clear" w:color="auto" w:fill="D9D9D9" w:themeFill="background1" w:themeFillShade="D9"/>
            <w:vAlign w:val="center"/>
          </w:tcPr>
          <w:p w14:paraId="76D0BF87"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D9D9D9" w:themeFill="background1" w:themeFillShade="D9"/>
            <w:vAlign w:val="center"/>
          </w:tcPr>
          <w:p w14:paraId="41509ED8"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D9D9D9" w:themeFill="background1" w:themeFillShade="D9"/>
            <w:vAlign w:val="center"/>
          </w:tcPr>
          <w:p w14:paraId="4CEAA799" w14:textId="77777777" w:rsidR="00322B28" w:rsidRPr="003648F5" w:rsidRDefault="00322B28" w:rsidP="005D385E">
            <w:pPr>
              <w:jc w:val="center"/>
              <w:rPr>
                <w:b/>
                <w:bCs/>
                <w:sz w:val="21"/>
                <w:szCs w:val="21"/>
                <w:lang w:eastAsia="fr-FR"/>
              </w:rPr>
            </w:pPr>
          </w:p>
        </w:tc>
        <w:tc>
          <w:tcPr>
            <w:tcW w:w="733" w:type="dxa"/>
            <w:vMerge/>
            <w:tcBorders>
              <w:left w:val="single" w:sz="4" w:space="0" w:color="auto"/>
              <w:right w:val="single" w:sz="4" w:space="0" w:color="auto"/>
            </w:tcBorders>
            <w:shd w:val="clear" w:color="auto" w:fill="E2EFD9" w:themeFill="accent6" w:themeFillTint="33"/>
            <w:vAlign w:val="center"/>
          </w:tcPr>
          <w:p w14:paraId="612C7E55"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B4C6E7" w:themeFill="accent5" w:themeFillTint="66"/>
            <w:vAlign w:val="center"/>
          </w:tcPr>
          <w:p w14:paraId="02F77659"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E2EFD9" w:themeFill="accent6" w:themeFillTint="33"/>
            <w:vAlign w:val="center"/>
          </w:tcPr>
          <w:p w14:paraId="6A83E449" w14:textId="77777777" w:rsidR="00322B28" w:rsidRPr="003648F5" w:rsidRDefault="00322B28" w:rsidP="005D385E">
            <w:pPr>
              <w:jc w:val="center"/>
              <w:rPr>
                <w:b/>
                <w:bCs/>
                <w:sz w:val="21"/>
                <w:szCs w:val="21"/>
                <w:lang w:eastAsia="fr-FR"/>
              </w:rPr>
            </w:pPr>
          </w:p>
        </w:tc>
        <w:tc>
          <w:tcPr>
            <w:tcW w:w="733" w:type="dxa"/>
            <w:vMerge/>
            <w:tcBorders>
              <w:left w:val="single" w:sz="4" w:space="0" w:color="auto"/>
              <w:right w:val="single" w:sz="4" w:space="0" w:color="auto"/>
            </w:tcBorders>
            <w:shd w:val="clear" w:color="auto" w:fill="D9D9D9" w:themeFill="background1" w:themeFillShade="D9"/>
            <w:vAlign w:val="center"/>
          </w:tcPr>
          <w:p w14:paraId="60D9A7F3"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D9D9D9" w:themeFill="background1" w:themeFillShade="D9"/>
            <w:vAlign w:val="center"/>
          </w:tcPr>
          <w:p w14:paraId="190D078C"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D9D9D9" w:themeFill="background1" w:themeFillShade="D9"/>
            <w:vAlign w:val="center"/>
          </w:tcPr>
          <w:p w14:paraId="23E73969" w14:textId="77777777" w:rsidR="00322B28" w:rsidRPr="003648F5" w:rsidRDefault="00322B28" w:rsidP="005D385E">
            <w:pPr>
              <w:jc w:val="center"/>
              <w:rPr>
                <w:b/>
                <w:bCs/>
                <w:sz w:val="21"/>
                <w:szCs w:val="21"/>
                <w:lang w:eastAsia="fr-FR"/>
              </w:rPr>
            </w:pPr>
          </w:p>
        </w:tc>
      </w:tr>
      <w:tr w:rsidR="00322B28" w:rsidRPr="003648F5" w14:paraId="79AC7566" w14:textId="77777777" w:rsidTr="002B0DC1">
        <w:trPr>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5794A" w14:textId="77777777" w:rsidR="00322B28" w:rsidRPr="003648F5" w:rsidRDefault="00322B28" w:rsidP="005D385E">
            <w:pPr>
              <w:rPr>
                <w:b/>
                <w:bCs/>
                <w:sz w:val="21"/>
                <w:szCs w:val="21"/>
                <w:lang w:eastAsia="fr-FR"/>
              </w:rPr>
            </w:pPr>
          </w:p>
        </w:tc>
        <w:tc>
          <w:tcPr>
            <w:tcW w:w="1852" w:type="dxa"/>
            <w:tcBorders>
              <w:top w:val="single" w:sz="4" w:space="0" w:color="auto"/>
              <w:left w:val="single" w:sz="4" w:space="0" w:color="auto"/>
              <w:bottom w:val="single" w:sz="4" w:space="0" w:color="auto"/>
            </w:tcBorders>
            <w:shd w:val="clear" w:color="auto" w:fill="auto"/>
            <w:tcMar>
              <w:top w:w="150" w:type="dxa"/>
              <w:left w:w="150" w:type="dxa"/>
              <w:bottom w:w="150" w:type="dxa"/>
              <w:right w:w="150" w:type="dxa"/>
            </w:tcMar>
            <w:vAlign w:val="center"/>
          </w:tcPr>
          <w:p w14:paraId="7BAADAA1" w14:textId="77777777" w:rsidR="00322B28" w:rsidRPr="003648F5" w:rsidRDefault="00322B28" w:rsidP="005D385E">
            <w:pPr>
              <w:jc w:val="center"/>
              <w:rPr>
                <w:b/>
                <w:bCs/>
                <w:sz w:val="21"/>
                <w:szCs w:val="21"/>
                <w:lang w:eastAsia="fr-FR"/>
              </w:rPr>
            </w:pPr>
            <w:r w:rsidRPr="0087546D">
              <w:rPr>
                <w:b/>
                <w:bCs/>
                <w:sz w:val="21"/>
                <w:szCs w:val="21"/>
                <w:lang w:eastAsia="fr-FR"/>
              </w:rPr>
              <w:t>300 ≤ P</w:t>
            </w:r>
          </w:p>
        </w:tc>
        <w:tc>
          <w:tcPr>
            <w:tcW w:w="7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4924F04"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BEE4875"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F5EA1F2" w14:textId="77777777" w:rsidR="00322B28" w:rsidRPr="003648F5" w:rsidRDefault="00322B28" w:rsidP="005D385E">
            <w:pPr>
              <w:jc w:val="center"/>
              <w:rPr>
                <w:b/>
                <w:bCs/>
                <w:sz w:val="21"/>
                <w:szCs w:val="21"/>
                <w:lang w:eastAsia="fr-FR"/>
              </w:rPr>
            </w:pPr>
          </w:p>
        </w:tc>
        <w:tc>
          <w:tcPr>
            <w:tcW w:w="733" w:type="dxa"/>
            <w:vMerge/>
            <w:tcBorders>
              <w:left w:val="single" w:sz="4" w:space="0" w:color="auto"/>
              <w:bottom w:val="single" w:sz="4" w:space="0" w:color="auto"/>
              <w:right w:val="single" w:sz="4" w:space="0" w:color="auto"/>
            </w:tcBorders>
            <w:shd w:val="clear" w:color="auto" w:fill="E2EFD9" w:themeFill="accent6" w:themeFillTint="33"/>
            <w:vAlign w:val="center"/>
          </w:tcPr>
          <w:p w14:paraId="4C779AE7"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B4C6E7" w:themeFill="accent5" w:themeFillTint="66"/>
            <w:vAlign w:val="center"/>
          </w:tcPr>
          <w:p w14:paraId="237E6F87"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E2EFD9" w:themeFill="accent6" w:themeFillTint="33"/>
            <w:vAlign w:val="center"/>
          </w:tcPr>
          <w:p w14:paraId="44895F31" w14:textId="77777777" w:rsidR="00322B28" w:rsidRPr="003648F5" w:rsidRDefault="00322B28" w:rsidP="005D385E">
            <w:pPr>
              <w:jc w:val="center"/>
              <w:rPr>
                <w:b/>
                <w:bCs/>
                <w:sz w:val="21"/>
                <w:szCs w:val="21"/>
                <w:lang w:eastAsia="fr-FR"/>
              </w:rPr>
            </w:pPr>
          </w:p>
        </w:tc>
        <w:tc>
          <w:tcPr>
            <w:tcW w:w="73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515A9C6"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B1EFC01"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EB67B7E" w14:textId="77777777" w:rsidR="00322B28" w:rsidRPr="003648F5" w:rsidRDefault="00322B28" w:rsidP="005D385E">
            <w:pPr>
              <w:jc w:val="center"/>
              <w:rPr>
                <w:b/>
                <w:bCs/>
                <w:sz w:val="21"/>
                <w:szCs w:val="21"/>
                <w:lang w:eastAsia="fr-FR"/>
              </w:rPr>
            </w:pPr>
          </w:p>
        </w:tc>
      </w:tr>
      <w:tr w:rsidR="00322B28" w:rsidRPr="003648F5" w14:paraId="63C3C7C5" w14:textId="77777777" w:rsidTr="002B0DC1">
        <w:trPr>
          <w:jc w:val="center"/>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20C815" w14:textId="77777777" w:rsidR="00322B28" w:rsidRDefault="00322B28" w:rsidP="005D385E">
            <w:pPr>
              <w:jc w:val="center"/>
              <w:rPr>
                <w:b/>
                <w:bCs/>
                <w:sz w:val="21"/>
                <w:szCs w:val="21"/>
                <w:lang w:eastAsia="fr-FR"/>
              </w:rPr>
            </w:pPr>
            <w:r>
              <w:rPr>
                <w:b/>
                <w:bCs/>
                <w:sz w:val="21"/>
                <w:szCs w:val="21"/>
                <w:lang w:eastAsia="fr-FR"/>
              </w:rPr>
              <w:t>Gaz naturel</w:t>
            </w:r>
          </w:p>
          <w:p w14:paraId="4CA8BB8C" w14:textId="77777777" w:rsidR="00322B28" w:rsidRPr="003648F5" w:rsidRDefault="00322B28" w:rsidP="005D385E">
            <w:pPr>
              <w:jc w:val="center"/>
              <w:rPr>
                <w:b/>
                <w:bCs/>
                <w:sz w:val="21"/>
                <w:szCs w:val="21"/>
                <w:lang w:eastAsia="fr-FR"/>
              </w:rPr>
            </w:pPr>
            <w:r>
              <w:rPr>
                <w:b/>
                <w:bCs/>
                <w:sz w:val="21"/>
                <w:szCs w:val="21"/>
                <w:lang w:eastAsia="fr-FR"/>
              </w:rPr>
              <w:t>(CCGT)</w:t>
            </w:r>
          </w:p>
        </w:tc>
        <w:tc>
          <w:tcPr>
            <w:tcW w:w="1852" w:type="dxa"/>
            <w:tcBorders>
              <w:top w:val="single" w:sz="4" w:space="0" w:color="auto"/>
              <w:left w:val="single" w:sz="4" w:space="0" w:color="auto"/>
              <w:bottom w:val="single" w:sz="4" w:space="0" w:color="auto"/>
            </w:tcBorders>
            <w:shd w:val="clear" w:color="auto" w:fill="auto"/>
            <w:tcMar>
              <w:top w:w="150" w:type="dxa"/>
              <w:left w:w="150" w:type="dxa"/>
              <w:bottom w:w="150" w:type="dxa"/>
              <w:right w:w="150" w:type="dxa"/>
            </w:tcMar>
            <w:vAlign w:val="center"/>
          </w:tcPr>
          <w:p w14:paraId="002FD59C" w14:textId="77777777" w:rsidR="00322B28" w:rsidRPr="003648F5" w:rsidRDefault="00322B28" w:rsidP="005D385E">
            <w:pPr>
              <w:jc w:val="center"/>
              <w:rPr>
                <w:b/>
                <w:bCs/>
                <w:sz w:val="21"/>
                <w:szCs w:val="21"/>
                <w:lang w:eastAsia="fr-FR"/>
              </w:rPr>
            </w:pPr>
            <w:r w:rsidRPr="0087546D">
              <w:rPr>
                <w:b/>
                <w:bCs/>
                <w:sz w:val="21"/>
                <w:szCs w:val="21"/>
                <w:lang w:eastAsia="fr-FR"/>
              </w:rPr>
              <w:t>50 ≤ P &lt; 100</w:t>
            </w:r>
          </w:p>
        </w:tc>
        <w:tc>
          <w:tcPr>
            <w:tcW w:w="732" w:type="dxa"/>
            <w:vMerge w:val="restart"/>
            <w:tcBorders>
              <w:left w:val="single" w:sz="4" w:space="0" w:color="auto"/>
              <w:right w:val="single" w:sz="4" w:space="0" w:color="auto"/>
            </w:tcBorders>
            <w:shd w:val="clear" w:color="auto" w:fill="D9D9D9" w:themeFill="background1" w:themeFillShade="D9"/>
            <w:vAlign w:val="center"/>
          </w:tcPr>
          <w:p w14:paraId="46227CCA" w14:textId="77777777" w:rsidR="00322B28" w:rsidRPr="003648F5" w:rsidRDefault="00322B28" w:rsidP="005D385E">
            <w:pPr>
              <w:jc w:val="center"/>
              <w:rPr>
                <w:b/>
                <w:bCs/>
                <w:sz w:val="21"/>
                <w:szCs w:val="21"/>
                <w:lang w:eastAsia="fr-FR"/>
              </w:rPr>
            </w:pPr>
          </w:p>
        </w:tc>
        <w:tc>
          <w:tcPr>
            <w:tcW w:w="685" w:type="dxa"/>
            <w:vMerge w:val="restart"/>
            <w:tcBorders>
              <w:left w:val="single" w:sz="4" w:space="0" w:color="auto"/>
              <w:right w:val="single" w:sz="4" w:space="0" w:color="auto"/>
            </w:tcBorders>
            <w:shd w:val="clear" w:color="auto" w:fill="D9D9D9" w:themeFill="background1" w:themeFillShade="D9"/>
            <w:vAlign w:val="center"/>
          </w:tcPr>
          <w:p w14:paraId="341A374A" w14:textId="77777777" w:rsidR="00322B28" w:rsidRPr="003648F5" w:rsidRDefault="00322B28" w:rsidP="005D385E">
            <w:pPr>
              <w:jc w:val="center"/>
              <w:rPr>
                <w:b/>
                <w:bCs/>
                <w:sz w:val="21"/>
                <w:szCs w:val="21"/>
                <w:lang w:eastAsia="fr-FR"/>
              </w:rPr>
            </w:pPr>
            <w:r>
              <w:rPr>
                <w:b/>
                <w:bCs/>
                <w:sz w:val="21"/>
                <w:szCs w:val="21"/>
                <w:lang w:eastAsia="fr-FR"/>
              </w:rPr>
              <w:t>10</w:t>
            </w:r>
          </w:p>
        </w:tc>
        <w:tc>
          <w:tcPr>
            <w:tcW w:w="685" w:type="dxa"/>
            <w:vMerge w:val="restart"/>
            <w:tcBorders>
              <w:left w:val="single" w:sz="4" w:space="0" w:color="auto"/>
              <w:right w:val="single" w:sz="4" w:space="0" w:color="auto"/>
            </w:tcBorders>
            <w:shd w:val="clear" w:color="auto" w:fill="D9D9D9" w:themeFill="background1" w:themeFillShade="D9"/>
            <w:vAlign w:val="center"/>
          </w:tcPr>
          <w:p w14:paraId="6CC7D4F1" w14:textId="77777777" w:rsidR="00322B28" w:rsidRPr="003648F5" w:rsidRDefault="00322B28" w:rsidP="005D385E">
            <w:pPr>
              <w:jc w:val="center"/>
              <w:rPr>
                <w:b/>
                <w:bCs/>
                <w:sz w:val="21"/>
                <w:szCs w:val="21"/>
                <w:lang w:eastAsia="fr-FR"/>
              </w:rPr>
            </w:pPr>
            <w:r>
              <w:rPr>
                <w:b/>
                <w:bCs/>
                <w:sz w:val="21"/>
                <w:szCs w:val="21"/>
                <w:lang w:eastAsia="fr-FR"/>
              </w:rPr>
              <w:t>11</w:t>
            </w:r>
          </w:p>
        </w:tc>
        <w:tc>
          <w:tcPr>
            <w:tcW w:w="733" w:type="dxa"/>
            <w:vMerge w:val="restart"/>
            <w:tcBorders>
              <w:left w:val="single" w:sz="4" w:space="0" w:color="auto"/>
              <w:right w:val="single" w:sz="4" w:space="0" w:color="auto"/>
            </w:tcBorders>
            <w:shd w:val="clear" w:color="auto" w:fill="E2EFD9" w:themeFill="accent6" w:themeFillTint="33"/>
            <w:vAlign w:val="center"/>
          </w:tcPr>
          <w:p w14:paraId="49411132" w14:textId="77777777" w:rsidR="00322B28" w:rsidRPr="003648F5" w:rsidRDefault="00322B28" w:rsidP="005D385E">
            <w:pPr>
              <w:jc w:val="center"/>
              <w:rPr>
                <w:b/>
                <w:bCs/>
                <w:sz w:val="21"/>
                <w:szCs w:val="21"/>
                <w:lang w:eastAsia="fr-FR"/>
              </w:rPr>
            </w:pPr>
            <w:r>
              <w:rPr>
                <w:b/>
                <w:bCs/>
                <w:sz w:val="21"/>
                <w:szCs w:val="21"/>
                <w:lang w:eastAsia="fr-FR"/>
              </w:rPr>
              <w:t>30</w:t>
            </w:r>
          </w:p>
        </w:tc>
        <w:tc>
          <w:tcPr>
            <w:tcW w:w="685" w:type="dxa"/>
            <w:vMerge w:val="restart"/>
            <w:tcBorders>
              <w:left w:val="single" w:sz="4" w:space="0" w:color="auto"/>
              <w:right w:val="single" w:sz="4" w:space="0" w:color="auto"/>
            </w:tcBorders>
            <w:shd w:val="clear" w:color="auto" w:fill="E2EFD9" w:themeFill="accent6" w:themeFillTint="33"/>
            <w:vAlign w:val="center"/>
          </w:tcPr>
          <w:p w14:paraId="603D7784" w14:textId="77777777" w:rsidR="00322B28" w:rsidRPr="003648F5" w:rsidRDefault="00322B28" w:rsidP="005D385E">
            <w:pPr>
              <w:jc w:val="center"/>
              <w:rPr>
                <w:b/>
                <w:bCs/>
                <w:sz w:val="21"/>
                <w:szCs w:val="21"/>
                <w:lang w:eastAsia="fr-FR"/>
              </w:rPr>
            </w:pPr>
            <w:r>
              <w:rPr>
                <w:b/>
                <w:bCs/>
                <w:sz w:val="21"/>
                <w:szCs w:val="21"/>
                <w:lang w:eastAsia="fr-FR"/>
              </w:rPr>
              <w:t>40</w:t>
            </w:r>
          </w:p>
        </w:tc>
        <w:tc>
          <w:tcPr>
            <w:tcW w:w="685" w:type="dxa"/>
            <w:vMerge w:val="restart"/>
            <w:tcBorders>
              <w:left w:val="single" w:sz="4" w:space="0" w:color="auto"/>
              <w:right w:val="single" w:sz="4" w:space="0" w:color="auto"/>
            </w:tcBorders>
            <w:shd w:val="clear" w:color="auto" w:fill="E2EFD9" w:themeFill="accent6" w:themeFillTint="33"/>
            <w:vAlign w:val="center"/>
          </w:tcPr>
          <w:p w14:paraId="311EE051" w14:textId="77777777" w:rsidR="00322B28" w:rsidRPr="003648F5" w:rsidRDefault="00322B28" w:rsidP="005D385E">
            <w:pPr>
              <w:jc w:val="center"/>
              <w:rPr>
                <w:b/>
                <w:bCs/>
                <w:sz w:val="21"/>
                <w:szCs w:val="21"/>
                <w:lang w:eastAsia="fr-FR"/>
              </w:rPr>
            </w:pPr>
            <w:r>
              <w:rPr>
                <w:b/>
                <w:bCs/>
                <w:sz w:val="21"/>
                <w:szCs w:val="21"/>
                <w:lang w:eastAsia="fr-FR"/>
              </w:rPr>
              <w:t>40</w:t>
            </w:r>
          </w:p>
        </w:tc>
        <w:tc>
          <w:tcPr>
            <w:tcW w:w="733" w:type="dxa"/>
            <w:vMerge w:val="restart"/>
            <w:tcBorders>
              <w:left w:val="single" w:sz="4" w:space="0" w:color="auto"/>
              <w:right w:val="single" w:sz="4" w:space="0" w:color="auto"/>
            </w:tcBorders>
            <w:shd w:val="clear" w:color="auto" w:fill="D9D9D9" w:themeFill="background1" w:themeFillShade="D9"/>
            <w:vAlign w:val="center"/>
          </w:tcPr>
          <w:p w14:paraId="08904358" w14:textId="77777777" w:rsidR="00322B28" w:rsidRPr="003648F5" w:rsidRDefault="00322B28" w:rsidP="005D385E">
            <w:pPr>
              <w:jc w:val="center"/>
              <w:rPr>
                <w:b/>
                <w:bCs/>
                <w:sz w:val="21"/>
                <w:szCs w:val="21"/>
                <w:lang w:eastAsia="fr-FR"/>
              </w:rPr>
            </w:pPr>
          </w:p>
        </w:tc>
        <w:tc>
          <w:tcPr>
            <w:tcW w:w="685" w:type="dxa"/>
            <w:vMerge w:val="restart"/>
            <w:tcBorders>
              <w:left w:val="single" w:sz="4" w:space="0" w:color="auto"/>
              <w:right w:val="single" w:sz="4" w:space="0" w:color="auto"/>
            </w:tcBorders>
            <w:shd w:val="clear" w:color="auto" w:fill="D9D9D9" w:themeFill="background1" w:themeFillShade="D9"/>
            <w:vAlign w:val="center"/>
          </w:tcPr>
          <w:p w14:paraId="21743820" w14:textId="77777777" w:rsidR="00322B28" w:rsidRPr="003648F5" w:rsidRDefault="00322B28" w:rsidP="005D385E">
            <w:pPr>
              <w:jc w:val="center"/>
              <w:rPr>
                <w:b/>
                <w:bCs/>
                <w:sz w:val="21"/>
                <w:szCs w:val="21"/>
                <w:lang w:eastAsia="fr-FR"/>
              </w:rPr>
            </w:pPr>
            <w:r>
              <w:rPr>
                <w:b/>
                <w:bCs/>
                <w:sz w:val="21"/>
                <w:szCs w:val="21"/>
                <w:lang w:eastAsia="fr-FR"/>
              </w:rPr>
              <w:t>10</w:t>
            </w:r>
          </w:p>
        </w:tc>
        <w:tc>
          <w:tcPr>
            <w:tcW w:w="685" w:type="dxa"/>
            <w:vMerge w:val="restart"/>
            <w:tcBorders>
              <w:left w:val="single" w:sz="4" w:space="0" w:color="auto"/>
              <w:right w:val="single" w:sz="4" w:space="0" w:color="auto"/>
            </w:tcBorders>
            <w:shd w:val="clear" w:color="auto" w:fill="D9D9D9" w:themeFill="background1" w:themeFillShade="D9"/>
            <w:vAlign w:val="center"/>
          </w:tcPr>
          <w:p w14:paraId="0299DD19" w14:textId="77777777" w:rsidR="00322B28" w:rsidRPr="003648F5" w:rsidRDefault="00322B28" w:rsidP="005D385E">
            <w:pPr>
              <w:jc w:val="center"/>
              <w:rPr>
                <w:b/>
                <w:bCs/>
                <w:sz w:val="21"/>
                <w:szCs w:val="21"/>
                <w:lang w:eastAsia="fr-FR"/>
              </w:rPr>
            </w:pPr>
            <w:r>
              <w:rPr>
                <w:b/>
                <w:bCs/>
                <w:sz w:val="21"/>
                <w:szCs w:val="21"/>
                <w:lang w:eastAsia="fr-FR"/>
              </w:rPr>
              <w:t>11</w:t>
            </w:r>
          </w:p>
        </w:tc>
      </w:tr>
      <w:tr w:rsidR="00322B28" w:rsidRPr="003648F5" w14:paraId="56CA135B" w14:textId="77777777" w:rsidTr="002B0DC1">
        <w:trPr>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D3B98B" w14:textId="77777777" w:rsidR="00322B28" w:rsidRPr="003648F5" w:rsidRDefault="00322B28" w:rsidP="005D385E">
            <w:pPr>
              <w:rPr>
                <w:b/>
                <w:bCs/>
                <w:sz w:val="21"/>
                <w:szCs w:val="21"/>
                <w:lang w:eastAsia="fr-FR"/>
              </w:rPr>
            </w:pPr>
          </w:p>
        </w:tc>
        <w:tc>
          <w:tcPr>
            <w:tcW w:w="1852" w:type="dxa"/>
            <w:tcBorders>
              <w:top w:val="single" w:sz="4" w:space="0" w:color="auto"/>
              <w:left w:val="single" w:sz="4" w:space="0" w:color="auto"/>
              <w:bottom w:val="single" w:sz="4" w:space="0" w:color="auto"/>
            </w:tcBorders>
            <w:shd w:val="clear" w:color="auto" w:fill="auto"/>
            <w:tcMar>
              <w:top w:w="150" w:type="dxa"/>
              <w:left w:w="150" w:type="dxa"/>
              <w:bottom w:w="150" w:type="dxa"/>
              <w:right w:w="150" w:type="dxa"/>
            </w:tcMar>
            <w:vAlign w:val="center"/>
          </w:tcPr>
          <w:p w14:paraId="1D81E656" w14:textId="77777777" w:rsidR="00322B28" w:rsidRPr="003648F5" w:rsidRDefault="00322B28" w:rsidP="005D385E">
            <w:pPr>
              <w:jc w:val="center"/>
              <w:rPr>
                <w:b/>
                <w:bCs/>
                <w:sz w:val="21"/>
                <w:szCs w:val="21"/>
                <w:lang w:eastAsia="fr-FR"/>
              </w:rPr>
            </w:pPr>
            <w:r w:rsidRPr="0087546D">
              <w:rPr>
                <w:b/>
                <w:bCs/>
                <w:sz w:val="21"/>
                <w:szCs w:val="21"/>
                <w:lang w:eastAsia="fr-FR"/>
              </w:rPr>
              <w:t>100 ≤ P &lt; 300</w:t>
            </w:r>
          </w:p>
        </w:tc>
        <w:tc>
          <w:tcPr>
            <w:tcW w:w="732" w:type="dxa"/>
            <w:vMerge/>
            <w:tcBorders>
              <w:left w:val="single" w:sz="4" w:space="0" w:color="auto"/>
              <w:right w:val="single" w:sz="4" w:space="0" w:color="auto"/>
            </w:tcBorders>
            <w:shd w:val="clear" w:color="auto" w:fill="D9D9D9" w:themeFill="background1" w:themeFillShade="D9"/>
            <w:vAlign w:val="center"/>
          </w:tcPr>
          <w:p w14:paraId="1B6E26BE"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D9D9D9" w:themeFill="background1" w:themeFillShade="D9"/>
            <w:vAlign w:val="center"/>
          </w:tcPr>
          <w:p w14:paraId="6BD11505"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D9D9D9" w:themeFill="background1" w:themeFillShade="D9"/>
            <w:vAlign w:val="center"/>
          </w:tcPr>
          <w:p w14:paraId="4F206464" w14:textId="77777777" w:rsidR="00322B28" w:rsidRPr="003648F5" w:rsidRDefault="00322B28" w:rsidP="005D385E">
            <w:pPr>
              <w:jc w:val="center"/>
              <w:rPr>
                <w:b/>
                <w:bCs/>
                <w:sz w:val="21"/>
                <w:szCs w:val="21"/>
                <w:lang w:eastAsia="fr-FR"/>
              </w:rPr>
            </w:pPr>
          </w:p>
        </w:tc>
        <w:tc>
          <w:tcPr>
            <w:tcW w:w="733" w:type="dxa"/>
            <w:vMerge/>
            <w:tcBorders>
              <w:left w:val="single" w:sz="4" w:space="0" w:color="auto"/>
              <w:right w:val="single" w:sz="4" w:space="0" w:color="auto"/>
            </w:tcBorders>
            <w:shd w:val="clear" w:color="auto" w:fill="E2EFD9" w:themeFill="accent6" w:themeFillTint="33"/>
            <w:vAlign w:val="center"/>
          </w:tcPr>
          <w:p w14:paraId="28B828AC"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E2EFD9" w:themeFill="accent6" w:themeFillTint="33"/>
            <w:vAlign w:val="center"/>
          </w:tcPr>
          <w:p w14:paraId="3BFD07E1"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E2EFD9" w:themeFill="accent6" w:themeFillTint="33"/>
            <w:vAlign w:val="center"/>
          </w:tcPr>
          <w:p w14:paraId="752421D2" w14:textId="77777777" w:rsidR="00322B28" w:rsidRPr="003648F5" w:rsidRDefault="00322B28" w:rsidP="005D385E">
            <w:pPr>
              <w:jc w:val="center"/>
              <w:rPr>
                <w:b/>
                <w:bCs/>
                <w:sz w:val="21"/>
                <w:szCs w:val="21"/>
                <w:lang w:eastAsia="fr-FR"/>
              </w:rPr>
            </w:pPr>
          </w:p>
        </w:tc>
        <w:tc>
          <w:tcPr>
            <w:tcW w:w="733" w:type="dxa"/>
            <w:vMerge/>
            <w:tcBorders>
              <w:left w:val="single" w:sz="4" w:space="0" w:color="auto"/>
              <w:right w:val="single" w:sz="4" w:space="0" w:color="auto"/>
            </w:tcBorders>
            <w:shd w:val="clear" w:color="auto" w:fill="D9D9D9" w:themeFill="background1" w:themeFillShade="D9"/>
            <w:vAlign w:val="center"/>
          </w:tcPr>
          <w:p w14:paraId="06326263"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D9D9D9" w:themeFill="background1" w:themeFillShade="D9"/>
            <w:vAlign w:val="center"/>
          </w:tcPr>
          <w:p w14:paraId="55F5356C"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D9D9D9" w:themeFill="background1" w:themeFillShade="D9"/>
            <w:vAlign w:val="center"/>
          </w:tcPr>
          <w:p w14:paraId="3B0F58AF" w14:textId="77777777" w:rsidR="00322B28" w:rsidRPr="003648F5" w:rsidRDefault="00322B28" w:rsidP="005D385E">
            <w:pPr>
              <w:jc w:val="center"/>
              <w:rPr>
                <w:b/>
                <w:bCs/>
                <w:sz w:val="21"/>
                <w:szCs w:val="21"/>
                <w:lang w:eastAsia="fr-FR"/>
              </w:rPr>
            </w:pPr>
          </w:p>
        </w:tc>
      </w:tr>
      <w:tr w:rsidR="00322B28" w:rsidRPr="003648F5" w14:paraId="0916E142" w14:textId="77777777" w:rsidTr="002B0DC1">
        <w:trPr>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56579" w14:textId="77777777" w:rsidR="00322B28" w:rsidRPr="003648F5" w:rsidRDefault="00322B28" w:rsidP="005D385E">
            <w:pPr>
              <w:rPr>
                <w:b/>
                <w:bCs/>
                <w:sz w:val="21"/>
                <w:szCs w:val="21"/>
                <w:lang w:eastAsia="fr-FR"/>
              </w:rPr>
            </w:pPr>
          </w:p>
        </w:tc>
        <w:tc>
          <w:tcPr>
            <w:tcW w:w="1852" w:type="dxa"/>
            <w:tcBorders>
              <w:top w:val="single" w:sz="4" w:space="0" w:color="auto"/>
              <w:left w:val="single" w:sz="4" w:space="0" w:color="auto"/>
              <w:bottom w:val="single" w:sz="4" w:space="0" w:color="auto"/>
            </w:tcBorders>
            <w:shd w:val="clear" w:color="auto" w:fill="auto"/>
            <w:tcMar>
              <w:top w:w="150" w:type="dxa"/>
              <w:left w:w="150" w:type="dxa"/>
              <w:bottom w:w="150" w:type="dxa"/>
              <w:right w:w="150" w:type="dxa"/>
            </w:tcMar>
            <w:vAlign w:val="center"/>
          </w:tcPr>
          <w:p w14:paraId="64229D82" w14:textId="77777777" w:rsidR="00322B28" w:rsidRPr="003648F5" w:rsidRDefault="00322B28" w:rsidP="005D385E">
            <w:pPr>
              <w:jc w:val="center"/>
              <w:rPr>
                <w:b/>
                <w:bCs/>
                <w:sz w:val="21"/>
                <w:szCs w:val="21"/>
                <w:lang w:eastAsia="fr-FR"/>
              </w:rPr>
            </w:pPr>
            <w:r w:rsidRPr="0087546D">
              <w:rPr>
                <w:b/>
                <w:bCs/>
                <w:sz w:val="21"/>
                <w:szCs w:val="21"/>
                <w:lang w:eastAsia="fr-FR"/>
              </w:rPr>
              <w:t>300 ≤ P</w:t>
            </w:r>
          </w:p>
        </w:tc>
        <w:tc>
          <w:tcPr>
            <w:tcW w:w="7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F017A2B"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6B8735A"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D2E1238" w14:textId="77777777" w:rsidR="00322B28" w:rsidRPr="003648F5" w:rsidRDefault="00322B28" w:rsidP="005D385E">
            <w:pPr>
              <w:jc w:val="center"/>
              <w:rPr>
                <w:b/>
                <w:bCs/>
                <w:sz w:val="21"/>
                <w:szCs w:val="21"/>
                <w:lang w:eastAsia="fr-FR"/>
              </w:rPr>
            </w:pPr>
          </w:p>
        </w:tc>
        <w:tc>
          <w:tcPr>
            <w:tcW w:w="733" w:type="dxa"/>
            <w:vMerge/>
            <w:tcBorders>
              <w:left w:val="single" w:sz="4" w:space="0" w:color="auto"/>
              <w:bottom w:val="single" w:sz="4" w:space="0" w:color="auto"/>
              <w:right w:val="single" w:sz="4" w:space="0" w:color="auto"/>
            </w:tcBorders>
            <w:shd w:val="clear" w:color="auto" w:fill="E2EFD9" w:themeFill="accent6" w:themeFillTint="33"/>
            <w:vAlign w:val="center"/>
          </w:tcPr>
          <w:p w14:paraId="2B7DD5F9"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E2EFD9" w:themeFill="accent6" w:themeFillTint="33"/>
            <w:vAlign w:val="center"/>
          </w:tcPr>
          <w:p w14:paraId="15866CF4"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E2EFD9" w:themeFill="accent6" w:themeFillTint="33"/>
            <w:vAlign w:val="center"/>
          </w:tcPr>
          <w:p w14:paraId="610E88A8" w14:textId="77777777" w:rsidR="00322B28" w:rsidRPr="003648F5" w:rsidRDefault="00322B28" w:rsidP="005D385E">
            <w:pPr>
              <w:jc w:val="center"/>
              <w:rPr>
                <w:b/>
                <w:bCs/>
                <w:sz w:val="21"/>
                <w:szCs w:val="21"/>
                <w:lang w:eastAsia="fr-FR"/>
              </w:rPr>
            </w:pPr>
          </w:p>
        </w:tc>
        <w:tc>
          <w:tcPr>
            <w:tcW w:w="73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59D81D5"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8A71F8"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842E34E" w14:textId="77777777" w:rsidR="00322B28" w:rsidRPr="003648F5" w:rsidRDefault="00322B28" w:rsidP="005D385E">
            <w:pPr>
              <w:jc w:val="center"/>
              <w:rPr>
                <w:b/>
                <w:bCs/>
                <w:sz w:val="21"/>
                <w:szCs w:val="21"/>
                <w:lang w:eastAsia="fr-FR"/>
              </w:rPr>
            </w:pPr>
          </w:p>
        </w:tc>
      </w:tr>
      <w:tr w:rsidR="00322B28" w:rsidRPr="003648F5" w14:paraId="01DE6C31" w14:textId="77777777" w:rsidTr="002B0DC1">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14:paraId="4DCC641D" w14:textId="77777777" w:rsidR="00322B28" w:rsidRDefault="00322B28" w:rsidP="005D385E">
            <w:pPr>
              <w:jc w:val="center"/>
              <w:rPr>
                <w:b/>
                <w:bCs/>
                <w:sz w:val="21"/>
                <w:szCs w:val="21"/>
                <w:lang w:eastAsia="fr-FR"/>
              </w:rPr>
            </w:pPr>
            <w:r w:rsidRPr="009E0611">
              <w:rPr>
                <w:b/>
                <w:bCs/>
                <w:sz w:val="21"/>
                <w:szCs w:val="21"/>
                <w:lang w:eastAsia="fr-FR"/>
              </w:rPr>
              <w:t>Gaz sidérurgiques</w:t>
            </w:r>
          </w:p>
          <w:p w14:paraId="35297CC9" w14:textId="77777777" w:rsidR="00322B28" w:rsidRPr="009E0611" w:rsidRDefault="00322B28" w:rsidP="005D385E">
            <w:pPr>
              <w:jc w:val="center"/>
              <w:rPr>
                <w:b/>
                <w:bCs/>
                <w:sz w:val="21"/>
                <w:szCs w:val="21"/>
                <w:lang w:eastAsia="fr-FR"/>
              </w:rPr>
            </w:pPr>
            <w:r>
              <w:rPr>
                <w:b/>
                <w:bCs/>
                <w:sz w:val="21"/>
                <w:szCs w:val="21"/>
                <w:lang w:eastAsia="fr-FR"/>
              </w:rPr>
              <w:t>(CCGT)</w:t>
            </w: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13A4F31B" w14:textId="77777777" w:rsidR="00322B28" w:rsidRPr="003648F5" w:rsidRDefault="00322B28" w:rsidP="005D385E">
            <w:pPr>
              <w:jc w:val="center"/>
              <w:rPr>
                <w:b/>
                <w:bCs/>
                <w:sz w:val="21"/>
                <w:szCs w:val="21"/>
                <w:lang w:eastAsia="fr-FR"/>
              </w:rPr>
            </w:pPr>
            <w:r w:rsidRPr="0087546D">
              <w:rPr>
                <w:b/>
                <w:bCs/>
                <w:sz w:val="21"/>
                <w:szCs w:val="21"/>
                <w:lang w:eastAsia="fr-FR"/>
              </w:rPr>
              <w:t>50 ≤ P &lt; 100</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0EFC3F" w14:textId="77777777" w:rsidR="00322B28" w:rsidRPr="003648F5" w:rsidRDefault="00322B28" w:rsidP="005D385E">
            <w:pPr>
              <w:jc w:val="center"/>
              <w:rPr>
                <w:b/>
                <w:bCs/>
                <w:sz w:val="21"/>
                <w:szCs w:val="21"/>
                <w:lang w:eastAsia="fr-FR"/>
              </w:rPr>
            </w:pPr>
            <w:r w:rsidRPr="009E0611">
              <w:rPr>
                <w:b/>
                <w:bCs/>
                <w:sz w:val="21"/>
                <w:szCs w:val="21"/>
                <w:lang w:eastAsia="fr-FR"/>
              </w:rPr>
              <w:t>45</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EFC185" w14:textId="77777777" w:rsidR="00322B28" w:rsidRDefault="00322B28" w:rsidP="005D385E">
            <w:pPr>
              <w:jc w:val="center"/>
              <w:rPr>
                <w:b/>
                <w:bCs/>
                <w:sz w:val="21"/>
                <w:szCs w:val="21"/>
                <w:lang w:eastAsia="fr-FR"/>
              </w:rPr>
            </w:pPr>
            <w:r w:rsidRPr="009E0611">
              <w:rPr>
                <w:b/>
                <w:bCs/>
                <w:sz w:val="21"/>
                <w:szCs w:val="21"/>
                <w:lang w:eastAsia="fr-FR"/>
              </w:rPr>
              <w:t>65</w:t>
            </w:r>
          </w:p>
          <w:p w14:paraId="67DFF3D7" w14:textId="77777777" w:rsidR="00322B28" w:rsidRPr="003648F5" w:rsidRDefault="00322B28" w:rsidP="005D385E">
            <w:pPr>
              <w:jc w:val="center"/>
              <w:rPr>
                <w:b/>
                <w:bCs/>
                <w:sz w:val="21"/>
                <w:szCs w:val="21"/>
                <w:lang w:eastAsia="fr-FR"/>
              </w:rPr>
            </w:pPr>
            <w:r>
              <w:rPr>
                <w:b/>
                <w:bCs/>
                <w:sz w:val="21"/>
                <w:szCs w:val="21"/>
                <w:lang w:eastAsia="fr-FR"/>
              </w:rPr>
              <w:t>(1)</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9A67EF" w14:textId="77777777" w:rsidR="00322B28" w:rsidRDefault="00322B28" w:rsidP="005D385E">
            <w:pPr>
              <w:jc w:val="center"/>
              <w:rPr>
                <w:b/>
                <w:bCs/>
                <w:sz w:val="21"/>
                <w:szCs w:val="21"/>
                <w:lang w:eastAsia="fr-FR"/>
              </w:rPr>
            </w:pPr>
            <w:r>
              <w:rPr>
                <w:b/>
                <w:bCs/>
                <w:sz w:val="21"/>
                <w:szCs w:val="21"/>
                <w:lang w:eastAsia="fr-FR"/>
              </w:rPr>
              <w:t>70</w:t>
            </w:r>
          </w:p>
          <w:p w14:paraId="5F91F3B8" w14:textId="77777777" w:rsidR="00322B28" w:rsidRPr="003648F5" w:rsidRDefault="00322B28" w:rsidP="005D385E">
            <w:pPr>
              <w:jc w:val="center"/>
              <w:rPr>
                <w:b/>
                <w:bCs/>
                <w:sz w:val="21"/>
                <w:szCs w:val="21"/>
                <w:lang w:eastAsia="fr-FR"/>
              </w:rPr>
            </w:pPr>
            <w:r>
              <w:rPr>
                <w:b/>
                <w:bCs/>
                <w:sz w:val="21"/>
                <w:szCs w:val="21"/>
                <w:lang w:eastAsia="fr-FR"/>
              </w:rPr>
              <w:t>(1)</w:t>
            </w:r>
          </w:p>
        </w:tc>
        <w:tc>
          <w:tcPr>
            <w:tcW w:w="733" w:type="dxa"/>
            <w:vMerge w:val="restart"/>
            <w:tcBorders>
              <w:left w:val="single" w:sz="4" w:space="0" w:color="auto"/>
              <w:right w:val="single" w:sz="4" w:space="0" w:color="auto"/>
            </w:tcBorders>
            <w:shd w:val="clear" w:color="auto" w:fill="E2EFD9" w:themeFill="accent6" w:themeFillTint="33"/>
            <w:vAlign w:val="center"/>
          </w:tcPr>
          <w:p w14:paraId="7D3FC703" w14:textId="77777777" w:rsidR="00322B28" w:rsidRPr="003648F5" w:rsidRDefault="00322B28" w:rsidP="005D385E">
            <w:pPr>
              <w:jc w:val="center"/>
              <w:rPr>
                <w:b/>
                <w:bCs/>
                <w:sz w:val="21"/>
                <w:szCs w:val="21"/>
                <w:lang w:eastAsia="fr-FR"/>
              </w:rPr>
            </w:pPr>
            <w:r>
              <w:rPr>
                <w:b/>
                <w:bCs/>
                <w:sz w:val="21"/>
                <w:szCs w:val="21"/>
                <w:lang w:eastAsia="fr-FR"/>
              </w:rPr>
              <w:t>35</w:t>
            </w:r>
          </w:p>
        </w:tc>
        <w:tc>
          <w:tcPr>
            <w:tcW w:w="685" w:type="dxa"/>
            <w:vMerge w:val="restart"/>
            <w:tcBorders>
              <w:left w:val="single" w:sz="4" w:space="0" w:color="auto"/>
              <w:right w:val="single" w:sz="4" w:space="0" w:color="auto"/>
            </w:tcBorders>
            <w:shd w:val="clear" w:color="auto" w:fill="B4C6E7" w:themeFill="accent5" w:themeFillTint="66"/>
            <w:vAlign w:val="center"/>
          </w:tcPr>
          <w:p w14:paraId="12C2B0E2" w14:textId="77777777" w:rsidR="00322B28" w:rsidRPr="003648F5" w:rsidRDefault="00322B28" w:rsidP="005D385E">
            <w:pPr>
              <w:jc w:val="center"/>
              <w:rPr>
                <w:b/>
                <w:bCs/>
                <w:sz w:val="21"/>
                <w:szCs w:val="21"/>
                <w:lang w:eastAsia="fr-FR"/>
              </w:rPr>
            </w:pPr>
            <w:r>
              <w:rPr>
                <w:b/>
                <w:bCs/>
                <w:sz w:val="21"/>
                <w:szCs w:val="21"/>
                <w:lang w:eastAsia="fr-FR"/>
              </w:rPr>
              <w:t>50</w:t>
            </w:r>
          </w:p>
        </w:tc>
        <w:tc>
          <w:tcPr>
            <w:tcW w:w="685" w:type="dxa"/>
            <w:vMerge w:val="restart"/>
            <w:tcBorders>
              <w:left w:val="single" w:sz="4" w:space="0" w:color="auto"/>
              <w:right w:val="single" w:sz="4" w:space="0" w:color="auto"/>
            </w:tcBorders>
            <w:shd w:val="clear" w:color="auto" w:fill="E2EFD9" w:themeFill="accent6" w:themeFillTint="33"/>
            <w:vAlign w:val="center"/>
          </w:tcPr>
          <w:p w14:paraId="52088C11" w14:textId="77777777" w:rsidR="00322B28" w:rsidRPr="003648F5" w:rsidRDefault="00322B28" w:rsidP="005D385E">
            <w:pPr>
              <w:jc w:val="center"/>
              <w:rPr>
                <w:b/>
                <w:bCs/>
                <w:sz w:val="21"/>
                <w:szCs w:val="21"/>
                <w:lang w:eastAsia="fr-FR"/>
              </w:rPr>
            </w:pPr>
            <w:r>
              <w:rPr>
                <w:b/>
                <w:bCs/>
                <w:sz w:val="21"/>
                <w:szCs w:val="21"/>
                <w:lang w:eastAsia="fr-FR"/>
              </w:rPr>
              <w:t>50</w:t>
            </w:r>
          </w:p>
        </w:tc>
        <w:tc>
          <w:tcPr>
            <w:tcW w:w="733" w:type="dxa"/>
            <w:vMerge w:val="restart"/>
            <w:tcBorders>
              <w:left w:val="single" w:sz="4" w:space="0" w:color="auto"/>
              <w:right w:val="single" w:sz="4" w:space="0" w:color="auto"/>
            </w:tcBorders>
            <w:shd w:val="clear" w:color="auto" w:fill="E2EFD9" w:themeFill="accent6" w:themeFillTint="33"/>
            <w:vAlign w:val="center"/>
          </w:tcPr>
          <w:p w14:paraId="2CF24A55" w14:textId="77777777" w:rsidR="00322B28" w:rsidRPr="003648F5" w:rsidRDefault="00322B28" w:rsidP="005D385E">
            <w:pPr>
              <w:jc w:val="center"/>
              <w:rPr>
                <w:b/>
                <w:bCs/>
                <w:sz w:val="21"/>
                <w:szCs w:val="21"/>
                <w:lang w:eastAsia="fr-FR"/>
              </w:rPr>
            </w:pPr>
            <w:r>
              <w:rPr>
                <w:b/>
                <w:bCs/>
                <w:sz w:val="21"/>
                <w:szCs w:val="21"/>
                <w:lang w:eastAsia="fr-FR"/>
              </w:rPr>
              <w:t>5</w:t>
            </w:r>
          </w:p>
        </w:tc>
        <w:tc>
          <w:tcPr>
            <w:tcW w:w="685" w:type="dxa"/>
            <w:vMerge w:val="restart"/>
            <w:tcBorders>
              <w:left w:val="single" w:sz="4" w:space="0" w:color="auto"/>
              <w:right w:val="single" w:sz="4" w:space="0" w:color="auto"/>
            </w:tcBorders>
            <w:shd w:val="clear" w:color="auto" w:fill="E2EFD9" w:themeFill="accent6" w:themeFillTint="33"/>
            <w:vAlign w:val="center"/>
          </w:tcPr>
          <w:p w14:paraId="661A76C5" w14:textId="77777777" w:rsidR="00322B28" w:rsidRPr="003648F5" w:rsidRDefault="00322B28" w:rsidP="005D385E">
            <w:pPr>
              <w:jc w:val="center"/>
              <w:rPr>
                <w:b/>
                <w:bCs/>
                <w:sz w:val="21"/>
                <w:szCs w:val="21"/>
                <w:lang w:eastAsia="fr-FR"/>
              </w:rPr>
            </w:pPr>
            <w:r>
              <w:rPr>
                <w:b/>
                <w:bCs/>
                <w:sz w:val="21"/>
                <w:szCs w:val="21"/>
                <w:lang w:eastAsia="fr-FR"/>
              </w:rPr>
              <w:t>5</w:t>
            </w:r>
          </w:p>
        </w:tc>
        <w:tc>
          <w:tcPr>
            <w:tcW w:w="685" w:type="dxa"/>
            <w:vMerge w:val="restart"/>
            <w:tcBorders>
              <w:left w:val="single" w:sz="4" w:space="0" w:color="auto"/>
              <w:right w:val="single" w:sz="4" w:space="0" w:color="auto"/>
            </w:tcBorders>
            <w:shd w:val="clear" w:color="auto" w:fill="E2EFD9" w:themeFill="accent6" w:themeFillTint="33"/>
            <w:vAlign w:val="center"/>
          </w:tcPr>
          <w:p w14:paraId="204B3FE1" w14:textId="77777777" w:rsidR="00322B28" w:rsidRPr="003648F5" w:rsidRDefault="00322B28" w:rsidP="005D385E">
            <w:pPr>
              <w:jc w:val="center"/>
              <w:rPr>
                <w:b/>
                <w:bCs/>
                <w:sz w:val="21"/>
                <w:szCs w:val="21"/>
                <w:lang w:eastAsia="fr-FR"/>
              </w:rPr>
            </w:pPr>
            <w:r>
              <w:rPr>
                <w:b/>
                <w:bCs/>
                <w:sz w:val="21"/>
                <w:szCs w:val="21"/>
                <w:lang w:eastAsia="fr-FR"/>
              </w:rPr>
              <w:t>5</w:t>
            </w:r>
          </w:p>
        </w:tc>
      </w:tr>
      <w:tr w:rsidR="00322B28" w:rsidRPr="003648F5" w14:paraId="71FC349B" w14:textId="77777777" w:rsidTr="002B0DC1">
        <w:trPr>
          <w:jc w:val="center"/>
        </w:trPr>
        <w:tc>
          <w:tcPr>
            <w:tcW w:w="1844" w:type="dxa"/>
            <w:vMerge/>
            <w:tcBorders>
              <w:left w:val="single" w:sz="4" w:space="0" w:color="auto"/>
              <w:right w:val="single" w:sz="4" w:space="0" w:color="auto"/>
            </w:tcBorders>
            <w:shd w:val="clear" w:color="auto" w:fill="auto"/>
            <w:vAlign w:val="center"/>
          </w:tcPr>
          <w:p w14:paraId="4CE931EC" w14:textId="77777777" w:rsidR="00322B28" w:rsidRPr="003648F5" w:rsidRDefault="00322B28" w:rsidP="005D385E">
            <w:pPr>
              <w:rPr>
                <w:b/>
                <w:bCs/>
                <w:sz w:val="21"/>
                <w:szCs w:val="21"/>
                <w:lang w:eastAsia="fr-FR"/>
              </w:rPr>
            </w:pP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292D0554" w14:textId="77777777" w:rsidR="00322B28" w:rsidRPr="003648F5" w:rsidRDefault="00322B28" w:rsidP="005D385E">
            <w:pPr>
              <w:jc w:val="center"/>
              <w:rPr>
                <w:b/>
                <w:bCs/>
                <w:sz w:val="21"/>
                <w:szCs w:val="21"/>
                <w:lang w:eastAsia="fr-FR"/>
              </w:rPr>
            </w:pPr>
            <w:r w:rsidRPr="0087546D">
              <w:rPr>
                <w:b/>
                <w:bCs/>
                <w:sz w:val="21"/>
                <w:szCs w:val="21"/>
                <w:lang w:eastAsia="fr-FR"/>
              </w:rPr>
              <w:t>100 ≤ P &lt; 300</w:t>
            </w:r>
          </w:p>
        </w:tc>
        <w:tc>
          <w:tcPr>
            <w:tcW w:w="73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3222C9"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16D4680"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3648EE" w14:textId="77777777" w:rsidR="00322B28" w:rsidRPr="003648F5" w:rsidRDefault="00322B28" w:rsidP="005D385E">
            <w:pPr>
              <w:jc w:val="center"/>
              <w:rPr>
                <w:b/>
                <w:bCs/>
                <w:sz w:val="21"/>
                <w:szCs w:val="21"/>
                <w:lang w:eastAsia="fr-FR"/>
              </w:rPr>
            </w:pPr>
          </w:p>
        </w:tc>
        <w:tc>
          <w:tcPr>
            <w:tcW w:w="733" w:type="dxa"/>
            <w:vMerge/>
            <w:tcBorders>
              <w:left w:val="single" w:sz="4" w:space="0" w:color="auto"/>
              <w:right w:val="single" w:sz="4" w:space="0" w:color="auto"/>
            </w:tcBorders>
            <w:shd w:val="clear" w:color="auto" w:fill="E2EFD9" w:themeFill="accent6" w:themeFillTint="33"/>
            <w:vAlign w:val="center"/>
          </w:tcPr>
          <w:p w14:paraId="3598C7A7"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B4C6E7" w:themeFill="accent5" w:themeFillTint="66"/>
            <w:vAlign w:val="center"/>
          </w:tcPr>
          <w:p w14:paraId="413013E8"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E2EFD9" w:themeFill="accent6" w:themeFillTint="33"/>
            <w:vAlign w:val="center"/>
          </w:tcPr>
          <w:p w14:paraId="6C7874A2" w14:textId="77777777" w:rsidR="00322B28" w:rsidRPr="003648F5" w:rsidRDefault="00322B28" w:rsidP="005D385E">
            <w:pPr>
              <w:jc w:val="center"/>
              <w:rPr>
                <w:b/>
                <w:bCs/>
                <w:sz w:val="21"/>
                <w:szCs w:val="21"/>
                <w:lang w:eastAsia="fr-FR"/>
              </w:rPr>
            </w:pPr>
          </w:p>
        </w:tc>
        <w:tc>
          <w:tcPr>
            <w:tcW w:w="733" w:type="dxa"/>
            <w:vMerge/>
            <w:tcBorders>
              <w:left w:val="single" w:sz="4" w:space="0" w:color="auto"/>
              <w:right w:val="single" w:sz="4" w:space="0" w:color="auto"/>
            </w:tcBorders>
            <w:shd w:val="clear" w:color="auto" w:fill="E2EFD9" w:themeFill="accent6" w:themeFillTint="33"/>
            <w:vAlign w:val="center"/>
          </w:tcPr>
          <w:p w14:paraId="641F6462"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E2EFD9" w:themeFill="accent6" w:themeFillTint="33"/>
            <w:vAlign w:val="center"/>
          </w:tcPr>
          <w:p w14:paraId="235AF56B" w14:textId="77777777" w:rsidR="00322B28" w:rsidRPr="003648F5" w:rsidRDefault="00322B28" w:rsidP="005D385E">
            <w:pPr>
              <w:jc w:val="center"/>
              <w:rPr>
                <w:b/>
                <w:bCs/>
                <w:sz w:val="21"/>
                <w:szCs w:val="21"/>
                <w:lang w:eastAsia="fr-FR"/>
              </w:rPr>
            </w:pPr>
          </w:p>
        </w:tc>
        <w:tc>
          <w:tcPr>
            <w:tcW w:w="685" w:type="dxa"/>
            <w:vMerge/>
            <w:tcBorders>
              <w:left w:val="single" w:sz="4" w:space="0" w:color="auto"/>
              <w:right w:val="single" w:sz="4" w:space="0" w:color="auto"/>
            </w:tcBorders>
            <w:shd w:val="clear" w:color="auto" w:fill="E2EFD9" w:themeFill="accent6" w:themeFillTint="33"/>
            <w:vAlign w:val="center"/>
          </w:tcPr>
          <w:p w14:paraId="7385E056" w14:textId="77777777" w:rsidR="00322B28" w:rsidRPr="003648F5" w:rsidRDefault="00322B28" w:rsidP="005D385E">
            <w:pPr>
              <w:jc w:val="center"/>
              <w:rPr>
                <w:b/>
                <w:bCs/>
                <w:sz w:val="21"/>
                <w:szCs w:val="21"/>
                <w:lang w:eastAsia="fr-FR"/>
              </w:rPr>
            </w:pPr>
          </w:p>
        </w:tc>
      </w:tr>
      <w:tr w:rsidR="00322B28" w:rsidRPr="003648F5" w14:paraId="1E283E1B" w14:textId="77777777" w:rsidTr="002B0DC1">
        <w:trPr>
          <w:jc w:val="center"/>
        </w:trPr>
        <w:tc>
          <w:tcPr>
            <w:tcW w:w="1844" w:type="dxa"/>
            <w:vMerge/>
            <w:tcBorders>
              <w:left w:val="single" w:sz="4" w:space="0" w:color="auto"/>
              <w:bottom w:val="single" w:sz="4" w:space="0" w:color="auto"/>
              <w:right w:val="single" w:sz="4" w:space="0" w:color="auto"/>
            </w:tcBorders>
            <w:shd w:val="clear" w:color="auto" w:fill="auto"/>
            <w:vAlign w:val="center"/>
          </w:tcPr>
          <w:p w14:paraId="737B17C4" w14:textId="77777777" w:rsidR="00322B28" w:rsidRPr="003648F5" w:rsidRDefault="00322B28" w:rsidP="005D385E">
            <w:pPr>
              <w:rPr>
                <w:b/>
                <w:bCs/>
                <w:sz w:val="21"/>
                <w:szCs w:val="21"/>
                <w:lang w:eastAsia="fr-FR"/>
              </w:rPr>
            </w:pP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544BA4FA" w14:textId="77777777" w:rsidR="00322B28" w:rsidRPr="003648F5" w:rsidRDefault="00322B28" w:rsidP="005D385E">
            <w:pPr>
              <w:jc w:val="center"/>
              <w:rPr>
                <w:b/>
                <w:bCs/>
                <w:sz w:val="21"/>
                <w:szCs w:val="21"/>
                <w:lang w:eastAsia="fr-FR"/>
              </w:rPr>
            </w:pPr>
            <w:r w:rsidRPr="0087546D">
              <w:rPr>
                <w:b/>
                <w:bCs/>
                <w:sz w:val="21"/>
                <w:szCs w:val="21"/>
                <w:lang w:eastAsia="fr-FR"/>
              </w:rPr>
              <w:t>300 ≤ P</w:t>
            </w:r>
          </w:p>
        </w:tc>
        <w:tc>
          <w:tcPr>
            <w:tcW w:w="73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04DE83"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6D943AC" w14:textId="77777777" w:rsidR="00322B28" w:rsidRPr="003648F5" w:rsidRDefault="00322B28" w:rsidP="005D385E">
            <w:pPr>
              <w:jc w:val="center"/>
              <w:rPr>
                <w:b/>
                <w:bCs/>
                <w:sz w:val="21"/>
                <w:szCs w:val="21"/>
                <w:lang w:eastAsia="fr-FR"/>
              </w:rPr>
            </w:pPr>
          </w:p>
        </w:tc>
        <w:tc>
          <w:tcPr>
            <w:tcW w:w="6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05EF87" w14:textId="77777777" w:rsidR="00322B28" w:rsidRPr="003648F5" w:rsidRDefault="00322B28" w:rsidP="005D385E">
            <w:pPr>
              <w:jc w:val="center"/>
              <w:rPr>
                <w:b/>
                <w:bCs/>
                <w:sz w:val="21"/>
                <w:szCs w:val="21"/>
                <w:lang w:eastAsia="fr-FR"/>
              </w:rPr>
            </w:pPr>
          </w:p>
        </w:tc>
        <w:tc>
          <w:tcPr>
            <w:tcW w:w="733" w:type="dxa"/>
            <w:vMerge/>
            <w:tcBorders>
              <w:left w:val="single" w:sz="4" w:space="0" w:color="auto"/>
              <w:bottom w:val="single" w:sz="4" w:space="0" w:color="auto"/>
              <w:right w:val="single" w:sz="4" w:space="0" w:color="auto"/>
            </w:tcBorders>
            <w:shd w:val="clear" w:color="auto" w:fill="E2EFD9" w:themeFill="accent6" w:themeFillTint="33"/>
            <w:vAlign w:val="center"/>
          </w:tcPr>
          <w:p w14:paraId="46C30A46"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B4C6E7" w:themeFill="accent5" w:themeFillTint="66"/>
            <w:vAlign w:val="center"/>
          </w:tcPr>
          <w:p w14:paraId="436DFF6A"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E2EFD9" w:themeFill="accent6" w:themeFillTint="33"/>
            <w:vAlign w:val="center"/>
          </w:tcPr>
          <w:p w14:paraId="6DEC5322" w14:textId="77777777" w:rsidR="00322B28" w:rsidRPr="003648F5" w:rsidRDefault="00322B28" w:rsidP="005D385E">
            <w:pPr>
              <w:jc w:val="center"/>
              <w:rPr>
                <w:b/>
                <w:bCs/>
                <w:sz w:val="21"/>
                <w:szCs w:val="21"/>
                <w:lang w:eastAsia="fr-FR"/>
              </w:rPr>
            </w:pPr>
          </w:p>
        </w:tc>
        <w:tc>
          <w:tcPr>
            <w:tcW w:w="733" w:type="dxa"/>
            <w:vMerge/>
            <w:tcBorders>
              <w:left w:val="single" w:sz="4" w:space="0" w:color="auto"/>
              <w:bottom w:val="single" w:sz="4" w:space="0" w:color="auto"/>
              <w:right w:val="single" w:sz="4" w:space="0" w:color="auto"/>
            </w:tcBorders>
            <w:shd w:val="clear" w:color="auto" w:fill="E2EFD9" w:themeFill="accent6" w:themeFillTint="33"/>
            <w:vAlign w:val="center"/>
          </w:tcPr>
          <w:p w14:paraId="1E3E2016"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E2EFD9" w:themeFill="accent6" w:themeFillTint="33"/>
            <w:vAlign w:val="center"/>
          </w:tcPr>
          <w:p w14:paraId="5061B2A6" w14:textId="77777777" w:rsidR="00322B28" w:rsidRPr="003648F5" w:rsidRDefault="00322B28" w:rsidP="005D385E">
            <w:pPr>
              <w:jc w:val="center"/>
              <w:rPr>
                <w:b/>
                <w:bCs/>
                <w:sz w:val="21"/>
                <w:szCs w:val="21"/>
                <w:lang w:eastAsia="fr-FR"/>
              </w:rPr>
            </w:pPr>
          </w:p>
        </w:tc>
        <w:tc>
          <w:tcPr>
            <w:tcW w:w="685" w:type="dxa"/>
            <w:vMerge/>
            <w:tcBorders>
              <w:left w:val="single" w:sz="4" w:space="0" w:color="auto"/>
              <w:bottom w:val="single" w:sz="4" w:space="0" w:color="auto"/>
              <w:right w:val="single" w:sz="4" w:space="0" w:color="auto"/>
            </w:tcBorders>
            <w:shd w:val="clear" w:color="auto" w:fill="E2EFD9" w:themeFill="accent6" w:themeFillTint="33"/>
            <w:vAlign w:val="center"/>
          </w:tcPr>
          <w:p w14:paraId="4F0F6F28" w14:textId="77777777" w:rsidR="00322B28" w:rsidRPr="003648F5" w:rsidRDefault="00322B28" w:rsidP="005D385E">
            <w:pPr>
              <w:jc w:val="center"/>
              <w:rPr>
                <w:b/>
                <w:bCs/>
                <w:sz w:val="21"/>
                <w:szCs w:val="21"/>
                <w:lang w:eastAsia="fr-FR"/>
              </w:rPr>
            </w:pPr>
          </w:p>
        </w:tc>
      </w:tr>
      <w:tr w:rsidR="00322B28" w:rsidRPr="003648F5" w14:paraId="65054281" w14:textId="77777777" w:rsidTr="002B0DC1">
        <w:trPr>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8E34CDB" w14:textId="77777777" w:rsidR="00322B28" w:rsidRPr="00F976A9" w:rsidRDefault="00322B28" w:rsidP="005D385E">
            <w:pPr>
              <w:jc w:val="center"/>
              <w:rPr>
                <w:b/>
                <w:bCs/>
                <w:color w:val="FFFFFF" w:themeColor="background1"/>
                <w:sz w:val="21"/>
                <w:szCs w:val="21"/>
                <w:lang w:eastAsia="fr-FR"/>
              </w:rPr>
            </w:pPr>
            <w:r w:rsidRPr="00F976A9">
              <w:rPr>
                <w:b/>
                <w:bCs/>
                <w:color w:val="FFFFFF" w:themeColor="background1"/>
                <w:sz w:val="21"/>
                <w:szCs w:val="21"/>
                <w:lang w:eastAsia="fr-FR"/>
              </w:rPr>
              <w:t>Renvoi</w:t>
            </w:r>
          </w:p>
        </w:tc>
        <w:tc>
          <w:tcPr>
            <w:tcW w:w="6057" w:type="dxa"/>
            <w:gridSpan w:val="7"/>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13082622" w14:textId="77777777" w:rsidR="00322B28" w:rsidRPr="00F976A9" w:rsidRDefault="00322B28" w:rsidP="005D385E">
            <w:pPr>
              <w:jc w:val="center"/>
              <w:rPr>
                <w:b/>
                <w:bCs/>
                <w:color w:val="FFFFFF" w:themeColor="background1"/>
                <w:sz w:val="21"/>
                <w:szCs w:val="21"/>
                <w:lang w:eastAsia="fr-FR"/>
              </w:rPr>
            </w:pPr>
            <w:r w:rsidRPr="00F976A9">
              <w:rPr>
                <w:b/>
                <w:bCs/>
                <w:color w:val="FFFFFF" w:themeColor="background1"/>
                <w:sz w:val="21"/>
                <w:szCs w:val="21"/>
                <w:lang w:eastAsia="fr-FR"/>
              </w:rPr>
              <w:t>Conditions</w:t>
            </w:r>
          </w:p>
        </w:tc>
        <w:tc>
          <w:tcPr>
            <w:tcW w:w="2103"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3AAB9F26" w14:textId="77777777" w:rsidR="00322B28" w:rsidRPr="00F976A9" w:rsidRDefault="00322B28" w:rsidP="005D385E">
            <w:pPr>
              <w:jc w:val="center"/>
              <w:rPr>
                <w:b/>
                <w:bCs/>
                <w:color w:val="FFFFFF" w:themeColor="background1"/>
                <w:sz w:val="21"/>
                <w:szCs w:val="21"/>
                <w:lang w:eastAsia="fr-FR"/>
              </w:rPr>
            </w:pPr>
            <w:r w:rsidRPr="00F976A9">
              <w:rPr>
                <w:b/>
                <w:bCs/>
                <w:color w:val="FFFFFF" w:themeColor="background1"/>
                <w:sz w:val="21"/>
                <w:szCs w:val="21"/>
                <w:lang w:eastAsia="fr-FR"/>
              </w:rPr>
              <w:t>Valeur limite d'émission (mg/Nm</w:t>
            </w:r>
            <w:r w:rsidRPr="00F976A9">
              <w:rPr>
                <w:b/>
                <w:bCs/>
                <w:color w:val="FFFFFF" w:themeColor="background1"/>
                <w:sz w:val="21"/>
                <w:szCs w:val="21"/>
                <w:vertAlign w:val="superscript"/>
                <w:lang w:eastAsia="fr-FR"/>
              </w:rPr>
              <w:t>3</w:t>
            </w:r>
            <w:r w:rsidRPr="00F976A9">
              <w:rPr>
                <w:b/>
                <w:bCs/>
                <w:color w:val="FFFFFF" w:themeColor="background1"/>
                <w:sz w:val="21"/>
                <w:szCs w:val="21"/>
                <w:lang w:eastAsia="fr-FR"/>
              </w:rPr>
              <w:t>)</w:t>
            </w:r>
          </w:p>
        </w:tc>
      </w:tr>
      <w:tr w:rsidR="00322B28" w:rsidRPr="003648F5" w14:paraId="4DD80D35" w14:textId="77777777" w:rsidTr="002B0DC1">
        <w:trPr>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5D53691" w14:textId="77777777" w:rsidR="00322B28" w:rsidRPr="00185B32" w:rsidRDefault="00322B28" w:rsidP="005D385E">
            <w:pPr>
              <w:jc w:val="center"/>
              <w:rPr>
                <w:rFonts w:cstheme="minorHAnsi"/>
                <w:sz w:val="21"/>
                <w:szCs w:val="21"/>
                <w:lang w:eastAsia="fr-FR"/>
              </w:rPr>
            </w:pPr>
            <w:r w:rsidRPr="00185B32">
              <w:rPr>
                <w:rFonts w:cstheme="minorHAnsi"/>
                <w:sz w:val="21"/>
                <w:szCs w:val="21"/>
                <w:lang w:eastAsia="fr-FR"/>
              </w:rPr>
              <w:t>(</w:t>
            </w:r>
            <w:r>
              <w:rPr>
                <w:rFonts w:cstheme="minorHAnsi"/>
                <w:sz w:val="21"/>
                <w:szCs w:val="21"/>
                <w:lang w:eastAsia="fr-FR"/>
              </w:rPr>
              <w:t>1</w:t>
            </w:r>
            <w:r w:rsidRPr="00185B32">
              <w:rPr>
                <w:rFonts w:cstheme="minorHAnsi"/>
                <w:sz w:val="21"/>
                <w:szCs w:val="21"/>
                <w:lang w:eastAsia="fr-FR"/>
              </w:rPr>
              <w:t>)</w:t>
            </w:r>
          </w:p>
        </w:tc>
        <w:tc>
          <w:tcPr>
            <w:tcW w:w="6057" w:type="dxa"/>
            <w:gridSpan w:val="7"/>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14:paraId="2F9B1B23" w14:textId="77777777" w:rsidR="00322B28" w:rsidRPr="00185B32" w:rsidRDefault="00322B28" w:rsidP="005D385E">
            <w:pPr>
              <w:jc w:val="center"/>
              <w:rPr>
                <w:rFonts w:cstheme="minorHAnsi"/>
                <w:sz w:val="21"/>
                <w:szCs w:val="21"/>
                <w:lang w:eastAsia="fr-FR"/>
              </w:rPr>
            </w:pPr>
            <w:r w:rsidRPr="00272FFC">
              <w:rPr>
                <w:rFonts w:cstheme="minorHAnsi"/>
                <w:sz w:val="21"/>
                <w:szCs w:val="21"/>
                <w:shd w:val="clear" w:color="auto" w:fill="B4C6E7" w:themeFill="accent5" w:themeFillTint="66"/>
                <w:lang w:eastAsia="fr-FR"/>
              </w:rPr>
              <w:t>Pour les gaz de convertisseur à l’oxygène.</w:t>
            </w:r>
          </w:p>
          <w:p w14:paraId="6C6CEBF9" w14:textId="5BE19C18" w:rsidR="00322B28" w:rsidRPr="00C56C58" w:rsidRDefault="00322B28" w:rsidP="005D385E">
            <w:pPr>
              <w:jc w:val="center"/>
              <w:rPr>
                <w:rFonts w:cstheme="minorHAnsi"/>
                <w:sz w:val="21"/>
                <w:szCs w:val="21"/>
                <w:lang w:eastAsia="fr-FR"/>
              </w:rPr>
            </w:pPr>
            <w:r w:rsidRPr="00272FFC">
              <w:rPr>
                <w:rFonts w:cstheme="minorHAnsi"/>
                <w:sz w:val="21"/>
                <w:szCs w:val="21"/>
                <w:shd w:val="clear" w:color="auto" w:fill="B4C6E7" w:themeFill="accent5" w:themeFillTint="66"/>
                <w:lang w:eastAsia="fr-FR"/>
              </w:rPr>
              <w:t>Cette valeur peut être adaptée par le préfet sur la base d’éléments technico-économiques fournis par l’exploitant, des performances des meilleures techniques disponibles et des contraintes liées à l’environnement local afin de garantir la protection des intérêts mentionnés à l’article L.</w:t>
            </w:r>
            <w:r w:rsidR="00D9011B">
              <w:rPr>
                <w:rFonts w:cstheme="minorHAnsi"/>
                <w:sz w:val="21"/>
                <w:szCs w:val="21"/>
                <w:shd w:val="clear" w:color="auto" w:fill="B4C6E7" w:themeFill="accent5" w:themeFillTint="66"/>
                <w:lang w:eastAsia="fr-FR"/>
              </w:rPr>
              <w:t xml:space="preserve"> </w:t>
            </w:r>
            <w:r w:rsidRPr="00272FFC">
              <w:rPr>
                <w:rFonts w:cstheme="minorHAnsi"/>
                <w:sz w:val="21"/>
                <w:szCs w:val="21"/>
                <w:shd w:val="clear" w:color="auto" w:fill="B4C6E7" w:themeFill="accent5" w:themeFillTint="66"/>
                <w:lang w:eastAsia="fr-FR"/>
              </w:rPr>
              <w:t>511-1 du code de l’environnement</w:t>
            </w:r>
            <w:r w:rsidRPr="00185B32">
              <w:rPr>
                <w:rFonts w:cstheme="minorHAnsi"/>
                <w:sz w:val="21"/>
                <w:szCs w:val="21"/>
                <w:lang w:eastAsia="fr-FR"/>
              </w:rPr>
              <w:t>,</w:t>
            </w:r>
            <w:r w:rsidRPr="00272FFC">
              <w:rPr>
                <w:rFonts w:cstheme="minorHAnsi"/>
                <w:sz w:val="21"/>
                <w:szCs w:val="21"/>
                <w:shd w:val="clear" w:color="auto" w:fill="E2EFD9" w:themeFill="accent6" w:themeFillTint="33"/>
                <w:lang w:eastAsia="fr-FR"/>
              </w:rPr>
              <w:t xml:space="preserve"> sans toutefois dépasser </w:t>
            </w:r>
            <w:r>
              <w:rPr>
                <w:rFonts w:cstheme="minorHAnsi"/>
                <w:sz w:val="21"/>
                <w:szCs w:val="21"/>
                <w:shd w:val="clear" w:color="auto" w:fill="E2EFD9" w:themeFill="accent6" w:themeFillTint="33"/>
                <w:lang w:eastAsia="fr-FR"/>
              </w:rPr>
              <w:t>65 mg/Nm</w:t>
            </w:r>
            <w:r w:rsidRPr="00050326">
              <w:rPr>
                <w:rFonts w:cstheme="minorHAnsi"/>
                <w:sz w:val="21"/>
                <w:szCs w:val="21"/>
                <w:shd w:val="clear" w:color="auto" w:fill="E2EFD9" w:themeFill="accent6" w:themeFillTint="33"/>
                <w:vertAlign w:val="superscript"/>
                <w:lang w:eastAsia="fr-FR"/>
              </w:rPr>
              <w:t>3</w:t>
            </w:r>
            <w:r>
              <w:rPr>
                <w:rFonts w:cstheme="minorHAnsi"/>
                <w:sz w:val="21"/>
                <w:szCs w:val="21"/>
                <w:shd w:val="clear" w:color="auto" w:fill="E2EFD9" w:themeFill="accent6" w:themeFillTint="33"/>
                <w:lang w:eastAsia="fr-FR"/>
              </w:rPr>
              <w:t xml:space="preserve"> en valeur mensuelle et 70 en valeur journalière</w:t>
            </w:r>
          </w:p>
        </w:tc>
        <w:tc>
          <w:tcPr>
            <w:tcW w:w="21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59CA1" w14:textId="77777777" w:rsidR="00322B28" w:rsidRPr="00185B32" w:rsidRDefault="00322B28" w:rsidP="005D385E">
            <w:pPr>
              <w:jc w:val="center"/>
              <w:rPr>
                <w:rFonts w:cstheme="minorHAnsi"/>
                <w:sz w:val="21"/>
                <w:szCs w:val="21"/>
                <w:lang w:eastAsia="fr-FR"/>
              </w:rPr>
            </w:pPr>
            <w:proofErr w:type="spellStart"/>
            <w:r w:rsidRPr="00185B32">
              <w:rPr>
                <w:rFonts w:cstheme="minorHAnsi"/>
                <w:sz w:val="21"/>
                <w:szCs w:val="21"/>
                <w:lang w:eastAsia="fr-FR"/>
              </w:rPr>
              <w:t>SOx</w:t>
            </w:r>
            <w:proofErr w:type="spellEnd"/>
            <w:r w:rsidRPr="00185B32">
              <w:rPr>
                <w:rFonts w:cstheme="minorHAnsi"/>
                <w:sz w:val="21"/>
                <w:szCs w:val="21"/>
                <w:lang w:eastAsia="fr-FR"/>
              </w:rPr>
              <w:t xml:space="preserve"> : </w:t>
            </w:r>
            <w:r w:rsidRPr="00272FFC">
              <w:rPr>
                <w:rFonts w:cstheme="minorHAnsi"/>
                <w:sz w:val="21"/>
                <w:szCs w:val="21"/>
                <w:shd w:val="clear" w:color="auto" w:fill="B4C6E7" w:themeFill="accent5" w:themeFillTint="66"/>
                <w:lang w:eastAsia="fr-FR"/>
              </w:rPr>
              <w:t>M = 10</w:t>
            </w:r>
          </w:p>
          <w:p w14:paraId="517698FD" w14:textId="77777777" w:rsidR="00322B28" w:rsidRPr="00185B32" w:rsidRDefault="00322B28" w:rsidP="005D385E">
            <w:pPr>
              <w:jc w:val="center"/>
              <w:rPr>
                <w:rFonts w:cstheme="minorHAnsi"/>
                <w:sz w:val="21"/>
                <w:szCs w:val="21"/>
                <w:lang w:eastAsia="fr-FR"/>
              </w:rPr>
            </w:pPr>
            <w:proofErr w:type="spellStart"/>
            <w:r w:rsidRPr="00185B32">
              <w:rPr>
                <w:rFonts w:cstheme="minorHAnsi"/>
                <w:sz w:val="21"/>
                <w:szCs w:val="21"/>
                <w:lang w:eastAsia="fr-FR"/>
              </w:rPr>
              <w:t>SOx</w:t>
            </w:r>
            <w:proofErr w:type="spellEnd"/>
            <w:r w:rsidRPr="00185B32">
              <w:rPr>
                <w:rFonts w:cstheme="minorHAnsi"/>
                <w:sz w:val="21"/>
                <w:szCs w:val="21"/>
                <w:lang w:eastAsia="fr-FR"/>
              </w:rPr>
              <w:t xml:space="preserve"> : </w:t>
            </w:r>
            <w:r w:rsidRPr="00272FFC">
              <w:rPr>
                <w:rFonts w:cstheme="minorHAnsi"/>
                <w:sz w:val="21"/>
                <w:szCs w:val="21"/>
                <w:shd w:val="clear" w:color="auto" w:fill="B4C6E7" w:themeFill="accent5" w:themeFillTint="66"/>
                <w:lang w:eastAsia="fr-FR"/>
              </w:rPr>
              <w:t>J = 11</w:t>
            </w:r>
          </w:p>
        </w:tc>
      </w:tr>
    </w:tbl>
    <w:p w14:paraId="747F8849" w14:textId="77777777" w:rsidR="00322B28" w:rsidRDefault="00322B28" w:rsidP="00322B28">
      <w:pPr>
        <w:rPr>
          <w:b/>
          <w:bCs/>
          <w:u w:val="single"/>
        </w:rPr>
      </w:pPr>
    </w:p>
    <w:p w14:paraId="5B9C5726" w14:textId="26163CA4" w:rsidR="00322B28" w:rsidRPr="00B07376" w:rsidRDefault="00322B28" w:rsidP="00322B28">
      <w:r w:rsidRPr="00B07376">
        <w:t>« </w:t>
      </w:r>
      <w:proofErr w:type="gramStart"/>
      <w:r w:rsidRPr="00B07376">
        <w:t>b</w:t>
      </w:r>
      <w:proofErr w:type="gramEnd"/>
      <w:r w:rsidRPr="00B07376">
        <w:t xml:space="preserve">) Turbines autorisées </w:t>
      </w:r>
      <w:r w:rsidR="00963737" w:rsidRPr="00B07376">
        <w:t>entre le 1</w:t>
      </w:r>
      <w:r w:rsidR="00963737" w:rsidRPr="00B07376">
        <w:rPr>
          <w:vertAlign w:val="superscript"/>
        </w:rPr>
        <w:t>er</w:t>
      </w:r>
      <w:r w:rsidR="00963737" w:rsidRPr="00B07376">
        <w:t xml:space="preserve"> janvier 2014 et le 17 août 2017</w:t>
      </w:r>
      <w:r w:rsidRPr="00B07376">
        <w:t> :</w:t>
      </w:r>
    </w:p>
    <w:p w14:paraId="745CDB2A" w14:textId="024B1E0F" w:rsidR="00322B28" w:rsidRPr="00322B28" w:rsidRDefault="00322B28" w:rsidP="00322B28">
      <w:pPr>
        <w:shd w:val="clear" w:color="auto" w:fill="FFFFFF"/>
        <w:jc w:val="both"/>
        <w:rPr>
          <w:bCs/>
          <w:lang w:eastAsia="fr-FR"/>
        </w:rPr>
      </w:pPr>
      <w:r>
        <w:rPr>
          <w:bCs/>
          <w:lang w:eastAsia="fr-FR"/>
        </w:rPr>
        <w:t>« </w:t>
      </w:r>
      <w:r w:rsidRPr="00322B28">
        <w:rPr>
          <w:bCs/>
          <w:lang w:eastAsia="fr-FR"/>
        </w:rPr>
        <w:t>Pour les polluants et combustibles pour lesquels aucune valeur limite d’émission n’est mentionnée dans le tableau ci-dessous, les valeurs limites applicables sont celles du</w:t>
      </w:r>
      <w:r w:rsidR="00316A25">
        <w:rPr>
          <w:bCs/>
          <w:lang w:eastAsia="fr-FR"/>
        </w:rPr>
        <w:t xml:space="preserve"> point a) du</w:t>
      </w:r>
      <w:r w:rsidRPr="00322B28">
        <w:rPr>
          <w:bCs/>
          <w:lang w:eastAsia="fr-FR"/>
        </w:rPr>
        <w:t xml:space="preserve"> I du présent article.</w:t>
      </w:r>
    </w:p>
    <w:p w14:paraId="2950BEBD" w14:textId="16CCDC3A" w:rsidR="00322B28" w:rsidRPr="00322B28" w:rsidRDefault="00322B28" w:rsidP="00322B28">
      <w:pPr>
        <w:jc w:val="both"/>
        <w:rPr>
          <w:bCs/>
          <w:lang w:eastAsia="fr-FR"/>
        </w:rPr>
      </w:pPr>
      <w:r>
        <w:rPr>
          <w:bCs/>
          <w:lang w:eastAsia="fr-FR"/>
        </w:rPr>
        <w:t>« </w:t>
      </w:r>
      <w:r w:rsidRPr="00322B28">
        <w:rPr>
          <w:bCs/>
          <w:lang w:eastAsia="fr-FR"/>
        </w:rPr>
        <w:t xml:space="preserve">Pour les installations </w:t>
      </w:r>
      <w:r w:rsidR="0094246F">
        <w:rPr>
          <w:bCs/>
          <w:lang w:eastAsia="fr-FR"/>
        </w:rPr>
        <w:t xml:space="preserve">de combustion </w:t>
      </w:r>
      <w:r w:rsidRPr="00322B28">
        <w:rPr>
          <w:bCs/>
          <w:lang w:eastAsia="fr-FR"/>
        </w:rPr>
        <w:t xml:space="preserve">exploitées moins de 500 heures par an, seules les dispositions </w:t>
      </w:r>
      <w:r w:rsidR="00316A25">
        <w:rPr>
          <w:bCs/>
          <w:lang w:eastAsia="fr-FR"/>
        </w:rPr>
        <w:t xml:space="preserve">du I </w:t>
      </w:r>
      <w:r w:rsidRPr="00322B28">
        <w:rPr>
          <w:bCs/>
          <w:lang w:eastAsia="fr-FR"/>
        </w:rPr>
        <w:t>de l’article 11 s’appliquent.</w:t>
      </w:r>
    </w:p>
    <w:p w14:paraId="61E105D9" w14:textId="77777777" w:rsidR="00322B28" w:rsidRDefault="00322B28" w:rsidP="00322B28">
      <w:pPr>
        <w:jc w:val="both"/>
        <w:rPr>
          <w:rFonts w:ascii="Arial" w:hAnsi="Arial" w:cs="Arial"/>
          <w:bCs/>
          <w:color w:val="FF0000"/>
          <w:sz w:val="21"/>
          <w:szCs w:val="21"/>
          <w:lang w:eastAsia="fr-FR"/>
        </w:rPr>
      </w:pPr>
    </w:p>
    <w:tbl>
      <w:tblPr>
        <w:tblW w:w="1034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87"/>
        <w:gridCol w:w="593"/>
        <w:gridCol w:w="1704"/>
        <w:gridCol w:w="757"/>
        <w:gridCol w:w="718"/>
        <w:gridCol w:w="718"/>
        <w:gridCol w:w="756"/>
        <w:gridCol w:w="718"/>
        <w:gridCol w:w="718"/>
        <w:gridCol w:w="756"/>
        <w:gridCol w:w="718"/>
        <w:gridCol w:w="800"/>
      </w:tblGrid>
      <w:tr w:rsidR="00322B28" w:rsidRPr="00953C45" w14:paraId="624FAE40" w14:textId="77777777" w:rsidTr="005D385E">
        <w:trPr>
          <w:trHeight w:val="20"/>
          <w:jc w:val="center"/>
        </w:trPr>
        <w:tc>
          <w:tcPr>
            <w:tcW w:w="1980" w:type="dxa"/>
            <w:gridSpan w:val="2"/>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10AA2EC6" w14:textId="77777777" w:rsidR="00322B28" w:rsidRPr="00953C45" w:rsidRDefault="00322B28" w:rsidP="005D385E">
            <w:pPr>
              <w:jc w:val="center"/>
              <w:rPr>
                <w:b/>
                <w:bCs/>
                <w:color w:val="FFFFFF"/>
                <w:sz w:val="21"/>
                <w:szCs w:val="21"/>
                <w:lang w:eastAsia="fr-FR"/>
              </w:rPr>
            </w:pPr>
            <w:r w:rsidRPr="00953C45">
              <w:rPr>
                <w:b/>
                <w:bCs/>
                <w:color w:val="FFFFFF"/>
                <w:sz w:val="21"/>
                <w:szCs w:val="21"/>
                <w:lang w:eastAsia="fr-FR"/>
              </w:rPr>
              <w:t>Combustibles</w:t>
            </w:r>
          </w:p>
        </w:tc>
        <w:tc>
          <w:tcPr>
            <w:tcW w:w="1704"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6BD12CB5" w14:textId="77777777" w:rsidR="00322B28" w:rsidRPr="00953C45" w:rsidRDefault="00322B28" w:rsidP="005D385E">
            <w:pPr>
              <w:jc w:val="center"/>
              <w:rPr>
                <w:b/>
                <w:bCs/>
                <w:color w:val="FFFFFF"/>
                <w:sz w:val="21"/>
                <w:szCs w:val="21"/>
                <w:lang w:eastAsia="fr-FR"/>
              </w:rPr>
            </w:pPr>
            <w:r w:rsidRPr="00953C45">
              <w:rPr>
                <w:b/>
                <w:bCs/>
                <w:color w:val="FFFFFF"/>
                <w:sz w:val="21"/>
                <w:szCs w:val="21"/>
                <w:lang w:eastAsia="fr-FR"/>
              </w:rPr>
              <w:t>Puissance P (MW)</w:t>
            </w:r>
          </w:p>
        </w:tc>
        <w:tc>
          <w:tcPr>
            <w:tcW w:w="2193"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52AD003B" w14:textId="77777777" w:rsidR="00322B28" w:rsidRPr="00953C45" w:rsidRDefault="00322B28" w:rsidP="005D385E">
            <w:pPr>
              <w:jc w:val="center"/>
              <w:rPr>
                <w:b/>
                <w:bCs/>
                <w:color w:val="FFFFFF"/>
                <w:sz w:val="21"/>
                <w:szCs w:val="21"/>
                <w:lang w:eastAsia="fr-FR"/>
              </w:rPr>
            </w:pPr>
            <w:r w:rsidRPr="00953C45">
              <w:rPr>
                <w:b/>
                <w:bCs/>
                <w:color w:val="FFFFFF"/>
                <w:sz w:val="21"/>
                <w:szCs w:val="21"/>
                <w:lang w:eastAsia="fr-FR"/>
              </w:rPr>
              <w:t>SO</w:t>
            </w:r>
            <w:r w:rsidRPr="00DB06A7">
              <w:rPr>
                <w:b/>
                <w:bCs/>
                <w:color w:val="FFFFFF"/>
                <w:sz w:val="21"/>
                <w:szCs w:val="21"/>
                <w:vertAlign w:val="subscript"/>
                <w:lang w:eastAsia="fr-FR"/>
              </w:rPr>
              <w:t>2</w:t>
            </w:r>
            <w:r w:rsidRPr="00953C45">
              <w:rPr>
                <w:b/>
                <w:bCs/>
                <w:color w:val="FFFFFF"/>
                <w:sz w:val="21"/>
                <w:szCs w:val="21"/>
                <w:lang w:eastAsia="fr-FR"/>
              </w:rPr>
              <w:t xml:space="preserve"> (mg/Nm</w:t>
            </w:r>
            <w:r w:rsidRPr="00DB06A7">
              <w:rPr>
                <w:b/>
                <w:bCs/>
                <w:color w:val="FFFFFF"/>
                <w:sz w:val="21"/>
                <w:szCs w:val="21"/>
                <w:vertAlign w:val="superscript"/>
                <w:lang w:eastAsia="fr-FR"/>
              </w:rPr>
              <w:t>3</w:t>
            </w:r>
            <w:r w:rsidRPr="00953C45">
              <w:rPr>
                <w:b/>
                <w:bCs/>
                <w:color w:val="FFFFFF"/>
                <w:sz w:val="21"/>
                <w:szCs w:val="21"/>
                <w:lang w:eastAsia="fr-FR"/>
              </w:rPr>
              <w:t>)</w:t>
            </w:r>
          </w:p>
        </w:tc>
        <w:tc>
          <w:tcPr>
            <w:tcW w:w="2192"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51EEC79A" w14:textId="77777777" w:rsidR="00322B28" w:rsidRPr="00953C45" w:rsidRDefault="00322B28" w:rsidP="005D385E">
            <w:pPr>
              <w:jc w:val="center"/>
              <w:rPr>
                <w:b/>
                <w:bCs/>
                <w:color w:val="FFFFFF"/>
                <w:sz w:val="21"/>
                <w:szCs w:val="21"/>
                <w:lang w:eastAsia="fr-FR"/>
              </w:rPr>
            </w:pPr>
            <w:r w:rsidRPr="00953C45">
              <w:rPr>
                <w:b/>
                <w:bCs/>
                <w:color w:val="FFFFFF"/>
                <w:sz w:val="21"/>
                <w:szCs w:val="21"/>
                <w:lang w:eastAsia="fr-FR"/>
              </w:rPr>
              <w:t>NO</w:t>
            </w:r>
            <w:r>
              <w:rPr>
                <w:b/>
                <w:bCs/>
                <w:color w:val="FFFFFF"/>
                <w:sz w:val="21"/>
                <w:szCs w:val="21"/>
                <w:lang w:eastAsia="fr-FR"/>
              </w:rPr>
              <w:t>x</w:t>
            </w:r>
            <w:r w:rsidRPr="00953C45">
              <w:rPr>
                <w:b/>
                <w:bCs/>
                <w:color w:val="FFFFFF"/>
                <w:sz w:val="21"/>
                <w:szCs w:val="21"/>
                <w:lang w:eastAsia="fr-FR"/>
              </w:rPr>
              <w:t xml:space="preserve"> (mg/Nm</w:t>
            </w:r>
            <w:r w:rsidRPr="00DB06A7">
              <w:rPr>
                <w:b/>
                <w:bCs/>
                <w:color w:val="FFFFFF"/>
                <w:sz w:val="21"/>
                <w:szCs w:val="21"/>
                <w:vertAlign w:val="superscript"/>
                <w:lang w:eastAsia="fr-FR"/>
              </w:rPr>
              <w:t>3</w:t>
            </w:r>
            <w:r w:rsidRPr="00953C45">
              <w:rPr>
                <w:b/>
                <w:bCs/>
                <w:color w:val="FFFFFF"/>
                <w:sz w:val="21"/>
                <w:szCs w:val="21"/>
                <w:lang w:eastAsia="fr-FR"/>
              </w:rPr>
              <w:t>)</w:t>
            </w:r>
          </w:p>
        </w:tc>
        <w:tc>
          <w:tcPr>
            <w:tcW w:w="2274"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506C3590" w14:textId="77777777" w:rsidR="00322B28" w:rsidRPr="00953C45" w:rsidRDefault="00322B28" w:rsidP="005D385E">
            <w:pPr>
              <w:jc w:val="center"/>
              <w:rPr>
                <w:b/>
                <w:bCs/>
                <w:color w:val="FFFFFF"/>
                <w:sz w:val="21"/>
                <w:szCs w:val="21"/>
                <w:lang w:eastAsia="fr-FR"/>
              </w:rPr>
            </w:pPr>
            <w:r w:rsidRPr="00953C45">
              <w:rPr>
                <w:b/>
                <w:bCs/>
                <w:color w:val="FFFFFF"/>
                <w:sz w:val="21"/>
                <w:szCs w:val="21"/>
                <w:lang w:eastAsia="fr-FR"/>
              </w:rPr>
              <w:t>Poussières (mg/Nm</w:t>
            </w:r>
            <w:r w:rsidRPr="00DB06A7">
              <w:rPr>
                <w:b/>
                <w:bCs/>
                <w:color w:val="FFFFFF"/>
                <w:sz w:val="21"/>
                <w:szCs w:val="21"/>
                <w:vertAlign w:val="superscript"/>
                <w:lang w:eastAsia="fr-FR"/>
              </w:rPr>
              <w:t>3</w:t>
            </w:r>
            <w:r w:rsidRPr="00953C45">
              <w:rPr>
                <w:b/>
                <w:bCs/>
                <w:color w:val="FFFFFF"/>
                <w:sz w:val="21"/>
                <w:szCs w:val="21"/>
                <w:lang w:eastAsia="fr-FR"/>
              </w:rPr>
              <w:t>)</w:t>
            </w:r>
          </w:p>
        </w:tc>
      </w:tr>
      <w:tr w:rsidR="00322B28" w:rsidRPr="00953C45" w14:paraId="6E2A7524" w14:textId="77777777" w:rsidTr="005D385E">
        <w:trPr>
          <w:trHeight w:val="20"/>
          <w:jc w:val="center"/>
        </w:trPr>
        <w:tc>
          <w:tcPr>
            <w:tcW w:w="1980" w:type="dxa"/>
            <w:gridSpan w:val="2"/>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5DCBE65" w14:textId="77777777" w:rsidR="00322B28" w:rsidRPr="00953C45" w:rsidRDefault="00322B28" w:rsidP="005D385E">
            <w:pPr>
              <w:jc w:val="center"/>
              <w:rPr>
                <w:b/>
                <w:bCs/>
                <w:color w:val="FFFFFF"/>
                <w:sz w:val="21"/>
                <w:szCs w:val="21"/>
                <w:lang w:eastAsia="fr-FR"/>
              </w:rPr>
            </w:pPr>
          </w:p>
        </w:tc>
        <w:tc>
          <w:tcPr>
            <w:tcW w:w="1704"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080E6CF" w14:textId="77777777" w:rsidR="00322B28" w:rsidRPr="00953C45" w:rsidRDefault="00322B28" w:rsidP="005D385E">
            <w:pPr>
              <w:jc w:val="center"/>
              <w:rPr>
                <w:b/>
                <w:bCs/>
                <w:color w:val="FFFFFF"/>
                <w:sz w:val="21"/>
                <w:szCs w:val="21"/>
                <w:lang w:eastAsia="fr-FR"/>
              </w:rPr>
            </w:pPr>
          </w:p>
        </w:tc>
        <w:tc>
          <w:tcPr>
            <w:tcW w:w="757"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C235CEF" w14:textId="77777777" w:rsidR="00322B28" w:rsidRPr="00953C45" w:rsidRDefault="00322B28" w:rsidP="005D385E">
            <w:pPr>
              <w:jc w:val="center"/>
              <w:rPr>
                <w:b/>
                <w:bCs/>
                <w:color w:val="FFFFFF"/>
                <w:sz w:val="21"/>
                <w:szCs w:val="21"/>
                <w:lang w:eastAsia="fr-FR"/>
              </w:rPr>
            </w:pPr>
            <w:r>
              <w:rPr>
                <w:b/>
                <w:bCs/>
                <w:color w:val="FFFFFF"/>
                <w:sz w:val="21"/>
                <w:szCs w:val="21"/>
                <w:lang w:eastAsia="fr-FR"/>
              </w:rPr>
              <w:t>A</w:t>
            </w:r>
          </w:p>
        </w:tc>
        <w:tc>
          <w:tcPr>
            <w:tcW w:w="718" w:type="dxa"/>
            <w:tcBorders>
              <w:top w:val="single" w:sz="4" w:space="0" w:color="auto"/>
              <w:left w:val="single" w:sz="4" w:space="0" w:color="auto"/>
              <w:bottom w:val="single" w:sz="4" w:space="0" w:color="auto"/>
              <w:right w:val="single" w:sz="4" w:space="0" w:color="auto"/>
            </w:tcBorders>
            <w:shd w:val="clear" w:color="auto" w:fill="5C75A2"/>
            <w:vAlign w:val="center"/>
          </w:tcPr>
          <w:p w14:paraId="43B0E61C" w14:textId="77777777" w:rsidR="00322B28" w:rsidRPr="00953C45" w:rsidRDefault="00322B28" w:rsidP="005D385E">
            <w:pPr>
              <w:jc w:val="center"/>
              <w:rPr>
                <w:b/>
                <w:bCs/>
                <w:color w:val="FFFFFF"/>
                <w:sz w:val="21"/>
                <w:szCs w:val="21"/>
                <w:lang w:eastAsia="fr-FR"/>
              </w:rPr>
            </w:pPr>
            <w:r>
              <w:rPr>
                <w:b/>
                <w:bCs/>
                <w:color w:val="FFFFFF"/>
                <w:sz w:val="21"/>
                <w:szCs w:val="21"/>
                <w:lang w:eastAsia="fr-FR"/>
              </w:rPr>
              <w:t>M</w:t>
            </w:r>
          </w:p>
        </w:tc>
        <w:tc>
          <w:tcPr>
            <w:tcW w:w="718" w:type="dxa"/>
            <w:tcBorders>
              <w:top w:val="single" w:sz="4" w:space="0" w:color="auto"/>
              <w:left w:val="single" w:sz="4" w:space="0" w:color="auto"/>
              <w:bottom w:val="single" w:sz="4" w:space="0" w:color="auto"/>
              <w:right w:val="single" w:sz="4" w:space="0" w:color="auto"/>
            </w:tcBorders>
            <w:shd w:val="clear" w:color="auto" w:fill="5C75A2"/>
            <w:vAlign w:val="center"/>
          </w:tcPr>
          <w:p w14:paraId="74789D3B" w14:textId="77777777" w:rsidR="00322B28" w:rsidRPr="00953C45" w:rsidRDefault="00322B28" w:rsidP="005D385E">
            <w:pPr>
              <w:jc w:val="center"/>
              <w:rPr>
                <w:b/>
                <w:bCs/>
                <w:color w:val="FFFFFF"/>
                <w:sz w:val="21"/>
                <w:szCs w:val="21"/>
                <w:lang w:eastAsia="fr-FR"/>
              </w:rPr>
            </w:pPr>
            <w:r>
              <w:rPr>
                <w:b/>
                <w:bCs/>
                <w:color w:val="FFFFFF"/>
                <w:sz w:val="21"/>
                <w:szCs w:val="21"/>
                <w:lang w:eastAsia="fr-FR"/>
              </w:rPr>
              <w:t>J</w:t>
            </w:r>
          </w:p>
        </w:tc>
        <w:tc>
          <w:tcPr>
            <w:tcW w:w="756"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234D133" w14:textId="77777777" w:rsidR="00322B28" w:rsidRPr="00953C45" w:rsidRDefault="00322B28" w:rsidP="005D385E">
            <w:pPr>
              <w:jc w:val="center"/>
              <w:rPr>
                <w:b/>
                <w:bCs/>
                <w:color w:val="FFFFFF"/>
                <w:sz w:val="21"/>
                <w:szCs w:val="21"/>
                <w:lang w:eastAsia="fr-FR"/>
              </w:rPr>
            </w:pPr>
            <w:r>
              <w:rPr>
                <w:b/>
                <w:bCs/>
                <w:color w:val="FFFFFF"/>
                <w:sz w:val="21"/>
                <w:szCs w:val="21"/>
                <w:lang w:eastAsia="fr-FR"/>
              </w:rPr>
              <w:t>A</w:t>
            </w:r>
          </w:p>
        </w:tc>
        <w:tc>
          <w:tcPr>
            <w:tcW w:w="718" w:type="dxa"/>
            <w:tcBorders>
              <w:top w:val="single" w:sz="4" w:space="0" w:color="auto"/>
              <w:left w:val="single" w:sz="4" w:space="0" w:color="auto"/>
              <w:bottom w:val="single" w:sz="4" w:space="0" w:color="auto"/>
              <w:right w:val="single" w:sz="4" w:space="0" w:color="auto"/>
            </w:tcBorders>
            <w:shd w:val="clear" w:color="auto" w:fill="5C75A2"/>
            <w:vAlign w:val="center"/>
          </w:tcPr>
          <w:p w14:paraId="4F4A799A" w14:textId="77777777" w:rsidR="00322B28" w:rsidRPr="00953C45" w:rsidRDefault="00322B28" w:rsidP="005D385E">
            <w:pPr>
              <w:jc w:val="center"/>
              <w:rPr>
                <w:b/>
                <w:bCs/>
                <w:color w:val="FFFFFF"/>
                <w:sz w:val="21"/>
                <w:szCs w:val="21"/>
                <w:lang w:eastAsia="fr-FR"/>
              </w:rPr>
            </w:pPr>
            <w:r>
              <w:rPr>
                <w:b/>
                <w:bCs/>
                <w:color w:val="FFFFFF"/>
                <w:sz w:val="21"/>
                <w:szCs w:val="21"/>
                <w:lang w:eastAsia="fr-FR"/>
              </w:rPr>
              <w:t>M</w:t>
            </w:r>
          </w:p>
        </w:tc>
        <w:tc>
          <w:tcPr>
            <w:tcW w:w="718" w:type="dxa"/>
            <w:tcBorders>
              <w:top w:val="single" w:sz="4" w:space="0" w:color="auto"/>
              <w:left w:val="single" w:sz="4" w:space="0" w:color="auto"/>
              <w:bottom w:val="single" w:sz="4" w:space="0" w:color="auto"/>
              <w:right w:val="single" w:sz="4" w:space="0" w:color="auto"/>
            </w:tcBorders>
            <w:shd w:val="clear" w:color="auto" w:fill="5C75A2"/>
            <w:vAlign w:val="center"/>
          </w:tcPr>
          <w:p w14:paraId="7727EE3F" w14:textId="77777777" w:rsidR="00322B28" w:rsidRPr="00953C45" w:rsidRDefault="00322B28" w:rsidP="005D385E">
            <w:pPr>
              <w:jc w:val="center"/>
              <w:rPr>
                <w:b/>
                <w:bCs/>
                <w:color w:val="FFFFFF"/>
                <w:sz w:val="21"/>
                <w:szCs w:val="21"/>
                <w:lang w:eastAsia="fr-FR"/>
              </w:rPr>
            </w:pPr>
            <w:r>
              <w:rPr>
                <w:b/>
                <w:bCs/>
                <w:color w:val="FFFFFF"/>
                <w:sz w:val="21"/>
                <w:szCs w:val="21"/>
                <w:lang w:eastAsia="fr-FR"/>
              </w:rPr>
              <w:t>J</w:t>
            </w:r>
          </w:p>
        </w:tc>
        <w:tc>
          <w:tcPr>
            <w:tcW w:w="756"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1EBD6E7" w14:textId="77777777" w:rsidR="00322B28" w:rsidRPr="00953C45" w:rsidRDefault="00322B28" w:rsidP="005D385E">
            <w:pPr>
              <w:jc w:val="center"/>
              <w:rPr>
                <w:b/>
                <w:bCs/>
                <w:color w:val="FFFFFF"/>
                <w:sz w:val="21"/>
                <w:szCs w:val="21"/>
                <w:lang w:eastAsia="fr-FR"/>
              </w:rPr>
            </w:pPr>
            <w:r>
              <w:rPr>
                <w:b/>
                <w:bCs/>
                <w:color w:val="FFFFFF"/>
                <w:sz w:val="21"/>
                <w:szCs w:val="21"/>
                <w:lang w:eastAsia="fr-FR"/>
              </w:rPr>
              <w:t>A</w:t>
            </w:r>
          </w:p>
        </w:tc>
        <w:tc>
          <w:tcPr>
            <w:tcW w:w="718" w:type="dxa"/>
            <w:tcBorders>
              <w:top w:val="single" w:sz="4" w:space="0" w:color="auto"/>
              <w:left w:val="single" w:sz="4" w:space="0" w:color="auto"/>
              <w:bottom w:val="single" w:sz="4" w:space="0" w:color="auto"/>
              <w:right w:val="single" w:sz="4" w:space="0" w:color="auto"/>
            </w:tcBorders>
            <w:shd w:val="clear" w:color="auto" w:fill="5C75A2"/>
            <w:vAlign w:val="center"/>
          </w:tcPr>
          <w:p w14:paraId="5FA04B09" w14:textId="77777777" w:rsidR="00322B28" w:rsidRPr="00953C45" w:rsidRDefault="00322B28" w:rsidP="005D385E">
            <w:pPr>
              <w:jc w:val="center"/>
              <w:rPr>
                <w:b/>
                <w:bCs/>
                <w:color w:val="FFFFFF"/>
                <w:sz w:val="21"/>
                <w:szCs w:val="21"/>
                <w:lang w:eastAsia="fr-FR"/>
              </w:rPr>
            </w:pPr>
            <w:r>
              <w:rPr>
                <w:b/>
                <w:bCs/>
                <w:color w:val="FFFFFF"/>
                <w:sz w:val="21"/>
                <w:szCs w:val="21"/>
                <w:lang w:eastAsia="fr-FR"/>
              </w:rPr>
              <w:t>M</w:t>
            </w:r>
          </w:p>
        </w:tc>
        <w:tc>
          <w:tcPr>
            <w:tcW w:w="800" w:type="dxa"/>
            <w:tcBorders>
              <w:top w:val="single" w:sz="4" w:space="0" w:color="auto"/>
              <w:left w:val="single" w:sz="4" w:space="0" w:color="auto"/>
              <w:bottom w:val="single" w:sz="4" w:space="0" w:color="auto"/>
              <w:right w:val="single" w:sz="4" w:space="0" w:color="auto"/>
            </w:tcBorders>
            <w:shd w:val="clear" w:color="auto" w:fill="5C75A2"/>
            <w:vAlign w:val="center"/>
          </w:tcPr>
          <w:p w14:paraId="236B806C" w14:textId="77777777" w:rsidR="00322B28" w:rsidRPr="00953C45" w:rsidRDefault="00322B28" w:rsidP="005D385E">
            <w:pPr>
              <w:jc w:val="center"/>
              <w:rPr>
                <w:b/>
                <w:bCs/>
                <w:color w:val="FFFFFF"/>
                <w:sz w:val="21"/>
                <w:szCs w:val="21"/>
                <w:lang w:eastAsia="fr-FR"/>
              </w:rPr>
            </w:pPr>
            <w:r>
              <w:rPr>
                <w:b/>
                <w:bCs/>
                <w:color w:val="FFFFFF"/>
                <w:sz w:val="21"/>
                <w:szCs w:val="21"/>
                <w:lang w:eastAsia="fr-FR"/>
              </w:rPr>
              <w:t>J</w:t>
            </w:r>
          </w:p>
        </w:tc>
      </w:tr>
      <w:tr w:rsidR="00322B28" w:rsidRPr="009370F5" w14:paraId="211AC2A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restart"/>
            <w:vAlign w:val="center"/>
          </w:tcPr>
          <w:p w14:paraId="6DDCD1F9" w14:textId="77777777" w:rsidR="00322B28" w:rsidRPr="009370F5" w:rsidRDefault="00322B28" w:rsidP="005D385E">
            <w:pPr>
              <w:jc w:val="center"/>
              <w:rPr>
                <w:b/>
                <w:bCs/>
                <w:sz w:val="21"/>
                <w:szCs w:val="21"/>
                <w:lang w:eastAsia="fr-FR"/>
              </w:rPr>
            </w:pPr>
            <w:r>
              <w:rPr>
                <w:b/>
                <w:bCs/>
                <w:sz w:val="21"/>
                <w:szCs w:val="21"/>
                <w:lang w:eastAsia="fr-FR"/>
              </w:rPr>
              <w:t>Fioul domestique</w:t>
            </w:r>
          </w:p>
        </w:tc>
        <w:tc>
          <w:tcPr>
            <w:tcW w:w="1704" w:type="dxa"/>
            <w:shd w:val="clear" w:color="auto" w:fill="F5F5F5"/>
            <w:tcMar>
              <w:top w:w="150" w:type="dxa"/>
              <w:left w:w="150" w:type="dxa"/>
              <w:bottom w:w="150" w:type="dxa"/>
              <w:right w:w="150" w:type="dxa"/>
            </w:tcMar>
            <w:vAlign w:val="center"/>
          </w:tcPr>
          <w:p w14:paraId="4B702CE0" w14:textId="77777777" w:rsidR="00322B28" w:rsidRPr="009370F5" w:rsidRDefault="00322B28" w:rsidP="005D385E">
            <w:pPr>
              <w:jc w:val="center"/>
              <w:rPr>
                <w:b/>
                <w:bCs/>
                <w:sz w:val="21"/>
                <w:szCs w:val="21"/>
                <w:lang w:eastAsia="fr-FR"/>
              </w:rPr>
            </w:pPr>
            <w:r w:rsidRPr="009370F5">
              <w:rPr>
                <w:b/>
                <w:bCs/>
                <w:sz w:val="21"/>
                <w:szCs w:val="21"/>
                <w:lang w:eastAsia="fr-FR"/>
              </w:rPr>
              <w:t>50 ≤ P &lt; 100</w:t>
            </w:r>
          </w:p>
        </w:tc>
        <w:tc>
          <w:tcPr>
            <w:tcW w:w="757" w:type="dxa"/>
            <w:vMerge w:val="restart"/>
            <w:tcBorders>
              <w:top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2466BDA" w14:textId="77777777" w:rsidR="00322B28" w:rsidRDefault="00322B28" w:rsidP="005D385E">
            <w:pPr>
              <w:jc w:val="center"/>
              <w:rPr>
                <w:b/>
                <w:bCs/>
                <w:sz w:val="21"/>
                <w:szCs w:val="21"/>
                <w:lang w:eastAsia="fr-FR"/>
              </w:rPr>
            </w:pPr>
            <w:r>
              <w:rPr>
                <w:b/>
                <w:bCs/>
                <w:sz w:val="21"/>
                <w:szCs w:val="21"/>
                <w:lang w:eastAsia="fr-FR"/>
              </w:rPr>
              <w:t>60</w:t>
            </w:r>
          </w:p>
          <w:p w14:paraId="29766B1D" w14:textId="26E9D2F0" w:rsidR="0054785E" w:rsidRPr="00485898" w:rsidRDefault="0054785E" w:rsidP="005D385E">
            <w:pPr>
              <w:jc w:val="center"/>
              <w:rPr>
                <w:b/>
                <w:bCs/>
                <w:sz w:val="21"/>
                <w:szCs w:val="21"/>
                <w:lang w:eastAsia="fr-FR"/>
              </w:rPr>
            </w:pPr>
            <w:r>
              <w:rPr>
                <w:b/>
                <w:bCs/>
                <w:sz w:val="21"/>
                <w:szCs w:val="21"/>
                <w:lang w:eastAsia="fr-FR"/>
              </w:rPr>
              <w:t>(1)</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F7F3EE" w14:textId="77777777" w:rsidR="00322B28" w:rsidRPr="00485898" w:rsidRDefault="00322B28" w:rsidP="005D385E">
            <w:pPr>
              <w:jc w:val="center"/>
              <w:rPr>
                <w:b/>
                <w:bCs/>
                <w:sz w:val="21"/>
                <w:szCs w:val="21"/>
                <w:lang w:eastAsia="fr-FR"/>
              </w:rPr>
            </w:pPr>
            <w:r>
              <w:rPr>
                <w:b/>
                <w:bCs/>
                <w:sz w:val="21"/>
                <w:szCs w:val="21"/>
                <w:lang w:eastAsia="fr-FR"/>
              </w:rPr>
              <w:t>60</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55B45F" w14:textId="77777777" w:rsidR="00322B28" w:rsidRPr="00485898" w:rsidRDefault="00322B28" w:rsidP="005D385E">
            <w:pPr>
              <w:jc w:val="center"/>
              <w:rPr>
                <w:b/>
                <w:bCs/>
                <w:sz w:val="21"/>
                <w:szCs w:val="21"/>
                <w:lang w:eastAsia="fr-FR"/>
              </w:rPr>
            </w:pPr>
            <w:r>
              <w:rPr>
                <w:b/>
                <w:bCs/>
                <w:sz w:val="21"/>
                <w:szCs w:val="21"/>
                <w:lang w:eastAsia="fr-FR"/>
              </w:rPr>
              <w:t>66</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150" w:type="dxa"/>
              <w:bottom w:w="150" w:type="dxa"/>
              <w:right w:w="150" w:type="dxa"/>
            </w:tcMar>
            <w:vAlign w:val="center"/>
          </w:tcPr>
          <w:p w14:paraId="77F58237" w14:textId="77777777" w:rsidR="00322B28" w:rsidRPr="00D16465" w:rsidRDefault="00322B28" w:rsidP="005D385E">
            <w:pPr>
              <w:jc w:val="center"/>
              <w:rPr>
                <w:b/>
                <w:bCs/>
                <w:sz w:val="21"/>
                <w:szCs w:val="21"/>
                <w:lang w:eastAsia="fr-FR"/>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09172CA" w14:textId="77777777" w:rsidR="00322B28" w:rsidRPr="00D16465" w:rsidRDefault="00322B28" w:rsidP="005D385E">
            <w:pPr>
              <w:jc w:val="center"/>
              <w:rPr>
                <w:b/>
                <w:bCs/>
                <w:sz w:val="21"/>
                <w:szCs w:val="21"/>
                <w:lang w:eastAsia="fr-FR"/>
              </w:rPr>
            </w:pPr>
            <w:r>
              <w:rPr>
                <w:b/>
                <w:bCs/>
                <w:sz w:val="21"/>
                <w:szCs w:val="21"/>
                <w:lang w:eastAsia="fr-FR"/>
              </w:rPr>
              <w:t>50</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ED7E23" w14:textId="77777777" w:rsidR="00322B28" w:rsidRPr="00D16465" w:rsidRDefault="00322B28" w:rsidP="005D385E">
            <w:pPr>
              <w:jc w:val="center"/>
              <w:rPr>
                <w:b/>
                <w:bCs/>
                <w:sz w:val="21"/>
                <w:szCs w:val="21"/>
                <w:lang w:eastAsia="fr-FR"/>
              </w:rPr>
            </w:pPr>
            <w:r>
              <w:rPr>
                <w:b/>
                <w:bCs/>
                <w:sz w:val="21"/>
                <w:szCs w:val="21"/>
                <w:lang w:eastAsia="fr-FR"/>
              </w:rPr>
              <w:t>55</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267BBA5" w14:textId="77777777" w:rsidR="00322B28" w:rsidRDefault="00322B28" w:rsidP="005D385E">
            <w:pPr>
              <w:jc w:val="center"/>
              <w:rPr>
                <w:b/>
                <w:bCs/>
                <w:sz w:val="21"/>
                <w:szCs w:val="21"/>
                <w:lang w:eastAsia="fr-FR"/>
              </w:rPr>
            </w:pPr>
            <w:r>
              <w:rPr>
                <w:b/>
                <w:bCs/>
                <w:sz w:val="21"/>
                <w:szCs w:val="21"/>
                <w:lang w:eastAsia="fr-FR"/>
              </w:rPr>
              <w:t>5</w:t>
            </w:r>
          </w:p>
          <w:p w14:paraId="600CB484" w14:textId="5F1094D5" w:rsidR="0054785E" w:rsidRPr="00D16465" w:rsidRDefault="0054785E" w:rsidP="005D385E">
            <w:pPr>
              <w:jc w:val="center"/>
              <w:rPr>
                <w:b/>
                <w:bCs/>
                <w:sz w:val="21"/>
                <w:szCs w:val="21"/>
                <w:lang w:eastAsia="fr-FR"/>
              </w:rPr>
            </w:pPr>
            <w:r>
              <w:rPr>
                <w:b/>
                <w:bCs/>
                <w:sz w:val="21"/>
                <w:szCs w:val="21"/>
                <w:lang w:eastAsia="fr-FR"/>
              </w:rPr>
              <w:t>(1)</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627CF" w14:textId="77777777" w:rsidR="00322B28" w:rsidRPr="00D16465" w:rsidRDefault="00322B28" w:rsidP="005D385E">
            <w:pPr>
              <w:jc w:val="center"/>
              <w:rPr>
                <w:b/>
                <w:bCs/>
                <w:sz w:val="21"/>
                <w:szCs w:val="21"/>
                <w:lang w:eastAsia="fr-FR"/>
              </w:rPr>
            </w:pPr>
            <w:r>
              <w:rPr>
                <w:b/>
                <w:bCs/>
                <w:sz w:val="21"/>
                <w:szCs w:val="21"/>
                <w:lang w:eastAsia="fr-FR"/>
              </w:rPr>
              <w:t>10</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E213B4" w14:textId="77777777" w:rsidR="00322B28" w:rsidRPr="00D16465" w:rsidRDefault="00322B28" w:rsidP="005D385E">
            <w:pPr>
              <w:jc w:val="center"/>
              <w:rPr>
                <w:b/>
                <w:bCs/>
                <w:sz w:val="21"/>
                <w:szCs w:val="21"/>
                <w:lang w:eastAsia="fr-FR"/>
              </w:rPr>
            </w:pPr>
            <w:r>
              <w:rPr>
                <w:b/>
                <w:bCs/>
                <w:sz w:val="21"/>
                <w:szCs w:val="21"/>
                <w:lang w:eastAsia="fr-FR"/>
              </w:rPr>
              <w:t>10</w:t>
            </w:r>
          </w:p>
        </w:tc>
      </w:tr>
      <w:tr w:rsidR="00322B28" w:rsidRPr="009370F5" w14:paraId="087562D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1AA92CA0"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6721A7F3" w14:textId="77777777" w:rsidR="00322B28" w:rsidRPr="009370F5" w:rsidRDefault="00322B28" w:rsidP="005D385E">
            <w:pPr>
              <w:jc w:val="center"/>
              <w:rPr>
                <w:b/>
                <w:bCs/>
                <w:sz w:val="21"/>
                <w:szCs w:val="21"/>
                <w:lang w:eastAsia="fr-FR"/>
              </w:rPr>
            </w:pPr>
            <w:r w:rsidRPr="009370F5">
              <w:rPr>
                <w:b/>
                <w:bCs/>
                <w:sz w:val="21"/>
                <w:szCs w:val="21"/>
                <w:lang w:eastAsia="fr-FR"/>
              </w:rPr>
              <w:t>100 ≤ P &lt; 300</w:t>
            </w:r>
          </w:p>
        </w:tc>
        <w:tc>
          <w:tcPr>
            <w:tcW w:w="757" w:type="dxa"/>
            <w:vMerge/>
            <w:shd w:val="clear" w:color="auto" w:fill="D9D9D9" w:themeFill="background1" w:themeFillShade="D9"/>
            <w:tcMar>
              <w:top w:w="150" w:type="dxa"/>
              <w:left w:w="150" w:type="dxa"/>
              <w:bottom w:w="150" w:type="dxa"/>
              <w:right w:w="150" w:type="dxa"/>
            </w:tcMar>
            <w:vAlign w:val="center"/>
          </w:tcPr>
          <w:p w14:paraId="11350D77"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3B524F32"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5FB4F725" w14:textId="77777777" w:rsidR="00322B28" w:rsidRPr="00485898"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3C7A394F" w14:textId="77777777" w:rsidR="00322B28" w:rsidRPr="00D16465"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37F550A2" w14:textId="77777777" w:rsidR="00322B28" w:rsidRPr="00D16465"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592334E3" w14:textId="77777777" w:rsidR="00322B28" w:rsidRPr="00D16465"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36B0C0BB" w14:textId="77777777" w:rsidR="00322B28" w:rsidRPr="00D16465"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35DE9EB9" w14:textId="77777777" w:rsidR="00322B28" w:rsidRPr="00D16465" w:rsidRDefault="00322B28" w:rsidP="005D385E">
            <w:pPr>
              <w:jc w:val="center"/>
              <w:rPr>
                <w:b/>
                <w:bCs/>
                <w:sz w:val="21"/>
                <w:szCs w:val="21"/>
                <w:lang w:eastAsia="fr-FR"/>
              </w:rPr>
            </w:pPr>
          </w:p>
        </w:tc>
        <w:tc>
          <w:tcPr>
            <w:tcW w:w="800" w:type="dxa"/>
            <w:vMerge/>
            <w:shd w:val="clear" w:color="auto" w:fill="D9D9D9" w:themeFill="background1" w:themeFillShade="D9"/>
            <w:vAlign w:val="center"/>
          </w:tcPr>
          <w:p w14:paraId="387C026A" w14:textId="77777777" w:rsidR="00322B28" w:rsidRPr="00D16465" w:rsidRDefault="00322B28" w:rsidP="005D385E">
            <w:pPr>
              <w:jc w:val="center"/>
              <w:rPr>
                <w:b/>
                <w:bCs/>
                <w:sz w:val="21"/>
                <w:szCs w:val="21"/>
                <w:lang w:eastAsia="fr-FR"/>
              </w:rPr>
            </w:pPr>
          </w:p>
        </w:tc>
      </w:tr>
      <w:tr w:rsidR="00322B28" w:rsidRPr="009370F5" w14:paraId="29E87F04"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1A5EA7A2"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3C51A22E" w14:textId="77777777" w:rsidR="00322B28" w:rsidRPr="009370F5" w:rsidRDefault="00322B28" w:rsidP="005D385E">
            <w:pPr>
              <w:jc w:val="center"/>
              <w:rPr>
                <w:b/>
                <w:bCs/>
                <w:sz w:val="21"/>
                <w:szCs w:val="21"/>
                <w:lang w:eastAsia="fr-FR"/>
              </w:rPr>
            </w:pPr>
            <w:r w:rsidRPr="009370F5">
              <w:rPr>
                <w:b/>
                <w:bCs/>
                <w:sz w:val="21"/>
                <w:szCs w:val="21"/>
                <w:lang w:eastAsia="fr-FR"/>
              </w:rPr>
              <w:t>300 ≤ P</w:t>
            </w:r>
          </w:p>
        </w:tc>
        <w:tc>
          <w:tcPr>
            <w:tcW w:w="757" w:type="dxa"/>
            <w:vMerge/>
            <w:shd w:val="clear" w:color="auto" w:fill="D9D9D9" w:themeFill="background1" w:themeFillShade="D9"/>
            <w:tcMar>
              <w:top w:w="150" w:type="dxa"/>
              <w:left w:w="150" w:type="dxa"/>
              <w:bottom w:w="150" w:type="dxa"/>
              <w:right w:w="150" w:type="dxa"/>
            </w:tcMar>
            <w:vAlign w:val="center"/>
          </w:tcPr>
          <w:p w14:paraId="22C79E9F"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5F1D006B"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76A5EDB9" w14:textId="77777777" w:rsidR="00322B28" w:rsidRPr="00485898"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569DBEC7" w14:textId="77777777" w:rsidR="00322B28" w:rsidRPr="00D16465"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7CACB9C5" w14:textId="77777777" w:rsidR="00322B28" w:rsidRPr="00D16465"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095FC6D6" w14:textId="77777777" w:rsidR="00322B28" w:rsidRPr="00D16465"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3A5BB46B" w14:textId="77777777" w:rsidR="00322B28" w:rsidRPr="00D16465"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6B253AF2" w14:textId="77777777" w:rsidR="00322B28" w:rsidRPr="00D16465" w:rsidRDefault="00322B28" w:rsidP="005D385E">
            <w:pPr>
              <w:jc w:val="center"/>
              <w:rPr>
                <w:b/>
                <w:bCs/>
                <w:sz w:val="21"/>
                <w:szCs w:val="21"/>
                <w:lang w:eastAsia="fr-FR"/>
              </w:rPr>
            </w:pPr>
          </w:p>
        </w:tc>
        <w:tc>
          <w:tcPr>
            <w:tcW w:w="800" w:type="dxa"/>
            <w:vMerge/>
            <w:shd w:val="clear" w:color="auto" w:fill="D9D9D9" w:themeFill="background1" w:themeFillShade="D9"/>
            <w:vAlign w:val="center"/>
          </w:tcPr>
          <w:p w14:paraId="0E533A19" w14:textId="77777777" w:rsidR="00322B28" w:rsidRPr="00D16465" w:rsidRDefault="00322B28" w:rsidP="005D385E">
            <w:pPr>
              <w:jc w:val="center"/>
              <w:rPr>
                <w:b/>
                <w:bCs/>
                <w:sz w:val="21"/>
                <w:szCs w:val="21"/>
                <w:lang w:eastAsia="fr-FR"/>
              </w:rPr>
            </w:pPr>
          </w:p>
        </w:tc>
      </w:tr>
      <w:tr w:rsidR="00322B28" w:rsidRPr="009370F5" w14:paraId="4A7B74B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restart"/>
            <w:vAlign w:val="center"/>
          </w:tcPr>
          <w:p w14:paraId="575D7D31" w14:textId="77777777" w:rsidR="00322B28" w:rsidRDefault="00322B28" w:rsidP="005D385E">
            <w:pPr>
              <w:jc w:val="center"/>
              <w:rPr>
                <w:b/>
                <w:bCs/>
                <w:sz w:val="21"/>
                <w:szCs w:val="21"/>
                <w:lang w:eastAsia="fr-FR"/>
              </w:rPr>
            </w:pPr>
            <w:r>
              <w:rPr>
                <w:b/>
                <w:bCs/>
                <w:sz w:val="21"/>
                <w:szCs w:val="21"/>
                <w:lang w:eastAsia="fr-FR"/>
              </w:rPr>
              <w:t>Gaz naturel</w:t>
            </w:r>
          </w:p>
          <w:p w14:paraId="3898983E" w14:textId="6384B939" w:rsidR="00322B28" w:rsidRPr="009370F5" w:rsidRDefault="00322B28" w:rsidP="005D385E">
            <w:pPr>
              <w:jc w:val="center"/>
              <w:rPr>
                <w:b/>
                <w:bCs/>
                <w:sz w:val="21"/>
                <w:szCs w:val="21"/>
                <w:lang w:eastAsia="fr-FR"/>
              </w:rPr>
            </w:pPr>
            <w:r>
              <w:rPr>
                <w:b/>
                <w:bCs/>
                <w:sz w:val="21"/>
                <w:szCs w:val="21"/>
                <w:lang w:eastAsia="fr-FR"/>
              </w:rPr>
              <w:t>(</w:t>
            </w:r>
            <w:proofErr w:type="gramStart"/>
            <w:r>
              <w:rPr>
                <w:b/>
                <w:bCs/>
                <w:sz w:val="21"/>
                <w:szCs w:val="21"/>
                <w:lang w:eastAsia="fr-FR"/>
              </w:rPr>
              <w:t>pour</w:t>
            </w:r>
            <w:proofErr w:type="gramEnd"/>
            <w:r>
              <w:rPr>
                <w:b/>
                <w:bCs/>
                <w:sz w:val="21"/>
                <w:szCs w:val="21"/>
                <w:lang w:eastAsia="fr-FR"/>
              </w:rPr>
              <w:t xml:space="preserve"> application d’entrainement mécanique</w:t>
            </w:r>
            <w:r w:rsidR="001C47EC">
              <w:rPr>
                <w:b/>
                <w:bCs/>
                <w:sz w:val="21"/>
                <w:szCs w:val="21"/>
                <w:lang w:eastAsia="fr-FR"/>
              </w:rPr>
              <w:t xml:space="preserve"> CCGT ou OCGT</w:t>
            </w:r>
            <w:r>
              <w:rPr>
                <w:b/>
                <w:bCs/>
                <w:sz w:val="21"/>
                <w:szCs w:val="21"/>
                <w:lang w:eastAsia="fr-FR"/>
              </w:rPr>
              <w:t>)</w:t>
            </w:r>
          </w:p>
        </w:tc>
        <w:tc>
          <w:tcPr>
            <w:tcW w:w="1704" w:type="dxa"/>
            <w:shd w:val="clear" w:color="auto" w:fill="F5F5F5"/>
            <w:tcMar>
              <w:top w:w="150" w:type="dxa"/>
              <w:left w:w="150" w:type="dxa"/>
              <w:bottom w:w="150" w:type="dxa"/>
              <w:right w:w="150" w:type="dxa"/>
            </w:tcMar>
            <w:vAlign w:val="center"/>
          </w:tcPr>
          <w:p w14:paraId="51155B63" w14:textId="77777777" w:rsidR="00322B28" w:rsidRPr="009370F5" w:rsidRDefault="00322B28" w:rsidP="005D385E">
            <w:pPr>
              <w:jc w:val="center"/>
              <w:rPr>
                <w:b/>
                <w:bCs/>
                <w:sz w:val="21"/>
                <w:szCs w:val="21"/>
                <w:lang w:eastAsia="fr-FR"/>
              </w:rPr>
            </w:pPr>
            <w:r w:rsidRPr="009370F5">
              <w:rPr>
                <w:b/>
                <w:bCs/>
                <w:sz w:val="21"/>
                <w:szCs w:val="21"/>
                <w:lang w:eastAsia="fr-FR"/>
              </w:rPr>
              <w:t>50 ≤ P &lt; 100</w:t>
            </w:r>
          </w:p>
        </w:tc>
        <w:tc>
          <w:tcPr>
            <w:tcW w:w="757" w:type="dxa"/>
            <w:vMerge w:val="restart"/>
            <w:shd w:val="clear" w:color="auto" w:fill="D9D9D9" w:themeFill="background1" w:themeFillShade="D9"/>
            <w:tcMar>
              <w:top w:w="150" w:type="dxa"/>
              <w:left w:w="150" w:type="dxa"/>
              <w:bottom w:w="150" w:type="dxa"/>
              <w:right w:w="150" w:type="dxa"/>
            </w:tcMar>
            <w:vAlign w:val="center"/>
          </w:tcPr>
          <w:p w14:paraId="3B5FCF24" w14:textId="77777777" w:rsidR="00322B28" w:rsidRPr="00485898" w:rsidRDefault="00322B28" w:rsidP="005D385E">
            <w:pPr>
              <w:jc w:val="center"/>
              <w:rPr>
                <w:b/>
                <w:bCs/>
                <w:sz w:val="21"/>
                <w:szCs w:val="21"/>
                <w:lang w:eastAsia="fr-FR"/>
              </w:rPr>
            </w:pPr>
          </w:p>
        </w:tc>
        <w:tc>
          <w:tcPr>
            <w:tcW w:w="718" w:type="dxa"/>
            <w:vMerge w:val="restart"/>
            <w:tcBorders>
              <w:left w:val="single" w:sz="4" w:space="0" w:color="auto"/>
              <w:right w:val="single" w:sz="4" w:space="0" w:color="auto"/>
            </w:tcBorders>
            <w:shd w:val="clear" w:color="auto" w:fill="D9D9D9" w:themeFill="background1" w:themeFillShade="D9"/>
            <w:vAlign w:val="center"/>
          </w:tcPr>
          <w:p w14:paraId="659A5A50" w14:textId="77777777" w:rsidR="00322B28" w:rsidRPr="00485898" w:rsidRDefault="00322B28" w:rsidP="005D385E">
            <w:pPr>
              <w:jc w:val="center"/>
              <w:rPr>
                <w:b/>
                <w:bCs/>
                <w:sz w:val="21"/>
                <w:szCs w:val="21"/>
                <w:lang w:eastAsia="fr-FR"/>
              </w:rPr>
            </w:pPr>
            <w:r>
              <w:rPr>
                <w:b/>
                <w:bCs/>
                <w:sz w:val="21"/>
                <w:szCs w:val="21"/>
                <w:lang w:eastAsia="fr-FR"/>
              </w:rPr>
              <w:t>10</w:t>
            </w:r>
          </w:p>
        </w:tc>
        <w:tc>
          <w:tcPr>
            <w:tcW w:w="718" w:type="dxa"/>
            <w:vMerge w:val="restart"/>
            <w:tcBorders>
              <w:left w:val="single" w:sz="4" w:space="0" w:color="auto"/>
              <w:right w:val="single" w:sz="4" w:space="0" w:color="auto"/>
            </w:tcBorders>
            <w:shd w:val="clear" w:color="auto" w:fill="D9D9D9" w:themeFill="background1" w:themeFillShade="D9"/>
            <w:vAlign w:val="center"/>
          </w:tcPr>
          <w:p w14:paraId="6D879EC7" w14:textId="77777777" w:rsidR="00322B28" w:rsidRPr="00485898" w:rsidRDefault="00322B28" w:rsidP="005D385E">
            <w:pPr>
              <w:jc w:val="center"/>
              <w:rPr>
                <w:b/>
                <w:bCs/>
                <w:sz w:val="21"/>
                <w:szCs w:val="21"/>
                <w:lang w:eastAsia="fr-FR"/>
              </w:rPr>
            </w:pPr>
            <w:r>
              <w:rPr>
                <w:b/>
                <w:bCs/>
                <w:sz w:val="21"/>
                <w:szCs w:val="21"/>
                <w:lang w:eastAsia="fr-FR"/>
              </w:rPr>
              <w:t>11</w:t>
            </w:r>
          </w:p>
        </w:tc>
        <w:tc>
          <w:tcPr>
            <w:tcW w:w="756" w:type="dxa"/>
            <w:vMerge w:val="restart"/>
            <w:shd w:val="clear" w:color="auto" w:fill="E2EFD9" w:themeFill="accent6" w:themeFillTint="33"/>
            <w:tcMar>
              <w:top w:w="150" w:type="dxa"/>
              <w:left w:w="150" w:type="dxa"/>
              <w:bottom w:w="150" w:type="dxa"/>
              <w:right w:w="150" w:type="dxa"/>
            </w:tcMar>
            <w:vAlign w:val="center"/>
          </w:tcPr>
          <w:p w14:paraId="06E331D5" w14:textId="77777777" w:rsidR="00322B28" w:rsidRPr="00485898" w:rsidRDefault="00322B28" w:rsidP="005D385E">
            <w:pPr>
              <w:jc w:val="center"/>
              <w:rPr>
                <w:b/>
                <w:bCs/>
                <w:sz w:val="21"/>
                <w:szCs w:val="21"/>
                <w:lang w:eastAsia="fr-FR"/>
              </w:rPr>
            </w:pPr>
            <w:r>
              <w:rPr>
                <w:b/>
                <w:bCs/>
                <w:sz w:val="21"/>
                <w:szCs w:val="21"/>
                <w:lang w:eastAsia="fr-FR"/>
              </w:rPr>
              <w:t>50</w:t>
            </w:r>
          </w:p>
        </w:tc>
        <w:tc>
          <w:tcPr>
            <w:tcW w:w="718" w:type="dxa"/>
            <w:vMerge w:val="restart"/>
            <w:shd w:val="clear" w:color="auto" w:fill="B4C6E7" w:themeFill="accent5" w:themeFillTint="66"/>
            <w:vAlign w:val="center"/>
          </w:tcPr>
          <w:p w14:paraId="54FB5D78" w14:textId="77777777" w:rsidR="00322B28" w:rsidRPr="00485898" w:rsidRDefault="00322B28" w:rsidP="005D385E">
            <w:pPr>
              <w:jc w:val="center"/>
              <w:rPr>
                <w:b/>
                <w:bCs/>
                <w:sz w:val="21"/>
                <w:szCs w:val="21"/>
                <w:lang w:eastAsia="fr-FR"/>
              </w:rPr>
            </w:pPr>
            <w:r>
              <w:rPr>
                <w:b/>
                <w:bCs/>
                <w:sz w:val="21"/>
                <w:szCs w:val="21"/>
                <w:lang w:eastAsia="fr-FR"/>
              </w:rPr>
              <w:t>50</w:t>
            </w:r>
          </w:p>
        </w:tc>
        <w:tc>
          <w:tcPr>
            <w:tcW w:w="718" w:type="dxa"/>
            <w:vMerge w:val="restart"/>
            <w:shd w:val="clear" w:color="auto" w:fill="B4C6E7" w:themeFill="accent5" w:themeFillTint="66"/>
            <w:vAlign w:val="center"/>
          </w:tcPr>
          <w:p w14:paraId="4A3D9B10" w14:textId="77777777" w:rsidR="00322B28" w:rsidRPr="00485898" w:rsidRDefault="00322B28" w:rsidP="005D385E">
            <w:pPr>
              <w:jc w:val="center"/>
              <w:rPr>
                <w:b/>
                <w:bCs/>
                <w:sz w:val="21"/>
                <w:szCs w:val="21"/>
                <w:lang w:eastAsia="fr-FR"/>
              </w:rPr>
            </w:pPr>
            <w:r>
              <w:rPr>
                <w:b/>
                <w:bCs/>
                <w:sz w:val="21"/>
                <w:szCs w:val="21"/>
                <w:lang w:eastAsia="fr-FR"/>
              </w:rPr>
              <w:t>55</w:t>
            </w:r>
          </w:p>
        </w:tc>
        <w:tc>
          <w:tcPr>
            <w:tcW w:w="756" w:type="dxa"/>
            <w:vMerge w:val="restart"/>
            <w:shd w:val="clear" w:color="auto" w:fill="D9D9D9" w:themeFill="background1" w:themeFillShade="D9"/>
            <w:tcMar>
              <w:top w:w="150" w:type="dxa"/>
              <w:left w:w="150" w:type="dxa"/>
              <w:bottom w:w="150" w:type="dxa"/>
              <w:right w:w="150" w:type="dxa"/>
            </w:tcMar>
            <w:vAlign w:val="center"/>
          </w:tcPr>
          <w:p w14:paraId="38727FD1" w14:textId="77777777" w:rsidR="00322B28" w:rsidRPr="00485898" w:rsidRDefault="00322B28" w:rsidP="005D385E">
            <w:pPr>
              <w:jc w:val="center"/>
              <w:rPr>
                <w:b/>
                <w:bCs/>
                <w:sz w:val="21"/>
                <w:szCs w:val="21"/>
                <w:lang w:eastAsia="fr-FR"/>
              </w:rPr>
            </w:pPr>
          </w:p>
        </w:tc>
        <w:tc>
          <w:tcPr>
            <w:tcW w:w="718" w:type="dxa"/>
            <w:vMerge w:val="restart"/>
            <w:tcBorders>
              <w:left w:val="single" w:sz="4" w:space="0" w:color="auto"/>
              <w:right w:val="single" w:sz="4" w:space="0" w:color="auto"/>
            </w:tcBorders>
            <w:shd w:val="clear" w:color="auto" w:fill="D9D9D9" w:themeFill="background1" w:themeFillShade="D9"/>
            <w:vAlign w:val="center"/>
          </w:tcPr>
          <w:p w14:paraId="1B9E47F3" w14:textId="77777777" w:rsidR="00322B28" w:rsidRPr="00485898" w:rsidRDefault="00322B28" w:rsidP="005D385E">
            <w:pPr>
              <w:jc w:val="center"/>
              <w:rPr>
                <w:b/>
                <w:bCs/>
                <w:sz w:val="21"/>
                <w:szCs w:val="21"/>
                <w:lang w:eastAsia="fr-FR"/>
              </w:rPr>
            </w:pPr>
            <w:r>
              <w:rPr>
                <w:b/>
                <w:bCs/>
                <w:sz w:val="21"/>
                <w:szCs w:val="21"/>
                <w:lang w:eastAsia="fr-FR"/>
              </w:rPr>
              <w:t>10</w:t>
            </w:r>
          </w:p>
        </w:tc>
        <w:tc>
          <w:tcPr>
            <w:tcW w:w="800" w:type="dxa"/>
            <w:vMerge w:val="restart"/>
            <w:tcBorders>
              <w:left w:val="single" w:sz="4" w:space="0" w:color="auto"/>
              <w:right w:val="single" w:sz="4" w:space="0" w:color="auto"/>
            </w:tcBorders>
            <w:shd w:val="clear" w:color="auto" w:fill="D9D9D9" w:themeFill="background1" w:themeFillShade="D9"/>
            <w:vAlign w:val="center"/>
          </w:tcPr>
          <w:p w14:paraId="223AF2A5" w14:textId="77777777" w:rsidR="00322B28" w:rsidRPr="00485898" w:rsidRDefault="00322B28" w:rsidP="005D385E">
            <w:pPr>
              <w:jc w:val="center"/>
              <w:rPr>
                <w:b/>
                <w:bCs/>
                <w:sz w:val="21"/>
                <w:szCs w:val="21"/>
                <w:lang w:eastAsia="fr-FR"/>
              </w:rPr>
            </w:pPr>
            <w:r>
              <w:rPr>
                <w:b/>
                <w:bCs/>
                <w:sz w:val="21"/>
                <w:szCs w:val="21"/>
                <w:lang w:eastAsia="fr-FR"/>
              </w:rPr>
              <w:t>11</w:t>
            </w:r>
          </w:p>
        </w:tc>
      </w:tr>
      <w:tr w:rsidR="00322B28" w:rsidRPr="009370F5" w14:paraId="5138861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7D3962F9"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1D96EA23" w14:textId="77777777" w:rsidR="00322B28" w:rsidRPr="009370F5" w:rsidRDefault="00322B28" w:rsidP="005D385E">
            <w:pPr>
              <w:jc w:val="center"/>
              <w:rPr>
                <w:b/>
                <w:bCs/>
                <w:sz w:val="21"/>
                <w:szCs w:val="21"/>
                <w:lang w:eastAsia="fr-FR"/>
              </w:rPr>
            </w:pPr>
            <w:r w:rsidRPr="009370F5">
              <w:rPr>
                <w:b/>
                <w:bCs/>
                <w:sz w:val="21"/>
                <w:szCs w:val="21"/>
                <w:lang w:eastAsia="fr-FR"/>
              </w:rPr>
              <w:t>100 ≤ P &lt; 300</w:t>
            </w:r>
          </w:p>
        </w:tc>
        <w:tc>
          <w:tcPr>
            <w:tcW w:w="757" w:type="dxa"/>
            <w:vMerge/>
            <w:shd w:val="clear" w:color="auto" w:fill="D9D9D9" w:themeFill="background1" w:themeFillShade="D9"/>
            <w:tcMar>
              <w:top w:w="150" w:type="dxa"/>
              <w:left w:w="150" w:type="dxa"/>
              <w:bottom w:w="150" w:type="dxa"/>
              <w:right w:w="150" w:type="dxa"/>
            </w:tcMar>
            <w:vAlign w:val="center"/>
          </w:tcPr>
          <w:p w14:paraId="41A107F9" w14:textId="77777777" w:rsidR="00322B28" w:rsidRPr="00485898" w:rsidRDefault="00322B28" w:rsidP="005D385E">
            <w:pPr>
              <w:jc w:val="center"/>
              <w:rPr>
                <w:b/>
                <w:bCs/>
                <w:sz w:val="21"/>
                <w:szCs w:val="21"/>
                <w:lang w:eastAsia="fr-FR"/>
              </w:rPr>
            </w:pPr>
          </w:p>
        </w:tc>
        <w:tc>
          <w:tcPr>
            <w:tcW w:w="718" w:type="dxa"/>
            <w:vMerge/>
            <w:tcBorders>
              <w:left w:val="single" w:sz="4" w:space="0" w:color="auto"/>
              <w:right w:val="single" w:sz="4" w:space="0" w:color="auto"/>
            </w:tcBorders>
            <w:shd w:val="clear" w:color="auto" w:fill="D9D9D9" w:themeFill="background1" w:themeFillShade="D9"/>
            <w:vAlign w:val="center"/>
          </w:tcPr>
          <w:p w14:paraId="59BBAB54" w14:textId="77777777" w:rsidR="00322B28" w:rsidRPr="00485898" w:rsidRDefault="00322B28" w:rsidP="005D385E">
            <w:pPr>
              <w:jc w:val="center"/>
              <w:rPr>
                <w:b/>
                <w:bCs/>
                <w:sz w:val="21"/>
                <w:szCs w:val="21"/>
                <w:lang w:eastAsia="fr-FR"/>
              </w:rPr>
            </w:pPr>
          </w:p>
        </w:tc>
        <w:tc>
          <w:tcPr>
            <w:tcW w:w="718" w:type="dxa"/>
            <w:vMerge/>
            <w:tcBorders>
              <w:left w:val="single" w:sz="4" w:space="0" w:color="auto"/>
              <w:right w:val="single" w:sz="4" w:space="0" w:color="auto"/>
            </w:tcBorders>
            <w:shd w:val="clear" w:color="auto" w:fill="D9D9D9" w:themeFill="background1" w:themeFillShade="D9"/>
            <w:vAlign w:val="center"/>
          </w:tcPr>
          <w:p w14:paraId="0FA8A77C" w14:textId="77777777" w:rsidR="00322B28" w:rsidRPr="00485898" w:rsidRDefault="00322B28" w:rsidP="005D385E">
            <w:pPr>
              <w:jc w:val="center"/>
              <w:rPr>
                <w:b/>
                <w:bCs/>
                <w:sz w:val="21"/>
                <w:szCs w:val="21"/>
                <w:lang w:eastAsia="fr-FR"/>
              </w:rPr>
            </w:pPr>
          </w:p>
        </w:tc>
        <w:tc>
          <w:tcPr>
            <w:tcW w:w="756" w:type="dxa"/>
            <w:vMerge/>
            <w:shd w:val="clear" w:color="auto" w:fill="E2EFD9" w:themeFill="accent6" w:themeFillTint="33"/>
            <w:tcMar>
              <w:top w:w="150" w:type="dxa"/>
              <w:left w:w="150" w:type="dxa"/>
              <w:bottom w:w="150" w:type="dxa"/>
              <w:right w:w="150" w:type="dxa"/>
            </w:tcMar>
            <w:vAlign w:val="center"/>
          </w:tcPr>
          <w:p w14:paraId="542DFE16" w14:textId="77777777" w:rsidR="00322B28" w:rsidRPr="00485898"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03797B1F" w14:textId="77777777" w:rsidR="00322B28" w:rsidRPr="00485898"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667501AB" w14:textId="77777777" w:rsidR="00322B28" w:rsidRPr="00485898"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31CDD9CF" w14:textId="77777777" w:rsidR="00322B28" w:rsidRPr="00485898" w:rsidRDefault="00322B28" w:rsidP="005D385E">
            <w:pPr>
              <w:jc w:val="center"/>
              <w:rPr>
                <w:b/>
                <w:bCs/>
                <w:sz w:val="21"/>
                <w:szCs w:val="21"/>
                <w:lang w:eastAsia="fr-FR"/>
              </w:rPr>
            </w:pPr>
          </w:p>
        </w:tc>
        <w:tc>
          <w:tcPr>
            <w:tcW w:w="718" w:type="dxa"/>
            <w:vMerge/>
            <w:tcBorders>
              <w:left w:val="single" w:sz="4" w:space="0" w:color="auto"/>
              <w:right w:val="single" w:sz="4" w:space="0" w:color="auto"/>
            </w:tcBorders>
            <w:shd w:val="clear" w:color="auto" w:fill="D9D9D9" w:themeFill="background1" w:themeFillShade="D9"/>
            <w:vAlign w:val="center"/>
          </w:tcPr>
          <w:p w14:paraId="4129A820" w14:textId="77777777" w:rsidR="00322B28" w:rsidRPr="00485898" w:rsidRDefault="00322B28" w:rsidP="005D385E">
            <w:pPr>
              <w:jc w:val="center"/>
              <w:rPr>
                <w:b/>
                <w:bCs/>
                <w:sz w:val="21"/>
                <w:szCs w:val="21"/>
                <w:lang w:eastAsia="fr-FR"/>
              </w:rPr>
            </w:pPr>
          </w:p>
        </w:tc>
        <w:tc>
          <w:tcPr>
            <w:tcW w:w="800" w:type="dxa"/>
            <w:vMerge/>
            <w:tcBorders>
              <w:left w:val="single" w:sz="4" w:space="0" w:color="auto"/>
              <w:right w:val="single" w:sz="4" w:space="0" w:color="auto"/>
            </w:tcBorders>
            <w:shd w:val="clear" w:color="auto" w:fill="D9D9D9" w:themeFill="background1" w:themeFillShade="D9"/>
            <w:vAlign w:val="center"/>
          </w:tcPr>
          <w:p w14:paraId="7623A9DD" w14:textId="77777777" w:rsidR="00322B28" w:rsidRPr="00485898" w:rsidRDefault="00322B28" w:rsidP="005D385E">
            <w:pPr>
              <w:jc w:val="center"/>
              <w:rPr>
                <w:b/>
                <w:bCs/>
                <w:sz w:val="21"/>
                <w:szCs w:val="21"/>
                <w:lang w:eastAsia="fr-FR"/>
              </w:rPr>
            </w:pPr>
          </w:p>
        </w:tc>
      </w:tr>
      <w:tr w:rsidR="00322B28" w:rsidRPr="009370F5" w14:paraId="017B05E6"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007DBFB6"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73304CEE" w14:textId="77777777" w:rsidR="00322B28" w:rsidRPr="009370F5" w:rsidRDefault="00322B28" w:rsidP="005D385E">
            <w:pPr>
              <w:jc w:val="center"/>
              <w:rPr>
                <w:b/>
                <w:bCs/>
                <w:sz w:val="21"/>
                <w:szCs w:val="21"/>
                <w:lang w:eastAsia="fr-FR"/>
              </w:rPr>
            </w:pPr>
            <w:r w:rsidRPr="009370F5">
              <w:rPr>
                <w:b/>
                <w:bCs/>
                <w:sz w:val="21"/>
                <w:szCs w:val="21"/>
                <w:lang w:eastAsia="fr-FR"/>
              </w:rPr>
              <w:t>300 ≤ P</w:t>
            </w:r>
          </w:p>
        </w:tc>
        <w:tc>
          <w:tcPr>
            <w:tcW w:w="757" w:type="dxa"/>
            <w:vMerge/>
            <w:shd w:val="clear" w:color="auto" w:fill="D9D9D9" w:themeFill="background1" w:themeFillShade="D9"/>
            <w:tcMar>
              <w:top w:w="150" w:type="dxa"/>
              <w:left w:w="150" w:type="dxa"/>
              <w:bottom w:w="150" w:type="dxa"/>
              <w:right w:w="150" w:type="dxa"/>
            </w:tcMar>
            <w:vAlign w:val="center"/>
          </w:tcPr>
          <w:p w14:paraId="1F043FEC" w14:textId="77777777" w:rsidR="00322B28" w:rsidRPr="00485898" w:rsidRDefault="00322B28" w:rsidP="005D385E">
            <w:pPr>
              <w:jc w:val="center"/>
              <w:rPr>
                <w:b/>
                <w:bCs/>
                <w:sz w:val="21"/>
                <w:szCs w:val="21"/>
                <w:lang w:eastAsia="fr-FR"/>
              </w:rPr>
            </w:pPr>
          </w:p>
        </w:tc>
        <w:tc>
          <w:tcPr>
            <w:tcW w:w="7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11510B0" w14:textId="77777777" w:rsidR="00322B28" w:rsidRPr="00485898" w:rsidRDefault="00322B28" w:rsidP="005D385E">
            <w:pPr>
              <w:jc w:val="center"/>
              <w:rPr>
                <w:b/>
                <w:bCs/>
                <w:sz w:val="21"/>
                <w:szCs w:val="21"/>
                <w:lang w:eastAsia="fr-FR"/>
              </w:rPr>
            </w:pPr>
          </w:p>
        </w:tc>
        <w:tc>
          <w:tcPr>
            <w:tcW w:w="7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02DDC26" w14:textId="77777777" w:rsidR="00322B28" w:rsidRPr="00485898" w:rsidRDefault="00322B28" w:rsidP="005D385E">
            <w:pPr>
              <w:jc w:val="center"/>
              <w:rPr>
                <w:b/>
                <w:bCs/>
                <w:sz w:val="21"/>
                <w:szCs w:val="21"/>
                <w:lang w:eastAsia="fr-FR"/>
              </w:rPr>
            </w:pPr>
          </w:p>
        </w:tc>
        <w:tc>
          <w:tcPr>
            <w:tcW w:w="756" w:type="dxa"/>
            <w:vMerge/>
            <w:shd w:val="clear" w:color="auto" w:fill="E2EFD9" w:themeFill="accent6" w:themeFillTint="33"/>
            <w:tcMar>
              <w:top w:w="150" w:type="dxa"/>
              <w:left w:w="150" w:type="dxa"/>
              <w:bottom w:w="150" w:type="dxa"/>
              <w:right w:w="150" w:type="dxa"/>
            </w:tcMar>
            <w:vAlign w:val="center"/>
          </w:tcPr>
          <w:p w14:paraId="1A6357BA" w14:textId="77777777" w:rsidR="00322B28" w:rsidRPr="00485898"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70294934" w14:textId="77777777" w:rsidR="00322B28" w:rsidRPr="00485898"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7AEA5526" w14:textId="77777777" w:rsidR="00322B28" w:rsidRPr="00485898"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0AD181C7" w14:textId="77777777" w:rsidR="00322B28" w:rsidRPr="00485898" w:rsidRDefault="00322B28" w:rsidP="005D385E">
            <w:pPr>
              <w:jc w:val="center"/>
              <w:rPr>
                <w:b/>
                <w:bCs/>
                <w:sz w:val="21"/>
                <w:szCs w:val="21"/>
                <w:lang w:eastAsia="fr-FR"/>
              </w:rPr>
            </w:pPr>
          </w:p>
        </w:tc>
        <w:tc>
          <w:tcPr>
            <w:tcW w:w="7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26C6338" w14:textId="77777777" w:rsidR="00322B28" w:rsidRPr="00485898" w:rsidRDefault="00322B28" w:rsidP="005D385E">
            <w:pPr>
              <w:jc w:val="center"/>
              <w:rPr>
                <w:b/>
                <w:bCs/>
                <w:sz w:val="21"/>
                <w:szCs w:val="21"/>
                <w:lang w:eastAsia="fr-FR"/>
              </w:rPr>
            </w:pPr>
          </w:p>
        </w:tc>
        <w:tc>
          <w:tcPr>
            <w:tcW w:w="80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3273077" w14:textId="77777777" w:rsidR="00322B28" w:rsidRPr="00485898" w:rsidRDefault="00322B28" w:rsidP="005D385E">
            <w:pPr>
              <w:jc w:val="center"/>
              <w:rPr>
                <w:b/>
                <w:bCs/>
                <w:sz w:val="21"/>
                <w:szCs w:val="21"/>
                <w:lang w:eastAsia="fr-FR"/>
              </w:rPr>
            </w:pPr>
          </w:p>
        </w:tc>
      </w:tr>
      <w:tr w:rsidR="00322B28" w:rsidRPr="009370F5" w14:paraId="73478EB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restart"/>
            <w:vAlign w:val="center"/>
          </w:tcPr>
          <w:p w14:paraId="679DF2AA" w14:textId="77777777" w:rsidR="00322B28" w:rsidRDefault="00322B28" w:rsidP="005D385E">
            <w:pPr>
              <w:jc w:val="center"/>
              <w:rPr>
                <w:b/>
                <w:bCs/>
                <w:sz w:val="21"/>
                <w:szCs w:val="21"/>
                <w:lang w:eastAsia="fr-FR"/>
              </w:rPr>
            </w:pPr>
            <w:r>
              <w:rPr>
                <w:b/>
                <w:bCs/>
                <w:sz w:val="21"/>
                <w:szCs w:val="21"/>
                <w:lang w:eastAsia="fr-FR"/>
              </w:rPr>
              <w:t>Gaz naturel</w:t>
            </w:r>
          </w:p>
          <w:p w14:paraId="317340BF" w14:textId="77777777" w:rsidR="00322B28" w:rsidRPr="009370F5" w:rsidRDefault="00322B28" w:rsidP="005D385E">
            <w:pPr>
              <w:jc w:val="center"/>
              <w:rPr>
                <w:b/>
                <w:bCs/>
                <w:sz w:val="21"/>
                <w:szCs w:val="21"/>
                <w:lang w:eastAsia="fr-FR"/>
              </w:rPr>
            </w:pPr>
            <w:r>
              <w:rPr>
                <w:b/>
                <w:bCs/>
                <w:sz w:val="21"/>
                <w:szCs w:val="21"/>
                <w:lang w:eastAsia="fr-FR"/>
              </w:rPr>
              <w:t>(OCGT)</w:t>
            </w:r>
          </w:p>
        </w:tc>
        <w:tc>
          <w:tcPr>
            <w:tcW w:w="1704" w:type="dxa"/>
            <w:shd w:val="clear" w:color="auto" w:fill="F5F5F5"/>
            <w:tcMar>
              <w:top w:w="150" w:type="dxa"/>
              <w:left w:w="150" w:type="dxa"/>
              <w:bottom w:w="150" w:type="dxa"/>
              <w:right w:w="150" w:type="dxa"/>
            </w:tcMar>
            <w:vAlign w:val="center"/>
          </w:tcPr>
          <w:p w14:paraId="2D87AE4A" w14:textId="77777777" w:rsidR="00322B28" w:rsidRPr="009370F5" w:rsidRDefault="00322B28" w:rsidP="005D385E">
            <w:pPr>
              <w:jc w:val="center"/>
              <w:rPr>
                <w:b/>
                <w:bCs/>
                <w:sz w:val="21"/>
                <w:szCs w:val="21"/>
                <w:lang w:eastAsia="fr-FR"/>
              </w:rPr>
            </w:pPr>
            <w:r w:rsidRPr="0087546D">
              <w:rPr>
                <w:b/>
                <w:bCs/>
                <w:sz w:val="21"/>
                <w:szCs w:val="21"/>
                <w:lang w:eastAsia="fr-FR"/>
              </w:rPr>
              <w:t>50 ≤ P &lt; 100</w:t>
            </w:r>
          </w:p>
        </w:tc>
        <w:tc>
          <w:tcPr>
            <w:tcW w:w="757" w:type="dxa"/>
            <w:vMerge w:val="restart"/>
            <w:shd w:val="clear" w:color="auto" w:fill="D9D9D9" w:themeFill="background1" w:themeFillShade="D9"/>
            <w:tcMar>
              <w:top w:w="150" w:type="dxa"/>
              <w:left w:w="150" w:type="dxa"/>
              <w:bottom w:w="150" w:type="dxa"/>
              <w:right w:w="150" w:type="dxa"/>
            </w:tcMar>
            <w:vAlign w:val="center"/>
          </w:tcPr>
          <w:p w14:paraId="49360AA0" w14:textId="77777777" w:rsidR="00322B28" w:rsidRPr="00485898" w:rsidRDefault="00322B28" w:rsidP="005D385E">
            <w:pPr>
              <w:jc w:val="center"/>
              <w:rPr>
                <w:b/>
                <w:bCs/>
                <w:sz w:val="21"/>
                <w:szCs w:val="21"/>
                <w:lang w:eastAsia="fr-FR"/>
              </w:rPr>
            </w:pPr>
          </w:p>
        </w:tc>
        <w:tc>
          <w:tcPr>
            <w:tcW w:w="718" w:type="dxa"/>
            <w:vMerge w:val="restart"/>
            <w:tcBorders>
              <w:left w:val="single" w:sz="4" w:space="0" w:color="auto"/>
              <w:right w:val="single" w:sz="4" w:space="0" w:color="auto"/>
            </w:tcBorders>
            <w:shd w:val="clear" w:color="auto" w:fill="D9D9D9" w:themeFill="background1" w:themeFillShade="D9"/>
            <w:vAlign w:val="center"/>
          </w:tcPr>
          <w:p w14:paraId="39426960" w14:textId="77777777" w:rsidR="00322B28" w:rsidRPr="00485898" w:rsidRDefault="00322B28" w:rsidP="005D385E">
            <w:pPr>
              <w:jc w:val="center"/>
              <w:rPr>
                <w:b/>
                <w:bCs/>
                <w:sz w:val="21"/>
                <w:szCs w:val="21"/>
                <w:lang w:eastAsia="fr-FR"/>
              </w:rPr>
            </w:pPr>
            <w:r>
              <w:rPr>
                <w:b/>
                <w:bCs/>
                <w:sz w:val="21"/>
                <w:szCs w:val="21"/>
                <w:lang w:eastAsia="fr-FR"/>
              </w:rPr>
              <w:t>10</w:t>
            </w:r>
          </w:p>
        </w:tc>
        <w:tc>
          <w:tcPr>
            <w:tcW w:w="718" w:type="dxa"/>
            <w:vMerge w:val="restart"/>
            <w:tcBorders>
              <w:left w:val="single" w:sz="4" w:space="0" w:color="auto"/>
              <w:right w:val="single" w:sz="4" w:space="0" w:color="auto"/>
            </w:tcBorders>
            <w:shd w:val="clear" w:color="auto" w:fill="D9D9D9" w:themeFill="background1" w:themeFillShade="D9"/>
            <w:vAlign w:val="center"/>
          </w:tcPr>
          <w:p w14:paraId="43D16C21" w14:textId="77777777" w:rsidR="00322B28" w:rsidRPr="00485898" w:rsidRDefault="00322B28" w:rsidP="005D385E">
            <w:pPr>
              <w:jc w:val="center"/>
              <w:rPr>
                <w:b/>
                <w:bCs/>
                <w:sz w:val="21"/>
                <w:szCs w:val="21"/>
                <w:lang w:eastAsia="fr-FR"/>
              </w:rPr>
            </w:pPr>
            <w:r>
              <w:rPr>
                <w:b/>
                <w:bCs/>
                <w:sz w:val="21"/>
                <w:szCs w:val="21"/>
                <w:lang w:eastAsia="fr-FR"/>
              </w:rPr>
              <w:t>11</w:t>
            </w:r>
          </w:p>
        </w:tc>
        <w:tc>
          <w:tcPr>
            <w:tcW w:w="756" w:type="dxa"/>
            <w:vMerge w:val="restart"/>
            <w:shd w:val="clear" w:color="auto" w:fill="E2EFD9" w:themeFill="accent6" w:themeFillTint="33"/>
            <w:tcMar>
              <w:top w:w="150" w:type="dxa"/>
              <w:left w:w="150" w:type="dxa"/>
              <w:bottom w:w="150" w:type="dxa"/>
              <w:right w:w="150" w:type="dxa"/>
            </w:tcMar>
            <w:vAlign w:val="center"/>
          </w:tcPr>
          <w:p w14:paraId="542E092D" w14:textId="77777777" w:rsidR="00322B28" w:rsidRPr="00485898" w:rsidRDefault="00322B28" w:rsidP="005D385E">
            <w:pPr>
              <w:jc w:val="center"/>
              <w:rPr>
                <w:b/>
                <w:bCs/>
                <w:sz w:val="21"/>
                <w:szCs w:val="21"/>
                <w:lang w:eastAsia="fr-FR"/>
              </w:rPr>
            </w:pPr>
            <w:r>
              <w:rPr>
                <w:b/>
                <w:bCs/>
                <w:sz w:val="21"/>
                <w:szCs w:val="21"/>
                <w:lang w:eastAsia="fr-FR"/>
              </w:rPr>
              <w:t>50</w:t>
            </w:r>
          </w:p>
        </w:tc>
        <w:tc>
          <w:tcPr>
            <w:tcW w:w="718" w:type="dxa"/>
            <w:vMerge w:val="restart"/>
            <w:shd w:val="clear" w:color="auto" w:fill="B4C6E7" w:themeFill="accent5" w:themeFillTint="66"/>
            <w:vAlign w:val="center"/>
          </w:tcPr>
          <w:p w14:paraId="0522DF5D" w14:textId="77777777" w:rsidR="00322B28" w:rsidRPr="00485898" w:rsidRDefault="00322B28" w:rsidP="005D385E">
            <w:pPr>
              <w:jc w:val="center"/>
              <w:rPr>
                <w:b/>
                <w:bCs/>
                <w:sz w:val="21"/>
                <w:szCs w:val="21"/>
                <w:lang w:eastAsia="fr-FR"/>
              </w:rPr>
            </w:pPr>
            <w:r>
              <w:rPr>
                <w:b/>
                <w:bCs/>
                <w:sz w:val="21"/>
                <w:szCs w:val="21"/>
                <w:lang w:eastAsia="fr-FR"/>
              </w:rPr>
              <w:t>50</w:t>
            </w:r>
          </w:p>
        </w:tc>
        <w:tc>
          <w:tcPr>
            <w:tcW w:w="718" w:type="dxa"/>
            <w:vMerge w:val="restart"/>
            <w:shd w:val="clear" w:color="auto" w:fill="92D050"/>
            <w:vAlign w:val="center"/>
          </w:tcPr>
          <w:p w14:paraId="25DFA85C" w14:textId="77777777" w:rsidR="00322B28" w:rsidRPr="00485898" w:rsidRDefault="00322B28" w:rsidP="005D385E">
            <w:pPr>
              <w:jc w:val="center"/>
              <w:rPr>
                <w:b/>
                <w:bCs/>
                <w:sz w:val="21"/>
                <w:szCs w:val="21"/>
                <w:lang w:eastAsia="fr-FR"/>
              </w:rPr>
            </w:pPr>
            <w:r>
              <w:rPr>
                <w:b/>
                <w:bCs/>
                <w:sz w:val="21"/>
                <w:szCs w:val="21"/>
                <w:lang w:eastAsia="fr-FR"/>
              </w:rPr>
              <w:t>55</w:t>
            </w:r>
          </w:p>
        </w:tc>
        <w:tc>
          <w:tcPr>
            <w:tcW w:w="756" w:type="dxa"/>
            <w:vMerge w:val="restart"/>
            <w:shd w:val="clear" w:color="auto" w:fill="D9D9D9" w:themeFill="background1" w:themeFillShade="D9"/>
            <w:tcMar>
              <w:top w:w="150" w:type="dxa"/>
              <w:left w:w="150" w:type="dxa"/>
              <w:bottom w:w="150" w:type="dxa"/>
              <w:right w:w="150" w:type="dxa"/>
            </w:tcMar>
            <w:vAlign w:val="center"/>
          </w:tcPr>
          <w:p w14:paraId="104AA665" w14:textId="77777777" w:rsidR="00322B28" w:rsidRPr="00485898" w:rsidRDefault="00322B28" w:rsidP="005D385E">
            <w:pPr>
              <w:jc w:val="center"/>
              <w:rPr>
                <w:b/>
                <w:bCs/>
                <w:sz w:val="21"/>
                <w:szCs w:val="21"/>
                <w:lang w:eastAsia="fr-FR"/>
              </w:rPr>
            </w:pPr>
          </w:p>
        </w:tc>
        <w:tc>
          <w:tcPr>
            <w:tcW w:w="718" w:type="dxa"/>
            <w:vMerge w:val="restart"/>
            <w:tcBorders>
              <w:left w:val="single" w:sz="4" w:space="0" w:color="auto"/>
              <w:right w:val="single" w:sz="4" w:space="0" w:color="auto"/>
            </w:tcBorders>
            <w:shd w:val="clear" w:color="auto" w:fill="D9D9D9" w:themeFill="background1" w:themeFillShade="D9"/>
            <w:vAlign w:val="center"/>
          </w:tcPr>
          <w:p w14:paraId="1ADE236C" w14:textId="77777777" w:rsidR="00322B28" w:rsidRPr="00485898" w:rsidRDefault="00322B28" w:rsidP="005D385E">
            <w:pPr>
              <w:jc w:val="center"/>
              <w:rPr>
                <w:b/>
                <w:bCs/>
                <w:sz w:val="21"/>
                <w:szCs w:val="21"/>
                <w:lang w:eastAsia="fr-FR"/>
              </w:rPr>
            </w:pPr>
            <w:r>
              <w:rPr>
                <w:b/>
                <w:bCs/>
                <w:sz w:val="21"/>
                <w:szCs w:val="21"/>
                <w:lang w:eastAsia="fr-FR"/>
              </w:rPr>
              <w:t>10</w:t>
            </w:r>
          </w:p>
        </w:tc>
        <w:tc>
          <w:tcPr>
            <w:tcW w:w="800" w:type="dxa"/>
            <w:vMerge w:val="restart"/>
            <w:tcBorders>
              <w:left w:val="single" w:sz="4" w:space="0" w:color="auto"/>
              <w:right w:val="single" w:sz="4" w:space="0" w:color="auto"/>
            </w:tcBorders>
            <w:shd w:val="clear" w:color="auto" w:fill="D9D9D9" w:themeFill="background1" w:themeFillShade="D9"/>
            <w:vAlign w:val="center"/>
          </w:tcPr>
          <w:p w14:paraId="57019896" w14:textId="77777777" w:rsidR="00322B28" w:rsidRPr="00485898" w:rsidRDefault="00322B28" w:rsidP="005D385E">
            <w:pPr>
              <w:jc w:val="center"/>
              <w:rPr>
                <w:b/>
                <w:bCs/>
                <w:sz w:val="21"/>
                <w:szCs w:val="21"/>
                <w:lang w:eastAsia="fr-FR"/>
              </w:rPr>
            </w:pPr>
            <w:r>
              <w:rPr>
                <w:b/>
                <w:bCs/>
                <w:sz w:val="21"/>
                <w:szCs w:val="21"/>
                <w:lang w:eastAsia="fr-FR"/>
              </w:rPr>
              <w:t>11</w:t>
            </w:r>
          </w:p>
        </w:tc>
      </w:tr>
      <w:tr w:rsidR="00322B28" w:rsidRPr="009370F5" w14:paraId="5A197EF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1B3B666A"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50D4B943" w14:textId="77777777" w:rsidR="00322B28" w:rsidRPr="009370F5" w:rsidRDefault="00322B28" w:rsidP="005D385E">
            <w:pPr>
              <w:jc w:val="center"/>
              <w:rPr>
                <w:b/>
                <w:bCs/>
                <w:sz w:val="21"/>
                <w:szCs w:val="21"/>
                <w:lang w:eastAsia="fr-FR"/>
              </w:rPr>
            </w:pPr>
            <w:r w:rsidRPr="0087546D">
              <w:rPr>
                <w:b/>
                <w:bCs/>
                <w:sz w:val="21"/>
                <w:szCs w:val="21"/>
                <w:lang w:eastAsia="fr-FR"/>
              </w:rPr>
              <w:t>100 ≤ P &lt; 300</w:t>
            </w:r>
          </w:p>
        </w:tc>
        <w:tc>
          <w:tcPr>
            <w:tcW w:w="757" w:type="dxa"/>
            <w:vMerge/>
            <w:shd w:val="clear" w:color="auto" w:fill="D9D9D9" w:themeFill="background1" w:themeFillShade="D9"/>
            <w:tcMar>
              <w:top w:w="150" w:type="dxa"/>
              <w:left w:w="150" w:type="dxa"/>
              <w:bottom w:w="150" w:type="dxa"/>
              <w:right w:w="150" w:type="dxa"/>
            </w:tcMar>
            <w:vAlign w:val="center"/>
          </w:tcPr>
          <w:p w14:paraId="0BD4277E" w14:textId="77777777" w:rsidR="00322B28" w:rsidRPr="00485898" w:rsidRDefault="00322B28" w:rsidP="005D385E">
            <w:pPr>
              <w:jc w:val="center"/>
              <w:rPr>
                <w:b/>
                <w:bCs/>
                <w:sz w:val="21"/>
                <w:szCs w:val="21"/>
                <w:lang w:eastAsia="fr-FR"/>
              </w:rPr>
            </w:pPr>
          </w:p>
        </w:tc>
        <w:tc>
          <w:tcPr>
            <w:tcW w:w="718" w:type="dxa"/>
            <w:vMerge/>
            <w:tcBorders>
              <w:left w:val="single" w:sz="4" w:space="0" w:color="auto"/>
              <w:right w:val="single" w:sz="4" w:space="0" w:color="auto"/>
            </w:tcBorders>
            <w:shd w:val="clear" w:color="auto" w:fill="D9D9D9" w:themeFill="background1" w:themeFillShade="D9"/>
            <w:vAlign w:val="center"/>
          </w:tcPr>
          <w:p w14:paraId="64FBD2AE" w14:textId="77777777" w:rsidR="00322B28" w:rsidRPr="00485898" w:rsidRDefault="00322B28" w:rsidP="005D385E">
            <w:pPr>
              <w:jc w:val="center"/>
              <w:rPr>
                <w:b/>
                <w:bCs/>
                <w:sz w:val="21"/>
                <w:szCs w:val="21"/>
                <w:lang w:eastAsia="fr-FR"/>
              </w:rPr>
            </w:pPr>
          </w:p>
        </w:tc>
        <w:tc>
          <w:tcPr>
            <w:tcW w:w="718" w:type="dxa"/>
            <w:vMerge/>
            <w:tcBorders>
              <w:left w:val="single" w:sz="4" w:space="0" w:color="auto"/>
              <w:right w:val="single" w:sz="4" w:space="0" w:color="auto"/>
            </w:tcBorders>
            <w:shd w:val="clear" w:color="auto" w:fill="D9D9D9" w:themeFill="background1" w:themeFillShade="D9"/>
            <w:vAlign w:val="center"/>
          </w:tcPr>
          <w:p w14:paraId="2BCE491C" w14:textId="77777777" w:rsidR="00322B28" w:rsidRPr="00485898" w:rsidRDefault="00322B28" w:rsidP="005D385E">
            <w:pPr>
              <w:jc w:val="center"/>
              <w:rPr>
                <w:b/>
                <w:bCs/>
                <w:sz w:val="21"/>
                <w:szCs w:val="21"/>
                <w:lang w:eastAsia="fr-FR"/>
              </w:rPr>
            </w:pPr>
          </w:p>
        </w:tc>
        <w:tc>
          <w:tcPr>
            <w:tcW w:w="756" w:type="dxa"/>
            <w:vMerge/>
            <w:shd w:val="clear" w:color="auto" w:fill="E2EFD9" w:themeFill="accent6" w:themeFillTint="33"/>
            <w:tcMar>
              <w:top w:w="150" w:type="dxa"/>
              <w:left w:w="150" w:type="dxa"/>
              <w:bottom w:w="150" w:type="dxa"/>
              <w:right w:w="150" w:type="dxa"/>
            </w:tcMar>
            <w:vAlign w:val="center"/>
          </w:tcPr>
          <w:p w14:paraId="23D7803B" w14:textId="77777777" w:rsidR="00322B28" w:rsidRPr="00485898"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1D5F0EBC" w14:textId="77777777" w:rsidR="00322B28" w:rsidRPr="00485898" w:rsidRDefault="00322B28" w:rsidP="005D385E">
            <w:pPr>
              <w:jc w:val="center"/>
              <w:rPr>
                <w:b/>
                <w:bCs/>
                <w:sz w:val="21"/>
                <w:szCs w:val="21"/>
                <w:lang w:eastAsia="fr-FR"/>
              </w:rPr>
            </w:pPr>
          </w:p>
        </w:tc>
        <w:tc>
          <w:tcPr>
            <w:tcW w:w="718" w:type="dxa"/>
            <w:vMerge/>
            <w:shd w:val="clear" w:color="auto" w:fill="92D050"/>
            <w:vAlign w:val="center"/>
          </w:tcPr>
          <w:p w14:paraId="62C4F7B8" w14:textId="77777777" w:rsidR="00322B28" w:rsidRPr="00485898"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39603B3D" w14:textId="77777777" w:rsidR="00322B28" w:rsidRPr="00485898" w:rsidRDefault="00322B28" w:rsidP="005D385E">
            <w:pPr>
              <w:jc w:val="center"/>
              <w:rPr>
                <w:b/>
                <w:bCs/>
                <w:sz w:val="21"/>
                <w:szCs w:val="21"/>
                <w:lang w:eastAsia="fr-FR"/>
              </w:rPr>
            </w:pPr>
          </w:p>
        </w:tc>
        <w:tc>
          <w:tcPr>
            <w:tcW w:w="718" w:type="dxa"/>
            <w:vMerge/>
            <w:tcBorders>
              <w:left w:val="single" w:sz="4" w:space="0" w:color="auto"/>
              <w:right w:val="single" w:sz="4" w:space="0" w:color="auto"/>
            </w:tcBorders>
            <w:shd w:val="clear" w:color="auto" w:fill="D9D9D9" w:themeFill="background1" w:themeFillShade="D9"/>
            <w:vAlign w:val="center"/>
          </w:tcPr>
          <w:p w14:paraId="3BCD747E" w14:textId="77777777" w:rsidR="00322B28" w:rsidRPr="00485898" w:rsidRDefault="00322B28" w:rsidP="005D385E">
            <w:pPr>
              <w:jc w:val="center"/>
              <w:rPr>
                <w:b/>
                <w:bCs/>
                <w:sz w:val="21"/>
                <w:szCs w:val="21"/>
                <w:lang w:eastAsia="fr-FR"/>
              </w:rPr>
            </w:pPr>
          </w:p>
        </w:tc>
        <w:tc>
          <w:tcPr>
            <w:tcW w:w="800" w:type="dxa"/>
            <w:vMerge/>
            <w:tcBorders>
              <w:left w:val="single" w:sz="4" w:space="0" w:color="auto"/>
              <w:right w:val="single" w:sz="4" w:space="0" w:color="auto"/>
            </w:tcBorders>
            <w:shd w:val="clear" w:color="auto" w:fill="D9D9D9" w:themeFill="background1" w:themeFillShade="D9"/>
            <w:vAlign w:val="center"/>
          </w:tcPr>
          <w:p w14:paraId="53FADDBD" w14:textId="77777777" w:rsidR="00322B28" w:rsidRPr="00485898" w:rsidRDefault="00322B28" w:rsidP="005D385E">
            <w:pPr>
              <w:jc w:val="center"/>
              <w:rPr>
                <w:b/>
                <w:bCs/>
                <w:sz w:val="21"/>
                <w:szCs w:val="21"/>
                <w:lang w:eastAsia="fr-FR"/>
              </w:rPr>
            </w:pPr>
          </w:p>
        </w:tc>
      </w:tr>
      <w:tr w:rsidR="00322B28" w:rsidRPr="009370F5" w14:paraId="23C5A9A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1F27B0E1"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50B96C99" w14:textId="77777777" w:rsidR="00322B28" w:rsidRPr="009370F5" w:rsidRDefault="00322B28" w:rsidP="005D385E">
            <w:pPr>
              <w:jc w:val="center"/>
              <w:rPr>
                <w:b/>
                <w:bCs/>
                <w:sz w:val="21"/>
                <w:szCs w:val="21"/>
                <w:lang w:eastAsia="fr-FR"/>
              </w:rPr>
            </w:pPr>
            <w:r w:rsidRPr="0087546D">
              <w:rPr>
                <w:b/>
                <w:bCs/>
                <w:sz w:val="21"/>
                <w:szCs w:val="21"/>
                <w:lang w:eastAsia="fr-FR"/>
              </w:rPr>
              <w:t>300 ≤ P</w:t>
            </w:r>
          </w:p>
        </w:tc>
        <w:tc>
          <w:tcPr>
            <w:tcW w:w="757" w:type="dxa"/>
            <w:vMerge/>
            <w:shd w:val="clear" w:color="auto" w:fill="D9D9D9" w:themeFill="background1" w:themeFillShade="D9"/>
            <w:tcMar>
              <w:top w:w="150" w:type="dxa"/>
              <w:left w:w="150" w:type="dxa"/>
              <w:bottom w:w="150" w:type="dxa"/>
              <w:right w:w="150" w:type="dxa"/>
            </w:tcMar>
            <w:vAlign w:val="center"/>
          </w:tcPr>
          <w:p w14:paraId="748800A5" w14:textId="77777777" w:rsidR="00322B28" w:rsidRPr="00485898" w:rsidRDefault="00322B28" w:rsidP="005D385E">
            <w:pPr>
              <w:jc w:val="center"/>
              <w:rPr>
                <w:b/>
                <w:bCs/>
                <w:sz w:val="21"/>
                <w:szCs w:val="21"/>
                <w:lang w:eastAsia="fr-FR"/>
              </w:rPr>
            </w:pPr>
          </w:p>
        </w:tc>
        <w:tc>
          <w:tcPr>
            <w:tcW w:w="7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08DBCB2" w14:textId="77777777" w:rsidR="00322B28" w:rsidRPr="00485898" w:rsidRDefault="00322B28" w:rsidP="005D385E">
            <w:pPr>
              <w:jc w:val="center"/>
              <w:rPr>
                <w:b/>
                <w:bCs/>
                <w:sz w:val="21"/>
                <w:szCs w:val="21"/>
                <w:lang w:eastAsia="fr-FR"/>
              </w:rPr>
            </w:pPr>
          </w:p>
        </w:tc>
        <w:tc>
          <w:tcPr>
            <w:tcW w:w="7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88CAACA" w14:textId="77777777" w:rsidR="00322B28" w:rsidRPr="00485898" w:rsidRDefault="00322B28" w:rsidP="005D385E">
            <w:pPr>
              <w:jc w:val="center"/>
              <w:rPr>
                <w:b/>
                <w:bCs/>
                <w:sz w:val="21"/>
                <w:szCs w:val="21"/>
                <w:lang w:eastAsia="fr-FR"/>
              </w:rPr>
            </w:pPr>
          </w:p>
        </w:tc>
        <w:tc>
          <w:tcPr>
            <w:tcW w:w="756" w:type="dxa"/>
            <w:vMerge/>
            <w:shd w:val="clear" w:color="auto" w:fill="E2EFD9" w:themeFill="accent6" w:themeFillTint="33"/>
            <w:tcMar>
              <w:top w:w="150" w:type="dxa"/>
              <w:left w:w="150" w:type="dxa"/>
              <w:bottom w:w="150" w:type="dxa"/>
              <w:right w:w="150" w:type="dxa"/>
            </w:tcMar>
            <w:vAlign w:val="center"/>
          </w:tcPr>
          <w:p w14:paraId="4780F514" w14:textId="77777777" w:rsidR="00322B28" w:rsidRPr="00485898"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3946D71C" w14:textId="77777777" w:rsidR="00322B28" w:rsidRPr="00485898" w:rsidRDefault="00322B28" w:rsidP="005D385E">
            <w:pPr>
              <w:jc w:val="center"/>
              <w:rPr>
                <w:b/>
                <w:bCs/>
                <w:sz w:val="21"/>
                <w:szCs w:val="21"/>
                <w:lang w:eastAsia="fr-FR"/>
              </w:rPr>
            </w:pPr>
          </w:p>
        </w:tc>
        <w:tc>
          <w:tcPr>
            <w:tcW w:w="718" w:type="dxa"/>
            <w:vMerge/>
            <w:shd w:val="clear" w:color="auto" w:fill="92D050"/>
            <w:vAlign w:val="center"/>
          </w:tcPr>
          <w:p w14:paraId="6DB714A7" w14:textId="77777777" w:rsidR="00322B28" w:rsidRPr="00485898"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23A02F73" w14:textId="77777777" w:rsidR="00322B28" w:rsidRPr="00485898" w:rsidRDefault="00322B28" w:rsidP="005D385E">
            <w:pPr>
              <w:jc w:val="center"/>
              <w:rPr>
                <w:b/>
                <w:bCs/>
                <w:sz w:val="21"/>
                <w:szCs w:val="21"/>
                <w:lang w:eastAsia="fr-FR"/>
              </w:rPr>
            </w:pPr>
          </w:p>
        </w:tc>
        <w:tc>
          <w:tcPr>
            <w:tcW w:w="7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3490E17" w14:textId="77777777" w:rsidR="00322B28" w:rsidRPr="00485898" w:rsidRDefault="00322B28" w:rsidP="005D385E">
            <w:pPr>
              <w:jc w:val="center"/>
              <w:rPr>
                <w:b/>
                <w:bCs/>
                <w:sz w:val="21"/>
                <w:szCs w:val="21"/>
                <w:lang w:eastAsia="fr-FR"/>
              </w:rPr>
            </w:pPr>
          </w:p>
        </w:tc>
        <w:tc>
          <w:tcPr>
            <w:tcW w:w="80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AE74DA" w14:textId="77777777" w:rsidR="00322B28" w:rsidRPr="00485898" w:rsidRDefault="00322B28" w:rsidP="005D385E">
            <w:pPr>
              <w:jc w:val="center"/>
              <w:rPr>
                <w:b/>
                <w:bCs/>
                <w:sz w:val="21"/>
                <w:szCs w:val="21"/>
                <w:lang w:eastAsia="fr-FR"/>
              </w:rPr>
            </w:pPr>
          </w:p>
        </w:tc>
      </w:tr>
      <w:tr w:rsidR="00322B28" w:rsidRPr="009370F5" w14:paraId="13EC4C4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restart"/>
            <w:vAlign w:val="center"/>
          </w:tcPr>
          <w:p w14:paraId="71098EE7" w14:textId="77777777" w:rsidR="00322B28" w:rsidRDefault="00322B28" w:rsidP="005D385E">
            <w:pPr>
              <w:jc w:val="center"/>
              <w:rPr>
                <w:b/>
                <w:bCs/>
                <w:sz w:val="21"/>
                <w:szCs w:val="21"/>
                <w:lang w:eastAsia="fr-FR"/>
              </w:rPr>
            </w:pPr>
            <w:r>
              <w:rPr>
                <w:b/>
                <w:bCs/>
                <w:sz w:val="21"/>
                <w:szCs w:val="21"/>
                <w:lang w:eastAsia="fr-FR"/>
              </w:rPr>
              <w:t>Gaz naturel</w:t>
            </w:r>
          </w:p>
          <w:p w14:paraId="16BC3912" w14:textId="77777777" w:rsidR="00322B28" w:rsidRPr="009370F5" w:rsidRDefault="00322B28" w:rsidP="005D385E">
            <w:pPr>
              <w:jc w:val="center"/>
              <w:rPr>
                <w:b/>
                <w:bCs/>
                <w:sz w:val="21"/>
                <w:szCs w:val="21"/>
                <w:lang w:eastAsia="fr-FR"/>
              </w:rPr>
            </w:pPr>
            <w:r>
              <w:rPr>
                <w:b/>
                <w:bCs/>
                <w:sz w:val="21"/>
                <w:szCs w:val="21"/>
                <w:lang w:eastAsia="fr-FR"/>
              </w:rPr>
              <w:t>(CCGT)</w:t>
            </w:r>
          </w:p>
        </w:tc>
        <w:tc>
          <w:tcPr>
            <w:tcW w:w="1704" w:type="dxa"/>
            <w:shd w:val="clear" w:color="auto" w:fill="F5F5F5"/>
            <w:tcMar>
              <w:top w:w="150" w:type="dxa"/>
              <w:left w:w="150" w:type="dxa"/>
              <w:bottom w:w="150" w:type="dxa"/>
              <w:right w:w="150" w:type="dxa"/>
            </w:tcMar>
            <w:vAlign w:val="center"/>
          </w:tcPr>
          <w:p w14:paraId="4DE61279" w14:textId="77777777" w:rsidR="00322B28" w:rsidRPr="009370F5" w:rsidRDefault="00322B28" w:rsidP="005D385E">
            <w:pPr>
              <w:jc w:val="center"/>
              <w:rPr>
                <w:b/>
                <w:bCs/>
                <w:sz w:val="21"/>
                <w:szCs w:val="21"/>
                <w:lang w:eastAsia="fr-FR"/>
              </w:rPr>
            </w:pPr>
            <w:r w:rsidRPr="0087546D">
              <w:rPr>
                <w:b/>
                <w:bCs/>
                <w:sz w:val="21"/>
                <w:szCs w:val="21"/>
                <w:lang w:eastAsia="fr-FR"/>
              </w:rPr>
              <w:t>50 ≤ P &lt; 100</w:t>
            </w:r>
          </w:p>
        </w:tc>
        <w:tc>
          <w:tcPr>
            <w:tcW w:w="757" w:type="dxa"/>
            <w:vMerge w:val="restart"/>
            <w:shd w:val="clear" w:color="auto" w:fill="D9D9D9" w:themeFill="background1" w:themeFillShade="D9"/>
            <w:tcMar>
              <w:top w:w="150" w:type="dxa"/>
              <w:left w:w="150" w:type="dxa"/>
              <w:bottom w:w="150" w:type="dxa"/>
              <w:right w:w="150" w:type="dxa"/>
            </w:tcMar>
            <w:vAlign w:val="center"/>
          </w:tcPr>
          <w:p w14:paraId="0E5F88DF" w14:textId="77777777" w:rsidR="00322B28" w:rsidRPr="00485898" w:rsidRDefault="00322B28" w:rsidP="005D385E">
            <w:pPr>
              <w:jc w:val="center"/>
              <w:rPr>
                <w:b/>
                <w:bCs/>
                <w:sz w:val="21"/>
                <w:szCs w:val="21"/>
                <w:lang w:eastAsia="fr-FR"/>
              </w:rPr>
            </w:pPr>
          </w:p>
        </w:tc>
        <w:tc>
          <w:tcPr>
            <w:tcW w:w="718" w:type="dxa"/>
            <w:vMerge w:val="restart"/>
            <w:shd w:val="clear" w:color="auto" w:fill="D9D9D9" w:themeFill="background1" w:themeFillShade="D9"/>
            <w:vAlign w:val="center"/>
          </w:tcPr>
          <w:p w14:paraId="02128F7C" w14:textId="77777777" w:rsidR="00322B28" w:rsidRPr="00485898" w:rsidRDefault="00322B28" w:rsidP="005D385E">
            <w:pPr>
              <w:jc w:val="center"/>
              <w:rPr>
                <w:b/>
                <w:bCs/>
                <w:sz w:val="21"/>
                <w:szCs w:val="21"/>
                <w:lang w:eastAsia="fr-FR"/>
              </w:rPr>
            </w:pPr>
            <w:r>
              <w:rPr>
                <w:b/>
                <w:bCs/>
                <w:sz w:val="21"/>
                <w:szCs w:val="21"/>
                <w:lang w:eastAsia="fr-FR"/>
              </w:rPr>
              <w:t>10</w:t>
            </w:r>
          </w:p>
        </w:tc>
        <w:tc>
          <w:tcPr>
            <w:tcW w:w="718" w:type="dxa"/>
            <w:vMerge w:val="restart"/>
            <w:shd w:val="clear" w:color="auto" w:fill="D9D9D9" w:themeFill="background1" w:themeFillShade="D9"/>
            <w:vAlign w:val="center"/>
          </w:tcPr>
          <w:p w14:paraId="1D172B91" w14:textId="77777777" w:rsidR="00322B28" w:rsidRPr="00485898" w:rsidRDefault="00322B28" w:rsidP="005D385E">
            <w:pPr>
              <w:jc w:val="center"/>
              <w:rPr>
                <w:b/>
                <w:bCs/>
                <w:sz w:val="21"/>
                <w:szCs w:val="21"/>
                <w:lang w:eastAsia="fr-FR"/>
              </w:rPr>
            </w:pPr>
            <w:r>
              <w:rPr>
                <w:b/>
                <w:bCs/>
                <w:sz w:val="21"/>
                <w:szCs w:val="21"/>
                <w:lang w:eastAsia="fr-FR"/>
              </w:rPr>
              <w:t>11</w:t>
            </w:r>
          </w:p>
        </w:tc>
        <w:tc>
          <w:tcPr>
            <w:tcW w:w="756" w:type="dxa"/>
            <w:vMerge w:val="restart"/>
            <w:shd w:val="clear" w:color="auto" w:fill="E2EFD9" w:themeFill="accent6" w:themeFillTint="33"/>
            <w:tcMar>
              <w:top w:w="150" w:type="dxa"/>
              <w:left w:w="150" w:type="dxa"/>
              <w:bottom w:w="150" w:type="dxa"/>
              <w:right w:w="150" w:type="dxa"/>
            </w:tcMar>
            <w:vAlign w:val="center"/>
          </w:tcPr>
          <w:p w14:paraId="1CEF10E7" w14:textId="77777777" w:rsidR="00322B28" w:rsidRPr="00CF2114" w:rsidRDefault="00322B28" w:rsidP="005D385E">
            <w:pPr>
              <w:jc w:val="center"/>
              <w:rPr>
                <w:b/>
                <w:bCs/>
                <w:sz w:val="21"/>
                <w:szCs w:val="21"/>
                <w:lang w:eastAsia="fr-FR"/>
              </w:rPr>
            </w:pPr>
            <w:r w:rsidRPr="00CF2114">
              <w:rPr>
                <w:b/>
                <w:bCs/>
                <w:sz w:val="21"/>
                <w:szCs w:val="21"/>
                <w:lang w:eastAsia="fr-FR"/>
              </w:rPr>
              <w:t>45</w:t>
            </w:r>
          </w:p>
          <w:p w14:paraId="1A683361" w14:textId="283E06C9" w:rsidR="00322B28" w:rsidRPr="00CF2114" w:rsidRDefault="00322B28" w:rsidP="005D385E">
            <w:pPr>
              <w:jc w:val="center"/>
              <w:rPr>
                <w:b/>
                <w:bCs/>
                <w:sz w:val="21"/>
                <w:szCs w:val="21"/>
                <w:lang w:eastAsia="fr-FR"/>
              </w:rPr>
            </w:pPr>
            <w:r w:rsidRPr="00CF2114">
              <w:rPr>
                <w:b/>
                <w:bCs/>
                <w:sz w:val="21"/>
                <w:szCs w:val="21"/>
                <w:lang w:eastAsia="fr-FR"/>
              </w:rPr>
              <w:t>(</w:t>
            </w:r>
            <w:r w:rsidR="0054785E">
              <w:rPr>
                <w:b/>
                <w:bCs/>
                <w:sz w:val="21"/>
                <w:szCs w:val="21"/>
                <w:lang w:eastAsia="fr-FR"/>
              </w:rPr>
              <w:t>2</w:t>
            </w:r>
            <w:r w:rsidRPr="00CF2114">
              <w:rPr>
                <w:b/>
                <w:bCs/>
                <w:sz w:val="21"/>
                <w:szCs w:val="21"/>
                <w:lang w:eastAsia="fr-FR"/>
              </w:rPr>
              <w:t>)</w:t>
            </w:r>
          </w:p>
        </w:tc>
        <w:tc>
          <w:tcPr>
            <w:tcW w:w="718" w:type="dxa"/>
            <w:vMerge w:val="restart"/>
            <w:shd w:val="clear" w:color="auto" w:fill="B4C6E7" w:themeFill="accent5" w:themeFillTint="66"/>
            <w:vAlign w:val="center"/>
          </w:tcPr>
          <w:p w14:paraId="2A87D254" w14:textId="77777777" w:rsidR="00322B28" w:rsidRPr="00CF2114" w:rsidRDefault="00322B28" w:rsidP="005D385E">
            <w:pPr>
              <w:jc w:val="center"/>
              <w:rPr>
                <w:b/>
                <w:bCs/>
                <w:sz w:val="21"/>
                <w:szCs w:val="21"/>
                <w:lang w:eastAsia="fr-FR"/>
              </w:rPr>
            </w:pPr>
            <w:r w:rsidRPr="00CF2114">
              <w:rPr>
                <w:b/>
                <w:bCs/>
                <w:sz w:val="21"/>
                <w:szCs w:val="21"/>
                <w:lang w:eastAsia="fr-FR"/>
              </w:rPr>
              <w:t>50</w:t>
            </w:r>
          </w:p>
          <w:p w14:paraId="379C9BEF" w14:textId="6E97225C" w:rsidR="00322B28" w:rsidRPr="00CF2114" w:rsidRDefault="00322B28" w:rsidP="005D385E">
            <w:pPr>
              <w:jc w:val="center"/>
              <w:rPr>
                <w:b/>
                <w:bCs/>
                <w:sz w:val="21"/>
                <w:szCs w:val="21"/>
                <w:lang w:eastAsia="fr-FR"/>
              </w:rPr>
            </w:pPr>
            <w:r w:rsidRPr="00CF2114">
              <w:rPr>
                <w:b/>
                <w:bCs/>
                <w:sz w:val="21"/>
                <w:szCs w:val="21"/>
                <w:lang w:eastAsia="fr-FR"/>
              </w:rPr>
              <w:t>(</w:t>
            </w:r>
            <w:r w:rsidR="0054785E">
              <w:rPr>
                <w:b/>
                <w:bCs/>
                <w:sz w:val="21"/>
                <w:szCs w:val="21"/>
                <w:lang w:eastAsia="fr-FR"/>
              </w:rPr>
              <w:t>2</w:t>
            </w:r>
            <w:r w:rsidRPr="00CF2114">
              <w:rPr>
                <w:b/>
                <w:bCs/>
                <w:sz w:val="21"/>
                <w:szCs w:val="21"/>
                <w:lang w:eastAsia="fr-FR"/>
              </w:rPr>
              <w:t>)</w:t>
            </w:r>
          </w:p>
        </w:tc>
        <w:tc>
          <w:tcPr>
            <w:tcW w:w="718" w:type="dxa"/>
            <w:vMerge w:val="restart"/>
            <w:shd w:val="clear" w:color="auto" w:fill="92D050"/>
            <w:vAlign w:val="center"/>
          </w:tcPr>
          <w:p w14:paraId="0E16FB3D" w14:textId="77777777" w:rsidR="00322B28" w:rsidRPr="00CF2114" w:rsidRDefault="00322B28" w:rsidP="005D385E">
            <w:pPr>
              <w:jc w:val="center"/>
              <w:rPr>
                <w:b/>
                <w:bCs/>
                <w:sz w:val="21"/>
                <w:szCs w:val="21"/>
                <w:lang w:eastAsia="fr-FR"/>
              </w:rPr>
            </w:pPr>
            <w:r w:rsidRPr="00CF2114">
              <w:rPr>
                <w:b/>
                <w:bCs/>
                <w:sz w:val="21"/>
                <w:szCs w:val="21"/>
                <w:lang w:eastAsia="fr-FR"/>
              </w:rPr>
              <w:t>55</w:t>
            </w:r>
          </w:p>
          <w:p w14:paraId="22B11DB7" w14:textId="370E1F5B" w:rsidR="00322B28" w:rsidRPr="00CF2114" w:rsidRDefault="00322B28" w:rsidP="005D385E">
            <w:pPr>
              <w:jc w:val="center"/>
              <w:rPr>
                <w:b/>
                <w:bCs/>
                <w:sz w:val="21"/>
                <w:szCs w:val="21"/>
                <w:lang w:eastAsia="fr-FR"/>
              </w:rPr>
            </w:pPr>
            <w:r w:rsidRPr="00CF2114">
              <w:rPr>
                <w:b/>
                <w:bCs/>
                <w:sz w:val="21"/>
                <w:szCs w:val="21"/>
                <w:lang w:eastAsia="fr-FR"/>
              </w:rPr>
              <w:t>(</w:t>
            </w:r>
            <w:r w:rsidR="0054785E">
              <w:rPr>
                <w:b/>
                <w:bCs/>
                <w:sz w:val="21"/>
                <w:szCs w:val="21"/>
                <w:lang w:eastAsia="fr-FR"/>
              </w:rPr>
              <w:t>2</w:t>
            </w:r>
            <w:r w:rsidRPr="00CF2114">
              <w:rPr>
                <w:b/>
                <w:bCs/>
                <w:sz w:val="21"/>
                <w:szCs w:val="21"/>
                <w:lang w:eastAsia="fr-FR"/>
              </w:rPr>
              <w:t>)</w:t>
            </w:r>
          </w:p>
        </w:tc>
        <w:tc>
          <w:tcPr>
            <w:tcW w:w="756" w:type="dxa"/>
            <w:vMerge w:val="restart"/>
            <w:shd w:val="clear" w:color="auto" w:fill="D9D9D9" w:themeFill="background1" w:themeFillShade="D9"/>
            <w:tcMar>
              <w:top w:w="150" w:type="dxa"/>
              <w:left w:w="150" w:type="dxa"/>
              <w:bottom w:w="150" w:type="dxa"/>
              <w:right w:w="150" w:type="dxa"/>
            </w:tcMar>
            <w:vAlign w:val="center"/>
          </w:tcPr>
          <w:p w14:paraId="7FCDC50D" w14:textId="77777777" w:rsidR="00322B28" w:rsidRPr="00485898" w:rsidRDefault="00322B28" w:rsidP="005D385E">
            <w:pPr>
              <w:jc w:val="center"/>
              <w:rPr>
                <w:b/>
                <w:bCs/>
                <w:sz w:val="21"/>
                <w:szCs w:val="21"/>
                <w:lang w:eastAsia="fr-FR"/>
              </w:rPr>
            </w:pPr>
          </w:p>
        </w:tc>
        <w:tc>
          <w:tcPr>
            <w:tcW w:w="718" w:type="dxa"/>
            <w:vMerge w:val="restart"/>
            <w:shd w:val="clear" w:color="auto" w:fill="D9D9D9" w:themeFill="background1" w:themeFillShade="D9"/>
            <w:vAlign w:val="center"/>
          </w:tcPr>
          <w:p w14:paraId="140D802E" w14:textId="77777777" w:rsidR="00322B28" w:rsidRPr="00485898" w:rsidRDefault="00322B28" w:rsidP="005D385E">
            <w:pPr>
              <w:jc w:val="center"/>
              <w:rPr>
                <w:b/>
                <w:bCs/>
                <w:sz w:val="21"/>
                <w:szCs w:val="21"/>
                <w:lang w:eastAsia="fr-FR"/>
              </w:rPr>
            </w:pPr>
            <w:r>
              <w:rPr>
                <w:b/>
                <w:bCs/>
                <w:sz w:val="21"/>
                <w:szCs w:val="21"/>
                <w:lang w:eastAsia="fr-FR"/>
              </w:rPr>
              <w:t>10</w:t>
            </w:r>
          </w:p>
        </w:tc>
        <w:tc>
          <w:tcPr>
            <w:tcW w:w="800" w:type="dxa"/>
            <w:vMerge w:val="restart"/>
            <w:shd w:val="clear" w:color="auto" w:fill="D9D9D9" w:themeFill="background1" w:themeFillShade="D9"/>
            <w:vAlign w:val="center"/>
          </w:tcPr>
          <w:p w14:paraId="64FB334F" w14:textId="77777777" w:rsidR="00322B28" w:rsidRPr="00485898" w:rsidRDefault="00322B28" w:rsidP="005D385E">
            <w:pPr>
              <w:jc w:val="center"/>
              <w:rPr>
                <w:b/>
                <w:bCs/>
                <w:sz w:val="21"/>
                <w:szCs w:val="21"/>
                <w:lang w:eastAsia="fr-FR"/>
              </w:rPr>
            </w:pPr>
            <w:r>
              <w:rPr>
                <w:b/>
                <w:bCs/>
                <w:sz w:val="21"/>
                <w:szCs w:val="21"/>
                <w:lang w:eastAsia="fr-FR"/>
              </w:rPr>
              <w:t>11</w:t>
            </w:r>
          </w:p>
        </w:tc>
      </w:tr>
      <w:tr w:rsidR="00322B28" w:rsidRPr="009370F5" w14:paraId="13A614F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6B37B6FB"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53739DF0" w14:textId="77777777" w:rsidR="00322B28" w:rsidRPr="009370F5" w:rsidRDefault="00322B28" w:rsidP="005D385E">
            <w:pPr>
              <w:jc w:val="center"/>
              <w:rPr>
                <w:b/>
                <w:bCs/>
                <w:sz w:val="21"/>
                <w:szCs w:val="21"/>
                <w:lang w:eastAsia="fr-FR"/>
              </w:rPr>
            </w:pPr>
            <w:r w:rsidRPr="0087546D">
              <w:rPr>
                <w:b/>
                <w:bCs/>
                <w:sz w:val="21"/>
                <w:szCs w:val="21"/>
                <w:lang w:eastAsia="fr-FR"/>
              </w:rPr>
              <w:t>100 ≤ P &lt; 300</w:t>
            </w:r>
          </w:p>
        </w:tc>
        <w:tc>
          <w:tcPr>
            <w:tcW w:w="757" w:type="dxa"/>
            <w:vMerge/>
            <w:shd w:val="clear" w:color="auto" w:fill="D9D9D9" w:themeFill="background1" w:themeFillShade="D9"/>
            <w:tcMar>
              <w:top w:w="150" w:type="dxa"/>
              <w:left w:w="150" w:type="dxa"/>
              <w:bottom w:w="150" w:type="dxa"/>
              <w:right w:w="150" w:type="dxa"/>
            </w:tcMar>
            <w:vAlign w:val="center"/>
          </w:tcPr>
          <w:p w14:paraId="157EE99D"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40D4F551"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44D3F0A1" w14:textId="77777777" w:rsidR="00322B28" w:rsidRPr="00485898" w:rsidRDefault="00322B28" w:rsidP="005D385E">
            <w:pPr>
              <w:jc w:val="center"/>
              <w:rPr>
                <w:b/>
                <w:bCs/>
                <w:sz w:val="21"/>
                <w:szCs w:val="21"/>
                <w:lang w:eastAsia="fr-FR"/>
              </w:rPr>
            </w:pPr>
          </w:p>
        </w:tc>
        <w:tc>
          <w:tcPr>
            <w:tcW w:w="756" w:type="dxa"/>
            <w:vMerge/>
            <w:shd w:val="clear" w:color="auto" w:fill="E2EFD9" w:themeFill="accent6" w:themeFillTint="33"/>
            <w:tcMar>
              <w:top w:w="150" w:type="dxa"/>
              <w:left w:w="150" w:type="dxa"/>
              <w:bottom w:w="150" w:type="dxa"/>
              <w:right w:w="150" w:type="dxa"/>
            </w:tcMar>
            <w:vAlign w:val="center"/>
          </w:tcPr>
          <w:p w14:paraId="11C31FEA" w14:textId="77777777" w:rsidR="00322B28" w:rsidRPr="00CF2114"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05AC1C2B" w14:textId="77777777" w:rsidR="00322B28" w:rsidRPr="00CF2114" w:rsidRDefault="00322B28" w:rsidP="005D385E">
            <w:pPr>
              <w:jc w:val="center"/>
              <w:rPr>
                <w:b/>
                <w:bCs/>
                <w:sz w:val="21"/>
                <w:szCs w:val="21"/>
                <w:lang w:eastAsia="fr-FR"/>
              </w:rPr>
            </w:pPr>
          </w:p>
        </w:tc>
        <w:tc>
          <w:tcPr>
            <w:tcW w:w="718" w:type="dxa"/>
            <w:vMerge/>
            <w:shd w:val="clear" w:color="auto" w:fill="92D050"/>
            <w:vAlign w:val="center"/>
          </w:tcPr>
          <w:p w14:paraId="36C14E07" w14:textId="77777777" w:rsidR="00322B28" w:rsidRPr="00CF2114"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30DB230F"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61DCB8FC" w14:textId="77777777" w:rsidR="00322B28" w:rsidRPr="00485898" w:rsidRDefault="00322B28" w:rsidP="005D385E">
            <w:pPr>
              <w:jc w:val="center"/>
              <w:rPr>
                <w:b/>
                <w:bCs/>
                <w:sz w:val="21"/>
                <w:szCs w:val="21"/>
                <w:lang w:eastAsia="fr-FR"/>
              </w:rPr>
            </w:pPr>
          </w:p>
        </w:tc>
        <w:tc>
          <w:tcPr>
            <w:tcW w:w="800" w:type="dxa"/>
            <w:vMerge/>
            <w:shd w:val="clear" w:color="auto" w:fill="D9D9D9" w:themeFill="background1" w:themeFillShade="D9"/>
            <w:vAlign w:val="center"/>
          </w:tcPr>
          <w:p w14:paraId="6BB180C6" w14:textId="77777777" w:rsidR="00322B28" w:rsidRPr="00485898" w:rsidRDefault="00322B28" w:rsidP="005D385E">
            <w:pPr>
              <w:jc w:val="center"/>
              <w:rPr>
                <w:b/>
                <w:bCs/>
                <w:sz w:val="21"/>
                <w:szCs w:val="21"/>
                <w:lang w:eastAsia="fr-FR"/>
              </w:rPr>
            </w:pPr>
          </w:p>
        </w:tc>
      </w:tr>
      <w:tr w:rsidR="00322B28" w:rsidRPr="009370F5" w14:paraId="4BCD307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657FAE22"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6E483D18" w14:textId="77777777" w:rsidR="00322B28" w:rsidRPr="009370F5" w:rsidRDefault="00322B28" w:rsidP="005D385E">
            <w:pPr>
              <w:jc w:val="center"/>
              <w:rPr>
                <w:b/>
                <w:bCs/>
                <w:sz w:val="21"/>
                <w:szCs w:val="21"/>
                <w:lang w:eastAsia="fr-FR"/>
              </w:rPr>
            </w:pPr>
            <w:r w:rsidRPr="0087546D">
              <w:rPr>
                <w:b/>
                <w:bCs/>
                <w:sz w:val="21"/>
                <w:szCs w:val="21"/>
                <w:lang w:eastAsia="fr-FR"/>
              </w:rPr>
              <w:t>300 ≤ P</w:t>
            </w:r>
            <w:r>
              <w:rPr>
                <w:b/>
                <w:bCs/>
                <w:sz w:val="21"/>
                <w:szCs w:val="21"/>
                <w:lang w:eastAsia="fr-FR"/>
              </w:rPr>
              <w:t xml:space="preserve"> &lt; 600</w:t>
            </w:r>
          </w:p>
        </w:tc>
        <w:tc>
          <w:tcPr>
            <w:tcW w:w="757" w:type="dxa"/>
            <w:vMerge/>
            <w:shd w:val="clear" w:color="auto" w:fill="D9D9D9" w:themeFill="background1" w:themeFillShade="D9"/>
            <w:tcMar>
              <w:top w:w="150" w:type="dxa"/>
              <w:left w:w="150" w:type="dxa"/>
              <w:bottom w:w="150" w:type="dxa"/>
              <w:right w:w="150" w:type="dxa"/>
            </w:tcMar>
            <w:vAlign w:val="center"/>
          </w:tcPr>
          <w:p w14:paraId="645CAD64"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5274AFEA"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618D94FF" w14:textId="77777777" w:rsidR="00322B28" w:rsidRPr="00485898" w:rsidRDefault="00322B28" w:rsidP="005D385E">
            <w:pPr>
              <w:jc w:val="center"/>
              <w:rPr>
                <w:b/>
                <w:bCs/>
                <w:sz w:val="21"/>
                <w:szCs w:val="21"/>
                <w:lang w:eastAsia="fr-FR"/>
              </w:rPr>
            </w:pPr>
          </w:p>
        </w:tc>
        <w:tc>
          <w:tcPr>
            <w:tcW w:w="756" w:type="dxa"/>
            <w:vMerge/>
            <w:shd w:val="clear" w:color="auto" w:fill="E2EFD9" w:themeFill="accent6" w:themeFillTint="33"/>
            <w:tcMar>
              <w:top w:w="150" w:type="dxa"/>
              <w:left w:w="150" w:type="dxa"/>
              <w:bottom w:w="150" w:type="dxa"/>
              <w:right w:w="150" w:type="dxa"/>
            </w:tcMar>
            <w:vAlign w:val="center"/>
          </w:tcPr>
          <w:p w14:paraId="0F99F78C" w14:textId="77777777" w:rsidR="00322B28" w:rsidRPr="00CF2114"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20BA6178" w14:textId="77777777" w:rsidR="00322B28" w:rsidRPr="00CF2114" w:rsidRDefault="00322B28" w:rsidP="005D385E">
            <w:pPr>
              <w:jc w:val="center"/>
              <w:rPr>
                <w:b/>
                <w:bCs/>
                <w:sz w:val="21"/>
                <w:szCs w:val="21"/>
                <w:lang w:eastAsia="fr-FR"/>
              </w:rPr>
            </w:pPr>
          </w:p>
        </w:tc>
        <w:tc>
          <w:tcPr>
            <w:tcW w:w="718" w:type="dxa"/>
            <w:vMerge/>
            <w:shd w:val="clear" w:color="auto" w:fill="92D050"/>
            <w:vAlign w:val="center"/>
          </w:tcPr>
          <w:p w14:paraId="293A077F" w14:textId="77777777" w:rsidR="00322B28" w:rsidRPr="00CF2114" w:rsidRDefault="00322B28" w:rsidP="005D385E">
            <w:pPr>
              <w:jc w:val="center"/>
              <w:rPr>
                <w:b/>
                <w:bCs/>
                <w:sz w:val="21"/>
                <w:szCs w:val="21"/>
                <w:lang w:eastAsia="fr-FR"/>
              </w:rPr>
            </w:pPr>
          </w:p>
        </w:tc>
        <w:tc>
          <w:tcPr>
            <w:tcW w:w="756" w:type="dxa"/>
            <w:vMerge/>
            <w:shd w:val="clear" w:color="auto" w:fill="D9D9D9" w:themeFill="background1" w:themeFillShade="D9"/>
            <w:tcMar>
              <w:top w:w="150" w:type="dxa"/>
              <w:left w:w="150" w:type="dxa"/>
              <w:bottom w:w="150" w:type="dxa"/>
              <w:right w:w="150" w:type="dxa"/>
            </w:tcMar>
            <w:vAlign w:val="center"/>
          </w:tcPr>
          <w:p w14:paraId="323E50E1" w14:textId="77777777" w:rsidR="00322B28" w:rsidRPr="00485898" w:rsidRDefault="00322B28" w:rsidP="005D385E">
            <w:pPr>
              <w:jc w:val="center"/>
              <w:rPr>
                <w:b/>
                <w:bCs/>
                <w:sz w:val="21"/>
                <w:szCs w:val="21"/>
                <w:lang w:eastAsia="fr-FR"/>
              </w:rPr>
            </w:pPr>
          </w:p>
        </w:tc>
        <w:tc>
          <w:tcPr>
            <w:tcW w:w="718" w:type="dxa"/>
            <w:vMerge/>
            <w:shd w:val="clear" w:color="auto" w:fill="D9D9D9" w:themeFill="background1" w:themeFillShade="D9"/>
            <w:vAlign w:val="center"/>
          </w:tcPr>
          <w:p w14:paraId="1BB194FE" w14:textId="77777777" w:rsidR="00322B28" w:rsidRPr="00485898" w:rsidRDefault="00322B28" w:rsidP="005D385E">
            <w:pPr>
              <w:jc w:val="center"/>
              <w:rPr>
                <w:b/>
                <w:bCs/>
                <w:sz w:val="21"/>
                <w:szCs w:val="21"/>
                <w:lang w:eastAsia="fr-FR"/>
              </w:rPr>
            </w:pPr>
          </w:p>
        </w:tc>
        <w:tc>
          <w:tcPr>
            <w:tcW w:w="800" w:type="dxa"/>
            <w:vMerge/>
            <w:shd w:val="clear" w:color="auto" w:fill="D9D9D9" w:themeFill="background1" w:themeFillShade="D9"/>
            <w:vAlign w:val="center"/>
          </w:tcPr>
          <w:p w14:paraId="06AD922B" w14:textId="77777777" w:rsidR="00322B28" w:rsidRPr="00485898" w:rsidRDefault="00322B28" w:rsidP="005D385E">
            <w:pPr>
              <w:jc w:val="center"/>
              <w:rPr>
                <w:b/>
                <w:bCs/>
                <w:sz w:val="21"/>
                <w:szCs w:val="21"/>
                <w:lang w:eastAsia="fr-FR"/>
              </w:rPr>
            </w:pPr>
          </w:p>
        </w:tc>
      </w:tr>
      <w:tr w:rsidR="00322B28" w:rsidRPr="009370F5" w14:paraId="7E381E0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jc w:val="center"/>
        </w:trPr>
        <w:tc>
          <w:tcPr>
            <w:tcW w:w="1980" w:type="dxa"/>
            <w:gridSpan w:val="2"/>
            <w:vMerge/>
            <w:vAlign w:val="center"/>
          </w:tcPr>
          <w:p w14:paraId="19C8616E"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374E6E89" w14:textId="77777777" w:rsidR="00322B28" w:rsidRPr="009370F5" w:rsidRDefault="00322B28" w:rsidP="005D385E">
            <w:pPr>
              <w:jc w:val="center"/>
              <w:rPr>
                <w:b/>
                <w:bCs/>
                <w:sz w:val="21"/>
                <w:szCs w:val="21"/>
                <w:lang w:eastAsia="fr-FR"/>
              </w:rPr>
            </w:pPr>
            <w:r>
              <w:rPr>
                <w:b/>
                <w:bCs/>
                <w:sz w:val="21"/>
                <w:szCs w:val="21"/>
                <w:lang w:eastAsia="fr-FR"/>
              </w:rPr>
              <w:t>6</w:t>
            </w:r>
            <w:r w:rsidRPr="0087546D">
              <w:rPr>
                <w:b/>
                <w:bCs/>
                <w:sz w:val="21"/>
                <w:szCs w:val="21"/>
                <w:lang w:eastAsia="fr-FR"/>
              </w:rPr>
              <w:t xml:space="preserve">00 ≤ </w:t>
            </w:r>
            <w:r>
              <w:rPr>
                <w:b/>
                <w:bCs/>
                <w:sz w:val="21"/>
                <w:szCs w:val="21"/>
                <w:lang w:eastAsia="fr-FR"/>
              </w:rPr>
              <w:t>P</w:t>
            </w:r>
          </w:p>
        </w:tc>
        <w:tc>
          <w:tcPr>
            <w:tcW w:w="757" w:type="dxa"/>
            <w:shd w:val="clear" w:color="auto" w:fill="D9D9D9" w:themeFill="background1" w:themeFillShade="D9"/>
            <w:tcMar>
              <w:top w:w="150" w:type="dxa"/>
              <w:left w:w="150" w:type="dxa"/>
              <w:bottom w:w="150" w:type="dxa"/>
              <w:right w:w="150" w:type="dxa"/>
            </w:tcMar>
            <w:vAlign w:val="center"/>
          </w:tcPr>
          <w:p w14:paraId="56F352BD" w14:textId="77777777" w:rsidR="00322B28" w:rsidRPr="00485898" w:rsidRDefault="00322B28" w:rsidP="005D385E">
            <w:pPr>
              <w:jc w:val="center"/>
              <w:rPr>
                <w:b/>
                <w:bCs/>
                <w:sz w:val="21"/>
                <w:szCs w:val="21"/>
                <w:lang w:eastAsia="fr-FR"/>
              </w:rPr>
            </w:pPr>
          </w:p>
        </w:tc>
        <w:tc>
          <w:tcPr>
            <w:tcW w:w="718" w:type="dxa"/>
            <w:shd w:val="clear" w:color="auto" w:fill="D9D9D9" w:themeFill="background1" w:themeFillShade="D9"/>
            <w:vAlign w:val="center"/>
          </w:tcPr>
          <w:p w14:paraId="4FB9F5C0" w14:textId="77777777" w:rsidR="00322B28" w:rsidRPr="00485898" w:rsidRDefault="00322B28" w:rsidP="005D385E">
            <w:pPr>
              <w:jc w:val="center"/>
              <w:rPr>
                <w:b/>
                <w:bCs/>
                <w:sz w:val="21"/>
                <w:szCs w:val="21"/>
                <w:lang w:eastAsia="fr-FR"/>
              </w:rPr>
            </w:pPr>
            <w:r>
              <w:rPr>
                <w:b/>
                <w:bCs/>
                <w:sz w:val="21"/>
                <w:szCs w:val="21"/>
                <w:lang w:eastAsia="fr-FR"/>
              </w:rPr>
              <w:t>10</w:t>
            </w:r>
          </w:p>
        </w:tc>
        <w:tc>
          <w:tcPr>
            <w:tcW w:w="718" w:type="dxa"/>
            <w:shd w:val="clear" w:color="auto" w:fill="D9D9D9" w:themeFill="background1" w:themeFillShade="D9"/>
            <w:vAlign w:val="center"/>
          </w:tcPr>
          <w:p w14:paraId="2C159F77" w14:textId="77777777" w:rsidR="00322B28" w:rsidRPr="00485898" w:rsidRDefault="00322B28" w:rsidP="005D385E">
            <w:pPr>
              <w:jc w:val="center"/>
              <w:rPr>
                <w:b/>
                <w:bCs/>
                <w:sz w:val="21"/>
                <w:szCs w:val="21"/>
                <w:lang w:eastAsia="fr-FR"/>
              </w:rPr>
            </w:pPr>
            <w:r>
              <w:rPr>
                <w:b/>
                <w:bCs/>
                <w:sz w:val="21"/>
                <w:szCs w:val="21"/>
                <w:lang w:eastAsia="fr-FR"/>
              </w:rPr>
              <w:t>11</w:t>
            </w:r>
          </w:p>
        </w:tc>
        <w:tc>
          <w:tcPr>
            <w:tcW w:w="756" w:type="dxa"/>
            <w:shd w:val="clear" w:color="auto" w:fill="E2EFD9" w:themeFill="accent6" w:themeFillTint="33"/>
            <w:tcMar>
              <w:top w:w="150" w:type="dxa"/>
              <w:left w:w="150" w:type="dxa"/>
              <w:bottom w:w="150" w:type="dxa"/>
              <w:right w:w="150" w:type="dxa"/>
            </w:tcMar>
            <w:vAlign w:val="center"/>
          </w:tcPr>
          <w:p w14:paraId="54937477" w14:textId="77777777" w:rsidR="00322B28" w:rsidRPr="00CF2114" w:rsidRDefault="00322B28" w:rsidP="005D385E">
            <w:pPr>
              <w:jc w:val="center"/>
              <w:rPr>
                <w:b/>
                <w:bCs/>
                <w:sz w:val="21"/>
                <w:szCs w:val="21"/>
                <w:lang w:eastAsia="fr-FR"/>
              </w:rPr>
            </w:pPr>
            <w:r w:rsidRPr="00CF2114">
              <w:rPr>
                <w:b/>
                <w:bCs/>
                <w:sz w:val="21"/>
                <w:szCs w:val="21"/>
                <w:lang w:eastAsia="fr-FR"/>
              </w:rPr>
              <w:t>40</w:t>
            </w:r>
          </w:p>
          <w:p w14:paraId="37E7EA13" w14:textId="33D5AA52" w:rsidR="00322B28" w:rsidRPr="00CF2114" w:rsidRDefault="00322B28" w:rsidP="005D385E">
            <w:pPr>
              <w:jc w:val="center"/>
              <w:rPr>
                <w:b/>
                <w:bCs/>
                <w:sz w:val="21"/>
                <w:szCs w:val="21"/>
                <w:lang w:eastAsia="fr-FR"/>
              </w:rPr>
            </w:pPr>
            <w:r w:rsidRPr="00CF2114">
              <w:rPr>
                <w:b/>
                <w:bCs/>
                <w:sz w:val="21"/>
                <w:szCs w:val="21"/>
                <w:lang w:eastAsia="fr-FR"/>
              </w:rPr>
              <w:t>(</w:t>
            </w:r>
            <w:r w:rsidR="0054785E">
              <w:rPr>
                <w:b/>
                <w:bCs/>
                <w:sz w:val="21"/>
                <w:szCs w:val="21"/>
                <w:lang w:eastAsia="fr-FR"/>
              </w:rPr>
              <w:t>2</w:t>
            </w:r>
            <w:r w:rsidRPr="00CF2114">
              <w:rPr>
                <w:b/>
                <w:bCs/>
                <w:sz w:val="21"/>
                <w:szCs w:val="21"/>
                <w:lang w:eastAsia="fr-FR"/>
              </w:rPr>
              <w:t>)</w:t>
            </w:r>
          </w:p>
        </w:tc>
        <w:tc>
          <w:tcPr>
            <w:tcW w:w="718" w:type="dxa"/>
            <w:shd w:val="clear" w:color="auto" w:fill="B4C6E7" w:themeFill="accent5" w:themeFillTint="66"/>
            <w:vAlign w:val="center"/>
          </w:tcPr>
          <w:p w14:paraId="570BA382" w14:textId="77777777" w:rsidR="00322B28" w:rsidRPr="00CF2114" w:rsidRDefault="00322B28" w:rsidP="005D385E">
            <w:pPr>
              <w:jc w:val="center"/>
              <w:rPr>
                <w:b/>
                <w:bCs/>
                <w:sz w:val="21"/>
                <w:szCs w:val="21"/>
                <w:lang w:eastAsia="fr-FR"/>
              </w:rPr>
            </w:pPr>
            <w:r w:rsidRPr="00CF2114">
              <w:rPr>
                <w:b/>
                <w:bCs/>
                <w:sz w:val="21"/>
                <w:szCs w:val="21"/>
                <w:lang w:eastAsia="fr-FR"/>
              </w:rPr>
              <w:t>50</w:t>
            </w:r>
          </w:p>
          <w:p w14:paraId="748C8C70" w14:textId="26F3D179" w:rsidR="00322B28" w:rsidRPr="00CF2114" w:rsidRDefault="00322B28" w:rsidP="005D385E">
            <w:pPr>
              <w:jc w:val="center"/>
              <w:rPr>
                <w:b/>
                <w:bCs/>
                <w:sz w:val="21"/>
                <w:szCs w:val="21"/>
                <w:lang w:eastAsia="fr-FR"/>
              </w:rPr>
            </w:pPr>
            <w:r w:rsidRPr="00CF2114">
              <w:rPr>
                <w:b/>
                <w:bCs/>
                <w:sz w:val="21"/>
                <w:szCs w:val="21"/>
                <w:lang w:eastAsia="fr-FR"/>
              </w:rPr>
              <w:t>(</w:t>
            </w:r>
            <w:r w:rsidR="0054785E">
              <w:rPr>
                <w:b/>
                <w:bCs/>
                <w:sz w:val="21"/>
                <w:szCs w:val="21"/>
                <w:lang w:eastAsia="fr-FR"/>
              </w:rPr>
              <w:t>2</w:t>
            </w:r>
            <w:r w:rsidRPr="00CF2114">
              <w:rPr>
                <w:b/>
                <w:bCs/>
                <w:sz w:val="21"/>
                <w:szCs w:val="21"/>
                <w:lang w:eastAsia="fr-FR"/>
              </w:rPr>
              <w:t>)</w:t>
            </w:r>
          </w:p>
        </w:tc>
        <w:tc>
          <w:tcPr>
            <w:tcW w:w="718" w:type="dxa"/>
            <w:shd w:val="clear" w:color="auto" w:fill="E2EFD9" w:themeFill="accent6" w:themeFillTint="33"/>
            <w:vAlign w:val="center"/>
          </w:tcPr>
          <w:p w14:paraId="4EF49933" w14:textId="77777777" w:rsidR="00322B28" w:rsidRPr="00CF2114" w:rsidRDefault="00322B28" w:rsidP="005D385E">
            <w:pPr>
              <w:jc w:val="center"/>
              <w:rPr>
                <w:b/>
                <w:bCs/>
                <w:sz w:val="21"/>
                <w:szCs w:val="21"/>
                <w:lang w:eastAsia="fr-FR"/>
              </w:rPr>
            </w:pPr>
            <w:r w:rsidRPr="00CF2114">
              <w:rPr>
                <w:b/>
                <w:bCs/>
                <w:sz w:val="21"/>
                <w:szCs w:val="21"/>
                <w:lang w:eastAsia="fr-FR"/>
              </w:rPr>
              <w:t>50</w:t>
            </w:r>
          </w:p>
          <w:p w14:paraId="18A624C1" w14:textId="72B7E5F2" w:rsidR="00322B28" w:rsidRPr="00CF2114" w:rsidRDefault="00322B28" w:rsidP="005D385E">
            <w:pPr>
              <w:jc w:val="center"/>
              <w:rPr>
                <w:b/>
                <w:bCs/>
                <w:sz w:val="21"/>
                <w:szCs w:val="21"/>
                <w:lang w:eastAsia="fr-FR"/>
              </w:rPr>
            </w:pPr>
            <w:r w:rsidRPr="00CF2114">
              <w:rPr>
                <w:b/>
                <w:bCs/>
                <w:sz w:val="21"/>
                <w:szCs w:val="21"/>
                <w:lang w:eastAsia="fr-FR"/>
              </w:rPr>
              <w:t>(</w:t>
            </w:r>
            <w:r w:rsidR="0054785E">
              <w:rPr>
                <w:b/>
                <w:bCs/>
                <w:sz w:val="21"/>
                <w:szCs w:val="21"/>
                <w:lang w:eastAsia="fr-FR"/>
              </w:rPr>
              <w:t>2</w:t>
            </w:r>
            <w:r w:rsidRPr="00CF2114">
              <w:rPr>
                <w:b/>
                <w:bCs/>
                <w:sz w:val="21"/>
                <w:szCs w:val="21"/>
                <w:lang w:eastAsia="fr-FR"/>
              </w:rPr>
              <w:t>)</w:t>
            </w:r>
          </w:p>
        </w:tc>
        <w:tc>
          <w:tcPr>
            <w:tcW w:w="756" w:type="dxa"/>
            <w:shd w:val="clear" w:color="auto" w:fill="D9D9D9" w:themeFill="background1" w:themeFillShade="D9"/>
            <w:tcMar>
              <w:top w:w="150" w:type="dxa"/>
              <w:left w:w="150" w:type="dxa"/>
              <w:bottom w:w="150" w:type="dxa"/>
              <w:right w:w="150" w:type="dxa"/>
            </w:tcMar>
            <w:vAlign w:val="center"/>
          </w:tcPr>
          <w:p w14:paraId="38DCB0D1" w14:textId="77777777" w:rsidR="00322B28" w:rsidRPr="00485898" w:rsidRDefault="00322B28" w:rsidP="005D385E">
            <w:pPr>
              <w:jc w:val="center"/>
              <w:rPr>
                <w:b/>
                <w:bCs/>
                <w:sz w:val="21"/>
                <w:szCs w:val="21"/>
                <w:lang w:eastAsia="fr-FR"/>
              </w:rPr>
            </w:pPr>
          </w:p>
        </w:tc>
        <w:tc>
          <w:tcPr>
            <w:tcW w:w="718" w:type="dxa"/>
            <w:shd w:val="clear" w:color="auto" w:fill="D9D9D9" w:themeFill="background1" w:themeFillShade="D9"/>
            <w:vAlign w:val="center"/>
          </w:tcPr>
          <w:p w14:paraId="05781E51" w14:textId="77777777" w:rsidR="00322B28" w:rsidRPr="00485898" w:rsidRDefault="00322B28" w:rsidP="005D385E">
            <w:pPr>
              <w:jc w:val="center"/>
              <w:rPr>
                <w:b/>
                <w:bCs/>
                <w:sz w:val="21"/>
                <w:szCs w:val="21"/>
                <w:lang w:eastAsia="fr-FR"/>
              </w:rPr>
            </w:pPr>
            <w:r>
              <w:rPr>
                <w:b/>
                <w:bCs/>
                <w:sz w:val="21"/>
                <w:szCs w:val="21"/>
                <w:lang w:eastAsia="fr-FR"/>
              </w:rPr>
              <w:t>10</w:t>
            </w:r>
          </w:p>
        </w:tc>
        <w:tc>
          <w:tcPr>
            <w:tcW w:w="800" w:type="dxa"/>
            <w:shd w:val="clear" w:color="auto" w:fill="D9D9D9" w:themeFill="background1" w:themeFillShade="D9"/>
            <w:vAlign w:val="center"/>
          </w:tcPr>
          <w:p w14:paraId="6C2FBB7A" w14:textId="77777777" w:rsidR="00322B28" w:rsidRPr="00485898" w:rsidRDefault="00322B28" w:rsidP="005D385E">
            <w:pPr>
              <w:jc w:val="center"/>
              <w:rPr>
                <w:b/>
                <w:bCs/>
                <w:sz w:val="21"/>
                <w:szCs w:val="21"/>
                <w:lang w:eastAsia="fr-FR"/>
              </w:rPr>
            </w:pPr>
            <w:r>
              <w:rPr>
                <w:b/>
                <w:bCs/>
                <w:sz w:val="21"/>
                <w:szCs w:val="21"/>
                <w:lang w:eastAsia="fr-FR"/>
              </w:rPr>
              <w:t>11</w:t>
            </w:r>
          </w:p>
        </w:tc>
      </w:tr>
      <w:tr w:rsidR="00322B28" w:rsidRPr="009E0611" w14:paraId="598B680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restart"/>
            <w:vAlign w:val="center"/>
          </w:tcPr>
          <w:p w14:paraId="49E58D66" w14:textId="77777777" w:rsidR="00322B28" w:rsidRDefault="00322B28" w:rsidP="005D385E">
            <w:pPr>
              <w:jc w:val="center"/>
              <w:rPr>
                <w:b/>
                <w:bCs/>
                <w:sz w:val="21"/>
                <w:szCs w:val="21"/>
                <w:lang w:eastAsia="fr-FR"/>
              </w:rPr>
            </w:pPr>
            <w:r>
              <w:rPr>
                <w:b/>
                <w:bCs/>
                <w:sz w:val="21"/>
                <w:szCs w:val="21"/>
                <w:lang w:eastAsia="fr-FR"/>
              </w:rPr>
              <w:t>Gaz sidérurgiques</w:t>
            </w:r>
          </w:p>
          <w:p w14:paraId="066E5035" w14:textId="77777777" w:rsidR="00322B28" w:rsidRPr="009370F5" w:rsidRDefault="00322B28" w:rsidP="005D385E">
            <w:pPr>
              <w:jc w:val="center"/>
              <w:rPr>
                <w:b/>
                <w:bCs/>
                <w:sz w:val="21"/>
                <w:szCs w:val="21"/>
                <w:lang w:eastAsia="fr-FR"/>
              </w:rPr>
            </w:pPr>
            <w:r>
              <w:rPr>
                <w:b/>
                <w:bCs/>
                <w:sz w:val="21"/>
                <w:szCs w:val="21"/>
                <w:lang w:eastAsia="fr-FR"/>
              </w:rPr>
              <w:t>(CCGT)</w:t>
            </w:r>
          </w:p>
        </w:tc>
        <w:tc>
          <w:tcPr>
            <w:tcW w:w="1704" w:type="dxa"/>
            <w:shd w:val="clear" w:color="auto" w:fill="F5F5F5"/>
            <w:tcMar>
              <w:top w:w="150" w:type="dxa"/>
              <w:left w:w="150" w:type="dxa"/>
              <w:bottom w:w="150" w:type="dxa"/>
              <w:right w:w="150" w:type="dxa"/>
            </w:tcMar>
            <w:vAlign w:val="center"/>
          </w:tcPr>
          <w:p w14:paraId="5107C60A" w14:textId="77777777" w:rsidR="00322B28" w:rsidRPr="009370F5" w:rsidRDefault="00322B28" w:rsidP="005D385E">
            <w:pPr>
              <w:jc w:val="center"/>
              <w:rPr>
                <w:b/>
                <w:bCs/>
                <w:sz w:val="21"/>
                <w:szCs w:val="21"/>
                <w:lang w:eastAsia="fr-FR"/>
              </w:rPr>
            </w:pPr>
            <w:r w:rsidRPr="0087546D">
              <w:rPr>
                <w:b/>
                <w:bCs/>
                <w:sz w:val="21"/>
                <w:szCs w:val="21"/>
                <w:lang w:eastAsia="fr-FR"/>
              </w:rPr>
              <w:t>50 ≤ P &lt; 100</w:t>
            </w:r>
          </w:p>
        </w:tc>
        <w:tc>
          <w:tcPr>
            <w:tcW w:w="757" w:type="dxa"/>
            <w:vMerge w:val="restart"/>
            <w:shd w:val="clear" w:color="auto" w:fill="E2EFD9" w:themeFill="accent6" w:themeFillTint="33"/>
            <w:tcMar>
              <w:top w:w="150" w:type="dxa"/>
              <w:left w:w="150" w:type="dxa"/>
              <w:bottom w:w="150" w:type="dxa"/>
              <w:right w:w="150" w:type="dxa"/>
            </w:tcMar>
            <w:vAlign w:val="center"/>
          </w:tcPr>
          <w:p w14:paraId="32453DBB" w14:textId="77777777" w:rsidR="00322B28" w:rsidRPr="009E0611" w:rsidRDefault="00322B28" w:rsidP="005D385E">
            <w:pPr>
              <w:jc w:val="center"/>
              <w:rPr>
                <w:b/>
                <w:bCs/>
                <w:sz w:val="21"/>
                <w:szCs w:val="21"/>
                <w:lang w:eastAsia="fr-FR"/>
              </w:rPr>
            </w:pPr>
            <w:r w:rsidRPr="009E0611">
              <w:rPr>
                <w:b/>
                <w:bCs/>
                <w:sz w:val="21"/>
                <w:szCs w:val="21"/>
                <w:lang w:eastAsia="fr-FR"/>
              </w:rPr>
              <w:t>45</w:t>
            </w:r>
          </w:p>
        </w:tc>
        <w:tc>
          <w:tcPr>
            <w:tcW w:w="718" w:type="dxa"/>
            <w:vMerge w:val="restart"/>
            <w:shd w:val="clear" w:color="auto" w:fill="B4C6E7" w:themeFill="accent5" w:themeFillTint="66"/>
            <w:vAlign w:val="center"/>
          </w:tcPr>
          <w:p w14:paraId="255E0F71" w14:textId="77777777" w:rsidR="00322B28" w:rsidRDefault="00322B28" w:rsidP="005D385E">
            <w:pPr>
              <w:jc w:val="center"/>
              <w:rPr>
                <w:b/>
                <w:bCs/>
                <w:sz w:val="21"/>
                <w:szCs w:val="21"/>
                <w:lang w:eastAsia="fr-FR"/>
              </w:rPr>
            </w:pPr>
            <w:r w:rsidRPr="009E0611">
              <w:rPr>
                <w:b/>
                <w:bCs/>
                <w:sz w:val="21"/>
                <w:szCs w:val="21"/>
                <w:lang w:eastAsia="fr-FR"/>
              </w:rPr>
              <w:t>65</w:t>
            </w:r>
          </w:p>
          <w:p w14:paraId="24833A18" w14:textId="13FD70B3" w:rsidR="00322B28" w:rsidRPr="009E0611" w:rsidRDefault="00322B28" w:rsidP="005D385E">
            <w:pPr>
              <w:jc w:val="center"/>
              <w:rPr>
                <w:b/>
                <w:bCs/>
                <w:sz w:val="21"/>
                <w:szCs w:val="21"/>
                <w:lang w:eastAsia="fr-FR"/>
              </w:rPr>
            </w:pPr>
            <w:r>
              <w:rPr>
                <w:b/>
                <w:bCs/>
                <w:sz w:val="21"/>
                <w:szCs w:val="21"/>
                <w:lang w:eastAsia="fr-FR"/>
              </w:rPr>
              <w:t>(</w:t>
            </w:r>
            <w:r w:rsidR="0054785E">
              <w:rPr>
                <w:b/>
                <w:bCs/>
                <w:sz w:val="21"/>
                <w:szCs w:val="21"/>
                <w:lang w:eastAsia="fr-FR"/>
              </w:rPr>
              <w:t>3</w:t>
            </w:r>
            <w:r>
              <w:rPr>
                <w:b/>
                <w:bCs/>
                <w:sz w:val="21"/>
                <w:szCs w:val="21"/>
                <w:lang w:eastAsia="fr-FR"/>
              </w:rPr>
              <w:t>)</w:t>
            </w:r>
          </w:p>
        </w:tc>
        <w:tc>
          <w:tcPr>
            <w:tcW w:w="718" w:type="dxa"/>
            <w:vMerge w:val="restart"/>
            <w:shd w:val="clear" w:color="auto" w:fill="E2EFD9" w:themeFill="accent6" w:themeFillTint="33"/>
            <w:vAlign w:val="center"/>
          </w:tcPr>
          <w:p w14:paraId="59586E9A" w14:textId="77777777" w:rsidR="00322B28" w:rsidRDefault="00322B28" w:rsidP="005D385E">
            <w:pPr>
              <w:jc w:val="center"/>
              <w:rPr>
                <w:b/>
                <w:bCs/>
                <w:sz w:val="21"/>
                <w:szCs w:val="21"/>
                <w:lang w:eastAsia="fr-FR"/>
              </w:rPr>
            </w:pPr>
            <w:r>
              <w:rPr>
                <w:b/>
                <w:bCs/>
                <w:sz w:val="21"/>
                <w:szCs w:val="21"/>
                <w:lang w:eastAsia="fr-FR"/>
              </w:rPr>
              <w:t>70</w:t>
            </w:r>
          </w:p>
          <w:p w14:paraId="3097F984" w14:textId="7CD93932" w:rsidR="00322B28" w:rsidRPr="009E0611" w:rsidRDefault="00322B28" w:rsidP="005D385E">
            <w:pPr>
              <w:jc w:val="center"/>
              <w:rPr>
                <w:b/>
                <w:bCs/>
                <w:sz w:val="21"/>
                <w:szCs w:val="21"/>
                <w:lang w:eastAsia="fr-FR"/>
              </w:rPr>
            </w:pPr>
            <w:r>
              <w:rPr>
                <w:b/>
                <w:bCs/>
                <w:sz w:val="21"/>
                <w:szCs w:val="21"/>
                <w:lang w:eastAsia="fr-FR"/>
              </w:rPr>
              <w:t>(</w:t>
            </w:r>
            <w:r w:rsidR="0054785E">
              <w:rPr>
                <w:b/>
                <w:bCs/>
                <w:sz w:val="21"/>
                <w:szCs w:val="21"/>
                <w:lang w:eastAsia="fr-FR"/>
              </w:rPr>
              <w:t>3</w:t>
            </w:r>
            <w:r>
              <w:rPr>
                <w:b/>
                <w:bCs/>
                <w:sz w:val="21"/>
                <w:szCs w:val="21"/>
                <w:lang w:eastAsia="fr-FR"/>
              </w:rPr>
              <w:t>)</w:t>
            </w:r>
          </w:p>
        </w:tc>
        <w:tc>
          <w:tcPr>
            <w:tcW w:w="756" w:type="dxa"/>
            <w:vMerge w:val="restart"/>
            <w:shd w:val="clear" w:color="auto" w:fill="E2EFD9" w:themeFill="accent6" w:themeFillTint="33"/>
            <w:tcMar>
              <w:top w:w="150" w:type="dxa"/>
              <w:left w:w="150" w:type="dxa"/>
              <w:bottom w:w="150" w:type="dxa"/>
              <w:right w:w="150" w:type="dxa"/>
            </w:tcMar>
            <w:vAlign w:val="center"/>
          </w:tcPr>
          <w:p w14:paraId="514C0230" w14:textId="77777777" w:rsidR="00322B28" w:rsidRPr="009E0611" w:rsidRDefault="00322B28" w:rsidP="005D385E">
            <w:pPr>
              <w:jc w:val="center"/>
              <w:rPr>
                <w:b/>
                <w:bCs/>
                <w:sz w:val="21"/>
                <w:szCs w:val="21"/>
                <w:lang w:eastAsia="fr-FR"/>
              </w:rPr>
            </w:pPr>
            <w:r w:rsidRPr="009E0611">
              <w:rPr>
                <w:b/>
                <w:bCs/>
                <w:sz w:val="21"/>
                <w:szCs w:val="21"/>
                <w:lang w:eastAsia="fr-FR"/>
              </w:rPr>
              <w:t>50</w:t>
            </w:r>
          </w:p>
        </w:tc>
        <w:tc>
          <w:tcPr>
            <w:tcW w:w="718" w:type="dxa"/>
            <w:vMerge w:val="restart"/>
            <w:shd w:val="clear" w:color="auto" w:fill="B4C6E7" w:themeFill="accent5" w:themeFillTint="66"/>
            <w:vAlign w:val="center"/>
          </w:tcPr>
          <w:p w14:paraId="6BFCBEFB" w14:textId="77777777" w:rsidR="00322B28" w:rsidRPr="009E0611" w:rsidRDefault="00322B28" w:rsidP="005D385E">
            <w:pPr>
              <w:jc w:val="center"/>
              <w:rPr>
                <w:b/>
                <w:bCs/>
                <w:sz w:val="21"/>
                <w:szCs w:val="21"/>
                <w:lang w:eastAsia="fr-FR"/>
              </w:rPr>
            </w:pPr>
            <w:r w:rsidRPr="009E0611">
              <w:rPr>
                <w:b/>
                <w:bCs/>
                <w:sz w:val="21"/>
                <w:szCs w:val="21"/>
                <w:lang w:eastAsia="fr-FR"/>
              </w:rPr>
              <w:t>50</w:t>
            </w:r>
          </w:p>
        </w:tc>
        <w:tc>
          <w:tcPr>
            <w:tcW w:w="718" w:type="dxa"/>
            <w:vMerge w:val="restart"/>
            <w:shd w:val="clear" w:color="auto" w:fill="92D050"/>
            <w:vAlign w:val="center"/>
          </w:tcPr>
          <w:p w14:paraId="5A379154" w14:textId="77777777" w:rsidR="00322B28" w:rsidRPr="009E0611" w:rsidRDefault="00322B28" w:rsidP="005D385E">
            <w:pPr>
              <w:jc w:val="center"/>
              <w:rPr>
                <w:b/>
                <w:bCs/>
                <w:sz w:val="21"/>
                <w:szCs w:val="21"/>
                <w:lang w:eastAsia="fr-FR"/>
              </w:rPr>
            </w:pPr>
            <w:r w:rsidRPr="009E0611">
              <w:rPr>
                <w:b/>
                <w:bCs/>
                <w:sz w:val="21"/>
                <w:szCs w:val="21"/>
                <w:lang w:eastAsia="fr-FR"/>
              </w:rPr>
              <w:t>55</w:t>
            </w:r>
          </w:p>
        </w:tc>
        <w:tc>
          <w:tcPr>
            <w:tcW w:w="756" w:type="dxa"/>
            <w:vMerge w:val="restart"/>
            <w:shd w:val="clear" w:color="auto" w:fill="E2EFD9" w:themeFill="accent6" w:themeFillTint="33"/>
            <w:tcMar>
              <w:top w:w="150" w:type="dxa"/>
              <w:left w:w="150" w:type="dxa"/>
              <w:bottom w:w="150" w:type="dxa"/>
              <w:right w:w="150" w:type="dxa"/>
            </w:tcMar>
            <w:vAlign w:val="center"/>
          </w:tcPr>
          <w:p w14:paraId="20CF1DF5" w14:textId="77777777" w:rsidR="00322B28" w:rsidRPr="009E0611" w:rsidRDefault="00322B28" w:rsidP="005D385E">
            <w:pPr>
              <w:jc w:val="center"/>
              <w:rPr>
                <w:b/>
                <w:bCs/>
                <w:sz w:val="21"/>
                <w:szCs w:val="21"/>
                <w:lang w:eastAsia="fr-FR"/>
              </w:rPr>
            </w:pPr>
            <w:r w:rsidRPr="009E0611">
              <w:rPr>
                <w:b/>
                <w:bCs/>
                <w:sz w:val="21"/>
                <w:szCs w:val="21"/>
                <w:lang w:eastAsia="fr-FR"/>
              </w:rPr>
              <w:t>5</w:t>
            </w:r>
          </w:p>
        </w:tc>
        <w:tc>
          <w:tcPr>
            <w:tcW w:w="718" w:type="dxa"/>
            <w:vMerge w:val="restart"/>
            <w:shd w:val="clear" w:color="auto" w:fill="E2EFD9" w:themeFill="accent6" w:themeFillTint="33"/>
            <w:vAlign w:val="center"/>
          </w:tcPr>
          <w:p w14:paraId="44BCFCB2" w14:textId="77777777" w:rsidR="00322B28" w:rsidRPr="009E0611" w:rsidRDefault="00322B28" w:rsidP="005D385E">
            <w:pPr>
              <w:jc w:val="center"/>
              <w:rPr>
                <w:b/>
                <w:bCs/>
                <w:sz w:val="21"/>
                <w:szCs w:val="21"/>
                <w:lang w:eastAsia="fr-FR"/>
              </w:rPr>
            </w:pPr>
            <w:r w:rsidRPr="009E0611">
              <w:rPr>
                <w:b/>
                <w:bCs/>
                <w:sz w:val="21"/>
                <w:szCs w:val="21"/>
                <w:lang w:eastAsia="fr-FR"/>
              </w:rPr>
              <w:t>5</w:t>
            </w:r>
          </w:p>
        </w:tc>
        <w:tc>
          <w:tcPr>
            <w:tcW w:w="800" w:type="dxa"/>
            <w:vMerge w:val="restart"/>
            <w:shd w:val="clear" w:color="auto" w:fill="E2EFD9" w:themeFill="accent6" w:themeFillTint="33"/>
            <w:vAlign w:val="center"/>
          </w:tcPr>
          <w:p w14:paraId="21371773" w14:textId="77777777" w:rsidR="00322B28" w:rsidRPr="009E0611" w:rsidRDefault="00322B28" w:rsidP="005D385E">
            <w:pPr>
              <w:jc w:val="center"/>
              <w:rPr>
                <w:b/>
                <w:bCs/>
                <w:sz w:val="21"/>
                <w:szCs w:val="21"/>
                <w:lang w:eastAsia="fr-FR"/>
              </w:rPr>
            </w:pPr>
            <w:r w:rsidRPr="009E0611">
              <w:rPr>
                <w:b/>
                <w:bCs/>
                <w:sz w:val="21"/>
                <w:szCs w:val="21"/>
                <w:lang w:eastAsia="fr-FR"/>
              </w:rPr>
              <w:t>5</w:t>
            </w:r>
          </w:p>
        </w:tc>
      </w:tr>
      <w:tr w:rsidR="00322B28" w:rsidRPr="009E0611" w14:paraId="61B937ED"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vAlign w:val="center"/>
          </w:tcPr>
          <w:p w14:paraId="54219DF1" w14:textId="77777777" w:rsidR="00322B28" w:rsidRPr="009370F5" w:rsidRDefault="00322B28" w:rsidP="005D385E">
            <w:pPr>
              <w:jc w:val="center"/>
              <w:rPr>
                <w:b/>
                <w:bCs/>
                <w:sz w:val="21"/>
                <w:szCs w:val="21"/>
                <w:lang w:eastAsia="fr-FR"/>
              </w:rPr>
            </w:pPr>
          </w:p>
        </w:tc>
        <w:tc>
          <w:tcPr>
            <w:tcW w:w="1704" w:type="dxa"/>
            <w:shd w:val="clear" w:color="auto" w:fill="F5F5F5"/>
            <w:tcMar>
              <w:top w:w="150" w:type="dxa"/>
              <w:left w:w="150" w:type="dxa"/>
              <w:bottom w:w="150" w:type="dxa"/>
              <w:right w:w="150" w:type="dxa"/>
            </w:tcMar>
            <w:vAlign w:val="center"/>
          </w:tcPr>
          <w:p w14:paraId="28B50D81" w14:textId="77777777" w:rsidR="00322B28" w:rsidRPr="009370F5" w:rsidRDefault="00322B28" w:rsidP="005D385E">
            <w:pPr>
              <w:jc w:val="center"/>
              <w:rPr>
                <w:b/>
                <w:bCs/>
                <w:sz w:val="21"/>
                <w:szCs w:val="21"/>
                <w:lang w:eastAsia="fr-FR"/>
              </w:rPr>
            </w:pPr>
            <w:r w:rsidRPr="009E0611">
              <w:rPr>
                <w:b/>
                <w:bCs/>
                <w:sz w:val="21"/>
                <w:szCs w:val="21"/>
                <w:lang w:eastAsia="fr-FR"/>
              </w:rPr>
              <w:t>100 ≤ P &lt; 300</w:t>
            </w:r>
          </w:p>
        </w:tc>
        <w:tc>
          <w:tcPr>
            <w:tcW w:w="757" w:type="dxa"/>
            <w:vMerge/>
            <w:shd w:val="clear" w:color="auto" w:fill="E2EFD9" w:themeFill="accent6" w:themeFillTint="33"/>
            <w:tcMar>
              <w:top w:w="150" w:type="dxa"/>
              <w:left w:w="150" w:type="dxa"/>
              <w:bottom w:w="150" w:type="dxa"/>
              <w:right w:w="150" w:type="dxa"/>
            </w:tcMar>
            <w:vAlign w:val="center"/>
          </w:tcPr>
          <w:p w14:paraId="44D3D75E" w14:textId="77777777" w:rsidR="00322B28" w:rsidRPr="00485898" w:rsidRDefault="00322B28" w:rsidP="005D385E">
            <w:pPr>
              <w:jc w:val="center"/>
              <w:rPr>
                <w:b/>
                <w:bCs/>
                <w:sz w:val="21"/>
                <w:szCs w:val="21"/>
                <w:lang w:eastAsia="fr-FR"/>
              </w:rPr>
            </w:pPr>
          </w:p>
        </w:tc>
        <w:tc>
          <w:tcPr>
            <w:tcW w:w="718" w:type="dxa"/>
            <w:vMerge/>
            <w:shd w:val="clear" w:color="auto" w:fill="B4C6E7" w:themeFill="accent5" w:themeFillTint="66"/>
            <w:vAlign w:val="center"/>
          </w:tcPr>
          <w:p w14:paraId="0DFA1242" w14:textId="77777777" w:rsidR="00322B28" w:rsidRPr="009E0611" w:rsidRDefault="00322B28" w:rsidP="005D385E">
            <w:pPr>
              <w:jc w:val="center"/>
              <w:rPr>
                <w:b/>
                <w:bCs/>
                <w:sz w:val="21"/>
                <w:szCs w:val="21"/>
                <w:highlight w:val="yellow"/>
                <w:lang w:eastAsia="fr-FR"/>
              </w:rPr>
            </w:pPr>
          </w:p>
        </w:tc>
        <w:tc>
          <w:tcPr>
            <w:tcW w:w="718" w:type="dxa"/>
            <w:vMerge/>
            <w:shd w:val="clear" w:color="auto" w:fill="E2EFD9" w:themeFill="accent6" w:themeFillTint="33"/>
            <w:vAlign w:val="center"/>
          </w:tcPr>
          <w:p w14:paraId="4D9B3109" w14:textId="77777777" w:rsidR="00322B28" w:rsidRPr="009E0611" w:rsidRDefault="00322B28" w:rsidP="005D385E">
            <w:pPr>
              <w:jc w:val="center"/>
              <w:rPr>
                <w:b/>
                <w:bCs/>
                <w:sz w:val="21"/>
                <w:szCs w:val="21"/>
                <w:highlight w:val="yellow"/>
                <w:lang w:eastAsia="fr-FR"/>
              </w:rPr>
            </w:pPr>
          </w:p>
        </w:tc>
        <w:tc>
          <w:tcPr>
            <w:tcW w:w="756" w:type="dxa"/>
            <w:vMerge/>
            <w:shd w:val="clear" w:color="auto" w:fill="E2EFD9" w:themeFill="accent6" w:themeFillTint="33"/>
            <w:tcMar>
              <w:top w:w="150" w:type="dxa"/>
              <w:left w:w="150" w:type="dxa"/>
              <w:bottom w:w="150" w:type="dxa"/>
              <w:right w:w="150" w:type="dxa"/>
            </w:tcMar>
            <w:vAlign w:val="center"/>
          </w:tcPr>
          <w:p w14:paraId="55B515E9" w14:textId="77777777" w:rsidR="00322B28" w:rsidRPr="009E0611" w:rsidRDefault="00322B28" w:rsidP="005D385E">
            <w:pPr>
              <w:jc w:val="center"/>
              <w:rPr>
                <w:b/>
                <w:bCs/>
                <w:sz w:val="21"/>
                <w:szCs w:val="21"/>
                <w:highlight w:val="yellow"/>
                <w:lang w:eastAsia="fr-FR"/>
              </w:rPr>
            </w:pPr>
          </w:p>
        </w:tc>
        <w:tc>
          <w:tcPr>
            <w:tcW w:w="718" w:type="dxa"/>
            <w:vMerge/>
            <w:shd w:val="clear" w:color="auto" w:fill="B4C6E7" w:themeFill="accent5" w:themeFillTint="66"/>
            <w:vAlign w:val="center"/>
          </w:tcPr>
          <w:p w14:paraId="1F167E36" w14:textId="77777777" w:rsidR="00322B28" w:rsidRPr="009E0611" w:rsidRDefault="00322B28" w:rsidP="005D385E">
            <w:pPr>
              <w:jc w:val="center"/>
              <w:rPr>
                <w:b/>
                <w:bCs/>
                <w:sz w:val="21"/>
                <w:szCs w:val="21"/>
                <w:highlight w:val="yellow"/>
                <w:lang w:eastAsia="fr-FR"/>
              </w:rPr>
            </w:pPr>
          </w:p>
        </w:tc>
        <w:tc>
          <w:tcPr>
            <w:tcW w:w="718" w:type="dxa"/>
            <w:vMerge/>
            <w:shd w:val="clear" w:color="auto" w:fill="92D050"/>
            <w:vAlign w:val="center"/>
          </w:tcPr>
          <w:p w14:paraId="3CF4AD0B" w14:textId="77777777" w:rsidR="00322B28" w:rsidRPr="009E0611" w:rsidRDefault="00322B28" w:rsidP="005D385E">
            <w:pPr>
              <w:jc w:val="center"/>
              <w:rPr>
                <w:b/>
                <w:bCs/>
                <w:sz w:val="21"/>
                <w:szCs w:val="21"/>
                <w:highlight w:val="yellow"/>
                <w:lang w:eastAsia="fr-FR"/>
              </w:rPr>
            </w:pPr>
          </w:p>
        </w:tc>
        <w:tc>
          <w:tcPr>
            <w:tcW w:w="756" w:type="dxa"/>
            <w:vMerge/>
            <w:shd w:val="clear" w:color="auto" w:fill="E2EFD9" w:themeFill="accent6" w:themeFillTint="33"/>
            <w:tcMar>
              <w:top w:w="150" w:type="dxa"/>
              <w:left w:w="150" w:type="dxa"/>
              <w:bottom w:w="150" w:type="dxa"/>
              <w:right w:w="150" w:type="dxa"/>
            </w:tcMar>
            <w:vAlign w:val="center"/>
          </w:tcPr>
          <w:p w14:paraId="119F4728" w14:textId="77777777" w:rsidR="00322B28" w:rsidRPr="009E0611" w:rsidRDefault="00322B28" w:rsidP="005D385E">
            <w:pPr>
              <w:jc w:val="center"/>
              <w:rPr>
                <w:b/>
                <w:bCs/>
                <w:sz w:val="21"/>
                <w:szCs w:val="21"/>
                <w:highlight w:val="yellow"/>
                <w:lang w:eastAsia="fr-FR"/>
              </w:rPr>
            </w:pPr>
          </w:p>
        </w:tc>
        <w:tc>
          <w:tcPr>
            <w:tcW w:w="718" w:type="dxa"/>
            <w:vMerge/>
            <w:shd w:val="clear" w:color="auto" w:fill="E2EFD9" w:themeFill="accent6" w:themeFillTint="33"/>
            <w:vAlign w:val="center"/>
          </w:tcPr>
          <w:p w14:paraId="267979F0" w14:textId="77777777" w:rsidR="00322B28" w:rsidRPr="009E0611" w:rsidRDefault="00322B28" w:rsidP="005D385E">
            <w:pPr>
              <w:jc w:val="center"/>
              <w:rPr>
                <w:b/>
                <w:bCs/>
                <w:sz w:val="21"/>
                <w:szCs w:val="21"/>
                <w:highlight w:val="yellow"/>
                <w:lang w:eastAsia="fr-FR"/>
              </w:rPr>
            </w:pPr>
          </w:p>
        </w:tc>
        <w:tc>
          <w:tcPr>
            <w:tcW w:w="800" w:type="dxa"/>
            <w:vMerge/>
            <w:shd w:val="clear" w:color="auto" w:fill="E2EFD9" w:themeFill="accent6" w:themeFillTint="33"/>
            <w:vAlign w:val="center"/>
          </w:tcPr>
          <w:p w14:paraId="1D47ACB4" w14:textId="77777777" w:rsidR="00322B28" w:rsidRPr="009E0611" w:rsidRDefault="00322B28" w:rsidP="005D385E">
            <w:pPr>
              <w:jc w:val="center"/>
              <w:rPr>
                <w:b/>
                <w:bCs/>
                <w:sz w:val="21"/>
                <w:szCs w:val="21"/>
                <w:highlight w:val="yellow"/>
                <w:lang w:eastAsia="fr-FR"/>
              </w:rPr>
            </w:pPr>
          </w:p>
        </w:tc>
      </w:tr>
      <w:tr w:rsidR="00322B28" w:rsidRPr="009370F5" w14:paraId="4432855C" w14:textId="77777777" w:rsidTr="00020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980" w:type="dxa"/>
            <w:gridSpan w:val="2"/>
            <w:vMerge/>
            <w:tcBorders>
              <w:bottom w:val="single" w:sz="4" w:space="0" w:color="auto"/>
            </w:tcBorders>
            <w:vAlign w:val="center"/>
          </w:tcPr>
          <w:p w14:paraId="19A36454" w14:textId="77777777" w:rsidR="00322B28" w:rsidRPr="009370F5" w:rsidRDefault="00322B28" w:rsidP="005D385E">
            <w:pPr>
              <w:jc w:val="center"/>
              <w:rPr>
                <w:b/>
                <w:bCs/>
                <w:sz w:val="21"/>
                <w:szCs w:val="21"/>
                <w:lang w:eastAsia="fr-FR"/>
              </w:rPr>
            </w:pPr>
          </w:p>
        </w:tc>
        <w:tc>
          <w:tcPr>
            <w:tcW w:w="1704" w:type="dxa"/>
            <w:tcBorders>
              <w:bottom w:val="single" w:sz="4" w:space="0" w:color="auto"/>
            </w:tcBorders>
            <w:shd w:val="clear" w:color="auto" w:fill="F5F5F5"/>
            <w:tcMar>
              <w:top w:w="150" w:type="dxa"/>
              <w:left w:w="150" w:type="dxa"/>
              <w:bottom w:w="150" w:type="dxa"/>
              <w:right w:w="150" w:type="dxa"/>
            </w:tcMar>
            <w:vAlign w:val="center"/>
          </w:tcPr>
          <w:p w14:paraId="2C4CAD34" w14:textId="77777777" w:rsidR="00322B28" w:rsidRPr="009370F5" w:rsidRDefault="00322B28" w:rsidP="005D385E">
            <w:pPr>
              <w:jc w:val="center"/>
              <w:rPr>
                <w:b/>
                <w:bCs/>
                <w:sz w:val="21"/>
                <w:szCs w:val="21"/>
                <w:lang w:eastAsia="fr-FR"/>
              </w:rPr>
            </w:pPr>
            <w:r w:rsidRPr="0087546D">
              <w:rPr>
                <w:b/>
                <w:bCs/>
                <w:sz w:val="21"/>
                <w:szCs w:val="21"/>
                <w:lang w:eastAsia="fr-FR"/>
              </w:rPr>
              <w:t>300 ≤ P</w:t>
            </w:r>
          </w:p>
        </w:tc>
        <w:tc>
          <w:tcPr>
            <w:tcW w:w="757"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149D70B2" w14:textId="77777777" w:rsidR="00322B28" w:rsidRPr="00485898" w:rsidRDefault="00322B28" w:rsidP="005D385E">
            <w:pPr>
              <w:jc w:val="center"/>
              <w:rPr>
                <w:b/>
                <w:bCs/>
                <w:sz w:val="21"/>
                <w:szCs w:val="21"/>
                <w:lang w:eastAsia="fr-FR"/>
              </w:rPr>
            </w:pPr>
          </w:p>
        </w:tc>
        <w:tc>
          <w:tcPr>
            <w:tcW w:w="718" w:type="dxa"/>
            <w:vMerge/>
            <w:tcBorders>
              <w:bottom w:val="single" w:sz="4" w:space="0" w:color="auto"/>
            </w:tcBorders>
            <w:shd w:val="clear" w:color="auto" w:fill="B4C6E7" w:themeFill="accent5" w:themeFillTint="66"/>
            <w:vAlign w:val="center"/>
          </w:tcPr>
          <w:p w14:paraId="76F9171B" w14:textId="77777777" w:rsidR="00322B28" w:rsidRPr="00485898" w:rsidRDefault="00322B28" w:rsidP="005D385E">
            <w:pPr>
              <w:jc w:val="center"/>
              <w:rPr>
                <w:b/>
                <w:bCs/>
                <w:sz w:val="21"/>
                <w:szCs w:val="21"/>
                <w:lang w:eastAsia="fr-FR"/>
              </w:rPr>
            </w:pPr>
          </w:p>
        </w:tc>
        <w:tc>
          <w:tcPr>
            <w:tcW w:w="718" w:type="dxa"/>
            <w:vMerge/>
            <w:tcBorders>
              <w:bottom w:val="single" w:sz="4" w:space="0" w:color="auto"/>
            </w:tcBorders>
            <w:shd w:val="clear" w:color="auto" w:fill="E2EFD9" w:themeFill="accent6" w:themeFillTint="33"/>
            <w:vAlign w:val="center"/>
          </w:tcPr>
          <w:p w14:paraId="4CF85AB9" w14:textId="77777777" w:rsidR="00322B28" w:rsidRPr="00485898" w:rsidRDefault="00322B28" w:rsidP="005D385E">
            <w:pPr>
              <w:jc w:val="center"/>
              <w:rPr>
                <w:b/>
                <w:bCs/>
                <w:sz w:val="21"/>
                <w:szCs w:val="21"/>
                <w:lang w:eastAsia="fr-FR"/>
              </w:rPr>
            </w:pPr>
          </w:p>
        </w:tc>
        <w:tc>
          <w:tcPr>
            <w:tcW w:w="756"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6EBD450B" w14:textId="77777777" w:rsidR="00322B28" w:rsidRPr="00485898" w:rsidRDefault="00322B28" w:rsidP="005D385E">
            <w:pPr>
              <w:jc w:val="center"/>
              <w:rPr>
                <w:b/>
                <w:bCs/>
                <w:sz w:val="21"/>
                <w:szCs w:val="21"/>
                <w:lang w:eastAsia="fr-FR"/>
              </w:rPr>
            </w:pPr>
          </w:p>
        </w:tc>
        <w:tc>
          <w:tcPr>
            <w:tcW w:w="718" w:type="dxa"/>
            <w:vMerge/>
            <w:tcBorders>
              <w:bottom w:val="single" w:sz="4" w:space="0" w:color="auto"/>
            </w:tcBorders>
            <w:shd w:val="clear" w:color="auto" w:fill="B4C6E7" w:themeFill="accent5" w:themeFillTint="66"/>
            <w:vAlign w:val="center"/>
          </w:tcPr>
          <w:p w14:paraId="6E0EAF07" w14:textId="77777777" w:rsidR="00322B28" w:rsidRPr="00485898" w:rsidRDefault="00322B28" w:rsidP="005D385E">
            <w:pPr>
              <w:jc w:val="center"/>
              <w:rPr>
                <w:b/>
                <w:bCs/>
                <w:sz w:val="21"/>
                <w:szCs w:val="21"/>
                <w:lang w:eastAsia="fr-FR"/>
              </w:rPr>
            </w:pPr>
          </w:p>
        </w:tc>
        <w:tc>
          <w:tcPr>
            <w:tcW w:w="718" w:type="dxa"/>
            <w:vMerge/>
            <w:tcBorders>
              <w:bottom w:val="single" w:sz="4" w:space="0" w:color="auto"/>
            </w:tcBorders>
            <w:shd w:val="clear" w:color="auto" w:fill="92D050"/>
            <w:vAlign w:val="center"/>
          </w:tcPr>
          <w:p w14:paraId="445D9F72" w14:textId="77777777" w:rsidR="00322B28" w:rsidRPr="00485898" w:rsidRDefault="00322B28" w:rsidP="005D385E">
            <w:pPr>
              <w:jc w:val="center"/>
              <w:rPr>
                <w:b/>
                <w:bCs/>
                <w:sz w:val="21"/>
                <w:szCs w:val="21"/>
                <w:lang w:eastAsia="fr-FR"/>
              </w:rPr>
            </w:pPr>
          </w:p>
        </w:tc>
        <w:tc>
          <w:tcPr>
            <w:tcW w:w="756"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56BAB4A6" w14:textId="77777777" w:rsidR="00322B28" w:rsidRPr="00485898" w:rsidRDefault="00322B28" w:rsidP="005D385E">
            <w:pPr>
              <w:jc w:val="center"/>
              <w:rPr>
                <w:b/>
                <w:bCs/>
                <w:sz w:val="21"/>
                <w:szCs w:val="21"/>
                <w:lang w:eastAsia="fr-FR"/>
              </w:rPr>
            </w:pPr>
          </w:p>
        </w:tc>
        <w:tc>
          <w:tcPr>
            <w:tcW w:w="718" w:type="dxa"/>
            <w:vMerge/>
            <w:tcBorders>
              <w:bottom w:val="single" w:sz="4" w:space="0" w:color="auto"/>
            </w:tcBorders>
            <w:shd w:val="clear" w:color="auto" w:fill="E2EFD9" w:themeFill="accent6" w:themeFillTint="33"/>
            <w:vAlign w:val="center"/>
          </w:tcPr>
          <w:p w14:paraId="53B13525" w14:textId="77777777" w:rsidR="00322B28" w:rsidRPr="00485898" w:rsidRDefault="00322B28" w:rsidP="005D385E">
            <w:pPr>
              <w:jc w:val="center"/>
              <w:rPr>
                <w:b/>
                <w:bCs/>
                <w:sz w:val="21"/>
                <w:szCs w:val="21"/>
                <w:lang w:eastAsia="fr-FR"/>
              </w:rPr>
            </w:pPr>
          </w:p>
        </w:tc>
        <w:tc>
          <w:tcPr>
            <w:tcW w:w="800" w:type="dxa"/>
            <w:vMerge/>
            <w:tcBorders>
              <w:bottom w:val="single" w:sz="4" w:space="0" w:color="auto"/>
            </w:tcBorders>
            <w:shd w:val="clear" w:color="auto" w:fill="E2EFD9" w:themeFill="accent6" w:themeFillTint="33"/>
            <w:vAlign w:val="center"/>
          </w:tcPr>
          <w:p w14:paraId="5050BB69" w14:textId="77777777" w:rsidR="00322B28" w:rsidRPr="00485898" w:rsidRDefault="00322B28" w:rsidP="005D385E">
            <w:pPr>
              <w:jc w:val="center"/>
              <w:rPr>
                <w:b/>
                <w:bCs/>
                <w:sz w:val="21"/>
                <w:szCs w:val="21"/>
                <w:lang w:eastAsia="fr-FR"/>
              </w:rPr>
            </w:pPr>
          </w:p>
        </w:tc>
      </w:tr>
      <w:tr w:rsidR="00322B28" w14:paraId="7FB87959" w14:textId="77777777" w:rsidTr="00020FF2">
        <w:trPr>
          <w:trHeight w:val="20"/>
          <w:jc w:val="center"/>
        </w:trPr>
        <w:tc>
          <w:tcPr>
            <w:tcW w:w="1387" w:type="dxa"/>
            <w:tcBorders>
              <w:top w:val="single" w:sz="4" w:space="0" w:color="auto"/>
              <w:left w:val="single" w:sz="4" w:space="0" w:color="auto"/>
              <w:bottom w:val="single" w:sz="4" w:space="0" w:color="auto"/>
              <w:right w:val="single" w:sz="4" w:space="0" w:color="auto"/>
            </w:tcBorders>
            <w:shd w:val="clear" w:color="auto" w:fill="5C75A2"/>
            <w:tcMar>
              <w:top w:w="150" w:type="dxa"/>
              <w:left w:w="150" w:type="dxa"/>
              <w:bottom w:w="150" w:type="dxa"/>
              <w:right w:w="150" w:type="dxa"/>
            </w:tcMar>
            <w:vAlign w:val="center"/>
          </w:tcPr>
          <w:p w14:paraId="6132E892" w14:textId="77777777" w:rsidR="00322B28" w:rsidRPr="001A79F7" w:rsidRDefault="00322B28" w:rsidP="005D385E">
            <w:pPr>
              <w:jc w:val="center"/>
              <w:rPr>
                <w:rFonts w:cstheme="minorHAnsi"/>
              </w:rPr>
            </w:pPr>
            <w:r w:rsidRPr="003648F5">
              <w:rPr>
                <w:b/>
                <w:bCs/>
                <w:color w:val="FFFFFF"/>
                <w:sz w:val="21"/>
                <w:szCs w:val="21"/>
                <w:lang w:eastAsia="fr-FR"/>
              </w:rPr>
              <w:t>Renvoi</w:t>
            </w:r>
          </w:p>
        </w:tc>
        <w:tc>
          <w:tcPr>
            <w:tcW w:w="6682" w:type="dxa"/>
            <w:gridSpan w:val="8"/>
            <w:tcBorders>
              <w:top w:val="single" w:sz="4" w:space="0" w:color="auto"/>
              <w:left w:val="single" w:sz="4" w:space="0" w:color="auto"/>
              <w:bottom w:val="single" w:sz="4" w:space="0" w:color="auto"/>
              <w:right w:val="single" w:sz="4" w:space="0" w:color="auto"/>
            </w:tcBorders>
            <w:shd w:val="clear" w:color="auto" w:fill="5C75A2"/>
            <w:vAlign w:val="center"/>
          </w:tcPr>
          <w:p w14:paraId="7911142F" w14:textId="77777777" w:rsidR="00322B28" w:rsidRPr="001A79F7" w:rsidRDefault="00322B28" w:rsidP="005D385E">
            <w:pPr>
              <w:jc w:val="center"/>
              <w:rPr>
                <w:rFonts w:cstheme="minorHAnsi"/>
                <w:bCs/>
                <w:lang w:eastAsia="fr-FR"/>
              </w:rPr>
            </w:pPr>
            <w:r w:rsidRPr="003648F5">
              <w:rPr>
                <w:b/>
                <w:bCs/>
                <w:color w:val="FFFFFF"/>
                <w:sz w:val="21"/>
                <w:szCs w:val="21"/>
                <w:lang w:eastAsia="fr-FR"/>
              </w:rPr>
              <w:t>Conditions</w:t>
            </w:r>
          </w:p>
        </w:tc>
        <w:tc>
          <w:tcPr>
            <w:tcW w:w="2274" w:type="dxa"/>
            <w:gridSpan w:val="3"/>
            <w:tcBorders>
              <w:top w:val="single" w:sz="4" w:space="0" w:color="auto"/>
              <w:left w:val="single" w:sz="4" w:space="0" w:color="auto"/>
              <w:bottom w:val="single" w:sz="4" w:space="0" w:color="auto"/>
              <w:right w:val="single" w:sz="4" w:space="0" w:color="auto"/>
            </w:tcBorders>
            <w:shd w:val="clear" w:color="auto" w:fill="5C75A2"/>
            <w:tcMar>
              <w:top w:w="150" w:type="dxa"/>
              <w:left w:w="150" w:type="dxa"/>
              <w:bottom w:w="150" w:type="dxa"/>
              <w:right w:w="150" w:type="dxa"/>
            </w:tcMar>
            <w:vAlign w:val="center"/>
          </w:tcPr>
          <w:p w14:paraId="1F40458A" w14:textId="77777777" w:rsidR="00322B28" w:rsidRPr="001A79F7" w:rsidRDefault="00322B28" w:rsidP="005D385E">
            <w:pPr>
              <w:jc w:val="center"/>
              <w:rPr>
                <w:rFonts w:cstheme="minorHAnsi"/>
              </w:rPr>
            </w:pPr>
            <w:r w:rsidRPr="003648F5">
              <w:rPr>
                <w:b/>
                <w:bCs/>
                <w:color w:val="FFFFFF"/>
                <w:sz w:val="21"/>
                <w:szCs w:val="21"/>
                <w:lang w:eastAsia="fr-FR"/>
              </w:rPr>
              <w:t>Valeur limite d'émission (mg/Nm</w:t>
            </w:r>
            <w:r w:rsidRPr="00B652B0">
              <w:rPr>
                <w:b/>
                <w:bCs/>
                <w:color w:val="FFFFFF"/>
                <w:sz w:val="21"/>
                <w:szCs w:val="21"/>
                <w:vertAlign w:val="superscript"/>
                <w:lang w:eastAsia="fr-FR"/>
              </w:rPr>
              <w:t>3</w:t>
            </w:r>
            <w:r w:rsidRPr="003648F5">
              <w:rPr>
                <w:b/>
                <w:bCs/>
                <w:color w:val="FFFFFF"/>
                <w:sz w:val="21"/>
                <w:szCs w:val="21"/>
                <w:lang w:eastAsia="fr-FR"/>
              </w:rPr>
              <w:t>)</w:t>
            </w:r>
          </w:p>
        </w:tc>
      </w:tr>
      <w:tr w:rsidR="0054785E" w14:paraId="41144BA7" w14:textId="77777777" w:rsidTr="005D385E">
        <w:trPr>
          <w:trHeight w:val="20"/>
          <w:jc w:val="center"/>
        </w:trPr>
        <w:tc>
          <w:tcPr>
            <w:tcW w:w="1387"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723FBA19" w14:textId="160F7AE1" w:rsidR="0054785E" w:rsidRDefault="0054785E" w:rsidP="005D385E">
            <w:pPr>
              <w:jc w:val="center"/>
              <w:rPr>
                <w:rFonts w:cstheme="minorHAnsi"/>
              </w:rPr>
            </w:pPr>
            <w:r>
              <w:rPr>
                <w:rFonts w:cstheme="minorHAnsi"/>
              </w:rPr>
              <w:t>(1)</w:t>
            </w:r>
          </w:p>
        </w:tc>
        <w:tc>
          <w:tcPr>
            <w:tcW w:w="668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D34958" w14:textId="5B309B47" w:rsidR="0054785E" w:rsidRDefault="0054785E" w:rsidP="005D385E">
            <w:pPr>
              <w:jc w:val="center"/>
              <w:rPr>
                <w:rFonts w:cstheme="minorHAnsi"/>
                <w:bCs/>
                <w:lang w:eastAsia="fr-FR"/>
              </w:rPr>
            </w:pPr>
            <w:r w:rsidRPr="0054785E">
              <w:rPr>
                <w:rFonts w:cstheme="minorHAnsi"/>
                <w:bCs/>
                <w:lang w:eastAsia="fr-FR"/>
              </w:rPr>
              <w:t>La valeur limite d’émission annuelle ne s’applique pas aux installations exploitées moins de 1500 heures par an.</w:t>
            </w:r>
          </w:p>
        </w:tc>
        <w:tc>
          <w:tcPr>
            <w:tcW w:w="2274" w:type="dxa"/>
            <w:gridSpan w:val="3"/>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71B17CF9" w14:textId="77777777" w:rsidR="0054785E" w:rsidRDefault="0054785E" w:rsidP="005D385E">
            <w:pPr>
              <w:jc w:val="center"/>
              <w:rPr>
                <w:rFonts w:cstheme="minorHAnsi"/>
              </w:rPr>
            </w:pPr>
          </w:p>
        </w:tc>
      </w:tr>
      <w:tr w:rsidR="00322B28" w14:paraId="224C8762" w14:textId="77777777" w:rsidTr="005D385E">
        <w:trPr>
          <w:trHeight w:val="20"/>
          <w:jc w:val="center"/>
        </w:trPr>
        <w:tc>
          <w:tcPr>
            <w:tcW w:w="1387"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631450B4" w14:textId="3DD8EA01" w:rsidR="00322B28" w:rsidRPr="001A79F7" w:rsidRDefault="00322B28" w:rsidP="005D385E">
            <w:pPr>
              <w:jc w:val="center"/>
              <w:rPr>
                <w:rFonts w:cstheme="minorHAnsi"/>
              </w:rPr>
            </w:pPr>
            <w:r>
              <w:rPr>
                <w:rFonts w:cstheme="minorHAnsi"/>
              </w:rPr>
              <w:t>(</w:t>
            </w:r>
            <w:r w:rsidR="0054785E">
              <w:rPr>
                <w:rFonts w:cstheme="minorHAnsi"/>
              </w:rPr>
              <w:t>2</w:t>
            </w:r>
            <w:r>
              <w:rPr>
                <w:rFonts w:cstheme="minorHAnsi"/>
              </w:rPr>
              <w:t>)</w:t>
            </w:r>
          </w:p>
        </w:tc>
        <w:tc>
          <w:tcPr>
            <w:tcW w:w="668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68EF85" w14:textId="2935A721" w:rsidR="00322B28" w:rsidRPr="001A79F7" w:rsidRDefault="00322B28" w:rsidP="005D385E">
            <w:pPr>
              <w:jc w:val="center"/>
              <w:rPr>
                <w:rFonts w:cstheme="minorHAnsi"/>
              </w:rPr>
            </w:pPr>
            <w:r>
              <w:rPr>
                <w:rFonts w:cstheme="minorHAnsi"/>
                <w:bCs/>
                <w:lang w:eastAsia="fr-FR"/>
              </w:rPr>
              <w:t xml:space="preserve">CCGT à </w:t>
            </w:r>
            <w:r w:rsidR="009B784E">
              <w:rPr>
                <w:rFonts w:cstheme="minorHAnsi"/>
                <w:bCs/>
                <w:lang w:eastAsia="fr-FR"/>
              </w:rPr>
              <w:t xml:space="preserve">utilisation </w:t>
            </w:r>
            <w:r>
              <w:rPr>
                <w:rFonts w:cstheme="minorHAnsi"/>
                <w:bCs/>
                <w:lang w:eastAsia="fr-FR"/>
              </w:rPr>
              <w:t>totale nette de combustible ≥ 75</w:t>
            </w:r>
            <w:r w:rsidR="000F02B5">
              <w:rPr>
                <w:rFonts w:cstheme="minorHAnsi"/>
                <w:bCs/>
                <w:lang w:eastAsia="fr-FR"/>
              </w:rPr>
              <w:t xml:space="preserve"> </w:t>
            </w:r>
            <w:r>
              <w:rPr>
                <w:rFonts w:cstheme="minorHAnsi"/>
                <w:bCs/>
                <w:lang w:eastAsia="fr-FR"/>
              </w:rPr>
              <w:t>%</w:t>
            </w:r>
          </w:p>
        </w:tc>
        <w:tc>
          <w:tcPr>
            <w:tcW w:w="2274" w:type="dxa"/>
            <w:gridSpan w:val="3"/>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5DB98AE5" w14:textId="77777777" w:rsidR="00322B28" w:rsidRDefault="00322B28" w:rsidP="005D385E">
            <w:pPr>
              <w:jc w:val="center"/>
              <w:rPr>
                <w:rFonts w:cstheme="minorHAnsi"/>
              </w:rPr>
            </w:pPr>
            <w:r>
              <w:rPr>
                <w:rFonts w:cstheme="minorHAnsi"/>
              </w:rPr>
              <w:t xml:space="preserve">NOx : </w:t>
            </w:r>
            <w:r w:rsidRPr="00BC26D4">
              <w:rPr>
                <w:rFonts w:cstheme="minorHAnsi"/>
                <w:shd w:val="clear" w:color="auto" w:fill="E2EFD9" w:themeFill="accent6" w:themeFillTint="33"/>
              </w:rPr>
              <w:t>A = 50</w:t>
            </w:r>
          </w:p>
          <w:p w14:paraId="32125B45" w14:textId="77777777" w:rsidR="00322B28" w:rsidRDefault="00322B28" w:rsidP="005D385E">
            <w:pPr>
              <w:jc w:val="center"/>
              <w:rPr>
                <w:rFonts w:cstheme="minorHAnsi"/>
              </w:rPr>
            </w:pPr>
            <w:r>
              <w:rPr>
                <w:rFonts w:cstheme="minorHAnsi"/>
              </w:rPr>
              <w:t xml:space="preserve">NOx : </w:t>
            </w:r>
            <w:r w:rsidRPr="004A30E3">
              <w:rPr>
                <w:rFonts w:cstheme="minorHAnsi"/>
                <w:shd w:val="clear" w:color="auto" w:fill="B4C6E7" w:themeFill="accent5" w:themeFillTint="66"/>
              </w:rPr>
              <w:t>M = 50</w:t>
            </w:r>
          </w:p>
          <w:p w14:paraId="05442503" w14:textId="77777777" w:rsidR="00322B28" w:rsidRPr="001A79F7" w:rsidRDefault="00322B28" w:rsidP="005D385E">
            <w:pPr>
              <w:jc w:val="center"/>
              <w:rPr>
                <w:rFonts w:cstheme="minorHAnsi"/>
              </w:rPr>
            </w:pPr>
            <w:r>
              <w:rPr>
                <w:rFonts w:cstheme="minorHAnsi"/>
              </w:rPr>
              <w:t xml:space="preserve">NOx : </w:t>
            </w:r>
            <w:r w:rsidRPr="00BC26D4">
              <w:rPr>
                <w:rFonts w:cstheme="minorHAnsi"/>
                <w:shd w:val="clear" w:color="auto" w:fill="92D050"/>
              </w:rPr>
              <w:t>J = 55</w:t>
            </w:r>
          </w:p>
        </w:tc>
      </w:tr>
      <w:tr w:rsidR="00322B28" w14:paraId="3492D43F" w14:textId="77777777" w:rsidTr="005D385E">
        <w:trPr>
          <w:trHeight w:val="20"/>
          <w:jc w:val="center"/>
        </w:trPr>
        <w:tc>
          <w:tcPr>
            <w:tcW w:w="1387"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6CF28348" w14:textId="45960B58" w:rsidR="00322B28" w:rsidRDefault="00322B28" w:rsidP="005D385E">
            <w:pPr>
              <w:jc w:val="center"/>
              <w:rPr>
                <w:rFonts w:cstheme="minorHAnsi"/>
              </w:rPr>
            </w:pPr>
            <w:r>
              <w:rPr>
                <w:rFonts w:cstheme="minorHAnsi"/>
              </w:rPr>
              <w:t>(</w:t>
            </w:r>
            <w:r w:rsidR="0054785E">
              <w:rPr>
                <w:rFonts w:cstheme="minorHAnsi"/>
              </w:rPr>
              <w:t>3</w:t>
            </w:r>
            <w:r>
              <w:rPr>
                <w:rFonts w:cstheme="minorHAnsi"/>
              </w:rPr>
              <w:t>)</w:t>
            </w:r>
          </w:p>
        </w:tc>
        <w:tc>
          <w:tcPr>
            <w:tcW w:w="668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A34257" w14:textId="77777777" w:rsidR="00322B28" w:rsidRPr="00185B32" w:rsidRDefault="00322B28" w:rsidP="005D385E">
            <w:pPr>
              <w:jc w:val="center"/>
              <w:rPr>
                <w:rFonts w:cstheme="minorHAnsi"/>
                <w:sz w:val="21"/>
                <w:szCs w:val="21"/>
                <w:lang w:eastAsia="fr-FR"/>
              </w:rPr>
            </w:pPr>
            <w:r w:rsidRPr="00272FFC">
              <w:rPr>
                <w:rFonts w:cstheme="minorHAnsi"/>
                <w:sz w:val="21"/>
                <w:szCs w:val="21"/>
                <w:shd w:val="clear" w:color="auto" w:fill="B4C6E7" w:themeFill="accent5" w:themeFillTint="66"/>
                <w:lang w:eastAsia="fr-FR"/>
              </w:rPr>
              <w:t>Pour les gaz de convertisseur à l’oxygène.</w:t>
            </w:r>
          </w:p>
          <w:p w14:paraId="4834CDB6" w14:textId="792E3256" w:rsidR="00322B28" w:rsidRPr="00C56C58" w:rsidRDefault="00322B28" w:rsidP="005D385E">
            <w:pPr>
              <w:jc w:val="center"/>
              <w:rPr>
                <w:rFonts w:cstheme="minorHAnsi"/>
                <w:bCs/>
                <w:lang w:eastAsia="fr-FR"/>
              </w:rPr>
            </w:pPr>
            <w:r w:rsidRPr="00272FFC">
              <w:rPr>
                <w:rFonts w:cstheme="minorHAnsi"/>
                <w:sz w:val="21"/>
                <w:szCs w:val="21"/>
                <w:shd w:val="clear" w:color="auto" w:fill="B4C6E7" w:themeFill="accent5" w:themeFillTint="66"/>
                <w:lang w:eastAsia="fr-FR"/>
              </w:rPr>
              <w:t>Cette valeur peut être adaptée par le préfet sur la base d’éléments technico-économiques fournis par l’exploitant, des performances des meilleures techniques disponibles et des contraintes liées à l’environnement local afin de garantir la protection des intérêts mentionnés à l’article L.</w:t>
            </w:r>
            <w:r w:rsidR="00D9011B">
              <w:rPr>
                <w:rFonts w:cstheme="minorHAnsi"/>
                <w:sz w:val="21"/>
                <w:szCs w:val="21"/>
                <w:shd w:val="clear" w:color="auto" w:fill="B4C6E7" w:themeFill="accent5" w:themeFillTint="66"/>
                <w:lang w:eastAsia="fr-FR"/>
              </w:rPr>
              <w:t xml:space="preserve"> </w:t>
            </w:r>
            <w:r w:rsidRPr="00272FFC">
              <w:rPr>
                <w:rFonts w:cstheme="minorHAnsi"/>
                <w:sz w:val="21"/>
                <w:szCs w:val="21"/>
                <w:shd w:val="clear" w:color="auto" w:fill="B4C6E7" w:themeFill="accent5" w:themeFillTint="66"/>
                <w:lang w:eastAsia="fr-FR"/>
              </w:rPr>
              <w:t>511-1 du code de l’environnement</w:t>
            </w:r>
            <w:r w:rsidRPr="00185B32">
              <w:rPr>
                <w:rFonts w:cstheme="minorHAnsi"/>
                <w:sz w:val="21"/>
                <w:szCs w:val="21"/>
                <w:lang w:eastAsia="fr-FR"/>
              </w:rPr>
              <w:t>,</w:t>
            </w:r>
            <w:r w:rsidRPr="00272FFC">
              <w:rPr>
                <w:rFonts w:cstheme="minorHAnsi"/>
                <w:sz w:val="21"/>
                <w:szCs w:val="21"/>
                <w:shd w:val="clear" w:color="auto" w:fill="E2EFD9" w:themeFill="accent6" w:themeFillTint="33"/>
                <w:lang w:eastAsia="fr-FR"/>
              </w:rPr>
              <w:t xml:space="preserve"> sans toutefois dépasser </w:t>
            </w:r>
            <w:r>
              <w:rPr>
                <w:rFonts w:cstheme="minorHAnsi"/>
                <w:sz w:val="21"/>
                <w:szCs w:val="21"/>
                <w:shd w:val="clear" w:color="auto" w:fill="E2EFD9" w:themeFill="accent6" w:themeFillTint="33"/>
                <w:lang w:eastAsia="fr-FR"/>
              </w:rPr>
              <w:t>65 mg/Nm</w:t>
            </w:r>
            <w:r w:rsidRPr="00050326">
              <w:rPr>
                <w:rFonts w:cstheme="minorHAnsi"/>
                <w:sz w:val="21"/>
                <w:szCs w:val="21"/>
                <w:shd w:val="clear" w:color="auto" w:fill="E2EFD9" w:themeFill="accent6" w:themeFillTint="33"/>
                <w:vertAlign w:val="superscript"/>
                <w:lang w:eastAsia="fr-FR"/>
              </w:rPr>
              <w:t>3</w:t>
            </w:r>
            <w:r>
              <w:rPr>
                <w:rFonts w:cstheme="minorHAnsi"/>
                <w:sz w:val="21"/>
                <w:szCs w:val="21"/>
                <w:shd w:val="clear" w:color="auto" w:fill="E2EFD9" w:themeFill="accent6" w:themeFillTint="33"/>
                <w:lang w:eastAsia="fr-FR"/>
              </w:rPr>
              <w:t xml:space="preserve"> en valeur mensuelle et 70 en valeur journalière</w:t>
            </w:r>
          </w:p>
        </w:tc>
        <w:tc>
          <w:tcPr>
            <w:tcW w:w="2274" w:type="dxa"/>
            <w:gridSpan w:val="3"/>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2CC48B3F" w14:textId="77777777" w:rsidR="00322B28" w:rsidRPr="00185B32" w:rsidRDefault="00322B28" w:rsidP="005D385E">
            <w:pPr>
              <w:jc w:val="center"/>
              <w:rPr>
                <w:rFonts w:cstheme="minorHAnsi"/>
                <w:sz w:val="21"/>
                <w:szCs w:val="21"/>
                <w:lang w:eastAsia="fr-FR"/>
              </w:rPr>
            </w:pPr>
            <w:proofErr w:type="spellStart"/>
            <w:r w:rsidRPr="00185B32">
              <w:rPr>
                <w:rFonts w:cstheme="minorHAnsi"/>
                <w:sz w:val="21"/>
                <w:szCs w:val="21"/>
                <w:lang w:eastAsia="fr-FR"/>
              </w:rPr>
              <w:t>SOx</w:t>
            </w:r>
            <w:proofErr w:type="spellEnd"/>
            <w:r w:rsidRPr="00185B32">
              <w:rPr>
                <w:rFonts w:cstheme="minorHAnsi"/>
                <w:sz w:val="21"/>
                <w:szCs w:val="21"/>
                <w:lang w:eastAsia="fr-FR"/>
              </w:rPr>
              <w:t xml:space="preserve"> : </w:t>
            </w:r>
            <w:r w:rsidRPr="00272FFC">
              <w:rPr>
                <w:rFonts w:cstheme="minorHAnsi"/>
                <w:sz w:val="21"/>
                <w:szCs w:val="21"/>
                <w:shd w:val="clear" w:color="auto" w:fill="B4C6E7" w:themeFill="accent5" w:themeFillTint="66"/>
                <w:lang w:eastAsia="fr-FR"/>
              </w:rPr>
              <w:t>M = 10</w:t>
            </w:r>
          </w:p>
          <w:p w14:paraId="0B1EB859" w14:textId="77777777" w:rsidR="00322B28" w:rsidRDefault="00322B28" w:rsidP="005D385E">
            <w:pPr>
              <w:jc w:val="center"/>
              <w:rPr>
                <w:rFonts w:cstheme="minorHAnsi"/>
              </w:rPr>
            </w:pPr>
            <w:proofErr w:type="spellStart"/>
            <w:r w:rsidRPr="00185B32">
              <w:rPr>
                <w:rFonts w:cstheme="minorHAnsi"/>
                <w:sz w:val="21"/>
                <w:szCs w:val="21"/>
                <w:lang w:eastAsia="fr-FR"/>
              </w:rPr>
              <w:t>SOx</w:t>
            </w:r>
            <w:proofErr w:type="spellEnd"/>
            <w:r w:rsidRPr="00185B32">
              <w:rPr>
                <w:rFonts w:cstheme="minorHAnsi"/>
                <w:sz w:val="21"/>
                <w:szCs w:val="21"/>
                <w:lang w:eastAsia="fr-FR"/>
              </w:rPr>
              <w:t xml:space="preserve"> : </w:t>
            </w:r>
            <w:r w:rsidRPr="00272FFC">
              <w:rPr>
                <w:rFonts w:cstheme="minorHAnsi"/>
                <w:sz w:val="21"/>
                <w:szCs w:val="21"/>
                <w:shd w:val="clear" w:color="auto" w:fill="B4C6E7" w:themeFill="accent5" w:themeFillTint="66"/>
                <w:lang w:eastAsia="fr-FR"/>
              </w:rPr>
              <w:t>J = 11</w:t>
            </w:r>
          </w:p>
        </w:tc>
      </w:tr>
    </w:tbl>
    <w:p w14:paraId="7FE54B47" w14:textId="77777777" w:rsidR="00322B28" w:rsidRDefault="00322B28" w:rsidP="00322B28">
      <w:pPr>
        <w:rPr>
          <w:b/>
          <w:bCs/>
          <w:u w:val="single"/>
        </w:rPr>
      </w:pPr>
    </w:p>
    <w:p w14:paraId="1A85CD32" w14:textId="46046B17" w:rsidR="00322B28" w:rsidRPr="00B07376" w:rsidRDefault="00322B28" w:rsidP="00322B28">
      <w:r w:rsidRPr="00B07376">
        <w:t>« </w:t>
      </w:r>
      <w:proofErr w:type="gramStart"/>
      <w:r w:rsidRPr="00B07376">
        <w:t>c</w:t>
      </w:r>
      <w:proofErr w:type="gramEnd"/>
      <w:r w:rsidRPr="00B07376">
        <w:t xml:space="preserve">) Turbines autorisées avant le </w:t>
      </w:r>
      <w:r w:rsidR="00963737" w:rsidRPr="00B07376">
        <w:t>1</w:t>
      </w:r>
      <w:r w:rsidR="00963737" w:rsidRPr="00B07376">
        <w:rPr>
          <w:vertAlign w:val="superscript"/>
        </w:rPr>
        <w:t>er</w:t>
      </w:r>
      <w:r w:rsidR="00963737" w:rsidRPr="00B07376">
        <w:t xml:space="preserve"> janvier </w:t>
      </w:r>
      <w:r w:rsidRPr="00B07376">
        <w:t>2014 :</w:t>
      </w:r>
    </w:p>
    <w:p w14:paraId="1AA8B5FF" w14:textId="77777777" w:rsidR="00B418E4" w:rsidRPr="00322B28" w:rsidRDefault="00B418E4" w:rsidP="00B418E4">
      <w:pPr>
        <w:jc w:val="both"/>
      </w:pPr>
      <w:r>
        <w:t>« </w:t>
      </w:r>
      <w:r w:rsidRPr="00322B28">
        <w:t>Les valeurs limites d’émission des lignes « gaz naturel » s’appliquent concernant la combustion de gaz naturel dans les turbines à deux combustibles.</w:t>
      </w:r>
    </w:p>
    <w:p w14:paraId="555ABFB7" w14:textId="77777777" w:rsidR="00B418E4" w:rsidRPr="00322B28" w:rsidRDefault="00B418E4" w:rsidP="00B418E4">
      <w:pPr>
        <w:jc w:val="both"/>
      </w:pPr>
      <w:r>
        <w:t>« </w:t>
      </w:r>
      <w:r w:rsidRPr="00322B28">
        <w:t xml:space="preserve">Dans le cas de turbines à gaz fonctionnant au gaz naturel et équipées de brûleurs bas-NOx par voie sèche, les valeurs limites d’émission en NOx s’appliquent uniquement lorsque les brûleurs fonctionnent en mode bas-NOx par voie sèche. </w:t>
      </w:r>
    </w:p>
    <w:p w14:paraId="0F67C2CC" w14:textId="77777777" w:rsidR="00B418E4" w:rsidRDefault="00B418E4" w:rsidP="00322B28">
      <w:pPr>
        <w:shd w:val="clear" w:color="auto" w:fill="FFFFFF"/>
        <w:jc w:val="both"/>
        <w:rPr>
          <w:bCs/>
          <w:lang w:eastAsia="fr-FR"/>
        </w:rPr>
      </w:pPr>
    </w:p>
    <w:p w14:paraId="7EC0ABE7" w14:textId="34743FE1" w:rsidR="00322B28" w:rsidRPr="00322B28" w:rsidRDefault="006A0043" w:rsidP="00322B28">
      <w:pPr>
        <w:shd w:val="clear" w:color="auto" w:fill="FFFFFF"/>
        <w:jc w:val="both"/>
        <w:rPr>
          <w:bCs/>
          <w:lang w:eastAsia="fr-FR"/>
        </w:rPr>
      </w:pPr>
      <w:r>
        <w:rPr>
          <w:bCs/>
          <w:lang w:eastAsia="fr-FR"/>
        </w:rPr>
        <w:t>« </w:t>
      </w:r>
      <w:r w:rsidR="00322B28" w:rsidRPr="00322B28">
        <w:rPr>
          <w:bCs/>
          <w:lang w:eastAsia="fr-FR"/>
        </w:rPr>
        <w:t>Pour les polluants et combustibles pour lesquels aucune valeur limite d’émission n’est mentionnée dans le tableau ci-dessous, les valeurs limites applicables sont celles du</w:t>
      </w:r>
      <w:r w:rsidR="00316A25">
        <w:rPr>
          <w:bCs/>
          <w:lang w:eastAsia="fr-FR"/>
        </w:rPr>
        <w:t xml:space="preserve"> point b) du</w:t>
      </w:r>
      <w:r w:rsidR="00322B28" w:rsidRPr="00322B28">
        <w:rPr>
          <w:bCs/>
          <w:lang w:eastAsia="fr-FR"/>
        </w:rPr>
        <w:t xml:space="preserve"> I</w:t>
      </w:r>
      <w:r w:rsidR="00316A25">
        <w:rPr>
          <w:bCs/>
          <w:lang w:eastAsia="fr-FR"/>
        </w:rPr>
        <w:t xml:space="preserve"> </w:t>
      </w:r>
      <w:r w:rsidR="00322B28" w:rsidRPr="00322B28">
        <w:rPr>
          <w:bCs/>
          <w:lang w:eastAsia="fr-FR"/>
        </w:rPr>
        <w:t>du présent article.</w:t>
      </w:r>
    </w:p>
    <w:p w14:paraId="408FB793" w14:textId="3794B1D0" w:rsidR="00322B28" w:rsidRPr="00322B28" w:rsidRDefault="00322B28" w:rsidP="00322B28">
      <w:pPr>
        <w:jc w:val="both"/>
        <w:rPr>
          <w:bCs/>
          <w:lang w:eastAsia="fr-FR"/>
        </w:rPr>
      </w:pPr>
      <w:r>
        <w:rPr>
          <w:bCs/>
          <w:lang w:eastAsia="fr-FR"/>
        </w:rPr>
        <w:t>« </w:t>
      </w:r>
      <w:r w:rsidRPr="00322B28">
        <w:rPr>
          <w:bCs/>
          <w:lang w:eastAsia="fr-FR"/>
        </w:rPr>
        <w:t xml:space="preserve">Pour les installations </w:t>
      </w:r>
      <w:r w:rsidR="0094246F">
        <w:rPr>
          <w:bCs/>
          <w:lang w:eastAsia="fr-FR"/>
        </w:rPr>
        <w:t xml:space="preserve">de combustion </w:t>
      </w:r>
      <w:r w:rsidRPr="00322B28">
        <w:rPr>
          <w:bCs/>
          <w:lang w:eastAsia="fr-FR"/>
        </w:rPr>
        <w:t xml:space="preserve">exploitées moins de 500 heures par an, seules les dispositions </w:t>
      </w:r>
      <w:r w:rsidR="00316A25">
        <w:rPr>
          <w:bCs/>
          <w:lang w:eastAsia="fr-FR"/>
        </w:rPr>
        <w:t xml:space="preserve">du I. </w:t>
      </w:r>
      <w:r w:rsidRPr="00322B28">
        <w:rPr>
          <w:bCs/>
          <w:lang w:eastAsia="fr-FR"/>
        </w:rPr>
        <w:t>de l’article 11 s’appliquent.</w:t>
      </w:r>
    </w:p>
    <w:p w14:paraId="5EF33CFA" w14:textId="77777777" w:rsidR="00322B28" w:rsidRDefault="00322B28" w:rsidP="00322B28">
      <w:pPr>
        <w:jc w:val="both"/>
      </w:pPr>
    </w:p>
    <w:tbl>
      <w:tblPr>
        <w:tblW w:w="10485"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91"/>
        <w:gridCol w:w="1631"/>
        <w:gridCol w:w="797"/>
        <w:gridCol w:w="811"/>
        <w:gridCol w:w="783"/>
        <w:gridCol w:w="797"/>
        <w:gridCol w:w="811"/>
        <w:gridCol w:w="811"/>
        <w:gridCol w:w="852"/>
        <w:gridCol w:w="850"/>
        <w:gridCol w:w="851"/>
      </w:tblGrid>
      <w:tr w:rsidR="00322B28" w:rsidRPr="00953C45" w14:paraId="059D1BBB" w14:textId="77777777" w:rsidTr="005D385E">
        <w:trPr>
          <w:trHeight w:val="430"/>
          <w:jc w:val="center"/>
        </w:trPr>
        <w:tc>
          <w:tcPr>
            <w:tcW w:w="1491"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34772EDE"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Combustibles</w:t>
            </w:r>
          </w:p>
        </w:tc>
        <w:tc>
          <w:tcPr>
            <w:tcW w:w="1631"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5B4DD1A4"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Puissance P (MW)</w:t>
            </w:r>
          </w:p>
        </w:tc>
        <w:tc>
          <w:tcPr>
            <w:tcW w:w="2391"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537055FF"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SO</w:t>
            </w:r>
            <w:r w:rsidRPr="00322B28">
              <w:rPr>
                <w:b/>
                <w:bCs/>
                <w:color w:val="FFFFFF"/>
                <w:sz w:val="20"/>
                <w:szCs w:val="20"/>
                <w:vertAlign w:val="subscript"/>
                <w:lang w:eastAsia="fr-FR"/>
              </w:rPr>
              <w:t>2</w:t>
            </w:r>
            <w:r w:rsidRPr="00322B28">
              <w:rPr>
                <w:b/>
                <w:bCs/>
                <w:color w:val="FFFFFF"/>
                <w:sz w:val="20"/>
                <w:szCs w:val="20"/>
                <w:lang w:eastAsia="fr-FR"/>
              </w:rPr>
              <w:t xml:space="preserve"> (mg/Nm</w:t>
            </w:r>
            <w:r w:rsidRPr="00322B28">
              <w:rPr>
                <w:b/>
                <w:bCs/>
                <w:color w:val="FFFFFF"/>
                <w:sz w:val="20"/>
                <w:szCs w:val="20"/>
                <w:vertAlign w:val="superscript"/>
                <w:lang w:eastAsia="fr-FR"/>
              </w:rPr>
              <w:t>3</w:t>
            </w:r>
            <w:r w:rsidRPr="00322B28">
              <w:rPr>
                <w:b/>
                <w:bCs/>
                <w:color w:val="FFFFFF"/>
                <w:sz w:val="20"/>
                <w:szCs w:val="20"/>
                <w:lang w:eastAsia="fr-FR"/>
              </w:rPr>
              <w:t>)</w:t>
            </w:r>
          </w:p>
        </w:tc>
        <w:tc>
          <w:tcPr>
            <w:tcW w:w="2419"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179FF42D"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NOx (mg/Nm</w:t>
            </w:r>
            <w:r w:rsidRPr="00322B28">
              <w:rPr>
                <w:b/>
                <w:bCs/>
                <w:color w:val="FFFFFF"/>
                <w:sz w:val="20"/>
                <w:szCs w:val="20"/>
                <w:vertAlign w:val="superscript"/>
                <w:lang w:eastAsia="fr-FR"/>
              </w:rPr>
              <w:t>3</w:t>
            </w:r>
            <w:r w:rsidRPr="00322B28">
              <w:rPr>
                <w:b/>
                <w:bCs/>
                <w:color w:val="FFFFFF"/>
                <w:sz w:val="20"/>
                <w:szCs w:val="20"/>
                <w:lang w:eastAsia="fr-FR"/>
              </w:rPr>
              <w:t>)</w:t>
            </w:r>
          </w:p>
        </w:tc>
        <w:tc>
          <w:tcPr>
            <w:tcW w:w="2553"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6E672255"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Poussières (mg/Nm</w:t>
            </w:r>
            <w:r w:rsidRPr="00322B28">
              <w:rPr>
                <w:b/>
                <w:bCs/>
                <w:color w:val="FFFFFF"/>
                <w:sz w:val="20"/>
                <w:szCs w:val="20"/>
                <w:vertAlign w:val="superscript"/>
                <w:lang w:eastAsia="fr-FR"/>
              </w:rPr>
              <w:t>3</w:t>
            </w:r>
            <w:r w:rsidRPr="00322B28">
              <w:rPr>
                <w:b/>
                <w:bCs/>
                <w:color w:val="FFFFFF"/>
                <w:sz w:val="20"/>
                <w:szCs w:val="20"/>
                <w:lang w:eastAsia="fr-FR"/>
              </w:rPr>
              <w:t>)</w:t>
            </w:r>
          </w:p>
        </w:tc>
      </w:tr>
      <w:tr w:rsidR="00322B28" w:rsidRPr="00953C45" w14:paraId="47AA730B" w14:textId="77777777" w:rsidTr="005D385E">
        <w:trPr>
          <w:trHeight w:val="354"/>
          <w:jc w:val="center"/>
        </w:trPr>
        <w:tc>
          <w:tcPr>
            <w:tcW w:w="1491"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773D8A5B" w14:textId="77777777" w:rsidR="00322B28" w:rsidRPr="00322B28" w:rsidRDefault="00322B28" w:rsidP="005D385E">
            <w:pPr>
              <w:jc w:val="center"/>
              <w:rPr>
                <w:b/>
                <w:bCs/>
                <w:color w:val="FFFFFF"/>
                <w:sz w:val="20"/>
                <w:szCs w:val="20"/>
                <w:lang w:eastAsia="fr-FR"/>
              </w:rPr>
            </w:pPr>
          </w:p>
        </w:tc>
        <w:tc>
          <w:tcPr>
            <w:tcW w:w="1631"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EF1B275" w14:textId="77777777" w:rsidR="00322B28" w:rsidRPr="00322B28" w:rsidRDefault="00322B28" w:rsidP="005D385E">
            <w:pPr>
              <w:jc w:val="center"/>
              <w:rPr>
                <w:b/>
                <w:bCs/>
                <w:color w:val="FFFFFF"/>
                <w:sz w:val="20"/>
                <w:szCs w:val="20"/>
                <w:lang w:eastAsia="fr-FR"/>
              </w:rPr>
            </w:pPr>
          </w:p>
        </w:tc>
        <w:tc>
          <w:tcPr>
            <w:tcW w:w="797"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6957ED78"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A</w:t>
            </w:r>
          </w:p>
        </w:tc>
        <w:tc>
          <w:tcPr>
            <w:tcW w:w="811" w:type="dxa"/>
            <w:tcBorders>
              <w:top w:val="single" w:sz="4" w:space="0" w:color="auto"/>
              <w:left w:val="single" w:sz="4" w:space="0" w:color="auto"/>
              <w:bottom w:val="single" w:sz="4" w:space="0" w:color="auto"/>
              <w:right w:val="single" w:sz="4" w:space="0" w:color="auto"/>
            </w:tcBorders>
            <w:shd w:val="clear" w:color="auto" w:fill="5C75A2"/>
            <w:vAlign w:val="center"/>
          </w:tcPr>
          <w:p w14:paraId="6D3E12EC"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M</w:t>
            </w:r>
          </w:p>
        </w:tc>
        <w:tc>
          <w:tcPr>
            <w:tcW w:w="783" w:type="dxa"/>
            <w:tcBorders>
              <w:top w:val="single" w:sz="4" w:space="0" w:color="auto"/>
              <w:left w:val="single" w:sz="4" w:space="0" w:color="auto"/>
              <w:bottom w:val="single" w:sz="4" w:space="0" w:color="auto"/>
              <w:right w:val="single" w:sz="4" w:space="0" w:color="auto"/>
            </w:tcBorders>
            <w:shd w:val="clear" w:color="auto" w:fill="5C75A2"/>
            <w:vAlign w:val="center"/>
          </w:tcPr>
          <w:p w14:paraId="0168CB05"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J</w:t>
            </w:r>
          </w:p>
        </w:tc>
        <w:tc>
          <w:tcPr>
            <w:tcW w:w="797"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C4125DB"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A</w:t>
            </w:r>
          </w:p>
        </w:tc>
        <w:tc>
          <w:tcPr>
            <w:tcW w:w="811" w:type="dxa"/>
            <w:tcBorders>
              <w:top w:val="single" w:sz="4" w:space="0" w:color="auto"/>
              <w:left w:val="single" w:sz="4" w:space="0" w:color="auto"/>
              <w:bottom w:val="single" w:sz="4" w:space="0" w:color="auto"/>
              <w:right w:val="single" w:sz="4" w:space="0" w:color="auto"/>
            </w:tcBorders>
            <w:shd w:val="clear" w:color="auto" w:fill="5C75A2"/>
            <w:vAlign w:val="center"/>
          </w:tcPr>
          <w:p w14:paraId="5A560E63"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M</w:t>
            </w:r>
          </w:p>
        </w:tc>
        <w:tc>
          <w:tcPr>
            <w:tcW w:w="811" w:type="dxa"/>
            <w:tcBorders>
              <w:top w:val="single" w:sz="4" w:space="0" w:color="auto"/>
              <w:left w:val="single" w:sz="4" w:space="0" w:color="auto"/>
              <w:bottom w:val="single" w:sz="4" w:space="0" w:color="auto"/>
              <w:right w:val="single" w:sz="4" w:space="0" w:color="auto"/>
            </w:tcBorders>
            <w:shd w:val="clear" w:color="auto" w:fill="5C75A2"/>
            <w:vAlign w:val="center"/>
          </w:tcPr>
          <w:p w14:paraId="3272CA6A"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J</w:t>
            </w:r>
          </w:p>
        </w:tc>
        <w:tc>
          <w:tcPr>
            <w:tcW w:w="852"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78CC0997"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A</w:t>
            </w:r>
          </w:p>
        </w:tc>
        <w:tc>
          <w:tcPr>
            <w:tcW w:w="850" w:type="dxa"/>
            <w:tcBorders>
              <w:top w:val="single" w:sz="4" w:space="0" w:color="auto"/>
              <w:left w:val="single" w:sz="4" w:space="0" w:color="auto"/>
              <w:bottom w:val="single" w:sz="4" w:space="0" w:color="auto"/>
              <w:right w:val="single" w:sz="4" w:space="0" w:color="auto"/>
            </w:tcBorders>
            <w:shd w:val="clear" w:color="auto" w:fill="5C75A2"/>
            <w:vAlign w:val="center"/>
          </w:tcPr>
          <w:p w14:paraId="4698D1D4"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M</w:t>
            </w:r>
          </w:p>
        </w:tc>
        <w:tc>
          <w:tcPr>
            <w:tcW w:w="851" w:type="dxa"/>
            <w:tcBorders>
              <w:top w:val="single" w:sz="4" w:space="0" w:color="auto"/>
              <w:left w:val="single" w:sz="4" w:space="0" w:color="auto"/>
              <w:bottom w:val="single" w:sz="4" w:space="0" w:color="auto"/>
              <w:right w:val="single" w:sz="4" w:space="0" w:color="auto"/>
            </w:tcBorders>
            <w:shd w:val="clear" w:color="auto" w:fill="5C75A2"/>
            <w:vAlign w:val="center"/>
          </w:tcPr>
          <w:p w14:paraId="6FB6821D" w14:textId="77777777" w:rsidR="00322B28" w:rsidRPr="00322B28" w:rsidRDefault="00322B28" w:rsidP="005D385E">
            <w:pPr>
              <w:jc w:val="center"/>
              <w:rPr>
                <w:b/>
                <w:bCs/>
                <w:color w:val="FFFFFF"/>
                <w:sz w:val="20"/>
                <w:szCs w:val="20"/>
                <w:lang w:eastAsia="fr-FR"/>
              </w:rPr>
            </w:pPr>
            <w:r w:rsidRPr="00322B28">
              <w:rPr>
                <w:b/>
                <w:bCs/>
                <w:color w:val="FFFFFF"/>
                <w:sz w:val="20"/>
                <w:szCs w:val="20"/>
                <w:lang w:eastAsia="fr-FR"/>
              </w:rPr>
              <w:t>J</w:t>
            </w:r>
          </w:p>
        </w:tc>
      </w:tr>
      <w:tr w:rsidR="00322B28" w:rsidRPr="009370F5" w14:paraId="7FB8715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restart"/>
            <w:vAlign w:val="center"/>
          </w:tcPr>
          <w:p w14:paraId="710C4509" w14:textId="77777777" w:rsidR="00322B28" w:rsidRPr="00322B28" w:rsidRDefault="00322B28" w:rsidP="005D385E">
            <w:pPr>
              <w:jc w:val="center"/>
              <w:rPr>
                <w:b/>
                <w:bCs/>
                <w:sz w:val="20"/>
                <w:szCs w:val="20"/>
                <w:lang w:eastAsia="fr-FR"/>
              </w:rPr>
            </w:pPr>
            <w:r w:rsidRPr="00322B28">
              <w:rPr>
                <w:b/>
                <w:bCs/>
                <w:sz w:val="20"/>
                <w:szCs w:val="20"/>
                <w:lang w:eastAsia="fr-FR"/>
              </w:rPr>
              <w:t>Fioul domestique</w:t>
            </w:r>
          </w:p>
        </w:tc>
        <w:tc>
          <w:tcPr>
            <w:tcW w:w="1631" w:type="dxa"/>
            <w:shd w:val="clear" w:color="auto" w:fill="F5F5F5"/>
            <w:tcMar>
              <w:top w:w="150" w:type="dxa"/>
              <w:left w:w="150" w:type="dxa"/>
              <w:bottom w:w="150" w:type="dxa"/>
              <w:right w:w="150" w:type="dxa"/>
            </w:tcMar>
            <w:vAlign w:val="center"/>
          </w:tcPr>
          <w:p w14:paraId="7EC15484" w14:textId="77777777" w:rsidR="00322B28" w:rsidRPr="00322B28" w:rsidRDefault="00322B28" w:rsidP="005D385E">
            <w:pPr>
              <w:jc w:val="center"/>
              <w:rPr>
                <w:b/>
                <w:bCs/>
                <w:sz w:val="20"/>
                <w:szCs w:val="20"/>
                <w:lang w:eastAsia="fr-FR"/>
              </w:rPr>
            </w:pPr>
            <w:r w:rsidRPr="00322B28">
              <w:rPr>
                <w:b/>
                <w:bCs/>
                <w:sz w:val="20"/>
                <w:szCs w:val="20"/>
                <w:lang w:eastAsia="fr-FR"/>
              </w:rPr>
              <w:t>50 ≤ P &lt; 100</w:t>
            </w:r>
          </w:p>
        </w:tc>
        <w:tc>
          <w:tcPr>
            <w:tcW w:w="797" w:type="dxa"/>
            <w:vMerge w:val="restart"/>
            <w:tcBorders>
              <w:top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A5E7095" w14:textId="77777777" w:rsidR="00322B28" w:rsidRDefault="00322B28" w:rsidP="005D385E">
            <w:pPr>
              <w:jc w:val="center"/>
              <w:rPr>
                <w:b/>
                <w:bCs/>
                <w:sz w:val="20"/>
                <w:szCs w:val="20"/>
                <w:lang w:eastAsia="fr-FR"/>
              </w:rPr>
            </w:pPr>
            <w:r w:rsidRPr="00322B28">
              <w:rPr>
                <w:b/>
                <w:bCs/>
                <w:sz w:val="20"/>
                <w:szCs w:val="20"/>
                <w:lang w:eastAsia="fr-FR"/>
              </w:rPr>
              <w:t>60</w:t>
            </w:r>
          </w:p>
          <w:p w14:paraId="59D43BAC" w14:textId="2EC476F1" w:rsidR="0054785E" w:rsidRPr="00322B28" w:rsidRDefault="0054785E" w:rsidP="005D385E">
            <w:pPr>
              <w:jc w:val="center"/>
              <w:rPr>
                <w:b/>
                <w:bCs/>
                <w:sz w:val="20"/>
                <w:szCs w:val="20"/>
                <w:lang w:eastAsia="fr-FR"/>
              </w:rPr>
            </w:pPr>
            <w:r>
              <w:rPr>
                <w:b/>
                <w:bCs/>
                <w:sz w:val="20"/>
                <w:szCs w:val="20"/>
                <w:lang w:eastAsia="fr-FR"/>
              </w:rPr>
              <w:t>(1)</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0208BB" w14:textId="77777777" w:rsidR="00322B28" w:rsidRPr="00322B28" w:rsidRDefault="00322B28" w:rsidP="005D385E">
            <w:pPr>
              <w:jc w:val="center"/>
              <w:rPr>
                <w:b/>
                <w:bCs/>
                <w:sz w:val="20"/>
                <w:szCs w:val="20"/>
                <w:lang w:eastAsia="fr-FR"/>
              </w:rPr>
            </w:pPr>
            <w:r w:rsidRPr="00322B28">
              <w:rPr>
                <w:b/>
                <w:bCs/>
                <w:sz w:val="20"/>
                <w:szCs w:val="20"/>
                <w:lang w:eastAsia="fr-FR"/>
              </w:rPr>
              <w:t>60</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5C034" w14:textId="77777777" w:rsidR="00322B28" w:rsidRPr="00322B28" w:rsidRDefault="00322B28" w:rsidP="005D385E">
            <w:pPr>
              <w:jc w:val="center"/>
              <w:rPr>
                <w:b/>
                <w:bCs/>
                <w:sz w:val="20"/>
                <w:szCs w:val="20"/>
                <w:lang w:eastAsia="fr-FR"/>
              </w:rPr>
            </w:pPr>
            <w:r w:rsidRPr="00322B28">
              <w:rPr>
                <w:b/>
                <w:bCs/>
                <w:sz w:val="20"/>
                <w:szCs w:val="20"/>
                <w:lang w:eastAsia="fr-FR"/>
              </w:rPr>
              <w:t>66</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150" w:type="dxa"/>
              <w:bottom w:w="150" w:type="dxa"/>
              <w:right w:w="150" w:type="dxa"/>
            </w:tcMar>
            <w:vAlign w:val="center"/>
          </w:tcPr>
          <w:p w14:paraId="307B75AA" w14:textId="77777777" w:rsidR="00322B28" w:rsidRPr="00322B28" w:rsidRDefault="00322B28" w:rsidP="005D385E">
            <w:pPr>
              <w:jc w:val="center"/>
              <w:rPr>
                <w:b/>
                <w:bCs/>
                <w:sz w:val="20"/>
                <w:szCs w:val="20"/>
                <w:lang w:eastAsia="fr-FR"/>
              </w:rPr>
            </w:pPr>
          </w:p>
        </w:tc>
        <w:tc>
          <w:tcPr>
            <w:tcW w:w="811"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B5DCE75" w14:textId="77777777" w:rsidR="00322B28" w:rsidRPr="00322B28" w:rsidRDefault="00322B28" w:rsidP="005D385E">
            <w:pPr>
              <w:jc w:val="center"/>
              <w:rPr>
                <w:b/>
                <w:bCs/>
                <w:sz w:val="20"/>
                <w:szCs w:val="20"/>
                <w:lang w:eastAsia="fr-FR"/>
              </w:rPr>
            </w:pPr>
            <w:r w:rsidRPr="00322B28">
              <w:rPr>
                <w:b/>
                <w:bCs/>
                <w:sz w:val="20"/>
                <w:szCs w:val="20"/>
                <w:lang w:eastAsia="fr-FR"/>
              </w:rPr>
              <w:t>90</w:t>
            </w:r>
          </w:p>
          <w:p w14:paraId="28C60DDC" w14:textId="6AC3795F"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2</w:t>
            </w:r>
            <w:r w:rsidRPr="00322B28">
              <w:rPr>
                <w:b/>
                <w:bCs/>
                <w:sz w:val="20"/>
                <w:szCs w:val="20"/>
                <w:lang w:eastAsia="fr-FR"/>
              </w:rPr>
              <w:t>)</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10E82F8" w14:textId="77777777" w:rsidR="00322B28" w:rsidRPr="00322B28" w:rsidRDefault="00322B28" w:rsidP="005D385E">
            <w:pPr>
              <w:jc w:val="center"/>
              <w:rPr>
                <w:b/>
                <w:bCs/>
                <w:sz w:val="20"/>
                <w:szCs w:val="20"/>
                <w:lang w:eastAsia="fr-FR"/>
              </w:rPr>
            </w:pPr>
            <w:r w:rsidRPr="00322B28">
              <w:rPr>
                <w:b/>
                <w:bCs/>
                <w:sz w:val="20"/>
                <w:szCs w:val="20"/>
                <w:lang w:eastAsia="fr-FR"/>
              </w:rPr>
              <w:t>99</w:t>
            </w:r>
          </w:p>
          <w:p w14:paraId="34C339F6" w14:textId="68141B29"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2</w:t>
            </w:r>
            <w:r w:rsidRPr="00322B28">
              <w:rPr>
                <w:b/>
                <w:bCs/>
                <w:sz w:val="20"/>
                <w:szCs w:val="20"/>
                <w:lang w:eastAsia="fr-FR"/>
              </w:rPr>
              <w:t>)</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C059BFE" w14:textId="77777777" w:rsidR="00322B28" w:rsidRDefault="00322B28" w:rsidP="005D385E">
            <w:pPr>
              <w:jc w:val="center"/>
              <w:rPr>
                <w:b/>
                <w:bCs/>
                <w:sz w:val="20"/>
                <w:szCs w:val="20"/>
                <w:lang w:eastAsia="fr-FR"/>
              </w:rPr>
            </w:pPr>
            <w:r w:rsidRPr="00322B28">
              <w:rPr>
                <w:b/>
                <w:bCs/>
                <w:sz w:val="20"/>
                <w:szCs w:val="20"/>
                <w:lang w:eastAsia="fr-FR"/>
              </w:rPr>
              <w:t>5</w:t>
            </w:r>
          </w:p>
          <w:p w14:paraId="4093725A" w14:textId="5995EADB" w:rsidR="0054785E" w:rsidRPr="00322B28" w:rsidRDefault="0054785E" w:rsidP="005D385E">
            <w:pPr>
              <w:jc w:val="center"/>
              <w:rPr>
                <w:b/>
                <w:bCs/>
                <w:sz w:val="20"/>
                <w:szCs w:val="20"/>
                <w:lang w:eastAsia="fr-FR"/>
              </w:rPr>
            </w:pPr>
            <w:r>
              <w:rPr>
                <w:b/>
                <w:bCs/>
                <w:sz w:val="20"/>
                <w:szCs w:val="20"/>
                <w:lang w:eastAsia="fr-FR"/>
              </w:rPr>
              <w:t>(1)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96B451"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908E85" w14:textId="77777777" w:rsidR="00322B28" w:rsidRPr="00322B28" w:rsidRDefault="00322B28" w:rsidP="005D385E">
            <w:pPr>
              <w:jc w:val="center"/>
              <w:rPr>
                <w:b/>
                <w:bCs/>
                <w:sz w:val="20"/>
                <w:szCs w:val="20"/>
                <w:lang w:eastAsia="fr-FR"/>
              </w:rPr>
            </w:pPr>
            <w:r w:rsidRPr="00322B28">
              <w:rPr>
                <w:b/>
                <w:bCs/>
                <w:sz w:val="20"/>
                <w:szCs w:val="20"/>
                <w:lang w:eastAsia="fr-FR"/>
              </w:rPr>
              <w:t>10</w:t>
            </w:r>
          </w:p>
        </w:tc>
      </w:tr>
      <w:tr w:rsidR="00322B28" w:rsidRPr="009370F5" w14:paraId="7F3BA358"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ign w:val="center"/>
          </w:tcPr>
          <w:p w14:paraId="61E0D52B" w14:textId="77777777" w:rsidR="00322B28" w:rsidRPr="00322B28" w:rsidRDefault="00322B28" w:rsidP="005D385E">
            <w:pPr>
              <w:jc w:val="cente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095EC63D" w14:textId="77777777" w:rsidR="00322B28" w:rsidRPr="00322B28" w:rsidRDefault="00322B28" w:rsidP="005D385E">
            <w:pPr>
              <w:jc w:val="center"/>
              <w:rPr>
                <w:b/>
                <w:bCs/>
                <w:sz w:val="20"/>
                <w:szCs w:val="20"/>
                <w:lang w:eastAsia="fr-FR"/>
              </w:rPr>
            </w:pPr>
            <w:r w:rsidRPr="00322B28">
              <w:rPr>
                <w:b/>
                <w:bCs/>
                <w:sz w:val="20"/>
                <w:szCs w:val="20"/>
                <w:lang w:eastAsia="fr-FR"/>
              </w:rPr>
              <w:t>100 ≤ P &lt; 300</w:t>
            </w:r>
          </w:p>
        </w:tc>
        <w:tc>
          <w:tcPr>
            <w:tcW w:w="797" w:type="dxa"/>
            <w:vMerge/>
            <w:shd w:val="clear" w:color="auto" w:fill="D9D9D9" w:themeFill="background1" w:themeFillShade="D9"/>
            <w:tcMar>
              <w:top w:w="150" w:type="dxa"/>
              <w:left w:w="150" w:type="dxa"/>
              <w:bottom w:w="150" w:type="dxa"/>
              <w:right w:w="150" w:type="dxa"/>
            </w:tcMar>
            <w:vAlign w:val="center"/>
          </w:tcPr>
          <w:p w14:paraId="13E7D00E"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3F255DE9"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17908FA9" w14:textId="77777777" w:rsidR="00322B28" w:rsidRPr="00322B28" w:rsidRDefault="00322B28" w:rsidP="005D385E">
            <w:pPr>
              <w:jc w:val="center"/>
              <w:rPr>
                <w:b/>
                <w:bCs/>
                <w:sz w:val="20"/>
                <w:szCs w:val="20"/>
                <w:lang w:eastAsia="fr-FR"/>
              </w:rPr>
            </w:pPr>
          </w:p>
        </w:tc>
        <w:tc>
          <w:tcPr>
            <w:tcW w:w="797" w:type="dxa"/>
            <w:vMerge/>
            <w:shd w:val="clear" w:color="auto" w:fill="F5F5F5"/>
            <w:tcMar>
              <w:top w:w="150" w:type="dxa"/>
              <w:left w:w="150" w:type="dxa"/>
              <w:bottom w:w="150" w:type="dxa"/>
              <w:right w:w="150" w:type="dxa"/>
            </w:tcMar>
            <w:vAlign w:val="center"/>
          </w:tcPr>
          <w:p w14:paraId="1FE3FBF8" w14:textId="77777777" w:rsidR="00322B28" w:rsidRPr="00322B28" w:rsidRDefault="00322B28" w:rsidP="005D385E">
            <w:pPr>
              <w:jc w:val="center"/>
              <w:rPr>
                <w:b/>
                <w:bCs/>
                <w:sz w:val="20"/>
                <w:szCs w:val="20"/>
                <w:lang w:eastAsia="fr-FR"/>
              </w:rPr>
            </w:pPr>
          </w:p>
        </w:tc>
        <w:tc>
          <w:tcPr>
            <w:tcW w:w="811" w:type="dxa"/>
            <w:vMerge/>
            <w:shd w:val="clear" w:color="auto" w:fill="F5F5F5"/>
            <w:vAlign w:val="center"/>
          </w:tcPr>
          <w:p w14:paraId="08462E11" w14:textId="77777777" w:rsidR="00322B28" w:rsidRPr="00322B28" w:rsidRDefault="00322B28" w:rsidP="005D385E">
            <w:pPr>
              <w:jc w:val="center"/>
              <w:rPr>
                <w:b/>
                <w:bCs/>
                <w:sz w:val="20"/>
                <w:szCs w:val="20"/>
                <w:lang w:eastAsia="fr-FR"/>
              </w:rPr>
            </w:pPr>
          </w:p>
        </w:tc>
        <w:tc>
          <w:tcPr>
            <w:tcW w:w="811" w:type="dxa"/>
            <w:vMerge/>
            <w:shd w:val="clear" w:color="auto" w:fill="F5F5F5"/>
            <w:vAlign w:val="center"/>
          </w:tcPr>
          <w:p w14:paraId="0761F4E8" w14:textId="77777777" w:rsidR="00322B28" w:rsidRPr="00322B28" w:rsidRDefault="00322B28" w:rsidP="005D385E">
            <w:pPr>
              <w:jc w:val="center"/>
              <w:rPr>
                <w:b/>
                <w:bCs/>
                <w:sz w:val="20"/>
                <w:szCs w:val="20"/>
                <w:lang w:eastAsia="fr-FR"/>
              </w:rPr>
            </w:pPr>
          </w:p>
        </w:tc>
        <w:tc>
          <w:tcPr>
            <w:tcW w:w="852" w:type="dxa"/>
            <w:vMerge/>
            <w:shd w:val="clear" w:color="auto" w:fill="D9D9D9" w:themeFill="background1" w:themeFillShade="D9"/>
            <w:tcMar>
              <w:top w:w="150" w:type="dxa"/>
              <w:left w:w="150" w:type="dxa"/>
              <w:bottom w:w="150" w:type="dxa"/>
              <w:right w:w="150" w:type="dxa"/>
            </w:tcMar>
            <w:vAlign w:val="center"/>
          </w:tcPr>
          <w:p w14:paraId="53FD1AA2" w14:textId="77777777" w:rsidR="00322B28" w:rsidRPr="00322B28" w:rsidRDefault="00322B28" w:rsidP="005D385E">
            <w:pPr>
              <w:jc w:val="center"/>
              <w:rPr>
                <w:b/>
                <w:bCs/>
                <w:sz w:val="20"/>
                <w:szCs w:val="20"/>
                <w:lang w:eastAsia="fr-FR"/>
              </w:rPr>
            </w:pPr>
          </w:p>
        </w:tc>
        <w:tc>
          <w:tcPr>
            <w:tcW w:w="850" w:type="dxa"/>
            <w:vMerge/>
            <w:shd w:val="clear" w:color="auto" w:fill="D9D9D9" w:themeFill="background1" w:themeFillShade="D9"/>
            <w:vAlign w:val="center"/>
          </w:tcPr>
          <w:p w14:paraId="2FF39517" w14:textId="77777777" w:rsidR="00322B28" w:rsidRPr="00322B28" w:rsidRDefault="00322B28" w:rsidP="005D385E">
            <w:pPr>
              <w:jc w:val="center"/>
              <w:rPr>
                <w:b/>
                <w:bCs/>
                <w:sz w:val="20"/>
                <w:szCs w:val="20"/>
                <w:lang w:eastAsia="fr-FR"/>
              </w:rPr>
            </w:pPr>
          </w:p>
        </w:tc>
        <w:tc>
          <w:tcPr>
            <w:tcW w:w="851" w:type="dxa"/>
            <w:vMerge/>
            <w:shd w:val="clear" w:color="auto" w:fill="D9D9D9" w:themeFill="background1" w:themeFillShade="D9"/>
            <w:vAlign w:val="center"/>
          </w:tcPr>
          <w:p w14:paraId="2EAB5DD6" w14:textId="77777777" w:rsidR="00322B28" w:rsidRPr="00322B28" w:rsidRDefault="00322B28" w:rsidP="005D385E">
            <w:pPr>
              <w:jc w:val="center"/>
              <w:rPr>
                <w:b/>
                <w:bCs/>
                <w:sz w:val="20"/>
                <w:szCs w:val="20"/>
                <w:lang w:eastAsia="fr-FR"/>
              </w:rPr>
            </w:pPr>
          </w:p>
        </w:tc>
      </w:tr>
      <w:tr w:rsidR="00322B28" w:rsidRPr="009370F5" w14:paraId="1F85678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ign w:val="center"/>
          </w:tcPr>
          <w:p w14:paraId="2DF6678C" w14:textId="77777777" w:rsidR="00322B28" w:rsidRPr="00322B28" w:rsidRDefault="00322B28" w:rsidP="005D385E">
            <w:pPr>
              <w:jc w:val="cente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60EF3402" w14:textId="77777777" w:rsidR="00322B28" w:rsidRPr="00322B28" w:rsidRDefault="00322B28" w:rsidP="005D385E">
            <w:pPr>
              <w:jc w:val="center"/>
              <w:rPr>
                <w:b/>
                <w:bCs/>
                <w:sz w:val="20"/>
                <w:szCs w:val="20"/>
                <w:lang w:eastAsia="fr-FR"/>
              </w:rPr>
            </w:pPr>
            <w:r w:rsidRPr="00322B28">
              <w:rPr>
                <w:b/>
                <w:bCs/>
                <w:sz w:val="20"/>
                <w:szCs w:val="20"/>
                <w:lang w:eastAsia="fr-FR"/>
              </w:rPr>
              <w:t>300 ≤ P</w:t>
            </w:r>
          </w:p>
        </w:tc>
        <w:tc>
          <w:tcPr>
            <w:tcW w:w="797" w:type="dxa"/>
            <w:vMerge/>
            <w:shd w:val="clear" w:color="auto" w:fill="D9D9D9" w:themeFill="background1" w:themeFillShade="D9"/>
            <w:tcMar>
              <w:top w:w="150" w:type="dxa"/>
              <w:left w:w="150" w:type="dxa"/>
              <w:bottom w:w="150" w:type="dxa"/>
              <w:right w:w="150" w:type="dxa"/>
            </w:tcMar>
            <w:vAlign w:val="center"/>
          </w:tcPr>
          <w:p w14:paraId="53AB1BE0"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66593079"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06A57278" w14:textId="77777777" w:rsidR="00322B28" w:rsidRPr="00322B28" w:rsidRDefault="00322B28" w:rsidP="005D385E">
            <w:pPr>
              <w:jc w:val="center"/>
              <w:rPr>
                <w:b/>
                <w:bCs/>
                <w:sz w:val="20"/>
                <w:szCs w:val="20"/>
                <w:lang w:eastAsia="fr-FR"/>
              </w:rPr>
            </w:pPr>
          </w:p>
        </w:tc>
        <w:tc>
          <w:tcPr>
            <w:tcW w:w="797" w:type="dxa"/>
            <w:vMerge/>
            <w:shd w:val="clear" w:color="auto" w:fill="F5F5F5"/>
            <w:tcMar>
              <w:top w:w="150" w:type="dxa"/>
              <w:left w:w="150" w:type="dxa"/>
              <w:bottom w:w="150" w:type="dxa"/>
              <w:right w:w="150" w:type="dxa"/>
            </w:tcMar>
            <w:vAlign w:val="center"/>
          </w:tcPr>
          <w:p w14:paraId="14251746" w14:textId="77777777" w:rsidR="00322B28" w:rsidRPr="00322B28" w:rsidRDefault="00322B28" w:rsidP="005D385E">
            <w:pPr>
              <w:jc w:val="center"/>
              <w:rPr>
                <w:b/>
                <w:bCs/>
                <w:sz w:val="20"/>
                <w:szCs w:val="20"/>
                <w:lang w:eastAsia="fr-FR"/>
              </w:rPr>
            </w:pPr>
          </w:p>
        </w:tc>
        <w:tc>
          <w:tcPr>
            <w:tcW w:w="811" w:type="dxa"/>
            <w:vMerge/>
            <w:shd w:val="clear" w:color="auto" w:fill="F5F5F5"/>
            <w:vAlign w:val="center"/>
          </w:tcPr>
          <w:p w14:paraId="6DFA9C50" w14:textId="77777777" w:rsidR="00322B28" w:rsidRPr="00322B28" w:rsidRDefault="00322B28" w:rsidP="005D385E">
            <w:pPr>
              <w:jc w:val="center"/>
              <w:rPr>
                <w:b/>
                <w:bCs/>
                <w:sz w:val="20"/>
                <w:szCs w:val="20"/>
                <w:lang w:eastAsia="fr-FR"/>
              </w:rPr>
            </w:pPr>
          </w:p>
        </w:tc>
        <w:tc>
          <w:tcPr>
            <w:tcW w:w="811" w:type="dxa"/>
            <w:vMerge/>
            <w:shd w:val="clear" w:color="auto" w:fill="F5F5F5"/>
            <w:vAlign w:val="center"/>
          </w:tcPr>
          <w:p w14:paraId="424B98A2" w14:textId="77777777" w:rsidR="00322B28" w:rsidRPr="00322B28" w:rsidRDefault="00322B28" w:rsidP="005D385E">
            <w:pPr>
              <w:jc w:val="center"/>
              <w:rPr>
                <w:b/>
                <w:bCs/>
                <w:sz w:val="20"/>
                <w:szCs w:val="20"/>
                <w:lang w:eastAsia="fr-FR"/>
              </w:rPr>
            </w:pPr>
          </w:p>
        </w:tc>
        <w:tc>
          <w:tcPr>
            <w:tcW w:w="852" w:type="dxa"/>
            <w:vMerge/>
            <w:shd w:val="clear" w:color="auto" w:fill="D9D9D9" w:themeFill="background1" w:themeFillShade="D9"/>
            <w:tcMar>
              <w:top w:w="150" w:type="dxa"/>
              <w:left w:w="150" w:type="dxa"/>
              <w:bottom w:w="150" w:type="dxa"/>
              <w:right w:w="150" w:type="dxa"/>
            </w:tcMar>
            <w:vAlign w:val="center"/>
          </w:tcPr>
          <w:p w14:paraId="692B4428" w14:textId="77777777" w:rsidR="00322B28" w:rsidRPr="00322B28" w:rsidRDefault="00322B28" w:rsidP="005D385E">
            <w:pPr>
              <w:jc w:val="center"/>
              <w:rPr>
                <w:b/>
                <w:bCs/>
                <w:sz w:val="20"/>
                <w:szCs w:val="20"/>
                <w:lang w:eastAsia="fr-FR"/>
              </w:rPr>
            </w:pPr>
          </w:p>
        </w:tc>
        <w:tc>
          <w:tcPr>
            <w:tcW w:w="850" w:type="dxa"/>
            <w:vMerge/>
            <w:shd w:val="clear" w:color="auto" w:fill="D9D9D9" w:themeFill="background1" w:themeFillShade="D9"/>
            <w:vAlign w:val="center"/>
          </w:tcPr>
          <w:p w14:paraId="3BE2B369" w14:textId="77777777" w:rsidR="00322B28" w:rsidRPr="00322B28" w:rsidRDefault="00322B28" w:rsidP="005D385E">
            <w:pPr>
              <w:jc w:val="center"/>
              <w:rPr>
                <w:b/>
                <w:bCs/>
                <w:sz w:val="20"/>
                <w:szCs w:val="20"/>
                <w:lang w:eastAsia="fr-FR"/>
              </w:rPr>
            </w:pPr>
          </w:p>
        </w:tc>
        <w:tc>
          <w:tcPr>
            <w:tcW w:w="851" w:type="dxa"/>
            <w:vMerge/>
            <w:shd w:val="clear" w:color="auto" w:fill="D9D9D9" w:themeFill="background1" w:themeFillShade="D9"/>
            <w:vAlign w:val="center"/>
          </w:tcPr>
          <w:p w14:paraId="030986CF" w14:textId="77777777" w:rsidR="00322B28" w:rsidRPr="00322B28" w:rsidRDefault="00322B28" w:rsidP="005D385E">
            <w:pPr>
              <w:jc w:val="center"/>
              <w:rPr>
                <w:b/>
                <w:bCs/>
                <w:sz w:val="20"/>
                <w:szCs w:val="20"/>
                <w:lang w:eastAsia="fr-FR"/>
              </w:rPr>
            </w:pPr>
          </w:p>
        </w:tc>
      </w:tr>
      <w:tr w:rsidR="00322B28" w14:paraId="3294BE4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restart"/>
            <w:vAlign w:val="center"/>
          </w:tcPr>
          <w:p w14:paraId="5BE06B19" w14:textId="77777777" w:rsidR="00322B28" w:rsidRPr="00322B28" w:rsidRDefault="00322B28" w:rsidP="005D385E">
            <w:pPr>
              <w:jc w:val="center"/>
              <w:rPr>
                <w:b/>
                <w:bCs/>
                <w:sz w:val="20"/>
                <w:szCs w:val="20"/>
                <w:lang w:eastAsia="fr-FR"/>
              </w:rPr>
            </w:pPr>
            <w:r w:rsidRPr="00322B28">
              <w:rPr>
                <w:b/>
                <w:bCs/>
                <w:sz w:val="20"/>
                <w:szCs w:val="20"/>
                <w:lang w:eastAsia="fr-FR"/>
              </w:rPr>
              <w:t>Gaz naturel</w:t>
            </w:r>
          </w:p>
          <w:p w14:paraId="4B798781" w14:textId="06ED9B20" w:rsidR="00322B28" w:rsidRPr="00322B28" w:rsidRDefault="00322B28" w:rsidP="005D385E">
            <w:pPr>
              <w:jc w:val="center"/>
              <w:rPr>
                <w:b/>
                <w:bCs/>
                <w:sz w:val="20"/>
                <w:szCs w:val="20"/>
                <w:lang w:eastAsia="fr-FR"/>
              </w:rPr>
            </w:pPr>
            <w:r w:rsidRPr="00322B28">
              <w:rPr>
                <w:b/>
                <w:bCs/>
                <w:sz w:val="20"/>
                <w:szCs w:val="20"/>
                <w:lang w:eastAsia="fr-FR"/>
              </w:rPr>
              <w:t>(</w:t>
            </w:r>
            <w:proofErr w:type="gramStart"/>
            <w:r w:rsidRPr="00322B28">
              <w:rPr>
                <w:b/>
                <w:bCs/>
                <w:sz w:val="20"/>
                <w:szCs w:val="20"/>
                <w:lang w:eastAsia="fr-FR"/>
              </w:rPr>
              <w:t>pour</w:t>
            </w:r>
            <w:proofErr w:type="gramEnd"/>
            <w:r w:rsidRPr="00322B28">
              <w:rPr>
                <w:b/>
                <w:bCs/>
                <w:sz w:val="20"/>
                <w:szCs w:val="20"/>
                <w:lang w:eastAsia="fr-FR"/>
              </w:rPr>
              <w:t xml:space="preserve"> application d’entrainement mécanique</w:t>
            </w:r>
            <w:r w:rsidR="00054DD0">
              <w:rPr>
                <w:b/>
                <w:bCs/>
                <w:sz w:val="20"/>
                <w:szCs w:val="20"/>
                <w:lang w:eastAsia="fr-FR"/>
              </w:rPr>
              <w:t xml:space="preserve"> CCGT ou OCGT</w:t>
            </w:r>
            <w:r w:rsidRPr="00322B28">
              <w:rPr>
                <w:b/>
                <w:bCs/>
                <w:sz w:val="20"/>
                <w:szCs w:val="20"/>
                <w:lang w:eastAsia="fr-FR"/>
              </w:rPr>
              <w:t>)</w:t>
            </w:r>
          </w:p>
        </w:tc>
        <w:tc>
          <w:tcPr>
            <w:tcW w:w="1631" w:type="dxa"/>
            <w:shd w:val="clear" w:color="auto" w:fill="F5F5F5"/>
            <w:tcMar>
              <w:top w:w="150" w:type="dxa"/>
              <w:left w:w="150" w:type="dxa"/>
              <w:bottom w:w="150" w:type="dxa"/>
              <w:right w:w="150" w:type="dxa"/>
            </w:tcMar>
            <w:vAlign w:val="center"/>
          </w:tcPr>
          <w:p w14:paraId="10504F82" w14:textId="77777777" w:rsidR="00322B28" w:rsidRPr="00322B28" w:rsidRDefault="00322B28" w:rsidP="005D385E">
            <w:pPr>
              <w:jc w:val="center"/>
              <w:rPr>
                <w:b/>
                <w:bCs/>
                <w:sz w:val="20"/>
                <w:szCs w:val="20"/>
                <w:lang w:eastAsia="fr-FR"/>
              </w:rPr>
            </w:pPr>
            <w:r w:rsidRPr="00322B28">
              <w:rPr>
                <w:b/>
                <w:bCs/>
                <w:sz w:val="20"/>
                <w:szCs w:val="20"/>
                <w:lang w:eastAsia="fr-FR"/>
              </w:rPr>
              <w:t>50 ≤ P &lt; 100</w:t>
            </w:r>
          </w:p>
        </w:tc>
        <w:tc>
          <w:tcPr>
            <w:tcW w:w="797" w:type="dxa"/>
            <w:vMerge w:val="restart"/>
            <w:shd w:val="clear" w:color="auto" w:fill="D9D9D9" w:themeFill="background1" w:themeFillShade="D9"/>
            <w:tcMar>
              <w:top w:w="150" w:type="dxa"/>
              <w:left w:w="150" w:type="dxa"/>
              <w:bottom w:w="150" w:type="dxa"/>
              <w:right w:w="150" w:type="dxa"/>
            </w:tcMar>
            <w:vAlign w:val="center"/>
          </w:tcPr>
          <w:p w14:paraId="7406FA6D" w14:textId="77777777" w:rsidR="00322B28" w:rsidRPr="00322B28" w:rsidRDefault="00322B28" w:rsidP="005D385E">
            <w:pPr>
              <w:jc w:val="center"/>
              <w:rPr>
                <w:b/>
                <w:bCs/>
                <w:sz w:val="20"/>
                <w:szCs w:val="20"/>
                <w:lang w:eastAsia="fr-FR"/>
              </w:rPr>
            </w:pPr>
          </w:p>
        </w:tc>
        <w:tc>
          <w:tcPr>
            <w:tcW w:w="811" w:type="dxa"/>
            <w:vMerge w:val="restart"/>
            <w:shd w:val="clear" w:color="auto" w:fill="D9D9D9" w:themeFill="background1" w:themeFillShade="D9"/>
            <w:vAlign w:val="center"/>
          </w:tcPr>
          <w:p w14:paraId="4AC21D62"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783" w:type="dxa"/>
            <w:vMerge w:val="restart"/>
            <w:shd w:val="clear" w:color="auto" w:fill="D9D9D9" w:themeFill="background1" w:themeFillShade="D9"/>
            <w:vAlign w:val="center"/>
          </w:tcPr>
          <w:p w14:paraId="13EE2720" w14:textId="77777777" w:rsidR="00322B28" w:rsidRPr="00322B28" w:rsidRDefault="00322B28" w:rsidP="005D385E">
            <w:pPr>
              <w:jc w:val="center"/>
              <w:rPr>
                <w:b/>
                <w:bCs/>
                <w:sz w:val="20"/>
                <w:szCs w:val="20"/>
                <w:lang w:eastAsia="fr-FR"/>
              </w:rPr>
            </w:pPr>
            <w:r w:rsidRPr="00322B28">
              <w:rPr>
                <w:b/>
                <w:bCs/>
                <w:sz w:val="20"/>
                <w:szCs w:val="20"/>
                <w:lang w:eastAsia="fr-FR"/>
              </w:rPr>
              <w:t>11</w:t>
            </w:r>
          </w:p>
        </w:tc>
        <w:tc>
          <w:tcPr>
            <w:tcW w:w="797" w:type="dxa"/>
            <w:vMerge w:val="restart"/>
            <w:shd w:val="clear" w:color="auto" w:fill="E2EFD9" w:themeFill="accent6" w:themeFillTint="33"/>
            <w:tcMar>
              <w:top w:w="150" w:type="dxa"/>
              <w:left w:w="150" w:type="dxa"/>
              <w:bottom w:w="150" w:type="dxa"/>
              <w:right w:w="150" w:type="dxa"/>
            </w:tcMar>
            <w:vAlign w:val="center"/>
          </w:tcPr>
          <w:p w14:paraId="325FA708" w14:textId="77777777" w:rsidR="00322B28" w:rsidRPr="00322B28" w:rsidRDefault="00322B28" w:rsidP="005D385E">
            <w:pPr>
              <w:jc w:val="center"/>
              <w:rPr>
                <w:b/>
                <w:bCs/>
                <w:sz w:val="20"/>
                <w:szCs w:val="20"/>
                <w:lang w:eastAsia="fr-FR"/>
              </w:rPr>
            </w:pPr>
            <w:r w:rsidRPr="00322B28">
              <w:rPr>
                <w:b/>
                <w:bCs/>
                <w:sz w:val="20"/>
                <w:szCs w:val="20"/>
                <w:lang w:eastAsia="fr-FR"/>
              </w:rPr>
              <w:t>60</w:t>
            </w:r>
          </w:p>
        </w:tc>
        <w:tc>
          <w:tcPr>
            <w:tcW w:w="811" w:type="dxa"/>
            <w:vMerge w:val="restart"/>
            <w:shd w:val="clear" w:color="auto" w:fill="E2EFD9" w:themeFill="accent6" w:themeFillTint="33"/>
            <w:vAlign w:val="center"/>
          </w:tcPr>
          <w:p w14:paraId="1A979E6C" w14:textId="77777777" w:rsidR="00322B28" w:rsidRPr="00322B28" w:rsidRDefault="00322B28" w:rsidP="005D385E">
            <w:pPr>
              <w:jc w:val="center"/>
              <w:rPr>
                <w:b/>
                <w:bCs/>
                <w:sz w:val="20"/>
                <w:szCs w:val="20"/>
                <w:lang w:eastAsia="fr-FR"/>
              </w:rPr>
            </w:pPr>
            <w:r w:rsidRPr="00322B28">
              <w:rPr>
                <w:b/>
                <w:bCs/>
                <w:sz w:val="20"/>
                <w:szCs w:val="20"/>
                <w:lang w:eastAsia="fr-FR"/>
              </w:rPr>
              <w:t>65</w:t>
            </w:r>
          </w:p>
        </w:tc>
        <w:tc>
          <w:tcPr>
            <w:tcW w:w="811" w:type="dxa"/>
            <w:vMerge w:val="restart"/>
            <w:shd w:val="clear" w:color="auto" w:fill="E2EFD9" w:themeFill="accent6" w:themeFillTint="33"/>
            <w:vAlign w:val="center"/>
          </w:tcPr>
          <w:p w14:paraId="45A557C5" w14:textId="77777777" w:rsidR="00322B28" w:rsidRPr="00322B28" w:rsidRDefault="00322B28" w:rsidP="005D385E">
            <w:pPr>
              <w:jc w:val="center"/>
              <w:rPr>
                <w:b/>
                <w:bCs/>
                <w:sz w:val="20"/>
                <w:szCs w:val="20"/>
                <w:lang w:eastAsia="fr-FR"/>
              </w:rPr>
            </w:pPr>
            <w:r w:rsidRPr="00322B28">
              <w:rPr>
                <w:b/>
                <w:bCs/>
                <w:sz w:val="20"/>
                <w:szCs w:val="20"/>
                <w:lang w:eastAsia="fr-FR"/>
              </w:rPr>
              <w:t>65</w:t>
            </w:r>
          </w:p>
        </w:tc>
        <w:tc>
          <w:tcPr>
            <w:tcW w:w="852" w:type="dxa"/>
            <w:vMerge w:val="restart"/>
            <w:shd w:val="clear" w:color="auto" w:fill="D9D9D9" w:themeFill="background1" w:themeFillShade="D9"/>
            <w:tcMar>
              <w:top w:w="150" w:type="dxa"/>
              <w:left w:w="150" w:type="dxa"/>
              <w:bottom w:w="150" w:type="dxa"/>
              <w:right w:w="150" w:type="dxa"/>
            </w:tcMar>
            <w:vAlign w:val="center"/>
          </w:tcPr>
          <w:p w14:paraId="732505CB" w14:textId="77777777" w:rsidR="00322B28" w:rsidRPr="00322B28" w:rsidRDefault="00322B28" w:rsidP="005D385E">
            <w:pPr>
              <w:jc w:val="center"/>
              <w:rPr>
                <w:b/>
                <w:bCs/>
                <w:sz w:val="20"/>
                <w:szCs w:val="20"/>
                <w:lang w:eastAsia="fr-FR"/>
              </w:rPr>
            </w:pPr>
          </w:p>
        </w:tc>
        <w:tc>
          <w:tcPr>
            <w:tcW w:w="850" w:type="dxa"/>
            <w:vMerge w:val="restart"/>
            <w:shd w:val="clear" w:color="auto" w:fill="D9D9D9" w:themeFill="background1" w:themeFillShade="D9"/>
            <w:vAlign w:val="center"/>
          </w:tcPr>
          <w:p w14:paraId="6E5C25CB"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851" w:type="dxa"/>
            <w:vMerge w:val="restart"/>
            <w:shd w:val="clear" w:color="auto" w:fill="D9D9D9" w:themeFill="background1" w:themeFillShade="D9"/>
            <w:vAlign w:val="center"/>
          </w:tcPr>
          <w:p w14:paraId="6022D00F" w14:textId="77777777" w:rsidR="00322B28" w:rsidRPr="00322B28" w:rsidRDefault="00322B28" w:rsidP="005D385E">
            <w:pPr>
              <w:jc w:val="center"/>
              <w:rPr>
                <w:b/>
                <w:bCs/>
                <w:sz w:val="20"/>
                <w:szCs w:val="20"/>
                <w:lang w:eastAsia="fr-FR"/>
              </w:rPr>
            </w:pPr>
            <w:r w:rsidRPr="00322B28">
              <w:rPr>
                <w:b/>
                <w:bCs/>
                <w:sz w:val="20"/>
                <w:szCs w:val="20"/>
                <w:lang w:eastAsia="fr-FR"/>
              </w:rPr>
              <w:t>11</w:t>
            </w:r>
          </w:p>
        </w:tc>
      </w:tr>
      <w:tr w:rsidR="00322B28" w14:paraId="2B400CA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ign w:val="center"/>
          </w:tcPr>
          <w:p w14:paraId="0F542959" w14:textId="77777777" w:rsidR="00322B28" w:rsidRPr="00322B28" w:rsidRDefault="00322B28" w:rsidP="005D385E">
            <w:pPr>
              <w:jc w:val="cente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2AC2EB5D" w14:textId="77777777" w:rsidR="00322B28" w:rsidRPr="00322B28" w:rsidRDefault="00322B28" w:rsidP="005D385E">
            <w:pPr>
              <w:jc w:val="center"/>
              <w:rPr>
                <w:b/>
                <w:bCs/>
                <w:sz w:val="20"/>
                <w:szCs w:val="20"/>
                <w:lang w:eastAsia="fr-FR"/>
              </w:rPr>
            </w:pPr>
            <w:r w:rsidRPr="00322B28">
              <w:rPr>
                <w:b/>
                <w:bCs/>
                <w:sz w:val="20"/>
                <w:szCs w:val="20"/>
                <w:lang w:eastAsia="fr-FR"/>
              </w:rPr>
              <w:t>100 ≤ P &lt; 300</w:t>
            </w:r>
          </w:p>
        </w:tc>
        <w:tc>
          <w:tcPr>
            <w:tcW w:w="797" w:type="dxa"/>
            <w:vMerge/>
            <w:shd w:val="clear" w:color="auto" w:fill="D9D9D9" w:themeFill="background1" w:themeFillShade="D9"/>
            <w:tcMar>
              <w:top w:w="150" w:type="dxa"/>
              <w:left w:w="150" w:type="dxa"/>
              <w:bottom w:w="150" w:type="dxa"/>
              <w:right w:w="150" w:type="dxa"/>
            </w:tcMar>
            <w:vAlign w:val="center"/>
          </w:tcPr>
          <w:p w14:paraId="12CC12D3"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39FAD96E"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67743450" w14:textId="77777777" w:rsidR="00322B28" w:rsidRPr="00322B28" w:rsidRDefault="00322B28" w:rsidP="005D385E">
            <w:pPr>
              <w:jc w:val="center"/>
              <w:rPr>
                <w:b/>
                <w:bCs/>
                <w:sz w:val="20"/>
                <w:szCs w:val="20"/>
                <w:lang w:eastAsia="fr-FR"/>
              </w:rPr>
            </w:pPr>
          </w:p>
        </w:tc>
        <w:tc>
          <w:tcPr>
            <w:tcW w:w="797" w:type="dxa"/>
            <w:vMerge/>
            <w:shd w:val="clear" w:color="auto" w:fill="E2EFD9" w:themeFill="accent6" w:themeFillTint="33"/>
            <w:tcMar>
              <w:top w:w="150" w:type="dxa"/>
              <w:left w:w="150" w:type="dxa"/>
              <w:bottom w:w="150" w:type="dxa"/>
              <w:right w:w="150" w:type="dxa"/>
            </w:tcMar>
            <w:vAlign w:val="center"/>
          </w:tcPr>
          <w:p w14:paraId="7007DBB8" w14:textId="77777777" w:rsidR="00322B28" w:rsidRPr="00322B28" w:rsidRDefault="00322B28" w:rsidP="005D385E">
            <w:pPr>
              <w:jc w:val="center"/>
              <w:rPr>
                <w:b/>
                <w:bCs/>
                <w:sz w:val="20"/>
                <w:szCs w:val="20"/>
                <w:lang w:eastAsia="fr-FR"/>
              </w:rPr>
            </w:pPr>
          </w:p>
        </w:tc>
        <w:tc>
          <w:tcPr>
            <w:tcW w:w="811" w:type="dxa"/>
            <w:vMerge/>
            <w:shd w:val="clear" w:color="auto" w:fill="E2EFD9" w:themeFill="accent6" w:themeFillTint="33"/>
            <w:vAlign w:val="center"/>
          </w:tcPr>
          <w:p w14:paraId="788508F1" w14:textId="77777777" w:rsidR="00322B28" w:rsidRPr="00322B28" w:rsidRDefault="00322B28" w:rsidP="005D385E">
            <w:pPr>
              <w:jc w:val="center"/>
              <w:rPr>
                <w:b/>
                <w:bCs/>
                <w:sz w:val="20"/>
                <w:szCs w:val="20"/>
                <w:lang w:eastAsia="fr-FR"/>
              </w:rPr>
            </w:pPr>
          </w:p>
        </w:tc>
        <w:tc>
          <w:tcPr>
            <w:tcW w:w="811" w:type="dxa"/>
            <w:vMerge/>
            <w:shd w:val="clear" w:color="auto" w:fill="E2EFD9" w:themeFill="accent6" w:themeFillTint="33"/>
            <w:vAlign w:val="center"/>
          </w:tcPr>
          <w:p w14:paraId="22B5035C" w14:textId="77777777" w:rsidR="00322B28" w:rsidRPr="00322B28" w:rsidRDefault="00322B28" w:rsidP="005D385E">
            <w:pPr>
              <w:jc w:val="center"/>
              <w:rPr>
                <w:b/>
                <w:bCs/>
                <w:sz w:val="20"/>
                <w:szCs w:val="20"/>
                <w:lang w:eastAsia="fr-FR"/>
              </w:rPr>
            </w:pPr>
          </w:p>
        </w:tc>
        <w:tc>
          <w:tcPr>
            <w:tcW w:w="852" w:type="dxa"/>
            <w:vMerge/>
            <w:shd w:val="clear" w:color="auto" w:fill="D9D9D9" w:themeFill="background1" w:themeFillShade="D9"/>
            <w:tcMar>
              <w:top w:w="150" w:type="dxa"/>
              <w:left w:w="150" w:type="dxa"/>
              <w:bottom w:w="150" w:type="dxa"/>
              <w:right w:w="150" w:type="dxa"/>
            </w:tcMar>
            <w:vAlign w:val="center"/>
          </w:tcPr>
          <w:p w14:paraId="154E9300" w14:textId="77777777" w:rsidR="00322B28" w:rsidRPr="00322B28" w:rsidRDefault="00322B28" w:rsidP="005D385E">
            <w:pPr>
              <w:jc w:val="center"/>
              <w:rPr>
                <w:b/>
                <w:bCs/>
                <w:sz w:val="20"/>
                <w:szCs w:val="20"/>
                <w:lang w:eastAsia="fr-FR"/>
              </w:rPr>
            </w:pPr>
          </w:p>
        </w:tc>
        <w:tc>
          <w:tcPr>
            <w:tcW w:w="850" w:type="dxa"/>
            <w:vMerge/>
            <w:shd w:val="clear" w:color="auto" w:fill="D9D9D9" w:themeFill="background1" w:themeFillShade="D9"/>
            <w:vAlign w:val="center"/>
          </w:tcPr>
          <w:p w14:paraId="026A31C8" w14:textId="77777777" w:rsidR="00322B28" w:rsidRPr="00322B28" w:rsidRDefault="00322B28" w:rsidP="005D385E">
            <w:pPr>
              <w:jc w:val="center"/>
              <w:rPr>
                <w:b/>
                <w:bCs/>
                <w:sz w:val="20"/>
                <w:szCs w:val="20"/>
                <w:lang w:eastAsia="fr-FR"/>
              </w:rPr>
            </w:pPr>
          </w:p>
        </w:tc>
        <w:tc>
          <w:tcPr>
            <w:tcW w:w="851" w:type="dxa"/>
            <w:vMerge/>
            <w:shd w:val="clear" w:color="auto" w:fill="D9D9D9" w:themeFill="background1" w:themeFillShade="D9"/>
            <w:vAlign w:val="center"/>
          </w:tcPr>
          <w:p w14:paraId="3F0483C6" w14:textId="77777777" w:rsidR="00322B28" w:rsidRPr="00322B28" w:rsidRDefault="00322B28" w:rsidP="005D385E">
            <w:pPr>
              <w:jc w:val="center"/>
              <w:rPr>
                <w:b/>
                <w:bCs/>
                <w:sz w:val="20"/>
                <w:szCs w:val="20"/>
                <w:lang w:eastAsia="fr-FR"/>
              </w:rPr>
            </w:pPr>
          </w:p>
        </w:tc>
      </w:tr>
      <w:tr w:rsidR="00322B28" w14:paraId="791C6E46"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ign w:val="center"/>
          </w:tcPr>
          <w:p w14:paraId="5332960C" w14:textId="77777777" w:rsidR="00322B28" w:rsidRPr="00322B28" w:rsidRDefault="00322B28" w:rsidP="005D385E">
            <w:pPr>
              <w:jc w:val="cente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56B31E5A" w14:textId="77777777" w:rsidR="00322B28" w:rsidRPr="00322B28" w:rsidRDefault="00322B28" w:rsidP="005D385E">
            <w:pPr>
              <w:jc w:val="center"/>
              <w:rPr>
                <w:b/>
                <w:bCs/>
                <w:sz w:val="20"/>
                <w:szCs w:val="20"/>
                <w:lang w:eastAsia="fr-FR"/>
              </w:rPr>
            </w:pPr>
            <w:r w:rsidRPr="00322B28">
              <w:rPr>
                <w:b/>
                <w:bCs/>
                <w:sz w:val="20"/>
                <w:szCs w:val="20"/>
                <w:lang w:eastAsia="fr-FR"/>
              </w:rPr>
              <w:t>300 ≤ P</w:t>
            </w:r>
          </w:p>
        </w:tc>
        <w:tc>
          <w:tcPr>
            <w:tcW w:w="797" w:type="dxa"/>
            <w:vMerge/>
            <w:shd w:val="clear" w:color="auto" w:fill="D9D9D9" w:themeFill="background1" w:themeFillShade="D9"/>
            <w:tcMar>
              <w:top w:w="150" w:type="dxa"/>
              <w:left w:w="150" w:type="dxa"/>
              <w:bottom w:w="150" w:type="dxa"/>
              <w:right w:w="150" w:type="dxa"/>
            </w:tcMar>
            <w:vAlign w:val="center"/>
          </w:tcPr>
          <w:p w14:paraId="30A0544A"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11CE5C73"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34BD58C8" w14:textId="77777777" w:rsidR="00322B28" w:rsidRPr="00322B28" w:rsidRDefault="00322B28" w:rsidP="005D385E">
            <w:pPr>
              <w:jc w:val="center"/>
              <w:rPr>
                <w:b/>
                <w:bCs/>
                <w:sz w:val="20"/>
                <w:szCs w:val="20"/>
                <w:lang w:eastAsia="fr-FR"/>
              </w:rPr>
            </w:pPr>
          </w:p>
        </w:tc>
        <w:tc>
          <w:tcPr>
            <w:tcW w:w="797" w:type="dxa"/>
            <w:vMerge/>
            <w:shd w:val="clear" w:color="auto" w:fill="E2EFD9" w:themeFill="accent6" w:themeFillTint="33"/>
            <w:tcMar>
              <w:top w:w="150" w:type="dxa"/>
              <w:left w:w="150" w:type="dxa"/>
              <w:bottom w:w="150" w:type="dxa"/>
              <w:right w:w="150" w:type="dxa"/>
            </w:tcMar>
            <w:vAlign w:val="center"/>
          </w:tcPr>
          <w:p w14:paraId="5F03C28D" w14:textId="77777777" w:rsidR="00322B28" w:rsidRPr="00322B28" w:rsidRDefault="00322B28" w:rsidP="005D385E">
            <w:pPr>
              <w:jc w:val="center"/>
              <w:rPr>
                <w:b/>
                <w:bCs/>
                <w:sz w:val="20"/>
                <w:szCs w:val="20"/>
                <w:lang w:eastAsia="fr-FR"/>
              </w:rPr>
            </w:pPr>
          </w:p>
        </w:tc>
        <w:tc>
          <w:tcPr>
            <w:tcW w:w="811" w:type="dxa"/>
            <w:vMerge/>
            <w:shd w:val="clear" w:color="auto" w:fill="E2EFD9" w:themeFill="accent6" w:themeFillTint="33"/>
            <w:vAlign w:val="center"/>
          </w:tcPr>
          <w:p w14:paraId="2E4B8985" w14:textId="77777777" w:rsidR="00322B28" w:rsidRPr="00322B28" w:rsidRDefault="00322B28" w:rsidP="005D385E">
            <w:pPr>
              <w:jc w:val="center"/>
              <w:rPr>
                <w:b/>
                <w:bCs/>
                <w:sz w:val="20"/>
                <w:szCs w:val="20"/>
                <w:lang w:eastAsia="fr-FR"/>
              </w:rPr>
            </w:pPr>
          </w:p>
        </w:tc>
        <w:tc>
          <w:tcPr>
            <w:tcW w:w="811" w:type="dxa"/>
            <w:vMerge/>
            <w:shd w:val="clear" w:color="auto" w:fill="E2EFD9" w:themeFill="accent6" w:themeFillTint="33"/>
            <w:vAlign w:val="center"/>
          </w:tcPr>
          <w:p w14:paraId="22E7752E" w14:textId="77777777" w:rsidR="00322B28" w:rsidRPr="00322B28" w:rsidRDefault="00322B28" w:rsidP="005D385E">
            <w:pPr>
              <w:jc w:val="center"/>
              <w:rPr>
                <w:b/>
                <w:bCs/>
                <w:sz w:val="20"/>
                <w:szCs w:val="20"/>
                <w:lang w:eastAsia="fr-FR"/>
              </w:rPr>
            </w:pPr>
          </w:p>
        </w:tc>
        <w:tc>
          <w:tcPr>
            <w:tcW w:w="852" w:type="dxa"/>
            <w:vMerge/>
            <w:shd w:val="clear" w:color="auto" w:fill="D9D9D9" w:themeFill="background1" w:themeFillShade="D9"/>
            <w:tcMar>
              <w:top w:w="150" w:type="dxa"/>
              <w:left w:w="150" w:type="dxa"/>
              <w:bottom w:w="150" w:type="dxa"/>
              <w:right w:w="150" w:type="dxa"/>
            </w:tcMar>
            <w:vAlign w:val="center"/>
          </w:tcPr>
          <w:p w14:paraId="24873297" w14:textId="77777777" w:rsidR="00322B28" w:rsidRPr="00322B28" w:rsidRDefault="00322B28" w:rsidP="005D385E">
            <w:pPr>
              <w:jc w:val="center"/>
              <w:rPr>
                <w:b/>
                <w:bCs/>
                <w:sz w:val="20"/>
                <w:szCs w:val="20"/>
                <w:lang w:eastAsia="fr-FR"/>
              </w:rPr>
            </w:pPr>
          </w:p>
        </w:tc>
        <w:tc>
          <w:tcPr>
            <w:tcW w:w="850" w:type="dxa"/>
            <w:vMerge/>
            <w:shd w:val="clear" w:color="auto" w:fill="D9D9D9" w:themeFill="background1" w:themeFillShade="D9"/>
            <w:vAlign w:val="center"/>
          </w:tcPr>
          <w:p w14:paraId="71AC8C44" w14:textId="77777777" w:rsidR="00322B28" w:rsidRPr="00322B28" w:rsidRDefault="00322B28" w:rsidP="005D385E">
            <w:pPr>
              <w:jc w:val="center"/>
              <w:rPr>
                <w:b/>
                <w:bCs/>
                <w:sz w:val="20"/>
                <w:szCs w:val="20"/>
                <w:lang w:eastAsia="fr-FR"/>
              </w:rPr>
            </w:pPr>
          </w:p>
        </w:tc>
        <w:tc>
          <w:tcPr>
            <w:tcW w:w="851" w:type="dxa"/>
            <w:vMerge/>
            <w:shd w:val="clear" w:color="auto" w:fill="D9D9D9" w:themeFill="background1" w:themeFillShade="D9"/>
            <w:vAlign w:val="center"/>
          </w:tcPr>
          <w:p w14:paraId="038DFC80" w14:textId="77777777" w:rsidR="00322B28" w:rsidRPr="00322B28" w:rsidRDefault="00322B28" w:rsidP="005D385E">
            <w:pPr>
              <w:jc w:val="center"/>
              <w:rPr>
                <w:b/>
                <w:bCs/>
                <w:sz w:val="20"/>
                <w:szCs w:val="20"/>
                <w:lang w:eastAsia="fr-FR"/>
              </w:rPr>
            </w:pPr>
          </w:p>
        </w:tc>
      </w:tr>
      <w:tr w:rsidR="00322B28" w14:paraId="1D989978"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restart"/>
            <w:vAlign w:val="center"/>
          </w:tcPr>
          <w:p w14:paraId="52BF60F9" w14:textId="77777777" w:rsidR="00322B28" w:rsidRPr="00322B28" w:rsidRDefault="00322B28" w:rsidP="005D385E">
            <w:pPr>
              <w:jc w:val="center"/>
              <w:rPr>
                <w:b/>
                <w:bCs/>
                <w:sz w:val="20"/>
                <w:szCs w:val="20"/>
                <w:lang w:eastAsia="fr-FR"/>
              </w:rPr>
            </w:pPr>
            <w:r w:rsidRPr="00322B28">
              <w:rPr>
                <w:b/>
                <w:bCs/>
                <w:sz w:val="20"/>
                <w:szCs w:val="20"/>
                <w:lang w:eastAsia="fr-FR"/>
              </w:rPr>
              <w:t>Gaz naturel</w:t>
            </w:r>
          </w:p>
          <w:p w14:paraId="12F81FE1" w14:textId="77777777" w:rsidR="00322B28" w:rsidRPr="00322B28" w:rsidRDefault="00322B28" w:rsidP="005D385E">
            <w:pPr>
              <w:jc w:val="center"/>
              <w:rPr>
                <w:b/>
                <w:bCs/>
                <w:sz w:val="20"/>
                <w:szCs w:val="20"/>
                <w:lang w:eastAsia="fr-FR"/>
              </w:rPr>
            </w:pPr>
            <w:r w:rsidRPr="00322B28">
              <w:rPr>
                <w:b/>
                <w:bCs/>
                <w:sz w:val="20"/>
                <w:szCs w:val="20"/>
                <w:lang w:eastAsia="fr-FR"/>
              </w:rPr>
              <w:t>(OCGT)</w:t>
            </w:r>
          </w:p>
        </w:tc>
        <w:tc>
          <w:tcPr>
            <w:tcW w:w="1631" w:type="dxa"/>
            <w:shd w:val="clear" w:color="auto" w:fill="F5F5F5"/>
            <w:tcMar>
              <w:top w:w="150" w:type="dxa"/>
              <w:left w:w="150" w:type="dxa"/>
              <w:bottom w:w="150" w:type="dxa"/>
              <w:right w:w="150" w:type="dxa"/>
            </w:tcMar>
            <w:vAlign w:val="center"/>
          </w:tcPr>
          <w:p w14:paraId="53EBB209" w14:textId="77777777" w:rsidR="00322B28" w:rsidRPr="00322B28" w:rsidRDefault="00322B28" w:rsidP="005D385E">
            <w:pPr>
              <w:jc w:val="center"/>
              <w:rPr>
                <w:b/>
                <w:bCs/>
                <w:sz w:val="20"/>
                <w:szCs w:val="20"/>
                <w:lang w:eastAsia="fr-FR"/>
              </w:rPr>
            </w:pPr>
            <w:r w:rsidRPr="00322B28">
              <w:rPr>
                <w:b/>
                <w:bCs/>
                <w:sz w:val="20"/>
                <w:szCs w:val="20"/>
                <w:lang w:eastAsia="fr-FR"/>
              </w:rPr>
              <w:t>50 ≤ P &lt; 100</w:t>
            </w:r>
          </w:p>
        </w:tc>
        <w:tc>
          <w:tcPr>
            <w:tcW w:w="797" w:type="dxa"/>
            <w:vMerge w:val="restart"/>
            <w:shd w:val="clear" w:color="auto" w:fill="D9D9D9" w:themeFill="background1" w:themeFillShade="D9"/>
            <w:tcMar>
              <w:top w:w="150" w:type="dxa"/>
              <w:left w:w="150" w:type="dxa"/>
              <w:bottom w:w="150" w:type="dxa"/>
              <w:right w:w="150" w:type="dxa"/>
            </w:tcMar>
            <w:vAlign w:val="center"/>
          </w:tcPr>
          <w:p w14:paraId="1419DF0F" w14:textId="77777777" w:rsidR="00322B28" w:rsidRPr="00322B28" w:rsidRDefault="00322B28" w:rsidP="005D385E">
            <w:pPr>
              <w:jc w:val="center"/>
              <w:rPr>
                <w:b/>
                <w:bCs/>
                <w:sz w:val="20"/>
                <w:szCs w:val="20"/>
                <w:lang w:eastAsia="fr-FR"/>
              </w:rPr>
            </w:pPr>
          </w:p>
        </w:tc>
        <w:tc>
          <w:tcPr>
            <w:tcW w:w="811" w:type="dxa"/>
            <w:vMerge w:val="restart"/>
            <w:shd w:val="clear" w:color="auto" w:fill="D9D9D9" w:themeFill="background1" w:themeFillShade="D9"/>
            <w:vAlign w:val="center"/>
          </w:tcPr>
          <w:p w14:paraId="3F8F097B"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783" w:type="dxa"/>
            <w:vMerge w:val="restart"/>
            <w:shd w:val="clear" w:color="auto" w:fill="D9D9D9" w:themeFill="background1" w:themeFillShade="D9"/>
            <w:vAlign w:val="center"/>
          </w:tcPr>
          <w:p w14:paraId="6D6B9503" w14:textId="77777777" w:rsidR="00322B28" w:rsidRPr="00322B28" w:rsidRDefault="00322B28" w:rsidP="005D385E">
            <w:pPr>
              <w:jc w:val="center"/>
              <w:rPr>
                <w:b/>
                <w:bCs/>
                <w:sz w:val="20"/>
                <w:szCs w:val="20"/>
                <w:lang w:eastAsia="fr-FR"/>
              </w:rPr>
            </w:pPr>
            <w:r w:rsidRPr="00322B28">
              <w:rPr>
                <w:b/>
                <w:bCs/>
                <w:sz w:val="20"/>
                <w:szCs w:val="20"/>
                <w:lang w:eastAsia="fr-FR"/>
              </w:rPr>
              <w:t>11</w:t>
            </w:r>
          </w:p>
        </w:tc>
        <w:tc>
          <w:tcPr>
            <w:tcW w:w="797" w:type="dxa"/>
            <w:vMerge w:val="restart"/>
            <w:shd w:val="clear" w:color="auto" w:fill="E2EFD9" w:themeFill="accent6" w:themeFillTint="33"/>
            <w:tcMar>
              <w:top w:w="150" w:type="dxa"/>
              <w:left w:w="150" w:type="dxa"/>
              <w:bottom w:w="150" w:type="dxa"/>
              <w:right w:w="150" w:type="dxa"/>
            </w:tcMar>
            <w:vAlign w:val="center"/>
          </w:tcPr>
          <w:p w14:paraId="5340926B" w14:textId="77777777" w:rsidR="00322B28" w:rsidRPr="00322B28" w:rsidRDefault="00322B28" w:rsidP="005D385E">
            <w:pPr>
              <w:jc w:val="center"/>
              <w:rPr>
                <w:b/>
                <w:bCs/>
                <w:sz w:val="20"/>
                <w:szCs w:val="20"/>
                <w:lang w:eastAsia="fr-FR"/>
              </w:rPr>
            </w:pPr>
            <w:r w:rsidRPr="00322B28">
              <w:rPr>
                <w:b/>
                <w:bCs/>
                <w:sz w:val="20"/>
                <w:szCs w:val="20"/>
                <w:lang w:eastAsia="fr-FR"/>
              </w:rPr>
              <w:t>50</w:t>
            </w:r>
          </w:p>
          <w:p w14:paraId="6F3DF64C" w14:textId="6662D214"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3</w:t>
            </w:r>
            <w:r w:rsidRPr="00322B28">
              <w:rPr>
                <w:b/>
                <w:bCs/>
                <w:sz w:val="20"/>
                <w:szCs w:val="20"/>
                <w:lang w:eastAsia="fr-FR"/>
              </w:rPr>
              <w:t>)</w:t>
            </w:r>
          </w:p>
        </w:tc>
        <w:tc>
          <w:tcPr>
            <w:tcW w:w="811" w:type="dxa"/>
            <w:vMerge w:val="restart"/>
            <w:shd w:val="clear" w:color="auto" w:fill="B4C6E7" w:themeFill="accent5" w:themeFillTint="66"/>
            <w:vAlign w:val="center"/>
          </w:tcPr>
          <w:p w14:paraId="371EC33C" w14:textId="77777777" w:rsidR="00322B28" w:rsidRPr="00322B28" w:rsidRDefault="00322B28" w:rsidP="005D385E">
            <w:pPr>
              <w:jc w:val="center"/>
              <w:rPr>
                <w:b/>
                <w:bCs/>
                <w:sz w:val="20"/>
                <w:szCs w:val="20"/>
                <w:lang w:eastAsia="fr-FR"/>
              </w:rPr>
            </w:pPr>
            <w:r w:rsidRPr="00322B28">
              <w:rPr>
                <w:b/>
                <w:bCs/>
                <w:sz w:val="20"/>
                <w:szCs w:val="20"/>
                <w:lang w:eastAsia="fr-FR"/>
              </w:rPr>
              <w:t>50</w:t>
            </w:r>
          </w:p>
          <w:p w14:paraId="3234B7EE" w14:textId="78222F77"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3</w:t>
            </w:r>
            <w:r w:rsidRPr="00322B28">
              <w:rPr>
                <w:b/>
                <w:bCs/>
                <w:sz w:val="20"/>
                <w:szCs w:val="20"/>
                <w:lang w:eastAsia="fr-FR"/>
              </w:rPr>
              <w:t>)</w:t>
            </w:r>
          </w:p>
        </w:tc>
        <w:tc>
          <w:tcPr>
            <w:tcW w:w="811" w:type="dxa"/>
            <w:vMerge w:val="restart"/>
            <w:shd w:val="clear" w:color="auto" w:fill="92D050"/>
            <w:vAlign w:val="center"/>
          </w:tcPr>
          <w:p w14:paraId="2B80E4DA" w14:textId="77777777" w:rsidR="00322B28" w:rsidRPr="00322B28" w:rsidRDefault="00322B28" w:rsidP="005D385E">
            <w:pPr>
              <w:jc w:val="center"/>
              <w:rPr>
                <w:b/>
                <w:bCs/>
                <w:sz w:val="20"/>
                <w:szCs w:val="20"/>
                <w:lang w:eastAsia="fr-FR"/>
              </w:rPr>
            </w:pPr>
            <w:r w:rsidRPr="00322B28">
              <w:rPr>
                <w:b/>
                <w:bCs/>
                <w:sz w:val="20"/>
                <w:szCs w:val="20"/>
                <w:lang w:eastAsia="fr-FR"/>
              </w:rPr>
              <w:t>55</w:t>
            </w:r>
          </w:p>
          <w:p w14:paraId="0AD84C4D" w14:textId="5283DF24"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3</w:t>
            </w:r>
            <w:r w:rsidRPr="00322B28">
              <w:rPr>
                <w:b/>
                <w:bCs/>
                <w:sz w:val="20"/>
                <w:szCs w:val="20"/>
                <w:lang w:eastAsia="fr-FR"/>
              </w:rPr>
              <w:t>)</w:t>
            </w:r>
          </w:p>
        </w:tc>
        <w:tc>
          <w:tcPr>
            <w:tcW w:w="852" w:type="dxa"/>
            <w:vMerge w:val="restart"/>
            <w:shd w:val="clear" w:color="auto" w:fill="D9D9D9" w:themeFill="background1" w:themeFillShade="D9"/>
            <w:tcMar>
              <w:top w:w="150" w:type="dxa"/>
              <w:left w:w="150" w:type="dxa"/>
              <w:bottom w:w="150" w:type="dxa"/>
              <w:right w:w="150" w:type="dxa"/>
            </w:tcMar>
            <w:vAlign w:val="center"/>
          </w:tcPr>
          <w:p w14:paraId="26F3D5EE" w14:textId="77777777" w:rsidR="00322B28" w:rsidRPr="00322B28" w:rsidRDefault="00322B28" w:rsidP="005D385E">
            <w:pPr>
              <w:jc w:val="center"/>
              <w:rPr>
                <w:b/>
                <w:bCs/>
                <w:sz w:val="20"/>
                <w:szCs w:val="20"/>
                <w:lang w:eastAsia="fr-FR"/>
              </w:rPr>
            </w:pPr>
          </w:p>
        </w:tc>
        <w:tc>
          <w:tcPr>
            <w:tcW w:w="850" w:type="dxa"/>
            <w:vMerge w:val="restart"/>
            <w:shd w:val="clear" w:color="auto" w:fill="D9D9D9" w:themeFill="background1" w:themeFillShade="D9"/>
            <w:vAlign w:val="center"/>
          </w:tcPr>
          <w:p w14:paraId="7362C886"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851" w:type="dxa"/>
            <w:vMerge w:val="restart"/>
            <w:shd w:val="clear" w:color="auto" w:fill="D9D9D9" w:themeFill="background1" w:themeFillShade="D9"/>
            <w:vAlign w:val="center"/>
          </w:tcPr>
          <w:p w14:paraId="2FB3BE4F" w14:textId="77777777" w:rsidR="00322B28" w:rsidRPr="00322B28" w:rsidRDefault="00322B28" w:rsidP="005D385E">
            <w:pPr>
              <w:jc w:val="center"/>
              <w:rPr>
                <w:b/>
                <w:bCs/>
                <w:sz w:val="20"/>
                <w:szCs w:val="20"/>
                <w:lang w:eastAsia="fr-FR"/>
              </w:rPr>
            </w:pPr>
            <w:r w:rsidRPr="00322B28">
              <w:rPr>
                <w:b/>
                <w:bCs/>
                <w:sz w:val="20"/>
                <w:szCs w:val="20"/>
                <w:lang w:eastAsia="fr-FR"/>
              </w:rPr>
              <w:t>11</w:t>
            </w:r>
          </w:p>
        </w:tc>
      </w:tr>
      <w:tr w:rsidR="00322B28" w14:paraId="0C4655BE"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ign w:val="center"/>
          </w:tcPr>
          <w:p w14:paraId="02444FFD" w14:textId="77777777" w:rsidR="00322B28" w:rsidRPr="00322B28" w:rsidRDefault="00322B28" w:rsidP="005D385E">
            <w:pP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11BD43A7" w14:textId="77777777" w:rsidR="00322B28" w:rsidRPr="00322B28" w:rsidRDefault="00322B28" w:rsidP="005D385E">
            <w:pPr>
              <w:jc w:val="center"/>
              <w:rPr>
                <w:b/>
                <w:bCs/>
                <w:sz w:val="20"/>
                <w:szCs w:val="20"/>
                <w:lang w:eastAsia="fr-FR"/>
              </w:rPr>
            </w:pPr>
            <w:r w:rsidRPr="00322B28">
              <w:rPr>
                <w:b/>
                <w:bCs/>
                <w:sz w:val="20"/>
                <w:szCs w:val="20"/>
                <w:lang w:eastAsia="fr-FR"/>
              </w:rPr>
              <w:t>100 ≤ P &lt; 300</w:t>
            </w:r>
          </w:p>
        </w:tc>
        <w:tc>
          <w:tcPr>
            <w:tcW w:w="797" w:type="dxa"/>
            <w:vMerge/>
            <w:shd w:val="clear" w:color="auto" w:fill="D9D9D9" w:themeFill="background1" w:themeFillShade="D9"/>
            <w:tcMar>
              <w:top w:w="150" w:type="dxa"/>
              <w:left w:w="150" w:type="dxa"/>
              <w:bottom w:w="150" w:type="dxa"/>
              <w:right w:w="150" w:type="dxa"/>
            </w:tcMar>
            <w:vAlign w:val="center"/>
          </w:tcPr>
          <w:p w14:paraId="24D90DA0"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35EC8732"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4E0B5B5C" w14:textId="77777777" w:rsidR="00322B28" w:rsidRPr="00322B28" w:rsidRDefault="00322B28" w:rsidP="005D385E">
            <w:pPr>
              <w:jc w:val="center"/>
              <w:rPr>
                <w:b/>
                <w:bCs/>
                <w:sz w:val="20"/>
                <w:szCs w:val="20"/>
                <w:lang w:eastAsia="fr-FR"/>
              </w:rPr>
            </w:pPr>
          </w:p>
        </w:tc>
        <w:tc>
          <w:tcPr>
            <w:tcW w:w="797" w:type="dxa"/>
            <w:vMerge/>
            <w:shd w:val="clear" w:color="auto" w:fill="E2EFD9" w:themeFill="accent6" w:themeFillTint="33"/>
            <w:tcMar>
              <w:top w:w="150" w:type="dxa"/>
              <w:left w:w="150" w:type="dxa"/>
              <w:bottom w:w="150" w:type="dxa"/>
              <w:right w:w="150" w:type="dxa"/>
            </w:tcMar>
            <w:vAlign w:val="center"/>
          </w:tcPr>
          <w:p w14:paraId="24BCBC3A" w14:textId="77777777" w:rsidR="00322B28" w:rsidRPr="00322B28" w:rsidRDefault="00322B28" w:rsidP="005D385E">
            <w:pPr>
              <w:jc w:val="center"/>
              <w:rPr>
                <w:b/>
                <w:bCs/>
                <w:sz w:val="20"/>
                <w:szCs w:val="20"/>
                <w:lang w:eastAsia="fr-FR"/>
              </w:rPr>
            </w:pPr>
          </w:p>
        </w:tc>
        <w:tc>
          <w:tcPr>
            <w:tcW w:w="811" w:type="dxa"/>
            <w:vMerge/>
            <w:shd w:val="clear" w:color="auto" w:fill="B4C6E7" w:themeFill="accent5" w:themeFillTint="66"/>
            <w:vAlign w:val="center"/>
          </w:tcPr>
          <w:p w14:paraId="778DD4CF" w14:textId="77777777" w:rsidR="00322B28" w:rsidRPr="00322B28" w:rsidRDefault="00322B28" w:rsidP="005D385E">
            <w:pPr>
              <w:jc w:val="center"/>
              <w:rPr>
                <w:b/>
                <w:bCs/>
                <w:sz w:val="20"/>
                <w:szCs w:val="20"/>
                <w:lang w:eastAsia="fr-FR"/>
              </w:rPr>
            </w:pPr>
          </w:p>
        </w:tc>
        <w:tc>
          <w:tcPr>
            <w:tcW w:w="811" w:type="dxa"/>
            <w:vMerge/>
            <w:shd w:val="clear" w:color="auto" w:fill="92D050"/>
            <w:vAlign w:val="center"/>
          </w:tcPr>
          <w:p w14:paraId="1729FDF1" w14:textId="77777777" w:rsidR="00322B28" w:rsidRPr="00322B28" w:rsidRDefault="00322B28" w:rsidP="005D385E">
            <w:pPr>
              <w:jc w:val="center"/>
              <w:rPr>
                <w:b/>
                <w:bCs/>
                <w:sz w:val="20"/>
                <w:szCs w:val="20"/>
                <w:lang w:eastAsia="fr-FR"/>
              </w:rPr>
            </w:pPr>
          </w:p>
        </w:tc>
        <w:tc>
          <w:tcPr>
            <w:tcW w:w="852" w:type="dxa"/>
            <w:vMerge/>
            <w:shd w:val="clear" w:color="auto" w:fill="D9D9D9" w:themeFill="background1" w:themeFillShade="D9"/>
            <w:tcMar>
              <w:top w:w="150" w:type="dxa"/>
              <w:left w:w="150" w:type="dxa"/>
              <w:bottom w:w="150" w:type="dxa"/>
              <w:right w:w="150" w:type="dxa"/>
            </w:tcMar>
            <w:vAlign w:val="center"/>
          </w:tcPr>
          <w:p w14:paraId="40FFBA07" w14:textId="77777777" w:rsidR="00322B28" w:rsidRPr="00322B28" w:rsidRDefault="00322B28" w:rsidP="005D385E">
            <w:pPr>
              <w:jc w:val="center"/>
              <w:rPr>
                <w:b/>
                <w:bCs/>
                <w:sz w:val="20"/>
                <w:szCs w:val="20"/>
                <w:lang w:eastAsia="fr-FR"/>
              </w:rPr>
            </w:pPr>
          </w:p>
        </w:tc>
        <w:tc>
          <w:tcPr>
            <w:tcW w:w="850" w:type="dxa"/>
            <w:vMerge/>
            <w:shd w:val="clear" w:color="auto" w:fill="D9D9D9" w:themeFill="background1" w:themeFillShade="D9"/>
            <w:vAlign w:val="center"/>
          </w:tcPr>
          <w:p w14:paraId="2D907037" w14:textId="77777777" w:rsidR="00322B28" w:rsidRPr="00322B28" w:rsidRDefault="00322B28" w:rsidP="005D385E">
            <w:pPr>
              <w:jc w:val="center"/>
              <w:rPr>
                <w:b/>
                <w:bCs/>
                <w:sz w:val="20"/>
                <w:szCs w:val="20"/>
                <w:lang w:eastAsia="fr-FR"/>
              </w:rPr>
            </w:pPr>
          </w:p>
        </w:tc>
        <w:tc>
          <w:tcPr>
            <w:tcW w:w="851" w:type="dxa"/>
            <w:vMerge/>
            <w:shd w:val="clear" w:color="auto" w:fill="D9D9D9" w:themeFill="background1" w:themeFillShade="D9"/>
            <w:vAlign w:val="center"/>
          </w:tcPr>
          <w:p w14:paraId="192DC75F" w14:textId="77777777" w:rsidR="00322B28" w:rsidRPr="00322B28" w:rsidRDefault="00322B28" w:rsidP="005D385E">
            <w:pPr>
              <w:jc w:val="center"/>
              <w:rPr>
                <w:b/>
                <w:bCs/>
                <w:sz w:val="20"/>
                <w:szCs w:val="20"/>
                <w:lang w:eastAsia="fr-FR"/>
              </w:rPr>
            </w:pPr>
          </w:p>
        </w:tc>
      </w:tr>
      <w:tr w:rsidR="00322B28" w14:paraId="403DE0D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ign w:val="center"/>
          </w:tcPr>
          <w:p w14:paraId="0153FF6B" w14:textId="77777777" w:rsidR="00322B28" w:rsidRPr="00322B28" w:rsidRDefault="00322B28" w:rsidP="005D385E">
            <w:pP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0E7A517D" w14:textId="77777777" w:rsidR="00322B28" w:rsidRPr="00322B28" w:rsidRDefault="00322B28" w:rsidP="005D385E">
            <w:pPr>
              <w:jc w:val="center"/>
              <w:rPr>
                <w:b/>
                <w:bCs/>
                <w:sz w:val="20"/>
                <w:szCs w:val="20"/>
                <w:lang w:eastAsia="fr-FR"/>
              </w:rPr>
            </w:pPr>
            <w:r w:rsidRPr="00322B28">
              <w:rPr>
                <w:b/>
                <w:bCs/>
                <w:sz w:val="20"/>
                <w:szCs w:val="20"/>
                <w:lang w:eastAsia="fr-FR"/>
              </w:rPr>
              <w:t xml:space="preserve">300 ≤ P </w:t>
            </w:r>
          </w:p>
        </w:tc>
        <w:tc>
          <w:tcPr>
            <w:tcW w:w="797" w:type="dxa"/>
            <w:vMerge/>
            <w:shd w:val="clear" w:color="auto" w:fill="D9D9D9" w:themeFill="background1" w:themeFillShade="D9"/>
            <w:tcMar>
              <w:top w:w="150" w:type="dxa"/>
              <w:left w:w="150" w:type="dxa"/>
              <w:bottom w:w="150" w:type="dxa"/>
              <w:right w:w="150" w:type="dxa"/>
            </w:tcMar>
            <w:vAlign w:val="center"/>
          </w:tcPr>
          <w:p w14:paraId="0594E2EF"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3BD2A47B"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1AFCE6FA" w14:textId="77777777" w:rsidR="00322B28" w:rsidRPr="00322B28" w:rsidRDefault="00322B28" w:rsidP="005D385E">
            <w:pPr>
              <w:jc w:val="center"/>
              <w:rPr>
                <w:b/>
                <w:bCs/>
                <w:sz w:val="20"/>
                <w:szCs w:val="20"/>
                <w:lang w:eastAsia="fr-FR"/>
              </w:rPr>
            </w:pPr>
          </w:p>
        </w:tc>
        <w:tc>
          <w:tcPr>
            <w:tcW w:w="797" w:type="dxa"/>
            <w:vMerge/>
            <w:shd w:val="clear" w:color="auto" w:fill="E2EFD9" w:themeFill="accent6" w:themeFillTint="33"/>
            <w:tcMar>
              <w:top w:w="150" w:type="dxa"/>
              <w:left w:w="150" w:type="dxa"/>
              <w:bottom w:w="150" w:type="dxa"/>
              <w:right w:w="150" w:type="dxa"/>
            </w:tcMar>
            <w:vAlign w:val="center"/>
          </w:tcPr>
          <w:p w14:paraId="7335D058" w14:textId="77777777" w:rsidR="00322B28" w:rsidRPr="00322B28" w:rsidRDefault="00322B28" w:rsidP="005D385E">
            <w:pPr>
              <w:jc w:val="center"/>
              <w:rPr>
                <w:b/>
                <w:bCs/>
                <w:sz w:val="20"/>
                <w:szCs w:val="20"/>
                <w:lang w:eastAsia="fr-FR"/>
              </w:rPr>
            </w:pPr>
          </w:p>
        </w:tc>
        <w:tc>
          <w:tcPr>
            <w:tcW w:w="811" w:type="dxa"/>
            <w:vMerge/>
            <w:shd w:val="clear" w:color="auto" w:fill="B4C6E7" w:themeFill="accent5" w:themeFillTint="66"/>
            <w:vAlign w:val="center"/>
          </w:tcPr>
          <w:p w14:paraId="7286C3C4" w14:textId="77777777" w:rsidR="00322B28" w:rsidRPr="00322B28" w:rsidRDefault="00322B28" w:rsidP="005D385E">
            <w:pPr>
              <w:jc w:val="center"/>
              <w:rPr>
                <w:b/>
                <w:bCs/>
                <w:sz w:val="20"/>
                <w:szCs w:val="20"/>
                <w:lang w:eastAsia="fr-FR"/>
              </w:rPr>
            </w:pPr>
          </w:p>
        </w:tc>
        <w:tc>
          <w:tcPr>
            <w:tcW w:w="811" w:type="dxa"/>
            <w:vMerge/>
            <w:shd w:val="clear" w:color="auto" w:fill="92D050"/>
            <w:vAlign w:val="center"/>
          </w:tcPr>
          <w:p w14:paraId="37112386" w14:textId="77777777" w:rsidR="00322B28" w:rsidRPr="00322B28" w:rsidRDefault="00322B28" w:rsidP="005D385E">
            <w:pPr>
              <w:jc w:val="center"/>
              <w:rPr>
                <w:b/>
                <w:bCs/>
                <w:sz w:val="20"/>
                <w:szCs w:val="20"/>
                <w:lang w:eastAsia="fr-FR"/>
              </w:rPr>
            </w:pPr>
          </w:p>
        </w:tc>
        <w:tc>
          <w:tcPr>
            <w:tcW w:w="852" w:type="dxa"/>
            <w:vMerge/>
            <w:shd w:val="clear" w:color="auto" w:fill="D9D9D9" w:themeFill="background1" w:themeFillShade="D9"/>
            <w:tcMar>
              <w:top w:w="150" w:type="dxa"/>
              <w:left w:w="150" w:type="dxa"/>
              <w:bottom w:w="150" w:type="dxa"/>
              <w:right w:w="150" w:type="dxa"/>
            </w:tcMar>
            <w:vAlign w:val="center"/>
          </w:tcPr>
          <w:p w14:paraId="278CA61F" w14:textId="77777777" w:rsidR="00322B28" w:rsidRPr="00322B28" w:rsidRDefault="00322B28" w:rsidP="005D385E">
            <w:pPr>
              <w:jc w:val="center"/>
              <w:rPr>
                <w:b/>
                <w:bCs/>
                <w:sz w:val="20"/>
                <w:szCs w:val="20"/>
                <w:lang w:eastAsia="fr-FR"/>
              </w:rPr>
            </w:pPr>
          </w:p>
        </w:tc>
        <w:tc>
          <w:tcPr>
            <w:tcW w:w="850" w:type="dxa"/>
            <w:vMerge/>
            <w:shd w:val="clear" w:color="auto" w:fill="D9D9D9" w:themeFill="background1" w:themeFillShade="D9"/>
            <w:vAlign w:val="center"/>
          </w:tcPr>
          <w:p w14:paraId="59CDAFF4" w14:textId="77777777" w:rsidR="00322B28" w:rsidRPr="00322B28" w:rsidRDefault="00322B28" w:rsidP="005D385E">
            <w:pPr>
              <w:jc w:val="center"/>
              <w:rPr>
                <w:b/>
                <w:bCs/>
                <w:sz w:val="20"/>
                <w:szCs w:val="20"/>
                <w:lang w:eastAsia="fr-FR"/>
              </w:rPr>
            </w:pPr>
          </w:p>
        </w:tc>
        <w:tc>
          <w:tcPr>
            <w:tcW w:w="851" w:type="dxa"/>
            <w:vMerge/>
            <w:shd w:val="clear" w:color="auto" w:fill="D9D9D9" w:themeFill="background1" w:themeFillShade="D9"/>
            <w:vAlign w:val="center"/>
          </w:tcPr>
          <w:p w14:paraId="42E4026D" w14:textId="77777777" w:rsidR="00322B28" w:rsidRPr="00322B28" w:rsidRDefault="00322B28" w:rsidP="005D385E">
            <w:pPr>
              <w:jc w:val="center"/>
              <w:rPr>
                <w:b/>
                <w:bCs/>
                <w:sz w:val="20"/>
                <w:szCs w:val="20"/>
                <w:lang w:eastAsia="fr-FR"/>
              </w:rPr>
            </w:pPr>
          </w:p>
        </w:tc>
      </w:tr>
      <w:tr w:rsidR="00322B28" w14:paraId="33F592F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restart"/>
            <w:vAlign w:val="center"/>
          </w:tcPr>
          <w:p w14:paraId="20E6AE3C" w14:textId="77777777" w:rsidR="00322B28" w:rsidRPr="00322B28" w:rsidRDefault="00322B28" w:rsidP="005D385E">
            <w:pPr>
              <w:jc w:val="center"/>
              <w:rPr>
                <w:b/>
                <w:bCs/>
                <w:sz w:val="20"/>
                <w:szCs w:val="20"/>
                <w:lang w:eastAsia="fr-FR"/>
              </w:rPr>
            </w:pPr>
            <w:r w:rsidRPr="00322B28">
              <w:rPr>
                <w:b/>
                <w:bCs/>
                <w:sz w:val="20"/>
                <w:szCs w:val="20"/>
                <w:lang w:eastAsia="fr-FR"/>
              </w:rPr>
              <w:t>Gaz naturel</w:t>
            </w:r>
          </w:p>
          <w:p w14:paraId="4CB6F462" w14:textId="77777777" w:rsidR="00322B28" w:rsidRPr="00322B28" w:rsidRDefault="00322B28" w:rsidP="005D385E">
            <w:pPr>
              <w:jc w:val="center"/>
              <w:rPr>
                <w:b/>
                <w:bCs/>
                <w:sz w:val="20"/>
                <w:szCs w:val="20"/>
                <w:lang w:eastAsia="fr-FR"/>
              </w:rPr>
            </w:pPr>
            <w:r w:rsidRPr="00322B28">
              <w:rPr>
                <w:b/>
                <w:bCs/>
                <w:sz w:val="20"/>
                <w:szCs w:val="20"/>
                <w:lang w:eastAsia="fr-FR"/>
              </w:rPr>
              <w:t>(CCGT)</w:t>
            </w:r>
          </w:p>
        </w:tc>
        <w:tc>
          <w:tcPr>
            <w:tcW w:w="1631" w:type="dxa"/>
            <w:shd w:val="clear" w:color="auto" w:fill="F5F5F5"/>
            <w:tcMar>
              <w:top w:w="150" w:type="dxa"/>
              <w:left w:w="150" w:type="dxa"/>
              <w:bottom w:w="150" w:type="dxa"/>
              <w:right w:w="150" w:type="dxa"/>
            </w:tcMar>
            <w:vAlign w:val="center"/>
          </w:tcPr>
          <w:p w14:paraId="21CA4379" w14:textId="77777777" w:rsidR="00322B28" w:rsidRPr="00322B28" w:rsidRDefault="00322B28" w:rsidP="005D385E">
            <w:pPr>
              <w:jc w:val="center"/>
              <w:rPr>
                <w:b/>
                <w:bCs/>
                <w:sz w:val="20"/>
                <w:szCs w:val="20"/>
                <w:lang w:eastAsia="fr-FR"/>
              </w:rPr>
            </w:pPr>
            <w:r w:rsidRPr="00322B28">
              <w:rPr>
                <w:b/>
                <w:bCs/>
                <w:sz w:val="20"/>
                <w:szCs w:val="20"/>
                <w:lang w:eastAsia="fr-FR"/>
              </w:rPr>
              <w:t>50 ≤ P &lt; 100</w:t>
            </w:r>
          </w:p>
        </w:tc>
        <w:tc>
          <w:tcPr>
            <w:tcW w:w="797" w:type="dxa"/>
            <w:vMerge w:val="restart"/>
            <w:shd w:val="clear" w:color="auto" w:fill="D9D9D9" w:themeFill="background1" w:themeFillShade="D9"/>
            <w:tcMar>
              <w:top w:w="150" w:type="dxa"/>
              <w:left w:w="150" w:type="dxa"/>
              <w:bottom w:w="150" w:type="dxa"/>
              <w:right w:w="150" w:type="dxa"/>
            </w:tcMar>
            <w:vAlign w:val="center"/>
          </w:tcPr>
          <w:p w14:paraId="678B33B3" w14:textId="77777777" w:rsidR="00322B28" w:rsidRPr="00322B28" w:rsidRDefault="00322B28" w:rsidP="005D385E">
            <w:pPr>
              <w:jc w:val="center"/>
              <w:rPr>
                <w:b/>
                <w:bCs/>
                <w:sz w:val="20"/>
                <w:szCs w:val="20"/>
                <w:lang w:eastAsia="fr-FR"/>
              </w:rPr>
            </w:pPr>
          </w:p>
        </w:tc>
        <w:tc>
          <w:tcPr>
            <w:tcW w:w="811" w:type="dxa"/>
            <w:vMerge w:val="restart"/>
            <w:shd w:val="clear" w:color="auto" w:fill="D9D9D9" w:themeFill="background1" w:themeFillShade="D9"/>
            <w:vAlign w:val="center"/>
          </w:tcPr>
          <w:p w14:paraId="624B4373"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783" w:type="dxa"/>
            <w:vMerge w:val="restart"/>
            <w:shd w:val="clear" w:color="auto" w:fill="D9D9D9" w:themeFill="background1" w:themeFillShade="D9"/>
            <w:vAlign w:val="center"/>
          </w:tcPr>
          <w:p w14:paraId="7C67826B" w14:textId="77777777" w:rsidR="00322B28" w:rsidRPr="00322B28" w:rsidRDefault="00322B28" w:rsidP="005D385E">
            <w:pPr>
              <w:jc w:val="center"/>
              <w:rPr>
                <w:b/>
                <w:bCs/>
                <w:sz w:val="20"/>
                <w:szCs w:val="20"/>
                <w:lang w:eastAsia="fr-FR"/>
              </w:rPr>
            </w:pPr>
            <w:r w:rsidRPr="00322B28">
              <w:rPr>
                <w:b/>
                <w:bCs/>
                <w:sz w:val="20"/>
                <w:szCs w:val="20"/>
                <w:lang w:eastAsia="fr-FR"/>
              </w:rPr>
              <w:t>11</w:t>
            </w:r>
          </w:p>
        </w:tc>
        <w:tc>
          <w:tcPr>
            <w:tcW w:w="797" w:type="dxa"/>
            <w:vMerge w:val="restart"/>
            <w:shd w:val="clear" w:color="auto" w:fill="E2EFD9" w:themeFill="accent6" w:themeFillTint="33"/>
            <w:tcMar>
              <w:top w:w="150" w:type="dxa"/>
              <w:left w:w="150" w:type="dxa"/>
              <w:bottom w:w="150" w:type="dxa"/>
              <w:right w:w="150" w:type="dxa"/>
            </w:tcMar>
            <w:vAlign w:val="center"/>
          </w:tcPr>
          <w:p w14:paraId="2A033570" w14:textId="77777777" w:rsidR="00322B28" w:rsidRPr="00322B28" w:rsidRDefault="00322B28" w:rsidP="005D385E">
            <w:pPr>
              <w:jc w:val="center"/>
              <w:rPr>
                <w:b/>
                <w:bCs/>
                <w:sz w:val="20"/>
                <w:szCs w:val="20"/>
                <w:lang w:eastAsia="fr-FR"/>
              </w:rPr>
            </w:pPr>
            <w:r w:rsidRPr="00322B28">
              <w:rPr>
                <w:b/>
                <w:bCs/>
                <w:sz w:val="20"/>
                <w:szCs w:val="20"/>
                <w:lang w:eastAsia="fr-FR"/>
              </w:rPr>
              <w:t>45</w:t>
            </w:r>
          </w:p>
          <w:p w14:paraId="5825D92F" w14:textId="28144C1C"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4</w:t>
            </w:r>
            <w:r w:rsidRPr="00322B28">
              <w:rPr>
                <w:b/>
                <w:bCs/>
                <w:sz w:val="20"/>
                <w:szCs w:val="20"/>
                <w:lang w:eastAsia="fr-FR"/>
              </w:rPr>
              <w:t>)</w:t>
            </w:r>
          </w:p>
        </w:tc>
        <w:tc>
          <w:tcPr>
            <w:tcW w:w="811" w:type="dxa"/>
            <w:vMerge w:val="restart"/>
            <w:shd w:val="clear" w:color="auto" w:fill="B4C6E7" w:themeFill="accent5" w:themeFillTint="66"/>
            <w:vAlign w:val="center"/>
          </w:tcPr>
          <w:p w14:paraId="3F09D590" w14:textId="77777777" w:rsidR="00322B28" w:rsidRPr="00322B28" w:rsidRDefault="00322B28" w:rsidP="005D385E">
            <w:pPr>
              <w:jc w:val="center"/>
              <w:rPr>
                <w:b/>
                <w:bCs/>
                <w:sz w:val="20"/>
                <w:szCs w:val="20"/>
                <w:lang w:eastAsia="fr-FR"/>
              </w:rPr>
            </w:pPr>
            <w:r w:rsidRPr="00322B28">
              <w:rPr>
                <w:b/>
                <w:bCs/>
                <w:sz w:val="20"/>
                <w:szCs w:val="20"/>
                <w:lang w:eastAsia="fr-FR"/>
              </w:rPr>
              <w:t>50</w:t>
            </w:r>
          </w:p>
          <w:p w14:paraId="7752C7F5" w14:textId="2DB89475"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4</w:t>
            </w:r>
            <w:r w:rsidRPr="00322B28">
              <w:rPr>
                <w:b/>
                <w:bCs/>
                <w:sz w:val="20"/>
                <w:szCs w:val="20"/>
                <w:lang w:eastAsia="fr-FR"/>
              </w:rPr>
              <w:t>)</w:t>
            </w:r>
          </w:p>
        </w:tc>
        <w:tc>
          <w:tcPr>
            <w:tcW w:w="811" w:type="dxa"/>
            <w:vMerge w:val="restart"/>
            <w:shd w:val="clear" w:color="auto" w:fill="92D050"/>
            <w:vAlign w:val="center"/>
          </w:tcPr>
          <w:p w14:paraId="3DCDE941" w14:textId="77777777" w:rsidR="00322B28" w:rsidRPr="00322B28" w:rsidRDefault="00322B28" w:rsidP="005D385E">
            <w:pPr>
              <w:jc w:val="center"/>
              <w:rPr>
                <w:b/>
                <w:bCs/>
                <w:sz w:val="20"/>
                <w:szCs w:val="20"/>
                <w:lang w:eastAsia="fr-FR"/>
              </w:rPr>
            </w:pPr>
            <w:r w:rsidRPr="00322B28">
              <w:rPr>
                <w:b/>
                <w:bCs/>
                <w:sz w:val="20"/>
                <w:szCs w:val="20"/>
                <w:lang w:eastAsia="fr-FR"/>
              </w:rPr>
              <w:t>55</w:t>
            </w:r>
          </w:p>
          <w:p w14:paraId="1F7A4825" w14:textId="1D240E85"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4</w:t>
            </w:r>
            <w:r w:rsidRPr="00322B28">
              <w:rPr>
                <w:b/>
                <w:bCs/>
                <w:sz w:val="20"/>
                <w:szCs w:val="20"/>
                <w:lang w:eastAsia="fr-FR"/>
              </w:rPr>
              <w:t>)</w:t>
            </w:r>
          </w:p>
        </w:tc>
        <w:tc>
          <w:tcPr>
            <w:tcW w:w="852" w:type="dxa"/>
            <w:vMerge w:val="restart"/>
            <w:shd w:val="clear" w:color="auto" w:fill="D9D9D9" w:themeFill="background1" w:themeFillShade="D9"/>
            <w:tcMar>
              <w:top w:w="150" w:type="dxa"/>
              <w:left w:w="150" w:type="dxa"/>
              <w:bottom w:w="150" w:type="dxa"/>
              <w:right w:w="150" w:type="dxa"/>
            </w:tcMar>
            <w:vAlign w:val="center"/>
          </w:tcPr>
          <w:p w14:paraId="312E6BA4" w14:textId="77777777" w:rsidR="00322B28" w:rsidRPr="00322B28" w:rsidRDefault="00322B28" w:rsidP="005D385E">
            <w:pPr>
              <w:jc w:val="center"/>
              <w:rPr>
                <w:b/>
                <w:bCs/>
                <w:sz w:val="20"/>
                <w:szCs w:val="20"/>
                <w:lang w:eastAsia="fr-FR"/>
              </w:rPr>
            </w:pPr>
          </w:p>
        </w:tc>
        <w:tc>
          <w:tcPr>
            <w:tcW w:w="850" w:type="dxa"/>
            <w:vMerge w:val="restart"/>
            <w:shd w:val="clear" w:color="auto" w:fill="D9D9D9" w:themeFill="background1" w:themeFillShade="D9"/>
            <w:vAlign w:val="center"/>
          </w:tcPr>
          <w:p w14:paraId="5CE42EE5"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851" w:type="dxa"/>
            <w:vMerge w:val="restart"/>
            <w:shd w:val="clear" w:color="auto" w:fill="D9D9D9" w:themeFill="background1" w:themeFillShade="D9"/>
            <w:vAlign w:val="center"/>
          </w:tcPr>
          <w:p w14:paraId="38E7E980" w14:textId="77777777" w:rsidR="00322B28" w:rsidRPr="00322B28" w:rsidRDefault="00322B28" w:rsidP="005D385E">
            <w:pPr>
              <w:jc w:val="center"/>
              <w:rPr>
                <w:b/>
                <w:bCs/>
                <w:sz w:val="20"/>
                <w:szCs w:val="20"/>
                <w:lang w:eastAsia="fr-FR"/>
              </w:rPr>
            </w:pPr>
            <w:r w:rsidRPr="00322B28">
              <w:rPr>
                <w:b/>
                <w:bCs/>
                <w:sz w:val="20"/>
                <w:szCs w:val="20"/>
                <w:lang w:eastAsia="fr-FR"/>
              </w:rPr>
              <w:t>11</w:t>
            </w:r>
          </w:p>
        </w:tc>
      </w:tr>
      <w:tr w:rsidR="00322B28" w14:paraId="1C166243"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ign w:val="center"/>
          </w:tcPr>
          <w:p w14:paraId="6F13E1CC" w14:textId="77777777" w:rsidR="00322B28" w:rsidRPr="00322B28" w:rsidRDefault="00322B28" w:rsidP="005D385E">
            <w:pP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68CA47AB" w14:textId="77777777" w:rsidR="00322B28" w:rsidRPr="00322B28" w:rsidRDefault="00322B28" w:rsidP="005D385E">
            <w:pPr>
              <w:jc w:val="center"/>
              <w:rPr>
                <w:b/>
                <w:bCs/>
                <w:sz w:val="20"/>
                <w:szCs w:val="20"/>
                <w:lang w:eastAsia="fr-FR"/>
              </w:rPr>
            </w:pPr>
            <w:r w:rsidRPr="00322B28">
              <w:rPr>
                <w:b/>
                <w:bCs/>
                <w:sz w:val="20"/>
                <w:szCs w:val="20"/>
                <w:lang w:eastAsia="fr-FR"/>
              </w:rPr>
              <w:t>100 ≤ P &lt; 300</w:t>
            </w:r>
          </w:p>
        </w:tc>
        <w:tc>
          <w:tcPr>
            <w:tcW w:w="797" w:type="dxa"/>
            <w:vMerge/>
            <w:shd w:val="clear" w:color="auto" w:fill="D9D9D9" w:themeFill="background1" w:themeFillShade="D9"/>
            <w:tcMar>
              <w:top w:w="150" w:type="dxa"/>
              <w:left w:w="150" w:type="dxa"/>
              <w:bottom w:w="150" w:type="dxa"/>
              <w:right w:w="150" w:type="dxa"/>
            </w:tcMar>
            <w:vAlign w:val="center"/>
          </w:tcPr>
          <w:p w14:paraId="332C4F00"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45DF91B6"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2CE5BD5F" w14:textId="77777777" w:rsidR="00322B28" w:rsidRPr="00322B28" w:rsidRDefault="00322B28" w:rsidP="005D385E">
            <w:pPr>
              <w:jc w:val="center"/>
              <w:rPr>
                <w:b/>
                <w:bCs/>
                <w:sz w:val="20"/>
                <w:szCs w:val="20"/>
                <w:lang w:eastAsia="fr-FR"/>
              </w:rPr>
            </w:pPr>
          </w:p>
        </w:tc>
        <w:tc>
          <w:tcPr>
            <w:tcW w:w="797" w:type="dxa"/>
            <w:vMerge/>
            <w:shd w:val="clear" w:color="auto" w:fill="E2EFD9" w:themeFill="accent6" w:themeFillTint="33"/>
            <w:tcMar>
              <w:top w:w="150" w:type="dxa"/>
              <w:left w:w="150" w:type="dxa"/>
              <w:bottom w:w="150" w:type="dxa"/>
              <w:right w:w="150" w:type="dxa"/>
            </w:tcMar>
            <w:vAlign w:val="center"/>
          </w:tcPr>
          <w:p w14:paraId="049EBF94" w14:textId="77777777" w:rsidR="00322B28" w:rsidRPr="00322B28" w:rsidRDefault="00322B28" w:rsidP="005D385E">
            <w:pPr>
              <w:jc w:val="center"/>
              <w:rPr>
                <w:b/>
                <w:bCs/>
                <w:sz w:val="20"/>
                <w:szCs w:val="20"/>
                <w:lang w:eastAsia="fr-FR"/>
              </w:rPr>
            </w:pPr>
          </w:p>
        </w:tc>
        <w:tc>
          <w:tcPr>
            <w:tcW w:w="811" w:type="dxa"/>
            <w:vMerge/>
            <w:shd w:val="clear" w:color="auto" w:fill="B4C6E7" w:themeFill="accent5" w:themeFillTint="66"/>
            <w:vAlign w:val="center"/>
          </w:tcPr>
          <w:p w14:paraId="592850FA" w14:textId="77777777" w:rsidR="00322B28" w:rsidRPr="00322B28" w:rsidRDefault="00322B28" w:rsidP="005D385E">
            <w:pPr>
              <w:jc w:val="center"/>
              <w:rPr>
                <w:b/>
                <w:bCs/>
                <w:sz w:val="20"/>
                <w:szCs w:val="20"/>
                <w:lang w:eastAsia="fr-FR"/>
              </w:rPr>
            </w:pPr>
          </w:p>
        </w:tc>
        <w:tc>
          <w:tcPr>
            <w:tcW w:w="811" w:type="dxa"/>
            <w:vMerge/>
            <w:shd w:val="clear" w:color="auto" w:fill="92D050"/>
            <w:vAlign w:val="center"/>
          </w:tcPr>
          <w:p w14:paraId="7AB77A35" w14:textId="77777777" w:rsidR="00322B28" w:rsidRPr="00322B28" w:rsidRDefault="00322B28" w:rsidP="005D385E">
            <w:pPr>
              <w:jc w:val="center"/>
              <w:rPr>
                <w:b/>
                <w:bCs/>
                <w:sz w:val="20"/>
                <w:szCs w:val="20"/>
                <w:lang w:eastAsia="fr-FR"/>
              </w:rPr>
            </w:pPr>
          </w:p>
        </w:tc>
        <w:tc>
          <w:tcPr>
            <w:tcW w:w="852" w:type="dxa"/>
            <w:vMerge/>
            <w:shd w:val="clear" w:color="auto" w:fill="D9D9D9" w:themeFill="background1" w:themeFillShade="D9"/>
            <w:tcMar>
              <w:top w:w="150" w:type="dxa"/>
              <w:left w:w="150" w:type="dxa"/>
              <w:bottom w:w="150" w:type="dxa"/>
              <w:right w:w="150" w:type="dxa"/>
            </w:tcMar>
            <w:vAlign w:val="center"/>
          </w:tcPr>
          <w:p w14:paraId="6BD838F7" w14:textId="77777777" w:rsidR="00322B28" w:rsidRPr="00322B28" w:rsidRDefault="00322B28" w:rsidP="005D385E">
            <w:pPr>
              <w:jc w:val="center"/>
              <w:rPr>
                <w:b/>
                <w:bCs/>
                <w:sz w:val="20"/>
                <w:szCs w:val="20"/>
                <w:lang w:eastAsia="fr-FR"/>
              </w:rPr>
            </w:pPr>
          </w:p>
        </w:tc>
        <w:tc>
          <w:tcPr>
            <w:tcW w:w="850" w:type="dxa"/>
            <w:vMerge/>
            <w:shd w:val="clear" w:color="auto" w:fill="D9D9D9" w:themeFill="background1" w:themeFillShade="D9"/>
            <w:vAlign w:val="center"/>
          </w:tcPr>
          <w:p w14:paraId="610E435B" w14:textId="77777777" w:rsidR="00322B28" w:rsidRPr="00322B28" w:rsidRDefault="00322B28" w:rsidP="005D385E">
            <w:pPr>
              <w:jc w:val="center"/>
              <w:rPr>
                <w:b/>
                <w:bCs/>
                <w:sz w:val="20"/>
                <w:szCs w:val="20"/>
                <w:lang w:eastAsia="fr-FR"/>
              </w:rPr>
            </w:pPr>
          </w:p>
        </w:tc>
        <w:tc>
          <w:tcPr>
            <w:tcW w:w="851" w:type="dxa"/>
            <w:vMerge/>
            <w:shd w:val="clear" w:color="auto" w:fill="D9D9D9" w:themeFill="background1" w:themeFillShade="D9"/>
            <w:vAlign w:val="center"/>
          </w:tcPr>
          <w:p w14:paraId="7B3ADBFD" w14:textId="77777777" w:rsidR="00322B28" w:rsidRPr="00322B28" w:rsidRDefault="00322B28" w:rsidP="005D385E">
            <w:pPr>
              <w:jc w:val="center"/>
              <w:rPr>
                <w:b/>
                <w:bCs/>
                <w:sz w:val="20"/>
                <w:szCs w:val="20"/>
                <w:lang w:eastAsia="fr-FR"/>
              </w:rPr>
            </w:pPr>
          </w:p>
        </w:tc>
      </w:tr>
      <w:tr w:rsidR="00322B28" w14:paraId="104E7F1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jc w:val="center"/>
        </w:trPr>
        <w:tc>
          <w:tcPr>
            <w:tcW w:w="1491" w:type="dxa"/>
            <w:vMerge/>
            <w:vAlign w:val="center"/>
          </w:tcPr>
          <w:p w14:paraId="21C466CE" w14:textId="77777777" w:rsidR="00322B28" w:rsidRPr="00322B28" w:rsidRDefault="00322B28" w:rsidP="005D385E">
            <w:pP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06A8A4BC" w14:textId="77777777" w:rsidR="00322B28" w:rsidRPr="00322B28" w:rsidRDefault="00322B28" w:rsidP="005D385E">
            <w:pPr>
              <w:jc w:val="center"/>
              <w:rPr>
                <w:b/>
                <w:bCs/>
                <w:sz w:val="20"/>
                <w:szCs w:val="20"/>
                <w:lang w:eastAsia="fr-FR"/>
              </w:rPr>
            </w:pPr>
            <w:r w:rsidRPr="00322B28">
              <w:rPr>
                <w:b/>
                <w:bCs/>
                <w:sz w:val="20"/>
                <w:szCs w:val="20"/>
                <w:lang w:eastAsia="fr-FR"/>
              </w:rPr>
              <w:t>300 ≤ P &lt; 600</w:t>
            </w:r>
          </w:p>
        </w:tc>
        <w:tc>
          <w:tcPr>
            <w:tcW w:w="797" w:type="dxa"/>
            <w:vMerge/>
            <w:shd w:val="clear" w:color="auto" w:fill="D9D9D9" w:themeFill="background1" w:themeFillShade="D9"/>
            <w:tcMar>
              <w:top w:w="150" w:type="dxa"/>
              <w:left w:w="150" w:type="dxa"/>
              <w:bottom w:w="150" w:type="dxa"/>
              <w:right w:w="150" w:type="dxa"/>
            </w:tcMar>
            <w:vAlign w:val="center"/>
          </w:tcPr>
          <w:p w14:paraId="0EC4871C"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247FE33D"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593D5920" w14:textId="77777777" w:rsidR="00322B28" w:rsidRPr="00322B28" w:rsidRDefault="00322B28" w:rsidP="005D385E">
            <w:pPr>
              <w:jc w:val="center"/>
              <w:rPr>
                <w:b/>
                <w:bCs/>
                <w:sz w:val="20"/>
                <w:szCs w:val="20"/>
                <w:lang w:eastAsia="fr-FR"/>
              </w:rPr>
            </w:pPr>
          </w:p>
        </w:tc>
        <w:tc>
          <w:tcPr>
            <w:tcW w:w="797" w:type="dxa"/>
            <w:vMerge/>
            <w:shd w:val="clear" w:color="auto" w:fill="E2EFD9" w:themeFill="accent6" w:themeFillTint="33"/>
            <w:tcMar>
              <w:top w:w="150" w:type="dxa"/>
              <w:left w:w="150" w:type="dxa"/>
              <w:bottom w:w="150" w:type="dxa"/>
              <w:right w:w="150" w:type="dxa"/>
            </w:tcMar>
            <w:vAlign w:val="center"/>
          </w:tcPr>
          <w:p w14:paraId="219102C9" w14:textId="77777777" w:rsidR="00322B28" w:rsidRPr="00322B28" w:rsidRDefault="00322B28" w:rsidP="005D385E">
            <w:pPr>
              <w:jc w:val="center"/>
              <w:rPr>
                <w:b/>
                <w:bCs/>
                <w:sz w:val="20"/>
                <w:szCs w:val="20"/>
                <w:lang w:eastAsia="fr-FR"/>
              </w:rPr>
            </w:pPr>
          </w:p>
        </w:tc>
        <w:tc>
          <w:tcPr>
            <w:tcW w:w="811" w:type="dxa"/>
            <w:vMerge/>
            <w:shd w:val="clear" w:color="auto" w:fill="B4C6E7" w:themeFill="accent5" w:themeFillTint="66"/>
            <w:vAlign w:val="center"/>
          </w:tcPr>
          <w:p w14:paraId="53248A8C" w14:textId="77777777" w:rsidR="00322B28" w:rsidRPr="00322B28" w:rsidRDefault="00322B28" w:rsidP="005D385E">
            <w:pPr>
              <w:jc w:val="center"/>
              <w:rPr>
                <w:b/>
                <w:bCs/>
                <w:sz w:val="20"/>
                <w:szCs w:val="20"/>
                <w:lang w:eastAsia="fr-FR"/>
              </w:rPr>
            </w:pPr>
          </w:p>
        </w:tc>
        <w:tc>
          <w:tcPr>
            <w:tcW w:w="811" w:type="dxa"/>
            <w:vMerge/>
            <w:shd w:val="clear" w:color="auto" w:fill="92D050"/>
            <w:vAlign w:val="center"/>
          </w:tcPr>
          <w:p w14:paraId="3BE3F92C" w14:textId="77777777" w:rsidR="00322B28" w:rsidRPr="00322B28" w:rsidRDefault="00322B28" w:rsidP="005D385E">
            <w:pPr>
              <w:jc w:val="center"/>
              <w:rPr>
                <w:b/>
                <w:bCs/>
                <w:sz w:val="20"/>
                <w:szCs w:val="20"/>
                <w:lang w:eastAsia="fr-FR"/>
              </w:rPr>
            </w:pPr>
          </w:p>
        </w:tc>
        <w:tc>
          <w:tcPr>
            <w:tcW w:w="852" w:type="dxa"/>
            <w:vMerge/>
            <w:shd w:val="clear" w:color="auto" w:fill="D9D9D9" w:themeFill="background1" w:themeFillShade="D9"/>
            <w:tcMar>
              <w:top w:w="150" w:type="dxa"/>
              <w:left w:w="150" w:type="dxa"/>
              <w:bottom w:w="150" w:type="dxa"/>
              <w:right w:w="150" w:type="dxa"/>
            </w:tcMar>
            <w:vAlign w:val="center"/>
          </w:tcPr>
          <w:p w14:paraId="33DADE6F" w14:textId="77777777" w:rsidR="00322B28" w:rsidRPr="00322B28" w:rsidRDefault="00322B28" w:rsidP="005D385E">
            <w:pPr>
              <w:jc w:val="center"/>
              <w:rPr>
                <w:b/>
                <w:bCs/>
                <w:sz w:val="20"/>
                <w:szCs w:val="20"/>
                <w:lang w:eastAsia="fr-FR"/>
              </w:rPr>
            </w:pPr>
          </w:p>
        </w:tc>
        <w:tc>
          <w:tcPr>
            <w:tcW w:w="850" w:type="dxa"/>
            <w:vMerge/>
            <w:shd w:val="clear" w:color="auto" w:fill="D9D9D9" w:themeFill="background1" w:themeFillShade="D9"/>
            <w:vAlign w:val="center"/>
          </w:tcPr>
          <w:p w14:paraId="6E940CCE" w14:textId="77777777" w:rsidR="00322B28" w:rsidRPr="00322B28" w:rsidRDefault="00322B28" w:rsidP="005D385E">
            <w:pPr>
              <w:jc w:val="center"/>
              <w:rPr>
                <w:b/>
                <w:bCs/>
                <w:sz w:val="20"/>
                <w:szCs w:val="20"/>
                <w:lang w:eastAsia="fr-FR"/>
              </w:rPr>
            </w:pPr>
          </w:p>
        </w:tc>
        <w:tc>
          <w:tcPr>
            <w:tcW w:w="851" w:type="dxa"/>
            <w:vMerge/>
            <w:shd w:val="clear" w:color="auto" w:fill="D9D9D9" w:themeFill="background1" w:themeFillShade="D9"/>
            <w:vAlign w:val="center"/>
          </w:tcPr>
          <w:p w14:paraId="40BC3BCA" w14:textId="77777777" w:rsidR="00322B28" w:rsidRPr="00322B28" w:rsidRDefault="00322B28" w:rsidP="005D385E">
            <w:pPr>
              <w:jc w:val="center"/>
              <w:rPr>
                <w:b/>
                <w:bCs/>
                <w:sz w:val="20"/>
                <w:szCs w:val="20"/>
                <w:lang w:eastAsia="fr-FR"/>
              </w:rPr>
            </w:pPr>
          </w:p>
        </w:tc>
      </w:tr>
      <w:tr w:rsidR="00322B28" w14:paraId="20ECD354"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491" w:type="dxa"/>
            <w:vMerge/>
            <w:vAlign w:val="center"/>
          </w:tcPr>
          <w:p w14:paraId="2E6E4C81" w14:textId="77777777" w:rsidR="00322B28" w:rsidRPr="00322B28" w:rsidRDefault="00322B28" w:rsidP="005D385E">
            <w:pP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5879BEB6" w14:textId="77777777" w:rsidR="00322B28" w:rsidRPr="00322B28" w:rsidRDefault="00322B28" w:rsidP="005D385E">
            <w:pPr>
              <w:jc w:val="center"/>
              <w:rPr>
                <w:b/>
                <w:bCs/>
                <w:sz w:val="20"/>
                <w:szCs w:val="20"/>
                <w:lang w:eastAsia="fr-FR"/>
              </w:rPr>
            </w:pPr>
            <w:r w:rsidRPr="00322B28">
              <w:rPr>
                <w:b/>
                <w:bCs/>
                <w:sz w:val="20"/>
                <w:szCs w:val="20"/>
                <w:lang w:eastAsia="fr-FR"/>
              </w:rPr>
              <w:t>600 ≤ P</w:t>
            </w:r>
          </w:p>
        </w:tc>
        <w:tc>
          <w:tcPr>
            <w:tcW w:w="797" w:type="dxa"/>
            <w:shd w:val="clear" w:color="auto" w:fill="D9D9D9" w:themeFill="background1" w:themeFillShade="D9"/>
            <w:tcMar>
              <w:top w:w="150" w:type="dxa"/>
              <w:left w:w="150" w:type="dxa"/>
              <w:bottom w:w="150" w:type="dxa"/>
              <w:right w:w="150" w:type="dxa"/>
            </w:tcMar>
            <w:vAlign w:val="center"/>
          </w:tcPr>
          <w:p w14:paraId="519641C1" w14:textId="77777777" w:rsidR="00322B28" w:rsidRPr="00322B28" w:rsidRDefault="00322B28" w:rsidP="005D385E">
            <w:pPr>
              <w:jc w:val="center"/>
              <w:rPr>
                <w:b/>
                <w:bCs/>
                <w:sz w:val="20"/>
                <w:szCs w:val="20"/>
                <w:lang w:eastAsia="fr-FR"/>
              </w:rPr>
            </w:pPr>
          </w:p>
        </w:tc>
        <w:tc>
          <w:tcPr>
            <w:tcW w:w="811" w:type="dxa"/>
            <w:shd w:val="clear" w:color="auto" w:fill="D9D9D9" w:themeFill="background1" w:themeFillShade="D9"/>
            <w:vAlign w:val="center"/>
          </w:tcPr>
          <w:p w14:paraId="0C6569B3"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783" w:type="dxa"/>
            <w:shd w:val="clear" w:color="auto" w:fill="D9D9D9" w:themeFill="background1" w:themeFillShade="D9"/>
            <w:vAlign w:val="center"/>
          </w:tcPr>
          <w:p w14:paraId="2994B0AD" w14:textId="77777777" w:rsidR="00322B28" w:rsidRPr="00322B28" w:rsidRDefault="00322B28" w:rsidP="005D385E">
            <w:pPr>
              <w:jc w:val="center"/>
              <w:rPr>
                <w:b/>
                <w:bCs/>
                <w:sz w:val="20"/>
                <w:szCs w:val="20"/>
                <w:lang w:eastAsia="fr-FR"/>
              </w:rPr>
            </w:pPr>
            <w:r w:rsidRPr="00322B28">
              <w:rPr>
                <w:b/>
                <w:bCs/>
                <w:sz w:val="20"/>
                <w:szCs w:val="20"/>
                <w:lang w:eastAsia="fr-FR"/>
              </w:rPr>
              <w:t>11</w:t>
            </w:r>
          </w:p>
        </w:tc>
        <w:tc>
          <w:tcPr>
            <w:tcW w:w="797" w:type="dxa"/>
            <w:shd w:val="clear" w:color="auto" w:fill="E2EFD9" w:themeFill="accent6" w:themeFillTint="33"/>
            <w:tcMar>
              <w:top w:w="150" w:type="dxa"/>
              <w:left w:w="150" w:type="dxa"/>
              <w:bottom w:w="150" w:type="dxa"/>
              <w:right w:w="150" w:type="dxa"/>
            </w:tcMar>
            <w:vAlign w:val="center"/>
          </w:tcPr>
          <w:p w14:paraId="484A9C9D" w14:textId="77777777" w:rsidR="00322B28" w:rsidRPr="00322B28" w:rsidRDefault="00322B28" w:rsidP="005D385E">
            <w:pPr>
              <w:jc w:val="center"/>
              <w:rPr>
                <w:b/>
                <w:bCs/>
                <w:sz w:val="20"/>
                <w:szCs w:val="20"/>
                <w:lang w:eastAsia="fr-FR"/>
              </w:rPr>
            </w:pPr>
            <w:r w:rsidRPr="00322B28">
              <w:rPr>
                <w:b/>
                <w:bCs/>
                <w:sz w:val="20"/>
                <w:szCs w:val="20"/>
                <w:lang w:eastAsia="fr-FR"/>
              </w:rPr>
              <w:t>40</w:t>
            </w:r>
          </w:p>
          <w:p w14:paraId="7166FC9D" w14:textId="0B4DB8C5"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5</w:t>
            </w:r>
            <w:r w:rsidRPr="00322B28">
              <w:rPr>
                <w:b/>
                <w:bCs/>
                <w:sz w:val="20"/>
                <w:szCs w:val="20"/>
                <w:lang w:eastAsia="fr-FR"/>
              </w:rPr>
              <w:t>)</w:t>
            </w:r>
          </w:p>
        </w:tc>
        <w:tc>
          <w:tcPr>
            <w:tcW w:w="811" w:type="dxa"/>
            <w:shd w:val="clear" w:color="auto" w:fill="B4C6E7" w:themeFill="accent5" w:themeFillTint="66"/>
            <w:vAlign w:val="center"/>
          </w:tcPr>
          <w:p w14:paraId="16F5FB1D" w14:textId="77777777" w:rsidR="00322B28" w:rsidRPr="00322B28" w:rsidRDefault="00322B28" w:rsidP="005D385E">
            <w:pPr>
              <w:jc w:val="center"/>
              <w:rPr>
                <w:b/>
                <w:bCs/>
                <w:sz w:val="20"/>
                <w:szCs w:val="20"/>
                <w:lang w:eastAsia="fr-FR"/>
              </w:rPr>
            </w:pPr>
            <w:r w:rsidRPr="00322B28">
              <w:rPr>
                <w:b/>
                <w:bCs/>
                <w:sz w:val="20"/>
                <w:szCs w:val="20"/>
                <w:lang w:eastAsia="fr-FR"/>
              </w:rPr>
              <w:t>50</w:t>
            </w:r>
          </w:p>
          <w:p w14:paraId="75AF468C" w14:textId="3FB616BD"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5</w:t>
            </w:r>
            <w:r w:rsidRPr="00322B28">
              <w:rPr>
                <w:b/>
                <w:bCs/>
                <w:sz w:val="20"/>
                <w:szCs w:val="20"/>
                <w:lang w:eastAsia="fr-FR"/>
              </w:rPr>
              <w:t>)</w:t>
            </w:r>
          </w:p>
        </w:tc>
        <w:tc>
          <w:tcPr>
            <w:tcW w:w="811" w:type="dxa"/>
            <w:shd w:val="clear" w:color="auto" w:fill="E2EFD9" w:themeFill="accent6" w:themeFillTint="33"/>
            <w:vAlign w:val="center"/>
          </w:tcPr>
          <w:p w14:paraId="60325FD8" w14:textId="77777777" w:rsidR="00322B28" w:rsidRPr="00322B28" w:rsidRDefault="00322B28" w:rsidP="005D385E">
            <w:pPr>
              <w:jc w:val="center"/>
              <w:rPr>
                <w:b/>
                <w:bCs/>
                <w:sz w:val="20"/>
                <w:szCs w:val="20"/>
                <w:lang w:eastAsia="fr-FR"/>
              </w:rPr>
            </w:pPr>
            <w:r w:rsidRPr="00322B28">
              <w:rPr>
                <w:b/>
                <w:bCs/>
                <w:sz w:val="20"/>
                <w:szCs w:val="20"/>
                <w:lang w:eastAsia="fr-FR"/>
              </w:rPr>
              <w:t>50</w:t>
            </w:r>
          </w:p>
          <w:p w14:paraId="0793CC65" w14:textId="47931AD7"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5</w:t>
            </w:r>
            <w:r w:rsidRPr="00322B28">
              <w:rPr>
                <w:b/>
                <w:bCs/>
                <w:sz w:val="20"/>
                <w:szCs w:val="20"/>
                <w:lang w:eastAsia="fr-FR"/>
              </w:rPr>
              <w:t>)</w:t>
            </w:r>
          </w:p>
        </w:tc>
        <w:tc>
          <w:tcPr>
            <w:tcW w:w="852" w:type="dxa"/>
            <w:shd w:val="clear" w:color="auto" w:fill="D9D9D9" w:themeFill="background1" w:themeFillShade="D9"/>
            <w:tcMar>
              <w:top w:w="150" w:type="dxa"/>
              <w:left w:w="150" w:type="dxa"/>
              <w:bottom w:w="150" w:type="dxa"/>
              <w:right w:w="150" w:type="dxa"/>
            </w:tcMar>
            <w:vAlign w:val="center"/>
          </w:tcPr>
          <w:p w14:paraId="4C14F9E2" w14:textId="77777777" w:rsidR="00322B28" w:rsidRPr="00322B28" w:rsidRDefault="00322B28" w:rsidP="005D385E">
            <w:pPr>
              <w:jc w:val="center"/>
              <w:rPr>
                <w:b/>
                <w:bCs/>
                <w:sz w:val="20"/>
                <w:szCs w:val="20"/>
                <w:lang w:eastAsia="fr-FR"/>
              </w:rPr>
            </w:pPr>
          </w:p>
        </w:tc>
        <w:tc>
          <w:tcPr>
            <w:tcW w:w="850" w:type="dxa"/>
            <w:shd w:val="clear" w:color="auto" w:fill="D9D9D9" w:themeFill="background1" w:themeFillShade="D9"/>
            <w:vAlign w:val="center"/>
          </w:tcPr>
          <w:p w14:paraId="5BC33FF9" w14:textId="77777777" w:rsidR="00322B28" w:rsidRPr="00322B28" w:rsidRDefault="00322B28" w:rsidP="005D385E">
            <w:pPr>
              <w:jc w:val="center"/>
              <w:rPr>
                <w:b/>
                <w:bCs/>
                <w:sz w:val="20"/>
                <w:szCs w:val="20"/>
                <w:lang w:eastAsia="fr-FR"/>
              </w:rPr>
            </w:pPr>
            <w:r w:rsidRPr="00322B28">
              <w:rPr>
                <w:b/>
                <w:bCs/>
                <w:sz w:val="20"/>
                <w:szCs w:val="20"/>
                <w:lang w:eastAsia="fr-FR"/>
              </w:rPr>
              <w:t>10</w:t>
            </w:r>
          </w:p>
        </w:tc>
        <w:tc>
          <w:tcPr>
            <w:tcW w:w="851" w:type="dxa"/>
            <w:shd w:val="clear" w:color="auto" w:fill="D9D9D9" w:themeFill="background1" w:themeFillShade="D9"/>
            <w:vAlign w:val="center"/>
          </w:tcPr>
          <w:p w14:paraId="6C7A0A5F" w14:textId="77777777" w:rsidR="00322B28" w:rsidRPr="00322B28" w:rsidRDefault="00322B28" w:rsidP="005D385E">
            <w:pPr>
              <w:jc w:val="center"/>
              <w:rPr>
                <w:b/>
                <w:bCs/>
                <w:sz w:val="20"/>
                <w:szCs w:val="20"/>
                <w:lang w:eastAsia="fr-FR"/>
              </w:rPr>
            </w:pPr>
            <w:r w:rsidRPr="00322B28">
              <w:rPr>
                <w:b/>
                <w:bCs/>
                <w:sz w:val="20"/>
                <w:szCs w:val="20"/>
                <w:lang w:eastAsia="fr-FR"/>
              </w:rPr>
              <w:t>11</w:t>
            </w:r>
          </w:p>
        </w:tc>
      </w:tr>
      <w:tr w:rsidR="00322B28" w14:paraId="47AE258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restart"/>
            <w:vAlign w:val="center"/>
          </w:tcPr>
          <w:p w14:paraId="3873F7E3" w14:textId="77777777" w:rsidR="00322B28" w:rsidRPr="00322B28" w:rsidRDefault="00322B28" w:rsidP="005D385E">
            <w:pPr>
              <w:jc w:val="center"/>
              <w:rPr>
                <w:b/>
                <w:bCs/>
                <w:sz w:val="20"/>
                <w:szCs w:val="20"/>
                <w:lang w:eastAsia="fr-FR"/>
              </w:rPr>
            </w:pPr>
            <w:r w:rsidRPr="00322B28">
              <w:rPr>
                <w:b/>
                <w:bCs/>
                <w:sz w:val="20"/>
                <w:szCs w:val="20"/>
                <w:lang w:eastAsia="fr-FR"/>
              </w:rPr>
              <w:t>Gaz sidérurgiques</w:t>
            </w:r>
          </w:p>
          <w:p w14:paraId="53F9860C" w14:textId="77777777" w:rsidR="00322B28" w:rsidRPr="00322B28" w:rsidRDefault="00322B28" w:rsidP="005D385E">
            <w:pPr>
              <w:jc w:val="center"/>
              <w:rPr>
                <w:b/>
                <w:bCs/>
                <w:sz w:val="20"/>
                <w:szCs w:val="20"/>
                <w:lang w:eastAsia="fr-FR"/>
              </w:rPr>
            </w:pPr>
            <w:r w:rsidRPr="00322B28">
              <w:rPr>
                <w:b/>
                <w:bCs/>
                <w:sz w:val="20"/>
                <w:szCs w:val="20"/>
                <w:lang w:eastAsia="fr-FR"/>
              </w:rPr>
              <w:t>(CCGT)</w:t>
            </w:r>
          </w:p>
        </w:tc>
        <w:tc>
          <w:tcPr>
            <w:tcW w:w="1631" w:type="dxa"/>
            <w:shd w:val="clear" w:color="auto" w:fill="F5F5F5"/>
            <w:tcMar>
              <w:top w:w="150" w:type="dxa"/>
              <w:left w:w="150" w:type="dxa"/>
              <w:bottom w:w="150" w:type="dxa"/>
              <w:right w:w="150" w:type="dxa"/>
            </w:tcMar>
            <w:vAlign w:val="center"/>
          </w:tcPr>
          <w:p w14:paraId="2698583F" w14:textId="77777777" w:rsidR="00322B28" w:rsidRPr="00322B28" w:rsidRDefault="00322B28" w:rsidP="005D385E">
            <w:pPr>
              <w:jc w:val="center"/>
              <w:rPr>
                <w:b/>
                <w:bCs/>
                <w:sz w:val="20"/>
                <w:szCs w:val="20"/>
                <w:lang w:eastAsia="fr-FR"/>
              </w:rPr>
            </w:pPr>
            <w:r w:rsidRPr="00322B28">
              <w:rPr>
                <w:b/>
                <w:bCs/>
                <w:sz w:val="20"/>
                <w:szCs w:val="20"/>
                <w:lang w:eastAsia="fr-FR"/>
              </w:rPr>
              <w:t>50 ≤ P &lt; 100</w:t>
            </w:r>
          </w:p>
        </w:tc>
        <w:tc>
          <w:tcPr>
            <w:tcW w:w="797" w:type="dxa"/>
            <w:vMerge w:val="restart"/>
            <w:shd w:val="clear" w:color="auto" w:fill="E2EFD9" w:themeFill="accent6" w:themeFillTint="33"/>
            <w:tcMar>
              <w:top w:w="150" w:type="dxa"/>
              <w:left w:w="150" w:type="dxa"/>
              <w:bottom w:w="150" w:type="dxa"/>
              <w:right w:w="150" w:type="dxa"/>
            </w:tcMar>
            <w:vAlign w:val="center"/>
          </w:tcPr>
          <w:p w14:paraId="3D7E3337" w14:textId="77777777" w:rsidR="00322B28" w:rsidRPr="00322B28" w:rsidRDefault="00322B28" w:rsidP="005D385E">
            <w:pPr>
              <w:jc w:val="center"/>
              <w:rPr>
                <w:b/>
                <w:bCs/>
                <w:sz w:val="20"/>
                <w:szCs w:val="20"/>
                <w:lang w:eastAsia="fr-FR"/>
              </w:rPr>
            </w:pPr>
            <w:r w:rsidRPr="00322B28">
              <w:rPr>
                <w:b/>
                <w:bCs/>
                <w:sz w:val="20"/>
                <w:szCs w:val="20"/>
                <w:lang w:eastAsia="fr-FR"/>
              </w:rPr>
              <w:t>45</w:t>
            </w:r>
          </w:p>
        </w:tc>
        <w:tc>
          <w:tcPr>
            <w:tcW w:w="811" w:type="dxa"/>
            <w:vMerge w:val="restart"/>
            <w:shd w:val="clear" w:color="auto" w:fill="B4C6E7" w:themeFill="accent5" w:themeFillTint="66"/>
            <w:vAlign w:val="center"/>
          </w:tcPr>
          <w:p w14:paraId="2D7FA604" w14:textId="77777777" w:rsidR="00322B28" w:rsidRPr="00322B28" w:rsidRDefault="00322B28" w:rsidP="005D385E">
            <w:pPr>
              <w:jc w:val="center"/>
              <w:rPr>
                <w:b/>
                <w:bCs/>
                <w:sz w:val="20"/>
                <w:szCs w:val="20"/>
                <w:lang w:eastAsia="fr-FR"/>
              </w:rPr>
            </w:pPr>
            <w:r w:rsidRPr="00322B28">
              <w:rPr>
                <w:b/>
                <w:bCs/>
                <w:sz w:val="20"/>
                <w:szCs w:val="20"/>
                <w:lang w:eastAsia="fr-FR"/>
              </w:rPr>
              <w:t>65</w:t>
            </w:r>
          </w:p>
          <w:p w14:paraId="1510A38C" w14:textId="71797D33"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6</w:t>
            </w:r>
            <w:r w:rsidRPr="00322B28">
              <w:rPr>
                <w:b/>
                <w:bCs/>
                <w:sz w:val="20"/>
                <w:szCs w:val="20"/>
                <w:lang w:eastAsia="fr-FR"/>
              </w:rPr>
              <w:t>)</w:t>
            </w:r>
          </w:p>
        </w:tc>
        <w:tc>
          <w:tcPr>
            <w:tcW w:w="783" w:type="dxa"/>
            <w:vMerge w:val="restart"/>
            <w:shd w:val="clear" w:color="auto" w:fill="E2EFD9" w:themeFill="accent6" w:themeFillTint="33"/>
            <w:vAlign w:val="center"/>
          </w:tcPr>
          <w:p w14:paraId="3A5EFF43" w14:textId="77777777" w:rsidR="00322B28" w:rsidRPr="00322B28" w:rsidRDefault="00322B28" w:rsidP="005D385E">
            <w:pPr>
              <w:jc w:val="center"/>
              <w:rPr>
                <w:b/>
                <w:bCs/>
                <w:sz w:val="20"/>
                <w:szCs w:val="20"/>
                <w:lang w:eastAsia="fr-FR"/>
              </w:rPr>
            </w:pPr>
            <w:r w:rsidRPr="00322B28">
              <w:rPr>
                <w:b/>
                <w:bCs/>
                <w:sz w:val="20"/>
                <w:szCs w:val="20"/>
                <w:lang w:eastAsia="fr-FR"/>
              </w:rPr>
              <w:t>70</w:t>
            </w:r>
          </w:p>
          <w:p w14:paraId="6973792A" w14:textId="5CC4F839" w:rsidR="00322B28" w:rsidRPr="00322B28" w:rsidRDefault="00322B28" w:rsidP="005D385E">
            <w:pPr>
              <w:jc w:val="center"/>
              <w:rPr>
                <w:b/>
                <w:bCs/>
                <w:sz w:val="20"/>
                <w:szCs w:val="20"/>
                <w:lang w:eastAsia="fr-FR"/>
              </w:rPr>
            </w:pPr>
            <w:r w:rsidRPr="00322B28">
              <w:rPr>
                <w:b/>
                <w:bCs/>
                <w:sz w:val="20"/>
                <w:szCs w:val="20"/>
                <w:lang w:eastAsia="fr-FR"/>
              </w:rPr>
              <w:t>(</w:t>
            </w:r>
            <w:r w:rsidR="0054785E">
              <w:rPr>
                <w:b/>
                <w:bCs/>
                <w:sz w:val="20"/>
                <w:szCs w:val="20"/>
                <w:lang w:eastAsia="fr-FR"/>
              </w:rPr>
              <w:t>6</w:t>
            </w:r>
            <w:r w:rsidRPr="00322B28">
              <w:rPr>
                <w:b/>
                <w:bCs/>
                <w:sz w:val="20"/>
                <w:szCs w:val="20"/>
                <w:lang w:eastAsia="fr-FR"/>
              </w:rPr>
              <w:t>)</w:t>
            </w:r>
          </w:p>
        </w:tc>
        <w:tc>
          <w:tcPr>
            <w:tcW w:w="797" w:type="dxa"/>
            <w:vMerge w:val="restart"/>
            <w:shd w:val="clear" w:color="auto" w:fill="E2EFD9" w:themeFill="accent6" w:themeFillTint="33"/>
            <w:tcMar>
              <w:top w:w="150" w:type="dxa"/>
              <w:left w:w="150" w:type="dxa"/>
              <w:bottom w:w="150" w:type="dxa"/>
              <w:right w:w="150" w:type="dxa"/>
            </w:tcMar>
            <w:vAlign w:val="center"/>
          </w:tcPr>
          <w:p w14:paraId="0DFC3992" w14:textId="77777777" w:rsidR="00322B28" w:rsidRPr="00322B28" w:rsidRDefault="00322B28" w:rsidP="005D385E">
            <w:pPr>
              <w:jc w:val="center"/>
              <w:rPr>
                <w:b/>
                <w:bCs/>
                <w:sz w:val="20"/>
                <w:szCs w:val="20"/>
                <w:lang w:eastAsia="fr-FR"/>
              </w:rPr>
            </w:pPr>
            <w:r w:rsidRPr="00322B28">
              <w:rPr>
                <w:b/>
                <w:bCs/>
                <w:sz w:val="20"/>
                <w:szCs w:val="20"/>
                <w:lang w:eastAsia="fr-FR"/>
              </w:rPr>
              <w:t>50</w:t>
            </w:r>
          </w:p>
        </w:tc>
        <w:tc>
          <w:tcPr>
            <w:tcW w:w="811" w:type="dxa"/>
            <w:vMerge w:val="restart"/>
            <w:shd w:val="clear" w:color="auto" w:fill="E2EFD9" w:themeFill="accent6" w:themeFillTint="33"/>
            <w:vAlign w:val="center"/>
          </w:tcPr>
          <w:p w14:paraId="20394C70" w14:textId="77777777" w:rsidR="00322B28" w:rsidRPr="00322B28" w:rsidRDefault="00322B28" w:rsidP="005D385E">
            <w:pPr>
              <w:jc w:val="center"/>
              <w:rPr>
                <w:b/>
                <w:bCs/>
                <w:sz w:val="20"/>
                <w:szCs w:val="20"/>
                <w:lang w:eastAsia="fr-FR"/>
              </w:rPr>
            </w:pPr>
            <w:r w:rsidRPr="00322B28">
              <w:rPr>
                <w:b/>
                <w:bCs/>
                <w:sz w:val="20"/>
                <w:szCs w:val="20"/>
                <w:lang w:eastAsia="fr-FR"/>
              </w:rPr>
              <w:t>70</w:t>
            </w:r>
          </w:p>
        </w:tc>
        <w:tc>
          <w:tcPr>
            <w:tcW w:w="811" w:type="dxa"/>
            <w:vMerge w:val="restart"/>
            <w:shd w:val="clear" w:color="auto" w:fill="E2EFD9" w:themeFill="accent6" w:themeFillTint="33"/>
            <w:vAlign w:val="center"/>
          </w:tcPr>
          <w:p w14:paraId="51363995" w14:textId="77777777" w:rsidR="00322B28" w:rsidRPr="00322B28" w:rsidRDefault="00322B28" w:rsidP="005D385E">
            <w:pPr>
              <w:jc w:val="center"/>
              <w:rPr>
                <w:b/>
                <w:bCs/>
                <w:sz w:val="20"/>
                <w:szCs w:val="20"/>
                <w:lang w:eastAsia="fr-FR"/>
              </w:rPr>
            </w:pPr>
            <w:r w:rsidRPr="00322B28">
              <w:rPr>
                <w:b/>
                <w:bCs/>
                <w:sz w:val="20"/>
                <w:szCs w:val="20"/>
                <w:lang w:eastAsia="fr-FR"/>
              </w:rPr>
              <w:t>70</w:t>
            </w:r>
          </w:p>
        </w:tc>
        <w:tc>
          <w:tcPr>
            <w:tcW w:w="852" w:type="dxa"/>
            <w:vMerge w:val="restart"/>
            <w:shd w:val="clear" w:color="auto" w:fill="E2EFD9" w:themeFill="accent6" w:themeFillTint="33"/>
            <w:tcMar>
              <w:top w:w="150" w:type="dxa"/>
              <w:left w:w="150" w:type="dxa"/>
              <w:bottom w:w="150" w:type="dxa"/>
              <w:right w:w="150" w:type="dxa"/>
            </w:tcMar>
            <w:vAlign w:val="center"/>
          </w:tcPr>
          <w:p w14:paraId="284BDB41" w14:textId="77777777" w:rsidR="00322B28" w:rsidRPr="00322B28" w:rsidRDefault="00322B28" w:rsidP="005D385E">
            <w:pPr>
              <w:jc w:val="center"/>
              <w:rPr>
                <w:b/>
                <w:bCs/>
                <w:sz w:val="20"/>
                <w:szCs w:val="20"/>
                <w:lang w:eastAsia="fr-FR"/>
              </w:rPr>
            </w:pPr>
            <w:r w:rsidRPr="00322B28">
              <w:rPr>
                <w:b/>
                <w:bCs/>
                <w:sz w:val="20"/>
                <w:szCs w:val="20"/>
                <w:lang w:eastAsia="fr-FR"/>
              </w:rPr>
              <w:t>5</w:t>
            </w:r>
          </w:p>
        </w:tc>
        <w:tc>
          <w:tcPr>
            <w:tcW w:w="850" w:type="dxa"/>
            <w:vMerge w:val="restart"/>
            <w:shd w:val="clear" w:color="auto" w:fill="E2EFD9" w:themeFill="accent6" w:themeFillTint="33"/>
            <w:vAlign w:val="center"/>
          </w:tcPr>
          <w:p w14:paraId="01270317" w14:textId="77777777" w:rsidR="00322B28" w:rsidRPr="00322B28" w:rsidRDefault="00322B28" w:rsidP="005D385E">
            <w:pPr>
              <w:jc w:val="center"/>
              <w:rPr>
                <w:b/>
                <w:bCs/>
                <w:sz w:val="20"/>
                <w:szCs w:val="20"/>
                <w:lang w:eastAsia="fr-FR"/>
              </w:rPr>
            </w:pPr>
            <w:r w:rsidRPr="00322B28">
              <w:rPr>
                <w:b/>
                <w:bCs/>
                <w:sz w:val="20"/>
                <w:szCs w:val="20"/>
                <w:lang w:eastAsia="fr-FR"/>
              </w:rPr>
              <w:t>5</w:t>
            </w:r>
          </w:p>
        </w:tc>
        <w:tc>
          <w:tcPr>
            <w:tcW w:w="851" w:type="dxa"/>
            <w:vMerge w:val="restart"/>
            <w:shd w:val="clear" w:color="auto" w:fill="E2EFD9" w:themeFill="accent6" w:themeFillTint="33"/>
            <w:vAlign w:val="center"/>
          </w:tcPr>
          <w:p w14:paraId="50AE3EDB" w14:textId="77777777" w:rsidR="00322B28" w:rsidRPr="00322B28" w:rsidRDefault="00322B28" w:rsidP="005D385E">
            <w:pPr>
              <w:jc w:val="center"/>
              <w:rPr>
                <w:b/>
                <w:bCs/>
                <w:sz w:val="20"/>
                <w:szCs w:val="20"/>
                <w:lang w:eastAsia="fr-FR"/>
              </w:rPr>
            </w:pPr>
            <w:r w:rsidRPr="00322B28">
              <w:rPr>
                <w:b/>
                <w:bCs/>
                <w:sz w:val="20"/>
                <w:szCs w:val="20"/>
                <w:lang w:eastAsia="fr-FR"/>
              </w:rPr>
              <w:t>5</w:t>
            </w:r>
          </w:p>
        </w:tc>
      </w:tr>
      <w:tr w:rsidR="00322B28" w14:paraId="5405029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vAlign w:val="center"/>
          </w:tcPr>
          <w:p w14:paraId="7EE3C79F" w14:textId="77777777" w:rsidR="00322B28" w:rsidRPr="00322B28" w:rsidRDefault="00322B28" w:rsidP="005D385E">
            <w:pPr>
              <w:jc w:val="center"/>
              <w:rPr>
                <w:b/>
                <w:bCs/>
                <w:sz w:val="20"/>
                <w:szCs w:val="20"/>
                <w:lang w:eastAsia="fr-FR"/>
              </w:rPr>
            </w:pPr>
          </w:p>
        </w:tc>
        <w:tc>
          <w:tcPr>
            <w:tcW w:w="1631" w:type="dxa"/>
            <w:shd w:val="clear" w:color="auto" w:fill="F5F5F5"/>
            <w:tcMar>
              <w:top w:w="150" w:type="dxa"/>
              <w:left w:w="150" w:type="dxa"/>
              <w:bottom w:w="150" w:type="dxa"/>
              <w:right w:w="150" w:type="dxa"/>
            </w:tcMar>
            <w:vAlign w:val="center"/>
          </w:tcPr>
          <w:p w14:paraId="036E1574" w14:textId="77777777" w:rsidR="00322B28" w:rsidRPr="00322B28" w:rsidRDefault="00322B28" w:rsidP="005D385E">
            <w:pPr>
              <w:jc w:val="center"/>
              <w:rPr>
                <w:b/>
                <w:bCs/>
                <w:sz w:val="20"/>
                <w:szCs w:val="20"/>
                <w:lang w:eastAsia="fr-FR"/>
              </w:rPr>
            </w:pPr>
            <w:r w:rsidRPr="00322B28">
              <w:rPr>
                <w:b/>
                <w:bCs/>
                <w:sz w:val="20"/>
                <w:szCs w:val="20"/>
                <w:lang w:eastAsia="fr-FR"/>
              </w:rPr>
              <w:t>100 ≤ P &lt; 300</w:t>
            </w:r>
          </w:p>
        </w:tc>
        <w:tc>
          <w:tcPr>
            <w:tcW w:w="797" w:type="dxa"/>
            <w:vMerge/>
            <w:shd w:val="clear" w:color="auto" w:fill="D9D9D9" w:themeFill="background1" w:themeFillShade="D9"/>
            <w:tcMar>
              <w:top w:w="150" w:type="dxa"/>
              <w:left w:w="150" w:type="dxa"/>
              <w:bottom w:w="150" w:type="dxa"/>
              <w:right w:w="150" w:type="dxa"/>
            </w:tcMar>
            <w:vAlign w:val="center"/>
          </w:tcPr>
          <w:p w14:paraId="3139ABD4" w14:textId="77777777" w:rsidR="00322B28" w:rsidRPr="00322B28" w:rsidRDefault="00322B28" w:rsidP="005D385E">
            <w:pPr>
              <w:jc w:val="center"/>
              <w:rPr>
                <w:b/>
                <w:bCs/>
                <w:sz w:val="20"/>
                <w:szCs w:val="20"/>
                <w:lang w:eastAsia="fr-FR"/>
              </w:rPr>
            </w:pPr>
          </w:p>
        </w:tc>
        <w:tc>
          <w:tcPr>
            <w:tcW w:w="811" w:type="dxa"/>
            <w:vMerge/>
            <w:shd w:val="clear" w:color="auto" w:fill="D9D9D9" w:themeFill="background1" w:themeFillShade="D9"/>
            <w:vAlign w:val="center"/>
          </w:tcPr>
          <w:p w14:paraId="0C81AFB2" w14:textId="77777777" w:rsidR="00322B28" w:rsidRPr="00322B28" w:rsidRDefault="00322B28" w:rsidP="005D385E">
            <w:pPr>
              <w:jc w:val="center"/>
              <w:rPr>
                <w:b/>
                <w:bCs/>
                <w:sz w:val="20"/>
                <w:szCs w:val="20"/>
                <w:lang w:eastAsia="fr-FR"/>
              </w:rPr>
            </w:pPr>
          </w:p>
        </w:tc>
        <w:tc>
          <w:tcPr>
            <w:tcW w:w="783" w:type="dxa"/>
            <w:vMerge/>
            <w:shd w:val="clear" w:color="auto" w:fill="D9D9D9" w:themeFill="background1" w:themeFillShade="D9"/>
            <w:vAlign w:val="center"/>
          </w:tcPr>
          <w:p w14:paraId="663E04AC" w14:textId="77777777" w:rsidR="00322B28" w:rsidRPr="00322B28" w:rsidRDefault="00322B28" w:rsidP="005D385E">
            <w:pPr>
              <w:jc w:val="center"/>
              <w:rPr>
                <w:b/>
                <w:bCs/>
                <w:sz w:val="20"/>
                <w:szCs w:val="20"/>
                <w:lang w:eastAsia="fr-FR"/>
              </w:rPr>
            </w:pPr>
          </w:p>
        </w:tc>
        <w:tc>
          <w:tcPr>
            <w:tcW w:w="797" w:type="dxa"/>
            <w:vMerge/>
            <w:shd w:val="clear" w:color="auto" w:fill="E2EFD9" w:themeFill="accent6" w:themeFillTint="33"/>
            <w:tcMar>
              <w:top w:w="150" w:type="dxa"/>
              <w:left w:w="150" w:type="dxa"/>
              <w:bottom w:w="150" w:type="dxa"/>
              <w:right w:w="150" w:type="dxa"/>
            </w:tcMar>
            <w:vAlign w:val="center"/>
          </w:tcPr>
          <w:p w14:paraId="74461F7C" w14:textId="77777777" w:rsidR="00322B28" w:rsidRPr="00322B28" w:rsidRDefault="00322B28" w:rsidP="005D385E">
            <w:pPr>
              <w:jc w:val="center"/>
              <w:rPr>
                <w:b/>
                <w:bCs/>
                <w:sz w:val="20"/>
                <w:szCs w:val="20"/>
                <w:lang w:eastAsia="fr-FR"/>
              </w:rPr>
            </w:pPr>
          </w:p>
        </w:tc>
        <w:tc>
          <w:tcPr>
            <w:tcW w:w="811" w:type="dxa"/>
            <w:vMerge/>
            <w:shd w:val="clear" w:color="auto" w:fill="E2EFD9" w:themeFill="accent6" w:themeFillTint="33"/>
            <w:vAlign w:val="center"/>
          </w:tcPr>
          <w:p w14:paraId="4132D28E" w14:textId="77777777" w:rsidR="00322B28" w:rsidRPr="00322B28" w:rsidRDefault="00322B28" w:rsidP="005D385E">
            <w:pPr>
              <w:jc w:val="center"/>
              <w:rPr>
                <w:b/>
                <w:bCs/>
                <w:sz w:val="20"/>
                <w:szCs w:val="20"/>
                <w:lang w:eastAsia="fr-FR"/>
              </w:rPr>
            </w:pPr>
          </w:p>
        </w:tc>
        <w:tc>
          <w:tcPr>
            <w:tcW w:w="811" w:type="dxa"/>
            <w:vMerge/>
            <w:shd w:val="clear" w:color="auto" w:fill="E2EFD9" w:themeFill="accent6" w:themeFillTint="33"/>
            <w:vAlign w:val="center"/>
          </w:tcPr>
          <w:p w14:paraId="55C46AD3" w14:textId="77777777" w:rsidR="00322B28" w:rsidRPr="00322B28" w:rsidRDefault="00322B28" w:rsidP="005D385E">
            <w:pPr>
              <w:jc w:val="center"/>
              <w:rPr>
                <w:b/>
                <w:bCs/>
                <w:sz w:val="20"/>
                <w:szCs w:val="20"/>
                <w:lang w:eastAsia="fr-FR"/>
              </w:rPr>
            </w:pPr>
          </w:p>
        </w:tc>
        <w:tc>
          <w:tcPr>
            <w:tcW w:w="852" w:type="dxa"/>
            <w:vMerge/>
            <w:shd w:val="clear" w:color="auto" w:fill="E2EFD9" w:themeFill="accent6" w:themeFillTint="33"/>
            <w:tcMar>
              <w:top w:w="150" w:type="dxa"/>
              <w:left w:w="150" w:type="dxa"/>
              <w:bottom w:w="150" w:type="dxa"/>
              <w:right w:w="150" w:type="dxa"/>
            </w:tcMar>
            <w:vAlign w:val="center"/>
          </w:tcPr>
          <w:p w14:paraId="6B43074D" w14:textId="77777777" w:rsidR="00322B28" w:rsidRPr="00322B28" w:rsidRDefault="00322B28" w:rsidP="005D385E">
            <w:pPr>
              <w:jc w:val="center"/>
              <w:rPr>
                <w:b/>
                <w:bCs/>
                <w:sz w:val="20"/>
                <w:szCs w:val="20"/>
                <w:lang w:eastAsia="fr-FR"/>
              </w:rPr>
            </w:pPr>
          </w:p>
        </w:tc>
        <w:tc>
          <w:tcPr>
            <w:tcW w:w="850" w:type="dxa"/>
            <w:vMerge/>
            <w:shd w:val="clear" w:color="auto" w:fill="E2EFD9" w:themeFill="accent6" w:themeFillTint="33"/>
            <w:vAlign w:val="center"/>
          </w:tcPr>
          <w:p w14:paraId="057C0F56" w14:textId="77777777" w:rsidR="00322B28" w:rsidRPr="00322B28" w:rsidRDefault="00322B28" w:rsidP="005D385E">
            <w:pPr>
              <w:jc w:val="center"/>
              <w:rPr>
                <w:b/>
                <w:bCs/>
                <w:sz w:val="20"/>
                <w:szCs w:val="20"/>
                <w:lang w:eastAsia="fr-FR"/>
              </w:rPr>
            </w:pPr>
          </w:p>
        </w:tc>
        <w:tc>
          <w:tcPr>
            <w:tcW w:w="851" w:type="dxa"/>
            <w:vMerge/>
            <w:shd w:val="clear" w:color="auto" w:fill="E2EFD9" w:themeFill="accent6" w:themeFillTint="33"/>
            <w:vAlign w:val="center"/>
          </w:tcPr>
          <w:p w14:paraId="0364FB30" w14:textId="77777777" w:rsidR="00322B28" w:rsidRPr="00322B28" w:rsidRDefault="00322B28" w:rsidP="005D385E">
            <w:pPr>
              <w:jc w:val="center"/>
              <w:rPr>
                <w:b/>
                <w:bCs/>
                <w:sz w:val="20"/>
                <w:szCs w:val="20"/>
                <w:lang w:eastAsia="fr-FR"/>
              </w:rPr>
            </w:pPr>
          </w:p>
        </w:tc>
      </w:tr>
      <w:tr w:rsidR="00322B28" w14:paraId="786D45A0"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1" w:type="dxa"/>
            <w:vMerge/>
            <w:tcBorders>
              <w:bottom w:val="single" w:sz="4" w:space="0" w:color="auto"/>
            </w:tcBorders>
            <w:vAlign w:val="center"/>
          </w:tcPr>
          <w:p w14:paraId="5F41C78D" w14:textId="77777777" w:rsidR="00322B28" w:rsidRPr="00322B28" w:rsidRDefault="00322B28" w:rsidP="005D385E">
            <w:pPr>
              <w:jc w:val="center"/>
              <w:rPr>
                <w:b/>
                <w:bCs/>
                <w:sz w:val="20"/>
                <w:szCs w:val="20"/>
                <w:lang w:eastAsia="fr-FR"/>
              </w:rPr>
            </w:pPr>
          </w:p>
        </w:tc>
        <w:tc>
          <w:tcPr>
            <w:tcW w:w="1631" w:type="dxa"/>
            <w:tcBorders>
              <w:bottom w:val="single" w:sz="4" w:space="0" w:color="auto"/>
            </w:tcBorders>
            <w:shd w:val="clear" w:color="auto" w:fill="F5F5F5"/>
            <w:tcMar>
              <w:top w:w="150" w:type="dxa"/>
              <w:left w:w="150" w:type="dxa"/>
              <w:bottom w:w="150" w:type="dxa"/>
              <w:right w:w="150" w:type="dxa"/>
            </w:tcMar>
            <w:vAlign w:val="center"/>
          </w:tcPr>
          <w:p w14:paraId="799164DB" w14:textId="77777777" w:rsidR="00322B28" w:rsidRPr="00322B28" w:rsidRDefault="00322B28" w:rsidP="005D385E">
            <w:pPr>
              <w:jc w:val="center"/>
              <w:rPr>
                <w:b/>
                <w:bCs/>
                <w:sz w:val="20"/>
                <w:szCs w:val="20"/>
                <w:lang w:eastAsia="fr-FR"/>
              </w:rPr>
            </w:pPr>
            <w:r w:rsidRPr="00322B28">
              <w:rPr>
                <w:b/>
                <w:bCs/>
                <w:sz w:val="20"/>
                <w:szCs w:val="20"/>
                <w:lang w:eastAsia="fr-FR"/>
              </w:rPr>
              <w:t>300 ≤ P</w:t>
            </w:r>
          </w:p>
        </w:tc>
        <w:tc>
          <w:tcPr>
            <w:tcW w:w="797" w:type="dxa"/>
            <w:vMerge/>
            <w:tcBorders>
              <w:bottom w:val="single" w:sz="4" w:space="0" w:color="auto"/>
            </w:tcBorders>
            <w:shd w:val="clear" w:color="auto" w:fill="D9D9D9" w:themeFill="background1" w:themeFillShade="D9"/>
            <w:tcMar>
              <w:top w:w="150" w:type="dxa"/>
              <w:left w:w="150" w:type="dxa"/>
              <w:bottom w:w="150" w:type="dxa"/>
              <w:right w:w="150" w:type="dxa"/>
            </w:tcMar>
            <w:vAlign w:val="center"/>
          </w:tcPr>
          <w:p w14:paraId="59D71055" w14:textId="77777777" w:rsidR="00322B28" w:rsidRPr="00322B28" w:rsidRDefault="00322B28" w:rsidP="005D385E">
            <w:pPr>
              <w:jc w:val="center"/>
              <w:rPr>
                <w:b/>
                <w:bCs/>
                <w:sz w:val="20"/>
                <w:szCs w:val="20"/>
                <w:lang w:eastAsia="fr-FR"/>
              </w:rPr>
            </w:pPr>
          </w:p>
        </w:tc>
        <w:tc>
          <w:tcPr>
            <w:tcW w:w="811" w:type="dxa"/>
            <w:vMerge/>
            <w:tcBorders>
              <w:bottom w:val="single" w:sz="4" w:space="0" w:color="auto"/>
            </w:tcBorders>
            <w:shd w:val="clear" w:color="auto" w:fill="D9D9D9" w:themeFill="background1" w:themeFillShade="D9"/>
            <w:vAlign w:val="center"/>
          </w:tcPr>
          <w:p w14:paraId="2A9A6093" w14:textId="77777777" w:rsidR="00322B28" w:rsidRPr="00322B28" w:rsidRDefault="00322B28" w:rsidP="005D385E">
            <w:pPr>
              <w:jc w:val="center"/>
              <w:rPr>
                <w:b/>
                <w:bCs/>
                <w:sz w:val="20"/>
                <w:szCs w:val="20"/>
                <w:lang w:eastAsia="fr-FR"/>
              </w:rPr>
            </w:pPr>
          </w:p>
        </w:tc>
        <w:tc>
          <w:tcPr>
            <w:tcW w:w="783" w:type="dxa"/>
            <w:vMerge/>
            <w:tcBorders>
              <w:bottom w:val="single" w:sz="4" w:space="0" w:color="auto"/>
            </w:tcBorders>
            <w:shd w:val="clear" w:color="auto" w:fill="D9D9D9" w:themeFill="background1" w:themeFillShade="D9"/>
            <w:vAlign w:val="center"/>
          </w:tcPr>
          <w:p w14:paraId="7F77BD1E" w14:textId="77777777" w:rsidR="00322B28" w:rsidRPr="00322B28" w:rsidRDefault="00322B28" w:rsidP="005D385E">
            <w:pPr>
              <w:jc w:val="center"/>
              <w:rPr>
                <w:b/>
                <w:bCs/>
                <w:sz w:val="20"/>
                <w:szCs w:val="20"/>
                <w:lang w:eastAsia="fr-FR"/>
              </w:rPr>
            </w:pPr>
          </w:p>
        </w:tc>
        <w:tc>
          <w:tcPr>
            <w:tcW w:w="797"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2F9F204F" w14:textId="77777777" w:rsidR="00322B28" w:rsidRPr="00322B28" w:rsidRDefault="00322B28" w:rsidP="005D385E">
            <w:pPr>
              <w:jc w:val="center"/>
              <w:rPr>
                <w:b/>
                <w:bCs/>
                <w:sz w:val="20"/>
                <w:szCs w:val="20"/>
                <w:lang w:eastAsia="fr-FR"/>
              </w:rPr>
            </w:pPr>
          </w:p>
        </w:tc>
        <w:tc>
          <w:tcPr>
            <w:tcW w:w="811" w:type="dxa"/>
            <w:vMerge/>
            <w:tcBorders>
              <w:bottom w:val="single" w:sz="4" w:space="0" w:color="auto"/>
            </w:tcBorders>
            <w:shd w:val="clear" w:color="auto" w:fill="E2EFD9" w:themeFill="accent6" w:themeFillTint="33"/>
            <w:vAlign w:val="center"/>
          </w:tcPr>
          <w:p w14:paraId="06A74CA5" w14:textId="77777777" w:rsidR="00322B28" w:rsidRPr="00322B28" w:rsidRDefault="00322B28" w:rsidP="005D385E">
            <w:pPr>
              <w:jc w:val="center"/>
              <w:rPr>
                <w:b/>
                <w:bCs/>
                <w:sz w:val="20"/>
                <w:szCs w:val="20"/>
                <w:lang w:eastAsia="fr-FR"/>
              </w:rPr>
            </w:pPr>
          </w:p>
        </w:tc>
        <w:tc>
          <w:tcPr>
            <w:tcW w:w="811" w:type="dxa"/>
            <w:vMerge/>
            <w:tcBorders>
              <w:bottom w:val="single" w:sz="4" w:space="0" w:color="auto"/>
            </w:tcBorders>
            <w:shd w:val="clear" w:color="auto" w:fill="E2EFD9" w:themeFill="accent6" w:themeFillTint="33"/>
            <w:vAlign w:val="center"/>
          </w:tcPr>
          <w:p w14:paraId="5B341687" w14:textId="77777777" w:rsidR="00322B28" w:rsidRPr="00322B28" w:rsidRDefault="00322B28" w:rsidP="005D385E">
            <w:pPr>
              <w:jc w:val="center"/>
              <w:rPr>
                <w:b/>
                <w:bCs/>
                <w:sz w:val="20"/>
                <w:szCs w:val="20"/>
                <w:lang w:eastAsia="fr-FR"/>
              </w:rPr>
            </w:pPr>
          </w:p>
        </w:tc>
        <w:tc>
          <w:tcPr>
            <w:tcW w:w="852"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785128E8" w14:textId="77777777" w:rsidR="00322B28" w:rsidRPr="00322B28" w:rsidRDefault="00322B28" w:rsidP="005D385E">
            <w:pPr>
              <w:jc w:val="center"/>
              <w:rPr>
                <w:b/>
                <w:bCs/>
                <w:sz w:val="20"/>
                <w:szCs w:val="20"/>
                <w:lang w:eastAsia="fr-FR"/>
              </w:rPr>
            </w:pPr>
          </w:p>
        </w:tc>
        <w:tc>
          <w:tcPr>
            <w:tcW w:w="850" w:type="dxa"/>
            <w:vMerge/>
            <w:tcBorders>
              <w:bottom w:val="single" w:sz="4" w:space="0" w:color="auto"/>
            </w:tcBorders>
            <w:shd w:val="clear" w:color="auto" w:fill="E2EFD9" w:themeFill="accent6" w:themeFillTint="33"/>
            <w:vAlign w:val="center"/>
          </w:tcPr>
          <w:p w14:paraId="5C9B53C0" w14:textId="77777777" w:rsidR="00322B28" w:rsidRPr="00322B28" w:rsidRDefault="00322B28" w:rsidP="005D385E">
            <w:pPr>
              <w:jc w:val="center"/>
              <w:rPr>
                <w:b/>
                <w:bCs/>
                <w:sz w:val="20"/>
                <w:szCs w:val="20"/>
                <w:lang w:eastAsia="fr-FR"/>
              </w:rPr>
            </w:pPr>
          </w:p>
        </w:tc>
        <w:tc>
          <w:tcPr>
            <w:tcW w:w="851" w:type="dxa"/>
            <w:vMerge/>
            <w:tcBorders>
              <w:bottom w:val="single" w:sz="4" w:space="0" w:color="auto"/>
            </w:tcBorders>
            <w:shd w:val="clear" w:color="auto" w:fill="E2EFD9" w:themeFill="accent6" w:themeFillTint="33"/>
            <w:vAlign w:val="center"/>
          </w:tcPr>
          <w:p w14:paraId="4DE8D62C" w14:textId="77777777" w:rsidR="00322B28" w:rsidRPr="00322B28" w:rsidRDefault="00322B28" w:rsidP="005D385E">
            <w:pPr>
              <w:jc w:val="center"/>
              <w:rPr>
                <w:b/>
                <w:bCs/>
                <w:sz w:val="20"/>
                <w:szCs w:val="20"/>
                <w:lang w:eastAsia="fr-FR"/>
              </w:rPr>
            </w:pPr>
          </w:p>
        </w:tc>
      </w:tr>
      <w:tr w:rsidR="00322B28" w14:paraId="02B1793B" w14:textId="77777777" w:rsidTr="005D385E">
        <w:trPr>
          <w:trHeight w:val="442"/>
          <w:jc w:val="center"/>
        </w:trPr>
        <w:tc>
          <w:tcPr>
            <w:tcW w:w="1491" w:type="dxa"/>
            <w:tcBorders>
              <w:top w:val="single" w:sz="4" w:space="0" w:color="auto"/>
              <w:left w:val="single" w:sz="4" w:space="0" w:color="auto"/>
              <w:bottom w:val="single" w:sz="4" w:space="0" w:color="auto"/>
              <w:right w:val="single" w:sz="4" w:space="0" w:color="auto"/>
            </w:tcBorders>
            <w:shd w:val="clear" w:color="auto" w:fill="5C75A2"/>
            <w:tcMar>
              <w:top w:w="150" w:type="dxa"/>
              <w:left w:w="150" w:type="dxa"/>
              <w:bottom w:w="150" w:type="dxa"/>
              <w:right w:w="150" w:type="dxa"/>
            </w:tcMar>
            <w:vAlign w:val="center"/>
          </w:tcPr>
          <w:p w14:paraId="1314FDB2" w14:textId="77777777" w:rsidR="00322B28" w:rsidRPr="00322B28" w:rsidRDefault="00322B28" w:rsidP="005D385E">
            <w:pPr>
              <w:jc w:val="center"/>
              <w:rPr>
                <w:rFonts w:cstheme="minorHAnsi"/>
                <w:sz w:val="20"/>
                <w:szCs w:val="20"/>
                <w:highlight w:val="magenta"/>
              </w:rPr>
            </w:pPr>
            <w:r w:rsidRPr="00322B28">
              <w:rPr>
                <w:b/>
                <w:bCs/>
                <w:color w:val="FFFFFF"/>
                <w:sz w:val="20"/>
                <w:szCs w:val="20"/>
                <w:lang w:eastAsia="fr-FR"/>
              </w:rPr>
              <w:t>Renvoi</w:t>
            </w:r>
          </w:p>
        </w:tc>
        <w:tc>
          <w:tcPr>
            <w:tcW w:w="6441" w:type="dxa"/>
            <w:gridSpan w:val="7"/>
            <w:tcBorders>
              <w:top w:val="single" w:sz="4" w:space="0" w:color="auto"/>
              <w:left w:val="single" w:sz="4" w:space="0" w:color="auto"/>
              <w:bottom w:val="single" w:sz="4" w:space="0" w:color="auto"/>
              <w:right w:val="single" w:sz="4" w:space="0" w:color="auto"/>
            </w:tcBorders>
            <w:shd w:val="clear" w:color="auto" w:fill="5C75A2"/>
            <w:vAlign w:val="center"/>
          </w:tcPr>
          <w:p w14:paraId="27553ECD" w14:textId="77777777" w:rsidR="00322B28" w:rsidRPr="00322B28" w:rsidRDefault="00322B28" w:rsidP="005D385E">
            <w:pPr>
              <w:jc w:val="both"/>
              <w:rPr>
                <w:rFonts w:cstheme="minorHAnsi"/>
                <w:sz w:val="20"/>
                <w:szCs w:val="20"/>
              </w:rPr>
            </w:pPr>
            <w:r w:rsidRPr="00322B28">
              <w:rPr>
                <w:b/>
                <w:bCs/>
                <w:color w:val="FFFFFF"/>
                <w:sz w:val="20"/>
                <w:szCs w:val="20"/>
                <w:lang w:eastAsia="fr-FR"/>
              </w:rPr>
              <w:t>Conditions</w:t>
            </w:r>
          </w:p>
        </w:tc>
        <w:tc>
          <w:tcPr>
            <w:tcW w:w="2553"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0C570D9A" w14:textId="77777777" w:rsidR="00322B28" w:rsidRPr="00322B28" w:rsidRDefault="00322B28" w:rsidP="005D385E">
            <w:pPr>
              <w:jc w:val="center"/>
              <w:rPr>
                <w:rFonts w:cstheme="minorHAnsi"/>
                <w:sz w:val="20"/>
                <w:szCs w:val="20"/>
              </w:rPr>
            </w:pPr>
            <w:r w:rsidRPr="00322B28">
              <w:rPr>
                <w:b/>
                <w:bCs/>
                <w:color w:val="FFFFFF"/>
                <w:sz w:val="20"/>
                <w:szCs w:val="20"/>
                <w:lang w:eastAsia="fr-FR"/>
              </w:rPr>
              <w:t>Valeur limite d'émission (mg/Nm</w:t>
            </w:r>
            <w:r w:rsidRPr="00322B28">
              <w:rPr>
                <w:b/>
                <w:bCs/>
                <w:color w:val="FFFFFF"/>
                <w:sz w:val="20"/>
                <w:szCs w:val="20"/>
                <w:vertAlign w:val="superscript"/>
                <w:lang w:eastAsia="fr-FR"/>
              </w:rPr>
              <w:t>3</w:t>
            </w:r>
            <w:r w:rsidRPr="00322B28">
              <w:rPr>
                <w:b/>
                <w:bCs/>
                <w:color w:val="FFFFFF"/>
                <w:sz w:val="20"/>
                <w:szCs w:val="20"/>
                <w:lang w:eastAsia="fr-FR"/>
              </w:rPr>
              <w:t>)</w:t>
            </w:r>
          </w:p>
        </w:tc>
      </w:tr>
      <w:tr w:rsidR="0054785E" w14:paraId="57F47C14" w14:textId="77777777" w:rsidTr="005D385E">
        <w:trPr>
          <w:trHeight w:val="20"/>
          <w:jc w:val="center"/>
        </w:trPr>
        <w:tc>
          <w:tcPr>
            <w:tcW w:w="1491"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2DD80F13" w14:textId="375A5E13" w:rsidR="0054785E" w:rsidRPr="00322B28" w:rsidRDefault="0054785E" w:rsidP="005D385E">
            <w:pPr>
              <w:jc w:val="center"/>
              <w:rPr>
                <w:rFonts w:cstheme="minorHAnsi"/>
                <w:sz w:val="20"/>
                <w:szCs w:val="20"/>
              </w:rPr>
            </w:pPr>
            <w:r>
              <w:rPr>
                <w:rFonts w:cstheme="minorHAnsi"/>
                <w:sz w:val="20"/>
                <w:szCs w:val="20"/>
              </w:rPr>
              <w:t>(1)</w:t>
            </w:r>
          </w:p>
        </w:tc>
        <w:tc>
          <w:tcPr>
            <w:tcW w:w="644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C718B4" w14:textId="703ACBF4" w:rsidR="0054785E" w:rsidRPr="00322B28" w:rsidRDefault="0054785E" w:rsidP="005D385E">
            <w:pPr>
              <w:jc w:val="both"/>
              <w:rPr>
                <w:rFonts w:cstheme="minorHAnsi"/>
                <w:bCs/>
                <w:sz w:val="20"/>
                <w:szCs w:val="20"/>
                <w:shd w:val="clear" w:color="auto" w:fill="B4C6E7" w:themeFill="accent5" w:themeFillTint="66"/>
                <w:lang w:eastAsia="fr-FR"/>
              </w:rPr>
            </w:pPr>
            <w:r w:rsidRPr="0054785E">
              <w:rPr>
                <w:rFonts w:cstheme="minorHAnsi"/>
                <w:bCs/>
                <w:sz w:val="20"/>
                <w:szCs w:val="20"/>
                <w:shd w:val="clear" w:color="auto" w:fill="B4C6E7" w:themeFill="accent5" w:themeFillTint="66"/>
                <w:lang w:eastAsia="fr-FR"/>
              </w:rPr>
              <w:t>La valeur limite d’émission annuelle ne s’applique pas aux installations exploitées moins de 1500 heures par an.</w:t>
            </w:r>
          </w:p>
        </w:tc>
        <w:tc>
          <w:tcPr>
            <w:tcW w:w="255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0B9232" w14:textId="77777777" w:rsidR="0054785E" w:rsidRPr="00322B28" w:rsidRDefault="0054785E" w:rsidP="005D385E">
            <w:pPr>
              <w:jc w:val="center"/>
              <w:rPr>
                <w:rFonts w:cstheme="minorHAnsi"/>
                <w:sz w:val="20"/>
                <w:szCs w:val="20"/>
              </w:rPr>
            </w:pPr>
          </w:p>
        </w:tc>
      </w:tr>
      <w:tr w:rsidR="00322B28" w14:paraId="3C587237" w14:textId="77777777" w:rsidTr="005D385E">
        <w:trPr>
          <w:trHeight w:val="20"/>
          <w:jc w:val="center"/>
        </w:trPr>
        <w:tc>
          <w:tcPr>
            <w:tcW w:w="1491"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6D848D52" w14:textId="0B7395BA" w:rsidR="00322B28" w:rsidRPr="00322B28" w:rsidRDefault="00322B28" w:rsidP="005D385E">
            <w:pPr>
              <w:jc w:val="center"/>
              <w:rPr>
                <w:rFonts w:cstheme="minorHAnsi"/>
                <w:sz w:val="20"/>
                <w:szCs w:val="20"/>
              </w:rPr>
            </w:pPr>
            <w:r w:rsidRPr="00322B28">
              <w:rPr>
                <w:rFonts w:cstheme="minorHAnsi"/>
                <w:sz w:val="20"/>
                <w:szCs w:val="20"/>
              </w:rPr>
              <w:t>(</w:t>
            </w:r>
            <w:r w:rsidR="0054785E">
              <w:rPr>
                <w:rFonts w:cstheme="minorHAnsi"/>
                <w:sz w:val="20"/>
                <w:szCs w:val="20"/>
              </w:rPr>
              <w:t>2</w:t>
            </w:r>
            <w:r w:rsidRPr="00322B28">
              <w:rPr>
                <w:rFonts w:cstheme="minorHAnsi"/>
                <w:sz w:val="20"/>
                <w:szCs w:val="20"/>
              </w:rPr>
              <w:t>)</w:t>
            </w:r>
          </w:p>
        </w:tc>
        <w:tc>
          <w:tcPr>
            <w:tcW w:w="644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2E682C" w14:textId="77777777" w:rsidR="00322B28" w:rsidRPr="00322B28" w:rsidRDefault="00322B28" w:rsidP="005D385E">
            <w:pPr>
              <w:jc w:val="both"/>
              <w:rPr>
                <w:rFonts w:cstheme="minorHAnsi"/>
                <w:bCs/>
                <w:sz w:val="20"/>
                <w:szCs w:val="20"/>
                <w:shd w:val="clear" w:color="auto" w:fill="B4C6E7" w:themeFill="accent5" w:themeFillTint="66"/>
                <w:lang w:eastAsia="fr-FR"/>
              </w:rPr>
            </w:pPr>
            <w:r w:rsidRPr="00322B28">
              <w:rPr>
                <w:rFonts w:cstheme="minorHAnsi"/>
                <w:bCs/>
                <w:sz w:val="20"/>
                <w:szCs w:val="20"/>
                <w:shd w:val="clear" w:color="auto" w:fill="B4C6E7" w:themeFill="accent5" w:themeFillTint="66"/>
                <w:lang w:eastAsia="fr-FR"/>
              </w:rPr>
              <w:t>Installation qui ne fonctionne pas plus de 1500 heures d’exploitation par an en moyenne mobile calculée sur 5 ans ; et dont l’autorisation initiale a été accordée avant le 27 novembre 2002, ou qui a fait l’objet d’une demande complète d’autorisation avant cette date, pour autant que l’installation ait été mise en service au plus tard le 27 novembre 2003.</w:t>
            </w:r>
          </w:p>
          <w:p w14:paraId="3C5F213F" w14:textId="06F0C2FF" w:rsidR="00322B28" w:rsidRPr="00322B28" w:rsidRDefault="00322B28" w:rsidP="005D385E">
            <w:pPr>
              <w:jc w:val="both"/>
              <w:rPr>
                <w:rFonts w:cstheme="minorHAnsi"/>
                <w:bCs/>
                <w:sz w:val="20"/>
                <w:szCs w:val="20"/>
                <w:shd w:val="clear" w:color="auto" w:fill="E2EFD9" w:themeFill="accent6" w:themeFillTint="33"/>
                <w:lang w:eastAsia="fr-FR"/>
              </w:rPr>
            </w:pPr>
            <w:r w:rsidRPr="00322B28">
              <w:rPr>
                <w:rFonts w:cstheme="minorHAnsi"/>
                <w:bCs/>
                <w:sz w:val="20"/>
                <w:szCs w:val="20"/>
                <w:shd w:val="clear" w:color="auto" w:fill="B4C6E7" w:themeFill="accent5" w:themeFillTint="66"/>
                <w:lang w:eastAsia="fr-FR"/>
              </w:rPr>
              <w:t>Une partie d’installation de combustion qui rejette ses gaz résiduaires par une ou plusieurs conduites séparées au sein d’une cheminée commune et qui ne fonctionne pas plus de 1500 heures d’exploitation par an en moyenne mobile calculée sur une période de cinq ans peut être soumise à cette valeur limite</w:t>
            </w:r>
          </w:p>
        </w:tc>
        <w:tc>
          <w:tcPr>
            <w:tcW w:w="255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8B4FBF"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B4C6E7" w:themeFill="accent5" w:themeFillTint="66"/>
              </w:rPr>
              <w:t>M = 200</w:t>
            </w:r>
          </w:p>
          <w:p w14:paraId="037F0E69"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B4C6E7" w:themeFill="accent5" w:themeFillTint="66"/>
              </w:rPr>
              <w:t>J = 220</w:t>
            </w:r>
          </w:p>
        </w:tc>
      </w:tr>
      <w:tr w:rsidR="00322B28" w14:paraId="16A5DCC5" w14:textId="77777777" w:rsidTr="005D385E">
        <w:trPr>
          <w:trHeight w:val="20"/>
          <w:jc w:val="center"/>
        </w:trPr>
        <w:tc>
          <w:tcPr>
            <w:tcW w:w="1491"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282277EE" w14:textId="6C43AD13" w:rsidR="00322B28" w:rsidRPr="00322B28" w:rsidRDefault="00322B28" w:rsidP="005D385E">
            <w:pPr>
              <w:jc w:val="center"/>
              <w:rPr>
                <w:rFonts w:cstheme="minorHAnsi"/>
                <w:sz w:val="20"/>
                <w:szCs w:val="20"/>
              </w:rPr>
            </w:pPr>
            <w:r w:rsidRPr="00322B28">
              <w:rPr>
                <w:rFonts w:cstheme="minorHAnsi"/>
                <w:sz w:val="20"/>
                <w:szCs w:val="20"/>
              </w:rPr>
              <w:t>(</w:t>
            </w:r>
            <w:r w:rsidR="0054785E">
              <w:rPr>
                <w:rFonts w:cstheme="minorHAnsi"/>
                <w:sz w:val="20"/>
                <w:szCs w:val="20"/>
              </w:rPr>
              <w:t>3</w:t>
            </w:r>
            <w:r w:rsidRPr="00322B28">
              <w:rPr>
                <w:rFonts w:cstheme="minorHAnsi"/>
                <w:sz w:val="20"/>
                <w:szCs w:val="20"/>
              </w:rPr>
              <w:t>)</w:t>
            </w:r>
          </w:p>
        </w:tc>
        <w:tc>
          <w:tcPr>
            <w:tcW w:w="644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5FB808" w14:textId="77777777" w:rsidR="00322B28" w:rsidRPr="00322B28" w:rsidRDefault="00322B28" w:rsidP="005D385E">
            <w:pPr>
              <w:jc w:val="both"/>
              <w:rPr>
                <w:rFonts w:cstheme="minorHAnsi"/>
                <w:bCs/>
                <w:sz w:val="20"/>
                <w:szCs w:val="20"/>
                <w:lang w:eastAsia="fr-FR"/>
              </w:rPr>
            </w:pPr>
            <w:r w:rsidRPr="00322B28">
              <w:rPr>
                <w:rFonts w:cstheme="minorHAnsi"/>
                <w:bCs/>
                <w:sz w:val="20"/>
                <w:szCs w:val="20"/>
                <w:shd w:val="clear" w:color="auto" w:fill="E2EFD9" w:themeFill="accent6" w:themeFillTint="33"/>
                <w:lang w:eastAsia="fr-FR"/>
              </w:rPr>
              <w:t>Dans le cas des installations mises en service au plus tard le 27 novembre 2003 et exploitées entre 500 et 1500 heures par an</w:t>
            </w:r>
          </w:p>
        </w:tc>
        <w:tc>
          <w:tcPr>
            <w:tcW w:w="255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23EB30"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E2EFD9" w:themeFill="accent6" w:themeFillTint="33"/>
              </w:rPr>
              <w:t>A = 50</w:t>
            </w:r>
          </w:p>
          <w:p w14:paraId="390279F0"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B4C6E7" w:themeFill="accent5" w:themeFillTint="66"/>
              </w:rPr>
              <w:t>M = 75</w:t>
            </w:r>
          </w:p>
          <w:p w14:paraId="2F0CBC70"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E2EFD9" w:themeFill="accent6" w:themeFillTint="33"/>
              </w:rPr>
              <w:t>J = 80</w:t>
            </w:r>
          </w:p>
        </w:tc>
      </w:tr>
      <w:tr w:rsidR="00322B28" w14:paraId="41C21EE6" w14:textId="77777777" w:rsidTr="005D385E">
        <w:trPr>
          <w:trHeight w:val="20"/>
          <w:jc w:val="center"/>
        </w:trPr>
        <w:tc>
          <w:tcPr>
            <w:tcW w:w="1491"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7413415D" w14:textId="7B53AE0E" w:rsidR="00322B28" w:rsidRPr="00322B28" w:rsidRDefault="00322B28" w:rsidP="005D385E">
            <w:pPr>
              <w:jc w:val="center"/>
              <w:rPr>
                <w:rFonts w:cstheme="minorHAnsi"/>
                <w:sz w:val="20"/>
                <w:szCs w:val="20"/>
              </w:rPr>
            </w:pPr>
            <w:r w:rsidRPr="00322B28">
              <w:rPr>
                <w:rFonts w:cstheme="minorHAnsi"/>
                <w:sz w:val="20"/>
                <w:szCs w:val="20"/>
              </w:rPr>
              <w:t>(</w:t>
            </w:r>
            <w:r w:rsidR="0054785E">
              <w:rPr>
                <w:rFonts w:cstheme="minorHAnsi"/>
                <w:sz w:val="20"/>
                <w:szCs w:val="20"/>
              </w:rPr>
              <w:t>4</w:t>
            </w:r>
            <w:r w:rsidRPr="00322B28">
              <w:rPr>
                <w:rFonts w:cstheme="minorHAnsi"/>
                <w:sz w:val="20"/>
                <w:szCs w:val="20"/>
              </w:rPr>
              <w:t>)</w:t>
            </w:r>
          </w:p>
        </w:tc>
        <w:tc>
          <w:tcPr>
            <w:tcW w:w="644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BF77C9" w14:textId="0A59728F" w:rsidR="00322B28" w:rsidRPr="00322B28" w:rsidRDefault="00322B28" w:rsidP="005D385E">
            <w:pPr>
              <w:jc w:val="both"/>
              <w:rPr>
                <w:rFonts w:cstheme="minorHAnsi"/>
                <w:bCs/>
                <w:sz w:val="20"/>
                <w:szCs w:val="20"/>
                <w:lang w:eastAsia="fr-FR"/>
              </w:rPr>
            </w:pPr>
            <w:r w:rsidRPr="00322B28">
              <w:rPr>
                <w:rFonts w:cstheme="minorHAnsi"/>
                <w:bCs/>
                <w:sz w:val="20"/>
                <w:szCs w:val="20"/>
                <w:lang w:eastAsia="fr-FR"/>
              </w:rPr>
              <w:t xml:space="preserve">CCGT à </w:t>
            </w:r>
            <w:r w:rsidR="009B784E">
              <w:rPr>
                <w:rFonts w:cstheme="minorHAnsi"/>
                <w:bCs/>
                <w:sz w:val="20"/>
                <w:szCs w:val="20"/>
                <w:lang w:eastAsia="fr-FR"/>
              </w:rPr>
              <w:t>utilisation</w:t>
            </w:r>
            <w:r w:rsidR="009B784E" w:rsidRPr="00322B28">
              <w:rPr>
                <w:rFonts w:cstheme="minorHAnsi"/>
                <w:bCs/>
                <w:sz w:val="20"/>
                <w:szCs w:val="20"/>
                <w:lang w:eastAsia="fr-FR"/>
              </w:rPr>
              <w:t xml:space="preserve"> </w:t>
            </w:r>
            <w:r w:rsidRPr="00322B28">
              <w:rPr>
                <w:rFonts w:cstheme="minorHAnsi"/>
                <w:bCs/>
                <w:sz w:val="20"/>
                <w:szCs w:val="20"/>
                <w:lang w:eastAsia="fr-FR"/>
              </w:rPr>
              <w:t>totale nette de combustible ≥ 75</w:t>
            </w:r>
            <w:r w:rsidR="000F02B5">
              <w:rPr>
                <w:rFonts w:cstheme="minorHAnsi"/>
                <w:bCs/>
                <w:sz w:val="20"/>
                <w:szCs w:val="20"/>
                <w:lang w:eastAsia="fr-FR"/>
              </w:rPr>
              <w:t xml:space="preserve"> </w:t>
            </w:r>
            <w:r w:rsidRPr="00322B28">
              <w:rPr>
                <w:rFonts w:cstheme="minorHAnsi"/>
                <w:bCs/>
                <w:sz w:val="20"/>
                <w:szCs w:val="20"/>
                <w:lang w:eastAsia="fr-FR"/>
              </w:rPr>
              <w:t>%</w:t>
            </w:r>
          </w:p>
        </w:tc>
        <w:tc>
          <w:tcPr>
            <w:tcW w:w="255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631C2E"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E2EFD9" w:themeFill="accent6" w:themeFillTint="33"/>
              </w:rPr>
              <w:t>A = 55</w:t>
            </w:r>
          </w:p>
          <w:p w14:paraId="7A3CF975"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B4C6E7" w:themeFill="accent5" w:themeFillTint="66"/>
              </w:rPr>
              <w:t>M = 75</w:t>
            </w:r>
          </w:p>
          <w:p w14:paraId="103AFB29"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E2EFD9" w:themeFill="accent6" w:themeFillTint="33"/>
              </w:rPr>
              <w:t>J = 80</w:t>
            </w:r>
          </w:p>
        </w:tc>
      </w:tr>
      <w:tr w:rsidR="00322B28" w14:paraId="3D91A106" w14:textId="77777777" w:rsidTr="005D385E">
        <w:trPr>
          <w:trHeight w:val="20"/>
          <w:jc w:val="center"/>
        </w:trPr>
        <w:tc>
          <w:tcPr>
            <w:tcW w:w="1491"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4F283093" w14:textId="54494E8A" w:rsidR="00322B28" w:rsidRPr="00322B28" w:rsidRDefault="00322B28" w:rsidP="005D385E">
            <w:pPr>
              <w:jc w:val="center"/>
              <w:rPr>
                <w:rFonts w:cstheme="minorHAnsi"/>
                <w:sz w:val="20"/>
                <w:szCs w:val="20"/>
              </w:rPr>
            </w:pPr>
            <w:r w:rsidRPr="00322B28">
              <w:rPr>
                <w:rFonts w:cstheme="minorHAnsi"/>
                <w:sz w:val="20"/>
                <w:szCs w:val="20"/>
              </w:rPr>
              <w:t>(</w:t>
            </w:r>
            <w:r w:rsidR="0054785E">
              <w:rPr>
                <w:rFonts w:cstheme="minorHAnsi"/>
                <w:sz w:val="20"/>
                <w:szCs w:val="20"/>
              </w:rPr>
              <w:t>5</w:t>
            </w:r>
            <w:r w:rsidRPr="00322B28">
              <w:rPr>
                <w:rFonts w:cstheme="minorHAnsi"/>
                <w:sz w:val="20"/>
                <w:szCs w:val="20"/>
              </w:rPr>
              <w:t>)</w:t>
            </w:r>
          </w:p>
        </w:tc>
        <w:tc>
          <w:tcPr>
            <w:tcW w:w="644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DC5B22" w14:textId="248C9C10" w:rsidR="00322B28" w:rsidRPr="00322B28" w:rsidRDefault="00322B28" w:rsidP="005D385E">
            <w:pPr>
              <w:jc w:val="both"/>
              <w:rPr>
                <w:rFonts w:cstheme="minorHAnsi"/>
                <w:bCs/>
                <w:sz w:val="20"/>
                <w:szCs w:val="20"/>
                <w:lang w:eastAsia="fr-FR"/>
              </w:rPr>
            </w:pPr>
            <w:r w:rsidRPr="00322B28">
              <w:rPr>
                <w:rFonts w:cstheme="minorHAnsi"/>
                <w:bCs/>
                <w:sz w:val="20"/>
                <w:szCs w:val="20"/>
                <w:lang w:eastAsia="fr-FR"/>
              </w:rPr>
              <w:t xml:space="preserve">CCGT à </w:t>
            </w:r>
            <w:r w:rsidR="009B784E">
              <w:rPr>
                <w:rFonts w:cstheme="minorHAnsi"/>
                <w:bCs/>
                <w:sz w:val="20"/>
                <w:szCs w:val="20"/>
                <w:lang w:eastAsia="fr-FR"/>
              </w:rPr>
              <w:t>utilisation</w:t>
            </w:r>
            <w:r w:rsidR="009B784E" w:rsidRPr="00322B28">
              <w:rPr>
                <w:rFonts w:cstheme="minorHAnsi"/>
                <w:bCs/>
                <w:sz w:val="20"/>
                <w:szCs w:val="20"/>
                <w:lang w:eastAsia="fr-FR"/>
              </w:rPr>
              <w:t xml:space="preserve"> </w:t>
            </w:r>
            <w:r w:rsidRPr="00322B28">
              <w:rPr>
                <w:rFonts w:cstheme="minorHAnsi"/>
                <w:bCs/>
                <w:sz w:val="20"/>
                <w:szCs w:val="20"/>
                <w:lang w:eastAsia="fr-FR"/>
              </w:rPr>
              <w:t>totale nette de combustible ≥ 75</w:t>
            </w:r>
            <w:r w:rsidR="000F02B5">
              <w:rPr>
                <w:rFonts w:cstheme="minorHAnsi"/>
                <w:bCs/>
                <w:sz w:val="20"/>
                <w:szCs w:val="20"/>
                <w:lang w:eastAsia="fr-FR"/>
              </w:rPr>
              <w:t xml:space="preserve"> </w:t>
            </w:r>
            <w:r w:rsidRPr="00322B28">
              <w:rPr>
                <w:rFonts w:cstheme="minorHAnsi"/>
                <w:bCs/>
                <w:sz w:val="20"/>
                <w:szCs w:val="20"/>
                <w:lang w:eastAsia="fr-FR"/>
              </w:rPr>
              <w:t>%</w:t>
            </w:r>
          </w:p>
        </w:tc>
        <w:tc>
          <w:tcPr>
            <w:tcW w:w="255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0F820" w14:textId="77777777" w:rsidR="00322B28" w:rsidRPr="00322B28" w:rsidRDefault="00322B28" w:rsidP="005D385E">
            <w:pPr>
              <w:jc w:val="center"/>
              <w:rPr>
                <w:rFonts w:cstheme="minorHAnsi"/>
                <w:sz w:val="20"/>
                <w:szCs w:val="20"/>
                <w:shd w:val="clear" w:color="auto" w:fill="E2EFD9" w:themeFill="accent6" w:themeFillTint="33"/>
              </w:rPr>
            </w:pPr>
            <w:r w:rsidRPr="00322B28">
              <w:rPr>
                <w:rFonts w:cstheme="minorHAnsi"/>
                <w:sz w:val="20"/>
                <w:szCs w:val="20"/>
              </w:rPr>
              <w:t xml:space="preserve">NOx : </w:t>
            </w:r>
            <w:r w:rsidRPr="00322B28">
              <w:rPr>
                <w:rFonts w:cstheme="minorHAnsi"/>
                <w:sz w:val="20"/>
                <w:szCs w:val="20"/>
                <w:shd w:val="clear" w:color="auto" w:fill="E2EFD9" w:themeFill="accent6" w:themeFillTint="33"/>
              </w:rPr>
              <w:t>A = 50</w:t>
            </w:r>
          </w:p>
          <w:p w14:paraId="055BB620"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B4C6E7" w:themeFill="accent5" w:themeFillTint="66"/>
              </w:rPr>
              <w:t>M = 65</w:t>
            </w:r>
          </w:p>
          <w:p w14:paraId="2A669C94" w14:textId="77777777" w:rsidR="00322B28" w:rsidRPr="00322B28" w:rsidRDefault="00322B28" w:rsidP="005D385E">
            <w:pPr>
              <w:jc w:val="center"/>
              <w:rPr>
                <w:rFonts w:cstheme="minorHAnsi"/>
                <w:sz w:val="20"/>
                <w:szCs w:val="20"/>
              </w:rPr>
            </w:pPr>
            <w:r w:rsidRPr="00322B28">
              <w:rPr>
                <w:rFonts w:cstheme="minorHAnsi"/>
                <w:sz w:val="20"/>
                <w:szCs w:val="20"/>
              </w:rPr>
              <w:t xml:space="preserve">NOx : </w:t>
            </w:r>
            <w:r w:rsidRPr="00322B28">
              <w:rPr>
                <w:rFonts w:cstheme="minorHAnsi"/>
                <w:sz w:val="20"/>
                <w:szCs w:val="20"/>
                <w:shd w:val="clear" w:color="auto" w:fill="E2EFD9" w:themeFill="accent6" w:themeFillTint="33"/>
              </w:rPr>
              <w:t>J = 65</w:t>
            </w:r>
          </w:p>
        </w:tc>
      </w:tr>
      <w:tr w:rsidR="00322B28" w14:paraId="286B3BF3" w14:textId="77777777" w:rsidTr="005D385E">
        <w:trPr>
          <w:trHeight w:val="20"/>
          <w:jc w:val="center"/>
        </w:trPr>
        <w:tc>
          <w:tcPr>
            <w:tcW w:w="1491" w:type="dxa"/>
            <w:tcBorders>
              <w:top w:val="single" w:sz="4" w:space="0" w:color="auto"/>
              <w:left w:val="single" w:sz="4" w:space="0" w:color="auto"/>
              <w:bottom w:val="single" w:sz="4" w:space="0" w:color="auto"/>
              <w:right w:val="single" w:sz="4" w:space="0" w:color="auto"/>
            </w:tcBorders>
            <w:shd w:val="clear" w:color="auto" w:fill="E7E6E6" w:themeFill="background2"/>
            <w:tcMar>
              <w:top w:w="150" w:type="dxa"/>
              <w:left w:w="150" w:type="dxa"/>
              <w:bottom w:w="150" w:type="dxa"/>
              <w:right w:w="150" w:type="dxa"/>
            </w:tcMar>
            <w:vAlign w:val="center"/>
          </w:tcPr>
          <w:p w14:paraId="16DB330E" w14:textId="1B56DCED" w:rsidR="00322B28" w:rsidRPr="00322B28" w:rsidRDefault="00322B28" w:rsidP="005D385E">
            <w:pPr>
              <w:jc w:val="center"/>
              <w:rPr>
                <w:rFonts w:cstheme="minorHAnsi"/>
                <w:sz w:val="20"/>
                <w:szCs w:val="20"/>
              </w:rPr>
            </w:pPr>
            <w:r w:rsidRPr="00322B28">
              <w:rPr>
                <w:rFonts w:cstheme="minorHAnsi"/>
                <w:sz w:val="20"/>
                <w:szCs w:val="20"/>
              </w:rPr>
              <w:t>(</w:t>
            </w:r>
            <w:r w:rsidR="0054785E">
              <w:rPr>
                <w:rFonts w:cstheme="minorHAnsi"/>
                <w:sz w:val="20"/>
                <w:szCs w:val="20"/>
              </w:rPr>
              <w:t>6</w:t>
            </w:r>
            <w:r w:rsidRPr="00322B28">
              <w:rPr>
                <w:rFonts w:cstheme="minorHAnsi"/>
                <w:sz w:val="20"/>
                <w:szCs w:val="20"/>
              </w:rPr>
              <w:t>)</w:t>
            </w:r>
          </w:p>
        </w:tc>
        <w:tc>
          <w:tcPr>
            <w:tcW w:w="644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426BB0" w14:textId="77777777" w:rsidR="00322B28" w:rsidRPr="00322B28" w:rsidRDefault="00322B28" w:rsidP="005D385E">
            <w:pPr>
              <w:jc w:val="center"/>
              <w:rPr>
                <w:rFonts w:cstheme="minorHAnsi"/>
                <w:sz w:val="20"/>
                <w:szCs w:val="20"/>
                <w:lang w:eastAsia="fr-FR"/>
              </w:rPr>
            </w:pPr>
            <w:r w:rsidRPr="00322B28">
              <w:rPr>
                <w:rFonts w:cstheme="minorHAnsi"/>
                <w:sz w:val="20"/>
                <w:szCs w:val="20"/>
                <w:shd w:val="clear" w:color="auto" w:fill="B4C6E7" w:themeFill="accent5" w:themeFillTint="66"/>
                <w:lang w:eastAsia="fr-FR"/>
              </w:rPr>
              <w:t>Pour les gaz de convertisseur à l’oxygène.</w:t>
            </w:r>
          </w:p>
          <w:p w14:paraId="792A2357" w14:textId="7C4E037A" w:rsidR="00322B28" w:rsidRPr="00322B28" w:rsidRDefault="00322B28" w:rsidP="005D385E">
            <w:pPr>
              <w:jc w:val="both"/>
              <w:rPr>
                <w:rFonts w:cstheme="minorHAnsi"/>
                <w:bCs/>
                <w:sz w:val="20"/>
                <w:szCs w:val="20"/>
                <w:lang w:eastAsia="fr-FR"/>
              </w:rPr>
            </w:pPr>
            <w:r w:rsidRPr="00322B28">
              <w:rPr>
                <w:rFonts w:cstheme="minorHAnsi"/>
                <w:sz w:val="20"/>
                <w:szCs w:val="20"/>
                <w:shd w:val="clear" w:color="auto" w:fill="B4C6E7" w:themeFill="accent5" w:themeFillTint="66"/>
                <w:lang w:eastAsia="fr-FR"/>
              </w:rPr>
              <w:t>Cette valeur peut être adaptée par le préfet sur la base d’éléments technico-économiques fournis par l’exploitant, des performances des meilleures techniques disponibles et des contraintes liées à l’environnement local afin de garantir la protection des intérêts mentionnés à l’article L.</w:t>
            </w:r>
            <w:r w:rsidR="00D9011B">
              <w:rPr>
                <w:rFonts w:cstheme="minorHAnsi"/>
                <w:sz w:val="20"/>
                <w:szCs w:val="20"/>
                <w:shd w:val="clear" w:color="auto" w:fill="B4C6E7" w:themeFill="accent5" w:themeFillTint="66"/>
                <w:lang w:eastAsia="fr-FR"/>
              </w:rPr>
              <w:t xml:space="preserve"> </w:t>
            </w:r>
            <w:r w:rsidRPr="00322B28">
              <w:rPr>
                <w:rFonts w:cstheme="minorHAnsi"/>
                <w:sz w:val="20"/>
                <w:szCs w:val="20"/>
                <w:shd w:val="clear" w:color="auto" w:fill="B4C6E7" w:themeFill="accent5" w:themeFillTint="66"/>
                <w:lang w:eastAsia="fr-FR"/>
              </w:rPr>
              <w:t>511-1 du code de l’environnement</w:t>
            </w:r>
            <w:r w:rsidRPr="00322B28">
              <w:rPr>
                <w:rFonts w:cstheme="minorHAnsi"/>
                <w:sz w:val="20"/>
                <w:szCs w:val="20"/>
                <w:lang w:eastAsia="fr-FR"/>
              </w:rPr>
              <w:t>,</w:t>
            </w:r>
            <w:r w:rsidRPr="00322B28">
              <w:rPr>
                <w:rFonts w:cstheme="minorHAnsi"/>
                <w:sz w:val="20"/>
                <w:szCs w:val="20"/>
                <w:shd w:val="clear" w:color="auto" w:fill="E2EFD9" w:themeFill="accent6" w:themeFillTint="33"/>
                <w:lang w:eastAsia="fr-FR"/>
              </w:rPr>
              <w:t xml:space="preserve"> sans toutefois dépasser 65 mg/Nm</w:t>
            </w:r>
            <w:r w:rsidRPr="00322B28">
              <w:rPr>
                <w:rFonts w:cstheme="minorHAnsi"/>
                <w:sz w:val="20"/>
                <w:szCs w:val="20"/>
                <w:shd w:val="clear" w:color="auto" w:fill="E2EFD9" w:themeFill="accent6" w:themeFillTint="33"/>
                <w:vertAlign w:val="superscript"/>
                <w:lang w:eastAsia="fr-FR"/>
              </w:rPr>
              <w:t>3</w:t>
            </w:r>
            <w:r w:rsidRPr="00322B28">
              <w:rPr>
                <w:rFonts w:cstheme="minorHAnsi"/>
                <w:sz w:val="20"/>
                <w:szCs w:val="20"/>
                <w:shd w:val="clear" w:color="auto" w:fill="E2EFD9" w:themeFill="accent6" w:themeFillTint="33"/>
                <w:lang w:eastAsia="fr-FR"/>
              </w:rPr>
              <w:t xml:space="preserve"> en valeur mensuelle et 70 en valeur journalière</w:t>
            </w:r>
          </w:p>
        </w:tc>
        <w:tc>
          <w:tcPr>
            <w:tcW w:w="255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9AA9BA" w14:textId="77777777" w:rsidR="00322B28" w:rsidRPr="00322B28" w:rsidRDefault="00322B28" w:rsidP="005D385E">
            <w:pPr>
              <w:jc w:val="center"/>
              <w:rPr>
                <w:rFonts w:cstheme="minorHAnsi"/>
                <w:sz w:val="20"/>
                <w:szCs w:val="20"/>
                <w:lang w:eastAsia="fr-FR"/>
              </w:rPr>
            </w:pPr>
            <w:proofErr w:type="spellStart"/>
            <w:r w:rsidRPr="00322B28">
              <w:rPr>
                <w:rFonts w:cstheme="minorHAnsi"/>
                <w:sz w:val="20"/>
                <w:szCs w:val="20"/>
                <w:lang w:eastAsia="fr-FR"/>
              </w:rPr>
              <w:t>SOx</w:t>
            </w:r>
            <w:proofErr w:type="spellEnd"/>
            <w:r w:rsidRPr="00322B28">
              <w:rPr>
                <w:rFonts w:cstheme="minorHAnsi"/>
                <w:sz w:val="20"/>
                <w:szCs w:val="20"/>
                <w:lang w:eastAsia="fr-FR"/>
              </w:rPr>
              <w:t xml:space="preserve"> : </w:t>
            </w:r>
            <w:r w:rsidRPr="00322B28">
              <w:rPr>
                <w:rFonts w:cstheme="minorHAnsi"/>
                <w:sz w:val="20"/>
                <w:szCs w:val="20"/>
                <w:shd w:val="clear" w:color="auto" w:fill="B4C6E7" w:themeFill="accent5" w:themeFillTint="66"/>
                <w:lang w:eastAsia="fr-FR"/>
              </w:rPr>
              <w:t>M = 10</w:t>
            </w:r>
          </w:p>
          <w:p w14:paraId="286E3EC8" w14:textId="77777777" w:rsidR="00322B28" w:rsidRPr="00322B28" w:rsidRDefault="00322B28" w:rsidP="005D385E">
            <w:pPr>
              <w:jc w:val="center"/>
              <w:rPr>
                <w:rFonts w:cstheme="minorHAnsi"/>
                <w:sz w:val="20"/>
                <w:szCs w:val="20"/>
              </w:rPr>
            </w:pPr>
            <w:proofErr w:type="spellStart"/>
            <w:r w:rsidRPr="00322B28">
              <w:rPr>
                <w:rFonts w:cstheme="minorHAnsi"/>
                <w:sz w:val="20"/>
                <w:szCs w:val="20"/>
                <w:lang w:eastAsia="fr-FR"/>
              </w:rPr>
              <w:t>SOx</w:t>
            </w:r>
            <w:proofErr w:type="spellEnd"/>
            <w:r w:rsidRPr="00322B28">
              <w:rPr>
                <w:rFonts w:cstheme="minorHAnsi"/>
                <w:sz w:val="20"/>
                <w:szCs w:val="20"/>
                <w:lang w:eastAsia="fr-FR"/>
              </w:rPr>
              <w:t xml:space="preserve"> : </w:t>
            </w:r>
            <w:r w:rsidRPr="00322B28">
              <w:rPr>
                <w:rFonts w:cstheme="minorHAnsi"/>
                <w:sz w:val="20"/>
                <w:szCs w:val="20"/>
                <w:shd w:val="clear" w:color="auto" w:fill="B4C6E7" w:themeFill="accent5" w:themeFillTint="66"/>
                <w:lang w:eastAsia="fr-FR"/>
              </w:rPr>
              <w:t>J = 11</w:t>
            </w:r>
          </w:p>
        </w:tc>
      </w:tr>
    </w:tbl>
    <w:p w14:paraId="0BF496D4" w14:textId="4419EAC3" w:rsidR="00322B28" w:rsidRDefault="00322B28" w:rsidP="00322B28">
      <w:pPr>
        <w:pStyle w:val="Titredetableau"/>
        <w:shd w:val="clear" w:color="auto" w:fill="FFFFFF"/>
        <w:spacing w:after="240"/>
        <w:jc w:val="both"/>
        <w:rPr>
          <w:b w:val="0"/>
          <w:bCs w:val="0"/>
          <w:color w:val="000000"/>
        </w:rPr>
      </w:pPr>
      <w:r>
        <w:rPr>
          <w:b w:val="0"/>
          <w:bCs w:val="0"/>
          <w:color w:val="000000"/>
        </w:rPr>
        <w:t> »</w:t>
      </w:r>
    </w:p>
    <w:p w14:paraId="6CE44D01" w14:textId="6F9B31A3" w:rsidR="00914E79" w:rsidRPr="00914E79" w:rsidRDefault="00914E79" w:rsidP="00914E79">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15</w:t>
      </w:r>
      <w:r w:rsidRPr="00914E79">
        <w:rPr>
          <w:b/>
          <w:bCs/>
          <w:i/>
          <w:iCs/>
        </w:rPr>
        <w:fldChar w:fldCharType="end"/>
      </w:r>
    </w:p>
    <w:p w14:paraId="720356C3" w14:textId="5ECE3855" w:rsidR="00914E79" w:rsidRDefault="00914E79" w:rsidP="00322B28"/>
    <w:p w14:paraId="6EA5A527" w14:textId="1DC7BF52" w:rsidR="00322B28" w:rsidRDefault="00322B28" w:rsidP="00322B28">
      <w:pPr>
        <w:jc w:val="both"/>
      </w:pPr>
      <w:r>
        <w:t>L’article 12 de l’arrêté susvisé est ainsi modifié :</w:t>
      </w:r>
    </w:p>
    <w:p w14:paraId="63BDADCB" w14:textId="77777777" w:rsidR="00322B28" w:rsidRDefault="00322B28" w:rsidP="00322B28">
      <w:pPr>
        <w:jc w:val="both"/>
      </w:pPr>
    </w:p>
    <w:p w14:paraId="7EC142D9" w14:textId="07BEEA4E" w:rsidR="00322B28" w:rsidRDefault="006A72C4" w:rsidP="00322B28">
      <w:pPr>
        <w:jc w:val="both"/>
      </w:pPr>
      <w:r>
        <w:t>1°</w:t>
      </w:r>
      <w:r w:rsidR="00322B28">
        <w:t xml:space="preserve"> </w:t>
      </w:r>
      <w:r w:rsidR="00391DCD">
        <w:t>Un alinéa </w:t>
      </w:r>
      <w:r w:rsidR="00322B28">
        <w:t>« Moteurs » est inséré avant le premier alinéa.</w:t>
      </w:r>
    </w:p>
    <w:p w14:paraId="572E7392" w14:textId="77777777" w:rsidR="00322B28" w:rsidRDefault="00322B28" w:rsidP="00322B28">
      <w:pPr>
        <w:jc w:val="both"/>
      </w:pPr>
    </w:p>
    <w:p w14:paraId="2C1481E1" w14:textId="41F0B276" w:rsidR="00322B28" w:rsidRPr="00CB0156" w:rsidRDefault="006A72C4" w:rsidP="00322B28">
      <w:pPr>
        <w:jc w:val="both"/>
      </w:pPr>
      <w:r>
        <w:t>2°</w:t>
      </w:r>
      <w:r w:rsidR="00322B28" w:rsidRPr="00CB0156">
        <w:t xml:space="preserve"> </w:t>
      </w:r>
      <w:r w:rsidR="00391DCD">
        <w:t>Au début du I</w:t>
      </w:r>
      <w:r w:rsidR="00322B28">
        <w:t xml:space="preserve"> </w:t>
      </w:r>
      <w:r w:rsidR="00322B28" w:rsidRPr="00CB0156">
        <w:t>sont insérés les alinéas suivants :</w:t>
      </w:r>
    </w:p>
    <w:p w14:paraId="2685C84A" w14:textId="29335E79" w:rsidR="00246793" w:rsidRPr="00246793" w:rsidRDefault="00246793" w:rsidP="00246793">
      <w:pPr>
        <w:shd w:val="clear" w:color="auto" w:fill="FFFFFF"/>
        <w:jc w:val="both"/>
        <w:rPr>
          <w:color w:val="000000"/>
          <w:lang w:eastAsia="fr-FR"/>
        </w:rPr>
      </w:pPr>
      <w:r w:rsidRPr="00246793">
        <w:rPr>
          <w:color w:val="000000"/>
          <w:lang w:eastAsia="fr-FR"/>
        </w:rPr>
        <w:t>« Les dispositions du présent I s’appliquent :</w:t>
      </w:r>
    </w:p>
    <w:p w14:paraId="75617966" w14:textId="78329994" w:rsidR="00246793" w:rsidRPr="00246793" w:rsidRDefault="00246793" w:rsidP="00246793">
      <w:pPr>
        <w:shd w:val="clear" w:color="auto" w:fill="FFFFFF"/>
        <w:jc w:val="both"/>
        <w:rPr>
          <w:color w:val="000000"/>
          <w:lang w:eastAsia="fr-FR"/>
        </w:rPr>
      </w:pPr>
      <w:r w:rsidRPr="00246793">
        <w:rPr>
          <w:color w:val="000000"/>
          <w:lang w:eastAsia="fr-FR"/>
        </w:rPr>
        <w:t xml:space="preserve">« - aux moteurs de </w:t>
      </w:r>
      <w:r w:rsidR="005E2F7A">
        <w:rPr>
          <w:color w:val="000000"/>
          <w:lang w:eastAsia="fr-FR"/>
        </w:rPr>
        <w:t xml:space="preserve">puissance thermique nominale inférieure à </w:t>
      </w:r>
      <w:r w:rsidRPr="00246793">
        <w:rPr>
          <w:color w:val="000000"/>
          <w:lang w:eastAsia="fr-FR"/>
        </w:rPr>
        <w:t>15 MW ;</w:t>
      </w:r>
    </w:p>
    <w:p w14:paraId="377B38F0" w14:textId="26C4E858" w:rsidR="00246793" w:rsidRPr="00246793" w:rsidRDefault="00246793" w:rsidP="00246793">
      <w:pPr>
        <w:shd w:val="clear" w:color="auto" w:fill="FFFFFF"/>
        <w:jc w:val="both"/>
        <w:rPr>
          <w:color w:val="000000"/>
          <w:lang w:eastAsia="fr-FR"/>
        </w:rPr>
      </w:pPr>
      <w:r w:rsidRPr="00246793">
        <w:rPr>
          <w:color w:val="000000"/>
          <w:lang w:eastAsia="fr-FR"/>
        </w:rPr>
        <w:t xml:space="preserve">« - aux moteurs </w:t>
      </w:r>
      <w:r w:rsidR="0094246F">
        <w:rPr>
          <w:color w:val="000000"/>
          <w:lang w:eastAsia="fr-FR"/>
        </w:rPr>
        <w:t xml:space="preserve">de puissance thermique nominale supérieure ou égale à 15 MW </w:t>
      </w:r>
      <w:r w:rsidRPr="00246793">
        <w:rPr>
          <w:color w:val="000000"/>
          <w:lang w:eastAsia="fr-FR"/>
        </w:rPr>
        <w:t xml:space="preserve">pour lesquels les délais mentionnés </w:t>
      </w:r>
      <w:r w:rsidR="00D9011B">
        <w:rPr>
          <w:color w:val="000000"/>
          <w:lang w:eastAsia="fr-FR"/>
        </w:rPr>
        <w:t>au VII de l’article 3</w:t>
      </w:r>
      <w:r w:rsidRPr="00246793">
        <w:rPr>
          <w:color w:val="000000"/>
          <w:lang w:eastAsia="fr-FR"/>
        </w:rPr>
        <w:t xml:space="preserve"> du présent arrêté ne sont pas encore échus ;</w:t>
      </w:r>
    </w:p>
    <w:p w14:paraId="0D4424D5" w14:textId="32BC1DD3" w:rsidR="00246793" w:rsidRPr="00246793" w:rsidRDefault="00246793" w:rsidP="00246793">
      <w:pPr>
        <w:shd w:val="clear" w:color="auto" w:fill="FFFFFF"/>
        <w:jc w:val="both"/>
        <w:rPr>
          <w:color w:val="000000"/>
          <w:lang w:eastAsia="fr-FR"/>
        </w:rPr>
      </w:pPr>
      <w:r w:rsidRPr="00246793">
        <w:rPr>
          <w:color w:val="000000"/>
          <w:lang w:eastAsia="fr-FR"/>
        </w:rPr>
        <w:t xml:space="preserve">« - aux moteurs pour lesquels les </w:t>
      </w:r>
      <w:r w:rsidR="0094246F">
        <w:rPr>
          <w:color w:val="000000"/>
          <w:lang w:eastAsia="fr-FR"/>
        </w:rPr>
        <w:t>valeurs limites d’émission</w:t>
      </w:r>
      <w:r w:rsidR="0094246F" w:rsidRPr="00246793">
        <w:rPr>
          <w:color w:val="000000"/>
          <w:lang w:eastAsia="fr-FR"/>
        </w:rPr>
        <w:t xml:space="preserve"> </w:t>
      </w:r>
      <w:r w:rsidRPr="00246793">
        <w:rPr>
          <w:color w:val="000000"/>
          <w:lang w:eastAsia="fr-FR"/>
        </w:rPr>
        <w:t>du II du présent article ne sont pas applicables ou pas mentionnées dans le tableau du II.</w:t>
      </w:r>
    </w:p>
    <w:p w14:paraId="693F8737" w14:textId="77777777" w:rsidR="00322B28" w:rsidRPr="00CB0156" w:rsidRDefault="00322B28" w:rsidP="00322B28">
      <w:pPr>
        <w:shd w:val="clear" w:color="auto" w:fill="FFFFFF"/>
        <w:jc w:val="both"/>
        <w:rPr>
          <w:color w:val="000000"/>
          <w:lang w:eastAsia="fr-FR"/>
        </w:rPr>
      </w:pPr>
    </w:p>
    <w:p w14:paraId="453343DD" w14:textId="3D8585A9" w:rsidR="00322B28" w:rsidRDefault="00322B28" w:rsidP="00322B28">
      <w:pPr>
        <w:shd w:val="clear" w:color="auto" w:fill="FFFFFF"/>
        <w:spacing w:after="240"/>
        <w:jc w:val="both"/>
        <w:rPr>
          <w:color w:val="000000"/>
          <w:lang w:eastAsia="fr-FR"/>
        </w:rPr>
      </w:pPr>
      <w:r w:rsidRPr="00CB0156">
        <w:rPr>
          <w:color w:val="000000"/>
          <w:lang w:eastAsia="fr-FR"/>
        </w:rPr>
        <w:t>« </w:t>
      </w:r>
      <w:proofErr w:type="gramStart"/>
      <w:r w:rsidRPr="00CB0156">
        <w:rPr>
          <w:color w:val="000000"/>
          <w:lang w:eastAsia="fr-FR"/>
        </w:rPr>
        <w:t>a</w:t>
      </w:r>
      <w:proofErr w:type="gramEnd"/>
      <w:r w:rsidRPr="00CB0156">
        <w:rPr>
          <w:color w:val="000000"/>
          <w:lang w:eastAsia="fr-FR"/>
        </w:rPr>
        <w:t>)</w:t>
      </w:r>
      <w:r w:rsidR="00246793">
        <w:rPr>
          <w:color w:val="000000"/>
          <w:lang w:eastAsia="fr-FR"/>
        </w:rPr>
        <w:t xml:space="preserve"> </w:t>
      </w:r>
      <w:r w:rsidR="0094246F" w:rsidRPr="0094246F">
        <w:rPr>
          <w:color w:val="000000"/>
          <w:lang w:eastAsia="fr-FR"/>
        </w:rPr>
        <w:t>Moteurs dont l’autorisation initiale a été accordée après le 1</w:t>
      </w:r>
      <w:r w:rsidR="0094246F" w:rsidRPr="00963737">
        <w:rPr>
          <w:color w:val="000000"/>
          <w:vertAlign w:val="superscript"/>
          <w:lang w:eastAsia="fr-FR"/>
        </w:rPr>
        <w:t>er</w:t>
      </w:r>
      <w:r w:rsidR="00963737">
        <w:rPr>
          <w:color w:val="000000"/>
          <w:lang w:eastAsia="fr-FR"/>
        </w:rPr>
        <w:t xml:space="preserve"> </w:t>
      </w:r>
      <w:r w:rsidR="0094246F" w:rsidRPr="0094246F">
        <w:rPr>
          <w:color w:val="000000"/>
          <w:lang w:eastAsia="fr-FR"/>
        </w:rPr>
        <w:t>janvier 2014, à l’exception de ceux qui ont fait l’objet d’une demande complète d’autorisation avant cette date pour autant que l’installation ait été mise en service au plus tard le 7 janvier 2014</w:t>
      </w:r>
      <w:r w:rsidR="0094246F">
        <w:rPr>
          <w:color w:val="000000"/>
          <w:lang w:eastAsia="fr-FR"/>
        </w:rPr>
        <w:t xml:space="preserve"> </w:t>
      </w:r>
      <w:r w:rsidRPr="00CB0156">
        <w:rPr>
          <w:color w:val="000000"/>
          <w:lang w:eastAsia="fr-FR"/>
        </w:rPr>
        <w:t>».</w:t>
      </w:r>
    </w:p>
    <w:p w14:paraId="77AA5789" w14:textId="4644AB59" w:rsidR="00322B28" w:rsidRPr="0064331C" w:rsidRDefault="006A72C4" w:rsidP="00322B28">
      <w:pPr>
        <w:shd w:val="clear" w:color="auto" w:fill="FFFFFF"/>
        <w:jc w:val="both"/>
        <w:rPr>
          <w:color w:val="000000"/>
          <w:lang w:eastAsia="fr-FR"/>
        </w:rPr>
      </w:pPr>
      <w:r>
        <w:rPr>
          <w:color w:val="000000"/>
          <w:lang w:eastAsia="fr-FR"/>
        </w:rPr>
        <w:t>3°</w:t>
      </w:r>
      <w:r w:rsidR="00322B28">
        <w:rPr>
          <w:color w:val="000000"/>
          <w:lang w:eastAsia="fr-FR"/>
        </w:rPr>
        <w:t xml:space="preserve"> </w:t>
      </w:r>
      <w:r w:rsidR="00322B28" w:rsidRPr="0064331C">
        <w:rPr>
          <w:color w:val="000000"/>
          <w:lang w:eastAsia="fr-FR"/>
        </w:rPr>
        <w:t>Le point II. – est modifié comme suit :</w:t>
      </w:r>
    </w:p>
    <w:p w14:paraId="5CED231F" w14:textId="5D756250" w:rsidR="00322B28" w:rsidRPr="00CB0156" w:rsidRDefault="00391DCD" w:rsidP="00996B9A">
      <w:pPr>
        <w:pStyle w:val="Titredetableau"/>
        <w:numPr>
          <w:ilvl w:val="0"/>
          <w:numId w:val="3"/>
        </w:numPr>
        <w:shd w:val="clear" w:color="auto" w:fill="FFFFFF"/>
        <w:spacing w:after="240"/>
        <w:jc w:val="both"/>
        <w:rPr>
          <w:b w:val="0"/>
          <w:bCs w:val="0"/>
          <w:color w:val="000000"/>
        </w:rPr>
      </w:pPr>
      <w:proofErr w:type="gramStart"/>
      <w:r>
        <w:rPr>
          <w:b w:val="0"/>
          <w:bCs w:val="0"/>
          <w:color w:val="000000"/>
        </w:rPr>
        <w:t>la</w:t>
      </w:r>
      <w:proofErr w:type="gramEnd"/>
      <w:r>
        <w:rPr>
          <w:b w:val="0"/>
          <w:bCs w:val="0"/>
          <w:color w:val="000000"/>
        </w:rPr>
        <w:t xml:space="preserve"> référence</w:t>
      </w:r>
      <w:r w:rsidR="00322B28" w:rsidRPr="00CB0156">
        <w:rPr>
          <w:b w:val="0"/>
          <w:bCs w:val="0"/>
          <w:color w:val="000000"/>
          <w:lang w:eastAsia="fr-FR"/>
        </w:rPr>
        <w:t xml:space="preserve"> « II.- » </w:t>
      </w:r>
      <w:r>
        <w:rPr>
          <w:b w:val="0"/>
          <w:bCs w:val="0"/>
          <w:color w:val="000000"/>
          <w:lang w:eastAsia="fr-FR"/>
        </w:rPr>
        <w:t>est</w:t>
      </w:r>
      <w:r w:rsidRPr="00CB0156">
        <w:rPr>
          <w:b w:val="0"/>
          <w:bCs w:val="0"/>
          <w:color w:val="000000"/>
          <w:lang w:eastAsia="fr-FR"/>
        </w:rPr>
        <w:t xml:space="preserve"> </w:t>
      </w:r>
      <w:r w:rsidR="00322B28" w:rsidRPr="00CB0156">
        <w:rPr>
          <w:b w:val="0"/>
          <w:bCs w:val="0"/>
          <w:color w:val="000000"/>
          <w:lang w:eastAsia="fr-FR"/>
        </w:rPr>
        <w:t>remplacé</w:t>
      </w:r>
      <w:r>
        <w:rPr>
          <w:b w:val="0"/>
          <w:bCs w:val="0"/>
          <w:color w:val="000000"/>
          <w:lang w:eastAsia="fr-FR"/>
        </w:rPr>
        <w:t>e</w:t>
      </w:r>
      <w:r w:rsidR="00322B28" w:rsidRPr="00CB0156">
        <w:rPr>
          <w:b w:val="0"/>
          <w:bCs w:val="0"/>
          <w:color w:val="000000"/>
          <w:lang w:eastAsia="fr-FR"/>
        </w:rPr>
        <w:t xml:space="preserve"> par</w:t>
      </w:r>
      <w:r>
        <w:rPr>
          <w:b w:val="0"/>
          <w:bCs w:val="0"/>
          <w:color w:val="000000"/>
          <w:lang w:eastAsia="fr-FR"/>
        </w:rPr>
        <w:t xml:space="preserve"> les mots</w:t>
      </w:r>
      <w:r w:rsidR="006F5C36">
        <w:rPr>
          <w:b w:val="0"/>
          <w:bCs w:val="0"/>
          <w:color w:val="000000"/>
          <w:lang w:eastAsia="fr-FR"/>
        </w:rPr>
        <w:t> :</w:t>
      </w:r>
      <w:r w:rsidR="00EE2823">
        <w:rPr>
          <w:b w:val="0"/>
          <w:bCs w:val="0"/>
          <w:color w:val="000000"/>
          <w:lang w:eastAsia="fr-FR"/>
        </w:rPr>
        <w:t xml:space="preserve"> </w:t>
      </w:r>
      <w:r w:rsidR="00322B28" w:rsidRPr="00CB0156">
        <w:rPr>
          <w:b w:val="0"/>
          <w:bCs w:val="0"/>
          <w:color w:val="000000"/>
          <w:lang w:eastAsia="fr-FR"/>
        </w:rPr>
        <w:t>« b)</w:t>
      </w:r>
      <w:r w:rsidR="00246793">
        <w:rPr>
          <w:b w:val="0"/>
          <w:bCs w:val="0"/>
          <w:color w:val="000000"/>
          <w:lang w:eastAsia="fr-FR"/>
        </w:rPr>
        <w:t xml:space="preserve"> </w:t>
      </w:r>
      <w:r w:rsidR="0094246F">
        <w:rPr>
          <w:b w:val="0"/>
          <w:bCs w:val="0"/>
          <w:color w:val="000000"/>
          <w:lang w:eastAsia="fr-FR"/>
        </w:rPr>
        <w:t>Moteurs dont l’autorisation initiale a été accordée avant le 1</w:t>
      </w:r>
      <w:r w:rsidR="0094246F" w:rsidRPr="0094246F">
        <w:rPr>
          <w:b w:val="0"/>
          <w:bCs w:val="0"/>
          <w:color w:val="000000"/>
          <w:vertAlign w:val="superscript"/>
          <w:lang w:eastAsia="fr-FR"/>
        </w:rPr>
        <w:t>er</w:t>
      </w:r>
      <w:r w:rsidR="0094246F">
        <w:rPr>
          <w:b w:val="0"/>
          <w:bCs w:val="0"/>
          <w:color w:val="000000"/>
          <w:lang w:eastAsia="fr-FR"/>
        </w:rPr>
        <w:t xml:space="preserve"> janvier 2014 </w:t>
      </w:r>
      <w:r w:rsidR="00322B28" w:rsidRPr="00CB0156">
        <w:rPr>
          <w:b w:val="0"/>
          <w:bCs w:val="0"/>
          <w:color w:val="000000"/>
          <w:lang w:eastAsia="fr-FR"/>
        </w:rPr>
        <w:t>»</w:t>
      </w:r>
      <w:r w:rsidR="00322B28" w:rsidRPr="00CB0156">
        <w:rPr>
          <w:b w:val="0"/>
          <w:bCs w:val="0"/>
          <w:color w:val="000000"/>
        </w:rPr>
        <w:t> ;</w:t>
      </w:r>
    </w:p>
    <w:p w14:paraId="10693BF3" w14:textId="32C0EC7C" w:rsidR="00322B28" w:rsidRPr="00322B28" w:rsidRDefault="00322B28" w:rsidP="00996B9A">
      <w:pPr>
        <w:pStyle w:val="Titredetableau"/>
        <w:numPr>
          <w:ilvl w:val="0"/>
          <w:numId w:val="3"/>
        </w:numPr>
        <w:shd w:val="clear" w:color="auto" w:fill="FFFFFF"/>
        <w:spacing w:after="240"/>
        <w:jc w:val="both"/>
        <w:rPr>
          <w:b w:val="0"/>
          <w:bCs w:val="0"/>
          <w:color w:val="000000"/>
          <w:lang w:eastAsia="fr-FR"/>
        </w:rPr>
      </w:pPr>
      <w:proofErr w:type="gramStart"/>
      <w:r w:rsidRPr="00322B28">
        <w:rPr>
          <w:b w:val="0"/>
          <w:bCs w:val="0"/>
          <w:color w:val="000000"/>
        </w:rPr>
        <w:t>après</w:t>
      </w:r>
      <w:proofErr w:type="gramEnd"/>
      <w:r w:rsidRPr="00322B28">
        <w:rPr>
          <w:b w:val="0"/>
          <w:bCs w:val="0"/>
          <w:color w:val="000000"/>
        </w:rPr>
        <w:t xml:space="preserve"> les mots</w:t>
      </w:r>
      <w:r w:rsidR="006F5C36">
        <w:rPr>
          <w:b w:val="0"/>
          <w:bCs w:val="0"/>
          <w:color w:val="000000"/>
        </w:rPr>
        <w:t> :</w:t>
      </w:r>
      <w:r w:rsidRPr="00322B28">
        <w:rPr>
          <w:b w:val="0"/>
          <w:bCs w:val="0"/>
          <w:color w:val="000000"/>
        </w:rPr>
        <w:t xml:space="preserve"> « qui ne relèvent pas du</w:t>
      </w:r>
      <w:r w:rsidR="00391DCD">
        <w:rPr>
          <w:b w:val="0"/>
          <w:bCs w:val="0"/>
          <w:color w:val="000000"/>
        </w:rPr>
        <w:t xml:space="preserve"> </w:t>
      </w:r>
      <w:r w:rsidRPr="00322B28">
        <w:rPr>
          <w:b w:val="0"/>
          <w:bCs w:val="0"/>
          <w:color w:val="000000"/>
        </w:rPr>
        <w:t xml:space="preserve">» </w:t>
      </w:r>
      <w:r w:rsidR="00391DCD">
        <w:rPr>
          <w:b w:val="0"/>
          <w:bCs w:val="0"/>
          <w:color w:val="000000"/>
        </w:rPr>
        <w:t>sont</w:t>
      </w:r>
      <w:r w:rsidR="00391DCD" w:rsidRPr="00322B28">
        <w:rPr>
          <w:b w:val="0"/>
          <w:bCs w:val="0"/>
          <w:color w:val="000000"/>
        </w:rPr>
        <w:t xml:space="preserve"> </w:t>
      </w:r>
      <w:r w:rsidRPr="00322B28">
        <w:rPr>
          <w:b w:val="0"/>
          <w:bCs w:val="0"/>
          <w:color w:val="000000"/>
        </w:rPr>
        <w:t>inséré</w:t>
      </w:r>
      <w:r w:rsidR="00391DCD">
        <w:rPr>
          <w:b w:val="0"/>
          <w:bCs w:val="0"/>
          <w:color w:val="000000"/>
        </w:rPr>
        <w:t>s</w:t>
      </w:r>
      <w:r w:rsidRPr="00322B28">
        <w:rPr>
          <w:b w:val="0"/>
          <w:bCs w:val="0"/>
          <w:color w:val="000000"/>
        </w:rPr>
        <w:t xml:space="preserve"> le</w:t>
      </w:r>
      <w:r w:rsidR="00391DCD">
        <w:rPr>
          <w:b w:val="0"/>
          <w:bCs w:val="0"/>
          <w:color w:val="000000"/>
        </w:rPr>
        <w:t>s</w:t>
      </w:r>
      <w:r w:rsidRPr="00322B28">
        <w:rPr>
          <w:b w:val="0"/>
          <w:bCs w:val="0"/>
          <w:color w:val="000000"/>
        </w:rPr>
        <w:t xml:space="preserve"> mot</w:t>
      </w:r>
      <w:r w:rsidR="00391DCD">
        <w:rPr>
          <w:b w:val="0"/>
          <w:bCs w:val="0"/>
          <w:color w:val="000000"/>
        </w:rPr>
        <w:t>s</w:t>
      </w:r>
      <w:r w:rsidR="006F5C36">
        <w:rPr>
          <w:b w:val="0"/>
          <w:bCs w:val="0"/>
          <w:color w:val="000000"/>
        </w:rPr>
        <w:t> :</w:t>
      </w:r>
      <w:r w:rsidRPr="00322B28">
        <w:rPr>
          <w:b w:val="0"/>
          <w:bCs w:val="0"/>
          <w:color w:val="000000"/>
        </w:rPr>
        <w:t xml:space="preserve"> « a) </w:t>
      </w:r>
      <w:r w:rsidR="00391DCD">
        <w:rPr>
          <w:b w:val="0"/>
          <w:bCs w:val="0"/>
          <w:color w:val="000000"/>
        </w:rPr>
        <w:t xml:space="preserve">du </w:t>
      </w:r>
      <w:r w:rsidRPr="00322B28">
        <w:rPr>
          <w:b w:val="0"/>
          <w:bCs w:val="0"/>
          <w:color w:val="000000"/>
        </w:rPr>
        <w:t>» ;</w:t>
      </w:r>
    </w:p>
    <w:p w14:paraId="2853EB6C" w14:textId="17BB782F" w:rsidR="00322B28" w:rsidRDefault="006A72C4" w:rsidP="00322B28">
      <w:r>
        <w:t>4°</w:t>
      </w:r>
      <w:r w:rsidR="00246793">
        <w:t xml:space="preserve"> L’article 12 est complété comme suit :</w:t>
      </w:r>
    </w:p>
    <w:p w14:paraId="3CA49C97" w14:textId="121817DD" w:rsidR="00246793" w:rsidRPr="00246793" w:rsidRDefault="00246793" w:rsidP="00322B28"/>
    <w:p w14:paraId="0080F530" w14:textId="77AF45A8" w:rsidR="00246793" w:rsidRDefault="00246793" w:rsidP="002B0DC1">
      <w:pPr>
        <w:jc w:val="both"/>
        <w:rPr>
          <w:bCs/>
          <w:lang w:eastAsia="fr-FR"/>
        </w:rPr>
      </w:pPr>
      <w:r>
        <w:rPr>
          <w:bCs/>
          <w:lang w:eastAsia="fr-FR"/>
        </w:rPr>
        <w:t>« </w:t>
      </w:r>
      <w:r w:rsidRPr="00246793">
        <w:rPr>
          <w:bCs/>
          <w:lang w:eastAsia="fr-FR"/>
        </w:rPr>
        <w:t xml:space="preserve">II. – </w:t>
      </w:r>
      <w:r w:rsidR="006A0043" w:rsidRPr="00075803">
        <w:rPr>
          <w:lang w:eastAsia="fr-FR"/>
        </w:rPr>
        <w:t xml:space="preserve">Les dispositions du présent II s’appliquent aux </w:t>
      </w:r>
      <w:r w:rsidR="006A0043">
        <w:rPr>
          <w:lang w:eastAsia="fr-FR"/>
        </w:rPr>
        <w:t>moteurs</w:t>
      </w:r>
      <w:r w:rsidR="006A0043" w:rsidRPr="00075803">
        <w:rPr>
          <w:lang w:eastAsia="fr-FR"/>
        </w:rPr>
        <w:t xml:space="preserve"> de puissance supérieure ou égale à 15 MW dans les délais mentionnés </w:t>
      </w:r>
      <w:r w:rsidR="00D9011B">
        <w:rPr>
          <w:lang w:eastAsia="fr-FR"/>
        </w:rPr>
        <w:t>au VII de l’article 3</w:t>
      </w:r>
      <w:r w:rsidR="006A0043" w:rsidRPr="00075803">
        <w:rPr>
          <w:lang w:eastAsia="fr-FR"/>
        </w:rPr>
        <w:t xml:space="preserve"> du présent arrêté.</w:t>
      </w:r>
    </w:p>
    <w:p w14:paraId="10636A89" w14:textId="77777777" w:rsidR="00B418E4" w:rsidRPr="00246793" w:rsidRDefault="00B418E4" w:rsidP="002B0DC1">
      <w:pPr>
        <w:jc w:val="both"/>
        <w:rPr>
          <w:bCs/>
          <w:lang w:eastAsia="fr-FR"/>
        </w:rPr>
      </w:pPr>
    </w:p>
    <w:p w14:paraId="6E4AE95C" w14:textId="32E241C1" w:rsidR="00246793" w:rsidRPr="00B07376" w:rsidRDefault="00246793" w:rsidP="002B0DC1">
      <w:pPr>
        <w:jc w:val="both"/>
        <w:rPr>
          <w:bCs/>
          <w:lang w:eastAsia="fr-FR"/>
        </w:rPr>
      </w:pPr>
      <w:r w:rsidRPr="00B07376">
        <w:rPr>
          <w:bCs/>
          <w:lang w:eastAsia="fr-FR"/>
        </w:rPr>
        <w:t>« </w:t>
      </w:r>
      <w:proofErr w:type="gramStart"/>
      <w:r w:rsidRPr="00B07376">
        <w:rPr>
          <w:bCs/>
          <w:lang w:eastAsia="fr-FR"/>
        </w:rPr>
        <w:t>a</w:t>
      </w:r>
      <w:proofErr w:type="gramEnd"/>
      <w:r w:rsidRPr="00B07376">
        <w:rPr>
          <w:bCs/>
          <w:lang w:eastAsia="fr-FR"/>
        </w:rPr>
        <w:t xml:space="preserve">) Moteurs </w:t>
      </w:r>
      <w:r w:rsidR="00391DCD" w:rsidRPr="00B07376">
        <w:rPr>
          <w:bCs/>
          <w:lang w:eastAsia="fr-FR"/>
        </w:rPr>
        <w:t xml:space="preserve">dont l’autorisation a été délivrée </w:t>
      </w:r>
      <w:r w:rsidR="006B21BB" w:rsidRPr="00B07376">
        <w:rPr>
          <w:bCs/>
          <w:lang w:eastAsia="fr-FR"/>
        </w:rPr>
        <w:t>à compter du</w:t>
      </w:r>
      <w:r w:rsidRPr="00B07376">
        <w:rPr>
          <w:bCs/>
          <w:lang w:eastAsia="fr-FR"/>
        </w:rPr>
        <w:t xml:space="preserve"> 17 août 2017</w:t>
      </w:r>
    </w:p>
    <w:p w14:paraId="4AE74DBB" w14:textId="77777777" w:rsidR="00246793" w:rsidRPr="00246793" w:rsidRDefault="00246793" w:rsidP="002B0DC1">
      <w:pPr>
        <w:jc w:val="both"/>
        <w:rPr>
          <w:b/>
          <w:i/>
          <w:iCs/>
          <w:lang w:eastAsia="fr-FR"/>
        </w:rPr>
      </w:pPr>
    </w:p>
    <w:p w14:paraId="777D8EDF" w14:textId="7B57E550" w:rsidR="00246793" w:rsidRPr="00246793" w:rsidRDefault="00246793" w:rsidP="002B0DC1">
      <w:pPr>
        <w:jc w:val="both"/>
        <w:rPr>
          <w:bCs/>
          <w:lang w:eastAsia="fr-FR"/>
        </w:rPr>
      </w:pPr>
      <w:r>
        <w:rPr>
          <w:bCs/>
          <w:lang w:eastAsia="fr-FR"/>
        </w:rPr>
        <w:t>« </w:t>
      </w:r>
      <w:r w:rsidRPr="00246793">
        <w:rPr>
          <w:bCs/>
          <w:lang w:eastAsia="fr-FR"/>
        </w:rPr>
        <w:t>Dans le cas des moteurs fonctionnant au fioul domestique, les valeurs limite d’émission ne s’appliquent qu’aux moteurs alternatifs.</w:t>
      </w:r>
    </w:p>
    <w:p w14:paraId="26DEEB90" w14:textId="52F1AB52" w:rsidR="00246793" w:rsidRPr="00246793" w:rsidRDefault="00246793" w:rsidP="002B0DC1">
      <w:pPr>
        <w:jc w:val="both"/>
        <w:rPr>
          <w:bCs/>
          <w:lang w:eastAsia="fr-FR"/>
        </w:rPr>
      </w:pPr>
      <w:r>
        <w:rPr>
          <w:bCs/>
          <w:lang w:eastAsia="fr-FR"/>
        </w:rPr>
        <w:t>« </w:t>
      </w:r>
      <w:r w:rsidRPr="00246793">
        <w:rPr>
          <w:bCs/>
          <w:lang w:eastAsia="fr-FR"/>
        </w:rPr>
        <w:t>Dans le cas des moteurs fonctionnant au gaz naturel, les valeurs limites d’émission ne s’appliquent qu’aux moteurs à allumage par étincelle et aux moteurs à deux combustibles. Elles ne s’appliquent pas aux moteurs diesel au gaz naturel.</w:t>
      </w:r>
    </w:p>
    <w:p w14:paraId="50FFB22D" w14:textId="77777777" w:rsidR="00246793" w:rsidRPr="00246793" w:rsidRDefault="00246793" w:rsidP="002B0DC1">
      <w:pPr>
        <w:jc w:val="both"/>
        <w:rPr>
          <w:bCs/>
          <w:lang w:eastAsia="fr-FR"/>
        </w:rPr>
      </w:pPr>
    </w:p>
    <w:p w14:paraId="7C635165" w14:textId="124D071B" w:rsidR="00246793" w:rsidRPr="00246793" w:rsidRDefault="00246793" w:rsidP="002B0DC1">
      <w:pPr>
        <w:jc w:val="both"/>
        <w:rPr>
          <w:bCs/>
          <w:lang w:eastAsia="fr-FR"/>
        </w:rPr>
      </w:pPr>
      <w:r>
        <w:rPr>
          <w:bCs/>
          <w:lang w:eastAsia="fr-FR"/>
        </w:rPr>
        <w:t>« </w:t>
      </w:r>
      <w:r w:rsidRPr="00246793">
        <w:rPr>
          <w:bCs/>
          <w:lang w:eastAsia="fr-FR"/>
        </w:rPr>
        <w:t xml:space="preserve">Pour les polluants et combustibles pour lesquels aucune valeur limite d’émission n’est mentionnée dans le tableau ci-dessous, les valeurs limites applicables sont celles du </w:t>
      </w:r>
      <w:r w:rsidR="00316A25">
        <w:rPr>
          <w:bCs/>
          <w:lang w:eastAsia="fr-FR"/>
        </w:rPr>
        <w:t xml:space="preserve">point a) du I </w:t>
      </w:r>
      <w:r w:rsidRPr="00246793">
        <w:rPr>
          <w:bCs/>
          <w:lang w:eastAsia="fr-FR"/>
        </w:rPr>
        <w:t>du présent article.</w:t>
      </w:r>
    </w:p>
    <w:p w14:paraId="093682DC" w14:textId="5DE416D6" w:rsidR="00246793" w:rsidRPr="00246793" w:rsidRDefault="00246793" w:rsidP="002B0DC1">
      <w:pPr>
        <w:jc w:val="both"/>
        <w:rPr>
          <w:bCs/>
          <w:lang w:eastAsia="fr-FR"/>
        </w:rPr>
      </w:pPr>
      <w:r>
        <w:rPr>
          <w:bCs/>
          <w:lang w:eastAsia="fr-FR"/>
        </w:rPr>
        <w:t>« </w:t>
      </w:r>
      <w:r w:rsidRPr="00246793">
        <w:rPr>
          <w:bCs/>
          <w:lang w:eastAsia="fr-FR"/>
        </w:rPr>
        <w:t xml:space="preserve">Pour les installations </w:t>
      </w:r>
      <w:r w:rsidR="00A31153">
        <w:rPr>
          <w:bCs/>
          <w:lang w:eastAsia="fr-FR"/>
        </w:rPr>
        <w:t xml:space="preserve">de combustion </w:t>
      </w:r>
      <w:r w:rsidRPr="00246793">
        <w:rPr>
          <w:bCs/>
          <w:lang w:eastAsia="fr-FR"/>
        </w:rPr>
        <w:t xml:space="preserve">exploitées moins de 500 heures par an, seules les dispositions </w:t>
      </w:r>
      <w:r w:rsidR="00316A25">
        <w:rPr>
          <w:bCs/>
          <w:lang w:eastAsia="fr-FR"/>
        </w:rPr>
        <w:t xml:space="preserve">du point </w:t>
      </w:r>
      <w:proofErr w:type="gramStart"/>
      <w:r w:rsidR="00316A25">
        <w:rPr>
          <w:bCs/>
          <w:lang w:eastAsia="fr-FR"/>
        </w:rPr>
        <w:t>a</w:t>
      </w:r>
      <w:proofErr w:type="gramEnd"/>
      <w:r w:rsidR="00316A25">
        <w:rPr>
          <w:bCs/>
          <w:lang w:eastAsia="fr-FR"/>
        </w:rPr>
        <w:t xml:space="preserve">) du I </w:t>
      </w:r>
      <w:r w:rsidRPr="00246793">
        <w:rPr>
          <w:bCs/>
          <w:lang w:eastAsia="fr-FR"/>
        </w:rPr>
        <w:t>de l’article 12 s’appliquent.</w:t>
      </w:r>
    </w:p>
    <w:p w14:paraId="0B46EC72" w14:textId="46657CA9" w:rsidR="00246793" w:rsidRPr="00246793" w:rsidRDefault="00246793" w:rsidP="002B0DC1">
      <w:pPr>
        <w:jc w:val="both"/>
        <w:rPr>
          <w:bCs/>
          <w:lang w:eastAsia="fr-FR"/>
        </w:rPr>
      </w:pPr>
      <w:r>
        <w:rPr>
          <w:bCs/>
          <w:lang w:eastAsia="fr-FR"/>
        </w:rPr>
        <w:t>« </w:t>
      </w:r>
      <w:r w:rsidRPr="00246793">
        <w:rPr>
          <w:bCs/>
          <w:lang w:eastAsia="fr-FR"/>
        </w:rPr>
        <w:t xml:space="preserve">Pour les installations </w:t>
      </w:r>
      <w:r w:rsidR="00A31153">
        <w:rPr>
          <w:bCs/>
          <w:lang w:eastAsia="fr-FR"/>
        </w:rPr>
        <w:t xml:space="preserve">de combustion </w:t>
      </w:r>
      <w:r w:rsidRPr="00246793">
        <w:rPr>
          <w:bCs/>
          <w:lang w:eastAsia="fr-FR"/>
        </w:rPr>
        <w:t xml:space="preserve">exploitées moins de 1500 heures par an, les </w:t>
      </w:r>
      <w:r w:rsidR="00A31153">
        <w:rPr>
          <w:bCs/>
          <w:lang w:eastAsia="fr-FR"/>
        </w:rPr>
        <w:t>valeurs limites d’émission</w:t>
      </w:r>
      <w:r w:rsidR="00A31153" w:rsidRPr="00246793">
        <w:rPr>
          <w:bCs/>
          <w:lang w:eastAsia="fr-FR"/>
        </w:rPr>
        <w:t xml:space="preserve"> </w:t>
      </w:r>
      <w:r w:rsidRPr="00246793">
        <w:rPr>
          <w:bCs/>
          <w:lang w:eastAsia="fr-FR"/>
        </w:rPr>
        <w:t>annuelles ne s’appliquent pas</w:t>
      </w:r>
      <w:r w:rsidR="00B418E4">
        <w:rPr>
          <w:bCs/>
          <w:lang w:eastAsia="fr-FR"/>
        </w:rPr>
        <w:t>.</w:t>
      </w:r>
      <w:r w:rsidRPr="00246793">
        <w:rPr>
          <w:bCs/>
          <w:lang w:eastAsia="fr-FR"/>
        </w:rPr>
        <w:t xml:space="preserve"> </w:t>
      </w:r>
    </w:p>
    <w:p w14:paraId="2ACFD9AF" w14:textId="77777777" w:rsidR="00246793" w:rsidRDefault="00246793" w:rsidP="00246793">
      <w:pPr>
        <w:jc w:val="both"/>
        <w:rPr>
          <w:rFonts w:ascii="Arial" w:hAnsi="Arial" w:cs="Arial"/>
          <w:bCs/>
          <w:color w:val="4A5E81"/>
          <w:sz w:val="21"/>
          <w:szCs w:val="21"/>
          <w:lang w:eastAsia="fr-FR"/>
        </w:rPr>
      </w:pPr>
    </w:p>
    <w:tbl>
      <w:tblPr>
        <w:tblW w:w="9493"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3"/>
        <w:gridCol w:w="1559"/>
        <w:gridCol w:w="709"/>
        <w:gridCol w:w="567"/>
        <w:gridCol w:w="572"/>
        <w:gridCol w:w="845"/>
        <w:gridCol w:w="623"/>
        <w:gridCol w:w="715"/>
        <w:gridCol w:w="753"/>
        <w:gridCol w:w="715"/>
        <w:gridCol w:w="1022"/>
      </w:tblGrid>
      <w:tr w:rsidR="00246793" w:rsidRPr="003648F5" w14:paraId="22327701" w14:textId="77777777" w:rsidTr="005D385E">
        <w:trPr>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02DED9A8"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Combustible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3A50B5A8"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Puissance P (MW)</w:t>
            </w:r>
          </w:p>
        </w:tc>
        <w:tc>
          <w:tcPr>
            <w:tcW w:w="1848"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4555CDA4"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SO</w:t>
            </w:r>
            <w:r w:rsidRPr="003648F5">
              <w:rPr>
                <w:b/>
                <w:bCs/>
                <w:color w:val="FFFFFF"/>
                <w:sz w:val="21"/>
                <w:szCs w:val="21"/>
                <w:vertAlign w:val="subscript"/>
                <w:lang w:eastAsia="fr-FR"/>
              </w:rPr>
              <w:t>2</w:t>
            </w:r>
            <w:r w:rsidRPr="003648F5">
              <w:rPr>
                <w:b/>
                <w:bCs/>
                <w:color w:val="FFFFFF"/>
                <w:sz w:val="21"/>
                <w:szCs w:val="21"/>
                <w:lang w:eastAsia="fr-FR"/>
              </w:rPr>
              <w:t xml:space="preserve"> (mg/Nm</w:t>
            </w:r>
            <w:r w:rsidRPr="003648F5">
              <w:rPr>
                <w:b/>
                <w:bCs/>
                <w:color w:val="FFFFFF"/>
                <w:sz w:val="21"/>
                <w:szCs w:val="21"/>
                <w:vertAlign w:val="superscript"/>
                <w:lang w:eastAsia="fr-FR"/>
              </w:rPr>
              <w:t>3</w:t>
            </w:r>
            <w:r w:rsidRPr="003648F5">
              <w:rPr>
                <w:b/>
                <w:bCs/>
                <w:color w:val="FFFFFF"/>
                <w:sz w:val="21"/>
                <w:szCs w:val="21"/>
                <w:lang w:eastAsia="fr-FR"/>
              </w:rPr>
              <w:t>)</w:t>
            </w:r>
          </w:p>
        </w:tc>
        <w:tc>
          <w:tcPr>
            <w:tcW w:w="2183"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07BEF4BB"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NO</w:t>
            </w:r>
            <w:r>
              <w:rPr>
                <w:b/>
                <w:bCs/>
                <w:color w:val="FFFFFF"/>
                <w:sz w:val="21"/>
                <w:szCs w:val="21"/>
                <w:lang w:eastAsia="fr-FR"/>
              </w:rPr>
              <w:t>x</w:t>
            </w:r>
            <w:r w:rsidRPr="003648F5">
              <w:rPr>
                <w:b/>
                <w:bCs/>
                <w:color w:val="FFFFFF"/>
                <w:sz w:val="21"/>
                <w:szCs w:val="21"/>
                <w:lang w:eastAsia="fr-FR"/>
              </w:rPr>
              <w:t xml:space="preserve"> (mg/Nm</w:t>
            </w:r>
            <w:r w:rsidRPr="003648F5">
              <w:rPr>
                <w:b/>
                <w:bCs/>
                <w:color w:val="FFFFFF"/>
                <w:sz w:val="21"/>
                <w:szCs w:val="21"/>
                <w:vertAlign w:val="superscript"/>
                <w:lang w:eastAsia="fr-FR"/>
              </w:rPr>
              <w:t>3</w:t>
            </w:r>
            <w:r w:rsidRPr="003648F5">
              <w:rPr>
                <w:b/>
                <w:bCs/>
                <w:color w:val="FFFFFF"/>
                <w:sz w:val="21"/>
                <w:szCs w:val="21"/>
                <w:lang w:eastAsia="fr-FR"/>
              </w:rPr>
              <w:t>)</w:t>
            </w:r>
          </w:p>
        </w:tc>
        <w:tc>
          <w:tcPr>
            <w:tcW w:w="2490"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43BF6FD7"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Poussières (mg/Nm</w:t>
            </w:r>
            <w:r w:rsidRPr="003648F5">
              <w:rPr>
                <w:b/>
                <w:bCs/>
                <w:color w:val="FFFFFF"/>
                <w:sz w:val="21"/>
                <w:szCs w:val="21"/>
                <w:vertAlign w:val="superscript"/>
                <w:lang w:eastAsia="fr-FR"/>
              </w:rPr>
              <w:t>3</w:t>
            </w:r>
            <w:r w:rsidRPr="003648F5">
              <w:rPr>
                <w:b/>
                <w:bCs/>
                <w:color w:val="FFFFFF"/>
                <w:sz w:val="21"/>
                <w:szCs w:val="21"/>
                <w:lang w:eastAsia="fr-FR"/>
              </w:rPr>
              <w:t>)</w:t>
            </w:r>
          </w:p>
        </w:tc>
      </w:tr>
      <w:tr w:rsidR="00246793" w:rsidRPr="003648F5" w14:paraId="7F3F9689" w14:textId="77777777" w:rsidTr="005D385E">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50C2A6C" w14:textId="77777777" w:rsidR="00246793" w:rsidRPr="003648F5" w:rsidRDefault="00246793" w:rsidP="005D385E">
            <w:pPr>
              <w:jc w:val="center"/>
              <w:rPr>
                <w:b/>
                <w:bCs/>
                <w:color w:val="FFFFFF"/>
                <w:sz w:val="21"/>
                <w:szCs w:val="21"/>
                <w:lang w:eastAsia="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3EC42888" w14:textId="77777777" w:rsidR="00246793" w:rsidRPr="003648F5" w:rsidRDefault="00246793" w:rsidP="005D385E">
            <w:pPr>
              <w:jc w:val="center"/>
              <w:rPr>
                <w:b/>
                <w:bCs/>
                <w:color w:val="FFFFFF"/>
                <w:sz w:val="21"/>
                <w:szCs w:val="21"/>
                <w:lang w:eastAsia="fr-FR"/>
              </w:rPr>
            </w:pPr>
          </w:p>
        </w:tc>
        <w:tc>
          <w:tcPr>
            <w:tcW w:w="709"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653C532"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A</w:t>
            </w:r>
          </w:p>
        </w:tc>
        <w:tc>
          <w:tcPr>
            <w:tcW w:w="567" w:type="dxa"/>
            <w:tcBorders>
              <w:top w:val="single" w:sz="4" w:space="0" w:color="auto"/>
              <w:left w:val="single" w:sz="4" w:space="0" w:color="auto"/>
              <w:bottom w:val="single" w:sz="4" w:space="0" w:color="auto"/>
              <w:right w:val="single" w:sz="4" w:space="0" w:color="auto"/>
            </w:tcBorders>
            <w:shd w:val="clear" w:color="auto" w:fill="5C75A2"/>
            <w:vAlign w:val="center"/>
          </w:tcPr>
          <w:p w14:paraId="56C0D632"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M</w:t>
            </w:r>
          </w:p>
        </w:tc>
        <w:tc>
          <w:tcPr>
            <w:tcW w:w="572" w:type="dxa"/>
            <w:tcBorders>
              <w:top w:val="single" w:sz="4" w:space="0" w:color="auto"/>
              <w:left w:val="single" w:sz="4" w:space="0" w:color="auto"/>
              <w:bottom w:val="single" w:sz="4" w:space="0" w:color="auto"/>
              <w:right w:val="single" w:sz="4" w:space="0" w:color="auto"/>
            </w:tcBorders>
            <w:shd w:val="clear" w:color="auto" w:fill="5C75A2"/>
            <w:vAlign w:val="center"/>
          </w:tcPr>
          <w:p w14:paraId="3EE61D7F"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J</w:t>
            </w:r>
          </w:p>
        </w:tc>
        <w:tc>
          <w:tcPr>
            <w:tcW w:w="845"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1D06691B"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A</w:t>
            </w:r>
          </w:p>
        </w:tc>
        <w:tc>
          <w:tcPr>
            <w:tcW w:w="623" w:type="dxa"/>
            <w:tcBorders>
              <w:top w:val="single" w:sz="4" w:space="0" w:color="auto"/>
              <w:left w:val="single" w:sz="4" w:space="0" w:color="auto"/>
              <w:bottom w:val="single" w:sz="4" w:space="0" w:color="auto"/>
              <w:right w:val="single" w:sz="4" w:space="0" w:color="auto"/>
            </w:tcBorders>
            <w:shd w:val="clear" w:color="auto" w:fill="5C75A2"/>
            <w:vAlign w:val="center"/>
          </w:tcPr>
          <w:p w14:paraId="19FAEDBA"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M</w:t>
            </w:r>
          </w:p>
        </w:tc>
        <w:tc>
          <w:tcPr>
            <w:tcW w:w="715" w:type="dxa"/>
            <w:tcBorders>
              <w:top w:val="single" w:sz="4" w:space="0" w:color="auto"/>
              <w:left w:val="single" w:sz="4" w:space="0" w:color="auto"/>
              <w:bottom w:val="single" w:sz="4" w:space="0" w:color="auto"/>
              <w:right w:val="single" w:sz="4" w:space="0" w:color="auto"/>
            </w:tcBorders>
            <w:shd w:val="clear" w:color="auto" w:fill="5C75A2"/>
            <w:vAlign w:val="center"/>
          </w:tcPr>
          <w:p w14:paraId="4A7EC5E5"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J</w:t>
            </w:r>
          </w:p>
        </w:tc>
        <w:tc>
          <w:tcPr>
            <w:tcW w:w="753"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7C7ACD69"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A</w:t>
            </w:r>
          </w:p>
        </w:tc>
        <w:tc>
          <w:tcPr>
            <w:tcW w:w="715" w:type="dxa"/>
            <w:tcBorders>
              <w:top w:val="single" w:sz="4" w:space="0" w:color="auto"/>
              <w:left w:val="single" w:sz="4" w:space="0" w:color="auto"/>
              <w:bottom w:val="single" w:sz="4" w:space="0" w:color="auto"/>
              <w:right w:val="single" w:sz="4" w:space="0" w:color="auto"/>
            </w:tcBorders>
            <w:shd w:val="clear" w:color="auto" w:fill="5C75A2"/>
            <w:vAlign w:val="center"/>
          </w:tcPr>
          <w:p w14:paraId="0E273294"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M</w:t>
            </w:r>
          </w:p>
        </w:tc>
        <w:tc>
          <w:tcPr>
            <w:tcW w:w="1022" w:type="dxa"/>
            <w:tcBorders>
              <w:top w:val="single" w:sz="4" w:space="0" w:color="auto"/>
              <w:left w:val="single" w:sz="4" w:space="0" w:color="auto"/>
              <w:bottom w:val="single" w:sz="4" w:space="0" w:color="auto"/>
              <w:right w:val="single" w:sz="4" w:space="0" w:color="auto"/>
            </w:tcBorders>
            <w:shd w:val="clear" w:color="auto" w:fill="5C75A2"/>
            <w:vAlign w:val="center"/>
          </w:tcPr>
          <w:p w14:paraId="10CC0DF1"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J</w:t>
            </w:r>
          </w:p>
        </w:tc>
      </w:tr>
      <w:tr w:rsidR="00246793" w:rsidRPr="003648F5" w14:paraId="03AA426C" w14:textId="77777777" w:rsidTr="005D385E">
        <w:trPr>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457F0A9E" w14:textId="77777777" w:rsidR="00246793" w:rsidRPr="003648F5" w:rsidRDefault="00246793" w:rsidP="005D385E">
            <w:pPr>
              <w:jc w:val="center"/>
              <w:rPr>
                <w:b/>
                <w:bCs/>
                <w:sz w:val="21"/>
                <w:szCs w:val="21"/>
                <w:lang w:eastAsia="fr-FR"/>
              </w:rPr>
            </w:pPr>
            <w:r w:rsidRPr="003648F5">
              <w:rPr>
                <w:b/>
                <w:bCs/>
                <w:sz w:val="21"/>
                <w:szCs w:val="21"/>
                <w:lang w:eastAsia="fr-FR"/>
              </w:rPr>
              <w:t>Fioul domestique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35C72B30" w14:textId="77777777" w:rsidR="00246793" w:rsidRPr="003648F5" w:rsidRDefault="00246793" w:rsidP="005D385E">
            <w:pPr>
              <w:jc w:val="center"/>
              <w:rPr>
                <w:b/>
                <w:bCs/>
                <w:sz w:val="21"/>
                <w:szCs w:val="21"/>
                <w:lang w:eastAsia="fr-FR"/>
              </w:rPr>
            </w:pPr>
            <w:r w:rsidRPr="003648F5">
              <w:rPr>
                <w:b/>
                <w:bCs/>
                <w:sz w:val="21"/>
                <w:szCs w:val="21"/>
                <w:lang w:eastAsia="fr-FR"/>
              </w:rPr>
              <w:t>50 ≤ P &lt; 100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4D09778" w14:textId="77777777" w:rsidR="00246793" w:rsidRPr="003648F5" w:rsidRDefault="00246793" w:rsidP="005D385E">
            <w:pPr>
              <w:jc w:val="center"/>
              <w:rPr>
                <w:b/>
                <w:bCs/>
                <w:sz w:val="21"/>
                <w:szCs w:val="21"/>
                <w:lang w:eastAsia="fr-FR"/>
              </w:rPr>
            </w:pPr>
            <w:r>
              <w:rPr>
                <w:b/>
                <w:bCs/>
                <w:sz w:val="21"/>
                <w:szCs w:val="21"/>
                <w:lang w:eastAsia="fr-FR"/>
              </w:rPr>
              <w:t>100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14FB7ED" w14:textId="77777777" w:rsidR="00246793" w:rsidRPr="003648F5" w:rsidRDefault="00246793" w:rsidP="005D385E">
            <w:pPr>
              <w:jc w:val="center"/>
              <w:rPr>
                <w:b/>
                <w:bCs/>
                <w:sz w:val="21"/>
                <w:szCs w:val="21"/>
                <w:lang w:eastAsia="fr-FR"/>
              </w:rPr>
            </w:pPr>
            <w:r>
              <w:rPr>
                <w:b/>
                <w:bCs/>
                <w:sz w:val="21"/>
                <w:szCs w:val="21"/>
                <w:lang w:eastAsia="fr-FR"/>
              </w:rPr>
              <w:t>60</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4FD711" w14:textId="77777777" w:rsidR="00246793" w:rsidRPr="003648F5" w:rsidRDefault="00246793" w:rsidP="005D385E">
            <w:pPr>
              <w:jc w:val="center"/>
              <w:rPr>
                <w:b/>
                <w:bCs/>
                <w:sz w:val="21"/>
                <w:szCs w:val="21"/>
                <w:lang w:eastAsia="fr-FR"/>
              </w:rPr>
            </w:pPr>
            <w:r>
              <w:rPr>
                <w:b/>
                <w:bCs/>
                <w:sz w:val="21"/>
                <w:szCs w:val="21"/>
                <w:lang w:eastAsia="fr-FR"/>
              </w:rPr>
              <w:t>66</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3FA6417" w14:textId="77777777" w:rsidR="00246793" w:rsidRDefault="00246793" w:rsidP="005D385E">
            <w:pPr>
              <w:jc w:val="center"/>
              <w:rPr>
                <w:b/>
                <w:bCs/>
                <w:sz w:val="21"/>
                <w:szCs w:val="21"/>
                <w:lang w:eastAsia="fr-FR"/>
              </w:rPr>
            </w:pPr>
            <w:r>
              <w:rPr>
                <w:b/>
                <w:bCs/>
                <w:sz w:val="21"/>
                <w:szCs w:val="21"/>
                <w:lang w:eastAsia="fr-FR"/>
              </w:rPr>
              <w:t>190</w:t>
            </w:r>
          </w:p>
          <w:p w14:paraId="47DEBA0B" w14:textId="77777777" w:rsidR="00246793" w:rsidRPr="003648F5" w:rsidRDefault="00246793" w:rsidP="005D385E">
            <w:pPr>
              <w:jc w:val="center"/>
              <w:rPr>
                <w:b/>
                <w:bCs/>
                <w:sz w:val="21"/>
                <w:szCs w:val="21"/>
                <w:lang w:eastAsia="fr-FR"/>
              </w:rPr>
            </w:pPr>
            <w:r>
              <w:rPr>
                <w:b/>
                <w:bCs/>
                <w:sz w:val="21"/>
                <w:szCs w:val="21"/>
                <w:lang w:eastAsia="fr-FR"/>
              </w:rPr>
              <w:t>(1)</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6942338" w14:textId="77777777" w:rsidR="00246793" w:rsidRPr="003648F5" w:rsidRDefault="00246793" w:rsidP="005D385E">
            <w:pPr>
              <w:jc w:val="center"/>
              <w:rPr>
                <w:b/>
                <w:bCs/>
                <w:sz w:val="21"/>
                <w:szCs w:val="21"/>
                <w:lang w:eastAsia="fr-FR"/>
              </w:rPr>
            </w:pPr>
            <w:r>
              <w:rPr>
                <w:b/>
                <w:bCs/>
                <w:sz w:val="21"/>
                <w:szCs w:val="21"/>
                <w:lang w:eastAsia="fr-FR"/>
              </w:rPr>
              <w:t>225</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C17F269" w14:textId="77777777" w:rsidR="00246793" w:rsidRPr="003648F5" w:rsidRDefault="00246793" w:rsidP="005D385E">
            <w:pPr>
              <w:jc w:val="center"/>
              <w:rPr>
                <w:b/>
                <w:bCs/>
                <w:sz w:val="21"/>
                <w:szCs w:val="21"/>
                <w:lang w:eastAsia="fr-FR"/>
              </w:rPr>
            </w:pPr>
            <w:r>
              <w:rPr>
                <w:b/>
                <w:bCs/>
                <w:sz w:val="21"/>
                <w:szCs w:val="21"/>
                <w:lang w:eastAsia="fr-FR"/>
              </w:rPr>
              <w:t>247,5</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DBB8287" w14:textId="77777777" w:rsidR="00246793" w:rsidRPr="003648F5" w:rsidRDefault="00246793" w:rsidP="005D385E">
            <w:pPr>
              <w:jc w:val="center"/>
              <w:rPr>
                <w:b/>
                <w:bCs/>
                <w:sz w:val="21"/>
                <w:szCs w:val="21"/>
                <w:lang w:eastAsia="fr-FR"/>
              </w:rPr>
            </w:pPr>
            <w:r>
              <w:rPr>
                <w:b/>
                <w:bCs/>
                <w:sz w:val="21"/>
                <w:szCs w:val="21"/>
                <w:lang w:eastAsia="fr-FR"/>
              </w:rPr>
              <w:t>10</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8B73D3" w14:textId="77777777" w:rsidR="00246793" w:rsidRPr="003648F5" w:rsidRDefault="00246793" w:rsidP="005D385E">
            <w:pPr>
              <w:jc w:val="center"/>
              <w:rPr>
                <w:b/>
                <w:bCs/>
                <w:sz w:val="21"/>
                <w:szCs w:val="21"/>
                <w:lang w:eastAsia="fr-FR"/>
              </w:rPr>
            </w:pPr>
            <w:r>
              <w:rPr>
                <w:b/>
                <w:bCs/>
                <w:sz w:val="21"/>
                <w:szCs w:val="21"/>
                <w:lang w:eastAsia="fr-FR"/>
              </w:rPr>
              <w:t>20</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E72605" w14:textId="77777777" w:rsidR="00246793" w:rsidRPr="003648F5" w:rsidRDefault="00246793" w:rsidP="005D385E">
            <w:pPr>
              <w:jc w:val="center"/>
              <w:rPr>
                <w:b/>
                <w:bCs/>
                <w:sz w:val="21"/>
                <w:szCs w:val="21"/>
                <w:lang w:eastAsia="fr-FR"/>
              </w:rPr>
            </w:pPr>
            <w:r>
              <w:rPr>
                <w:b/>
                <w:bCs/>
                <w:sz w:val="21"/>
                <w:szCs w:val="21"/>
                <w:lang w:eastAsia="fr-FR"/>
              </w:rPr>
              <w:t>20</w:t>
            </w:r>
          </w:p>
        </w:tc>
      </w:tr>
      <w:tr w:rsidR="00246793" w:rsidRPr="003648F5" w14:paraId="7E52D1FE" w14:textId="77777777" w:rsidTr="005D385E">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C2C9FB" w14:textId="77777777" w:rsidR="00246793" w:rsidRPr="003648F5" w:rsidRDefault="00246793" w:rsidP="005D385E">
            <w:pPr>
              <w:rPr>
                <w:b/>
                <w:bCs/>
                <w:sz w:val="21"/>
                <w:szCs w:val="21"/>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0CCB6420" w14:textId="77777777" w:rsidR="00246793" w:rsidRPr="003648F5" w:rsidRDefault="00246793" w:rsidP="005D385E">
            <w:pPr>
              <w:jc w:val="center"/>
              <w:rPr>
                <w:b/>
                <w:bCs/>
                <w:sz w:val="21"/>
                <w:szCs w:val="21"/>
                <w:lang w:eastAsia="fr-FR"/>
              </w:rPr>
            </w:pPr>
            <w:r w:rsidRPr="003648F5">
              <w:rPr>
                <w:b/>
                <w:bCs/>
                <w:sz w:val="21"/>
                <w:szCs w:val="21"/>
                <w:lang w:eastAsia="fr-FR"/>
              </w:rPr>
              <w:t>100 ≤ P &lt; 300</w:t>
            </w:r>
          </w:p>
        </w:tc>
        <w:tc>
          <w:tcPr>
            <w:tcW w:w="70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CCCD1B" w14:textId="77777777" w:rsidR="00246793" w:rsidRPr="003648F5" w:rsidRDefault="00246793" w:rsidP="005D385E">
            <w:pPr>
              <w:jc w:val="center"/>
              <w:rPr>
                <w:b/>
                <w:bCs/>
                <w:sz w:val="21"/>
                <w:szCs w:val="21"/>
                <w:lang w:eastAsia="fr-FR"/>
              </w:rPr>
            </w:pPr>
          </w:p>
        </w:tc>
        <w:tc>
          <w:tcPr>
            <w:tcW w:w="567"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8E56876" w14:textId="77777777" w:rsidR="00246793" w:rsidRPr="003648F5" w:rsidRDefault="00246793" w:rsidP="005D385E">
            <w:pPr>
              <w:jc w:val="center"/>
              <w:rPr>
                <w:b/>
                <w:bCs/>
                <w:sz w:val="21"/>
                <w:szCs w:val="21"/>
                <w:lang w:eastAsia="fr-FR"/>
              </w:rPr>
            </w:pPr>
          </w:p>
        </w:tc>
        <w:tc>
          <w:tcPr>
            <w:tcW w:w="572"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3E5672F" w14:textId="77777777" w:rsidR="00246793" w:rsidRPr="003648F5" w:rsidRDefault="00246793" w:rsidP="005D385E">
            <w:pPr>
              <w:jc w:val="center"/>
              <w:rPr>
                <w:b/>
                <w:bCs/>
                <w:sz w:val="21"/>
                <w:szCs w:val="21"/>
                <w:lang w:eastAsia="fr-FR"/>
              </w:rPr>
            </w:pPr>
          </w:p>
        </w:tc>
        <w:tc>
          <w:tcPr>
            <w:tcW w:w="84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B45AA1" w14:textId="77777777" w:rsidR="00246793" w:rsidRPr="003648F5" w:rsidRDefault="00246793" w:rsidP="005D385E">
            <w:pPr>
              <w:jc w:val="center"/>
              <w:rPr>
                <w:b/>
                <w:bCs/>
                <w:sz w:val="21"/>
                <w:szCs w:val="21"/>
                <w:lang w:eastAsia="fr-FR"/>
              </w:rPr>
            </w:pPr>
          </w:p>
        </w:tc>
        <w:tc>
          <w:tcPr>
            <w:tcW w:w="623"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C05A357"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F57F3B5" w14:textId="77777777" w:rsidR="00246793" w:rsidRPr="003648F5" w:rsidRDefault="00246793" w:rsidP="005D385E">
            <w:pPr>
              <w:jc w:val="center"/>
              <w:rPr>
                <w:b/>
                <w:bCs/>
                <w:sz w:val="21"/>
                <w:szCs w:val="21"/>
                <w:lang w:eastAsia="fr-FR"/>
              </w:rPr>
            </w:pPr>
          </w:p>
        </w:tc>
        <w:tc>
          <w:tcPr>
            <w:tcW w:w="7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C2D3BF3"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61A0E9" w14:textId="77777777" w:rsidR="00246793" w:rsidRPr="003648F5" w:rsidRDefault="00246793" w:rsidP="005D385E">
            <w:pPr>
              <w:jc w:val="center"/>
              <w:rPr>
                <w:b/>
                <w:bCs/>
                <w:sz w:val="21"/>
                <w:szCs w:val="21"/>
                <w:lang w:eastAsia="fr-FR"/>
              </w:rPr>
            </w:pPr>
          </w:p>
        </w:tc>
        <w:tc>
          <w:tcPr>
            <w:tcW w:w="102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66D6FF" w14:textId="77777777" w:rsidR="00246793" w:rsidRPr="003648F5" w:rsidRDefault="00246793" w:rsidP="005D385E">
            <w:pPr>
              <w:jc w:val="center"/>
              <w:rPr>
                <w:b/>
                <w:bCs/>
                <w:sz w:val="21"/>
                <w:szCs w:val="21"/>
                <w:lang w:eastAsia="fr-FR"/>
              </w:rPr>
            </w:pPr>
          </w:p>
        </w:tc>
      </w:tr>
      <w:tr w:rsidR="00246793" w:rsidRPr="003648F5" w14:paraId="54B5D0D1" w14:textId="77777777" w:rsidTr="005D385E">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F09EA" w14:textId="77777777" w:rsidR="00246793" w:rsidRPr="003648F5" w:rsidRDefault="00246793" w:rsidP="005D385E">
            <w:pPr>
              <w:rPr>
                <w:b/>
                <w:bCs/>
                <w:sz w:val="21"/>
                <w:szCs w:val="21"/>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553C2D99" w14:textId="77777777" w:rsidR="00246793" w:rsidRPr="003648F5" w:rsidRDefault="00246793" w:rsidP="005D385E">
            <w:pPr>
              <w:jc w:val="center"/>
              <w:rPr>
                <w:b/>
                <w:bCs/>
                <w:sz w:val="21"/>
                <w:szCs w:val="21"/>
                <w:lang w:eastAsia="fr-FR"/>
              </w:rPr>
            </w:pPr>
            <w:r w:rsidRPr="003648F5">
              <w:rPr>
                <w:b/>
                <w:bCs/>
                <w:sz w:val="21"/>
                <w:szCs w:val="21"/>
                <w:lang w:eastAsia="fr-FR"/>
              </w:rPr>
              <w:t>300 ≤ P</w:t>
            </w:r>
          </w:p>
        </w:tc>
        <w:tc>
          <w:tcPr>
            <w:tcW w:w="70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AE2D63" w14:textId="77777777" w:rsidR="00246793" w:rsidRPr="003648F5" w:rsidRDefault="00246793" w:rsidP="005D385E">
            <w:pPr>
              <w:jc w:val="center"/>
              <w:rPr>
                <w:b/>
                <w:bCs/>
                <w:sz w:val="21"/>
                <w:szCs w:val="21"/>
                <w:lang w:eastAsia="fr-FR"/>
              </w:rPr>
            </w:pPr>
          </w:p>
        </w:tc>
        <w:tc>
          <w:tcPr>
            <w:tcW w:w="567"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50FEA89" w14:textId="77777777" w:rsidR="00246793" w:rsidRPr="003648F5" w:rsidRDefault="00246793" w:rsidP="005D385E">
            <w:pPr>
              <w:jc w:val="center"/>
              <w:rPr>
                <w:b/>
                <w:bCs/>
                <w:sz w:val="21"/>
                <w:szCs w:val="21"/>
                <w:lang w:eastAsia="fr-FR"/>
              </w:rPr>
            </w:pPr>
          </w:p>
        </w:tc>
        <w:tc>
          <w:tcPr>
            <w:tcW w:w="572"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A54CC2" w14:textId="77777777" w:rsidR="00246793" w:rsidRPr="003648F5" w:rsidRDefault="00246793" w:rsidP="005D385E">
            <w:pPr>
              <w:jc w:val="center"/>
              <w:rPr>
                <w:b/>
                <w:bCs/>
                <w:sz w:val="21"/>
                <w:szCs w:val="21"/>
                <w:lang w:eastAsia="fr-FR"/>
              </w:rPr>
            </w:pPr>
          </w:p>
        </w:tc>
        <w:tc>
          <w:tcPr>
            <w:tcW w:w="84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7E7C4A" w14:textId="77777777" w:rsidR="00246793" w:rsidRPr="003648F5" w:rsidRDefault="00246793" w:rsidP="005D385E">
            <w:pPr>
              <w:jc w:val="center"/>
              <w:rPr>
                <w:b/>
                <w:bCs/>
                <w:sz w:val="21"/>
                <w:szCs w:val="21"/>
                <w:lang w:eastAsia="fr-FR"/>
              </w:rPr>
            </w:pPr>
          </w:p>
        </w:tc>
        <w:tc>
          <w:tcPr>
            <w:tcW w:w="623"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D7301E5"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1C6DF4" w14:textId="77777777" w:rsidR="00246793" w:rsidRPr="003648F5" w:rsidRDefault="00246793" w:rsidP="005D385E">
            <w:pPr>
              <w:jc w:val="center"/>
              <w:rPr>
                <w:b/>
                <w:bCs/>
                <w:sz w:val="21"/>
                <w:szCs w:val="21"/>
                <w:lang w:eastAsia="fr-FR"/>
              </w:rPr>
            </w:pPr>
          </w:p>
        </w:tc>
        <w:tc>
          <w:tcPr>
            <w:tcW w:w="7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DB31995"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E95135" w14:textId="77777777" w:rsidR="00246793" w:rsidRPr="003648F5" w:rsidRDefault="00246793" w:rsidP="005D385E">
            <w:pPr>
              <w:jc w:val="center"/>
              <w:rPr>
                <w:b/>
                <w:bCs/>
                <w:sz w:val="21"/>
                <w:szCs w:val="21"/>
                <w:lang w:eastAsia="fr-FR"/>
              </w:rPr>
            </w:pPr>
          </w:p>
        </w:tc>
        <w:tc>
          <w:tcPr>
            <w:tcW w:w="102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DD1D33" w14:textId="77777777" w:rsidR="00246793" w:rsidRPr="003648F5" w:rsidRDefault="00246793" w:rsidP="005D385E">
            <w:pPr>
              <w:jc w:val="center"/>
              <w:rPr>
                <w:b/>
                <w:bCs/>
                <w:sz w:val="21"/>
                <w:szCs w:val="21"/>
                <w:lang w:eastAsia="fr-FR"/>
              </w:rPr>
            </w:pPr>
          </w:p>
        </w:tc>
      </w:tr>
      <w:tr w:rsidR="00246793" w:rsidRPr="003648F5" w14:paraId="61BB7315" w14:textId="77777777" w:rsidTr="005D385E">
        <w:trPr>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5E18D0F8" w14:textId="77777777" w:rsidR="00246793" w:rsidRPr="003648F5" w:rsidRDefault="00246793" w:rsidP="005D385E">
            <w:pPr>
              <w:jc w:val="center"/>
              <w:rPr>
                <w:b/>
                <w:bCs/>
                <w:sz w:val="21"/>
                <w:szCs w:val="21"/>
                <w:lang w:eastAsia="fr-FR"/>
              </w:rPr>
            </w:pPr>
            <w:r w:rsidRPr="003648F5">
              <w:rPr>
                <w:b/>
                <w:bCs/>
                <w:sz w:val="21"/>
                <w:szCs w:val="21"/>
                <w:lang w:eastAsia="fr-FR"/>
              </w:rPr>
              <w:t>Fioul lourd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79159B46" w14:textId="77777777" w:rsidR="00246793" w:rsidRPr="003648F5" w:rsidRDefault="00246793" w:rsidP="005D385E">
            <w:pPr>
              <w:jc w:val="center"/>
              <w:rPr>
                <w:b/>
                <w:bCs/>
                <w:sz w:val="21"/>
                <w:szCs w:val="21"/>
                <w:lang w:eastAsia="fr-FR"/>
              </w:rPr>
            </w:pPr>
            <w:r w:rsidRPr="003648F5">
              <w:rPr>
                <w:b/>
                <w:bCs/>
                <w:sz w:val="21"/>
                <w:szCs w:val="21"/>
                <w:lang w:eastAsia="fr-FR"/>
              </w:rPr>
              <w:t>50 ≤ P &lt; 100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4CF2BCD2" w14:textId="77777777" w:rsidR="00246793" w:rsidRPr="003648F5" w:rsidRDefault="00246793" w:rsidP="005D385E">
            <w:pPr>
              <w:jc w:val="center"/>
              <w:rPr>
                <w:b/>
                <w:bCs/>
                <w:sz w:val="21"/>
                <w:szCs w:val="21"/>
                <w:lang w:eastAsia="fr-FR"/>
              </w:rPr>
            </w:pPr>
            <w:r>
              <w:rPr>
                <w:b/>
                <w:bCs/>
                <w:sz w:val="21"/>
                <w:szCs w:val="21"/>
                <w:lang w:eastAsia="fr-FR"/>
              </w:rPr>
              <w:t>100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742AFD0" w14:textId="77777777" w:rsidR="00246793" w:rsidRPr="003648F5" w:rsidRDefault="00246793" w:rsidP="005D385E">
            <w:pPr>
              <w:jc w:val="center"/>
              <w:rPr>
                <w:b/>
                <w:bCs/>
                <w:sz w:val="21"/>
                <w:szCs w:val="21"/>
                <w:lang w:eastAsia="fr-FR"/>
              </w:rPr>
            </w:pPr>
            <w:r>
              <w:rPr>
                <w:b/>
                <w:bCs/>
                <w:sz w:val="21"/>
                <w:szCs w:val="21"/>
                <w:lang w:eastAsia="fr-FR"/>
              </w:rPr>
              <w:t>110</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45F8B23" w14:textId="77777777" w:rsidR="00246793" w:rsidRPr="003648F5" w:rsidRDefault="00246793" w:rsidP="005D385E">
            <w:pPr>
              <w:jc w:val="center"/>
              <w:rPr>
                <w:b/>
                <w:bCs/>
                <w:sz w:val="21"/>
                <w:szCs w:val="21"/>
                <w:lang w:eastAsia="fr-FR"/>
              </w:rPr>
            </w:pPr>
            <w:r>
              <w:rPr>
                <w:b/>
                <w:bCs/>
                <w:sz w:val="21"/>
                <w:szCs w:val="21"/>
                <w:lang w:eastAsia="fr-FR"/>
              </w:rPr>
              <w:t>110</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069AFFC" w14:textId="77777777" w:rsidR="00246793" w:rsidRDefault="00246793" w:rsidP="005D385E">
            <w:pPr>
              <w:jc w:val="center"/>
              <w:rPr>
                <w:b/>
                <w:bCs/>
                <w:sz w:val="21"/>
                <w:szCs w:val="21"/>
                <w:lang w:eastAsia="fr-FR"/>
              </w:rPr>
            </w:pPr>
            <w:r>
              <w:rPr>
                <w:b/>
                <w:bCs/>
                <w:sz w:val="21"/>
                <w:szCs w:val="21"/>
                <w:lang w:eastAsia="fr-FR"/>
              </w:rPr>
              <w:t>190</w:t>
            </w:r>
          </w:p>
          <w:p w14:paraId="41910A2C" w14:textId="77777777" w:rsidR="00246793" w:rsidRPr="003648F5" w:rsidRDefault="00246793" w:rsidP="005D385E">
            <w:pPr>
              <w:jc w:val="center"/>
              <w:rPr>
                <w:b/>
                <w:bCs/>
                <w:sz w:val="21"/>
                <w:szCs w:val="21"/>
                <w:lang w:eastAsia="fr-FR"/>
              </w:rPr>
            </w:pPr>
            <w:r>
              <w:rPr>
                <w:b/>
                <w:bCs/>
                <w:sz w:val="21"/>
                <w:szCs w:val="21"/>
                <w:lang w:eastAsia="fr-FR"/>
              </w:rPr>
              <w:t>(1)(2)</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4401997" w14:textId="77777777" w:rsidR="00246793" w:rsidRPr="003648F5" w:rsidRDefault="00246793" w:rsidP="005D385E">
            <w:pPr>
              <w:jc w:val="center"/>
              <w:rPr>
                <w:b/>
                <w:bCs/>
                <w:sz w:val="21"/>
                <w:szCs w:val="21"/>
                <w:lang w:eastAsia="fr-FR"/>
              </w:rPr>
            </w:pPr>
            <w:r>
              <w:rPr>
                <w:b/>
                <w:bCs/>
                <w:sz w:val="21"/>
                <w:szCs w:val="21"/>
                <w:lang w:eastAsia="fr-FR"/>
              </w:rPr>
              <w:t>225</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A22AD5D" w14:textId="77777777" w:rsidR="00246793" w:rsidRPr="003648F5" w:rsidRDefault="00246793" w:rsidP="005D385E">
            <w:pPr>
              <w:jc w:val="center"/>
              <w:rPr>
                <w:b/>
                <w:bCs/>
                <w:sz w:val="21"/>
                <w:szCs w:val="21"/>
                <w:lang w:eastAsia="fr-FR"/>
              </w:rPr>
            </w:pPr>
            <w:r>
              <w:rPr>
                <w:b/>
                <w:bCs/>
                <w:sz w:val="21"/>
                <w:szCs w:val="21"/>
                <w:lang w:eastAsia="fr-FR"/>
              </w:rPr>
              <w:t>247,5</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F61BE32" w14:textId="77777777" w:rsidR="00246793" w:rsidRPr="003648F5" w:rsidRDefault="00246793" w:rsidP="005D385E">
            <w:pPr>
              <w:jc w:val="center"/>
              <w:rPr>
                <w:b/>
                <w:bCs/>
                <w:sz w:val="21"/>
                <w:szCs w:val="21"/>
                <w:lang w:eastAsia="fr-FR"/>
              </w:rPr>
            </w:pPr>
            <w:r>
              <w:rPr>
                <w:b/>
                <w:bCs/>
                <w:sz w:val="21"/>
                <w:szCs w:val="21"/>
                <w:lang w:eastAsia="fr-FR"/>
              </w:rPr>
              <w:t>10</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CA7634" w14:textId="77777777" w:rsidR="00246793" w:rsidRPr="003648F5" w:rsidRDefault="00246793" w:rsidP="005D385E">
            <w:pPr>
              <w:jc w:val="center"/>
              <w:rPr>
                <w:b/>
                <w:bCs/>
                <w:sz w:val="21"/>
                <w:szCs w:val="21"/>
                <w:lang w:eastAsia="fr-FR"/>
              </w:rPr>
            </w:pPr>
            <w:r>
              <w:rPr>
                <w:b/>
                <w:bCs/>
                <w:sz w:val="21"/>
                <w:szCs w:val="21"/>
                <w:lang w:eastAsia="fr-FR"/>
              </w:rPr>
              <w:t>20</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259469" w14:textId="77777777" w:rsidR="00246793" w:rsidRPr="003648F5" w:rsidRDefault="00246793" w:rsidP="005D385E">
            <w:pPr>
              <w:jc w:val="center"/>
              <w:rPr>
                <w:b/>
                <w:bCs/>
                <w:sz w:val="21"/>
                <w:szCs w:val="21"/>
                <w:lang w:eastAsia="fr-FR"/>
              </w:rPr>
            </w:pPr>
            <w:r>
              <w:rPr>
                <w:b/>
                <w:bCs/>
                <w:sz w:val="21"/>
                <w:szCs w:val="21"/>
                <w:lang w:eastAsia="fr-FR"/>
              </w:rPr>
              <w:t>20</w:t>
            </w:r>
          </w:p>
        </w:tc>
      </w:tr>
      <w:tr w:rsidR="00246793" w:rsidRPr="003648F5" w14:paraId="54E3F81F" w14:textId="77777777" w:rsidTr="005D385E">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ADEE4" w14:textId="77777777" w:rsidR="00246793" w:rsidRPr="003648F5" w:rsidRDefault="00246793" w:rsidP="005D385E">
            <w:pPr>
              <w:rPr>
                <w:b/>
                <w:bCs/>
                <w:sz w:val="21"/>
                <w:szCs w:val="21"/>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4085D11B" w14:textId="77777777" w:rsidR="00246793" w:rsidRPr="003648F5" w:rsidRDefault="00246793" w:rsidP="005D385E">
            <w:pPr>
              <w:jc w:val="center"/>
              <w:rPr>
                <w:b/>
                <w:bCs/>
                <w:sz w:val="21"/>
                <w:szCs w:val="21"/>
                <w:lang w:eastAsia="fr-FR"/>
              </w:rPr>
            </w:pPr>
            <w:r w:rsidRPr="003648F5">
              <w:rPr>
                <w:b/>
                <w:bCs/>
                <w:sz w:val="21"/>
                <w:szCs w:val="21"/>
                <w:lang w:eastAsia="fr-FR"/>
              </w:rPr>
              <w:t>100 ≤ P &lt; 300</w:t>
            </w:r>
          </w:p>
        </w:tc>
        <w:tc>
          <w:tcPr>
            <w:tcW w:w="70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8B3D172" w14:textId="77777777" w:rsidR="00246793" w:rsidRPr="003648F5" w:rsidRDefault="00246793" w:rsidP="005D385E">
            <w:pPr>
              <w:jc w:val="center"/>
              <w:rPr>
                <w:b/>
                <w:bCs/>
                <w:sz w:val="21"/>
                <w:szCs w:val="21"/>
                <w:lang w:eastAsia="fr-FR"/>
              </w:rPr>
            </w:pPr>
          </w:p>
        </w:tc>
        <w:tc>
          <w:tcPr>
            <w:tcW w:w="567"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576FE0B" w14:textId="77777777" w:rsidR="00246793" w:rsidRPr="003648F5" w:rsidRDefault="00246793" w:rsidP="005D385E">
            <w:pPr>
              <w:jc w:val="center"/>
              <w:rPr>
                <w:b/>
                <w:bCs/>
                <w:sz w:val="21"/>
                <w:szCs w:val="21"/>
                <w:lang w:eastAsia="fr-FR"/>
              </w:rPr>
            </w:pPr>
          </w:p>
        </w:tc>
        <w:tc>
          <w:tcPr>
            <w:tcW w:w="572"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0FCE0F5" w14:textId="77777777" w:rsidR="00246793" w:rsidRPr="003648F5" w:rsidRDefault="00246793" w:rsidP="005D385E">
            <w:pPr>
              <w:jc w:val="center"/>
              <w:rPr>
                <w:b/>
                <w:bCs/>
                <w:sz w:val="21"/>
                <w:szCs w:val="21"/>
                <w:lang w:eastAsia="fr-FR"/>
              </w:rPr>
            </w:pPr>
          </w:p>
        </w:tc>
        <w:tc>
          <w:tcPr>
            <w:tcW w:w="84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104F059A" w14:textId="77777777" w:rsidR="00246793" w:rsidRPr="003648F5" w:rsidRDefault="00246793" w:rsidP="005D385E">
            <w:pPr>
              <w:jc w:val="center"/>
              <w:rPr>
                <w:b/>
                <w:bCs/>
                <w:sz w:val="21"/>
                <w:szCs w:val="21"/>
                <w:lang w:eastAsia="fr-FR"/>
              </w:rPr>
            </w:pPr>
          </w:p>
        </w:tc>
        <w:tc>
          <w:tcPr>
            <w:tcW w:w="623"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69C51"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6F7B22F" w14:textId="77777777" w:rsidR="00246793" w:rsidRPr="003648F5" w:rsidRDefault="00246793" w:rsidP="005D385E">
            <w:pPr>
              <w:jc w:val="center"/>
              <w:rPr>
                <w:b/>
                <w:bCs/>
                <w:sz w:val="21"/>
                <w:szCs w:val="21"/>
                <w:lang w:eastAsia="fr-FR"/>
              </w:rPr>
            </w:pPr>
          </w:p>
        </w:tc>
        <w:tc>
          <w:tcPr>
            <w:tcW w:w="7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77B77FD"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B6E041" w14:textId="77777777" w:rsidR="00246793" w:rsidRPr="003648F5" w:rsidRDefault="00246793" w:rsidP="005D385E">
            <w:pPr>
              <w:jc w:val="center"/>
              <w:rPr>
                <w:b/>
                <w:bCs/>
                <w:sz w:val="21"/>
                <w:szCs w:val="21"/>
                <w:lang w:eastAsia="fr-FR"/>
              </w:rPr>
            </w:pPr>
          </w:p>
        </w:tc>
        <w:tc>
          <w:tcPr>
            <w:tcW w:w="102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C5F20F" w14:textId="77777777" w:rsidR="00246793" w:rsidRPr="003648F5" w:rsidRDefault="00246793" w:rsidP="005D385E">
            <w:pPr>
              <w:jc w:val="center"/>
              <w:rPr>
                <w:b/>
                <w:bCs/>
                <w:sz w:val="21"/>
                <w:szCs w:val="21"/>
                <w:lang w:eastAsia="fr-FR"/>
              </w:rPr>
            </w:pPr>
          </w:p>
        </w:tc>
      </w:tr>
      <w:tr w:rsidR="00246793" w:rsidRPr="003648F5" w14:paraId="43F89FE7" w14:textId="77777777" w:rsidTr="005D385E">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2B2D3" w14:textId="77777777" w:rsidR="00246793" w:rsidRPr="003648F5" w:rsidRDefault="00246793" w:rsidP="005D385E">
            <w:pPr>
              <w:rPr>
                <w:b/>
                <w:bCs/>
                <w:sz w:val="21"/>
                <w:szCs w:val="21"/>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0A832245" w14:textId="77777777" w:rsidR="00246793" w:rsidRPr="003648F5" w:rsidRDefault="00246793" w:rsidP="005D385E">
            <w:pPr>
              <w:jc w:val="center"/>
              <w:rPr>
                <w:b/>
                <w:bCs/>
                <w:sz w:val="21"/>
                <w:szCs w:val="21"/>
                <w:lang w:eastAsia="fr-FR"/>
              </w:rPr>
            </w:pPr>
            <w:r w:rsidRPr="003648F5">
              <w:rPr>
                <w:b/>
                <w:bCs/>
                <w:sz w:val="21"/>
                <w:szCs w:val="21"/>
                <w:lang w:eastAsia="fr-FR"/>
              </w:rPr>
              <w:t>300 ≤ P</w:t>
            </w:r>
          </w:p>
        </w:tc>
        <w:tc>
          <w:tcPr>
            <w:tcW w:w="70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63C66DD5" w14:textId="77777777" w:rsidR="00246793" w:rsidRPr="003648F5" w:rsidRDefault="00246793" w:rsidP="005D385E">
            <w:pPr>
              <w:jc w:val="center"/>
              <w:rPr>
                <w:b/>
                <w:bCs/>
                <w:sz w:val="21"/>
                <w:szCs w:val="21"/>
                <w:lang w:eastAsia="fr-FR"/>
              </w:rPr>
            </w:pPr>
          </w:p>
        </w:tc>
        <w:tc>
          <w:tcPr>
            <w:tcW w:w="567"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E706A22" w14:textId="77777777" w:rsidR="00246793" w:rsidRPr="003648F5" w:rsidRDefault="00246793" w:rsidP="005D385E">
            <w:pPr>
              <w:jc w:val="center"/>
              <w:rPr>
                <w:b/>
                <w:bCs/>
                <w:sz w:val="21"/>
                <w:szCs w:val="21"/>
                <w:lang w:eastAsia="fr-FR"/>
              </w:rPr>
            </w:pPr>
          </w:p>
        </w:tc>
        <w:tc>
          <w:tcPr>
            <w:tcW w:w="572"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9A46774" w14:textId="77777777" w:rsidR="00246793" w:rsidRPr="003648F5" w:rsidRDefault="00246793" w:rsidP="005D385E">
            <w:pPr>
              <w:jc w:val="center"/>
              <w:rPr>
                <w:b/>
                <w:bCs/>
                <w:sz w:val="21"/>
                <w:szCs w:val="21"/>
                <w:lang w:eastAsia="fr-FR"/>
              </w:rPr>
            </w:pPr>
          </w:p>
        </w:tc>
        <w:tc>
          <w:tcPr>
            <w:tcW w:w="84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4321A375" w14:textId="77777777" w:rsidR="00246793" w:rsidRPr="003648F5" w:rsidRDefault="00246793" w:rsidP="005D385E">
            <w:pPr>
              <w:jc w:val="center"/>
              <w:rPr>
                <w:b/>
                <w:bCs/>
                <w:sz w:val="21"/>
                <w:szCs w:val="21"/>
                <w:lang w:eastAsia="fr-FR"/>
              </w:rPr>
            </w:pPr>
          </w:p>
        </w:tc>
        <w:tc>
          <w:tcPr>
            <w:tcW w:w="623"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C88A2EE"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0DF8617" w14:textId="77777777" w:rsidR="00246793" w:rsidRPr="003648F5" w:rsidRDefault="00246793" w:rsidP="005D385E">
            <w:pPr>
              <w:jc w:val="center"/>
              <w:rPr>
                <w:b/>
                <w:bCs/>
                <w:sz w:val="21"/>
                <w:szCs w:val="21"/>
                <w:lang w:eastAsia="fr-FR"/>
              </w:rPr>
            </w:pPr>
          </w:p>
        </w:tc>
        <w:tc>
          <w:tcPr>
            <w:tcW w:w="7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3A27DD1F"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5AD404" w14:textId="77777777" w:rsidR="00246793" w:rsidRPr="003648F5" w:rsidRDefault="00246793" w:rsidP="005D385E">
            <w:pPr>
              <w:jc w:val="center"/>
              <w:rPr>
                <w:b/>
                <w:bCs/>
                <w:sz w:val="21"/>
                <w:szCs w:val="21"/>
                <w:lang w:eastAsia="fr-FR"/>
              </w:rPr>
            </w:pPr>
          </w:p>
        </w:tc>
        <w:tc>
          <w:tcPr>
            <w:tcW w:w="102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846A8F" w14:textId="77777777" w:rsidR="00246793" w:rsidRPr="003648F5" w:rsidRDefault="00246793" w:rsidP="005D385E">
            <w:pPr>
              <w:jc w:val="center"/>
              <w:rPr>
                <w:b/>
                <w:bCs/>
                <w:sz w:val="21"/>
                <w:szCs w:val="21"/>
                <w:lang w:eastAsia="fr-FR"/>
              </w:rPr>
            </w:pPr>
          </w:p>
        </w:tc>
      </w:tr>
      <w:tr w:rsidR="00246793" w:rsidRPr="003648F5" w14:paraId="78DA8FBD" w14:textId="77777777" w:rsidTr="005D385E">
        <w:trPr>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341B4459" w14:textId="77777777" w:rsidR="00246793" w:rsidRPr="003648F5" w:rsidRDefault="00246793" w:rsidP="005D385E">
            <w:pPr>
              <w:jc w:val="center"/>
              <w:rPr>
                <w:b/>
                <w:bCs/>
                <w:sz w:val="21"/>
                <w:szCs w:val="21"/>
                <w:lang w:eastAsia="fr-FR"/>
              </w:rPr>
            </w:pPr>
            <w:r w:rsidRPr="003648F5">
              <w:rPr>
                <w:b/>
                <w:bCs/>
                <w:sz w:val="21"/>
                <w:szCs w:val="21"/>
                <w:lang w:eastAsia="fr-FR"/>
              </w:rPr>
              <w:t>Gaz naturel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1519E599" w14:textId="77777777" w:rsidR="00246793" w:rsidRPr="003648F5" w:rsidRDefault="00246793" w:rsidP="005D385E">
            <w:pPr>
              <w:jc w:val="center"/>
              <w:rPr>
                <w:b/>
                <w:bCs/>
                <w:sz w:val="21"/>
                <w:szCs w:val="21"/>
                <w:lang w:eastAsia="fr-FR"/>
              </w:rPr>
            </w:pPr>
            <w:r w:rsidRPr="003648F5">
              <w:rPr>
                <w:b/>
                <w:bCs/>
                <w:sz w:val="21"/>
                <w:szCs w:val="21"/>
                <w:lang w:eastAsia="fr-FR"/>
              </w:rPr>
              <w:t>50 ≤ P &lt; 100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0" w:type="dxa"/>
              <w:left w:w="150" w:type="dxa"/>
              <w:bottom w:w="150" w:type="dxa"/>
              <w:right w:w="150" w:type="dxa"/>
            </w:tcMar>
            <w:vAlign w:val="center"/>
          </w:tcPr>
          <w:p w14:paraId="1D89DB34" w14:textId="77777777" w:rsidR="00246793" w:rsidRPr="003648F5" w:rsidRDefault="00246793" w:rsidP="005D385E">
            <w:pPr>
              <w:jc w:val="center"/>
              <w:rPr>
                <w:b/>
                <w:bCs/>
                <w:sz w:val="21"/>
                <w:szCs w:val="21"/>
                <w:lang w:eastAsia="fr-FR"/>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B0B58" w14:textId="77777777" w:rsidR="00246793" w:rsidRPr="003648F5" w:rsidRDefault="00246793" w:rsidP="005D385E">
            <w:pPr>
              <w:jc w:val="center"/>
              <w:rPr>
                <w:b/>
                <w:bCs/>
                <w:sz w:val="21"/>
                <w:szCs w:val="21"/>
                <w:lang w:eastAsia="fr-FR"/>
              </w:rPr>
            </w:pPr>
            <w:r>
              <w:rPr>
                <w:b/>
                <w:bCs/>
                <w:sz w:val="21"/>
                <w:szCs w:val="21"/>
                <w:lang w:eastAsia="fr-FR"/>
              </w:rPr>
              <w:t>10</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F0450" w14:textId="77777777" w:rsidR="00246793" w:rsidRPr="003648F5" w:rsidRDefault="00246793" w:rsidP="005D385E">
            <w:pPr>
              <w:jc w:val="center"/>
              <w:rPr>
                <w:b/>
                <w:bCs/>
                <w:sz w:val="21"/>
                <w:szCs w:val="21"/>
                <w:lang w:eastAsia="fr-FR"/>
              </w:rPr>
            </w:pPr>
            <w:r>
              <w:rPr>
                <w:b/>
                <w:bCs/>
                <w:sz w:val="21"/>
                <w:szCs w:val="21"/>
                <w:lang w:eastAsia="fr-FR"/>
              </w:rPr>
              <w:t>11</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EB546A1" w14:textId="77777777" w:rsidR="00246793" w:rsidRPr="003648F5" w:rsidRDefault="00246793" w:rsidP="005D385E">
            <w:pPr>
              <w:jc w:val="center"/>
              <w:rPr>
                <w:b/>
                <w:bCs/>
                <w:sz w:val="21"/>
                <w:szCs w:val="21"/>
                <w:lang w:eastAsia="fr-FR"/>
              </w:rPr>
            </w:pPr>
            <w:r>
              <w:rPr>
                <w:b/>
                <w:bCs/>
                <w:sz w:val="21"/>
                <w:szCs w:val="21"/>
                <w:lang w:eastAsia="fr-FR"/>
              </w:rPr>
              <w:t>75</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B6378F7" w14:textId="77777777" w:rsidR="00246793" w:rsidRPr="003648F5" w:rsidRDefault="00246793" w:rsidP="005D385E">
            <w:pPr>
              <w:jc w:val="center"/>
              <w:rPr>
                <w:b/>
                <w:bCs/>
                <w:sz w:val="21"/>
                <w:szCs w:val="21"/>
                <w:lang w:eastAsia="fr-FR"/>
              </w:rPr>
            </w:pPr>
            <w:r>
              <w:rPr>
                <w:b/>
                <w:bCs/>
                <w:sz w:val="21"/>
                <w:szCs w:val="21"/>
                <w:lang w:eastAsia="fr-FR"/>
              </w:rPr>
              <w:t>75</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24538E" w14:textId="77777777" w:rsidR="00246793" w:rsidRPr="003648F5" w:rsidRDefault="00246793" w:rsidP="005D385E">
            <w:pPr>
              <w:jc w:val="center"/>
              <w:rPr>
                <w:b/>
                <w:bCs/>
                <w:sz w:val="21"/>
                <w:szCs w:val="21"/>
                <w:lang w:eastAsia="fr-FR"/>
              </w:rPr>
            </w:pPr>
            <w:r>
              <w:rPr>
                <w:b/>
                <w:bCs/>
                <w:sz w:val="21"/>
                <w:szCs w:val="21"/>
                <w:lang w:eastAsia="fr-FR"/>
              </w:rPr>
              <w:t>82,5</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0" w:type="dxa"/>
              <w:left w:w="150" w:type="dxa"/>
              <w:bottom w:w="150" w:type="dxa"/>
              <w:right w:w="150" w:type="dxa"/>
            </w:tcMar>
            <w:vAlign w:val="center"/>
          </w:tcPr>
          <w:p w14:paraId="46A62E6D" w14:textId="77777777" w:rsidR="00246793" w:rsidRPr="003648F5" w:rsidRDefault="00246793" w:rsidP="005D385E">
            <w:pPr>
              <w:jc w:val="center"/>
              <w:rPr>
                <w:b/>
                <w:bCs/>
                <w:sz w:val="21"/>
                <w:szCs w:val="21"/>
                <w:lang w:eastAsia="fr-F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FDC25" w14:textId="77777777" w:rsidR="00246793" w:rsidRPr="003648F5" w:rsidRDefault="00246793" w:rsidP="005D385E">
            <w:pPr>
              <w:jc w:val="center"/>
              <w:rPr>
                <w:b/>
                <w:bCs/>
                <w:sz w:val="21"/>
                <w:szCs w:val="21"/>
                <w:lang w:eastAsia="fr-FR"/>
              </w:rPr>
            </w:pPr>
            <w:r>
              <w:rPr>
                <w:b/>
                <w:bCs/>
                <w:sz w:val="21"/>
                <w:szCs w:val="21"/>
                <w:lang w:eastAsia="fr-FR"/>
              </w:rPr>
              <w:t>10</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D7266" w14:textId="77777777" w:rsidR="00246793" w:rsidRPr="003648F5" w:rsidRDefault="00246793" w:rsidP="005D385E">
            <w:pPr>
              <w:jc w:val="center"/>
              <w:rPr>
                <w:b/>
                <w:bCs/>
                <w:sz w:val="21"/>
                <w:szCs w:val="21"/>
                <w:lang w:eastAsia="fr-FR"/>
              </w:rPr>
            </w:pPr>
            <w:r>
              <w:rPr>
                <w:b/>
                <w:bCs/>
                <w:sz w:val="21"/>
                <w:szCs w:val="21"/>
                <w:lang w:eastAsia="fr-FR"/>
              </w:rPr>
              <w:t>11</w:t>
            </w:r>
          </w:p>
        </w:tc>
      </w:tr>
      <w:tr w:rsidR="00246793" w:rsidRPr="003648F5" w14:paraId="1565D68A" w14:textId="77777777" w:rsidTr="005D385E">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939F2" w14:textId="77777777" w:rsidR="00246793" w:rsidRPr="003648F5" w:rsidRDefault="00246793" w:rsidP="005D385E">
            <w:pPr>
              <w:rPr>
                <w:b/>
                <w:bCs/>
                <w:sz w:val="21"/>
                <w:szCs w:val="21"/>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09C0F586" w14:textId="77777777" w:rsidR="00246793" w:rsidRPr="003648F5" w:rsidRDefault="00246793" w:rsidP="005D385E">
            <w:pPr>
              <w:jc w:val="center"/>
              <w:rPr>
                <w:b/>
                <w:bCs/>
                <w:sz w:val="21"/>
                <w:szCs w:val="21"/>
                <w:lang w:eastAsia="fr-FR"/>
              </w:rPr>
            </w:pPr>
            <w:r w:rsidRPr="003648F5">
              <w:rPr>
                <w:b/>
                <w:bCs/>
                <w:sz w:val="21"/>
                <w:szCs w:val="21"/>
                <w:lang w:eastAsia="fr-FR"/>
              </w:rPr>
              <w:t>100 ≤ P &lt; 300</w:t>
            </w: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7CBDA" w14:textId="77777777" w:rsidR="00246793" w:rsidRPr="003648F5" w:rsidRDefault="00246793" w:rsidP="005D385E">
            <w:pPr>
              <w:jc w:val="center"/>
              <w:rPr>
                <w:b/>
                <w:bCs/>
                <w:sz w:val="21"/>
                <w:szCs w:val="21"/>
                <w:lang w:eastAsia="fr-FR"/>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4508C" w14:textId="77777777" w:rsidR="00246793" w:rsidRPr="003648F5" w:rsidRDefault="00246793" w:rsidP="005D385E">
            <w:pPr>
              <w:jc w:val="center"/>
              <w:rPr>
                <w:b/>
                <w:bCs/>
                <w:sz w:val="21"/>
                <w:szCs w:val="21"/>
                <w:lang w:eastAsia="fr-FR"/>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2E958" w14:textId="77777777" w:rsidR="00246793" w:rsidRPr="003648F5" w:rsidRDefault="00246793" w:rsidP="005D385E">
            <w:pPr>
              <w:jc w:val="center"/>
              <w:rPr>
                <w:b/>
                <w:bCs/>
                <w:sz w:val="21"/>
                <w:szCs w:val="21"/>
                <w:lang w:eastAsia="fr-FR"/>
              </w:rPr>
            </w:pPr>
          </w:p>
        </w:tc>
        <w:tc>
          <w:tcPr>
            <w:tcW w:w="84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FEB0AF" w14:textId="77777777" w:rsidR="00246793" w:rsidRPr="003648F5" w:rsidRDefault="00246793" w:rsidP="005D385E">
            <w:pPr>
              <w:jc w:val="center"/>
              <w:rPr>
                <w:b/>
                <w:bCs/>
                <w:sz w:val="21"/>
                <w:szCs w:val="21"/>
                <w:lang w:eastAsia="fr-FR"/>
              </w:rPr>
            </w:pPr>
          </w:p>
        </w:tc>
        <w:tc>
          <w:tcPr>
            <w:tcW w:w="623"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FCCE9A2"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32BF7AB" w14:textId="77777777" w:rsidR="00246793" w:rsidRPr="003648F5" w:rsidRDefault="00246793" w:rsidP="005D385E">
            <w:pPr>
              <w:jc w:val="center"/>
              <w:rPr>
                <w:b/>
                <w:bCs/>
                <w:sz w:val="21"/>
                <w:szCs w:val="21"/>
                <w:lang w:eastAsia="fr-FR"/>
              </w:rPr>
            </w:pPr>
          </w:p>
        </w:tc>
        <w:tc>
          <w:tcPr>
            <w:tcW w:w="7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949C9"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0AF29" w14:textId="77777777" w:rsidR="00246793" w:rsidRPr="003648F5" w:rsidRDefault="00246793" w:rsidP="005D385E">
            <w:pPr>
              <w:jc w:val="center"/>
              <w:rPr>
                <w:b/>
                <w:bCs/>
                <w:sz w:val="21"/>
                <w:szCs w:val="21"/>
                <w:lang w:eastAsia="fr-FR"/>
              </w:rPr>
            </w:pPr>
          </w:p>
        </w:tc>
        <w:tc>
          <w:tcPr>
            <w:tcW w:w="10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C9D92" w14:textId="77777777" w:rsidR="00246793" w:rsidRPr="003648F5" w:rsidRDefault="00246793" w:rsidP="005D385E">
            <w:pPr>
              <w:jc w:val="center"/>
              <w:rPr>
                <w:b/>
                <w:bCs/>
                <w:sz w:val="21"/>
                <w:szCs w:val="21"/>
                <w:lang w:eastAsia="fr-FR"/>
              </w:rPr>
            </w:pPr>
          </w:p>
        </w:tc>
      </w:tr>
      <w:tr w:rsidR="00246793" w:rsidRPr="003648F5" w14:paraId="7791F5D2" w14:textId="77777777" w:rsidTr="005D385E">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42034" w14:textId="77777777" w:rsidR="00246793" w:rsidRPr="003648F5" w:rsidRDefault="00246793" w:rsidP="005D385E">
            <w:pPr>
              <w:rPr>
                <w:b/>
                <w:bCs/>
                <w:sz w:val="21"/>
                <w:szCs w:val="21"/>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14:paraId="10B47450" w14:textId="77777777" w:rsidR="00246793" w:rsidRPr="003648F5" w:rsidRDefault="00246793" w:rsidP="005D385E">
            <w:pPr>
              <w:jc w:val="center"/>
              <w:rPr>
                <w:b/>
                <w:bCs/>
                <w:sz w:val="21"/>
                <w:szCs w:val="21"/>
                <w:lang w:eastAsia="fr-FR"/>
              </w:rPr>
            </w:pPr>
            <w:r w:rsidRPr="003648F5">
              <w:rPr>
                <w:b/>
                <w:bCs/>
                <w:sz w:val="21"/>
                <w:szCs w:val="21"/>
                <w:lang w:eastAsia="fr-FR"/>
              </w:rPr>
              <w:t>300 ≤ P</w:t>
            </w: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ED9A1" w14:textId="77777777" w:rsidR="00246793" w:rsidRPr="003648F5" w:rsidRDefault="00246793" w:rsidP="005D385E">
            <w:pPr>
              <w:jc w:val="center"/>
              <w:rPr>
                <w:b/>
                <w:bCs/>
                <w:sz w:val="21"/>
                <w:szCs w:val="21"/>
                <w:lang w:eastAsia="fr-FR"/>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FFB04" w14:textId="77777777" w:rsidR="00246793" w:rsidRPr="003648F5" w:rsidRDefault="00246793" w:rsidP="005D385E">
            <w:pPr>
              <w:jc w:val="center"/>
              <w:rPr>
                <w:b/>
                <w:bCs/>
                <w:sz w:val="21"/>
                <w:szCs w:val="21"/>
                <w:lang w:eastAsia="fr-FR"/>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D6FF0" w14:textId="77777777" w:rsidR="00246793" w:rsidRPr="003648F5" w:rsidRDefault="00246793" w:rsidP="005D385E">
            <w:pPr>
              <w:jc w:val="center"/>
              <w:rPr>
                <w:b/>
                <w:bCs/>
                <w:sz w:val="21"/>
                <w:szCs w:val="21"/>
                <w:lang w:eastAsia="fr-FR"/>
              </w:rPr>
            </w:pPr>
          </w:p>
        </w:tc>
        <w:tc>
          <w:tcPr>
            <w:tcW w:w="84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9C3FD4" w14:textId="77777777" w:rsidR="00246793" w:rsidRPr="003648F5" w:rsidRDefault="00246793" w:rsidP="005D385E">
            <w:pPr>
              <w:jc w:val="center"/>
              <w:rPr>
                <w:b/>
                <w:bCs/>
                <w:sz w:val="21"/>
                <w:szCs w:val="21"/>
                <w:lang w:eastAsia="fr-FR"/>
              </w:rPr>
            </w:pPr>
          </w:p>
        </w:tc>
        <w:tc>
          <w:tcPr>
            <w:tcW w:w="623"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8496DC6"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40522E3" w14:textId="77777777" w:rsidR="00246793" w:rsidRPr="003648F5" w:rsidRDefault="00246793" w:rsidP="005D385E">
            <w:pPr>
              <w:jc w:val="center"/>
              <w:rPr>
                <w:b/>
                <w:bCs/>
                <w:sz w:val="21"/>
                <w:szCs w:val="21"/>
                <w:lang w:eastAsia="fr-FR"/>
              </w:rPr>
            </w:pPr>
          </w:p>
        </w:tc>
        <w:tc>
          <w:tcPr>
            <w:tcW w:w="7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85620" w14:textId="77777777" w:rsidR="00246793" w:rsidRPr="003648F5" w:rsidRDefault="00246793" w:rsidP="005D385E">
            <w:pPr>
              <w:jc w:val="center"/>
              <w:rPr>
                <w:b/>
                <w:bCs/>
                <w:sz w:val="21"/>
                <w:szCs w:val="21"/>
                <w:lang w:eastAsia="fr-FR"/>
              </w:rPr>
            </w:pPr>
          </w:p>
        </w:tc>
        <w:tc>
          <w:tcPr>
            <w:tcW w:w="7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CE68A" w14:textId="77777777" w:rsidR="00246793" w:rsidRPr="003648F5" w:rsidRDefault="00246793" w:rsidP="005D385E">
            <w:pPr>
              <w:jc w:val="center"/>
              <w:rPr>
                <w:b/>
                <w:bCs/>
                <w:sz w:val="21"/>
                <w:szCs w:val="21"/>
                <w:lang w:eastAsia="fr-FR"/>
              </w:rPr>
            </w:pPr>
          </w:p>
        </w:tc>
        <w:tc>
          <w:tcPr>
            <w:tcW w:w="10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4F89A" w14:textId="77777777" w:rsidR="00246793" w:rsidRPr="003648F5" w:rsidRDefault="00246793" w:rsidP="005D385E">
            <w:pPr>
              <w:jc w:val="center"/>
              <w:rPr>
                <w:b/>
                <w:bCs/>
                <w:sz w:val="21"/>
                <w:szCs w:val="21"/>
                <w:lang w:eastAsia="fr-FR"/>
              </w:rPr>
            </w:pPr>
          </w:p>
        </w:tc>
      </w:tr>
      <w:tr w:rsidR="00246793" w:rsidRPr="003648F5" w14:paraId="5EF21F17" w14:textId="77777777" w:rsidTr="005D38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35907D3D" w14:textId="77777777" w:rsidR="00246793" w:rsidRPr="003648F5" w:rsidRDefault="00246793" w:rsidP="005D385E">
            <w:pPr>
              <w:jc w:val="center"/>
              <w:rPr>
                <w:b/>
                <w:bCs/>
                <w:color w:val="FFFFFF"/>
                <w:sz w:val="21"/>
                <w:szCs w:val="21"/>
                <w:lang w:eastAsia="fr-FR"/>
              </w:rPr>
            </w:pPr>
            <w:bookmarkStart w:id="25" w:name="_Hlk159837054"/>
            <w:r w:rsidRPr="003648F5">
              <w:rPr>
                <w:b/>
                <w:bCs/>
                <w:color w:val="FFFFFF"/>
                <w:sz w:val="21"/>
                <w:szCs w:val="21"/>
                <w:lang w:eastAsia="fr-FR"/>
              </w:rPr>
              <w:t>Renvoi</w:t>
            </w:r>
          </w:p>
        </w:tc>
        <w:tc>
          <w:tcPr>
            <w:tcW w:w="5590" w:type="dxa"/>
            <w:gridSpan w:val="7"/>
            <w:tcBorders>
              <w:top w:val="single" w:sz="4" w:space="0" w:color="auto"/>
              <w:left w:val="single" w:sz="4" w:space="0" w:color="auto"/>
              <w:bottom w:val="single" w:sz="4" w:space="0" w:color="auto"/>
              <w:right w:val="single" w:sz="4" w:space="0" w:color="auto"/>
            </w:tcBorders>
            <w:shd w:val="clear" w:color="auto" w:fill="5C75A2"/>
            <w:vAlign w:val="center"/>
          </w:tcPr>
          <w:p w14:paraId="0321620F"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Conditions</w:t>
            </w:r>
          </w:p>
        </w:tc>
        <w:tc>
          <w:tcPr>
            <w:tcW w:w="2490"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32BB8535" w14:textId="77777777" w:rsidR="00246793" w:rsidRPr="003648F5" w:rsidRDefault="00246793" w:rsidP="005D385E">
            <w:pPr>
              <w:jc w:val="center"/>
              <w:rPr>
                <w:b/>
                <w:bCs/>
                <w:color w:val="FFFFFF"/>
                <w:sz w:val="21"/>
                <w:szCs w:val="21"/>
                <w:lang w:eastAsia="fr-FR"/>
              </w:rPr>
            </w:pPr>
            <w:r w:rsidRPr="003648F5">
              <w:rPr>
                <w:b/>
                <w:bCs/>
                <w:color w:val="FFFFFF"/>
                <w:sz w:val="21"/>
                <w:szCs w:val="21"/>
                <w:lang w:eastAsia="fr-FR"/>
              </w:rPr>
              <w:t>Valeur limite d'émission (mg/Nm</w:t>
            </w:r>
            <w:r w:rsidRPr="00B652B0">
              <w:rPr>
                <w:b/>
                <w:bCs/>
                <w:color w:val="FFFFFF"/>
                <w:sz w:val="21"/>
                <w:szCs w:val="21"/>
                <w:vertAlign w:val="superscript"/>
                <w:lang w:eastAsia="fr-FR"/>
              </w:rPr>
              <w:t>3</w:t>
            </w:r>
            <w:r w:rsidRPr="003648F5">
              <w:rPr>
                <w:b/>
                <w:bCs/>
                <w:color w:val="FFFFFF"/>
                <w:sz w:val="21"/>
                <w:szCs w:val="21"/>
                <w:lang w:eastAsia="fr-FR"/>
              </w:rPr>
              <w:t>)</w:t>
            </w:r>
          </w:p>
        </w:tc>
      </w:tr>
      <w:bookmarkEnd w:id="25"/>
      <w:tr w:rsidR="00246793" w:rsidRPr="003648F5" w14:paraId="59F0BB4D" w14:textId="77777777" w:rsidTr="005D38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99FA839" w14:textId="77777777" w:rsidR="00246793" w:rsidRPr="003648F5" w:rsidRDefault="00246793" w:rsidP="005D385E">
            <w:pPr>
              <w:jc w:val="center"/>
              <w:rPr>
                <w:b/>
                <w:bCs/>
                <w:sz w:val="21"/>
                <w:szCs w:val="21"/>
                <w:lang w:eastAsia="fr-FR"/>
              </w:rPr>
            </w:pPr>
            <w:r w:rsidRPr="003648F5">
              <w:rPr>
                <w:b/>
                <w:bCs/>
                <w:sz w:val="21"/>
                <w:szCs w:val="21"/>
                <w:lang w:eastAsia="fr-FR"/>
              </w:rPr>
              <w:t>(1)</w:t>
            </w:r>
          </w:p>
        </w:tc>
        <w:tc>
          <w:tcPr>
            <w:tcW w:w="5590" w:type="dxa"/>
            <w:gridSpan w:val="7"/>
            <w:tcBorders>
              <w:top w:val="single" w:sz="4" w:space="0" w:color="auto"/>
              <w:left w:val="single" w:sz="4" w:space="0" w:color="auto"/>
              <w:bottom w:val="single" w:sz="4" w:space="0" w:color="auto"/>
              <w:right w:val="single" w:sz="4" w:space="0" w:color="auto"/>
            </w:tcBorders>
            <w:shd w:val="clear" w:color="auto" w:fill="EEEEEE"/>
            <w:vAlign w:val="center"/>
          </w:tcPr>
          <w:p w14:paraId="4D0557A4" w14:textId="77777777" w:rsidR="00246793" w:rsidRPr="008B4197" w:rsidRDefault="00246793" w:rsidP="005D385E">
            <w:pPr>
              <w:jc w:val="center"/>
              <w:rPr>
                <w:rFonts w:ascii="Arial" w:hAnsi="Arial" w:cs="Arial"/>
                <w:bCs/>
                <w:color w:val="4A5E81"/>
                <w:sz w:val="21"/>
                <w:szCs w:val="21"/>
                <w:lang w:eastAsia="fr-FR"/>
              </w:rPr>
            </w:pPr>
            <w:r w:rsidRPr="008B4197">
              <w:rPr>
                <w:rFonts w:ascii="Arial" w:hAnsi="Arial" w:cs="Arial"/>
                <w:bCs/>
                <w:color w:val="4A5E81"/>
                <w:sz w:val="21"/>
                <w:szCs w:val="21"/>
                <w:lang w:eastAsia="fr-FR"/>
              </w:rPr>
              <w:t>Cette VLE ne s’applique pas aux appareils q</w:t>
            </w:r>
            <w:r>
              <w:rPr>
                <w:rFonts w:ascii="Arial" w:hAnsi="Arial" w:cs="Arial"/>
                <w:bCs/>
                <w:color w:val="4A5E81"/>
                <w:sz w:val="21"/>
                <w:szCs w:val="21"/>
                <w:lang w:eastAsia="fr-FR"/>
              </w:rPr>
              <w:t>ui ne peuvent pas être équipés de techniques secondaires de réduction des émissions</w:t>
            </w:r>
          </w:p>
        </w:tc>
        <w:tc>
          <w:tcPr>
            <w:tcW w:w="2490" w:type="dxa"/>
            <w:gridSpan w:val="3"/>
            <w:tcBorders>
              <w:top w:val="single" w:sz="4" w:space="0" w:color="auto"/>
              <w:left w:val="single" w:sz="4" w:space="0" w:color="auto"/>
              <w:bottom w:val="single" w:sz="4" w:space="0" w:color="auto"/>
              <w:right w:val="single" w:sz="4" w:space="0" w:color="auto"/>
            </w:tcBorders>
            <w:shd w:val="clear" w:color="auto" w:fill="EEEEEE"/>
            <w:vAlign w:val="center"/>
          </w:tcPr>
          <w:p w14:paraId="61000C9D" w14:textId="77777777" w:rsidR="00246793" w:rsidRPr="003648F5" w:rsidRDefault="00246793" w:rsidP="005D385E">
            <w:pPr>
              <w:jc w:val="center"/>
              <w:rPr>
                <w:b/>
                <w:bCs/>
                <w:sz w:val="21"/>
                <w:szCs w:val="21"/>
                <w:lang w:eastAsia="fr-FR"/>
              </w:rPr>
            </w:pPr>
          </w:p>
        </w:tc>
      </w:tr>
      <w:tr w:rsidR="00246793" w:rsidRPr="003648F5" w14:paraId="6AAB0DD3" w14:textId="77777777" w:rsidTr="005D38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34E51C4" w14:textId="77777777" w:rsidR="00246793" w:rsidRPr="003648F5" w:rsidRDefault="00246793" w:rsidP="005D385E">
            <w:pPr>
              <w:jc w:val="center"/>
              <w:rPr>
                <w:b/>
                <w:bCs/>
                <w:sz w:val="21"/>
                <w:szCs w:val="21"/>
                <w:lang w:eastAsia="fr-FR"/>
              </w:rPr>
            </w:pPr>
            <w:r>
              <w:rPr>
                <w:b/>
                <w:bCs/>
                <w:sz w:val="21"/>
                <w:szCs w:val="21"/>
                <w:lang w:eastAsia="fr-FR"/>
              </w:rPr>
              <w:t>(2)</w:t>
            </w:r>
          </w:p>
        </w:tc>
        <w:tc>
          <w:tcPr>
            <w:tcW w:w="5590" w:type="dxa"/>
            <w:gridSpan w:val="7"/>
            <w:tcBorders>
              <w:top w:val="single" w:sz="4" w:space="0" w:color="auto"/>
              <w:left w:val="single" w:sz="4" w:space="0" w:color="auto"/>
              <w:bottom w:val="single" w:sz="4" w:space="0" w:color="auto"/>
              <w:right w:val="single" w:sz="4" w:space="0" w:color="auto"/>
            </w:tcBorders>
            <w:shd w:val="clear" w:color="auto" w:fill="EEEEEE"/>
            <w:vAlign w:val="center"/>
          </w:tcPr>
          <w:p w14:paraId="6EA3890B" w14:textId="77777777" w:rsidR="00246793" w:rsidRPr="008B4197" w:rsidRDefault="00246793" w:rsidP="005D385E">
            <w:pPr>
              <w:jc w:val="center"/>
              <w:rPr>
                <w:rFonts w:ascii="Arial" w:hAnsi="Arial" w:cs="Arial"/>
                <w:bCs/>
                <w:color w:val="4A5E81"/>
                <w:sz w:val="21"/>
                <w:szCs w:val="21"/>
                <w:lang w:eastAsia="fr-FR"/>
              </w:rPr>
            </w:pPr>
            <w:r>
              <w:rPr>
                <w:rFonts w:ascii="Arial" w:hAnsi="Arial" w:cs="Arial"/>
                <w:bCs/>
                <w:color w:val="4A5E81"/>
                <w:sz w:val="21"/>
                <w:szCs w:val="21"/>
                <w:lang w:eastAsia="fr-FR"/>
              </w:rPr>
              <w:t>Dans le cas des installations comprenant des appareils de puissance &lt; 20 MW</w:t>
            </w:r>
          </w:p>
        </w:tc>
        <w:tc>
          <w:tcPr>
            <w:tcW w:w="2490" w:type="dxa"/>
            <w:gridSpan w:val="3"/>
            <w:tcBorders>
              <w:top w:val="single" w:sz="4" w:space="0" w:color="auto"/>
              <w:left w:val="single" w:sz="4" w:space="0" w:color="auto"/>
              <w:bottom w:val="outset" w:sz="6" w:space="0" w:color="auto"/>
              <w:right w:val="outset" w:sz="6" w:space="0" w:color="auto"/>
            </w:tcBorders>
            <w:shd w:val="clear" w:color="auto" w:fill="EEEEEE"/>
            <w:vAlign w:val="center"/>
          </w:tcPr>
          <w:p w14:paraId="12CD57B9" w14:textId="77777777" w:rsidR="00246793" w:rsidRPr="001328E8" w:rsidRDefault="00246793" w:rsidP="005D385E">
            <w:pPr>
              <w:jc w:val="center"/>
              <w:rPr>
                <w:sz w:val="21"/>
                <w:szCs w:val="21"/>
                <w:lang w:eastAsia="fr-FR"/>
              </w:rPr>
            </w:pPr>
            <w:r w:rsidRPr="001328E8">
              <w:rPr>
                <w:sz w:val="21"/>
                <w:szCs w:val="21"/>
                <w:lang w:eastAsia="fr-FR"/>
              </w:rPr>
              <w:t xml:space="preserve">NOx : </w:t>
            </w:r>
            <w:r w:rsidRPr="001328E8">
              <w:rPr>
                <w:sz w:val="21"/>
                <w:szCs w:val="21"/>
                <w:shd w:val="clear" w:color="auto" w:fill="E2EFD9" w:themeFill="accent6" w:themeFillTint="33"/>
                <w:lang w:eastAsia="fr-FR"/>
              </w:rPr>
              <w:t>A = 225</w:t>
            </w:r>
          </w:p>
        </w:tc>
      </w:tr>
    </w:tbl>
    <w:p w14:paraId="3F3E4BA4" w14:textId="77777777" w:rsidR="00246793" w:rsidRDefault="00246793" w:rsidP="00246793">
      <w:pPr>
        <w:rPr>
          <w:b/>
          <w:bCs/>
          <w:u w:val="single"/>
        </w:rPr>
      </w:pPr>
    </w:p>
    <w:p w14:paraId="53E8B34F" w14:textId="72FB9874" w:rsidR="00246793" w:rsidRPr="00B07376" w:rsidRDefault="00246793" w:rsidP="00246793">
      <w:pPr>
        <w:jc w:val="both"/>
      </w:pPr>
      <w:r w:rsidRPr="00B07376">
        <w:t>« </w:t>
      </w:r>
      <w:proofErr w:type="gramStart"/>
      <w:r w:rsidRPr="00B07376">
        <w:t>b</w:t>
      </w:r>
      <w:proofErr w:type="gramEnd"/>
      <w:r w:rsidRPr="00B07376">
        <w:t xml:space="preserve">) Moteurs dont l’autorisation initiale a été accordée </w:t>
      </w:r>
      <w:r w:rsidR="00963737" w:rsidRPr="00B07376">
        <w:t>entre le 1</w:t>
      </w:r>
      <w:r w:rsidR="00963737" w:rsidRPr="00B07376">
        <w:rPr>
          <w:vertAlign w:val="superscript"/>
        </w:rPr>
        <w:t>er</w:t>
      </w:r>
      <w:r w:rsidR="00963737" w:rsidRPr="00B07376">
        <w:t xml:space="preserve"> janvier 2014</w:t>
      </w:r>
      <w:r w:rsidR="00710F20" w:rsidRPr="00B07376">
        <w:t xml:space="preserve"> et le 17 août 2017</w:t>
      </w:r>
      <w:r w:rsidRPr="00B07376">
        <w:t xml:space="preserve">, à l’exception de ceux qui ont fait une demande d’autorisation complète avant </w:t>
      </w:r>
      <w:r w:rsidR="00946854">
        <w:t>le 1</w:t>
      </w:r>
      <w:r w:rsidR="00946854" w:rsidRPr="00946854">
        <w:rPr>
          <w:vertAlign w:val="superscript"/>
        </w:rPr>
        <w:t>er</w:t>
      </w:r>
      <w:r w:rsidR="00946854">
        <w:t xml:space="preserve"> janvier 2014</w:t>
      </w:r>
      <w:r w:rsidRPr="00B07376">
        <w:t xml:space="preserve">, pour autant que l’installation ait été mise en service au plus tard le </w:t>
      </w:r>
      <w:r w:rsidR="00963737" w:rsidRPr="00B07376">
        <w:t xml:space="preserve">7 janvier </w:t>
      </w:r>
      <w:r w:rsidRPr="00B07376">
        <w:t>2014</w:t>
      </w:r>
      <w:r w:rsidR="00710F20" w:rsidRPr="00B07376">
        <w:t xml:space="preserve"> </w:t>
      </w:r>
      <w:r w:rsidRPr="00B07376">
        <w:t>:</w:t>
      </w:r>
    </w:p>
    <w:p w14:paraId="2133CAA6" w14:textId="77777777" w:rsidR="00246793" w:rsidRPr="00246793" w:rsidRDefault="00246793" w:rsidP="00246793">
      <w:pPr>
        <w:shd w:val="clear" w:color="auto" w:fill="FFFFFF"/>
        <w:jc w:val="both"/>
        <w:rPr>
          <w:bCs/>
          <w:lang w:eastAsia="fr-FR"/>
        </w:rPr>
      </w:pPr>
    </w:p>
    <w:p w14:paraId="6B558500" w14:textId="67900B6F" w:rsidR="00246793" w:rsidRPr="00246793" w:rsidRDefault="00246793" w:rsidP="00246793">
      <w:pPr>
        <w:jc w:val="both"/>
      </w:pPr>
      <w:r>
        <w:t>« </w:t>
      </w:r>
      <w:r w:rsidRPr="00246793">
        <w:t xml:space="preserve">Dans le cas des installations </w:t>
      </w:r>
      <w:r w:rsidR="00A31153">
        <w:t xml:space="preserve">de combustion </w:t>
      </w:r>
      <w:r w:rsidRPr="00246793">
        <w:t>exploitées moins de 500</w:t>
      </w:r>
      <w:r w:rsidR="00316A25">
        <w:t xml:space="preserve"> </w:t>
      </w:r>
      <w:r w:rsidRPr="00246793">
        <w:t xml:space="preserve">h par an, seules les dispositions </w:t>
      </w:r>
      <w:r w:rsidR="00316A25">
        <w:t xml:space="preserve">du point </w:t>
      </w:r>
      <w:proofErr w:type="gramStart"/>
      <w:r w:rsidR="00316A25">
        <w:t>a</w:t>
      </w:r>
      <w:proofErr w:type="gramEnd"/>
      <w:r w:rsidR="00316A25">
        <w:t xml:space="preserve">) du I </w:t>
      </w:r>
      <w:r w:rsidRPr="00246793">
        <w:t>de l’article 12 s’appliquent.</w:t>
      </w:r>
    </w:p>
    <w:p w14:paraId="4ADC3375" w14:textId="051C3B4C" w:rsidR="00246793" w:rsidRPr="00246793" w:rsidRDefault="00246793" w:rsidP="00246793">
      <w:pPr>
        <w:jc w:val="both"/>
      </w:pPr>
      <w:r>
        <w:t>« </w:t>
      </w:r>
      <w:r w:rsidRPr="00246793">
        <w:t>Dans le cas des moteurs fonctionnant au fioul domestique ou au fioul lourd, les valeurs limite d’émission ne s’appliquent qu’aux moteurs alternatifs.</w:t>
      </w:r>
    </w:p>
    <w:p w14:paraId="7CAEDD0D" w14:textId="5A6EA13B" w:rsidR="00246793" w:rsidRPr="00246793" w:rsidRDefault="00246793" w:rsidP="00246793">
      <w:pPr>
        <w:jc w:val="both"/>
      </w:pPr>
      <w:r>
        <w:t>« </w:t>
      </w:r>
      <w:r w:rsidRPr="00246793">
        <w:t>Dans le cas des moteurs fonctionnant au gaz naturel, les valeurs limites d’émission ne s’appliquent qu’aux moteurs à allumage par étincelle et aux moteurs à deux combustibles. Elles ne s’appliquent pas aux moteurs diesel au gaz naturel.</w:t>
      </w:r>
    </w:p>
    <w:p w14:paraId="5B633BD9" w14:textId="339C5E18" w:rsidR="00246793" w:rsidRPr="00246793" w:rsidRDefault="00246793" w:rsidP="002B0DC1">
      <w:pPr>
        <w:jc w:val="both"/>
      </w:pPr>
      <w:r>
        <w:t>« </w:t>
      </w:r>
      <w:r w:rsidRPr="00246793">
        <w:t xml:space="preserve">Pour les polluants et combustibles pour lesquels aucune valeur limite d’émission n’est mentionnée dans le tableau ci-dessous, les valeurs limites applicables sont celles du </w:t>
      </w:r>
      <w:r w:rsidR="00316A25">
        <w:t xml:space="preserve">point a) du I </w:t>
      </w:r>
      <w:r w:rsidRPr="00246793">
        <w:t xml:space="preserve">du présent </w:t>
      </w:r>
      <w:r w:rsidR="00316A25">
        <w:t>article</w:t>
      </w:r>
      <w:r w:rsidRPr="00246793">
        <w:t>.</w:t>
      </w:r>
    </w:p>
    <w:p w14:paraId="428EE8CF" w14:textId="77777777" w:rsidR="00246793" w:rsidRDefault="00246793" w:rsidP="00246793">
      <w:pPr>
        <w:jc w:val="both"/>
      </w:pPr>
    </w:p>
    <w:tbl>
      <w:tblPr>
        <w:tblW w:w="963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3"/>
        <w:gridCol w:w="1559"/>
        <w:gridCol w:w="709"/>
        <w:gridCol w:w="709"/>
        <w:gridCol w:w="708"/>
        <w:gridCol w:w="851"/>
        <w:gridCol w:w="709"/>
        <w:gridCol w:w="777"/>
        <w:gridCol w:w="695"/>
        <w:gridCol w:w="684"/>
        <w:gridCol w:w="820"/>
      </w:tblGrid>
      <w:tr w:rsidR="00246793" w:rsidRPr="00953C45" w14:paraId="282AE086" w14:textId="77777777" w:rsidTr="005D385E">
        <w:trPr>
          <w:trHeight w:val="430"/>
          <w:jc w:val="center"/>
        </w:trPr>
        <w:tc>
          <w:tcPr>
            <w:tcW w:w="1413"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7F8612CE"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Combustibles</w:t>
            </w:r>
          </w:p>
        </w:tc>
        <w:tc>
          <w:tcPr>
            <w:tcW w:w="1559"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558C5F39"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Puissance P (MW)</w:t>
            </w:r>
          </w:p>
        </w:tc>
        <w:tc>
          <w:tcPr>
            <w:tcW w:w="2126"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052DE740"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SO</w:t>
            </w:r>
            <w:r w:rsidRPr="00246793">
              <w:rPr>
                <w:b/>
                <w:bCs/>
                <w:color w:val="FFFFFF"/>
                <w:sz w:val="20"/>
                <w:szCs w:val="20"/>
                <w:vertAlign w:val="subscript"/>
                <w:lang w:eastAsia="fr-FR"/>
              </w:rPr>
              <w:t>2</w:t>
            </w:r>
            <w:r w:rsidRPr="00246793">
              <w:rPr>
                <w:b/>
                <w:bCs/>
                <w:color w:val="FFFFFF"/>
                <w:sz w:val="20"/>
                <w:szCs w:val="20"/>
                <w:lang w:eastAsia="fr-FR"/>
              </w:rPr>
              <w:t xml:space="preserve"> (mg/Nm</w:t>
            </w:r>
            <w:r w:rsidRPr="00246793">
              <w:rPr>
                <w:b/>
                <w:bCs/>
                <w:color w:val="FFFFFF"/>
                <w:sz w:val="20"/>
                <w:szCs w:val="20"/>
                <w:vertAlign w:val="superscript"/>
                <w:lang w:eastAsia="fr-FR"/>
              </w:rPr>
              <w:t>3</w:t>
            </w:r>
            <w:r w:rsidRPr="00246793">
              <w:rPr>
                <w:b/>
                <w:bCs/>
                <w:color w:val="FFFFFF"/>
                <w:sz w:val="20"/>
                <w:szCs w:val="20"/>
                <w:lang w:eastAsia="fr-FR"/>
              </w:rPr>
              <w:t>)</w:t>
            </w:r>
          </w:p>
        </w:tc>
        <w:tc>
          <w:tcPr>
            <w:tcW w:w="2337"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4D0D380C"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NOx (mg/Nm</w:t>
            </w:r>
            <w:r w:rsidRPr="00246793">
              <w:rPr>
                <w:b/>
                <w:bCs/>
                <w:color w:val="FFFFFF"/>
                <w:sz w:val="20"/>
                <w:szCs w:val="20"/>
                <w:vertAlign w:val="superscript"/>
                <w:lang w:eastAsia="fr-FR"/>
              </w:rPr>
              <w:t>3</w:t>
            </w:r>
            <w:r w:rsidRPr="00246793">
              <w:rPr>
                <w:b/>
                <w:bCs/>
                <w:color w:val="FFFFFF"/>
                <w:sz w:val="20"/>
                <w:szCs w:val="20"/>
                <w:lang w:eastAsia="fr-FR"/>
              </w:rPr>
              <w:t>)</w:t>
            </w:r>
          </w:p>
        </w:tc>
        <w:tc>
          <w:tcPr>
            <w:tcW w:w="2199"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0F2C0E3D"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Poussières (mg/Nm</w:t>
            </w:r>
            <w:r w:rsidRPr="00246793">
              <w:rPr>
                <w:b/>
                <w:bCs/>
                <w:color w:val="FFFFFF"/>
                <w:sz w:val="20"/>
                <w:szCs w:val="20"/>
                <w:vertAlign w:val="superscript"/>
                <w:lang w:eastAsia="fr-FR"/>
              </w:rPr>
              <w:t>3</w:t>
            </w:r>
            <w:r w:rsidRPr="00246793">
              <w:rPr>
                <w:b/>
                <w:bCs/>
                <w:color w:val="FFFFFF"/>
                <w:sz w:val="20"/>
                <w:szCs w:val="20"/>
                <w:lang w:eastAsia="fr-FR"/>
              </w:rPr>
              <w:t>)</w:t>
            </w:r>
          </w:p>
        </w:tc>
      </w:tr>
      <w:tr w:rsidR="00246793" w:rsidRPr="00953C45" w14:paraId="23E4ACDD" w14:textId="77777777" w:rsidTr="005D385E">
        <w:trPr>
          <w:trHeight w:val="354"/>
          <w:jc w:val="center"/>
        </w:trPr>
        <w:tc>
          <w:tcPr>
            <w:tcW w:w="1413"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FF44E86" w14:textId="77777777" w:rsidR="00246793" w:rsidRPr="00246793" w:rsidRDefault="00246793" w:rsidP="005D385E">
            <w:pPr>
              <w:jc w:val="center"/>
              <w:rPr>
                <w:b/>
                <w:bCs/>
                <w:color w:val="FFFFFF"/>
                <w:sz w:val="20"/>
                <w:szCs w:val="20"/>
                <w:lang w:eastAsia="fr-FR"/>
              </w:rPr>
            </w:pPr>
          </w:p>
        </w:tc>
        <w:tc>
          <w:tcPr>
            <w:tcW w:w="1559"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A7515FD" w14:textId="77777777" w:rsidR="00246793" w:rsidRPr="00246793" w:rsidRDefault="00246793" w:rsidP="005D385E">
            <w:pPr>
              <w:jc w:val="center"/>
              <w:rPr>
                <w:b/>
                <w:bCs/>
                <w:color w:val="FFFFFF"/>
                <w:sz w:val="20"/>
                <w:szCs w:val="20"/>
                <w:lang w:eastAsia="fr-FR"/>
              </w:rPr>
            </w:pPr>
          </w:p>
        </w:tc>
        <w:tc>
          <w:tcPr>
            <w:tcW w:w="709"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68D9644C"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A</w:t>
            </w:r>
          </w:p>
        </w:tc>
        <w:tc>
          <w:tcPr>
            <w:tcW w:w="709" w:type="dxa"/>
            <w:tcBorders>
              <w:top w:val="single" w:sz="4" w:space="0" w:color="auto"/>
              <w:left w:val="single" w:sz="4" w:space="0" w:color="auto"/>
              <w:bottom w:val="single" w:sz="4" w:space="0" w:color="auto"/>
              <w:right w:val="single" w:sz="4" w:space="0" w:color="auto"/>
            </w:tcBorders>
            <w:shd w:val="clear" w:color="auto" w:fill="5C75A2"/>
            <w:vAlign w:val="center"/>
          </w:tcPr>
          <w:p w14:paraId="76E9AC32"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M</w:t>
            </w:r>
          </w:p>
        </w:tc>
        <w:tc>
          <w:tcPr>
            <w:tcW w:w="708" w:type="dxa"/>
            <w:tcBorders>
              <w:top w:val="single" w:sz="4" w:space="0" w:color="auto"/>
              <w:left w:val="single" w:sz="4" w:space="0" w:color="auto"/>
              <w:bottom w:val="single" w:sz="4" w:space="0" w:color="auto"/>
              <w:right w:val="single" w:sz="4" w:space="0" w:color="auto"/>
            </w:tcBorders>
            <w:shd w:val="clear" w:color="auto" w:fill="5C75A2"/>
            <w:vAlign w:val="center"/>
          </w:tcPr>
          <w:p w14:paraId="7D7FEC47"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J</w:t>
            </w:r>
          </w:p>
        </w:tc>
        <w:tc>
          <w:tcPr>
            <w:tcW w:w="851"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F985236"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A</w:t>
            </w:r>
          </w:p>
        </w:tc>
        <w:tc>
          <w:tcPr>
            <w:tcW w:w="709" w:type="dxa"/>
            <w:tcBorders>
              <w:top w:val="single" w:sz="4" w:space="0" w:color="auto"/>
              <w:left w:val="single" w:sz="4" w:space="0" w:color="auto"/>
              <w:bottom w:val="single" w:sz="4" w:space="0" w:color="auto"/>
              <w:right w:val="single" w:sz="4" w:space="0" w:color="auto"/>
            </w:tcBorders>
            <w:shd w:val="clear" w:color="auto" w:fill="5C75A2"/>
            <w:vAlign w:val="center"/>
          </w:tcPr>
          <w:p w14:paraId="0196A32F"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M</w:t>
            </w:r>
          </w:p>
        </w:tc>
        <w:tc>
          <w:tcPr>
            <w:tcW w:w="777" w:type="dxa"/>
            <w:tcBorders>
              <w:top w:val="single" w:sz="4" w:space="0" w:color="auto"/>
              <w:left w:val="single" w:sz="4" w:space="0" w:color="auto"/>
              <w:bottom w:val="single" w:sz="4" w:space="0" w:color="auto"/>
              <w:right w:val="single" w:sz="4" w:space="0" w:color="auto"/>
            </w:tcBorders>
            <w:shd w:val="clear" w:color="auto" w:fill="5C75A2"/>
            <w:vAlign w:val="center"/>
          </w:tcPr>
          <w:p w14:paraId="0AFEF315"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J</w:t>
            </w:r>
          </w:p>
        </w:tc>
        <w:tc>
          <w:tcPr>
            <w:tcW w:w="695"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71C01829"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A</w:t>
            </w:r>
          </w:p>
        </w:tc>
        <w:tc>
          <w:tcPr>
            <w:tcW w:w="684" w:type="dxa"/>
            <w:tcBorders>
              <w:top w:val="single" w:sz="4" w:space="0" w:color="auto"/>
              <w:left w:val="single" w:sz="4" w:space="0" w:color="auto"/>
              <w:bottom w:val="single" w:sz="4" w:space="0" w:color="auto"/>
              <w:right w:val="single" w:sz="4" w:space="0" w:color="auto"/>
            </w:tcBorders>
            <w:shd w:val="clear" w:color="auto" w:fill="5C75A2"/>
            <w:vAlign w:val="center"/>
          </w:tcPr>
          <w:p w14:paraId="716BD6B0"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M</w:t>
            </w:r>
          </w:p>
        </w:tc>
        <w:tc>
          <w:tcPr>
            <w:tcW w:w="820" w:type="dxa"/>
            <w:tcBorders>
              <w:top w:val="single" w:sz="4" w:space="0" w:color="auto"/>
              <w:left w:val="single" w:sz="4" w:space="0" w:color="auto"/>
              <w:bottom w:val="single" w:sz="4" w:space="0" w:color="auto"/>
              <w:right w:val="single" w:sz="4" w:space="0" w:color="auto"/>
            </w:tcBorders>
            <w:shd w:val="clear" w:color="auto" w:fill="5C75A2"/>
            <w:vAlign w:val="center"/>
          </w:tcPr>
          <w:p w14:paraId="511814D9"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J</w:t>
            </w:r>
          </w:p>
        </w:tc>
      </w:tr>
      <w:tr w:rsidR="00246793" w:rsidRPr="009370F5" w14:paraId="2A1A55F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vAlign w:val="center"/>
          </w:tcPr>
          <w:p w14:paraId="16C86092" w14:textId="77777777" w:rsidR="00246793" w:rsidRPr="00246793" w:rsidRDefault="00246793" w:rsidP="005D385E">
            <w:pPr>
              <w:jc w:val="center"/>
              <w:rPr>
                <w:b/>
                <w:bCs/>
                <w:sz w:val="20"/>
                <w:szCs w:val="20"/>
                <w:lang w:eastAsia="fr-FR"/>
              </w:rPr>
            </w:pPr>
            <w:r w:rsidRPr="00246793">
              <w:rPr>
                <w:b/>
                <w:bCs/>
                <w:sz w:val="20"/>
                <w:szCs w:val="20"/>
                <w:lang w:eastAsia="fr-FR"/>
              </w:rPr>
              <w:t>Fioul domestique</w:t>
            </w:r>
          </w:p>
        </w:tc>
        <w:tc>
          <w:tcPr>
            <w:tcW w:w="1559" w:type="dxa"/>
            <w:shd w:val="clear" w:color="auto" w:fill="F5F5F5"/>
            <w:tcMar>
              <w:top w:w="150" w:type="dxa"/>
              <w:left w:w="150" w:type="dxa"/>
              <w:bottom w:w="150" w:type="dxa"/>
              <w:right w:w="150" w:type="dxa"/>
            </w:tcMar>
            <w:vAlign w:val="center"/>
          </w:tcPr>
          <w:p w14:paraId="202D830E" w14:textId="77777777" w:rsidR="00246793" w:rsidRPr="00246793" w:rsidRDefault="00246793" w:rsidP="005D385E">
            <w:pPr>
              <w:jc w:val="center"/>
              <w:rPr>
                <w:b/>
                <w:bCs/>
                <w:sz w:val="20"/>
                <w:szCs w:val="20"/>
                <w:lang w:eastAsia="fr-FR"/>
              </w:rPr>
            </w:pPr>
            <w:r w:rsidRPr="00246793">
              <w:rPr>
                <w:b/>
                <w:bCs/>
                <w:sz w:val="20"/>
                <w:szCs w:val="20"/>
                <w:lang w:eastAsia="fr-FR"/>
              </w:rPr>
              <w:t>50 ≤ P &lt; 100</w:t>
            </w:r>
          </w:p>
        </w:tc>
        <w:tc>
          <w:tcPr>
            <w:tcW w:w="709" w:type="dxa"/>
            <w:vMerge w:val="restart"/>
            <w:shd w:val="clear" w:color="auto" w:fill="E2EFD9" w:themeFill="accent6" w:themeFillTint="33"/>
            <w:tcMar>
              <w:top w:w="150" w:type="dxa"/>
              <w:left w:w="150" w:type="dxa"/>
              <w:bottom w:w="150" w:type="dxa"/>
              <w:right w:w="150" w:type="dxa"/>
            </w:tcMar>
            <w:vAlign w:val="center"/>
          </w:tcPr>
          <w:p w14:paraId="0D09648A" w14:textId="77777777" w:rsidR="00246793" w:rsidRPr="00246793" w:rsidRDefault="00246793" w:rsidP="005D385E">
            <w:pPr>
              <w:jc w:val="center"/>
              <w:rPr>
                <w:b/>
                <w:bCs/>
                <w:sz w:val="20"/>
                <w:szCs w:val="20"/>
                <w:lang w:eastAsia="fr-FR"/>
              </w:rPr>
            </w:pPr>
            <w:r w:rsidRPr="00246793">
              <w:rPr>
                <w:b/>
                <w:bCs/>
                <w:sz w:val="20"/>
                <w:szCs w:val="20"/>
                <w:lang w:eastAsia="fr-FR"/>
              </w:rPr>
              <w:t>200</w:t>
            </w:r>
          </w:p>
          <w:p w14:paraId="3C62BB4E" w14:textId="77777777" w:rsidR="00246793" w:rsidRPr="00246793" w:rsidRDefault="00246793" w:rsidP="005D385E">
            <w:pPr>
              <w:jc w:val="center"/>
              <w:rPr>
                <w:b/>
                <w:bCs/>
                <w:sz w:val="20"/>
                <w:szCs w:val="20"/>
                <w:lang w:eastAsia="fr-FR"/>
              </w:rPr>
            </w:pPr>
            <w:r w:rsidRPr="00246793">
              <w:rPr>
                <w:b/>
                <w:bCs/>
                <w:sz w:val="20"/>
                <w:szCs w:val="20"/>
                <w:lang w:eastAsia="fr-FR"/>
              </w:rPr>
              <w:t>(1)</w:t>
            </w:r>
          </w:p>
        </w:tc>
        <w:tc>
          <w:tcPr>
            <w:tcW w:w="709" w:type="dxa"/>
            <w:vMerge w:val="restart"/>
            <w:shd w:val="clear" w:color="auto" w:fill="B4C6E7" w:themeFill="accent5" w:themeFillTint="66"/>
            <w:vAlign w:val="center"/>
          </w:tcPr>
          <w:p w14:paraId="32B86984" w14:textId="77777777" w:rsidR="00246793" w:rsidRPr="00246793" w:rsidRDefault="00246793" w:rsidP="005D385E">
            <w:pPr>
              <w:jc w:val="center"/>
              <w:rPr>
                <w:b/>
                <w:bCs/>
                <w:sz w:val="20"/>
                <w:szCs w:val="20"/>
                <w:lang w:eastAsia="fr-FR"/>
              </w:rPr>
            </w:pPr>
            <w:r w:rsidRPr="00246793">
              <w:rPr>
                <w:b/>
                <w:bCs/>
                <w:sz w:val="20"/>
                <w:szCs w:val="20"/>
                <w:lang w:eastAsia="fr-FR"/>
              </w:rPr>
              <w:t>60</w:t>
            </w:r>
          </w:p>
        </w:tc>
        <w:tc>
          <w:tcPr>
            <w:tcW w:w="708" w:type="dxa"/>
            <w:vMerge w:val="restart"/>
            <w:shd w:val="clear" w:color="auto" w:fill="B4C6E7" w:themeFill="accent5" w:themeFillTint="66"/>
            <w:vAlign w:val="center"/>
          </w:tcPr>
          <w:p w14:paraId="67B4C00C" w14:textId="77777777" w:rsidR="00246793" w:rsidRPr="00246793" w:rsidRDefault="00246793" w:rsidP="005D385E">
            <w:pPr>
              <w:jc w:val="center"/>
              <w:rPr>
                <w:b/>
                <w:bCs/>
                <w:sz w:val="20"/>
                <w:szCs w:val="20"/>
                <w:lang w:eastAsia="fr-FR"/>
              </w:rPr>
            </w:pPr>
            <w:r w:rsidRPr="00246793">
              <w:rPr>
                <w:b/>
                <w:bCs/>
                <w:sz w:val="20"/>
                <w:szCs w:val="20"/>
                <w:lang w:eastAsia="fr-FR"/>
              </w:rPr>
              <w:t>66</w:t>
            </w:r>
          </w:p>
        </w:tc>
        <w:tc>
          <w:tcPr>
            <w:tcW w:w="851" w:type="dxa"/>
            <w:vMerge w:val="restart"/>
            <w:shd w:val="clear" w:color="auto" w:fill="E2EFD9" w:themeFill="accent6" w:themeFillTint="33"/>
            <w:tcMar>
              <w:top w:w="150" w:type="dxa"/>
              <w:left w:w="150" w:type="dxa"/>
              <w:bottom w:w="150" w:type="dxa"/>
              <w:right w:w="150" w:type="dxa"/>
            </w:tcMar>
            <w:vAlign w:val="center"/>
          </w:tcPr>
          <w:p w14:paraId="1C38770F" w14:textId="77777777" w:rsidR="00246793" w:rsidRPr="00246793" w:rsidRDefault="00246793" w:rsidP="005D385E">
            <w:pPr>
              <w:jc w:val="center"/>
              <w:rPr>
                <w:b/>
                <w:bCs/>
                <w:sz w:val="20"/>
                <w:szCs w:val="20"/>
                <w:lang w:eastAsia="fr-FR"/>
              </w:rPr>
            </w:pPr>
            <w:r w:rsidRPr="00246793">
              <w:rPr>
                <w:b/>
                <w:bCs/>
                <w:sz w:val="20"/>
                <w:szCs w:val="20"/>
                <w:lang w:eastAsia="fr-FR"/>
              </w:rPr>
              <w:t>625</w:t>
            </w:r>
          </w:p>
        </w:tc>
        <w:tc>
          <w:tcPr>
            <w:tcW w:w="709" w:type="dxa"/>
            <w:vMerge w:val="restart"/>
            <w:shd w:val="clear" w:color="auto" w:fill="B4C6E7" w:themeFill="accent5" w:themeFillTint="66"/>
            <w:vAlign w:val="center"/>
          </w:tcPr>
          <w:p w14:paraId="3D3C471A" w14:textId="77777777" w:rsidR="00246793" w:rsidRPr="00246793" w:rsidRDefault="00246793" w:rsidP="005D385E">
            <w:pPr>
              <w:jc w:val="center"/>
              <w:rPr>
                <w:b/>
                <w:bCs/>
                <w:sz w:val="20"/>
                <w:szCs w:val="20"/>
                <w:lang w:eastAsia="fr-FR"/>
              </w:rPr>
            </w:pPr>
            <w:r w:rsidRPr="00246793">
              <w:rPr>
                <w:b/>
                <w:bCs/>
                <w:sz w:val="20"/>
                <w:szCs w:val="20"/>
                <w:lang w:eastAsia="fr-FR"/>
              </w:rPr>
              <w:t>225</w:t>
            </w:r>
          </w:p>
        </w:tc>
        <w:tc>
          <w:tcPr>
            <w:tcW w:w="777" w:type="dxa"/>
            <w:vMerge w:val="restart"/>
            <w:shd w:val="clear" w:color="auto" w:fill="B4C6E7" w:themeFill="accent5" w:themeFillTint="66"/>
            <w:vAlign w:val="center"/>
          </w:tcPr>
          <w:p w14:paraId="4C808351" w14:textId="77777777" w:rsidR="00246793" w:rsidRPr="00246793" w:rsidRDefault="00246793" w:rsidP="005D385E">
            <w:pPr>
              <w:jc w:val="center"/>
              <w:rPr>
                <w:b/>
                <w:bCs/>
                <w:sz w:val="20"/>
                <w:szCs w:val="20"/>
                <w:lang w:eastAsia="fr-FR"/>
              </w:rPr>
            </w:pPr>
            <w:r w:rsidRPr="00246793">
              <w:rPr>
                <w:b/>
                <w:bCs/>
                <w:sz w:val="20"/>
                <w:szCs w:val="20"/>
                <w:lang w:eastAsia="fr-FR"/>
              </w:rPr>
              <w:t>247,5</w:t>
            </w:r>
          </w:p>
        </w:tc>
        <w:tc>
          <w:tcPr>
            <w:tcW w:w="695" w:type="dxa"/>
            <w:vMerge w:val="restart"/>
            <w:shd w:val="clear" w:color="auto" w:fill="E2EFD9" w:themeFill="accent6" w:themeFillTint="33"/>
            <w:tcMar>
              <w:top w:w="150" w:type="dxa"/>
              <w:left w:w="150" w:type="dxa"/>
              <w:bottom w:w="150" w:type="dxa"/>
              <w:right w:w="150" w:type="dxa"/>
            </w:tcMar>
            <w:vAlign w:val="center"/>
          </w:tcPr>
          <w:p w14:paraId="793A9037" w14:textId="77777777" w:rsidR="00246793" w:rsidRPr="00246793" w:rsidRDefault="00246793" w:rsidP="005D385E">
            <w:pPr>
              <w:jc w:val="center"/>
              <w:rPr>
                <w:b/>
                <w:bCs/>
                <w:sz w:val="20"/>
                <w:szCs w:val="20"/>
                <w:lang w:eastAsia="fr-FR"/>
              </w:rPr>
            </w:pPr>
            <w:r w:rsidRPr="00246793">
              <w:rPr>
                <w:b/>
                <w:bCs/>
                <w:sz w:val="20"/>
                <w:szCs w:val="20"/>
                <w:lang w:eastAsia="fr-FR"/>
              </w:rPr>
              <w:t>35</w:t>
            </w:r>
          </w:p>
        </w:tc>
        <w:tc>
          <w:tcPr>
            <w:tcW w:w="684" w:type="dxa"/>
            <w:vMerge w:val="restart"/>
            <w:shd w:val="clear" w:color="auto" w:fill="B4C6E7" w:themeFill="accent5" w:themeFillTint="66"/>
            <w:vAlign w:val="center"/>
          </w:tcPr>
          <w:p w14:paraId="56BB8D5C" w14:textId="77777777" w:rsidR="00246793" w:rsidRPr="00246793" w:rsidRDefault="00246793" w:rsidP="005D385E">
            <w:pPr>
              <w:jc w:val="center"/>
              <w:rPr>
                <w:b/>
                <w:bCs/>
                <w:sz w:val="20"/>
                <w:szCs w:val="20"/>
                <w:lang w:eastAsia="fr-FR"/>
              </w:rPr>
            </w:pPr>
            <w:r w:rsidRPr="00246793">
              <w:rPr>
                <w:b/>
                <w:bCs/>
                <w:sz w:val="20"/>
                <w:szCs w:val="20"/>
                <w:lang w:eastAsia="fr-FR"/>
              </w:rPr>
              <w:t>30</w:t>
            </w:r>
          </w:p>
        </w:tc>
        <w:tc>
          <w:tcPr>
            <w:tcW w:w="820" w:type="dxa"/>
            <w:vMerge w:val="restart"/>
            <w:shd w:val="clear" w:color="auto" w:fill="B4C6E7" w:themeFill="accent5" w:themeFillTint="66"/>
            <w:vAlign w:val="center"/>
          </w:tcPr>
          <w:p w14:paraId="742AD42A" w14:textId="77777777" w:rsidR="00246793" w:rsidRPr="00246793" w:rsidRDefault="00246793" w:rsidP="005D385E">
            <w:pPr>
              <w:jc w:val="center"/>
              <w:rPr>
                <w:b/>
                <w:bCs/>
                <w:sz w:val="20"/>
                <w:szCs w:val="20"/>
                <w:lang w:eastAsia="fr-FR"/>
              </w:rPr>
            </w:pPr>
            <w:r w:rsidRPr="00246793">
              <w:rPr>
                <w:b/>
                <w:bCs/>
                <w:sz w:val="20"/>
                <w:szCs w:val="20"/>
                <w:lang w:eastAsia="fr-FR"/>
              </w:rPr>
              <w:t>33</w:t>
            </w:r>
          </w:p>
        </w:tc>
      </w:tr>
      <w:tr w:rsidR="00246793" w:rsidRPr="009370F5" w14:paraId="40BA8C3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ign w:val="center"/>
          </w:tcPr>
          <w:p w14:paraId="4F614870" w14:textId="77777777" w:rsidR="00246793" w:rsidRPr="00246793" w:rsidRDefault="00246793" w:rsidP="005D385E">
            <w:pPr>
              <w:jc w:val="center"/>
              <w:rPr>
                <w:b/>
                <w:bCs/>
                <w:sz w:val="20"/>
                <w:szCs w:val="20"/>
                <w:lang w:eastAsia="fr-FR"/>
              </w:rPr>
            </w:pPr>
          </w:p>
        </w:tc>
        <w:tc>
          <w:tcPr>
            <w:tcW w:w="1559" w:type="dxa"/>
            <w:shd w:val="clear" w:color="auto" w:fill="F5F5F5"/>
            <w:tcMar>
              <w:top w:w="150" w:type="dxa"/>
              <w:left w:w="150" w:type="dxa"/>
              <w:bottom w:w="150" w:type="dxa"/>
              <w:right w:w="150" w:type="dxa"/>
            </w:tcMar>
            <w:vAlign w:val="center"/>
          </w:tcPr>
          <w:p w14:paraId="6224CAC0" w14:textId="77777777" w:rsidR="00246793" w:rsidRPr="00246793" w:rsidRDefault="00246793" w:rsidP="005D385E">
            <w:pPr>
              <w:jc w:val="center"/>
              <w:rPr>
                <w:b/>
                <w:bCs/>
                <w:sz w:val="20"/>
                <w:szCs w:val="20"/>
                <w:lang w:eastAsia="fr-FR"/>
              </w:rPr>
            </w:pPr>
            <w:r w:rsidRPr="00246793">
              <w:rPr>
                <w:b/>
                <w:bCs/>
                <w:sz w:val="20"/>
                <w:szCs w:val="20"/>
                <w:lang w:eastAsia="fr-FR"/>
              </w:rPr>
              <w:t>100 ≤ P &lt; 300</w:t>
            </w:r>
          </w:p>
        </w:tc>
        <w:tc>
          <w:tcPr>
            <w:tcW w:w="709" w:type="dxa"/>
            <w:vMerge/>
            <w:shd w:val="clear" w:color="auto" w:fill="E2EFD9" w:themeFill="accent6" w:themeFillTint="33"/>
            <w:tcMar>
              <w:top w:w="150" w:type="dxa"/>
              <w:left w:w="150" w:type="dxa"/>
              <w:bottom w:w="150" w:type="dxa"/>
              <w:right w:w="150" w:type="dxa"/>
            </w:tcMar>
            <w:vAlign w:val="center"/>
          </w:tcPr>
          <w:p w14:paraId="38830E54"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16C9798B" w14:textId="77777777" w:rsidR="00246793" w:rsidRPr="00246793" w:rsidRDefault="00246793" w:rsidP="005D385E">
            <w:pPr>
              <w:jc w:val="center"/>
              <w:rPr>
                <w:b/>
                <w:bCs/>
                <w:sz w:val="20"/>
                <w:szCs w:val="20"/>
                <w:lang w:eastAsia="fr-FR"/>
              </w:rPr>
            </w:pPr>
          </w:p>
        </w:tc>
        <w:tc>
          <w:tcPr>
            <w:tcW w:w="708" w:type="dxa"/>
            <w:vMerge/>
            <w:shd w:val="clear" w:color="auto" w:fill="B4C6E7" w:themeFill="accent5" w:themeFillTint="66"/>
            <w:vAlign w:val="center"/>
          </w:tcPr>
          <w:p w14:paraId="4A4898D8"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5E1C7E05"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061B60B5" w14:textId="77777777" w:rsidR="00246793" w:rsidRPr="00246793" w:rsidRDefault="00246793" w:rsidP="005D385E">
            <w:pPr>
              <w:jc w:val="center"/>
              <w:rPr>
                <w:b/>
                <w:bCs/>
                <w:sz w:val="20"/>
                <w:szCs w:val="20"/>
                <w:lang w:eastAsia="fr-FR"/>
              </w:rPr>
            </w:pPr>
          </w:p>
        </w:tc>
        <w:tc>
          <w:tcPr>
            <w:tcW w:w="777" w:type="dxa"/>
            <w:vMerge/>
            <w:shd w:val="clear" w:color="auto" w:fill="B4C6E7" w:themeFill="accent5" w:themeFillTint="66"/>
            <w:vAlign w:val="center"/>
          </w:tcPr>
          <w:p w14:paraId="6359BFE4" w14:textId="77777777" w:rsidR="00246793" w:rsidRPr="00246793" w:rsidRDefault="00246793" w:rsidP="005D385E">
            <w:pPr>
              <w:jc w:val="center"/>
              <w:rPr>
                <w:b/>
                <w:bCs/>
                <w:sz w:val="20"/>
                <w:szCs w:val="20"/>
                <w:lang w:eastAsia="fr-FR"/>
              </w:rPr>
            </w:pPr>
          </w:p>
        </w:tc>
        <w:tc>
          <w:tcPr>
            <w:tcW w:w="695" w:type="dxa"/>
            <w:vMerge/>
            <w:shd w:val="clear" w:color="auto" w:fill="E2EFD9" w:themeFill="accent6" w:themeFillTint="33"/>
            <w:tcMar>
              <w:top w:w="150" w:type="dxa"/>
              <w:left w:w="150" w:type="dxa"/>
              <w:bottom w:w="150" w:type="dxa"/>
              <w:right w:w="150" w:type="dxa"/>
            </w:tcMar>
            <w:vAlign w:val="center"/>
          </w:tcPr>
          <w:p w14:paraId="05237A41" w14:textId="77777777" w:rsidR="00246793" w:rsidRPr="00246793" w:rsidRDefault="00246793" w:rsidP="005D385E">
            <w:pPr>
              <w:jc w:val="center"/>
              <w:rPr>
                <w:b/>
                <w:bCs/>
                <w:sz w:val="20"/>
                <w:szCs w:val="20"/>
                <w:lang w:eastAsia="fr-FR"/>
              </w:rPr>
            </w:pPr>
          </w:p>
        </w:tc>
        <w:tc>
          <w:tcPr>
            <w:tcW w:w="684" w:type="dxa"/>
            <w:vMerge/>
            <w:shd w:val="clear" w:color="auto" w:fill="B4C6E7" w:themeFill="accent5" w:themeFillTint="66"/>
            <w:vAlign w:val="center"/>
          </w:tcPr>
          <w:p w14:paraId="3D15BCB8" w14:textId="77777777" w:rsidR="00246793" w:rsidRPr="00246793" w:rsidRDefault="00246793" w:rsidP="005D385E">
            <w:pPr>
              <w:jc w:val="center"/>
              <w:rPr>
                <w:b/>
                <w:bCs/>
                <w:sz w:val="20"/>
                <w:szCs w:val="20"/>
                <w:lang w:eastAsia="fr-FR"/>
              </w:rPr>
            </w:pPr>
          </w:p>
        </w:tc>
        <w:tc>
          <w:tcPr>
            <w:tcW w:w="820" w:type="dxa"/>
            <w:vMerge/>
            <w:shd w:val="clear" w:color="auto" w:fill="B4C6E7" w:themeFill="accent5" w:themeFillTint="66"/>
            <w:vAlign w:val="center"/>
          </w:tcPr>
          <w:p w14:paraId="05F5C606" w14:textId="77777777" w:rsidR="00246793" w:rsidRPr="00246793" w:rsidRDefault="00246793" w:rsidP="005D385E">
            <w:pPr>
              <w:jc w:val="center"/>
              <w:rPr>
                <w:b/>
                <w:bCs/>
                <w:sz w:val="20"/>
                <w:szCs w:val="20"/>
                <w:lang w:eastAsia="fr-FR"/>
              </w:rPr>
            </w:pPr>
          </w:p>
        </w:tc>
      </w:tr>
      <w:tr w:rsidR="00246793" w:rsidRPr="009370F5" w14:paraId="224FD48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ign w:val="center"/>
          </w:tcPr>
          <w:p w14:paraId="4FA261D0" w14:textId="77777777" w:rsidR="00246793" w:rsidRPr="00246793" w:rsidRDefault="00246793" w:rsidP="005D385E">
            <w:pPr>
              <w:jc w:val="center"/>
              <w:rPr>
                <w:b/>
                <w:bCs/>
                <w:sz w:val="20"/>
                <w:szCs w:val="20"/>
                <w:lang w:eastAsia="fr-FR"/>
              </w:rPr>
            </w:pPr>
          </w:p>
        </w:tc>
        <w:tc>
          <w:tcPr>
            <w:tcW w:w="1559" w:type="dxa"/>
            <w:shd w:val="clear" w:color="auto" w:fill="F5F5F5"/>
            <w:tcMar>
              <w:top w:w="150" w:type="dxa"/>
              <w:left w:w="150" w:type="dxa"/>
              <w:bottom w:w="150" w:type="dxa"/>
              <w:right w:w="150" w:type="dxa"/>
            </w:tcMar>
            <w:vAlign w:val="center"/>
          </w:tcPr>
          <w:p w14:paraId="238F531D" w14:textId="77777777" w:rsidR="00246793" w:rsidRPr="00246793" w:rsidRDefault="00246793" w:rsidP="005D385E">
            <w:pPr>
              <w:jc w:val="center"/>
              <w:rPr>
                <w:b/>
                <w:bCs/>
                <w:sz w:val="20"/>
                <w:szCs w:val="20"/>
                <w:lang w:eastAsia="fr-FR"/>
              </w:rPr>
            </w:pPr>
            <w:r w:rsidRPr="00246793">
              <w:rPr>
                <w:b/>
                <w:bCs/>
                <w:sz w:val="20"/>
                <w:szCs w:val="20"/>
                <w:lang w:eastAsia="fr-FR"/>
              </w:rPr>
              <w:t>300 ≤ P</w:t>
            </w:r>
          </w:p>
        </w:tc>
        <w:tc>
          <w:tcPr>
            <w:tcW w:w="709" w:type="dxa"/>
            <w:vMerge/>
            <w:shd w:val="clear" w:color="auto" w:fill="E2EFD9" w:themeFill="accent6" w:themeFillTint="33"/>
            <w:tcMar>
              <w:top w:w="150" w:type="dxa"/>
              <w:left w:w="150" w:type="dxa"/>
              <w:bottom w:w="150" w:type="dxa"/>
              <w:right w:w="150" w:type="dxa"/>
            </w:tcMar>
            <w:vAlign w:val="center"/>
          </w:tcPr>
          <w:p w14:paraId="4C743E40"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2284F85D" w14:textId="77777777" w:rsidR="00246793" w:rsidRPr="00246793" w:rsidRDefault="00246793" w:rsidP="005D385E">
            <w:pPr>
              <w:jc w:val="center"/>
              <w:rPr>
                <w:b/>
                <w:bCs/>
                <w:sz w:val="20"/>
                <w:szCs w:val="20"/>
                <w:lang w:eastAsia="fr-FR"/>
              </w:rPr>
            </w:pPr>
          </w:p>
        </w:tc>
        <w:tc>
          <w:tcPr>
            <w:tcW w:w="708" w:type="dxa"/>
            <w:vMerge/>
            <w:shd w:val="clear" w:color="auto" w:fill="B4C6E7" w:themeFill="accent5" w:themeFillTint="66"/>
            <w:vAlign w:val="center"/>
          </w:tcPr>
          <w:p w14:paraId="6238DCD4"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3A7C9113"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57D65A7F" w14:textId="77777777" w:rsidR="00246793" w:rsidRPr="00246793" w:rsidRDefault="00246793" w:rsidP="005D385E">
            <w:pPr>
              <w:jc w:val="center"/>
              <w:rPr>
                <w:b/>
                <w:bCs/>
                <w:sz w:val="20"/>
                <w:szCs w:val="20"/>
                <w:lang w:eastAsia="fr-FR"/>
              </w:rPr>
            </w:pPr>
          </w:p>
        </w:tc>
        <w:tc>
          <w:tcPr>
            <w:tcW w:w="777" w:type="dxa"/>
            <w:vMerge/>
            <w:shd w:val="clear" w:color="auto" w:fill="B4C6E7" w:themeFill="accent5" w:themeFillTint="66"/>
            <w:vAlign w:val="center"/>
          </w:tcPr>
          <w:p w14:paraId="555A96BF" w14:textId="77777777" w:rsidR="00246793" w:rsidRPr="00246793" w:rsidRDefault="00246793" w:rsidP="005D385E">
            <w:pPr>
              <w:jc w:val="center"/>
              <w:rPr>
                <w:b/>
                <w:bCs/>
                <w:sz w:val="20"/>
                <w:szCs w:val="20"/>
                <w:lang w:eastAsia="fr-FR"/>
              </w:rPr>
            </w:pPr>
          </w:p>
        </w:tc>
        <w:tc>
          <w:tcPr>
            <w:tcW w:w="695" w:type="dxa"/>
            <w:vMerge/>
            <w:shd w:val="clear" w:color="auto" w:fill="E2EFD9" w:themeFill="accent6" w:themeFillTint="33"/>
            <w:tcMar>
              <w:top w:w="150" w:type="dxa"/>
              <w:left w:w="150" w:type="dxa"/>
              <w:bottom w:w="150" w:type="dxa"/>
              <w:right w:w="150" w:type="dxa"/>
            </w:tcMar>
            <w:vAlign w:val="center"/>
          </w:tcPr>
          <w:p w14:paraId="0F560AB6" w14:textId="77777777" w:rsidR="00246793" w:rsidRPr="00246793" w:rsidRDefault="00246793" w:rsidP="005D385E">
            <w:pPr>
              <w:jc w:val="center"/>
              <w:rPr>
                <w:b/>
                <w:bCs/>
                <w:sz w:val="20"/>
                <w:szCs w:val="20"/>
                <w:lang w:eastAsia="fr-FR"/>
              </w:rPr>
            </w:pPr>
          </w:p>
        </w:tc>
        <w:tc>
          <w:tcPr>
            <w:tcW w:w="684" w:type="dxa"/>
            <w:vMerge/>
            <w:shd w:val="clear" w:color="auto" w:fill="B4C6E7" w:themeFill="accent5" w:themeFillTint="66"/>
            <w:vAlign w:val="center"/>
          </w:tcPr>
          <w:p w14:paraId="72E59C1D" w14:textId="77777777" w:rsidR="00246793" w:rsidRPr="00246793" w:rsidRDefault="00246793" w:rsidP="005D385E">
            <w:pPr>
              <w:jc w:val="center"/>
              <w:rPr>
                <w:b/>
                <w:bCs/>
                <w:sz w:val="20"/>
                <w:szCs w:val="20"/>
                <w:lang w:eastAsia="fr-FR"/>
              </w:rPr>
            </w:pPr>
          </w:p>
        </w:tc>
        <w:tc>
          <w:tcPr>
            <w:tcW w:w="820" w:type="dxa"/>
            <w:vMerge/>
            <w:shd w:val="clear" w:color="auto" w:fill="B4C6E7" w:themeFill="accent5" w:themeFillTint="66"/>
            <w:vAlign w:val="center"/>
          </w:tcPr>
          <w:p w14:paraId="6DA306FC" w14:textId="77777777" w:rsidR="00246793" w:rsidRPr="00246793" w:rsidRDefault="00246793" w:rsidP="005D385E">
            <w:pPr>
              <w:jc w:val="center"/>
              <w:rPr>
                <w:b/>
                <w:bCs/>
                <w:sz w:val="20"/>
                <w:szCs w:val="20"/>
                <w:lang w:eastAsia="fr-FR"/>
              </w:rPr>
            </w:pPr>
          </w:p>
        </w:tc>
      </w:tr>
      <w:tr w:rsidR="00246793" w:rsidRPr="009370F5" w14:paraId="38C2861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vAlign w:val="center"/>
          </w:tcPr>
          <w:p w14:paraId="6B9916EE" w14:textId="77777777" w:rsidR="00246793" w:rsidRPr="00246793" w:rsidRDefault="00246793" w:rsidP="005D385E">
            <w:pPr>
              <w:jc w:val="center"/>
              <w:rPr>
                <w:b/>
                <w:bCs/>
                <w:sz w:val="20"/>
                <w:szCs w:val="20"/>
                <w:lang w:eastAsia="fr-FR"/>
              </w:rPr>
            </w:pPr>
            <w:r w:rsidRPr="00246793">
              <w:rPr>
                <w:b/>
                <w:bCs/>
                <w:sz w:val="20"/>
                <w:szCs w:val="20"/>
                <w:lang w:eastAsia="fr-FR"/>
              </w:rPr>
              <w:t>Fioul lourd</w:t>
            </w:r>
          </w:p>
        </w:tc>
        <w:tc>
          <w:tcPr>
            <w:tcW w:w="1559" w:type="dxa"/>
            <w:shd w:val="clear" w:color="auto" w:fill="F5F5F5"/>
            <w:tcMar>
              <w:top w:w="150" w:type="dxa"/>
              <w:left w:w="150" w:type="dxa"/>
              <w:bottom w:w="150" w:type="dxa"/>
              <w:right w:w="150" w:type="dxa"/>
            </w:tcMar>
            <w:vAlign w:val="center"/>
          </w:tcPr>
          <w:p w14:paraId="6B11AB22" w14:textId="77777777" w:rsidR="00246793" w:rsidRPr="00246793" w:rsidRDefault="00246793" w:rsidP="005D385E">
            <w:pPr>
              <w:jc w:val="center"/>
              <w:rPr>
                <w:b/>
                <w:bCs/>
                <w:sz w:val="20"/>
                <w:szCs w:val="20"/>
                <w:lang w:eastAsia="fr-FR"/>
              </w:rPr>
            </w:pPr>
            <w:r w:rsidRPr="00246793">
              <w:rPr>
                <w:b/>
                <w:bCs/>
                <w:sz w:val="20"/>
                <w:szCs w:val="20"/>
                <w:lang w:eastAsia="fr-FR"/>
              </w:rPr>
              <w:t>50 ≤ P &lt; 100</w:t>
            </w:r>
          </w:p>
        </w:tc>
        <w:tc>
          <w:tcPr>
            <w:tcW w:w="709" w:type="dxa"/>
            <w:vMerge w:val="restart"/>
            <w:shd w:val="clear" w:color="auto" w:fill="E2EFD9" w:themeFill="accent6" w:themeFillTint="33"/>
            <w:tcMar>
              <w:top w:w="150" w:type="dxa"/>
              <w:left w:w="150" w:type="dxa"/>
              <w:bottom w:w="150" w:type="dxa"/>
              <w:right w:w="150" w:type="dxa"/>
            </w:tcMar>
            <w:vAlign w:val="center"/>
          </w:tcPr>
          <w:p w14:paraId="1FDF2F2A" w14:textId="77777777" w:rsidR="00246793" w:rsidRPr="00246793" w:rsidRDefault="00246793" w:rsidP="005D385E">
            <w:pPr>
              <w:jc w:val="center"/>
              <w:rPr>
                <w:b/>
                <w:bCs/>
                <w:sz w:val="20"/>
                <w:szCs w:val="20"/>
                <w:lang w:eastAsia="fr-FR"/>
              </w:rPr>
            </w:pPr>
            <w:r w:rsidRPr="00246793">
              <w:rPr>
                <w:b/>
                <w:bCs/>
                <w:sz w:val="20"/>
                <w:szCs w:val="20"/>
                <w:lang w:eastAsia="fr-FR"/>
              </w:rPr>
              <w:t>200</w:t>
            </w:r>
          </w:p>
          <w:p w14:paraId="502122D1" w14:textId="77777777" w:rsidR="00246793" w:rsidRPr="00246793" w:rsidRDefault="00246793" w:rsidP="005D385E">
            <w:pPr>
              <w:jc w:val="center"/>
              <w:rPr>
                <w:b/>
                <w:bCs/>
                <w:sz w:val="20"/>
                <w:szCs w:val="20"/>
                <w:lang w:eastAsia="fr-FR"/>
              </w:rPr>
            </w:pPr>
            <w:r w:rsidRPr="00246793">
              <w:rPr>
                <w:b/>
                <w:bCs/>
                <w:sz w:val="20"/>
                <w:szCs w:val="20"/>
                <w:lang w:eastAsia="fr-FR"/>
              </w:rPr>
              <w:t>(1)</w:t>
            </w:r>
          </w:p>
        </w:tc>
        <w:tc>
          <w:tcPr>
            <w:tcW w:w="709" w:type="dxa"/>
            <w:vMerge w:val="restart"/>
            <w:shd w:val="clear" w:color="auto" w:fill="E2EFD9" w:themeFill="accent6" w:themeFillTint="33"/>
            <w:vAlign w:val="center"/>
          </w:tcPr>
          <w:p w14:paraId="22418D7C" w14:textId="77777777" w:rsidR="00246793" w:rsidRPr="00246793" w:rsidRDefault="00246793" w:rsidP="005D385E">
            <w:pPr>
              <w:jc w:val="center"/>
              <w:rPr>
                <w:b/>
                <w:bCs/>
                <w:sz w:val="20"/>
                <w:szCs w:val="20"/>
                <w:lang w:eastAsia="fr-FR"/>
              </w:rPr>
            </w:pPr>
            <w:r w:rsidRPr="00246793">
              <w:rPr>
                <w:b/>
                <w:bCs/>
                <w:sz w:val="20"/>
                <w:szCs w:val="20"/>
                <w:lang w:eastAsia="fr-FR"/>
              </w:rPr>
              <w:t>235</w:t>
            </w:r>
          </w:p>
          <w:p w14:paraId="47DD948E" w14:textId="77777777" w:rsidR="00246793" w:rsidRPr="00246793" w:rsidRDefault="00246793" w:rsidP="005D385E">
            <w:pPr>
              <w:jc w:val="center"/>
              <w:rPr>
                <w:b/>
                <w:bCs/>
                <w:sz w:val="20"/>
                <w:szCs w:val="20"/>
                <w:lang w:eastAsia="fr-FR"/>
              </w:rPr>
            </w:pPr>
            <w:r w:rsidRPr="00246793">
              <w:rPr>
                <w:b/>
                <w:bCs/>
                <w:sz w:val="20"/>
                <w:szCs w:val="20"/>
                <w:lang w:eastAsia="fr-FR"/>
              </w:rPr>
              <w:t>(1)</w:t>
            </w:r>
          </w:p>
        </w:tc>
        <w:tc>
          <w:tcPr>
            <w:tcW w:w="708" w:type="dxa"/>
            <w:vMerge w:val="restart"/>
            <w:shd w:val="clear" w:color="auto" w:fill="E2EFD9" w:themeFill="accent6" w:themeFillTint="33"/>
            <w:vAlign w:val="center"/>
          </w:tcPr>
          <w:p w14:paraId="1A98E281" w14:textId="77777777" w:rsidR="00246793" w:rsidRPr="00246793" w:rsidRDefault="00246793" w:rsidP="005D385E">
            <w:pPr>
              <w:jc w:val="center"/>
              <w:rPr>
                <w:b/>
                <w:bCs/>
                <w:sz w:val="20"/>
                <w:szCs w:val="20"/>
                <w:lang w:eastAsia="fr-FR"/>
              </w:rPr>
            </w:pPr>
            <w:r w:rsidRPr="00246793">
              <w:rPr>
                <w:b/>
                <w:bCs/>
                <w:sz w:val="20"/>
                <w:szCs w:val="20"/>
                <w:lang w:eastAsia="fr-FR"/>
              </w:rPr>
              <w:t>235</w:t>
            </w:r>
          </w:p>
          <w:p w14:paraId="76363D4F" w14:textId="77777777" w:rsidR="00246793" w:rsidRPr="00246793" w:rsidRDefault="00246793" w:rsidP="005D385E">
            <w:pPr>
              <w:jc w:val="center"/>
              <w:rPr>
                <w:b/>
                <w:bCs/>
                <w:sz w:val="20"/>
                <w:szCs w:val="20"/>
                <w:lang w:eastAsia="fr-FR"/>
              </w:rPr>
            </w:pPr>
            <w:r w:rsidRPr="00246793">
              <w:rPr>
                <w:b/>
                <w:bCs/>
                <w:sz w:val="20"/>
                <w:szCs w:val="20"/>
                <w:lang w:eastAsia="fr-FR"/>
              </w:rPr>
              <w:t>(1)</w:t>
            </w:r>
          </w:p>
        </w:tc>
        <w:tc>
          <w:tcPr>
            <w:tcW w:w="851" w:type="dxa"/>
            <w:vMerge w:val="restart"/>
            <w:shd w:val="clear" w:color="auto" w:fill="E2EFD9" w:themeFill="accent6" w:themeFillTint="33"/>
            <w:tcMar>
              <w:top w:w="150" w:type="dxa"/>
              <w:left w:w="150" w:type="dxa"/>
              <w:bottom w:w="150" w:type="dxa"/>
              <w:right w:w="150" w:type="dxa"/>
            </w:tcMar>
            <w:vAlign w:val="center"/>
          </w:tcPr>
          <w:p w14:paraId="19DB06B9" w14:textId="77777777" w:rsidR="00246793" w:rsidRPr="00246793" w:rsidRDefault="00246793" w:rsidP="005D385E">
            <w:pPr>
              <w:jc w:val="center"/>
              <w:rPr>
                <w:b/>
                <w:bCs/>
                <w:sz w:val="20"/>
                <w:szCs w:val="20"/>
                <w:lang w:eastAsia="fr-FR"/>
              </w:rPr>
            </w:pPr>
            <w:r w:rsidRPr="00246793">
              <w:rPr>
                <w:b/>
                <w:bCs/>
                <w:sz w:val="20"/>
                <w:szCs w:val="20"/>
                <w:lang w:eastAsia="fr-FR"/>
              </w:rPr>
              <w:t>625</w:t>
            </w:r>
          </w:p>
        </w:tc>
        <w:tc>
          <w:tcPr>
            <w:tcW w:w="709" w:type="dxa"/>
            <w:vMerge w:val="restart"/>
            <w:shd w:val="clear" w:color="auto" w:fill="B4C6E7" w:themeFill="accent5" w:themeFillTint="66"/>
            <w:vAlign w:val="center"/>
          </w:tcPr>
          <w:p w14:paraId="029DA6FA" w14:textId="77777777" w:rsidR="00246793" w:rsidRPr="00246793" w:rsidRDefault="00246793" w:rsidP="005D385E">
            <w:pPr>
              <w:jc w:val="center"/>
              <w:rPr>
                <w:b/>
                <w:bCs/>
                <w:sz w:val="20"/>
                <w:szCs w:val="20"/>
                <w:lang w:eastAsia="fr-FR"/>
              </w:rPr>
            </w:pPr>
            <w:r w:rsidRPr="00246793">
              <w:rPr>
                <w:b/>
                <w:bCs/>
                <w:sz w:val="20"/>
                <w:szCs w:val="20"/>
                <w:lang w:eastAsia="fr-FR"/>
              </w:rPr>
              <w:t>225</w:t>
            </w:r>
          </w:p>
        </w:tc>
        <w:tc>
          <w:tcPr>
            <w:tcW w:w="777" w:type="dxa"/>
            <w:vMerge w:val="restart"/>
            <w:shd w:val="clear" w:color="auto" w:fill="B4C6E7" w:themeFill="accent5" w:themeFillTint="66"/>
            <w:vAlign w:val="center"/>
          </w:tcPr>
          <w:p w14:paraId="751B6809" w14:textId="77777777" w:rsidR="00246793" w:rsidRPr="00246793" w:rsidRDefault="00246793" w:rsidP="005D385E">
            <w:pPr>
              <w:jc w:val="center"/>
              <w:rPr>
                <w:b/>
                <w:bCs/>
                <w:sz w:val="20"/>
                <w:szCs w:val="20"/>
                <w:lang w:eastAsia="fr-FR"/>
              </w:rPr>
            </w:pPr>
            <w:r w:rsidRPr="00246793">
              <w:rPr>
                <w:b/>
                <w:bCs/>
                <w:sz w:val="20"/>
                <w:szCs w:val="20"/>
                <w:lang w:eastAsia="fr-FR"/>
              </w:rPr>
              <w:t>247,5</w:t>
            </w:r>
          </w:p>
        </w:tc>
        <w:tc>
          <w:tcPr>
            <w:tcW w:w="695" w:type="dxa"/>
            <w:vMerge w:val="restart"/>
            <w:shd w:val="clear" w:color="auto" w:fill="E2EFD9" w:themeFill="accent6" w:themeFillTint="33"/>
            <w:tcMar>
              <w:top w:w="150" w:type="dxa"/>
              <w:left w:w="150" w:type="dxa"/>
              <w:bottom w:w="150" w:type="dxa"/>
              <w:right w:w="150" w:type="dxa"/>
            </w:tcMar>
            <w:vAlign w:val="center"/>
          </w:tcPr>
          <w:p w14:paraId="37730959" w14:textId="77777777" w:rsidR="00246793" w:rsidRPr="00246793" w:rsidRDefault="00246793" w:rsidP="005D385E">
            <w:pPr>
              <w:jc w:val="center"/>
              <w:rPr>
                <w:b/>
                <w:bCs/>
                <w:sz w:val="20"/>
                <w:szCs w:val="20"/>
                <w:lang w:eastAsia="fr-FR"/>
              </w:rPr>
            </w:pPr>
            <w:r w:rsidRPr="00246793">
              <w:rPr>
                <w:b/>
                <w:bCs/>
                <w:sz w:val="20"/>
                <w:szCs w:val="20"/>
                <w:lang w:eastAsia="fr-FR"/>
              </w:rPr>
              <w:t>35</w:t>
            </w:r>
          </w:p>
        </w:tc>
        <w:tc>
          <w:tcPr>
            <w:tcW w:w="684" w:type="dxa"/>
            <w:vMerge w:val="restart"/>
            <w:shd w:val="clear" w:color="auto" w:fill="B4C6E7" w:themeFill="accent5" w:themeFillTint="66"/>
            <w:vAlign w:val="center"/>
          </w:tcPr>
          <w:p w14:paraId="533A7146" w14:textId="77777777" w:rsidR="00246793" w:rsidRPr="00246793" w:rsidRDefault="00246793" w:rsidP="005D385E">
            <w:pPr>
              <w:jc w:val="center"/>
              <w:rPr>
                <w:b/>
                <w:bCs/>
                <w:sz w:val="20"/>
                <w:szCs w:val="20"/>
                <w:lang w:eastAsia="fr-FR"/>
              </w:rPr>
            </w:pPr>
            <w:r w:rsidRPr="00246793">
              <w:rPr>
                <w:b/>
                <w:bCs/>
                <w:sz w:val="20"/>
                <w:szCs w:val="20"/>
                <w:lang w:eastAsia="fr-FR"/>
              </w:rPr>
              <w:t>40</w:t>
            </w:r>
          </w:p>
        </w:tc>
        <w:tc>
          <w:tcPr>
            <w:tcW w:w="820" w:type="dxa"/>
            <w:vMerge w:val="restart"/>
            <w:shd w:val="clear" w:color="auto" w:fill="B4C6E7" w:themeFill="accent5" w:themeFillTint="66"/>
            <w:vAlign w:val="center"/>
          </w:tcPr>
          <w:p w14:paraId="04187163" w14:textId="77777777" w:rsidR="00246793" w:rsidRPr="00246793" w:rsidRDefault="00246793" w:rsidP="005D385E">
            <w:pPr>
              <w:jc w:val="center"/>
              <w:rPr>
                <w:b/>
                <w:bCs/>
                <w:sz w:val="20"/>
                <w:szCs w:val="20"/>
                <w:lang w:eastAsia="fr-FR"/>
              </w:rPr>
            </w:pPr>
            <w:r w:rsidRPr="00246793">
              <w:rPr>
                <w:b/>
                <w:bCs/>
                <w:sz w:val="20"/>
                <w:szCs w:val="20"/>
                <w:lang w:eastAsia="fr-FR"/>
              </w:rPr>
              <w:t>44</w:t>
            </w:r>
          </w:p>
        </w:tc>
      </w:tr>
      <w:tr w:rsidR="00246793" w:rsidRPr="009370F5" w14:paraId="5AB5D90A"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ign w:val="center"/>
          </w:tcPr>
          <w:p w14:paraId="199F9AEB" w14:textId="77777777" w:rsidR="00246793" w:rsidRPr="00246793" w:rsidRDefault="00246793" w:rsidP="005D385E">
            <w:pPr>
              <w:rPr>
                <w:b/>
                <w:bCs/>
                <w:sz w:val="20"/>
                <w:szCs w:val="20"/>
                <w:lang w:eastAsia="fr-FR"/>
              </w:rPr>
            </w:pPr>
          </w:p>
        </w:tc>
        <w:tc>
          <w:tcPr>
            <w:tcW w:w="1559" w:type="dxa"/>
            <w:shd w:val="clear" w:color="auto" w:fill="F5F5F5"/>
            <w:tcMar>
              <w:top w:w="150" w:type="dxa"/>
              <w:left w:w="150" w:type="dxa"/>
              <w:bottom w:w="150" w:type="dxa"/>
              <w:right w:w="150" w:type="dxa"/>
            </w:tcMar>
            <w:vAlign w:val="center"/>
          </w:tcPr>
          <w:p w14:paraId="1B06EC6F" w14:textId="77777777" w:rsidR="00246793" w:rsidRPr="00246793" w:rsidRDefault="00246793" w:rsidP="005D385E">
            <w:pPr>
              <w:jc w:val="center"/>
              <w:rPr>
                <w:b/>
                <w:bCs/>
                <w:sz w:val="20"/>
                <w:szCs w:val="20"/>
                <w:lang w:eastAsia="fr-FR"/>
              </w:rPr>
            </w:pPr>
            <w:r w:rsidRPr="00246793">
              <w:rPr>
                <w:b/>
                <w:bCs/>
                <w:sz w:val="20"/>
                <w:szCs w:val="20"/>
                <w:lang w:eastAsia="fr-FR"/>
              </w:rPr>
              <w:t>100 ≤ P &lt; 300</w:t>
            </w:r>
          </w:p>
        </w:tc>
        <w:tc>
          <w:tcPr>
            <w:tcW w:w="709" w:type="dxa"/>
            <w:vMerge/>
            <w:shd w:val="clear" w:color="auto" w:fill="E2EFD9" w:themeFill="accent6" w:themeFillTint="33"/>
            <w:tcMar>
              <w:top w:w="150" w:type="dxa"/>
              <w:left w:w="150" w:type="dxa"/>
              <w:bottom w:w="150" w:type="dxa"/>
              <w:right w:w="150" w:type="dxa"/>
            </w:tcMar>
            <w:vAlign w:val="center"/>
          </w:tcPr>
          <w:p w14:paraId="73A9279A" w14:textId="77777777" w:rsidR="00246793" w:rsidRPr="00246793" w:rsidRDefault="00246793" w:rsidP="005D385E">
            <w:pPr>
              <w:jc w:val="center"/>
              <w:rPr>
                <w:b/>
                <w:bCs/>
                <w:sz w:val="20"/>
                <w:szCs w:val="20"/>
                <w:lang w:eastAsia="fr-FR"/>
              </w:rPr>
            </w:pPr>
          </w:p>
        </w:tc>
        <w:tc>
          <w:tcPr>
            <w:tcW w:w="709" w:type="dxa"/>
            <w:vMerge/>
            <w:shd w:val="clear" w:color="auto" w:fill="E2EFD9" w:themeFill="accent6" w:themeFillTint="33"/>
            <w:vAlign w:val="center"/>
          </w:tcPr>
          <w:p w14:paraId="3B613183" w14:textId="77777777" w:rsidR="00246793" w:rsidRPr="00246793" w:rsidRDefault="00246793" w:rsidP="005D385E">
            <w:pPr>
              <w:jc w:val="center"/>
              <w:rPr>
                <w:b/>
                <w:bCs/>
                <w:sz w:val="20"/>
                <w:szCs w:val="20"/>
                <w:lang w:eastAsia="fr-FR"/>
              </w:rPr>
            </w:pPr>
          </w:p>
        </w:tc>
        <w:tc>
          <w:tcPr>
            <w:tcW w:w="708" w:type="dxa"/>
            <w:vMerge/>
            <w:shd w:val="clear" w:color="auto" w:fill="E2EFD9" w:themeFill="accent6" w:themeFillTint="33"/>
            <w:vAlign w:val="center"/>
          </w:tcPr>
          <w:p w14:paraId="1AB53E17"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361BC77B"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62C08C54" w14:textId="77777777" w:rsidR="00246793" w:rsidRPr="00246793" w:rsidRDefault="00246793" w:rsidP="005D385E">
            <w:pPr>
              <w:jc w:val="center"/>
              <w:rPr>
                <w:b/>
                <w:bCs/>
                <w:sz w:val="20"/>
                <w:szCs w:val="20"/>
                <w:lang w:eastAsia="fr-FR"/>
              </w:rPr>
            </w:pPr>
          </w:p>
        </w:tc>
        <w:tc>
          <w:tcPr>
            <w:tcW w:w="777" w:type="dxa"/>
            <w:vMerge/>
            <w:shd w:val="clear" w:color="auto" w:fill="B4C6E7" w:themeFill="accent5" w:themeFillTint="66"/>
            <w:vAlign w:val="center"/>
          </w:tcPr>
          <w:p w14:paraId="0FD459C5" w14:textId="77777777" w:rsidR="00246793" w:rsidRPr="00246793" w:rsidRDefault="00246793" w:rsidP="005D385E">
            <w:pPr>
              <w:jc w:val="center"/>
              <w:rPr>
                <w:b/>
                <w:bCs/>
                <w:sz w:val="20"/>
                <w:szCs w:val="20"/>
                <w:lang w:eastAsia="fr-FR"/>
              </w:rPr>
            </w:pPr>
          </w:p>
        </w:tc>
        <w:tc>
          <w:tcPr>
            <w:tcW w:w="695" w:type="dxa"/>
            <w:vMerge/>
            <w:shd w:val="clear" w:color="auto" w:fill="E2EFD9" w:themeFill="accent6" w:themeFillTint="33"/>
            <w:tcMar>
              <w:top w:w="150" w:type="dxa"/>
              <w:left w:w="150" w:type="dxa"/>
              <w:bottom w:w="150" w:type="dxa"/>
              <w:right w:w="150" w:type="dxa"/>
            </w:tcMar>
            <w:vAlign w:val="center"/>
          </w:tcPr>
          <w:p w14:paraId="60849994" w14:textId="77777777" w:rsidR="00246793" w:rsidRPr="00246793" w:rsidRDefault="00246793" w:rsidP="005D385E">
            <w:pPr>
              <w:jc w:val="center"/>
              <w:rPr>
                <w:b/>
                <w:bCs/>
                <w:sz w:val="20"/>
                <w:szCs w:val="20"/>
                <w:lang w:eastAsia="fr-FR"/>
              </w:rPr>
            </w:pPr>
          </w:p>
        </w:tc>
        <w:tc>
          <w:tcPr>
            <w:tcW w:w="684" w:type="dxa"/>
            <w:vMerge/>
            <w:shd w:val="clear" w:color="auto" w:fill="B4C6E7" w:themeFill="accent5" w:themeFillTint="66"/>
            <w:vAlign w:val="center"/>
          </w:tcPr>
          <w:p w14:paraId="5A04B9C0" w14:textId="77777777" w:rsidR="00246793" w:rsidRPr="00246793" w:rsidRDefault="00246793" w:rsidP="005D385E">
            <w:pPr>
              <w:jc w:val="center"/>
              <w:rPr>
                <w:b/>
                <w:bCs/>
                <w:sz w:val="20"/>
                <w:szCs w:val="20"/>
                <w:lang w:eastAsia="fr-FR"/>
              </w:rPr>
            </w:pPr>
          </w:p>
        </w:tc>
        <w:tc>
          <w:tcPr>
            <w:tcW w:w="820" w:type="dxa"/>
            <w:vMerge/>
            <w:shd w:val="clear" w:color="auto" w:fill="B4C6E7" w:themeFill="accent5" w:themeFillTint="66"/>
            <w:vAlign w:val="center"/>
          </w:tcPr>
          <w:p w14:paraId="0256E5AD" w14:textId="77777777" w:rsidR="00246793" w:rsidRPr="00246793" w:rsidRDefault="00246793" w:rsidP="005D385E">
            <w:pPr>
              <w:jc w:val="center"/>
              <w:rPr>
                <w:b/>
                <w:bCs/>
                <w:sz w:val="20"/>
                <w:szCs w:val="20"/>
                <w:lang w:eastAsia="fr-FR"/>
              </w:rPr>
            </w:pPr>
          </w:p>
        </w:tc>
      </w:tr>
      <w:tr w:rsidR="00246793" w:rsidRPr="009370F5" w14:paraId="4676ACE8"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tcBorders>
              <w:bottom w:val="single" w:sz="4" w:space="0" w:color="auto"/>
            </w:tcBorders>
            <w:vAlign w:val="center"/>
          </w:tcPr>
          <w:p w14:paraId="0D544182" w14:textId="77777777" w:rsidR="00246793" w:rsidRPr="00246793" w:rsidRDefault="00246793" w:rsidP="005D385E">
            <w:pPr>
              <w:rPr>
                <w:b/>
                <w:bCs/>
                <w:sz w:val="20"/>
                <w:szCs w:val="20"/>
                <w:lang w:eastAsia="fr-FR"/>
              </w:rPr>
            </w:pPr>
          </w:p>
        </w:tc>
        <w:tc>
          <w:tcPr>
            <w:tcW w:w="1559" w:type="dxa"/>
            <w:tcBorders>
              <w:bottom w:val="single" w:sz="4" w:space="0" w:color="auto"/>
            </w:tcBorders>
            <w:shd w:val="clear" w:color="auto" w:fill="F5F5F5"/>
            <w:tcMar>
              <w:top w:w="150" w:type="dxa"/>
              <w:left w:w="150" w:type="dxa"/>
              <w:bottom w:w="150" w:type="dxa"/>
              <w:right w:w="150" w:type="dxa"/>
            </w:tcMar>
            <w:vAlign w:val="center"/>
          </w:tcPr>
          <w:p w14:paraId="7461DFC8" w14:textId="77777777" w:rsidR="00246793" w:rsidRPr="00246793" w:rsidRDefault="00246793" w:rsidP="005D385E">
            <w:pPr>
              <w:jc w:val="center"/>
              <w:rPr>
                <w:b/>
                <w:bCs/>
                <w:sz w:val="20"/>
                <w:szCs w:val="20"/>
                <w:lang w:eastAsia="fr-FR"/>
              </w:rPr>
            </w:pPr>
            <w:r w:rsidRPr="00246793">
              <w:rPr>
                <w:b/>
                <w:bCs/>
                <w:sz w:val="20"/>
                <w:szCs w:val="20"/>
                <w:lang w:eastAsia="fr-FR"/>
              </w:rPr>
              <w:t>300 ≤ P</w:t>
            </w:r>
          </w:p>
        </w:tc>
        <w:tc>
          <w:tcPr>
            <w:tcW w:w="709"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69D2E767" w14:textId="77777777" w:rsidR="00246793" w:rsidRPr="00246793" w:rsidRDefault="00246793" w:rsidP="005D385E">
            <w:pPr>
              <w:jc w:val="center"/>
              <w:rPr>
                <w:b/>
                <w:bCs/>
                <w:sz w:val="20"/>
                <w:szCs w:val="20"/>
                <w:lang w:eastAsia="fr-FR"/>
              </w:rPr>
            </w:pPr>
          </w:p>
        </w:tc>
        <w:tc>
          <w:tcPr>
            <w:tcW w:w="709" w:type="dxa"/>
            <w:vMerge/>
            <w:tcBorders>
              <w:bottom w:val="single" w:sz="4" w:space="0" w:color="auto"/>
            </w:tcBorders>
            <w:shd w:val="clear" w:color="auto" w:fill="E2EFD9" w:themeFill="accent6" w:themeFillTint="33"/>
            <w:vAlign w:val="center"/>
          </w:tcPr>
          <w:p w14:paraId="5B043C0C" w14:textId="77777777" w:rsidR="00246793" w:rsidRPr="00246793" w:rsidRDefault="00246793" w:rsidP="005D385E">
            <w:pPr>
              <w:jc w:val="center"/>
              <w:rPr>
                <w:b/>
                <w:bCs/>
                <w:sz w:val="20"/>
                <w:szCs w:val="20"/>
                <w:lang w:eastAsia="fr-FR"/>
              </w:rPr>
            </w:pPr>
          </w:p>
        </w:tc>
        <w:tc>
          <w:tcPr>
            <w:tcW w:w="708" w:type="dxa"/>
            <w:vMerge/>
            <w:tcBorders>
              <w:bottom w:val="single" w:sz="4" w:space="0" w:color="auto"/>
            </w:tcBorders>
            <w:shd w:val="clear" w:color="auto" w:fill="E2EFD9" w:themeFill="accent6" w:themeFillTint="33"/>
            <w:vAlign w:val="center"/>
          </w:tcPr>
          <w:p w14:paraId="4C808C33" w14:textId="77777777" w:rsidR="00246793" w:rsidRPr="00246793" w:rsidRDefault="00246793" w:rsidP="005D385E">
            <w:pPr>
              <w:jc w:val="center"/>
              <w:rPr>
                <w:b/>
                <w:bCs/>
                <w:sz w:val="20"/>
                <w:szCs w:val="20"/>
                <w:lang w:eastAsia="fr-FR"/>
              </w:rPr>
            </w:pPr>
          </w:p>
        </w:tc>
        <w:tc>
          <w:tcPr>
            <w:tcW w:w="851"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7A8F5352" w14:textId="77777777" w:rsidR="00246793" w:rsidRPr="00246793" w:rsidRDefault="00246793" w:rsidP="005D385E">
            <w:pPr>
              <w:jc w:val="center"/>
              <w:rPr>
                <w:b/>
                <w:bCs/>
                <w:sz w:val="20"/>
                <w:szCs w:val="20"/>
                <w:lang w:eastAsia="fr-FR"/>
              </w:rPr>
            </w:pPr>
          </w:p>
        </w:tc>
        <w:tc>
          <w:tcPr>
            <w:tcW w:w="709" w:type="dxa"/>
            <w:vMerge/>
            <w:tcBorders>
              <w:bottom w:val="single" w:sz="4" w:space="0" w:color="auto"/>
            </w:tcBorders>
            <w:shd w:val="clear" w:color="auto" w:fill="B4C6E7" w:themeFill="accent5" w:themeFillTint="66"/>
            <w:vAlign w:val="center"/>
          </w:tcPr>
          <w:p w14:paraId="677C65FA" w14:textId="77777777" w:rsidR="00246793" w:rsidRPr="00246793" w:rsidRDefault="00246793" w:rsidP="005D385E">
            <w:pPr>
              <w:jc w:val="center"/>
              <w:rPr>
                <w:b/>
                <w:bCs/>
                <w:sz w:val="20"/>
                <w:szCs w:val="20"/>
                <w:lang w:eastAsia="fr-FR"/>
              </w:rPr>
            </w:pPr>
          </w:p>
        </w:tc>
        <w:tc>
          <w:tcPr>
            <w:tcW w:w="777" w:type="dxa"/>
            <w:vMerge/>
            <w:tcBorders>
              <w:bottom w:val="single" w:sz="4" w:space="0" w:color="auto"/>
            </w:tcBorders>
            <w:shd w:val="clear" w:color="auto" w:fill="B4C6E7" w:themeFill="accent5" w:themeFillTint="66"/>
            <w:vAlign w:val="center"/>
          </w:tcPr>
          <w:p w14:paraId="2A6104F5" w14:textId="77777777" w:rsidR="00246793" w:rsidRPr="00246793" w:rsidRDefault="00246793" w:rsidP="005D385E">
            <w:pPr>
              <w:jc w:val="center"/>
              <w:rPr>
                <w:b/>
                <w:bCs/>
                <w:sz w:val="20"/>
                <w:szCs w:val="20"/>
                <w:lang w:eastAsia="fr-FR"/>
              </w:rPr>
            </w:pPr>
          </w:p>
        </w:tc>
        <w:tc>
          <w:tcPr>
            <w:tcW w:w="695" w:type="dxa"/>
            <w:vMerge/>
            <w:tcBorders>
              <w:bottom w:val="single" w:sz="4" w:space="0" w:color="auto"/>
            </w:tcBorders>
            <w:shd w:val="clear" w:color="auto" w:fill="E2EFD9" w:themeFill="accent6" w:themeFillTint="33"/>
            <w:tcMar>
              <w:top w:w="150" w:type="dxa"/>
              <w:left w:w="150" w:type="dxa"/>
              <w:bottom w:w="150" w:type="dxa"/>
              <w:right w:w="150" w:type="dxa"/>
            </w:tcMar>
            <w:vAlign w:val="center"/>
          </w:tcPr>
          <w:p w14:paraId="6707FC60" w14:textId="77777777" w:rsidR="00246793" w:rsidRPr="00246793" w:rsidRDefault="00246793" w:rsidP="005D385E">
            <w:pPr>
              <w:jc w:val="center"/>
              <w:rPr>
                <w:b/>
                <w:bCs/>
                <w:sz w:val="20"/>
                <w:szCs w:val="20"/>
                <w:lang w:eastAsia="fr-FR"/>
              </w:rPr>
            </w:pPr>
          </w:p>
        </w:tc>
        <w:tc>
          <w:tcPr>
            <w:tcW w:w="684" w:type="dxa"/>
            <w:vMerge/>
            <w:tcBorders>
              <w:bottom w:val="single" w:sz="4" w:space="0" w:color="auto"/>
            </w:tcBorders>
            <w:shd w:val="clear" w:color="auto" w:fill="B4C6E7" w:themeFill="accent5" w:themeFillTint="66"/>
            <w:vAlign w:val="center"/>
          </w:tcPr>
          <w:p w14:paraId="3869D2C1" w14:textId="77777777" w:rsidR="00246793" w:rsidRPr="00246793" w:rsidRDefault="00246793" w:rsidP="005D385E">
            <w:pPr>
              <w:jc w:val="center"/>
              <w:rPr>
                <w:b/>
                <w:bCs/>
                <w:sz w:val="20"/>
                <w:szCs w:val="20"/>
                <w:lang w:eastAsia="fr-FR"/>
              </w:rPr>
            </w:pPr>
          </w:p>
        </w:tc>
        <w:tc>
          <w:tcPr>
            <w:tcW w:w="820" w:type="dxa"/>
            <w:vMerge/>
            <w:tcBorders>
              <w:bottom w:val="single" w:sz="4" w:space="0" w:color="auto"/>
            </w:tcBorders>
            <w:shd w:val="clear" w:color="auto" w:fill="B4C6E7" w:themeFill="accent5" w:themeFillTint="66"/>
            <w:vAlign w:val="center"/>
          </w:tcPr>
          <w:p w14:paraId="4EC714D2" w14:textId="77777777" w:rsidR="00246793" w:rsidRPr="00246793" w:rsidRDefault="00246793" w:rsidP="005D385E">
            <w:pPr>
              <w:jc w:val="center"/>
              <w:rPr>
                <w:b/>
                <w:bCs/>
                <w:sz w:val="20"/>
                <w:szCs w:val="20"/>
                <w:lang w:eastAsia="fr-FR"/>
              </w:rPr>
            </w:pPr>
          </w:p>
        </w:tc>
      </w:tr>
      <w:tr w:rsidR="00246793" w:rsidRPr="009370F5" w14:paraId="46275E6F"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restart"/>
            <w:vAlign w:val="center"/>
          </w:tcPr>
          <w:p w14:paraId="51D41A58" w14:textId="77777777" w:rsidR="00246793" w:rsidRPr="00246793" w:rsidRDefault="00246793" w:rsidP="005D385E">
            <w:pPr>
              <w:jc w:val="center"/>
              <w:rPr>
                <w:b/>
                <w:bCs/>
                <w:sz w:val="20"/>
                <w:szCs w:val="20"/>
                <w:lang w:eastAsia="fr-FR"/>
              </w:rPr>
            </w:pPr>
            <w:r w:rsidRPr="00246793">
              <w:rPr>
                <w:b/>
                <w:bCs/>
                <w:sz w:val="20"/>
                <w:szCs w:val="20"/>
                <w:lang w:eastAsia="fr-FR"/>
              </w:rPr>
              <w:t>Gaz naturel</w:t>
            </w:r>
          </w:p>
        </w:tc>
        <w:tc>
          <w:tcPr>
            <w:tcW w:w="1559" w:type="dxa"/>
            <w:shd w:val="clear" w:color="auto" w:fill="F5F5F5"/>
            <w:tcMar>
              <w:top w:w="150" w:type="dxa"/>
              <w:left w:w="150" w:type="dxa"/>
              <w:bottom w:w="150" w:type="dxa"/>
              <w:right w:w="150" w:type="dxa"/>
            </w:tcMar>
            <w:vAlign w:val="center"/>
          </w:tcPr>
          <w:p w14:paraId="5103888B" w14:textId="77777777" w:rsidR="00246793" w:rsidRPr="00246793" w:rsidRDefault="00246793" w:rsidP="005D385E">
            <w:pPr>
              <w:jc w:val="center"/>
              <w:rPr>
                <w:b/>
                <w:bCs/>
                <w:sz w:val="20"/>
                <w:szCs w:val="20"/>
                <w:lang w:eastAsia="fr-FR"/>
              </w:rPr>
            </w:pPr>
            <w:r w:rsidRPr="00246793">
              <w:rPr>
                <w:b/>
                <w:bCs/>
                <w:sz w:val="20"/>
                <w:szCs w:val="20"/>
                <w:lang w:eastAsia="fr-FR"/>
              </w:rPr>
              <w:t>50 ≤ P &lt; 100</w:t>
            </w:r>
          </w:p>
        </w:tc>
        <w:tc>
          <w:tcPr>
            <w:tcW w:w="709" w:type="dxa"/>
            <w:vMerge w:val="restart"/>
            <w:shd w:val="clear" w:color="auto" w:fill="D9D9D9" w:themeFill="background1" w:themeFillShade="D9"/>
            <w:tcMar>
              <w:top w:w="150" w:type="dxa"/>
              <w:left w:w="150" w:type="dxa"/>
              <w:bottom w:w="150" w:type="dxa"/>
              <w:right w:w="150" w:type="dxa"/>
            </w:tcMar>
            <w:vAlign w:val="center"/>
          </w:tcPr>
          <w:p w14:paraId="0F9A2FE4" w14:textId="77777777" w:rsidR="00246793" w:rsidRPr="00246793" w:rsidRDefault="00246793" w:rsidP="005D385E">
            <w:pPr>
              <w:jc w:val="center"/>
              <w:rPr>
                <w:b/>
                <w:bCs/>
                <w:sz w:val="20"/>
                <w:szCs w:val="20"/>
                <w:lang w:eastAsia="fr-FR"/>
              </w:rPr>
            </w:pPr>
          </w:p>
        </w:tc>
        <w:tc>
          <w:tcPr>
            <w:tcW w:w="709" w:type="dxa"/>
            <w:vMerge w:val="restart"/>
            <w:shd w:val="clear" w:color="auto" w:fill="D9D9D9" w:themeFill="background1" w:themeFillShade="D9"/>
            <w:vAlign w:val="center"/>
          </w:tcPr>
          <w:p w14:paraId="292BE6D1" w14:textId="77777777" w:rsidR="00246793" w:rsidRPr="00246793" w:rsidRDefault="00246793" w:rsidP="005D385E">
            <w:pPr>
              <w:jc w:val="center"/>
              <w:rPr>
                <w:b/>
                <w:bCs/>
                <w:sz w:val="20"/>
                <w:szCs w:val="20"/>
                <w:lang w:eastAsia="fr-FR"/>
              </w:rPr>
            </w:pPr>
          </w:p>
        </w:tc>
        <w:tc>
          <w:tcPr>
            <w:tcW w:w="708" w:type="dxa"/>
            <w:vMerge w:val="restart"/>
            <w:shd w:val="clear" w:color="auto" w:fill="D9D9D9" w:themeFill="background1" w:themeFillShade="D9"/>
            <w:vAlign w:val="center"/>
          </w:tcPr>
          <w:p w14:paraId="1442A11E" w14:textId="77777777" w:rsidR="00246793" w:rsidRPr="00246793" w:rsidRDefault="00246793" w:rsidP="005D385E">
            <w:pPr>
              <w:jc w:val="center"/>
              <w:rPr>
                <w:b/>
                <w:bCs/>
                <w:sz w:val="20"/>
                <w:szCs w:val="20"/>
                <w:lang w:eastAsia="fr-FR"/>
              </w:rPr>
            </w:pPr>
          </w:p>
        </w:tc>
        <w:tc>
          <w:tcPr>
            <w:tcW w:w="851" w:type="dxa"/>
            <w:vMerge w:val="restart"/>
            <w:shd w:val="clear" w:color="auto" w:fill="E2EFD9" w:themeFill="accent6" w:themeFillTint="33"/>
            <w:tcMar>
              <w:top w:w="150" w:type="dxa"/>
              <w:left w:w="150" w:type="dxa"/>
              <w:bottom w:w="150" w:type="dxa"/>
              <w:right w:w="150" w:type="dxa"/>
            </w:tcMar>
            <w:vAlign w:val="center"/>
          </w:tcPr>
          <w:p w14:paraId="5B2BB06C" w14:textId="77777777" w:rsidR="00246793" w:rsidRPr="00246793" w:rsidRDefault="00246793" w:rsidP="005D385E">
            <w:pPr>
              <w:jc w:val="center"/>
              <w:rPr>
                <w:b/>
                <w:bCs/>
                <w:sz w:val="20"/>
                <w:szCs w:val="20"/>
                <w:lang w:eastAsia="fr-FR"/>
              </w:rPr>
            </w:pPr>
            <w:r w:rsidRPr="00246793">
              <w:rPr>
                <w:b/>
                <w:bCs/>
                <w:sz w:val="20"/>
                <w:szCs w:val="20"/>
                <w:lang w:eastAsia="fr-FR"/>
              </w:rPr>
              <w:t>100</w:t>
            </w:r>
          </w:p>
        </w:tc>
        <w:tc>
          <w:tcPr>
            <w:tcW w:w="709" w:type="dxa"/>
            <w:vMerge w:val="restart"/>
            <w:shd w:val="clear" w:color="auto" w:fill="B4C6E7" w:themeFill="accent5" w:themeFillTint="66"/>
            <w:vAlign w:val="center"/>
          </w:tcPr>
          <w:p w14:paraId="361C05BD" w14:textId="77777777" w:rsidR="00246793" w:rsidRPr="00246793" w:rsidRDefault="00246793" w:rsidP="005D385E">
            <w:pPr>
              <w:jc w:val="center"/>
              <w:rPr>
                <w:b/>
                <w:bCs/>
                <w:sz w:val="20"/>
                <w:szCs w:val="20"/>
                <w:lang w:eastAsia="fr-FR"/>
              </w:rPr>
            </w:pPr>
            <w:r w:rsidRPr="00246793">
              <w:rPr>
                <w:b/>
                <w:bCs/>
                <w:sz w:val="20"/>
                <w:szCs w:val="20"/>
                <w:lang w:eastAsia="fr-FR"/>
              </w:rPr>
              <w:t>75</w:t>
            </w:r>
          </w:p>
        </w:tc>
        <w:tc>
          <w:tcPr>
            <w:tcW w:w="777" w:type="dxa"/>
            <w:vMerge w:val="restart"/>
            <w:shd w:val="clear" w:color="auto" w:fill="B4C6E7" w:themeFill="accent5" w:themeFillTint="66"/>
            <w:vAlign w:val="center"/>
          </w:tcPr>
          <w:p w14:paraId="6C14E9B7" w14:textId="77777777" w:rsidR="00246793" w:rsidRPr="00246793" w:rsidRDefault="00246793" w:rsidP="005D385E">
            <w:pPr>
              <w:jc w:val="center"/>
              <w:rPr>
                <w:b/>
                <w:bCs/>
                <w:sz w:val="20"/>
                <w:szCs w:val="20"/>
                <w:lang w:eastAsia="fr-FR"/>
              </w:rPr>
            </w:pPr>
            <w:r w:rsidRPr="00246793">
              <w:rPr>
                <w:b/>
                <w:bCs/>
                <w:sz w:val="20"/>
                <w:szCs w:val="20"/>
                <w:lang w:eastAsia="fr-FR"/>
              </w:rPr>
              <w:t>82,5</w:t>
            </w:r>
          </w:p>
        </w:tc>
        <w:tc>
          <w:tcPr>
            <w:tcW w:w="695" w:type="dxa"/>
            <w:vMerge w:val="restart"/>
            <w:shd w:val="clear" w:color="auto" w:fill="D9D9D9" w:themeFill="background1" w:themeFillShade="D9"/>
            <w:tcMar>
              <w:top w:w="150" w:type="dxa"/>
              <w:left w:w="150" w:type="dxa"/>
              <w:bottom w:w="150" w:type="dxa"/>
              <w:right w:w="150" w:type="dxa"/>
            </w:tcMar>
            <w:vAlign w:val="center"/>
          </w:tcPr>
          <w:p w14:paraId="79570B50" w14:textId="77777777" w:rsidR="00246793" w:rsidRPr="00246793" w:rsidRDefault="00246793" w:rsidP="005D385E">
            <w:pPr>
              <w:jc w:val="center"/>
              <w:rPr>
                <w:b/>
                <w:bCs/>
                <w:sz w:val="20"/>
                <w:szCs w:val="20"/>
                <w:lang w:eastAsia="fr-FR"/>
              </w:rPr>
            </w:pPr>
          </w:p>
        </w:tc>
        <w:tc>
          <w:tcPr>
            <w:tcW w:w="684" w:type="dxa"/>
            <w:vMerge w:val="restart"/>
            <w:shd w:val="clear" w:color="auto" w:fill="D9D9D9" w:themeFill="background1" w:themeFillShade="D9"/>
            <w:vAlign w:val="center"/>
          </w:tcPr>
          <w:p w14:paraId="1B59E364" w14:textId="77777777" w:rsidR="00246793" w:rsidRPr="00246793" w:rsidRDefault="00246793" w:rsidP="005D385E">
            <w:pPr>
              <w:jc w:val="center"/>
              <w:rPr>
                <w:b/>
                <w:bCs/>
                <w:sz w:val="20"/>
                <w:szCs w:val="20"/>
                <w:lang w:eastAsia="fr-FR"/>
              </w:rPr>
            </w:pPr>
          </w:p>
        </w:tc>
        <w:tc>
          <w:tcPr>
            <w:tcW w:w="820" w:type="dxa"/>
            <w:vMerge w:val="restart"/>
            <w:shd w:val="clear" w:color="auto" w:fill="D9D9D9" w:themeFill="background1" w:themeFillShade="D9"/>
            <w:vAlign w:val="center"/>
          </w:tcPr>
          <w:p w14:paraId="62753962" w14:textId="77777777" w:rsidR="00246793" w:rsidRPr="00246793" w:rsidRDefault="00246793" w:rsidP="005D385E">
            <w:pPr>
              <w:jc w:val="center"/>
              <w:rPr>
                <w:b/>
                <w:bCs/>
                <w:sz w:val="20"/>
                <w:szCs w:val="20"/>
                <w:lang w:eastAsia="fr-FR"/>
              </w:rPr>
            </w:pPr>
          </w:p>
        </w:tc>
      </w:tr>
      <w:tr w:rsidR="00246793" w:rsidRPr="009370F5" w14:paraId="4351CBE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ign w:val="center"/>
          </w:tcPr>
          <w:p w14:paraId="6F5EAF7F" w14:textId="77777777" w:rsidR="00246793" w:rsidRPr="00246793" w:rsidRDefault="00246793" w:rsidP="005D385E">
            <w:pPr>
              <w:rPr>
                <w:b/>
                <w:bCs/>
                <w:sz w:val="20"/>
                <w:szCs w:val="20"/>
                <w:lang w:eastAsia="fr-FR"/>
              </w:rPr>
            </w:pPr>
          </w:p>
        </w:tc>
        <w:tc>
          <w:tcPr>
            <w:tcW w:w="1559" w:type="dxa"/>
            <w:shd w:val="clear" w:color="auto" w:fill="F5F5F5"/>
            <w:tcMar>
              <w:top w:w="150" w:type="dxa"/>
              <w:left w:w="150" w:type="dxa"/>
              <w:bottom w:w="150" w:type="dxa"/>
              <w:right w:w="150" w:type="dxa"/>
            </w:tcMar>
            <w:vAlign w:val="center"/>
          </w:tcPr>
          <w:p w14:paraId="1E7F9FE9" w14:textId="77777777" w:rsidR="00246793" w:rsidRPr="00246793" w:rsidRDefault="00246793" w:rsidP="005D385E">
            <w:pPr>
              <w:jc w:val="center"/>
              <w:rPr>
                <w:b/>
                <w:bCs/>
                <w:sz w:val="20"/>
                <w:szCs w:val="20"/>
                <w:lang w:eastAsia="fr-FR"/>
              </w:rPr>
            </w:pPr>
            <w:r w:rsidRPr="00246793">
              <w:rPr>
                <w:b/>
                <w:bCs/>
                <w:sz w:val="20"/>
                <w:szCs w:val="20"/>
                <w:lang w:eastAsia="fr-FR"/>
              </w:rPr>
              <w:t>100 ≤ P &lt; 300</w:t>
            </w:r>
          </w:p>
        </w:tc>
        <w:tc>
          <w:tcPr>
            <w:tcW w:w="709" w:type="dxa"/>
            <w:vMerge/>
            <w:shd w:val="clear" w:color="auto" w:fill="D9D9D9" w:themeFill="background1" w:themeFillShade="D9"/>
            <w:tcMar>
              <w:top w:w="150" w:type="dxa"/>
              <w:left w:w="150" w:type="dxa"/>
              <w:bottom w:w="150" w:type="dxa"/>
              <w:right w:w="150" w:type="dxa"/>
            </w:tcMar>
            <w:vAlign w:val="center"/>
          </w:tcPr>
          <w:p w14:paraId="21268264" w14:textId="77777777" w:rsidR="00246793" w:rsidRPr="00246793" w:rsidRDefault="00246793" w:rsidP="005D385E">
            <w:pPr>
              <w:jc w:val="center"/>
              <w:rPr>
                <w:b/>
                <w:bCs/>
                <w:sz w:val="20"/>
                <w:szCs w:val="20"/>
                <w:lang w:eastAsia="fr-FR"/>
              </w:rPr>
            </w:pPr>
          </w:p>
        </w:tc>
        <w:tc>
          <w:tcPr>
            <w:tcW w:w="709" w:type="dxa"/>
            <w:vMerge/>
            <w:shd w:val="clear" w:color="auto" w:fill="D9D9D9" w:themeFill="background1" w:themeFillShade="D9"/>
            <w:vAlign w:val="center"/>
          </w:tcPr>
          <w:p w14:paraId="5D64FA83" w14:textId="77777777" w:rsidR="00246793" w:rsidRPr="00246793" w:rsidRDefault="00246793" w:rsidP="005D385E">
            <w:pPr>
              <w:jc w:val="center"/>
              <w:rPr>
                <w:b/>
                <w:bCs/>
                <w:sz w:val="20"/>
                <w:szCs w:val="20"/>
                <w:lang w:eastAsia="fr-FR"/>
              </w:rPr>
            </w:pPr>
          </w:p>
        </w:tc>
        <w:tc>
          <w:tcPr>
            <w:tcW w:w="708" w:type="dxa"/>
            <w:vMerge/>
            <w:shd w:val="clear" w:color="auto" w:fill="D9D9D9" w:themeFill="background1" w:themeFillShade="D9"/>
            <w:vAlign w:val="center"/>
          </w:tcPr>
          <w:p w14:paraId="05EB58AC"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30B5733C"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3C1299D7" w14:textId="77777777" w:rsidR="00246793" w:rsidRPr="00246793" w:rsidRDefault="00246793" w:rsidP="005D385E">
            <w:pPr>
              <w:jc w:val="center"/>
              <w:rPr>
                <w:b/>
                <w:bCs/>
                <w:sz w:val="20"/>
                <w:szCs w:val="20"/>
                <w:lang w:eastAsia="fr-FR"/>
              </w:rPr>
            </w:pPr>
          </w:p>
        </w:tc>
        <w:tc>
          <w:tcPr>
            <w:tcW w:w="777" w:type="dxa"/>
            <w:vMerge/>
            <w:shd w:val="clear" w:color="auto" w:fill="B4C6E7" w:themeFill="accent5" w:themeFillTint="66"/>
            <w:vAlign w:val="center"/>
          </w:tcPr>
          <w:p w14:paraId="30A4AD2A" w14:textId="77777777" w:rsidR="00246793" w:rsidRPr="00246793" w:rsidRDefault="00246793" w:rsidP="005D385E">
            <w:pPr>
              <w:jc w:val="center"/>
              <w:rPr>
                <w:b/>
                <w:bCs/>
                <w:sz w:val="20"/>
                <w:szCs w:val="20"/>
                <w:lang w:eastAsia="fr-FR"/>
              </w:rPr>
            </w:pPr>
          </w:p>
        </w:tc>
        <w:tc>
          <w:tcPr>
            <w:tcW w:w="695" w:type="dxa"/>
            <w:vMerge/>
            <w:shd w:val="clear" w:color="auto" w:fill="D9D9D9" w:themeFill="background1" w:themeFillShade="D9"/>
            <w:tcMar>
              <w:top w:w="150" w:type="dxa"/>
              <w:left w:w="150" w:type="dxa"/>
              <w:bottom w:w="150" w:type="dxa"/>
              <w:right w:w="150" w:type="dxa"/>
            </w:tcMar>
            <w:vAlign w:val="center"/>
          </w:tcPr>
          <w:p w14:paraId="3893F8DA" w14:textId="77777777" w:rsidR="00246793" w:rsidRPr="00246793" w:rsidRDefault="00246793" w:rsidP="005D385E">
            <w:pPr>
              <w:jc w:val="center"/>
              <w:rPr>
                <w:b/>
                <w:bCs/>
                <w:sz w:val="20"/>
                <w:szCs w:val="20"/>
                <w:lang w:eastAsia="fr-FR"/>
              </w:rPr>
            </w:pPr>
          </w:p>
        </w:tc>
        <w:tc>
          <w:tcPr>
            <w:tcW w:w="684" w:type="dxa"/>
            <w:vMerge/>
            <w:shd w:val="clear" w:color="auto" w:fill="D9D9D9" w:themeFill="background1" w:themeFillShade="D9"/>
            <w:vAlign w:val="center"/>
          </w:tcPr>
          <w:p w14:paraId="1FBE9FCF" w14:textId="77777777" w:rsidR="00246793" w:rsidRPr="00246793" w:rsidRDefault="00246793" w:rsidP="005D385E">
            <w:pPr>
              <w:jc w:val="center"/>
              <w:rPr>
                <w:b/>
                <w:bCs/>
                <w:sz w:val="20"/>
                <w:szCs w:val="20"/>
                <w:lang w:eastAsia="fr-FR"/>
              </w:rPr>
            </w:pPr>
          </w:p>
        </w:tc>
        <w:tc>
          <w:tcPr>
            <w:tcW w:w="820" w:type="dxa"/>
            <w:vMerge/>
            <w:shd w:val="clear" w:color="auto" w:fill="D9D9D9" w:themeFill="background1" w:themeFillShade="D9"/>
            <w:vAlign w:val="center"/>
          </w:tcPr>
          <w:p w14:paraId="6F058F27" w14:textId="77777777" w:rsidR="00246793" w:rsidRPr="00246793" w:rsidRDefault="00246793" w:rsidP="005D385E">
            <w:pPr>
              <w:jc w:val="center"/>
              <w:rPr>
                <w:b/>
                <w:bCs/>
                <w:sz w:val="20"/>
                <w:szCs w:val="20"/>
                <w:lang w:eastAsia="fr-FR"/>
              </w:rPr>
            </w:pPr>
          </w:p>
        </w:tc>
      </w:tr>
      <w:tr w:rsidR="00246793" w:rsidRPr="009370F5" w14:paraId="2840C008"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3" w:type="dxa"/>
            <w:vMerge/>
            <w:vAlign w:val="center"/>
          </w:tcPr>
          <w:p w14:paraId="3407EC6E" w14:textId="77777777" w:rsidR="00246793" w:rsidRPr="00246793" w:rsidRDefault="00246793" w:rsidP="005D385E">
            <w:pPr>
              <w:rPr>
                <w:b/>
                <w:bCs/>
                <w:sz w:val="20"/>
                <w:szCs w:val="20"/>
                <w:lang w:eastAsia="fr-FR"/>
              </w:rPr>
            </w:pPr>
          </w:p>
        </w:tc>
        <w:tc>
          <w:tcPr>
            <w:tcW w:w="1559" w:type="dxa"/>
            <w:shd w:val="clear" w:color="auto" w:fill="F5F5F5"/>
            <w:tcMar>
              <w:top w:w="150" w:type="dxa"/>
              <w:left w:w="150" w:type="dxa"/>
              <w:bottom w:w="150" w:type="dxa"/>
              <w:right w:w="150" w:type="dxa"/>
            </w:tcMar>
            <w:vAlign w:val="center"/>
          </w:tcPr>
          <w:p w14:paraId="2F060271" w14:textId="77777777" w:rsidR="00246793" w:rsidRPr="00246793" w:rsidRDefault="00246793" w:rsidP="005D385E">
            <w:pPr>
              <w:jc w:val="center"/>
              <w:rPr>
                <w:b/>
                <w:bCs/>
                <w:sz w:val="20"/>
                <w:szCs w:val="20"/>
                <w:lang w:eastAsia="fr-FR"/>
              </w:rPr>
            </w:pPr>
            <w:r w:rsidRPr="00246793">
              <w:rPr>
                <w:b/>
                <w:bCs/>
                <w:sz w:val="20"/>
                <w:szCs w:val="20"/>
                <w:lang w:eastAsia="fr-FR"/>
              </w:rPr>
              <w:t>300 ≤ P</w:t>
            </w:r>
          </w:p>
        </w:tc>
        <w:tc>
          <w:tcPr>
            <w:tcW w:w="709" w:type="dxa"/>
            <w:vMerge/>
            <w:shd w:val="clear" w:color="auto" w:fill="D9D9D9" w:themeFill="background1" w:themeFillShade="D9"/>
            <w:tcMar>
              <w:top w:w="150" w:type="dxa"/>
              <w:left w:w="150" w:type="dxa"/>
              <w:bottom w:w="150" w:type="dxa"/>
              <w:right w:w="150" w:type="dxa"/>
            </w:tcMar>
            <w:vAlign w:val="center"/>
          </w:tcPr>
          <w:p w14:paraId="149871A9" w14:textId="77777777" w:rsidR="00246793" w:rsidRPr="00246793" w:rsidRDefault="00246793" w:rsidP="005D385E">
            <w:pPr>
              <w:jc w:val="center"/>
              <w:rPr>
                <w:b/>
                <w:bCs/>
                <w:sz w:val="20"/>
                <w:szCs w:val="20"/>
                <w:lang w:eastAsia="fr-FR"/>
              </w:rPr>
            </w:pPr>
          </w:p>
        </w:tc>
        <w:tc>
          <w:tcPr>
            <w:tcW w:w="709" w:type="dxa"/>
            <w:vMerge/>
            <w:shd w:val="clear" w:color="auto" w:fill="D9D9D9" w:themeFill="background1" w:themeFillShade="D9"/>
            <w:vAlign w:val="center"/>
          </w:tcPr>
          <w:p w14:paraId="374D143F" w14:textId="77777777" w:rsidR="00246793" w:rsidRPr="00246793" w:rsidRDefault="00246793" w:rsidP="005D385E">
            <w:pPr>
              <w:jc w:val="center"/>
              <w:rPr>
                <w:b/>
                <w:bCs/>
                <w:sz w:val="20"/>
                <w:szCs w:val="20"/>
                <w:lang w:eastAsia="fr-FR"/>
              </w:rPr>
            </w:pPr>
          </w:p>
        </w:tc>
        <w:tc>
          <w:tcPr>
            <w:tcW w:w="708" w:type="dxa"/>
            <w:vMerge/>
            <w:shd w:val="clear" w:color="auto" w:fill="D9D9D9" w:themeFill="background1" w:themeFillShade="D9"/>
            <w:vAlign w:val="center"/>
          </w:tcPr>
          <w:p w14:paraId="230E830A"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7EC5DB6A"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077F67F9" w14:textId="77777777" w:rsidR="00246793" w:rsidRPr="00246793" w:rsidRDefault="00246793" w:rsidP="005D385E">
            <w:pPr>
              <w:jc w:val="center"/>
              <w:rPr>
                <w:b/>
                <w:bCs/>
                <w:sz w:val="20"/>
                <w:szCs w:val="20"/>
                <w:lang w:eastAsia="fr-FR"/>
              </w:rPr>
            </w:pPr>
          </w:p>
        </w:tc>
        <w:tc>
          <w:tcPr>
            <w:tcW w:w="777" w:type="dxa"/>
            <w:vMerge/>
            <w:shd w:val="clear" w:color="auto" w:fill="B4C6E7" w:themeFill="accent5" w:themeFillTint="66"/>
            <w:vAlign w:val="center"/>
          </w:tcPr>
          <w:p w14:paraId="3DC475AD" w14:textId="77777777" w:rsidR="00246793" w:rsidRPr="00246793" w:rsidRDefault="00246793" w:rsidP="005D385E">
            <w:pPr>
              <w:jc w:val="center"/>
              <w:rPr>
                <w:b/>
                <w:bCs/>
                <w:sz w:val="20"/>
                <w:szCs w:val="20"/>
                <w:lang w:eastAsia="fr-FR"/>
              </w:rPr>
            </w:pPr>
          </w:p>
        </w:tc>
        <w:tc>
          <w:tcPr>
            <w:tcW w:w="695" w:type="dxa"/>
            <w:vMerge/>
            <w:shd w:val="clear" w:color="auto" w:fill="D9D9D9" w:themeFill="background1" w:themeFillShade="D9"/>
            <w:tcMar>
              <w:top w:w="150" w:type="dxa"/>
              <w:left w:w="150" w:type="dxa"/>
              <w:bottom w:w="150" w:type="dxa"/>
              <w:right w:w="150" w:type="dxa"/>
            </w:tcMar>
            <w:vAlign w:val="center"/>
          </w:tcPr>
          <w:p w14:paraId="34E34CDC" w14:textId="77777777" w:rsidR="00246793" w:rsidRPr="00246793" w:rsidRDefault="00246793" w:rsidP="005D385E">
            <w:pPr>
              <w:jc w:val="center"/>
              <w:rPr>
                <w:b/>
                <w:bCs/>
                <w:sz w:val="20"/>
                <w:szCs w:val="20"/>
                <w:lang w:eastAsia="fr-FR"/>
              </w:rPr>
            </w:pPr>
          </w:p>
        </w:tc>
        <w:tc>
          <w:tcPr>
            <w:tcW w:w="684" w:type="dxa"/>
            <w:vMerge/>
            <w:shd w:val="clear" w:color="auto" w:fill="D9D9D9" w:themeFill="background1" w:themeFillShade="D9"/>
            <w:vAlign w:val="center"/>
          </w:tcPr>
          <w:p w14:paraId="0F0853B0" w14:textId="77777777" w:rsidR="00246793" w:rsidRPr="00246793" w:rsidRDefault="00246793" w:rsidP="005D385E">
            <w:pPr>
              <w:jc w:val="center"/>
              <w:rPr>
                <w:b/>
                <w:bCs/>
                <w:sz w:val="20"/>
                <w:szCs w:val="20"/>
                <w:lang w:eastAsia="fr-FR"/>
              </w:rPr>
            </w:pPr>
          </w:p>
        </w:tc>
        <w:tc>
          <w:tcPr>
            <w:tcW w:w="820" w:type="dxa"/>
            <w:vMerge/>
            <w:shd w:val="clear" w:color="auto" w:fill="D9D9D9" w:themeFill="background1" w:themeFillShade="D9"/>
            <w:vAlign w:val="center"/>
          </w:tcPr>
          <w:p w14:paraId="4D7F5084" w14:textId="77777777" w:rsidR="00246793" w:rsidRPr="00246793" w:rsidRDefault="00246793" w:rsidP="005D385E">
            <w:pPr>
              <w:jc w:val="center"/>
              <w:rPr>
                <w:b/>
                <w:bCs/>
                <w:sz w:val="20"/>
                <w:szCs w:val="20"/>
                <w:lang w:eastAsia="fr-FR"/>
              </w:rPr>
            </w:pPr>
          </w:p>
        </w:tc>
      </w:tr>
      <w:tr w:rsidR="00246793" w14:paraId="16EDFA8A"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5C75A2"/>
            <w:tcMar>
              <w:top w:w="150" w:type="dxa"/>
              <w:left w:w="150" w:type="dxa"/>
              <w:bottom w:w="150" w:type="dxa"/>
              <w:right w:w="150" w:type="dxa"/>
            </w:tcMar>
            <w:vAlign w:val="center"/>
          </w:tcPr>
          <w:p w14:paraId="5713B1D8" w14:textId="77777777" w:rsidR="00246793" w:rsidRPr="00246793" w:rsidRDefault="00246793" w:rsidP="005D385E">
            <w:pPr>
              <w:jc w:val="center"/>
              <w:rPr>
                <w:sz w:val="20"/>
                <w:szCs w:val="20"/>
              </w:rPr>
            </w:pPr>
            <w:r w:rsidRPr="00246793">
              <w:rPr>
                <w:b/>
                <w:bCs/>
                <w:color w:val="FFFFFF"/>
                <w:sz w:val="20"/>
                <w:szCs w:val="20"/>
                <w:lang w:eastAsia="fr-FR"/>
              </w:rPr>
              <w:t>Renvoi</w:t>
            </w:r>
          </w:p>
        </w:tc>
        <w:tc>
          <w:tcPr>
            <w:tcW w:w="6022" w:type="dxa"/>
            <w:gridSpan w:val="7"/>
            <w:tcBorders>
              <w:top w:val="single" w:sz="4" w:space="0" w:color="auto"/>
              <w:left w:val="single" w:sz="4" w:space="0" w:color="auto"/>
              <w:bottom w:val="single" w:sz="4" w:space="0" w:color="auto"/>
              <w:right w:val="single" w:sz="4" w:space="0" w:color="auto"/>
            </w:tcBorders>
            <w:shd w:val="clear" w:color="auto" w:fill="5C75A2"/>
            <w:vAlign w:val="center"/>
          </w:tcPr>
          <w:p w14:paraId="299A9B7D" w14:textId="77777777" w:rsidR="00246793" w:rsidRPr="00246793" w:rsidRDefault="00246793" w:rsidP="005D385E">
            <w:pPr>
              <w:jc w:val="center"/>
              <w:rPr>
                <w:bCs/>
                <w:sz w:val="20"/>
                <w:szCs w:val="20"/>
                <w:lang w:eastAsia="fr-FR"/>
              </w:rPr>
            </w:pPr>
            <w:r w:rsidRPr="00246793">
              <w:rPr>
                <w:b/>
                <w:bCs/>
                <w:color w:val="FFFFFF"/>
                <w:sz w:val="20"/>
                <w:szCs w:val="20"/>
                <w:lang w:eastAsia="fr-FR"/>
              </w:rPr>
              <w:t>Conditions</w:t>
            </w:r>
          </w:p>
        </w:tc>
        <w:tc>
          <w:tcPr>
            <w:tcW w:w="2199" w:type="dxa"/>
            <w:gridSpan w:val="3"/>
            <w:tcBorders>
              <w:top w:val="single" w:sz="4" w:space="0" w:color="auto"/>
              <w:left w:val="single" w:sz="4" w:space="0" w:color="auto"/>
              <w:bottom w:val="single" w:sz="4" w:space="0" w:color="auto"/>
              <w:right w:val="single" w:sz="4" w:space="0" w:color="auto"/>
            </w:tcBorders>
            <w:shd w:val="clear" w:color="auto" w:fill="5C75A2"/>
            <w:vAlign w:val="center"/>
          </w:tcPr>
          <w:p w14:paraId="2B4BD318" w14:textId="77777777" w:rsidR="00246793" w:rsidRPr="00246793" w:rsidRDefault="00246793" w:rsidP="005D385E">
            <w:pPr>
              <w:jc w:val="center"/>
              <w:rPr>
                <w:sz w:val="20"/>
                <w:szCs w:val="20"/>
              </w:rPr>
            </w:pPr>
            <w:r w:rsidRPr="00246793">
              <w:rPr>
                <w:b/>
                <w:bCs/>
                <w:color w:val="FFFFFF"/>
                <w:sz w:val="20"/>
                <w:szCs w:val="20"/>
                <w:lang w:eastAsia="fr-FR"/>
              </w:rPr>
              <w:t>Valeur limite d'émission (mg/Nm</w:t>
            </w:r>
            <w:r w:rsidRPr="00246793">
              <w:rPr>
                <w:b/>
                <w:bCs/>
                <w:color w:val="FFFFFF"/>
                <w:sz w:val="20"/>
                <w:szCs w:val="20"/>
                <w:vertAlign w:val="superscript"/>
                <w:lang w:eastAsia="fr-FR"/>
              </w:rPr>
              <w:t>3</w:t>
            </w:r>
            <w:r w:rsidRPr="00246793">
              <w:rPr>
                <w:b/>
                <w:bCs/>
                <w:color w:val="FFFFFF"/>
                <w:sz w:val="20"/>
                <w:szCs w:val="20"/>
                <w:lang w:eastAsia="fr-FR"/>
              </w:rPr>
              <w:t>)</w:t>
            </w:r>
          </w:p>
        </w:tc>
      </w:tr>
      <w:tr w:rsidR="00246793" w14:paraId="0D93F745" w14:textId="77777777" w:rsidTr="005D385E">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42B14A2A" w14:textId="77777777" w:rsidR="00246793" w:rsidRPr="00246793" w:rsidRDefault="00246793" w:rsidP="005D385E">
            <w:pPr>
              <w:jc w:val="center"/>
              <w:rPr>
                <w:sz w:val="20"/>
                <w:szCs w:val="20"/>
              </w:rPr>
            </w:pPr>
            <w:r w:rsidRPr="00246793">
              <w:rPr>
                <w:sz w:val="20"/>
                <w:szCs w:val="20"/>
              </w:rPr>
              <w:t>(1)</w:t>
            </w:r>
          </w:p>
        </w:tc>
        <w:tc>
          <w:tcPr>
            <w:tcW w:w="6022"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76F26B" w14:textId="65576AD7" w:rsidR="00246793" w:rsidRPr="00246793" w:rsidRDefault="00246793" w:rsidP="005D385E">
            <w:pPr>
              <w:jc w:val="center"/>
              <w:rPr>
                <w:sz w:val="20"/>
                <w:szCs w:val="20"/>
              </w:rPr>
            </w:pPr>
            <w:r w:rsidRPr="00246793">
              <w:rPr>
                <w:sz w:val="20"/>
                <w:szCs w:val="20"/>
              </w:rPr>
              <w:t xml:space="preserve">Si aucune technique secondaire de réduction des émissions ne peut être appliquée </w:t>
            </w:r>
          </w:p>
        </w:tc>
        <w:tc>
          <w:tcPr>
            <w:tcW w:w="2199"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3EBF73" w14:textId="77777777" w:rsidR="00246793" w:rsidRPr="00246793" w:rsidRDefault="00246793" w:rsidP="005D385E">
            <w:pPr>
              <w:jc w:val="center"/>
              <w:rPr>
                <w:sz w:val="20"/>
                <w:szCs w:val="20"/>
              </w:rPr>
            </w:pPr>
            <w:proofErr w:type="spellStart"/>
            <w:r w:rsidRPr="00246793">
              <w:rPr>
                <w:sz w:val="20"/>
                <w:szCs w:val="20"/>
              </w:rPr>
              <w:t>SOx</w:t>
            </w:r>
            <w:proofErr w:type="spellEnd"/>
            <w:r w:rsidRPr="00246793">
              <w:rPr>
                <w:sz w:val="20"/>
                <w:szCs w:val="20"/>
              </w:rPr>
              <w:t xml:space="preserve"> : </w:t>
            </w:r>
            <w:r w:rsidRPr="00246793">
              <w:rPr>
                <w:sz w:val="20"/>
                <w:szCs w:val="20"/>
                <w:shd w:val="clear" w:color="auto" w:fill="E2EFD9" w:themeFill="accent6" w:themeFillTint="33"/>
              </w:rPr>
              <w:t>A = 280</w:t>
            </w:r>
          </w:p>
          <w:p w14:paraId="4E436AAE" w14:textId="77777777" w:rsidR="00246793" w:rsidRPr="00246793" w:rsidRDefault="00246793" w:rsidP="005D385E">
            <w:pPr>
              <w:jc w:val="center"/>
              <w:rPr>
                <w:sz w:val="20"/>
                <w:szCs w:val="20"/>
              </w:rPr>
            </w:pPr>
            <w:proofErr w:type="spellStart"/>
            <w:r w:rsidRPr="00246793">
              <w:rPr>
                <w:sz w:val="20"/>
                <w:szCs w:val="20"/>
              </w:rPr>
              <w:t>SOx</w:t>
            </w:r>
            <w:proofErr w:type="spellEnd"/>
            <w:r w:rsidRPr="00246793">
              <w:rPr>
                <w:sz w:val="20"/>
                <w:szCs w:val="20"/>
              </w:rPr>
              <w:t xml:space="preserve"> : </w:t>
            </w:r>
            <w:r w:rsidRPr="00246793">
              <w:rPr>
                <w:sz w:val="20"/>
                <w:szCs w:val="20"/>
                <w:shd w:val="clear" w:color="auto" w:fill="E2EFD9" w:themeFill="accent6" w:themeFillTint="33"/>
              </w:rPr>
              <w:t>M = 280</w:t>
            </w:r>
          </w:p>
          <w:p w14:paraId="0B606F21" w14:textId="77777777" w:rsidR="00246793" w:rsidRPr="00246793" w:rsidRDefault="00246793" w:rsidP="005D385E">
            <w:pPr>
              <w:jc w:val="center"/>
              <w:rPr>
                <w:sz w:val="20"/>
                <w:szCs w:val="20"/>
              </w:rPr>
            </w:pPr>
            <w:proofErr w:type="spellStart"/>
            <w:r w:rsidRPr="00246793">
              <w:rPr>
                <w:sz w:val="20"/>
                <w:szCs w:val="20"/>
              </w:rPr>
              <w:t>SOx</w:t>
            </w:r>
            <w:proofErr w:type="spellEnd"/>
            <w:r w:rsidRPr="00246793">
              <w:rPr>
                <w:sz w:val="20"/>
                <w:szCs w:val="20"/>
              </w:rPr>
              <w:t xml:space="preserve"> : </w:t>
            </w:r>
            <w:r w:rsidRPr="00246793">
              <w:rPr>
                <w:sz w:val="20"/>
                <w:szCs w:val="20"/>
                <w:shd w:val="clear" w:color="auto" w:fill="E2EFD9" w:themeFill="accent6" w:themeFillTint="33"/>
              </w:rPr>
              <w:t>J = 280</w:t>
            </w:r>
          </w:p>
        </w:tc>
      </w:tr>
    </w:tbl>
    <w:p w14:paraId="0081C0FA" w14:textId="77777777" w:rsidR="00246793" w:rsidRDefault="00246793" w:rsidP="00246793">
      <w:pPr>
        <w:rPr>
          <w:b/>
          <w:bCs/>
          <w:u w:val="single"/>
        </w:rPr>
      </w:pPr>
    </w:p>
    <w:p w14:paraId="0CD4DF0F" w14:textId="3009DB7E" w:rsidR="00246793" w:rsidRPr="00B07376" w:rsidRDefault="00246793" w:rsidP="00246793">
      <w:r w:rsidRPr="00B07376">
        <w:t>« </w:t>
      </w:r>
      <w:proofErr w:type="gramStart"/>
      <w:r w:rsidRPr="00B07376">
        <w:t>c</w:t>
      </w:r>
      <w:proofErr w:type="gramEnd"/>
      <w:r w:rsidRPr="00B07376">
        <w:t xml:space="preserve">) Moteurs dont l’autorisation initiale a été accordée avant le </w:t>
      </w:r>
      <w:r w:rsidR="00963737" w:rsidRPr="00B07376">
        <w:t>1</w:t>
      </w:r>
      <w:r w:rsidR="00963737" w:rsidRPr="00B07376">
        <w:rPr>
          <w:vertAlign w:val="superscript"/>
        </w:rPr>
        <w:t>er</w:t>
      </w:r>
      <w:r w:rsidR="00963737" w:rsidRPr="00B07376">
        <w:t xml:space="preserve"> janvier </w:t>
      </w:r>
      <w:r w:rsidRPr="00B07376">
        <w:t>2014 :</w:t>
      </w:r>
    </w:p>
    <w:p w14:paraId="5D7E0AAE" w14:textId="77777777" w:rsidR="00246793" w:rsidRPr="00246793" w:rsidRDefault="00246793" w:rsidP="00246793">
      <w:pPr>
        <w:shd w:val="clear" w:color="auto" w:fill="FFFFFF"/>
        <w:jc w:val="both"/>
        <w:rPr>
          <w:bCs/>
          <w:lang w:eastAsia="fr-FR"/>
        </w:rPr>
      </w:pPr>
    </w:p>
    <w:p w14:paraId="10E7E78D" w14:textId="24503F9E" w:rsidR="00246793" w:rsidRPr="00246793" w:rsidRDefault="00246793" w:rsidP="002B0DC1">
      <w:pPr>
        <w:jc w:val="both"/>
        <w:rPr>
          <w:bCs/>
          <w:lang w:eastAsia="fr-FR"/>
        </w:rPr>
      </w:pPr>
      <w:r>
        <w:rPr>
          <w:bCs/>
          <w:lang w:eastAsia="fr-FR"/>
        </w:rPr>
        <w:t>« </w:t>
      </w:r>
      <w:r w:rsidRPr="00246793">
        <w:rPr>
          <w:bCs/>
          <w:lang w:eastAsia="fr-FR"/>
        </w:rPr>
        <w:t xml:space="preserve">Dans le cas des installations </w:t>
      </w:r>
      <w:r w:rsidR="00A31153">
        <w:rPr>
          <w:bCs/>
          <w:lang w:eastAsia="fr-FR"/>
        </w:rPr>
        <w:t xml:space="preserve">de combustion </w:t>
      </w:r>
      <w:r w:rsidRPr="00246793">
        <w:rPr>
          <w:bCs/>
          <w:lang w:eastAsia="fr-FR"/>
        </w:rPr>
        <w:t>exploitées moins de 500</w:t>
      </w:r>
      <w:r w:rsidR="00353EFD">
        <w:rPr>
          <w:bCs/>
          <w:lang w:eastAsia="fr-FR"/>
        </w:rPr>
        <w:t xml:space="preserve"> </w:t>
      </w:r>
      <w:r w:rsidRPr="00246793">
        <w:rPr>
          <w:bCs/>
          <w:lang w:eastAsia="fr-FR"/>
        </w:rPr>
        <w:t xml:space="preserve">h par an, seules les dispositions </w:t>
      </w:r>
      <w:r w:rsidR="00316A25">
        <w:rPr>
          <w:bCs/>
          <w:lang w:eastAsia="fr-FR"/>
        </w:rPr>
        <w:t xml:space="preserve">du I </w:t>
      </w:r>
      <w:r w:rsidRPr="00246793">
        <w:rPr>
          <w:bCs/>
          <w:lang w:eastAsia="fr-FR"/>
        </w:rPr>
        <w:t>de l’article 12 s’appliquent.</w:t>
      </w:r>
    </w:p>
    <w:p w14:paraId="2BAAC578" w14:textId="7B1664E7" w:rsidR="00246793" w:rsidRPr="00246793" w:rsidRDefault="00246793" w:rsidP="002B0DC1">
      <w:pPr>
        <w:jc w:val="both"/>
        <w:rPr>
          <w:bCs/>
          <w:lang w:eastAsia="fr-FR"/>
        </w:rPr>
      </w:pPr>
      <w:r>
        <w:rPr>
          <w:bCs/>
          <w:lang w:eastAsia="fr-FR"/>
        </w:rPr>
        <w:t>« </w:t>
      </w:r>
      <w:r w:rsidRPr="00246793">
        <w:rPr>
          <w:bCs/>
          <w:lang w:eastAsia="fr-FR"/>
        </w:rPr>
        <w:t>Dans le cas des moteurs fonctionnant au fioul domestique ou au fioul lourd, les valeurs limite d’émission ne s’appliquent qu’aux moteurs alternatifs.</w:t>
      </w:r>
    </w:p>
    <w:p w14:paraId="51665DBE" w14:textId="28270D05" w:rsidR="00246793" w:rsidRPr="00246793" w:rsidRDefault="00246793" w:rsidP="002B0DC1">
      <w:pPr>
        <w:jc w:val="both"/>
        <w:rPr>
          <w:bCs/>
          <w:lang w:eastAsia="fr-FR"/>
        </w:rPr>
      </w:pPr>
      <w:r>
        <w:rPr>
          <w:bCs/>
          <w:lang w:eastAsia="fr-FR"/>
        </w:rPr>
        <w:t>« </w:t>
      </w:r>
      <w:r w:rsidRPr="00246793">
        <w:rPr>
          <w:bCs/>
          <w:lang w:eastAsia="fr-FR"/>
        </w:rPr>
        <w:t>Dans le cas des moteurs fonctionnant au gaz naturel, les valeurs limites d’émission ne s’appliquent qu’aux moteurs à allumage par étincelle et aux moteurs à deux combustibles. Elles ne s’appliquent pas aux moteurs diesel au gaz naturel.</w:t>
      </w:r>
    </w:p>
    <w:p w14:paraId="5F2710FF" w14:textId="35A55868" w:rsidR="00246793" w:rsidRPr="00246793" w:rsidRDefault="00246793" w:rsidP="002B0DC1">
      <w:pPr>
        <w:jc w:val="both"/>
        <w:rPr>
          <w:bCs/>
          <w:lang w:eastAsia="fr-FR"/>
        </w:rPr>
      </w:pPr>
      <w:r>
        <w:rPr>
          <w:bCs/>
          <w:lang w:eastAsia="fr-FR"/>
        </w:rPr>
        <w:t>« </w:t>
      </w:r>
      <w:r w:rsidRPr="00246793">
        <w:rPr>
          <w:bCs/>
          <w:lang w:eastAsia="fr-FR"/>
        </w:rPr>
        <w:t xml:space="preserve">Pour les polluants et combustibles pour lesquels aucune valeur limite d’émission n’est mentionnée dans le tableau ci-dessous, les valeurs limites applicables sont celles du </w:t>
      </w:r>
      <w:r w:rsidR="00316A25">
        <w:rPr>
          <w:bCs/>
          <w:lang w:eastAsia="fr-FR"/>
        </w:rPr>
        <w:t xml:space="preserve">point b) du I de l’article </w:t>
      </w:r>
      <w:r w:rsidRPr="00246793">
        <w:rPr>
          <w:bCs/>
          <w:lang w:eastAsia="fr-FR"/>
        </w:rPr>
        <w:t>12.</w:t>
      </w:r>
    </w:p>
    <w:p w14:paraId="34A30184" w14:textId="77777777" w:rsidR="00246793" w:rsidRPr="003B12A7" w:rsidRDefault="00246793" w:rsidP="00246793">
      <w:pPr>
        <w:jc w:val="both"/>
        <w:rPr>
          <w:sz w:val="16"/>
          <w:szCs w:val="16"/>
        </w:rPr>
      </w:pPr>
    </w:p>
    <w:tbl>
      <w:tblPr>
        <w:tblW w:w="10660"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2"/>
        <w:gridCol w:w="1702"/>
        <w:gridCol w:w="850"/>
        <w:gridCol w:w="709"/>
        <w:gridCol w:w="851"/>
        <w:gridCol w:w="850"/>
        <w:gridCol w:w="851"/>
        <w:gridCol w:w="850"/>
        <w:gridCol w:w="851"/>
        <w:gridCol w:w="850"/>
        <w:gridCol w:w="851"/>
        <w:gridCol w:w="33"/>
      </w:tblGrid>
      <w:tr w:rsidR="00246793" w:rsidRPr="00246793" w14:paraId="5DCEA6DA" w14:textId="77777777" w:rsidTr="005D385E">
        <w:trPr>
          <w:gridAfter w:val="1"/>
          <w:wAfter w:w="33" w:type="dxa"/>
          <w:trHeight w:val="430"/>
          <w:jc w:val="center"/>
        </w:trPr>
        <w:tc>
          <w:tcPr>
            <w:tcW w:w="1412"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6C7DFC9E"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Combustibles</w:t>
            </w:r>
          </w:p>
        </w:tc>
        <w:tc>
          <w:tcPr>
            <w:tcW w:w="1702" w:type="dxa"/>
            <w:vMerge w:val="restart"/>
            <w:tcBorders>
              <w:top w:val="single" w:sz="4" w:space="0" w:color="auto"/>
              <w:left w:val="single" w:sz="4" w:space="0" w:color="auto"/>
              <w:right w:val="single" w:sz="4" w:space="0" w:color="auto"/>
            </w:tcBorders>
            <w:shd w:val="clear" w:color="auto" w:fill="5C75A2"/>
            <w:tcMar>
              <w:top w:w="75" w:type="dxa"/>
              <w:left w:w="75" w:type="dxa"/>
              <w:bottom w:w="75" w:type="dxa"/>
              <w:right w:w="75" w:type="dxa"/>
            </w:tcMar>
            <w:vAlign w:val="center"/>
            <w:hideMark/>
          </w:tcPr>
          <w:p w14:paraId="3851272B"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Puissance P (MW)</w:t>
            </w:r>
          </w:p>
        </w:tc>
        <w:tc>
          <w:tcPr>
            <w:tcW w:w="2410"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1C587A82"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SO</w:t>
            </w:r>
            <w:r w:rsidRPr="00246793">
              <w:rPr>
                <w:b/>
                <w:bCs/>
                <w:color w:val="FFFFFF"/>
                <w:sz w:val="20"/>
                <w:szCs w:val="20"/>
                <w:vertAlign w:val="subscript"/>
                <w:lang w:eastAsia="fr-FR"/>
              </w:rPr>
              <w:t>2</w:t>
            </w:r>
            <w:r w:rsidRPr="00246793">
              <w:rPr>
                <w:b/>
                <w:bCs/>
                <w:color w:val="FFFFFF"/>
                <w:sz w:val="20"/>
                <w:szCs w:val="20"/>
                <w:lang w:eastAsia="fr-FR"/>
              </w:rPr>
              <w:t xml:space="preserve"> (mg/Nm</w:t>
            </w:r>
            <w:r w:rsidRPr="00246793">
              <w:rPr>
                <w:b/>
                <w:bCs/>
                <w:color w:val="FFFFFF"/>
                <w:sz w:val="20"/>
                <w:szCs w:val="20"/>
                <w:vertAlign w:val="superscript"/>
                <w:lang w:eastAsia="fr-FR"/>
              </w:rPr>
              <w:t>3</w:t>
            </w:r>
            <w:r w:rsidRPr="00246793">
              <w:rPr>
                <w:b/>
                <w:bCs/>
                <w:color w:val="FFFFFF"/>
                <w:sz w:val="20"/>
                <w:szCs w:val="20"/>
                <w:lang w:eastAsia="fr-FR"/>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0960978F"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NOx (mg/Nm</w:t>
            </w:r>
            <w:r w:rsidRPr="00246793">
              <w:rPr>
                <w:b/>
                <w:bCs/>
                <w:color w:val="FFFFFF"/>
                <w:sz w:val="20"/>
                <w:szCs w:val="20"/>
                <w:vertAlign w:val="superscript"/>
                <w:lang w:eastAsia="fr-FR"/>
              </w:rPr>
              <w:t>3</w:t>
            </w:r>
            <w:r w:rsidRPr="00246793">
              <w:rPr>
                <w:b/>
                <w:bCs/>
                <w:color w:val="FFFFFF"/>
                <w:sz w:val="20"/>
                <w:szCs w:val="20"/>
                <w:lang w:eastAsia="fr-FR"/>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59A3039E"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Poussières (mg/Nm</w:t>
            </w:r>
            <w:r w:rsidRPr="00246793">
              <w:rPr>
                <w:b/>
                <w:bCs/>
                <w:color w:val="FFFFFF"/>
                <w:sz w:val="20"/>
                <w:szCs w:val="20"/>
                <w:vertAlign w:val="superscript"/>
                <w:lang w:eastAsia="fr-FR"/>
              </w:rPr>
              <w:t>3</w:t>
            </w:r>
            <w:r w:rsidRPr="00246793">
              <w:rPr>
                <w:b/>
                <w:bCs/>
                <w:color w:val="FFFFFF"/>
                <w:sz w:val="20"/>
                <w:szCs w:val="20"/>
                <w:lang w:eastAsia="fr-FR"/>
              </w:rPr>
              <w:t>)</w:t>
            </w:r>
          </w:p>
        </w:tc>
      </w:tr>
      <w:tr w:rsidR="00246793" w:rsidRPr="00246793" w14:paraId="3690DCDD" w14:textId="77777777" w:rsidTr="005D385E">
        <w:trPr>
          <w:gridAfter w:val="1"/>
          <w:wAfter w:w="33" w:type="dxa"/>
          <w:trHeight w:val="354"/>
          <w:jc w:val="center"/>
        </w:trPr>
        <w:tc>
          <w:tcPr>
            <w:tcW w:w="1412"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BE3ECF5" w14:textId="77777777" w:rsidR="00246793" w:rsidRPr="00246793" w:rsidRDefault="00246793" w:rsidP="005D385E">
            <w:pPr>
              <w:jc w:val="center"/>
              <w:rPr>
                <w:b/>
                <w:bCs/>
                <w:color w:val="FFFFFF"/>
                <w:sz w:val="20"/>
                <w:szCs w:val="20"/>
                <w:lang w:eastAsia="fr-FR"/>
              </w:rPr>
            </w:pPr>
          </w:p>
        </w:tc>
        <w:tc>
          <w:tcPr>
            <w:tcW w:w="1702" w:type="dxa"/>
            <w:vMerge/>
            <w:tcBorders>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2066532" w14:textId="77777777" w:rsidR="00246793" w:rsidRPr="00246793" w:rsidRDefault="00246793" w:rsidP="005D385E">
            <w:pPr>
              <w:jc w:val="center"/>
              <w:rPr>
                <w:b/>
                <w:bCs/>
                <w:color w:val="FFFFFF"/>
                <w:sz w:val="20"/>
                <w:szCs w:val="20"/>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A65021C"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A</w:t>
            </w:r>
          </w:p>
        </w:tc>
        <w:tc>
          <w:tcPr>
            <w:tcW w:w="709" w:type="dxa"/>
            <w:tcBorders>
              <w:top w:val="single" w:sz="4" w:space="0" w:color="auto"/>
              <w:left w:val="single" w:sz="4" w:space="0" w:color="auto"/>
              <w:bottom w:val="single" w:sz="4" w:space="0" w:color="auto"/>
              <w:right w:val="single" w:sz="4" w:space="0" w:color="auto"/>
            </w:tcBorders>
            <w:shd w:val="clear" w:color="auto" w:fill="5C75A2"/>
            <w:vAlign w:val="center"/>
          </w:tcPr>
          <w:p w14:paraId="700EC8EE"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M</w:t>
            </w:r>
          </w:p>
        </w:tc>
        <w:tc>
          <w:tcPr>
            <w:tcW w:w="851" w:type="dxa"/>
            <w:tcBorders>
              <w:top w:val="single" w:sz="4" w:space="0" w:color="auto"/>
              <w:left w:val="single" w:sz="4" w:space="0" w:color="auto"/>
              <w:bottom w:val="single" w:sz="4" w:space="0" w:color="auto"/>
              <w:right w:val="single" w:sz="4" w:space="0" w:color="auto"/>
            </w:tcBorders>
            <w:shd w:val="clear" w:color="auto" w:fill="5C75A2"/>
            <w:vAlign w:val="center"/>
          </w:tcPr>
          <w:p w14:paraId="023F4DB9"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J</w:t>
            </w:r>
          </w:p>
        </w:tc>
        <w:tc>
          <w:tcPr>
            <w:tcW w:w="850"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1955E0A"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A</w:t>
            </w:r>
          </w:p>
        </w:tc>
        <w:tc>
          <w:tcPr>
            <w:tcW w:w="851" w:type="dxa"/>
            <w:tcBorders>
              <w:top w:val="single" w:sz="4" w:space="0" w:color="auto"/>
              <w:left w:val="single" w:sz="4" w:space="0" w:color="auto"/>
              <w:bottom w:val="single" w:sz="4" w:space="0" w:color="auto"/>
              <w:right w:val="single" w:sz="4" w:space="0" w:color="auto"/>
            </w:tcBorders>
            <w:shd w:val="clear" w:color="auto" w:fill="5C75A2"/>
            <w:vAlign w:val="center"/>
          </w:tcPr>
          <w:p w14:paraId="6A458970"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M</w:t>
            </w:r>
          </w:p>
        </w:tc>
        <w:tc>
          <w:tcPr>
            <w:tcW w:w="850" w:type="dxa"/>
            <w:tcBorders>
              <w:top w:val="single" w:sz="4" w:space="0" w:color="auto"/>
              <w:left w:val="single" w:sz="4" w:space="0" w:color="auto"/>
              <w:bottom w:val="single" w:sz="4" w:space="0" w:color="auto"/>
              <w:right w:val="single" w:sz="4" w:space="0" w:color="auto"/>
            </w:tcBorders>
            <w:shd w:val="clear" w:color="auto" w:fill="5C75A2"/>
            <w:vAlign w:val="center"/>
          </w:tcPr>
          <w:p w14:paraId="08B67C6F"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J</w:t>
            </w:r>
          </w:p>
        </w:tc>
        <w:tc>
          <w:tcPr>
            <w:tcW w:w="851"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BD073A2"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A</w:t>
            </w:r>
          </w:p>
        </w:tc>
        <w:tc>
          <w:tcPr>
            <w:tcW w:w="850" w:type="dxa"/>
            <w:tcBorders>
              <w:top w:val="single" w:sz="4" w:space="0" w:color="auto"/>
              <w:left w:val="single" w:sz="4" w:space="0" w:color="auto"/>
              <w:bottom w:val="single" w:sz="4" w:space="0" w:color="auto"/>
              <w:right w:val="single" w:sz="4" w:space="0" w:color="auto"/>
            </w:tcBorders>
            <w:shd w:val="clear" w:color="auto" w:fill="5C75A2"/>
            <w:vAlign w:val="center"/>
          </w:tcPr>
          <w:p w14:paraId="66F0E85D"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M</w:t>
            </w:r>
          </w:p>
        </w:tc>
        <w:tc>
          <w:tcPr>
            <w:tcW w:w="851" w:type="dxa"/>
            <w:tcBorders>
              <w:top w:val="single" w:sz="4" w:space="0" w:color="auto"/>
              <w:left w:val="single" w:sz="4" w:space="0" w:color="auto"/>
              <w:bottom w:val="single" w:sz="4" w:space="0" w:color="auto"/>
              <w:right w:val="single" w:sz="4" w:space="0" w:color="auto"/>
            </w:tcBorders>
            <w:shd w:val="clear" w:color="auto" w:fill="5C75A2"/>
            <w:vAlign w:val="center"/>
          </w:tcPr>
          <w:p w14:paraId="430F21CF" w14:textId="77777777" w:rsidR="00246793" w:rsidRPr="00246793" w:rsidRDefault="00246793" w:rsidP="005D385E">
            <w:pPr>
              <w:jc w:val="center"/>
              <w:rPr>
                <w:b/>
                <w:bCs/>
                <w:color w:val="FFFFFF"/>
                <w:sz w:val="20"/>
                <w:szCs w:val="20"/>
                <w:lang w:eastAsia="fr-FR"/>
              </w:rPr>
            </w:pPr>
            <w:r w:rsidRPr="00246793">
              <w:rPr>
                <w:b/>
                <w:bCs/>
                <w:color w:val="FFFFFF"/>
                <w:sz w:val="20"/>
                <w:szCs w:val="20"/>
                <w:lang w:eastAsia="fr-FR"/>
              </w:rPr>
              <w:t>J</w:t>
            </w:r>
          </w:p>
        </w:tc>
      </w:tr>
      <w:tr w:rsidR="00246793" w:rsidRPr="00246793" w14:paraId="4704E148"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restart"/>
            <w:vAlign w:val="center"/>
          </w:tcPr>
          <w:p w14:paraId="6E75DBE1" w14:textId="77777777" w:rsidR="00246793" w:rsidRPr="00246793" w:rsidRDefault="00246793" w:rsidP="005D385E">
            <w:pPr>
              <w:jc w:val="center"/>
              <w:rPr>
                <w:b/>
                <w:bCs/>
                <w:sz w:val="20"/>
                <w:szCs w:val="20"/>
                <w:lang w:eastAsia="fr-FR"/>
              </w:rPr>
            </w:pPr>
            <w:r w:rsidRPr="00246793">
              <w:rPr>
                <w:b/>
                <w:bCs/>
                <w:sz w:val="20"/>
                <w:szCs w:val="20"/>
                <w:lang w:eastAsia="fr-FR"/>
              </w:rPr>
              <w:t>Fioul domestique</w:t>
            </w:r>
          </w:p>
        </w:tc>
        <w:tc>
          <w:tcPr>
            <w:tcW w:w="1702" w:type="dxa"/>
            <w:shd w:val="clear" w:color="auto" w:fill="F5F5F5"/>
            <w:tcMar>
              <w:top w:w="150" w:type="dxa"/>
              <w:left w:w="150" w:type="dxa"/>
              <w:bottom w:w="150" w:type="dxa"/>
              <w:right w:w="150" w:type="dxa"/>
            </w:tcMar>
            <w:vAlign w:val="center"/>
          </w:tcPr>
          <w:p w14:paraId="3A813F86" w14:textId="77777777" w:rsidR="00246793" w:rsidRPr="00246793" w:rsidRDefault="00246793" w:rsidP="005D385E">
            <w:pPr>
              <w:jc w:val="center"/>
              <w:rPr>
                <w:b/>
                <w:bCs/>
                <w:sz w:val="20"/>
                <w:szCs w:val="20"/>
                <w:lang w:eastAsia="fr-FR"/>
              </w:rPr>
            </w:pPr>
            <w:r w:rsidRPr="00246793">
              <w:rPr>
                <w:b/>
                <w:bCs/>
                <w:sz w:val="20"/>
                <w:szCs w:val="20"/>
                <w:lang w:eastAsia="fr-FR"/>
              </w:rPr>
              <w:t>50 ≤ P &lt; 100</w:t>
            </w:r>
          </w:p>
        </w:tc>
        <w:tc>
          <w:tcPr>
            <w:tcW w:w="850" w:type="dxa"/>
            <w:vMerge w:val="restart"/>
            <w:shd w:val="clear" w:color="auto" w:fill="E2EFD9" w:themeFill="accent6" w:themeFillTint="33"/>
            <w:tcMar>
              <w:top w:w="150" w:type="dxa"/>
              <w:left w:w="150" w:type="dxa"/>
              <w:bottom w:w="150" w:type="dxa"/>
              <w:right w:w="150" w:type="dxa"/>
            </w:tcMar>
            <w:vAlign w:val="center"/>
          </w:tcPr>
          <w:p w14:paraId="0B6ECA08" w14:textId="77777777" w:rsidR="00246793" w:rsidRPr="00246793" w:rsidRDefault="00246793" w:rsidP="005D385E">
            <w:pPr>
              <w:jc w:val="center"/>
              <w:rPr>
                <w:b/>
                <w:bCs/>
                <w:sz w:val="20"/>
                <w:szCs w:val="20"/>
                <w:lang w:eastAsia="fr-FR"/>
              </w:rPr>
            </w:pPr>
            <w:r w:rsidRPr="00246793">
              <w:rPr>
                <w:b/>
                <w:bCs/>
                <w:sz w:val="20"/>
                <w:szCs w:val="20"/>
                <w:lang w:eastAsia="fr-FR"/>
              </w:rPr>
              <w:t>200</w:t>
            </w:r>
          </w:p>
          <w:p w14:paraId="344939EC" w14:textId="77777777" w:rsidR="00246793" w:rsidRPr="00246793" w:rsidRDefault="00246793" w:rsidP="005D385E">
            <w:pPr>
              <w:jc w:val="center"/>
              <w:rPr>
                <w:b/>
                <w:bCs/>
                <w:sz w:val="20"/>
                <w:szCs w:val="20"/>
                <w:lang w:eastAsia="fr-FR"/>
              </w:rPr>
            </w:pPr>
            <w:r w:rsidRPr="00246793">
              <w:rPr>
                <w:b/>
                <w:bCs/>
                <w:sz w:val="20"/>
                <w:szCs w:val="20"/>
                <w:lang w:eastAsia="fr-FR"/>
              </w:rPr>
              <w:t>(1)</w:t>
            </w:r>
          </w:p>
        </w:tc>
        <w:tc>
          <w:tcPr>
            <w:tcW w:w="709" w:type="dxa"/>
            <w:vMerge w:val="restart"/>
            <w:shd w:val="clear" w:color="auto" w:fill="B4C6E7" w:themeFill="accent5" w:themeFillTint="66"/>
            <w:vAlign w:val="center"/>
          </w:tcPr>
          <w:p w14:paraId="783FE23B" w14:textId="77777777" w:rsidR="00246793" w:rsidRPr="00246793" w:rsidRDefault="00246793" w:rsidP="005D385E">
            <w:pPr>
              <w:jc w:val="center"/>
              <w:rPr>
                <w:b/>
                <w:bCs/>
                <w:sz w:val="20"/>
                <w:szCs w:val="20"/>
                <w:lang w:eastAsia="fr-FR"/>
              </w:rPr>
            </w:pPr>
            <w:r w:rsidRPr="00246793">
              <w:rPr>
                <w:b/>
                <w:bCs/>
                <w:sz w:val="20"/>
                <w:szCs w:val="20"/>
                <w:lang w:eastAsia="fr-FR"/>
              </w:rPr>
              <w:t>60</w:t>
            </w:r>
          </w:p>
        </w:tc>
        <w:tc>
          <w:tcPr>
            <w:tcW w:w="851" w:type="dxa"/>
            <w:vMerge w:val="restart"/>
            <w:shd w:val="clear" w:color="auto" w:fill="B4C6E7" w:themeFill="accent5" w:themeFillTint="66"/>
            <w:vAlign w:val="center"/>
          </w:tcPr>
          <w:p w14:paraId="45D6E6EC" w14:textId="77777777" w:rsidR="00246793" w:rsidRPr="00246793" w:rsidRDefault="00246793" w:rsidP="005D385E">
            <w:pPr>
              <w:jc w:val="center"/>
              <w:rPr>
                <w:b/>
                <w:bCs/>
                <w:sz w:val="20"/>
                <w:szCs w:val="20"/>
                <w:lang w:eastAsia="fr-FR"/>
              </w:rPr>
            </w:pPr>
            <w:r w:rsidRPr="00246793">
              <w:rPr>
                <w:b/>
                <w:bCs/>
                <w:sz w:val="20"/>
                <w:szCs w:val="20"/>
                <w:lang w:eastAsia="fr-FR"/>
              </w:rPr>
              <w:t>66</w:t>
            </w:r>
          </w:p>
        </w:tc>
        <w:tc>
          <w:tcPr>
            <w:tcW w:w="850" w:type="dxa"/>
            <w:vMerge w:val="restart"/>
            <w:shd w:val="clear" w:color="auto" w:fill="E2EFD9" w:themeFill="accent6" w:themeFillTint="33"/>
            <w:tcMar>
              <w:top w:w="150" w:type="dxa"/>
              <w:left w:w="150" w:type="dxa"/>
              <w:bottom w:w="150" w:type="dxa"/>
              <w:right w:w="150" w:type="dxa"/>
            </w:tcMar>
            <w:vAlign w:val="center"/>
          </w:tcPr>
          <w:p w14:paraId="6065BE61" w14:textId="77777777" w:rsidR="00246793" w:rsidRPr="00246793" w:rsidRDefault="00246793" w:rsidP="005D385E">
            <w:pPr>
              <w:jc w:val="center"/>
              <w:rPr>
                <w:b/>
                <w:bCs/>
                <w:sz w:val="20"/>
                <w:szCs w:val="20"/>
                <w:lang w:eastAsia="fr-FR"/>
              </w:rPr>
            </w:pPr>
            <w:r w:rsidRPr="00246793">
              <w:rPr>
                <w:b/>
                <w:bCs/>
                <w:sz w:val="20"/>
                <w:szCs w:val="20"/>
                <w:lang w:eastAsia="fr-FR"/>
              </w:rPr>
              <w:t>625</w:t>
            </w:r>
          </w:p>
        </w:tc>
        <w:tc>
          <w:tcPr>
            <w:tcW w:w="851" w:type="dxa"/>
            <w:vMerge w:val="restart"/>
            <w:shd w:val="clear" w:color="auto" w:fill="B4C6E7" w:themeFill="accent5" w:themeFillTint="66"/>
            <w:vAlign w:val="center"/>
          </w:tcPr>
          <w:p w14:paraId="3A45767D" w14:textId="77777777" w:rsidR="00246793" w:rsidRPr="00246793" w:rsidRDefault="00246793" w:rsidP="005D385E">
            <w:pPr>
              <w:jc w:val="center"/>
              <w:rPr>
                <w:b/>
                <w:bCs/>
                <w:sz w:val="20"/>
                <w:szCs w:val="20"/>
                <w:lang w:eastAsia="fr-FR"/>
              </w:rPr>
            </w:pPr>
            <w:r w:rsidRPr="00246793">
              <w:rPr>
                <w:b/>
                <w:bCs/>
                <w:sz w:val="20"/>
                <w:szCs w:val="20"/>
                <w:lang w:eastAsia="fr-FR"/>
              </w:rPr>
              <w:t>225</w:t>
            </w:r>
          </w:p>
          <w:p w14:paraId="15DF7ECB" w14:textId="77777777" w:rsidR="00246793" w:rsidRPr="00246793" w:rsidRDefault="00246793" w:rsidP="005D385E">
            <w:pPr>
              <w:jc w:val="center"/>
              <w:rPr>
                <w:b/>
                <w:bCs/>
                <w:sz w:val="20"/>
                <w:szCs w:val="20"/>
                <w:lang w:eastAsia="fr-FR"/>
              </w:rPr>
            </w:pPr>
            <w:r w:rsidRPr="00246793">
              <w:rPr>
                <w:b/>
                <w:bCs/>
                <w:sz w:val="20"/>
                <w:szCs w:val="20"/>
                <w:lang w:eastAsia="fr-FR"/>
              </w:rPr>
              <w:t>(2)</w:t>
            </w:r>
          </w:p>
        </w:tc>
        <w:tc>
          <w:tcPr>
            <w:tcW w:w="850" w:type="dxa"/>
            <w:vMerge w:val="restart"/>
            <w:shd w:val="clear" w:color="auto" w:fill="B4C6E7" w:themeFill="accent5" w:themeFillTint="66"/>
            <w:vAlign w:val="center"/>
          </w:tcPr>
          <w:p w14:paraId="3A0FDC02" w14:textId="77777777" w:rsidR="00246793" w:rsidRPr="00246793" w:rsidRDefault="00246793" w:rsidP="005D385E">
            <w:pPr>
              <w:jc w:val="center"/>
              <w:rPr>
                <w:b/>
                <w:bCs/>
                <w:sz w:val="20"/>
                <w:szCs w:val="20"/>
                <w:lang w:eastAsia="fr-FR"/>
              </w:rPr>
            </w:pPr>
            <w:r w:rsidRPr="00246793">
              <w:rPr>
                <w:b/>
                <w:bCs/>
                <w:sz w:val="20"/>
                <w:szCs w:val="20"/>
                <w:lang w:eastAsia="fr-FR"/>
              </w:rPr>
              <w:t>247,5</w:t>
            </w:r>
          </w:p>
          <w:p w14:paraId="0D77FD4A" w14:textId="77777777" w:rsidR="00246793" w:rsidRPr="00246793" w:rsidRDefault="00246793" w:rsidP="005D385E">
            <w:pPr>
              <w:jc w:val="center"/>
              <w:rPr>
                <w:b/>
                <w:bCs/>
                <w:sz w:val="20"/>
                <w:szCs w:val="20"/>
                <w:lang w:eastAsia="fr-FR"/>
              </w:rPr>
            </w:pPr>
            <w:r w:rsidRPr="00246793">
              <w:rPr>
                <w:b/>
                <w:bCs/>
                <w:sz w:val="20"/>
                <w:szCs w:val="20"/>
                <w:lang w:eastAsia="fr-FR"/>
              </w:rPr>
              <w:t>(2)</w:t>
            </w:r>
          </w:p>
        </w:tc>
        <w:tc>
          <w:tcPr>
            <w:tcW w:w="851" w:type="dxa"/>
            <w:vMerge w:val="restart"/>
            <w:shd w:val="clear" w:color="auto" w:fill="E2EFD9" w:themeFill="accent6" w:themeFillTint="33"/>
            <w:tcMar>
              <w:top w:w="150" w:type="dxa"/>
              <w:left w:w="150" w:type="dxa"/>
              <w:bottom w:w="150" w:type="dxa"/>
              <w:right w:w="150" w:type="dxa"/>
            </w:tcMar>
            <w:vAlign w:val="center"/>
          </w:tcPr>
          <w:p w14:paraId="4F3CBB13" w14:textId="77777777" w:rsidR="00246793" w:rsidRPr="00246793" w:rsidRDefault="00246793" w:rsidP="005D385E">
            <w:pPr>
              <w:jc w:val="center"/>
              <w:rPr>
                <w:b/>
                <w:bCs/>
                <w:sz w:val="20"/>
                <w:szCs w:val="20"/>
                <w:lang w:eastAsia="fr-FR"/>
              </w:rPr>
            </w:pPr>
            <w:r w:rsidRPr="00246793">
              <w:rPr>
                <w:b/>
                <w:bCs/>
                <w:sz w:val="20"/>
                <w:szCs w:val="20"/>
                <w:lang w:eastAsia="fr-FR"/>
              </w:rPr>
              <w:t>35</w:t>
            </w:r>
          </w:p>
        </w:tc>
        <w:tc>
          <w:tcPr>
            <w:tcW w:w="850" w:type="dxa"/>
            <w:vMerge w:val="restart"/>
            <w:shd w:val="clear" w:color="auto" w:fill="B4C6E7" w:themeFill="accent5" w:themeFillTint="66"/>
            <w:vAlign w:val="center"/>
          </w:tcPr>
          <w:p w14:paraId="67E1B4C5" w14:textId="77777777" w:rsidR="00246793" w:rsidRPr="00246793" w:rsidRDefault="00246793" w:rsidP="005D385E">
            <w:pPr>
              <w:jc w:val="center"/>
              <w:rPr>
                <w:b/>
                <w:bCs/>
                <w:sz w:val="20"/>
                <w:szCs w:val="20"/>
                <w:lang w:eastAsia="fr-FR"/>
              </w:rPr>
            </w:pPr>
            <w:r w:rsidRPr="00246793">
              <w:rPr>
                <w:b/>
                <w:bCs/>
                <w:sz w:val="20"/>
                <w:szCs w:val="20"/>
                <w:lang w:eastAsia="fr-FR"/>
              </w:rPr>
              <w:t>30</w:t>
            </w:r>
          </w:p>
        </w:tc>
        <w:tc>
          <w:tcPr>
            <w:tcW w:w="851" w:type="dxa"/>
            <w:vMerge w:val="restart"/>
            <w:shd w:val="clear" w:color="auto" w:fill="B4C6E7" w:themeFill="accent5" w:themeFillTint="66"/>
            <w:vAlign w:val="center"/>
          </w:tcPr>
          <w:p w14:paraId="58E0E6D8" w14:textId="77777777" w:rsidR="00246793" w:rsidRPr="00246793" w:rsidRDefault="00246793" w:rsidP="005D385E">
            <w:pPr>
              <w:jc w:val="center"/>
              <w:rPr>
                <w:b/>
                <w:bCs/>
                <w:sz w:val="20"/>
                <w:szCs w:val="20"/>
                <w:lang w:eastAsia="fr-FR"/>
              </w:rPr>
            </w:pPr>
            <w:r w:rsidRPr="00246793">
              <w:rPr>
                <w:b/>
                <w:bCs/>
                <w:sz w:val="20"/>
                <w:szCs w:val="20"/>
                <w:lang w:eastAsia="fr-FR"/>
              </w:rPr>
              <w:t>33</w:t>
            </w:r>
          </w:p>
        </w:tc>
      </w:tr>
      <w:tr w:rsidR="00246793" w:rsidRPr="00246793" w14:paraId="64DC7982"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ign w:val="center"/>
          </w:tcPr>
          <w:p w14:paraId="214367D1" w14:textId="77777777" w:rsidR="00246793" w:rsidRPr="00246793" w:rsidRDefault="00246793" w:rsidP="005D385E">
            <w:pPr>
              <w:jc w:val="center"/>
              <w:rPr>
                <w:b/>
                <w:bCs/>
                <w:sz w:val="20"/>
                <w:szCs w:val="20"/>
                <w:lang w:eastAsia="fr-FR"/>
              </w:rPr>
            </w:pPr>
          </w:p>
        </w:tc>
        <w:tc>
          <w:tcPr>
            <w:tcW w:w="1702" w:type="dxa"/>
            <w:shd w:val="clear" w:color="auto" w:fill="F5F5F5"/>
            <w:tcMar>
              <w:top w:w="150" w:type="dxa"/>
              <w:left w:w="150" w:type="dxa"/>
              <w:bottom w:w="150" w:type="dxa"/>
              <w:right w:w="150" w:type="dxa"/>
            </w:tcMar>
            <w:vAlign w:val="center"/>
          </w:tcPr>
          <w:p w14:paraId="31F27C8B" w14:textId="77777777" w:rsidR="00246793" w:rsidRPr="00246793" w:rsidRDefault="00246793" w:rsidP="005D385E">
            <w:pPr>
              <w:jc w:val="center"/>
              <w:rPr>
                <w:b/>
                <w:bCs/>
                <w:sz w:val="20"/>
                <w:szCs w:val="20"/>
                <w:lang w:eastAsia="fr-FR"/>
              </w:rPr>
            </w:pPr>
            <w:r w:rsidRPr="00246793">
              <w:rPr>
                <w:b/>
                <w:bCs/>
                <w:sz w:val="20"/>
                <w:szCs w:val="20"/>
                <w:lang w:eastAsia="fr-FR"/>
              </w:rPr>
              <w:t>100 ≤ P &lt; 300</w:t>
            </w:r>
          </w:p>
        </w:tc>
        <w:tc>
          <w:tcPr>
            <w:tcW w:w="850" w:type="dxa"/>
            <w:vMerge/>
            <w:shd w:val="clear" w:color="auto" w:fill="E2EFD9" w:themeFill="accent6" w:themeFillTint="33"/>
            <w:tcMar>
              <w:top w:w="150" w:type="dxa"/>
              <w:left w:w="150" w:type="dxa"/>
              <w:bottom w:w="150" w:type="dxa"/>
              <w:right w:w="150" w:type="dxa"/>
            </w:tcMar>
            <w:vAlign w:val="center"/>
          </w:tcPr>
          <w:p w14:paraId="3EA09C24"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3292DB09"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46E9A676" w14:textId="77777777" w:rsidR="00246793" w:rsidRPr="00246793" w:rsidRDefault="00246793" w:rsidP="005D385E">
            <w:pPr>
              <w:jc w:val="center"/>
              <w:rPr>
                <w:b/>
                <w:bCs/>
                <w:sz w:val="20"/>
                <w:szCs w:val="20"/>
                <w:lang w:eastAsia="fr-FR"/>
              </w:rPr>
            </w:pPr>
          </w:p>
        </w:tc>
        <w:tc>
          <w:tcPr>
            <w:tcW w:w="850" w:type="dxa"/>
            <w:vMerge/>
            <w:shd w:val="clear" w:color="auto" w:fill="E2EFD9" w:themeFill="accent6" w:themeFillTint="33"/>
            <w:tcMar>
              <w:top w:w="150" w:type="dxa"/>
              <w:left w:w="150" w:type="dxa"/>
              <w:bottom w:w="150" w:type="dxa"/>
              <w:right w:w="150" w:type="dxa"/>
            </w:tcMar>
            <w:vAlign w:val="center"/>
          </w:tcPr>
          <w:p w14:paraId="0CA3CD92"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0311FF35" w14:textId="77777777" w:rsidR="00246793" w:rsidRPr="00246793" w:rsidRDefault="00246793" w:rsidP="005D385E">
            <w:pPr>
              <w:jc w:val="center"/>
              <w:rPr>
                <w:b/>
                <w:bCs/>
                <w:sz w:val="20"/>
                <w:szCs w:val="20"/>
                <w:lang w:eastAsia="fr-FR"/>
              </w:rPr>
            </w:pPr>
          </w:p>
        </w:tc>
        <w:tc>
          <w:tcPr>
            <w:tcW w:w="850" w:type="dxa"/>
            <w:vMerge/>
            <w:shd w:val="clear" w:color="auto" w:fill="B4C6E7" w:themeFill="accent5" w:themeFillTint="66"/>
            <w:vAlign w:val="center"/>
          </w:tcPr>
          <w:p w14:paraId="64784B53"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75EE9C66" w14:textId="77777777" w:rsidR="00246793" w:rsidRPr="00246793" w:rsidRDefault="00246793" w:rsidP="005D385E">
            <w:pPr>
              <w:jc w:val="center"/>
              <w:rPr>
                <w:b/>
                <w:bCs/>
                <w:sz w:val="20"/>
                <w:szCs w:val="20"/>
                <w:lang w:eastAsia="fr-FR"/>
              </w:rPr>
            </w:pPr>
          </w:p>
        </w:tc>
        <w:tc>
          <w:tcPr>
            <w:tcW w:w="850" w:type="dxa"/>
            <w:vMerge/>
            <w:shd w:val="clear" w:color="auto" w:fill="B4C6E7" w:themeFill="accent5" w:themeFillTint="66"/>
            <w:vAlign w:val="center"/>
          </w:tcPr>
          <w:p w14:paraId="5DF2DF74"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49733C48" w14:textId="77777777" w:rsidR="00246793" w:rsidRPr="00246793" w:rsidRDefault="00246793" w:rsidP="005D385E">
            <w:pPr>
              <w:jc w:val="center"/>
              <w:rPr>
                <w:b/>
                <w:bCs/>
                <w:sz w:val="20"/>
                <w:szCs w:val="20"/>
                <w:lang w:eastAsia="fr-FR"/>
              </w:rPr>
            </w:pPr>
          </w:p>
        </w:tc>
      </w:tr>
      <w:tr w:rsidR="00246793" w:rsidRPr="00246793" w14:paraId="4D11B59E"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ign w:val="center"/>
          </w:tcPr>
          <w:p w14:paraId="792E6AE2" w14:textId="77777777" w:rsidR="00246793" w:rsidRPr="00246793" w:rsidRDefault="00246793" w:rsidP="005D385E">
            <w:pPr>
              <w:jc w:val="center"/>
              <w:rPr>
                <w:b/>
                <w:bCs/>
                <w:sz w:val="20"/>
                <w:szCs w:val="20"/>
                <w:lang w:eastAsia="fr-FR"/>
              </w:rPr>
            </w:pPr>
          </w:p>
        </w:tc>
        <w:tc>
          <w:tcPr>
            <w:tcW w:w="1702" w:type="dxa"/>
            <w:shd w:val="clear" w:color="auto" w:fill="F5F5F5"/>
            <w:tcMar>
              <w:top w:w="150" w:type="dxa"/>
              <w:left w:w="150" w:type="dxa"/>
              <w:bottom w:w="150" w:type="dxa"/>
              <w:right w:w="150" w:type="dxa"/>
            </w:tcMar>
            <w:vAlign w:val="center"/>
          </w:tcPr>
          <w:p w14:paraId="04C74735" w14:textId="77777777" w:rsidR="00246793" w:rsidRPr="00246793" w:rsidRDefault="00246793" w:rsidP="005D385E">
            <w:pPr>
              <w:jc w:val="center"/>
              <w:rPr>
                <w:b/>
                <w:bCs/>
                <w:sz w:val="20"/>
                <w:szCs w:val="20"/>
                <w:lang w:eastAsia="fr-FR"/>
              </w:rPr>
            </w:pPr>
            <w:r w:rsidRPr="00246793">
              <w:rPr>
                <w:b/>
                <w:bCs/>
                <w:sz w:val="20"/>
                <w:szCs w:val="20"/>
                <w:lang w:eastAsia="fr-FR"/>
              </w:rPr>
              <w:t>300 ≤ P</w:t>
            </w:r>
          </w:p>
        </w:tc>
        <w:tc>
          <w:tcPr>
            <w:tcW w:w="850" w:type="dxa"/>
            <w:vMerge/>
            <w:shd w:val="clear" w:color="auto" w:fill="E2EFD9" w:themeFill="accent6" w:themeFillTint="33"/>
            <w:tcMar>
              <w:top w:w="150" w:type="dxa"/>
              <w:left w:w="150" w:type="dxa"/>
              <w:bottom w:w="150" w:type="dxa"/>
              <w:right w:w="150" w:type="dxa"/>
            </w:tcMar>
            <w:vAlign w:val="center"/>
          </w:tcPr>
          <w:p w14:paraId="6C036D54" w14:textId="77777777" w:rsidR="00246793" w:rsidRPr="00246793" w:rsidRDefault="00246793" w:rsidP="005D385E">
            <w:pPr>
              <w:jc w:val="center"/>
              <w:rPr>
                <w:b/>
                <w:bCs/>
                <w:sz w:val="20"/>
                <w:szCs w:val="20"/>
                <w:lang w:eastAsia="fr-FR"/>
              </w:rPr>
            </w:pPr>
          </w:p>
        </w:tc>
        <w:tc>
          <w:tcPr>
            <w:tcW w:w="709" w:type="dxa"/>
            <w:vMerge/>
            <w:shd w:val="clear" w:color="auto" w:fill="B4C6E7" w:themeFill="accent5" w:themeFillTint="66"/>
            <w:vAlign w:val="center"/>
          </w:tcPr>
          <w:p w14:paraId="5A862EBE"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68BC1958" w14:textId="77777777" w:rsidR="00246793" w:rsidRPr="00246793" w:rsidRDefault="00246793" w:rsidP="005D385E">
            <w:pPr>
              <w:jc w:val="center"/>
              <w:rPr>
                <w:b/>
                <w:bCs/>
                <w:sz w:val="20"/>
                <w:szCs w:val="20"/>
                <w:lang w:eastAsia="fr-FR"/>
              </w:rPr>
            </w:pPr>
          </w:p>
        </w:tc>
        <w:tc>
          <w:tcPr>
            <w:tcW w:w="850" w:type="dxa"/>
            <w:vMerge/>
            <w:shd w:val="clear" w:color="auto" w:fill="E2EFD9" w:themeFill="accent6" w:themeFillTint="33"/>
            <w:tcMar>
              <w:top w:w="150" w:type="dxa"/>
              <w:left w:w="150" w:type="dxa"/>
              <w:bottom w:w="150" w:type="dxa"/>
              <w:right w:w="150" w:type="dxa"/>
            </w:tcMar>
            <w:vAlign w:val="center"/>
          </w:tcPr>
          <w:p w14:paraId="13253B82"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1668AB58" w14:textId="77777777" w:rsidR="00246793" w:rsidRPr="00246793" w:rsidRDefault="00246793" w:rsidP="005D385E">
            <w:pPr>
              <w:jc w:val="center"/>
              <w:rPr>
                <w:b/>
                <w:bCs/>
                <w:sz w:val="20"/>
                <w:szCs w:val="20"/>
                <w:lang w:eastAsia="fr-FR"/>
              </w:rPr>
            </w:pPr>
          </w:p>
        </w:tc>
        <w:tc>
          <w:tcPr>
            <w:tcW w:w="850" w:type="dxa"/>
            <w:vMerge/>
            <w:shd w:val="clear" w:color="auto" w:fill="B4C6E7" w:themeFill="accent5" w:themeFillTint="66"/>
            <w:vAlign w:val="center"/>
          </w:tcPr>
          <w:p w14:paraId="4881FC86"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3DC18B4E" w14:textId="77777777" w:rsidR="00246793" w:rsidRPr="00246793" w:rsidRDefault="00246793" w:rsidP="005D385E">
            <w:pPr>
              <w:jc w:val="center"/>
              <w:rPr>
                <w:b/>
                <w:bCs/>
                <w:sz w:val="20"/>
                <w:szCs w:val="20"/>
                <w:lang w:eastAsia="fr-FR"/>
              </w:rPr>
            </w:pPr>
          </w:p>
        </w:tc>
        <w:tc>
          <w:tcPr>
            <w:tcW w:w="850" w:type="dxa"/>
            <w:vMerge/>
            <w:shd w:val="clear" w:color="auto" w:fill="B4C6E7" w:themeFill="accent5" w:themeFillTint="66"/>
            <w:vAlign w:val="center"/>
          </w:tcPr>
          <w:p w14:paraId="4509F505"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2A0997CF" w14:textId="77777777" w:rsidR="00246793" w:rsidRPr="00246793" w:rsidRDefault="00246793" w:rsidP="005D385E">
            <w:pPr>
              <w:jc w:val="center"/>
              <w:rPr>
                <w:b/>
                <w:bCs/>
                <w:sz w:val="20"/>
                <w:szCs w:val="20"/>
                <w:lang w:eastAsia="fr-FR"/>
              </w:rPr>
            </w:pPr>
          </w:p>
        </w:tc>
      </w:tr>
      <w:tr w:rsidR="00246793" w:rsidRPr="00246793" w14:paraId="11FC116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restart"/>
            <w:vAlign w:val="center"/>
          </w:tcPr>
          <w:p w14:paraId="3B714AEF" w14:textId="77777777" w:rsidR="00246793" w:rsidRPr="00246793" w:rsidRDefault="00246793" w:rsidP="005D385E">
            <w:pPr>
              <w:jc w:val="center"/>
              <w:rPr>
                <w:b/>
                <w:bCs/>
                <w:sz w:val="20"/>
                <w:szCs w:val="20"/>
                <w:lang w:eastAsia="fr-FR"/>
              </w:rPr>
            </w:pPr>
            <w:r w:rsidRPr="00246793">
              <w:rPr>
                <w:b/>
                <w:bCs/>
                <w:sz w:val="20"/>
                <w:szCs w:val="20"/>
                <w:lang w:eastAsia="fr-FR"/>
              </w:rPr>
              <w:t>Fioul lourd</w:t>
            </w:r>
          </w:p>
        </w:tc>
        <w:tc>
          <w:tcPr>
            <w:tcW w:w="1702" w:type="dxa"/>
            <w:shd w:val="clear" w:color="auto" w:fill="F5F5F5"/>
            <w:tcMar>
              <w:top w:w="150" w:type="dxa"/>
              <w:left w:w="150" w:type="dxa"/>
              <w:bottom w:w="150" w:type="dxa"/>
              <w:right w:w="150" w:type="dxa"/>
            </w:tcMar>
            <w:vAlign w:val="center"/>
          </w:tcPr>
          <w:p w14:paraId="0454992E" w14:textId="77777777" w:rsidR="00246793" w:rsidRPr="00246793" w:rsidRDefault="00246793" w:rsidP="005D385E">
            <w:pPr>
              <w:jc w:val="center"/>
              <w:rPr>
                <w:b/>
                <w:bCs/>
                <w:sz w:val="20"/>
                <w:szCs w:val="20"/>
                <w:lang w:eastAsia="fr-FR"/>
              </w:rPr>
            </w:pPr>
            <w:r w:rsidRPr="00246793">
              <w:rPr>
                <w:b/>
                <w:bCs/>
                <w:sz w:val="20"/>
                <w:szCs w:val="20"/>
                <w:lang w:eastAsia="fr-FR"/>
              </w:rPr>
              <w:t>50 ≤ P &lt; 100</w:t>
            </w:r>
          </w:p>
        </w:tc>
        <w:tc>
          <w:tcPr>
            <w:tcW w:w="850" w:type="dxa"/>
            <w:vMerge w:val="restart"/>
            <w:shd w:val="clear" w:color="auto" w:fill="E2EFD9" w:themeFill="accent6" w:themeFillTint="33"/>
            <w:tcMar>
              <w:top w:w="150" w:type="dxa"/>
              <w:left w:w="150" w:type="dxa"/>
              <w:bottom w:w="150" w:type="dxa"/>
              <w:right w:w="150" w:type="dxa"/>
            </w:tcMar>
            <w:vAlign w:val="center"/>
          </w:tcPr>
          <w:p w14:paraId="3C8531D5" w14:textId="77777777" w:rsidR="00246793" w:rsidRPr="00246793" w:rsidRDefault="00246793" w:rsidP="005D385E">
            <w:pPr>
              <w:jc w:val="center"/>
              <w:rPr>
                <w:b/>
                <w:bCs/>
                <w:sz w:val="20"/>
                <w:szCs w:val="20"/>
                <w:lang w:eastAsia="fr-FR"/>
              </w:rPr>
            </w:pPr>
            <w:r w:rsidRPr="00246793">
              <w:rPr>
                <w:b/>
                <w:bCs/>
                <w:sz w:val="20"/>
                <w:szCs w:val="20"/>
                <w:lang w:eastAsia="fr-FR"/>
              </w:rPr>
              <w:t>200</w:t>
            </w:r>
          </w:p>
          <w:p w14:paraId="5CD59417" w14:textId="77777777" w:rsidR="00246793" w:rsidRPr="00246793" w:rsidRDefault="00246793" w:rsidP="005D385E">
            <w:pPr>
              <w:jc w:val="center"/>
              <w:rPr>
                <w:b/>
                <w:bCs/>
                <w:sz w:val="20"/>
                <w:szCs w:val="20"/>
                <w:lang w:eastAsia="fr-FR"/>
              </w:rPr>
            </w:pPr>
            <w:r w:rsidRPr="00246793">
              <w:rPr>
                <w:b/>
                <w:bCs/>
                <w:sz w:val="20"/>
                <w:szCs w:val="20"/>
                <w:lang w:eastAsia="fr-FR"/>
              </w:rPr>
              <w:t>(1)</w:t>
            </w:r>
          </w:p>
        </w:tc>
        <w:tc>
          <w:tcPr>
            <w:tcW w:w="709" w:type="dxa"/>
            <w:vMerge w:val="restart"/>
            <w:shd w:val="clear" w:color="auto" w:fill="E2EFD9" w:themeFill="accent6" w:themeFillTint="33"/>
            <w:vAlign w:val="center"/>
          </w:tcPr>
          <w:p w14:paraId="089F1CC9" w14:textId="77777777" w:rsidR="00246793" w:rsidRPr="00246793" w:rsidRDefault="00246793" w:rsidP="005D385E">
            <w:pPr>
              <w:jc w:val="center"/>
              <w:rPr>
                <w:b/>
                <w:bCs/>
                <w:sz w:val="20"/>
                <w:szCs w:val="20"/>
                <w:lang w:eastAsia="fr-FR"/>
              </w:rPr>
            </w:pPr>
            <w:r w:rsidRPr="00246793">
              <w:rPr>
                <w:b/>
                <w:bCs/>
                <w:sz w:val="20"/>
                <w:szCs w:val="20"/>
                <w:lang w:eastAsia="fr-FR"/>
              </w:rPr>
              <w:t>235</w:t>
            </w:r>
          </w:p>
          <w:p w14:paraId="5B200A1C" w14:textId="77777777" w:rsidR="00246793" w:rsidRPr="00246793" w:rsidRDefault="00246793" w:rsidP="005D385E">
            <w:pPr>
              <w:jc w:val="center"/>
              <w:rPr>
                <w:b/>
                <w:bCs/>
                <w:sz w:val="20"/>
                <w:szCs w:val="20"/>
                <w:lang w:eastAsia="fr-FR"/>
              </w:rPr>
            </w:pPr>
            <w:r w:rsidRPr="00246793">
              <w:rPr>
                <w:b/>
                <w:bCs/>
                <w:sz w:val="20"/>
                <w:szCs w:val="20"/>
                <w:lang w:eastAsia="fr-FR"/>
              </w:rPr>
              <w:t>(1)</w:t>
            </w:r>
          </w:p>
        </w:tc>
        <w:tc>
          <w:tcPr>
            <w:tcW w:w="851" w:type="dxa"/>
            <w:vMerge w:val="restart"/>
            <w:shd w:val="clear" w:color="auto" w:fill="E2EFD9" w:themeFill="accent6" w:themeFillTint="33"/>
            <w:vAlign w:val="center"/>
          </w:tcPr>
          <w:p w14:paraId="7730ABC3" w14:textId="77777777" w:rsidR="00246793" w:rsidRPr="00246793" w:rsidRDefault="00246793" w:rsidP="005D385E">
            <w:pPr>
              <w:jc w:val="center"/>
              <w:rPr>
                <w:b/>
                <w:bCs/>
                <w:sz w:val="20"/>
                <w:szCs w:val="20"/>
                <w:lang w:eastAsia="fr-FR"/>
              </w:rPr>
            </w:pPr>
            <w:r w:rsidRPr="00246793">
              <w:rPr>
                <w:b/>
                <w:bCs/>
                <w:sz w:val="20"/>
                <w:szCs w:val="20"/>
                <w:lang w:eastAsia="fr-FR"/>
              </w:rPr>
              <w:t>235</w:t>
            </w:r>
          </w:p>
          <w:p w14:paraId="213A3EA5" w14:textId="77777777" w:rsidR="00246793" w:rsidRPr="00246793" w:rsidRDefault="00246793" w:rsidP="005D385E">
            <w:pPr>
              <w:jc w:val="center"/>
              <w:rPr>
                <w:b/>
                <w:bCs/>
                <w:sz w:val="20"/>
                <w:szCs w:val="20"/>
                <w:lang w:eastAsia="fr-FR"/>
              </w:rPr>
            </w:pPr>
            <w:r w:rsidRPr="00246793">
              <w:rPr>
                <w:b/>
                <w:bCs/>
                <w:sz w:val="20"/>
                <w:szCs w:val="20"/>
                <w:lang w:eastAsia="fr-FR"/>
              </w:rPr>
              <w:t>(1)</w:t>
            </w:r>
          </w:p>
        </w:tc>
        <w:tc>
          <w:tcPr>
            <w:tcW w:w="850" w:type="dxa"/>
            <w:vMerge w:val="restart"/>
            <w:shd w:val="clear" w:color="auto" w:fill="E2EFD9" w:themeFill="accent6" w:themeFillTint="33"/>
            <w:tcMar>
              <w:top w:w="150" w:type="dxa"/>
              <w:left w:w="150" w:type="dxa"/>
              <w:bottom w:w="150" w:type="dxa"/>
              <w:right w:w="150" w:type="dxa"/>
            </w:tcMar>
            <w:vAlign w:val="center"/>
          </w:tcPr>
          <w:p w14:paraId="5281FB82" w14:textId="77777777" w:rsidR="00246793" w:rsidRPr="00246793" w:rsidRDefault="00246793" w:rsidP="005D385E">
            <w:pPr>
              <w:jc w:val="center"/>
              <w:rPr>
                <w:b/>
                <w:bCs/>
                <w:sz w:val="20"/>
                <w:szCs w:val="20"/>
                <w:lang w:eastAsia="fr-FR"/>
              </w:rPr>
            </w:pPr>
            <w:r w:rsidRPr="00246793">
              <w:rPr>
                <w:b/>
                <w:bCs/>
                <w:sz w:val="20"/>
                <w:szCs w:val="20"/>
                <w:lang w:eastAsia="fr-FR"/>
              </w:rPr>
              <w:t>625</w:t>
            </w:r>
          </w:p>
        </w:tc>
        <w:tc>
          <w:tcPr>
            <w:tcW w:w="851" w:type="dxa"/>
            <w:vMerge w:val="restart"/>
            <w:shd w:val="clear" w:color="auto" w:fill="B4C6E7" w:themeFill="accent5" w:themeFillTint="66"/>
            <w:vAlign w:val="center"/>
          </w:tcPr>
          <w:p w14:paraId="5F9A9393" w14:textId="77777777" w:rsidR="00246793" w:rsidRPr="00246793" w:rsidRDefault="00246793" w:rsidP="005D385E">
            <w:pPr>
              <w:jc w:val="center"/>
              <w:rPr>
                <w:b/>
                <w:bCs/>
                <w:sz w:val="20"/>
                <w:szCs w:val="20"/>
                <w:lang w:eastAsia="fr-FR"/>
              </w:rPr>
            </w:pPr>
            <w:r w:rsidRPr="00246793">
              <w:rPr>
                <w:b/>
                <w:bCs/>
                <w:sz w:val="20"/>
                <w:szCs w:val="20"/>
                <w:lang w:eastAsia="fr-FR"/>
              </w:rPr>
              <w:t>225</w:t>
            </w:r>
          </w:p>
          <w:p w14:paraId="481C5714" w14:textId="77777777" w:rsidR="00246793" w:rsidRPr="00246793" w:rsidRDefault="00246793" w:rsidP="005D385E">
            <w:pPr>
              <w:jc w:val="center"/>
              <w:rPr>
                <w:b/>
                <w:bCs/>
                <w:sz w:val="20"/>
                <w:szCs w:val="20"/>
                <w:lang w:eastAsia="fr-FR"/>
              </w:rPr>
            </w:pPr>
            <w:r w:rsidRPr="00246793">
              <w:rPr>
                <w:b/>
                <w:bCs/>
                <w:sz w:val="20"/>
                <w:szCs w:val="20"/>
                <w:lang w:eastAsia="fr-FR"/>
              </w:rPr>
              <w:t>(2)</w:t>
            </w:r>
          </w:p>
        </w:tc>
        <w:tc>
          <w:tcPr>
            <w:tcW w:w="850" w:type="dxa"/>
            <w:vMerge w:val="restart"/>
            <w:shd w:val="clear" w:color="auto" w:fill="B4C6E7" w:themeFill="accent5" w:themeFillTint="66"/>
            <w:vAlign w:val="center"/>
          </w:tcPr>
          <w:p w14:paraId="02456A98" w14:textId="77777777" w:rsidR="00246793" w:rsidRPr="00246793" w:rsidRDefault="00246793" w:rsidP="005D385E">
            <w:pPr>
              <w:jc w:val="center"/>
              <w:rPr>
                <w:b/>
                <w:bCs/>
                <w:sz w:val="20"/>
                <w:szCs w:val="20"/>
                <w:lang w:eastAsia="fr-FR"/>
              </w:rPr>
            </w:pPr>
            <w:r w:rsidRPr="00246793">
              <w:rPr>
                <w:b/>
                <w:bCs/>
                <w:sz w:val="20"/>
                <w:szCs w:val="20"/>
                <w:lang w:eastAsia="fr-FR"/>
              </w:rPr>
              <w:t>247,5</w:t>
            </w:r>
          </w:p>
          <w:p w14:paraId="3C16F1E8" w14:textId="77777777" w:rsidR="00246793" w:rsidRPr="00246793" w:rsidRDefault="00246793" w:rsidP="005D385E">
            <w:pPr>
              <w:jc w:val="center"/>
              <w:rPr>
                <w:b/>
                <w:bCs/>
                <w:sz w:val="20"/>
                <w:szCs w:val="20"/>
                <w:lang w:eastAsia="fr-FR"/>
              </w:rPr>
            </w:pPr>
            <w:r w:rsidRPr="00246793">
              <w:rPr>
                <w:b/>
                <w:bCs/>
                <w:sz w:val="20"/>
                <w:szCs w:val="20"/>
                <w:lang w:eastAsia="fr-FR"/>
              </w:rPr>
              <w:t>(2)</w:t>
            </w:r>
          </w:p>
        </w:tc>
        <w:tc>
          <w:tcPr>
            <w:tcW w:w="851" w:type="dxa"/>
            <w:vMerge w:val="restart"/>
            <w:shd w:val="clear" w:color="auto" w:fill="E2EFD9" w:themeFill="accent6" w:themeFillTint="33"/>
            <w:tcMar>
              <w:top w:w="150" w:type="dxa"/>
              <w:left w:w="150" w:type="dxa"/>
              <w:bottom w:w="150" w:type="dxa"/>
              <w:right w:w="150" w:type="dxa"/>
            </w:tcMar>
            <w:vAlign w:val="center"/>
          </w:tcPr>
          <w:p w14:paraId="574B1CF6" w14:textId="77777777" w:rsidR="00246793" w:rsidRPr="00246793" w:rsidRDefault="00246793" w:rsidP="005D385E">
            <w:pPr>
              <w:jc w:val="center"/>
              <w:rPr>
                <w:b/>
                <w:bCs/>
                <w:sz w:val="20"/>
                <w:szCs w:val="20"/>
                <w:lang w:eastAsia="fr-FR"/>
              </w:rPr>
            </w:pPr>
            <w:r w:rsidRPr="00246793">
              <w:rPr>
                <w:b/>
                <w:bCs/>
                <w:sz w:val="20"/>
                <w:szCs w:val="20"/>
                <w:lang w:eastAsia="fr-FR"/>
              </w:rPr>
              <w:t>35</w:t>
            </w:r>
          </w:p>
        </w:tc>
        <w:tc>
          <w:tcPr>
            <w:tcW w:w="850" w:type="dxa"/>
            <w:vMerge w:val="restart"/>
            <w:shd w:val="clear" w:color="auto" w:fill="B4C6E7" w:themeFill="accent5" w:themeFillTint="66"/>
            <w:vAlign w:val="center"/>
          </w:tcPr>
          <w:p w14:paraId="77A2E560" w14:textId="77777777" w:rsidR="00246793" w:rsidRPr="00246793" w:rsidRDefault="00246793" w:rsidP="005D385E">
            <w:pPr>
              <w:jc w:val="center"/>
              <w:rPr>
                <w:b/>
                <w:bCs/>
                <w:sz w:val="20"/>
                <w:szCs w:val="20"/>
                <w:lang w:eastAsia="fr-FR"/>
              </w:rPr>
            </w:pPr>
            <w:r w:rsidRPr="00246793">
              <w:rPr>
                <w:b/>
                <w:bCs/>
                <w:sz w:val="20"/>
                <w:szCs w:val="20"/>
                <w:lang w:eastAsia="fr-FR"/>
              </w:rPr>
              <w:t>40</w:t>
            </w:r>
          </w:p>
        </w:tc>
        <w:tc>
          <w:tcPr>
            <w:tcW w:w="851" w:type="dxa"/>
            <w:vMerge w:val="restart"/>
            <w:shd w:val="clear" w:color="auto" w:fill="B4C6E7" w:themeFill="accent5" w:themeFillTint="66"/>
            <w:vAlign w:val="center"/>
          </w:tcPr>
          <w:p w14:paraId="3F46962D" w14:textId="77777777" w:rsidR="00246793" w:rsidRPr="00246793" w:rsidRDefault="00246793" w:rsidP="005D385E">
            <w:pPr>
              <w:jc w:val="center"/>
              <w:rPr>
                <w:b/>
                <w:bCs/>
                <w:sz w:val="20"/>
                <w:szCs w:val="20"/>
                <w:lang w:eastAsia="fr-FR"/>
              </w:rPr>
            </w:pPr>
            <w:r w:rsidRPr="00246793">
              <w:rPr>
                <w:b/>
                <w:bCs/>
                <w:sz w:val="20"/>
                <w:szCs w:val="20"/>
                <w:lang w:eastAsia="fr-FR"/>
              </w:rPr>
              <w:t>44</w:t>
            </w:r>
          </w:p>
        </w:tc>
      </w:tr>
      <w:tr w:rsidR="00246793" w:rsidRPr="00246793" w14:paraId="10F14715"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ign w:val="center"/>
          </w:tcPr>
          <w:p w14:paraId="0E340964" w14:textId="77777777" w:rsidR="00246793" w:rsidRPr="00246793" w:rsidRDefault="00246793" w:rsidP="005D385E">
            <w:pPr>
              <w:rPr>
                <w:b/>
                <w:bCs/>
                <w:sz w:val="20"/>
                <w:szCs w:val="20"/>
                <w:lang w:eastAsia="fr-FR"/>
              </w:rPr>
            </w:pPr>
          </w:p>
        </w:tc>
        <w:tc>
          <w:tcPr>
            <w:tcW w:w="1702" w:type="dxa"/>
            <w:shd w:val="clear" w:color="auto" w:fill="F5F5F5"/>
            <w:tcMar>
              <w:top w:w="150" w:type="dxa"/>
              <w:left w:w="150" w:type="dxa"/>
              <w:bottom w:w="150" w:type="dxa"/>
              <w:right w:w="150" w:type="dxa"/>
            </w:tcMar>
            <w:vAlign w:val="center"/>
          </w:tcPr>
          <w:p w14:paraId="7D58EF8E" w14:textId="77777777" w:rsidR="00246793" w:rsidRPr="00246793" w:rsidRDefault="00246793" w:rsidP="005D385E">
            <w:pPr>
              <w:jc w:val="center"/>
              <w:rPr>
                <w:b/>
                <w:bCs/>
                <w:sz w:val="20"/>
                <w:szCs w:val="20"/>
                <w:lang w:eastAsia="fr-FR"/>
              </w:rPr>
            </w:pPr>
            <w:r w:rsidRPr="00246793">
              <w:rPr>
                <w:b/>
                <w:bCs/>
                <w:sz w:val="20"/>
                <w:szCs w:val="20"/>
                <w:lang w:eastAsia="fr-FR"/>
              </w:rPr>
              <w:t>100 ≤ P &lt; 300</w:t>
            </w:r>
          </w:p>
        </w:tc>
        <w:tc>
          <w:tcPr>
            <w:tcW w:w="850" w:type="dxa"/>
            <w:vMerge/>
            <w:shd w:val="clear" w:color="auto" w:fill="E2EFD9" w:themeFill="accent6" w:themeFillTint="33"/>
            <w:tcMar>
              <w:top w:w="150" w:type="dxa"/>
              <w:left w:w="150" w:type="dxa"/>
              <w:bottom w:w="150" w:type="dxa"/>
              <w:right w:w="150" w:type="dxa"/>
            </w:tcMar>
            <w:vAlign w:val="center"/>
          </w:tcPr>
          <w:p w14:paraId="57EB1D8F" w14:textId="77777777" w:rsidR="00246793" w:rsidRPr="00246793" w:rsidRDefault="00246793" w:rsidP="005D385E">
            <w:pPr>
              <w:jc w:val="center"/>
              <w:rPr>
                <w:b/>
                <w:bCs/>
                <w:sz w:val="20"/>
                <w:szCs w:val="20"/>
                <w:lang w:eastAsia="fr-FR"/>
              </w:rPr>
            </w:pPr>
          </w:p>
        </w:tc>
        <w:tc>
          <w:tcPr>
            <w:tcW w:w="709" w:type="dxa"/>
            <w:vMerge/>
            <w:shd w:val="clear" w:color="auto" w:fill="E2EFD9" w:themeFill="accent6" w:themeFillTint="33"/>
            <w:vAlign w:val="center"/>
          </w:tcPr>
          <w:p w14:paraId="71D9E444"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vAlign w:val="center"/>
          </w:tcPr>
          <w:p w14:paraId="4F17056E" w14:textId="77777777" w:rsidR="00246793" w:rsidRPr="00246793" w:rsidRDefault="00246793" w:rsidP="005D385E">
            <w:pPr>
              <w:jc w:val="center"/>
              <w:rPr>
                <w:b/>
                <w:bCs/>
                <w:sz w:val="20"/>
                <w:szCs w:val="20"/>
                <w:lang w:eastAsia="fr-FR"/>
              </w:rPr>
            </w:pPr>
          </w:p>
        </w:tc>
        <w:tc>
          <w:tcPr>
            <w:tcW w:w="850" w:type="dxa"/>
            <w:vMerge/>
            <w:shd w:val="clear" w:color="auto" w:fill="E2EFD9" w:themeFill="accent6" w:themeFillTint="33"/>
            <w:tcMar>
              <w:top w:w="150" w:type="dxa"/>
              <w:left w:w="150" w:type="dxa"/>
              <w:bottom w:w="150" w:type="dxa"/>
              <w:right w:w="150" w:type="dxa"/>
            </w:tcMar>
            <w:vAlign w:val="center"/>
          </w:tcPr>
          <w:p w14:paraId="41382933"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22915402" w14:textId="77777777" w:rsidR="00246793" w:rsidRPr="00246793" w:rsidRDefault="00246793" w:rsidP="005D385E">
            <w:pPr>
              <w:jc w:val="center"/>
              <w:rPr>
                <w:b/>
                <w:bCs/>
                <w:sz w:val="20"/>
                <w:szCs w:val="20"/>
                <w:lang w:eastAsia="fr-FR"/>
              </w:rPr>
            </w:pPr>
          </w:p>
        </w:tc>
        <w:tc>
          <w:tcPr>
            <w:tcW w:w="850" w:type="dxa"/>
            <w:vMerge/>
            <w:shd w:val="clear" w:color="auto" w:fill="B4C6E7" w:themeFill="accent5" w:themeFillTint="66"/>
            <w:vAlign w:val="center"/>
          </w:tcPr>
          <w:p w14:paraId="3C509955"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7B172C17" w14:textId="77777777" w:rsidR="00246793" w:rsidRPr="00246793" w:rsidRDefault="00246793" w:rsidP="005D385E">
            <w:pPr>
              <w:jc w:val="center"/>
              <w:rPr>
                <w:b/>
                <w:bCs/>
                <w:sz w:val="20"/>
                <w:szCs w:val="20"/>
                <w:lang w:eastAsia="fr-FR"/>
              </w:rPr>
            </w:pPr>
          </w:p>
        </w:tc>
        <w:tc>
          <w:tcPr>
            <w:tcW w:w="850" w:type="dxa"/>
            <w:vMerge/>
            <w:shd w:val="clear" w:color="auto" w:fill="B4C6E7" w:themeFill="accent5" w:themeFillTint="66"/>
            <w:vAlign w:val="center"/>
          </w:tcPr>
          <w:p w14:paraId="430362DE"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73F4C9DE" w14:textId="77777777" w:rsidR="00246793" w:rsidRPr="00246793" w:rsidRDefault="00246793" w:rsidP="005D385E">
            <w:pPr>
              <w:jc w:val="center"/>
              <w:rPr>
                <w:b/>
                <w:bCs/>
                <w:sz w:val="20"/>
                <w:szCs w:val="20"/>
                <w:lang w:eastAsia="fr-FR"/>
              </w:rPr>
            </w:pPr>
          </w:p>
        </w:tc>
      </w:tr>
      <w:tr w:rsidR="00246793" w:rsidRPr="00246793" w14:paraId="75AD4BAC"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ign w:val="center"/>
          </w:tcPr>
          <w:p w14:paraId="1340A6CE" w14:textId="77777777" w:rsidR="00246793" w:rsidRPr="00246793" w:rsidRDefault="00246793" w:rsidP="005D385E">
            <w:pPr>
              <w:rPr>
                <w:b/>
                <w:bCs/>
                <w:sz w:val="20"/>
                <w:szCs w:val="20"/>
                <w:lang w:eastAsia="fr-FR"/>
              </w:rPr>
            </w:pPr>
          </w:p>
        </w:tc>
        <w:tc>
          <w:tcPr>
            <w:tcW w:w="1702" w:type="dxa"/>
            <w:shd w:val="clear" w:color="auto" w:fill="F5F5F5"/>
            <w:tcMar>
              <w:top w:w="150" w:type="dxa"/>
              <w:left w:w="150" w:type="dxa"/>
              <w:bottom w:w="150" w:type="dxa"/>
              <w:right w:w="150" w:type="dxa"/>
            </w:tcMar>
            <w:vAlign w:val="center"/>
          </w:tcPr>
          <w:p w14:paraId="324BECD3" w14:textId="77777777" w:rsidR="00246793" w:rsidRPr="00246793" w:rsidRDefault="00246793" w:rsidP="005D385E">
            <w:pPr>
              <w:jc w:val="center"/>
              <w:rPr>
                <w:b/>
                <w:bCs/>
                <w:sz w:val="20"/>
                <w:szCs w:val="20"/>
                <w:lang w:eastAsia="fr-FR"/>
              </w:rPr>
            </w:pPr>
            <w:r w:rsidRPr="00246793">
              <w:rPr>
                <w:b/>
                <w:bCs/>
                <w:sz w:val="20"/>
                <w:szCs w:val="20"/>
                <w:lang w:eastAsia="fr-FR"/>
              </w:rPr>
              <w:t>300 ≤ P</w:t>
            </w:r>
          </w:p>
        </w:tc>
        <w:tc>
          <w:tcPr>
            <w:tcW w:w="850" w:type="dxa"/>
            <w:vMerge/>
            <w:shd w:val="clear" w:color="auto" w:fill="E2EFD9" w:themeFill="accent6" w:themeFillTint="33"/>
            <w:tcMar>
              <w:top w:w="150" w:type="dxa"/>
              <w:left w:w="150" w:type="dxa"/>
              <w:bottom w:w="150" w:type="dxa"/>
              <w:right w:w="150" w:type="dxa"/>
            </w:tcMar>
            <w:vAlign w:val="center"/>
          </w:tcPr>
          <w:p w14:paraId="25C93924" w14:textId="77777777" w:rsidR="00246793" w:rsidRPr="00246793" w:rsidRDefault="00246793" w:rsidP="005D385E">
            <w:pPr>
              <w:jc w:val="center"/>
              <w:rPr>
                <w:b/>
                <w:bCs/>
                <w:sz w:val="20"/>
                <w:szCs w:val="20"/>
                <w:lang w:eastAsia="fr-FR"/>
              </w:rPr>
            </w:pPr>
          </w:p>
        </w:tc>
        <w:tc>
          <w:tcPr>
            <w:tcW w:w="709" w:type="dxa"/>
            <w:vMerge/>
            <w:shd w:val="clear" w:color="auto" w:fill="E2EFD9" w:themeFill="accent6" w:themeFillTint="33"/>
            <w:vAlign w:val="center"/>
          </w:tcPr>
          <w:p w14:paraId="33A1CF6E"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vAlign w:val="center"/>
          </w:tcPr>
          <w:p w14:paraId="619F6F06" w14:textId="77777777" w:rsidR="00246793" w:rsidRPr="00246793" w:rsidRDefault="00246793" w:rsidP="005D385E">
            <w:pPr>
              <w:jc w:val="center"/>
              <w:rPr>
                <w:b/>
                <w:bCs/>
                <w:sz w:val="20"/>
                <w:szCs w:val="20"/>
                <w:lang w:eastAsia="fr-FR"/>
              </w:rPr>
            </w:pPr>
          </w:p>
        </w:tc>
        <w:tc>
          <w:tcPr>
            <w:tcW w:w="850" w:type="dxa"/>
            <w:vMerge/>
            <w:shd w:val="clear" w:color="auto" w:fill="E2EFD9" w:themeFill="accent6" w:themeFillTint="33"/>
            <w:tcMar>
              <w:top w:w="150" w:type="dxa"/>
              <w:left w:w="150" w:type="dxa"/>
              <w:bottom w:w="150" w:type="dxa"/>
              <w:right w:w="150" w:type="dxa"/>
            </w:tcMar>
            <w:vAlign w:val="center"/>
          </w:tcPr>
          <w:p w14:paraId="3C731EA2"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276B0472" w14:textId="77777777" w:rsidR="00246793" w:rsidRPr="00246793" w:rsidRDefault="00246793" w:rsidP="005D385E">
            <w:pPr>
              <w:jc w:val="center"/>
              <w:rPr>
                <w:b/>
                <w:bCs/>
                <w:sz w:val="20"/>
                <w:szCs w:val="20"/>
                <w:lang w:eastAsia="fr-FR"/>
              </w:rPr>
            </w:pPr>
          </w:p>
        </w:tc>
        <w:tc>
          <w:tcPr>
            <w:tcW w:w="850" w:type="dxa"/>
            <w:vMerge/>
            <w:shd w:val="clear" w:color="auto" w:fill="B4C6E7" w:themeFill="accent5" w:themeFillTint="66"/>
            <w:vAlign w:val="center"/>
          </w:tcPr>
          <w:p w14:paraId="4F9649DA" w14:textId="77777777" w:rsidR="00246793" w:rsidRPr="00246793" w:rsidRDefault="00246793" w:rsidP="005D385E">
            <w:pPr>
              <w:jc w:val="center"/>
              <w:rPr>
                <w:b/>
                <w:bCs/>
                <w:sz w:val="20"/>
                <w:szCs w:val="20"/>
                <w:lang w:eastAsia="fr-FR"/>
              </w:rPr>
            </w:pPr>
          </w:p>
        </w:tc>
        <w:tc>
          <w:tcPr>
            <w:tcW w:w="851" w:type="dxa"/>
            <w:vMerge/>
            <w:shd w:val="clear" w:color="auto" w:fill="E2EFD9" w:themeFill="accent6" w:themeFillTint="33"/>
            <w:tcMar>
              <w:top w:w="150" w:type="dxa"/>
              <w:left w:w="150" w:type="dxa"/>
              <w:bottom w:w="150" w:type="dxa"/>
              <w:right w:w="150" w:type="dxa"/>
            </w:tcMar>
            <w:vAlign w:val="center"/>
          </w:tcPr>
          <w:p w14:paraId="539C1220" w14:textId="77777777" w:rsidR="00246793" w:rsidRPr="00246793" w:rsidRDefault="00246793" w:rsidP="005D385E">
            <w:pPr>
              <w:jc w:val="center"/>
              <w:rPr>
                <w:b/>
                <w:bCs/>
                <w:sz w:val="20"/>
                <w:szCs w:val="20"/>
                <w:lang w:eastAsia="fr-FR"/>
              </w:rPr>
            </w:pPr>
          </w:p>
        </w:tc>
        <w:tc>
          <w:tcPr>
            <w:tcW w:w="850" w:type="dxa"/>
            <w:vMerge/>
            <w:shd w:val="clear" w:color="auto" w:fill="B4C6E7" w:themeFill="accent5" w:themeFillTint="66"/>
            <w:vAlign w:val="center"/>
          </w:tcPr>
          <w:p w14:paraId="25703EFA"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5E2CBF21" w14:textId="77777777" w:rsidR="00246793" w:rsidRPr="00246793" w:rsidRDefault="00246793" w:rsidP="005D385E">
            <w:pPr>
              <w:jc w:val="center"/>
              <w:rPr>
                <w:b/>
                <w:bCs/>
                <w:sz w:val="20"/>
                <w:szCs w:val="20"/>
                <w:lang w:eastAsia="fr-FR"/>
              </w:rPr>
            </w:pPr>
          </w:p>
        </w:tc>
      </w:tr>
      <w:tr w:rsidR="00246793" w:rsidRPr="00246793" w14:paraId="21335087"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restart"/>
            <w:vAlign w:val="center"/>
          </w:tcPr>
          <w:p w14:paraId="143CFAE6" w14:textId="77777777" w:rsidR="00246793" w:rsidRPr="00246793" w:rsidRDefault="00246793" w:rsidP="005D385E">
            <w:pPr>
              <w:jc w:val="center"/>
              <w:rPr>
                <w:b/>
                <w:bCs/>
                <w:sz w:val="20"/>
                <w:szCs w:val="20"/>
                <w:lang w:eastAsia="fr-FR"/>
              </w:rPr>
            </w:pPr>
            <w:r w:rsidRPr="00246793">
              <w:rPr>
                <w:b/>
                <w:bCs/>
                <w:sz w:val="20"/>
                <w:szCs w:val="20"/>
                <w:lang w:eastAsia="fr-FR"/>
              </w:rPr>
              <w:t>Gaz naturel</w:t>
            </w:r>
          </w:p>
        </w:tc>
        <w:tc>
          <w:tcPr>
            <w:tcW w:w="1702" w:type="dxa"/>
            <w:shd w:val="clear" w:color="auto" w:fill="F5F5F5"/>
            <w:tcMar>
              <w:top w:w="150" w:type="dxa"/>
              <w:left w:w="150" w:type="dxa"/>
              <w:bottom w:w="150" w:type="dxa"/>
              <w:right w:w="150" w:type="dxa"/>
            </w:tcMar>
            <w:vAlign w:val="center"/>
          </w:tcPr>
          <w:p w14:paraId="02721550" w14:textId="77777777" w:rsidR="00246793" w:rsidRPr="00246793" w:rsidRDefault="00246793" w:rsidP="005D385E">
            <w:pPr>
              <w:jc w:val="center"/>
              <w:rPr>
                <w:b/>
                <w:bCs/>
                <w:sz w:val="20"/>
                <w:szCs w:val="20"/>
                <w:lang w:eastAsia="fr-FR"/>
              </w:rPr>
            </w:pPr>
            <w:r w:rsidRPr="00246793">
              <w:rPr>
                <w:b/>
                <w:bCs/>
                <w:sz w:val="20"/>
                <w:szCs w:val="20"/>
                <w:lang w:eastAsia="fr-FR"/>
              </w:rPr>
              <w:t>50 ≤ P &lt; 100</w:t>
            </w:r>
          </w:p>
        </w:tc>
        <w:tc>
          <w:tcPr>
            <w:tcW w:w="850" w:type="dxa"/>
            <w:vMerge w:val="restart"/>
            <w:shd w:val="clear" w:color="auto" w:fill="D9D9D9" w:themeFill="background1" w:themeFillShade="D9"/>
            <w:tcMar>
              <w:top w:w="150" w:type="dxa"/>
              <w:left w:w="150" w:type="dxa"/>
              <w:bottom w:w="150" w:type="dxa"/>
              <w:right w:w="150" w:type="dxa"/>
            </w:tcMar>
            <w:vAlign w:val="center"/>
          </w:tcPr>
          <w:p w14:paraId="6DA843AD" w14:textId="77777777" w:rsidR="00246793" w:rsidRPr="00246793" w:rsidRDefault="00246793" w:rsidP="005D385E">
            <w:pPr>
              <w:jc w:val="center"/>
              <w:rPr>
                <w:b/>
                <w:bCs/>
                <w:sz w:val="20"/>
                <w:szCs w:val="20"/>
                <w:lang w:eastAsia="fr-FR"/>
              </w:rPr>
            </w:pPr>
          </w:p>
        </w:tc>
        <w:tc>
          <w:tcPr>
            <w:tcW w:w="709" w:type="dxa"/>
            <w:vMerge w:val="restart"/>
            <w:shd w:val="clear" w:color="auto" w:fill="D9D9D9" w:themeFill="background1" w:themeFillShade="D9"/>
            <w:vAlign w:val="center"/>
          </w:tcPr>
          <w:p w14:paraId="6B3924BB" w14:textId="77777777" w:rsidR="00246793" w:rsidRPr="00246793" w:rsidRDefault="00246793" w:rsidP="005D385E">
            <w:pPr>
              <w:jc w:val="center"/>
              <w:rPr>
                <w:b/>
                <w:bCs/>
                <w:sz w:val="20"/>
                <w:szCs w:val="20"/>
                <w:lang w:eastAsia="fr-FR"/>
              </w:rPr>
            </w:pPr>
          </w:p>
        </w:tc>
        <w:tc>
          <w:tcPr>
            <w:tcW w:w="851" w:type="dxa"/>
            <w:vMerge w:val="restart"/>
            <w:shd w:val="clear" w:color="auto" w:fill="D9D9D9" w:themeFill="background1" w:themeFillShade="D9"/>
            <w:vAlign w:val="center"/>
          </w:tcPr>
          <w:p w14:paraId="0A430576" w14:textId="77777777" w:rsidR="00246793" w:rsidRPr="00246793" w:rsidRDefault="00246793" w:rsidP="005D385E">
            <w:pPr>
              <w:jc w:val="center"/>
              <w:rPr>
                <w:b/>
                <w:bCs/>
                <w:sz w:val="20"/>
                <w:szCs w:val="20"/>
                <w:lang w:eastAsia="fr-FR"/>
              </w:rPr>
            </w:pPr>
          </w:p>
        </w:tc>
        <w:tc>
          <w:tcPr>
            <w:tcW w:w="850" w:type="dxa"/>
            <w:vMerge w:val="restart"/>
            <w:shd w:val="clear" w:color="auto" w:fill="E2EFD9" w:themeFill="accent6" w:themeFillTint="33"/>
            <w:tcMar>
              <w:top w:w="150" w:type="dxa"/>
              <w:left w:w="150" w:type="dxa"/>
              <w:bottom w:w="150" w:type="dxa"/>
              <w:right w:w="150" w:type="dxa"/>
            </w:tcMar>
            <w:vAlign w:val="center"/>
          </w:tcPr>
          <w:p w14:paraId="48352628" w14:textId="77777777" w:rsidR="00246793" w:rsidRPr="00246793" w:rsidRDefault="00246793" w:rsidP="005D385E">
            <w:pPr>
              <w:jc w:val="center"/>
              <w:rPr>
                <w:b/>
                <w:bCs/>
                <w:sz w:val="20"/>
                <w:szCs w:val="20"/>
                <w:lang w:eastAsia="fr-FR"/>
              </w:rPr>
            </w:pPr>
            <w:r w:rsidRPr="00246793">
              <w:rPr>
                <w:b/>
                <w:bCs/>
                <w:sz w:val="20"/>
                <w:szCs w:val="20"/>
                <w:lang w:eastAsia="fr-FR"/>
              </w:rPr>
              <w:t>100</w:t>
            </w:r>
          </w:p>
        </w:tc>
        <w:tc>
          <w:tcPr>
            <w:tcW w:w="851" w:type="dxa"/>
            <w:vMerge w:val="restart"/>
            <w:shd w:val="clear" w:color="auto" w:fill="B4C6E7" w:themeFill="accent5" w:themeFillTint="66"/>
            <w:vAlign w:val="center"/>
          </w:tcPr>
          <w:p w14:paraId="3A059F67" w14:textId="77777777" w:rsidR="00246793" w:rsidRPr="00246793" w:rsidRDefault="00246793" w:rsidP="005D385E">
            <w:pPr>
              <w:jc w:val="center"/>
              <w:rPr>
                <w:b/>
                <w:bCs/>
                <w:sz w:val="20"/>
                <w:szCs w:val="20"/>
                <w:lang w:eastAsia="fr-FR"/>
              </w:rPr>
            </w:pPr>
            <w:r w:rsidRPr="00246793">
              <w:rPr>
                <w:b/>
                <w:bCs/>
                <w:sz w:val="20"/>
                <w:szCs w:val="20"/>
                <w:lang w:eastAsia="fr-FR"/>
              </w:rPr>
              <w:t>100</w:t>
            </w:r>
          </w:p>
        </w:tc>
        <w:tc>
          <w:tcPr>
            <w:tcW w:w="850" w:type="dxa"/>
            <w:vMerge w:val="restart"/>
            <w:shd w:val="clear" w:color="auto" w:fill="92D050"/>
            <w:vAlign w:val="center"/>
          </w:tcPr>
          <w:p w14:paraId="04C10837" w14:textId="77777777" w:rsidR="00246793" w:rsidRPr="00246793" w:rsidRDefault="00246793" w:rsidP="005D385E">
            <w:pPr>
              <w:jc w:val="center"/>
              <w:rPr>
                <w:b/>
                <w:bCs/>
                <w:sz w:val="20"/>
                <w:szCs w:val="20"/>
                <w:lang w:eastAsia="fr-FR"/>
              </w:rPr>
            </w:pPr>
            <w:r w:rsidRPr="00246793">
              <w:rPr>
                <w:b/>
                <w:bCs/>
                <w:sz w:val="20"/>
                <w:szCs w:val="20"/>
                <w:lang w:eastAsia="fr-FR"/>
              </w:rPr>
              <w:t>110</w:t>
            </w:r>
          </w:p>
        </w:tc>
        <w:tc>
          <w:tcPr>
            <w:tcW w:w="851" w:type="dxa"/>
            <w:vMerge w:val="restart"/>
            <w:shd w:val="clear" w:color="auto" w:fill="D9D9D9" w:themeFill="background1" w:themeFillShade="D9"/>
            <w:tcMar>
              <w:top w:w="150" w:type="dxa"/>
              <w:left w:w="150" w:type="dxa"/>
              <w:bottom w:w="150" w:type="dxa"/>
              <w:right w:w="150" w:type="dxa"/>
            </w:tcMar>
            <w:vAlign w:val="center"/>
          </w:tcPr>
          <w:p w14:paraId="7C64D8A1" w14:textId="77777777" w:rsidR="00246793" w:rsidRPr="00246793" w:rsidRDefault="00246793" w:rsidP="005D385E">
            <w:pPr>
              <w:jc w:val="center"/>
              <w:rPr>
                <w:b/>
                <w:bCs/>
                <w:sz w:val="20"/>
                <w:szCs w:val="20"/>
                <w:lang w:eastAsia="fr-FR"/>
              </w:rPr>
            </w:pPr>
          </w:p>
        </w:tc>
        <w:tc>
          <w:tcPr>
            <w:tcW w:w="850" w:type="dxa"/>
            <w:vMerge w:val="restart"/>
            <w:shd w:val="clear" w:color="auto" w:fill="D9D9D9" w:themeFill="background1" w:themeFillShade="D9"/>
            <w:vAlign w:val="center"/>
          </w:tcPr>
          <w:p w14:paraId="43D79099" w14:textId="77777777" w:rsidR="00246793" w:rsidRPr="00246793" w:rsidRDefault="00246793" w:rsidP="005D385E">
            <w:pPr>
              <w:jc w:val="center"/>
              <w:rPr>
                <w:b/>
                <w:bCs/>
                <w:sz w:val="20"/>
                <w:szCs w:val="20"/>
                <w:lang w:eastAsia="fr-FR"/>
              </w:rPr>
            </w:pPr>
          </w:p>
        </w:tc>
        <w:tc>
          <w:tcPr>
            <w:tcW w:w="851" w:type="dxa"/>
            <w:vMerge w:val="restart"/>
            <w:shd w:val="clear" w:color="auto" w:fill="D9D9D9" w:themeFill="background1" w:themeFillShade="D9"/>
            <w:vAlign w:val="center"/>
          </w:tcPr>
          <w:p w14:paraId="3FD31E04" w14:textId="77777777" w:rsidR="00246793" w:rsidRPr="00246793" w:rsidRDefault="00246793" w:rsidP="005D385E">
            <w:pPr>
              <w:jc w:val="center"/>
              <w:rPr>
                <w:b/>
                <w:bCs/>
                <w:sz w:val="20"/>
                <w:szCs w:val="20"/>
                <w:lang w:eastAsia="fr-FR"/>
              </w:rPr>
            </w:pPr>
          </w:p>
        </w:tc>
      </w:tr>
      <w:tr w:rsidR="00246793" w:rsidRPr="00246793" w14:paraId="3152B494"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ign w:val="center"/>
          </w:tcPr>
          <w:p w14:paraId="48A5130D" w14:textId="77777777" w:rsidR="00246793" w:rsidRPr="00246793" w:rsidRDefault="00246793" w:rsidP="005D385E">
            <w:pPr>
              <w:rPr>
                <w:b/>
                <w:bCs/>
                <w:sz w:val="20"/>
                <w:szCs w:val="20"/>
                <w:lang w:eastAsia="fr-FR"/>
              </w:rPr>
            </w:pPr>
          </w:p>
        </w:tc>
        <w:tc>
          <w:tcPr>
            <w:tcW w:w="1702" w:type="dxa"/>
            <w:shd w:val="clear" w:color="auto" w:fill="F5F5F5"/>
            <w:tcMar>
              <w:top w:w="150" w:type="dxa"/>
              <w:left w:w="150" w:type="dxa"/>
              <w:bottom w:w="150" w:type="dxa"/>
              <w:right w:w="150" w:type="dxa"/>
            </w:tcMar>
            <w:vAlign w:val="center"/>
          </w:tcPr>
          <w:p w14:paraId="7FD8A28D" w14:textId="77777777" w:rsidR="00246793" w:rsidRPr="00246793" w:rsidRDefault="00246793" w:rsidP="005D385E">
            <w:pPr>
              <w:jc w:val="center"/>
              <w:rPr>
                <w:b/>
                <w:bCs/>
                <w:sz w:val="20"/>
                <w:szCs w:val="20"/>
                <w:lang w:eastAsia="fr-FR"/>
              </w:rPr>
            </w:pPr>
            <w:r w:rsidRPr="00246793">
              <w:rPr>
                <w:b/>
                <w:bCs/>
                <w:sz w:val="20"/>
                <w:szCs w:val="20"/>
                <w:lang w:eastAsia="fr-FR"/>
              </w:rPr>
              <w:t>100 ≤ P &lt; 300</w:t>
            </w:r>
          </w:p>
        </w:tc>
        <w:tc>
          <w:tcPr>
            <w:tcW w:w="850" w:type="dxa"/>
            <w:vMerge/>
            <w:shd w:val="clear" w:color="auto" w:fill="D9D9D9" w:themeFill="background1" w:themeFillShade="D9"/>
            <w:tcMar>
              <w:top w:w="150" w:type="dxa"/>
              <w:left w:w="150" w:type="dxa"/>
              <w:bottom w:w="150" w:type="dxa"/>
              <w:right w:w="150" w:type="dxa"/>
            </w:tcMar>
            <w:vAlign w:val="center"/>
          </w:tcPr>
          <w:p w14:paraId="34E0EA58" w14:textId="77777777" w:rsidR="00246793" w:rsidRPr="00246793" w:rsidRDefault="00246793" w:rsidP="005D385E">
            <w:pPr>
              <w:jc w:val="center"/>
              <w:rPr>
                <w:b/>
                <w:bCs/>
                <w:sz w:val="20"/>
                <w:szCs w:val="20"/>
                <w:lang w:eastAsia="fr-FR"/>
              </w:rPr>
            </w:pPr>
          </w:p>
        </w:tc>
        <w:tc>
          <w:tcPr>
            <w:tcW w:w="709" w:type="dxa"/>
            <w:vMerge/>
            <w:shd w:val="clear" w:color="auto" w:fill="D9D9D9" w:themeFill="background1" w:themeFillShade="D9"/>
            <w:vAlign w:val="center"/>
          </w:tcPr>
          <w:p w14:paraId="338AF3D5" w14:textId="77777777" w:rsidR="00246793" w:rsidRPr="00246793" w:rsidRDefault="00246793" w:rsidP="005D385E">
            <w:pPr>
              <w:jc w:val="center"/>
              <w:rPr>
                <w:b/>
                <w:bCs/>
                <w:sz w:val="20"/>
                <w:szCs w:val="20"/>
                <w:lang w:eastAsia="fr-FR"/>
              </w:rPr>
            </w:pPr>
          </w:p>
        </w:tc>
        <w:tc>
          <w:tcPr>
            <w:tcW w:w="851" w:type="dxa"/>
            <w:vMerge/>
            <w:shd w:val="clear" w:color="auto" w:fill="D9D9D9" w:themeFill="background1" w:themeFillShade="D9"/>
            <w:vAlign w:val="center"/>
          </w:tcPr>
          <w:p w14:paraId="74B8FF41" w14:textId="77777777" w:rsidR="00246793" w:rsidRPr="00246793" w:rsidRDefault="00246793" w:rsidP="005D385E">
            <w:pPr>
              <w:jc w:val="center"/>
              <w:rPr>
                <w:b/>
                <w:bCs/>
                <w:sz w:val="20"/>
                <w:szCs w:val="20"/>
                <w:lang w:eastAsia="fr-FR"/>
              </w:rPr>
            </w:pPr>
          </w:p>
        </w:tc>
        <w:tc>
          <w:tcPr>
            <w:tcW w:w="850" w:type="dxa"/>
            <w:vMerge/>
            <w:shd w:val="clear" w:color="auto" w:fill="E2EFD9" w:themeFill="accent6" w:themeFillTint="33"/>
            <w:tcMar>
              <w:top w:w="150" w:type="dxa"/>
              <w:left w:w="150" w:type="dxa"/>
              <w:bottom w:w="150" w:type="dxa"/>
              <w:right w:w="150" w:type="dxa"/>
            </w:tcMar>
            <w:vAlign w:val="center"/>
          </w:tcPr>
          <w:p w14:paraId="78254863"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4956EDD5" w14:textId="77777777" w:rsidR="00246793" w:rsidRPr="00246793" w:rsidRDefault="00246793" w:rsidP="005D385E">
            <w:pPr>
              <w:jc w:val="center"/>
              <w:rPr>
                <w:b/>
                <w:bCs/>
                <w:sz w:val="20"/>
                <w:szCs w:val="20"/>
                <w:lang w:eastAsia="fr-FR"/>
              </w:rPr>
            </w:pPr>
          </w:p>
        </w:tc>
        <w:tc>
          <w:tcPr>
            <w:tcW w:w="850" w:type="dxa"/>
            <w:vMerge/>
            <w:shd w:val="clear" w:color="auto" w:fill="92D050"/>
            <w:vAlign w:val="center"/>
          </w:tcPr>
          <w:p w14:paraId="26EEE590" w14:textId="77777777" w:rsidR="00246793" w:rsidRPr="00246793" w:rsidRDefault="00246793" w:rsidP="005D385E">
            <w:pPr>
              <w:jc w:val="center"/>
              <w:rPr>
                <w:b/>
                <w:bCs/>
                <w:sz w:val="20"/>
                <w:szCs w:val="20"/>
                <w:lang w:eastAsia="fr-FR"/>
              </w:rPr>
            </w:pPr>
          </w:p>
        </w:tc>
        <w:tc>
          <w:tcPr>
            <w:tcW w:w="851" w:type="dxa"/>
            <w:vMerge/>
            <w:shd w:val="clear" w:color="auto" w:fill="D9D9D9" w:themeFill="background1" w:themeFillShade="D9"/>
            <w:tcMar>
              <w:top w:w="150" w:type="dxa"/>
              <w:left w:w="150" w:type="dxa"/>
              <w:bottom w:w="150" w:type="dxa"/>
              <w:right w:w="150" w:type="dxa"/>
            </w:tcMar>
            <w:vAlign w:val="center"/>
          </w:tcPr>
          <w:p w14:paraId="35E98F58" w14:textId="77777777" w:rsidR="00246793" w:rsidRPr="00246793" w:rsidRDefault="00246793" w:rsidP="005D385E">
            <w:pPr>
              <w:jc w:val="center"/>
              <w:rPr>
                <w:b/>
                <w:bCs/>
                <w:sz w:val="20"/>
                <w:szCs w:val="20"/>
                <w:lang w:eastAsia="fr-FR"/>
              </w:rPr>
            </w:pPr>
          </w:p>
        </w:tc>
        <w:tc>
          <w:tcPr>
            <w:tcW w:w="850" w:type="dxa"/>
            <w:vMerge/>
            <w:shd w:val="clear" w:color="auto" w:fill="D9D9D9" w:themeFill="background1" w:themeFillShade="D9"/>
            <w:vAlign w:val="center"/>
          </w:tcPr>
          <w:p w14:paraId="5C2CE820" w14:textId="77777777" w:rsidR="00246793" w:rsidRPr="00246793" w:rsidRDefault="00246793" w:rsidP="005D385E">
            <w:pPr>
              <w:jc w:val="center"/>
              <w:rPr>
                <w:b/>
                <w:bCs/>
                <w:sz w:val="20"/>
                <w:szCs w:val="20"/>
                <w:lang w:eastAsia="fr-FR"/>
              </w:rPr>
            </w:pPr>
          </w:p>
        </w:tc>
        <w:tc>
          <w:tcPr>
            <w:tcW w:w="851" w:type="dxa"/>
            <w:vMerge/>
            <w:shd w:val="clear" w:color="auto" w:fill="D9D9D9" w:themeFill="background1" w:themeFillShade="D9"/>
            <w:vAlign w:val="center"/>
          </w:tcPr>
          <w:p w14:paraId="41D20691" w14:textId="77777777" w:rsidR="00246793" w:rsidRPr="00246793" w:rsidRDefault="00246793" w:rsidP="005D385E">
            <w:pPr>
              <w:jc w:val="center"/>
              <w:rPr>
                <w:b/>
                <w:bCs/>
                <w:sz w:val="20"/>
                <w:szCs w:val="20"/>
                <w:lang w:eastAsia="fr-FR"/>
              </w:rPr>
            </w:pPr>
          </w:p>
        </w:tc>
      </w:tr>
      <w:tr w:rsidR="00246793" w:rsidRPr="00246793" w14:paraId="091505FB" w14:textId="77777777" w:rsidTr="005D3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1412" w:type="dxa"/>
            <w:vMerge/>
            <w:vAlign w:val="center"/>
          </w:tcPr>
          <w:p w14:paraId="4CE66BAE" w14:textId="77777777" w:rsidR="00246793" w:rsidRPr="00246793" w:rsidRDefault="00246793" w:rsidP="005D385E">
            <w:pPr>
              <w:rPr>
                <w:b/>
                <w:bCs/>
                <w:sz w:val="20"/>
                <w:szCs w:val="20"/>
                <w:lang w:eastAsia="fr-FR"/>
              </w:rPr>
            </w:pPr>
          </w:p>
        </w:tc>
        <w:tc>
          <w:tcPr>
            <w:tcW w:w="1702" w:type="dxa"/>
            <w:shd w:val="clear" w:color="auto" w:fill="F5F5F5"/>
            <w:tcMar>
              <w:top w:w="150" w:type="dxa"/>
              <w:left w:w="150" w:type="dxa"/>
              <w:bottom w:w="150" w:type="dxa"/>
              <w:right w:w="150" w:type="dxa"/>
            </w:tcMar>
            <w:vAlign w:val="center"/>
          </w:tcPr>
          <w:p w14:paraId="3EBDCADA" w14:textId="77777777" w:rsidR="00246793" w:rsidRPr="00246793" w:rsidRDefault="00246793" w:rsidP="005D385E">
            <w:pPr>
              <w:jc w:val="center"/>
              <w:rPr>
                <w:b/>
                <w:bCs/>
                <w:sz w:val="20"/>
                <w:szCs w:val="20"/>
                <w:lang w:eastAsia="fr-FR"/>
              </w:rPr>
            </w:pPr>
            <w:r w:rsidRPr="00246793">
              <w:rPr>
                <w:b/>
                <w:bCs/>
                <w:sz w:val="20"/>
                <w:szCs w:val="20"/>
                <w:lang w:eastAsia="fr-FR"/>
              </w:rPr>
              <w:t>300 ≤ P</w:t>
            </w:r>
          </w:p>
        </w:tc>
        <w:tc>
          <w:tcPr>
            <w:tcW w:w="850" w:type="dxa"/>
            <w:vMerge/>
            <w:shd w:val="clear" w:color="auto" w:fill="D9D9D9" w:themeFill="background1" w:themeFillShade="D9"/>
            <w:tcMar>
              <w:top w:w="150" w:type="dxa"/>
              <w:left w:w="150" w:type="dxa"/>
              <w:bottom w:w="150" w:type="dxa"/>
              <w:right w:w="150" w:type="dxa"/>
            </w:tcMar>
            <w:vAlign w:val="center"/>
          </w:tcPr>
          <w:p w14:paraId="121BE278" w14:textId="77777777" w:rsidR="00246793" w:rsidRPr="00246793" w:rsidRDefault="00246793" w:rsidP="005D385E">
            <w:pPr>
              <w:jc w:val="center"/>
              <w:rPr>
                <w:b/>
                <w:bCs/>
                <w:sz w:val="20"/>
                <w:szCs w:val="20"/>
                <w:lang w:eastAsia="fr-FR"/>
              </w:rPr>
            </w:pPr>
          </w:p>
        </w:tc>
        <w:tc>
          <w:tcPr>
            <w:tcW w:w="709" w:type="dxa"/>
            <w:vMerge/>
            <w:shd w:val="clear" w:color="auto" w:fill="D9D9D9" w:themeFill="background1" w:themeFillShade="D9"/>
            <w:vAlign w:val="center"/>
          </w:tcPr>
          <w:p w14:paraId="52CBBDD4" w14:textId="77777777" w:rsidR="00246793" w:rsidRPr="00246793" w:rsidRDefault="00246793" w:rsidP="005D385E">
            <w:pPr>
              <w:jc w:val="center"/>
              <w:rPr>
                <w:b/>
                <w:bCs/>
                <w:sz w:val="20"/>
                <w:szCs w:val="20"/>
                <w:lang w:eastAsia="fr-FR"/>
              </w:rPr>
            </w:pPr>
          </w:p>
        </w:tc>
        <w:tc>
          <w:tcPr>
            <w:tcW w:w="851" w:type="dxa"/>
            <w:vMerge/>
            <w:shd w:val="clear" w:color="auto" w:fill="D9D9D9" w:themeFill="background1" w:themeFillShade="D9"/>
            <w:vAlign w:val="center"/>
          </w:tcPr>
          <w:p w14:paraId="6D3E5C9B" w14:textId="77777777" w:rsidR="00246793" w:rsidRPr="00246793" w:rsidRDefault="00246793" w:rsidP="005D385E">
            <w:pPr>
              <w:jc w:val="center"/>
              <w:rPr>
                <w:b/>
                <w:bCs/>
                <w:sz w:val="20"/>
                <w:szCs w:val="20"/>
                <w:lang w:eastAsia="fr-FR"/>
              </w:rPr>
            </w:pPr>
          </w:p>
        </w:tc>
        <w:tc>
          <w:tcPr>
            <w:tcW w:w="850" w:type="dxa"/>
            <w:vMerge/>
            <w:shd w:val="clear" w:color="auto" w:fill="E2EFD9" w:themeFill="accent6" w:themeFillTint="33"/>
            <w:tcMar>
              <w:top w:w="150" w:type="dxa"/>
              <w:left w:w="150" w:type="dxa"/>
              <w:bottom w:w="150" w:type="dxa"/>
              <w:right w:w="150" w:type="dxa"/>
            </w:tcMar>
            <w:vAlign w:val="center"/>
          </w:tcPr>
          <w:p w14:paraId="0C73AA69" w14:textId="77777777" w:rsidR="00246793" w:rsidRPr="00246793" w:rsidRDefault="00246793" w:rsidP="005D385E">
            <w:pPr>
              <w:jc w:val="center"/>
              <w:rPr>
                <w:b/>
                <w:bCs/>
                <w:sz w:val="20"/>
                <w:szCs w:val="20"/>
                <w:lang w:eastAsia="fr-FR"/>
              </w:rPr>
            </w:pPr>
          </w:p>
        </w:tc>
        <w:tc>
          <w:tcPr>
            <w:tcW w:w="851" w:type="dxa"/>
            <w:vMerge/>
            <w:shd w:val="clear" w:color="auto" w:fill="B4C6E7" w:themeFill="accent5" w:themeFillTint="66"/>
            <w:vAlign w:val="center"/>
          </w:tcPr>
          <w:p w14:paraId="4C5D3A9C" w14:textId="77777777" w:rsidR="00246793" w:rsidRPr="00246793" w:rsidRDefault="00246793" w:rsidP="005D385E">
            <w:pPr>
              <w:jc w:val="center"/>
              <w:rPr>
                <w:b/>
                <w:bCs/>
                <w:sz w:val="20"/>
                <w:szCs w:val="20"/>
                <w:lang w:eastAsia="fr-FR"/>
              </w:rPr>
            </w:pPr>
          </w:p>
        </w:tc>
        <w:tc>
          <w:tcPr>
            <w:tcW w:w="850" w:type="dxa"/>
            <w:vMerge/>
            <w:shd w:val="clear" w:color="auto" w:fill="92D050"/>
            <w:vAlign w:val="center"/>
          </w:tcPr>
          <w:p w14:paraId="2F9E62EA" w14:textId="77777777" w:rsidR="00246793" w:rsidRPr="00246793" w:rsidRDefault="00246793" w:rsidP="005D385E">
            <w:pPr>
              <w:jc w:val="center"/>
              <w:rPr>
                <w:b/>
                <w:bCs/>
                <w:sz w:val="20"/>
                <w:szCs w:val="20"/>
                <w:lang w:eastAsia="fr-FR"/>
              </w:rPr>
            </w:pPr>
          </w:p>
        </w:tc>
        <w:tc>
          <w:tcPr>
            <w:tcW w:w="851" w:type="dxa"/>
            <w:vMerge/>
            <w:shd w:val="clear" w:color="auto" w:fill="D9D9D9" w:themeFill="background1" w:themeFillShade="D9"/>
            <w:tcMar>
              <w:top w:w="150" w:type="dxa"/>
              <w:left w:w="150" w:type="dxa"/>
              <w:bottom w:w="150" w:type="dxa"/>
              <w:right w:w="150" w:type="dxa"/>
            </w:tcMar>
            <w:vAlign w:val="center"/>
          </w:tcPr>
          <w:p w14:paraId="6A458897" w14:textId="77777777" w:rsidR="00246793" w:rsidRPr="00246793" w:rsidRDefault="00246793" w:rsidP="005D385E">
            <w:pPr>
              <w:jc w:val="center"/>
              <w:rPr>
                <w:b/>
                <w:bCs/>
                <w:sz w:val="20"/>
                <w:szCs w:val="20"/>
                <w:lang w:eastAsia="fr-FR"/>
              </w:rPr>
            </w:pPr>
          </w:p>
        </w:tc>
        <w:tc>
          <w:tcPr>
            <w:tcW w:w="850" w:type="dxa"/>
            <w:vMerge/>
            <w:shd w:val="clear" w:color="auto" w:fill="D9D9D9" w:themeFill="background1" w:themeFillShade="D9"/>
            <w:vAlign w:val="center"/>
          </w:tcPr>
          <w:p w14:paraId="0896040B" w14:textId="77777777" w:rsidR="00246793" w:rsidRPr="00246793" w:rsidRDefault="00246793" w:rsidP="005D385E">
            <w:pPr>
              <w:jc w:val="center"/>
              <w:rPr>
                <w:b/>
                <w:bCs/>
                <w:sz w:val="20"/>
                <w:szCs w:val="20"/>
                <w:lang w:eastAsia="fr-FR"/>
              </w:rPr>
            </w:pPr>
          </w:p>
        </w:tc>
        <w:tc>
          <w:tcPr>
            <w:tcW w:w="851" w:type="dxa"/>
            <w:vMerge/>
            <w:shd w:val="clear" w:color="auto" w:fill="D9D9D9" w:themeFill="background1" w:themeFillShade="D9"/>
            <w:vAlign w:val="center"/>
          </w:tcPr>
          <w:p w14:paraId="7E25BEC8" w14:textId="77777777" w:rsidR="00246793" w:rsidRPr="00246793" w:rsidRDefault="00246793" w:rsidP="005D385E">
            <w:pPr>
              <w:jc w:val="center"/>
              <w:rPr>
                <w:b/>
                <w:bCs/>
                <w:sz w:val="20"/>
                <w:szCs w:val="20"/>
                <w:lang w:eastAsia="fr-FR"/>
              </w:rPr>
            </w:pPr>
          </w:p>
        </w:tc>
      </w:tr>
      <w:tr w:rsidR="00246793" w:rsidRPr="00246793" w14:paraId="62CB70C4" w14:textId="77777777" w:rsidTr="005D385E">
        <w:trPr>
          <w:trHeight w:val="442"/>
          <w:jc w:val="center"/>
        </w:trPr>
        <w:tc>
          <w:tcPr>
            <w:tcW w:w="1412" w:type="dxa"/>
            <w:tcBorders>
              <w:top w:val="outset" w:sz="6" w:space="0" w:color="auto"/>
              <w:left w:val="outset" w:sz="6" w:space="0" w:color="auto"/>
              <w:bottom w:val="single" w:sz="6" w:space="0" w:color="D8D8D8"/>
              <w:right w:val="single" w:sz="6" w:space="0" w:color="D8D8D8"/>
            </w:tcBorders>
            <w:shd w:val="clear" w:color="auto" w:fill="5C75A2"/>
            <w:tcMar>
              <w:top w:w="150" w:type="dxa"/>
              <w:left w:w="150" w:type="dxa"/>
              <w:bottom w:w="150" w:type="dxa"/>
              <w:right w:w="150" w:type="dxa"/>
            </w:tcMar>
            <w:vAlign w:val="center"/>
          </w:tcPr>
          <w:p w14:paraId="06932376" w14:textId="77777777" w:rsidR="00246793" w:rsidRPr="00246793" w:rsidRDefault="00246793" w:rsidP="005D385E">
            <w:pPr>
              <w:jc w:val="center"/>
              <w:rPr>
                <w:rFonts w:cstheme="minorHAnsi"/>
                <w:sz w:val="20"/>
                <w:szCs w:val="20"/>
                <w:highlight w:val="magenta"/>
              </w:rPr>
            </w:pPr>
            <w:r w:rsidRPr="00246793">
              <w:rPr>
                <w:b/>
                <w:bCs/>
                <w:color w:val="FFFFFF"/>
                <w:sz w:val="20"/>
                <w:szCs w:val="20"/>
                <w:lang w:eastAsia="fr-FR"/>
              </w:rPr>
              <w:t>Renvoi</w:t>
            </w:r>
          </w:p>
        </w:tc>
        <w:tc>
          <w:tcPr>
            <w:tcW w:w="6663" w:type="dxa"/>
            <w:gridSpan w:val="7"/>
            <w:tcBorders>
              <w:top w:val="outset" w:sz="6" w:space="0" w:color="auto"/>
              <w:left w:val="outset" w:sz="6" w:space="0" w:color="auto"/>
              <w:bottom w:val="single" w:sz="6" w:space="0" w:color="D8D8D8"/>
              <w:right w:val="outset" w:sz="6" w:space="0" w:color="auto"/>
            </w:tcBorders>
            <w:shd w:val="clear" w:color="auto" w:fill="5C75A2"/>
            <w:vAlign w:val="center"/>
          </w:tcPr>
          <w:p w14:paraId="55C41EF6" w14:textId="77777777" w:rsidR="00246793" w:rsidRPr="00246793" w:rsidRDefault="00246793" w:rsidP="005D385E">
            <w:pPr>
              <w:jc w:val="center"/>
              <w:rPr>
                <w:rFonts w:cstheme="minorHAnsi"/>
                <w:sz w:val="20"/>
                <w:szCs w:val="20"/>
              </w:rPr>
            </w:pPr>
            <w:r w:rsidRPr="00246793">
              <w:rPr>
                <w:b/>
                <w:bCs/>
                <w:color w:val="FFFFFF"/>
                <w:sz w:val="20"/>
                <w:szCs w:val="20"/>
                <w:lang w:eastAsia="fr-FR"/>
              </w:rPr>
              <w:t>Conditions</w:t>
            </w:r>
          </w:p>
        </w:tc>
        <w:tc>
          <w:tcPr>
            <w:tcW w:w="2585" w:type="dxa"/>
            <w:gridSpan w:val="4"/>
            <w:tcBorders>
              <w:top w:val="outset" w:sz="6" w:space="0" w:color="auto"/>
              <w:left w:val="outset" w:sz="6" w:space="0" w:color="auto"/>
              <w:bottom w:val="single" w:sz="6" w:space="0" w:color="D8D8D8"/>
              <w:right w:val="single" w:sz="6" w:space="0" w:color="D8D8D8"/>
            </w:tcBorders>
            <w:shd w:val="clear" w:color="auto" w:fill="5C75A2"/>
            <w:tcMar>
              <w:top w:w="150" w:type="dxa"/>
              <w:left w:w="150" w:type="dxa"/>
              <w:bottom w:w="150" w:type="dxa"/>
              <w:right w:w="150" w:type="dxa"/>
            </w:tcMar>
            <w:vAlign w:val="center"/>
          </w:tcPr>
          <w:p w14:paraId="5FE4ACF1" w14:textId="77777777" w:rsidR="00246793" w:rsidRPr="00246793" w:rsidRDefault="00246793" w:rsidP="005D385E">
            <w:pPr>
              <w:jc w:val="center"/>
              <w:rPr>
                <w:rFonts w:cstheme="minorHAnsi"/>
                <w:sz w:val="20"/>
                <w:szCs w:val="20"/>
              </w:rPr>
            </w:pPr>
            <w:r w:rsidRPr="00246793">
              <w:rPr>
                <w:b/>
                <w:bCs/>
                <w:color w:val="FFFFFF"/>
                <w:sz w:val="20"/>
                <w:szCs w:val="20"/>
                <w:lang w:eastAsia="fr-FR"/>
              </w:rPr>
              <w:t>Valeur limite d'émission (mg/Nm</w:t>
            </w:r>
            <w:r w:rsidRPr="00246793">
              <w:rPr>
                <w:b/>
                <w:bCs/>
                <w:color w:val="FFFFFF"/>
                <w:sz w:val="20"/>
                <w:szCs w:val="20"/>
                <w:vertAlign w:val="superscript"/>
                <w:lang w:eastAsia="fr-FR"/>
              </w:rPr>
              <w:t>3</w:t>
            </w:r>
            <w:r w:rsidRPr="00246793">
              <w:rPr>
                <w:b/>
                <w:bCs/>
                <w:color w:val="FFFFFF"/>
                <w:sz w:val="20"/>
                <w:szCs w:val="20"/>
                <w:lang w:eastAsia="fr-FR"/>
              </w:rPr>
              <w:t>)</w:t>
            </w:r>
          </w:p>
        </w:tc>
      </w:tr>
      <w:tr w:rsidR="00246793" w:rsidRPr="00246793" w14:paraId="6E90479A" w14:textId="77777777" w:rsidTr="005D385E">
        <w:trPr>
          <w:trHeight w:val="20"/>
          <w:jc w:val="center"/>
        </w:trPr>
        <w:tc>
          <w:tcPr>
            <w:tcW w:w="1412"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1B1F987" w14:textId="77777777" w:rsidR="00246793" w:rsidRPr="00246793" w:rsidRDefault="00246793" w:rsidP="005D385E">
            <w:pPr>
              <w:jc w:val="center"/>
              <w:rPr>
                <w:rFonts w:cstheme="minorHAnsi"/>
                <w:sz w:val="20"/>
                <w:szCs w:val="20"/>
              </w:rPr>
            </w:pPr>
            <w:r w:rsidRPr="00246793">
              <w:rPr>
                <w:rFonts w:cstheme="minorHAnsi"/>
                <w:sz w:val="20"/>
                <w:szCs w:val="20"/>
              </w:rPr>
              <w:t>(1)</w:t>
            </w:r>
          </w:p>
        </w:tc>
        <w:tc>
          <w:tcPr>
            <w:tcW w:w="6663" w:type="dxa"/>
            <w:gridSpan w:val="7"/>
            <w:tcBorders>
              <w:top w:val="single" w:sz="4" w:space="0" w:color="auto"/>
              <w:left w:val="single" w:sz="4" w:space="0" w:color="auto"/>
              <w:bottom w:val="single" w:sz="4" w:space="0" w:color="auto"/>
              <w:right w:val="single" w:sz="4" w:space="0" w:color="auto"/>
            </w:tcBorders>
            <w:shd w:val="clear" w:color="auto" w:fill="EEEEEE"/>
            <w:vAlign w:val="center"/>
          </w:tcPr>
          <w:p w14:paraId="13BE8038" w14:textId="5E6480C8" w:rsidR="00246793" w:rsidRPr="00246793" w:rsidRDefault="00246793" w:rsidP="005D385E">
            <w:pPr>
              <w:jc w:val="both"/>
              <w:rPr>
                <w:rFonts w:cstheme="minorHAnsi"/>
                <w:bCs/>
                <w:sz w:val="20"/>
                <w:szCs w:val="20"/>
                <w:lang w:eastAsia="fr-FR"/>
              </w:rPr>
            </w:pPr>
            <w:r w:rsidRPr="00246793">
              <w:rPr>
                <w:rFonts w:cstheme="minorHAnsi"/>
                <w:sz w:val="20"/>
                <w:szCs w:val="20"/>
              </w:rPr>
              <w:t>Si aucune technique secondaire de réduction des émissions ne peut être appliquée</w:t>
            </w:r>
          </w:p>
        </w:tc>
        <w:tc>
          <w:tcPr>
            <w:tcW w:w="2585"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E49A576" w14:textId="77777777" w:rsidR="00246793" w:rsidRPr="00246793" w:rsidRDefault="00246793" w:rsidP="005D385E">
            <w:pPr>
              <w:jc w:val="center"/>
              <w:rPr>
                <w:rFonts w:cstheme="minorHAnsi"/>
                <w:sz w:val="20"/>
                <w:szCs w:val="20"/>
              </w:rPr>
            </w:pPr>
            <w:proofErr w:type="spellStart"/>
            <w:r w:rsidRPr="00246793">
              <w:rPr>
                <w:rFonts w:cstheme="minorHAnsi"/>
                <w:sz w:val="20"/>
                <w:szCs w:val="20"/>
              </w:rPr>
              <w:t>SOx</w:t>
            </w:r>
            <w:proofErr w:type="spellEnd"/>
            <w:r w:rsidRPr="00246793">
              <w:rPr>
                <w:rFonts w:cstheme="minorHAnsi"/>
                <w:sz w:val="20"/>
                <w:szCs w:val="20"/>
              </w:rPr>
              <w:t> : A = 280</w:t>
            </w:r>
          </w:p>
          <w:p w14:paraId="3A5D4D6D" w14:textId="77777777" w:rsidR="00246793" w:rsidRPr="00246793" w:rsidRDefault="00246793" w:rsidP="005D385E">
            <w:pPr>
              <w:jc w:val="center"/>
              <w:rPr>
                <w:rFonts w:cstheme="minorHAnsi"/>
                <w:sz w:val="20"/>
                <w:szCs w:val="20"/>
              </w:rPr>
            </w:pPr>
            <w:proofErr w:type="spellStart"/>
            <w:r w:rsidRPr="00246793">
              <w:rPr>
                <w:rFonts w:cstheme="minorHAnsi"/>
                <w:sz w:val="20"/>
                <w:szCs w:val="20"/>
              </w:rPr>
              <w:t>SOx</w:t>
            </w:r>
            <w:proofErr w:type="spellEnd"/>
            <w:r w:rsidRPr="00246793">
              <w:rPr>
                <w:rFonts w:cstheme="minorHAnsi"/>
                <w:sz w:val="20"/>
                <w:szCs w:val="20"/>
              </w:rPr>
              <w:t> : M = 280</w:t>
            </w:r>
          </w:p>
          <w:p w14:paraId="287012DC" w14:textId="77777777" w:rsidR="00246793" w:rsidRPr="00246793" w:rsidRDefault="00246793" w:rsidP="005D385E">
            <w:pPr>
              <w:jc w:val="center"/>
              <w:rPr>
                <w:rFonts w:cstheme="minorHAnsi"/>
                <w:sz w:val="20"/>
                <w:szCs w:val="20"/>
              </w:rPr>
            </w:pPr>
            <w:proofErr w:type="spellStart"/>
            <w:r w:rsidRPr="00246793">
              <w:rPr>
                <w:rFonts w:cstheme="minorHAnsi"/>
                <w:sz w:val="20"/>
                <w:szCs w:val="20"/>
              </w:rPr>
              <w:t>SOx</w:t>
            </w:r>
            <w:proofErr w:type="spellEnd"/>
            <w:r w:rsidRPr="00246793">
              <w:rPr>
                <w:rFonts w:cstheme="minorHAnsi"/>
                <w:sz w:val="20"/>
                <w:szCs w:val="20"/>
              </w:rPr>
              <w:t> : J = 280</w:t>
            </w:r>
          </w:p>
        </w:tc>
      </w:tr>
      <w:tr w:rsidR="00246793" w:rsidRPr="00246793" w14:paraId="049C5C1D" w14:textId="77777777" w:rsidTr="005D385E">
        <w:trPr>
          <w:trHeight w:val="20"/>
          <w:jc w:val="center"/>
        </w:trPr>
        <w:tc>
          <w:tcPr>
            <w:tcW w:w="1412"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017DC4D" w14:textId="77777777" w:rsidR="00246793" w:rsidRPr="00246793" w:rsidRDefault="00246793" w:rsidP="005D385E">
            <w:pPr>
              <w:jc w:val="center"/>
              <w:rPr>
                <w:rFonts w:cstheme="minorHAnsi"/>
                <w:sz w:val="20"/>
                <w:szCs w:val="20"/>
              </w:rPr>
            </w:pPr>
            <w:r w:rsidRPr="00246793">
              <w:rPr>
                <w:rFonts w:cstheme="minorHAnsi"/>
                <w:sz w:val="20"/>
                <w:szCs w:val="20"/>
              </w:rPr>
              <w:t>(2)</w:t>
            </w:r>
          </w:p>
        </w:tc>
        <w:tc>
          <w:tcPr>
            <w:tcW w:w="6663" w:type="dxa"/>
            <w:gridSpan w:val="7"/>
            <w:tcBorders>
              <w:top w:val="single" w:sz="4" w:space="0" w:color="auto"/>
              <w:left w:val="single" w:sz="4" w:space="0" w:color="auto"/>
              <w:bottom w:val="single" w:sz="4" w:space="0" w:color="auto"/>
              <w:right w:val="single" w:sz="4" w:space="0" w:color="auto"/>
            </w:tcBorders>
            <w:shd w:val="clear" w:color="auto" w:fill="EEEEEE"/>
            <w:vAlign w:val="center"/>
          </w:tcPr>
          <w:p w14:paraId="1E6B4B78" w14:textId="3924A4D0" w:rsidR="00246793" w:rsidRPr="00246793" w:rsidRDefault="00246793" w:rsidP="005D385E">
            <w:pPr>
              <w:jc w:val="both"/>
              <w:rPr>
                <w:rFonts w:cstheme="minorHAnsi"/>
                <w:bCs/>
                <w:sz w:val="20"/>
                <w:szCs w:val="20"/>
                <w:lang w:eastAsia="fr-FR"/>
              </w:rPr>
            </w:pPr>
            <w:r w:rsidRPr="00246793">
              <w:rPr>
                <w:sz w:val="20"/>
                <w:szCs w:val="20"/>
                <w:shd w:val="clear" w:color="auto" w:fill="B4C6E7" w:themeFill="accent5" w:themeFillTint="66"/>
              </w:rPr>
              <w:t>Cette valeur peut être augmentée jusqu’à 625 mg/Nm</w:t>
            </w:r>
            <w:r w:rsidRPr="00246793">
              <w:rPr>
                <w:sz w:val="20"/>
                <w:szCs w:val="20"/>
                <w:shd w:val="clear" w:color="auto" w:fill="B4C6E7" w:themeFill="accent5" w:themeFillTint="66"/>
                <w:vertAlign w:val="superscript"/>
              </w:rPr>
              <w:t>3</w:t>
            </w:r>
            <w:r w:rsidRPr="00246793">
              <w:rPr>
                <w:sz w:val="20"/>
                <w:szCs w:val="20"/>
                <w:shd w:val="clear" w:color="auto" w:fill="B4C6E7" w:themeFill="accent5" w:themeFillTint="66"/>
              </w:rPr>
              <w:t xml:space="preserve"> par le préfet après instruction de la demande de l’exploitant justifiée par une étude technico-économique et prise en compte des intérêts </w:t>
            </w:r>
            <w:r w:rsidR="009952AB">
              <w:rPr>
                <w:sz w:val="20"/>
                <w:szCs w:val="20"/>
                <w:shd w:val="clear" w:color="auto" w:fill="B4C6E7" w:themeFill="accent5" w:themeFillTint="66"/>
              </w:rPr>
              <w:t>mentionnés</w:t>
            </w:r>
            <w:r w:rsidR="009952AB" w:rsidRPr="00246793">
              <w:rPr>
                <w:sz w:val="20"/>
                <w:szCs w:val="20"/>
                <w:shd w:val="clear" w:color="auto" w:fill="B4C6E7" w:themeFill="accent5" w:themeFillTint="66"/>
              </w:rPr>
              <w:t xml:space="preserve"> </w:t>
            </w:r>
            <w:r w:rsidRPr="00246793">
              <w:rPr>
                <w:sz w:val="20"/>
                <w:szCs w:val="20"/>
                <w:shd w:val="clear" w:color="auto" w:fill="B4C6E7" w:themeFill="accent5" w:themeFillTint="66"/>
              </w:rPr>
              <w:t xml:space="preserve">au L.511-1 et </w:t>
            </w:r>
            <w:r w:rsidR="00710F20">
              <w:rPr>
                <w:sz w:val="20"/>
                <w:szCs w:val="20"/>
                <w:shd w:val="clear" w:color="auto" w:fill="B4C6E7" w:themeFill="accent5" w:themeFillTint="66"/>
              </w:rPr>
              <w:t>après avis du conseil mentionné à l’article R. 181-39 du code de l’environnement</w:t>
            </w:r>
            <w:r w:rsidRPr="00246793">
              <w:rPr>
                <w:sz w:val="20"/>
                <w:szCs w:val="20"/>
                <w:shd w:val="clear" w:color="auto" w:fill="B4C6E7" w:themeFill="accent5" w:themeFillTint="66"/>
              </w:rPr>
              <w:t>.</w:t>
            </w:r>
          </w:p>
        </w:tc>
        <w:tc>
          <w:tcPr>
            <w:tcW w:w="2585"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153AF7BD" w14:textId="77777777" w:rsidR="00246793" w:rsidRPr="00246793" w:rsidRDefault="00246793" w:rsidP="005D385E">
            <w:pPr>
              <w:jc w:val="center"/>
              <w:rPr>
                <w:rFonts w:cstheme="minorHAnsi"/>
                <w:sz w:val="20"/>
                <w:szCs w:val="20"/>
              </w:rPr>
            </w:pPr>
            <w:r w:rsidRPr="00246793">
              <w:rPr>
                <w:rFonts w:cstheme="minorHAnsi"/>
                <w:sz w:val="20"/>
                <w:szCs w:val="20"/>
              </w:rPr>
              <w:t>NOx : A = 625</w:t>
            </w:r>
          </w:p>
          <w:p w14:paraId="123EC988" w14:textId="77777777" w:rsidR="00246793" w:rsidRPr="00246793" w:rsidRDefault="00246793" w:rsidP="005D385E">
            <w:pPr>
              <w:jc w:val="center"/>
              <w:rPr>
                <w:rFonts w:cstheme="minorHAnsi"/>
                <w:sz w:val="20"/>
                <w:szCs w:val="20"/>
              </w:rPr>
            </w:pPr>
            <w:r w:rsidRPr="00246793">
              <w:rPr>
                <w:rFonts w:cstheme="minorHAnsi"/>
                <w:sz w:val="20"/>
                <w:szCs w:val="20"/>
              </w:rPr>
              <w:t>NOx : M = 625</w:t>
            </w:r>
          </w:p>
          <w:p w14:paraId="0DC61EE8" w14:textId="77777777" w:rsidR="00246793" w:rsidRPr="00246793" w:rsidRDefault="00246793" w:rsidP="005D385E">
            <w:pPr>
              <w:jc w:val="center"/>
              <w:rPr>
                <w:rFonts w:cstheme="minorHAnsi"/>
                <w:sz w:val="20"/>
                <w:szCs w:val="20"/>
              </w:rPr>
            </w:pPr>
            <w:r w:rsidRPr="00246793">
              <w:rPr>
                <w:rFonts w:cstheme="minorHAnsi"/>
                <w:sz w:val="20"/>
                <w:szCs w:val="20"/>
              </w:rPr>
              <w:t>NOx : J = 687,5</w:t>
            </w:r>
          </w:p>
        </w:tc>
      </w:tr>
    </w:tbl>
    <w:p w14:paraId="7D866FFD" w14:textId="77777777" w:rsidR="00246793" w:rsidRPr="003B12A7" w:rsidRDefault="00246793" w:rsidP="00246793">
      <w:pPr>
        <w:jc w:val="both"/>
        <w:rPr>
          <w:sz w:val="2"/>
          <w:szCs w:val="2"/>
        </w:rPr>
      </w:pPr>
    </w:p>
    <w:p w14:paraId="29834A9A" w14:textId="77777777" w:rsidR="00246793" w:rsidRDefault="00246793" w:rsidP="00246793">
      <w:pPr>
        <w:shd w:val="clear" w:color="auto" w:fill="FFFFFF"/>
        <w:jc w:val="both"/>
        <w:rPr>
          <w:rFonts w:ascii="Arial" w:hAnsi="Arial" w:cs="Arial"/>
          <w:b/>
          <w:i/>
          <w:iCs/>
          <w:color w:val="4A5E81"/>
          <w:sz w:val="21"/>
          <w:szCs w:val="21"/>
          <w:lang w:eastAsia="fr-FR"/>
        </w:rPr>
      </w:pPr>
    </w:p>
    <w:p w14:paraId="2CD1BC01" w14:textId="60D6DFE8" w:rsidR="00246793" w:rsidRPr="00246793" w:rsidRDefault="00246793" w:rsidP="00246793">
      <w:pPr>
        <w:shd w:val="clear" w:color="auto" w:fill="FFFFFF"/>
        <w:jc w:val="both"/>
        <w:rPr>
          <w:color w:val="000000"/>
          <w:lang w:eastAsia="fr-FR"/>
        </w:rPr>
      </w:pPr>
      <w:r>
        <w:rPr>
          <w:color w:val="000000"/>
          <w:lang w:eastAsia="fr-FR"/>
        </w:rPr>
        <w:t>« </w:t>
      </w:r>
      <w:proofErr w:type="gramStart"/>
      <w:r w:rsidRPr="00246793">
        <w:rPr>
          <w:color w:val="000000"/>
          <w:lang w:eastAsia="fr-FR"/>
        </w:rPr>
        <w:t>d</w:t>
      </w:r>
      <w:proofErr w:type="gramEnd"/>
      <w:r w:rsidRPr="00246793">
        <w:rPr>
          <w:color w:val="000000"/>
          <w:lang w:eastAsia="fr-FR"/>
        </w:rPr>
        <w:t xml:space="preserve">) Pour les moteurs situés en ZNI et dont la puissance thermique nominale est supérieure à 15 MW, les valeurs limites d’émissions </w:t>
      </w:r>
      <w:r w:rsidR="001A4040">
        <w:rPr>
          <w:color w:val="000000"/>
          <w:lang w:eastAsia="fr-FR"/>
        </w:rPr>
        <w:t>mentionnées</w:t>
      </w:r>
      <w:r w:rsidR="001A4040" w:rsidRPr="00246793">
        <w:rPr>
          <w:color w:val="000000"/>
          <w:lang w:eastAsia="fr-FR"/>
        </w:rPr>
        <w:t> </w:t>
      </w:r>
      <w:r w:rsidRPr="00246793">
        <w:rPr>
          <w:color w:val="000000"/>
          <w:lang w:eastAsia="fr-FR"/>
        </w:rPr>
        <w:t>:</w:t>
      </w:r>
    </w:p>
    <w:p w14:paraId="55EDDC97" w14:textId="10191408" w:rsidR="001B1537" w:rsidRPr="001B1537" w:rsidRDefault="00246793" w:rsidP="001B1537">
      <w:pPr>
        <w:pStyle w:val="Paragraphedeliste"/>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sidR="001B1537" w:rsidRPr="001B1537">
        <w:rPr>
          <w:rFonts w:ascii="Times New Roman" w:eastAsia="Times New Roman" w:hAnsi="Times New Roman"/>
          <w:color w:val="000000"/>
          <w:sz w:val="24"/>
          <w:szCs w:val="24"/>
        </w:rPr>
        <w:t>-</w:t>
      </w:r>
      <w:r w:rsidR="001B1537">
        <w:rPr>
          <w:rFonts w:ascii="Times New Roman" w:eastAsia="Times New Roman" w:hAnsi="Times New Roman"/>
          <w:color w:val="000000"/>
          <w:sz w:val="24"/>
          <w:szCs w:val="24"/>
        </w:rPr>
        <w:t xml:space="preserve"> </w:t>
      </w:r>
      <w:r w:rsidR="001B1537" w:rsidRPr="001B1537">
        <w:rPr>
          <w:rFonts w:ascii="Times New Roman" w:eastAsia="Times New Roman" w:hAnsi="Times New Roman"/>
          <w:color w:val="000000"/>
          <w:sz w:val="24"/>
          <w:szCs w:val="24"/>
        </w:rPr>
        <w:t xml:space="preserve">au point a) du II de l’article 12 s’appliquent aux moteurs </w:t>
      </w:r>
      <w:r w:rsidR="00461C24">
        <w:rPr>
          <w:rFonts w:ascii="Times New Roman" w:eastAsia="Times New Roman" w:hAnsi="Times New Roman"/>
          <w:color w:val="000000"/>
          <w:sz w:val="24"/>
          <w:szCs w:val="24"/>
        </w:rPr>
        <w:t xml:space="preserve">dont l’autorisation a été délivrée </w:t>
      </w:r>
      <w:r w:rsidR="00020FF2">
        <w:rPr>
          <w:rFonts w:ascii="Times New Roman" w:eastAsia="Times New Roman" w:hAnsi="Times New Roman"/>
          <w:color w:val="000000"/>
          <w:sz w:val="24"/>
          <w:szCs w:val="24"/>
        </w:rPr>
        <w:t>à compter du</w:t>
      </w:r>
      <w:r w:rsidR="001B1537" w:rsidRPr="001B1537">
        <w:rPr>
          <w:rFonts w:ascii="Times New Roman" w:eastAsia="Times New Roman" w:hAnsi="Times New Roman"/>
          <w:color w:val="000000"/>
          <w:sz w:val="24"/>
          <w:szCs w:val="24"/>
        </w:rPr>
        <w:t xml:space="preserve"> 17 août 2017, </w:t>
      </w:r>
      <w:r w:rsidR="00710F20">
        <w:rPr>
          <w:rFonts w:ascii="Times New Roman" w:eastAsia="Times New Roman" w:hAnsi="Times New Roman"/>
          <w:color w:val="000000"/>
          <w:sz w:val="24"/>
          <w:szCs w:val="24"/>
        </w:rPr>
        <w:t>au</w:t>
      </w:r>
      <w:r w:rsidR="001B1537" w:rsidRPr="001B1537">
        <w:rPr>
          <w:rFonts w:ascii="Times New Roman" w:eastAsia="Times New Roman" w:hAnsi="Times New Roman"/>
          <w:color w:val="000000"/>
          <w:sz w:val="24"/>
          <w:szCs w:val="24"/>
        </w:rPr>
        <w:t xml:space="preserve"> 1</w:t>
      </w:r>
      <w:r w:rsidR="001B1537" w:rsidRPr="00710F20">
        <w:rPr>
          <w:rFonts w:ascii="Times New Roman" w:eastAsia="Times New Roman" w:hAnsi="Times New Roman"/>
          <w:color w:val="000000"/>
          <w:sz w:val="24"/>
          <w:szCs w:val="24"/>
          <w:vertAlign w:val="superscript"/>
        </w:rPr>
        <w:t>er</w:t>
      </w:r>
      <w:r w:rsidR="001B1537" w:rsidRPr="001B1537">
        <w:rPr>
          <w:rFonts w:ascii="Times New Roman" w:eastAsia="Times New Roman" w:hAnsi="Times New Roman"/>
          <w:color w:val="000000"/>
          <w:sz w:val="24"/>
          <w:szCs w:val="24"/>
        </w:rPr>
        <w:t xml:space="preserve"> janvier 2025 </w:t>
      </w:r>
    </w:p>
    <w:p w14:paraId="2851E38F" w14:textId="109C79F0" w:rsidR="00246793" w:rsidRDefault="001B1537" w:rsidP="00246793">
      <w:pPr>
        <w:pStyle w:val="Paragraphedeliste"/>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1B1537">
        <w:rPr>
          <w:rFonts w:ascii="Times New Roman" w:eastAsia="Times New Roman" w:hAnsi="Times New Roman"/>
          <w:color w:val="000000"/>
          <w:sz w:val="24"/>
          <w:szCs w:val="24"/>
        </w:rPr>
        <w:t xml:space="preserve">au point b) du II de l’article 12 s’appliquent aux moteurs </w:t>
      </w:r>
      <w:r w:rsidR="00461C24">
        <w:rPr>
          <w:rFonts w:ascii="Times New Roman" w:eastAsia="Times New Roman" w:hAnsi="Times New Roman"/>
          <w:color w:val="000000"/>
          <w:sz w:val="24"/>
          <w:szCs w:val="24"/>
        </w:rPr>
        <w:t>dont l’autorisation</w:t>
      </w:r>
      <w:r w:rsidR="00461C24" w:rsidRPr="001B1537">
        <w:rPr>
          <w:rFonts w:ascii="Times New Roman" w:eastAsia="Times New Roman" w:hAnsi="Times New Roman"/>
          <w:color w:val="000000"/>
          <w:sz w:val="24"/>
          <w:szCs w:val="24"/>
        </w:rPr>
        <w:t xml:space="preserve"> </w:t>
      </w:r>
      <w:r w:rsidR="00461C24">
        <w:rPr>
          <w:rFonts w:ascii="Times New Roman" w:eastAsia="Times New Roman" w:hAnsi="Times New Roman"/>
          <w:color w:val="000000"/>
          <w:sz w:val="24"/>
          <w:szCs w:val="24"/>
        </w:rPr>
        <w:t xml:space="preserve">a été délivrée </w:t>
      </w:r>
      <w:r w:rsidRPr="001B1537">
        <w:rPr>
          <w:rFonts w:ascii="Times New Roman" w:eastAsia="Times New Roman" w:hAnsi="Times New Roman"/>
          <w:color w:val="000000"/>
          <w:sz w:val="24"/>
          <w:szCs w:val="24"/>
        </w:rPr>
        <w:t xml:space="preserve">avant le 17 août 2017, </w:t>
      </w:r>
      <w:r w:rsidR="00710F20">
        <w:rPr>
          <w:rFonts w:ascii="Times New Roman" w:eastAsia="Times New Roman" w:hAnsi="Times New Roman"/>
          <w:color w:val="000000"/>
          <w:sz w:val="24"/>
          <w:szCs w:val="24"/>
        </w:rPr>
        <w:t>au</w:t>
      </w:r>
      <w:r w:rsidRPr="001B1537">
        <w:rPr>
          <w:rFonts w:ascii="Times New Roman" w:eastAsia="Times New Roman" w:hAnsi="Times New Roman"/>
          <w:color w:val="000000"/>
          <w:sz w:val="24"/>
          <w:szCs w:val="24"/>
        </w:rPr>
        <w:t xml:space="preserve"> 1</w:t>
      </w:r>
      <w:r w:rsidRPr="00710F20">
        <w:rPr>
          <w:rFonts w:ascii="Times New Roman" w:eastAsia="Times New Roman" w:hAnsi="Times New Roman"/>
          <w:color w:val="000000"/>
          <w:sz w:val="24"/>
          <w:szCs w:val="24"/>
          <w:vertAlign w:val="superscript"/>
        </w:rPr>
        <w:t>er</w:t>
      </w:r>
      <w:r w:rsidRPr="001B1537">
        <w:rPr>
          <w:rFonts w:ascii="Times New Roman" w:eastAsia="Times New Roman" w:hAnsi="Times New Roman"/>
          <w:color w:val="000000"/>
          <w:sz w:val="24"/>
          <w:szCs w:val="24"/>
        </w:rPr>
        <w:t xml:space="preserve"> janvier 2030.</w:t>
      </w:r>
      <w:r w:rsidR="00246793">
        <w:rPr>
          <w:rFonts w:ascii="Times New Roman" w:eastAsia="Times New Roman" w:hAnsi="Times New Roman"/>
          <w:color w:val="000000"/>
          <w:sz w:val="24"/>
          <w:szCs w:val="24"/>
        </w:rPr>
        <w:t> »</w:t>
      </w:r>
    </w:p>
    <w:p w14:paraId="073514C3" w14:textId="77777777" w:rsidR="00CD0F23" w:rsidRPr="00246793" w:rsidRDefault="00CD0F23" w:rsidP="00246793">
      <w:pPr>
        <w:pStyle w:val="Paragraphedeliste"/>
        <w:shd w:val="clear" w:color="auto" w:fill="FFFFFF"/>
        <w:spacing w:after="0" w:line="240" w:lineRule="auto"/>
        <w:jc w:val="both"/>
        <w:rPr>
          <w:rFonts w:ascii="Times New Roman" w:eastAsia="Times New Roman" w:hAnsi="Times New Roman"/>
          <w:color w:val="000000"/>
          <w:sz w:val="24"/>
          <w:szCs w:val="24"/>
        </w:rPr>
      </w:pPr>
    </w:p>
    <w:p w14:paraId="5E96A52E" w14:textId="7485AF8F" w:rsidR="00914E79" w:rsidRPr="00914E79" w:rsidRDefault="00914E79" w:rsidP="00914E79">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16</w:t>
      </w:r>
      <w:r w:rsidRPr="00914E79">
        <w:rPr>
          <w:b/>
          <w:bCs/>
          <w:i/>
          <w:iCs/>
        </w:rPr>
        <w:fldChar w:fldCharType="end"/>
      </w:r>
    </w:p>
    <w:p w14:paraId="617BB149" w14:textId="6E3D803D" w:rsidR="00914E79" w:rsidRDefault="00914E79" w:rsidP="00914E79"/>
    <w:p w14:paraId="190CA978" w14:textId="5126C735" w:rsidR="00246793" w:rsidRDefault="00246793" w:rsidP="002B0DC1">
      <w:pPr>
        <w:jc w:val="both"/>
      </w:pPr>
      <w:r>
        <w:t>L’article 13 de l’arrêté susvisé est remplacé par les dispositions suivantes :</w:t>
      </w:r>
    </w:p>
    <w:p w14:paraId="486D929B" w14:textId="582BF341" w:rsidR="00914E79" w:rsidRDefault="00914E79" w:rsidP="002B0DC1"/>
    <w:p w14:paraId="1F91C95B" w14:textId="706E535F" w:rsidR="00246793" w:rsidRPr="00B07376" w:rsidRDefault="00246793" w:rsidP="002B0DC1">
      <w:pPr>
        <w:spacing w:after="240"/>
        <w:rPr>
          <w:lang w:eastAsia="fr-FR"/>
        </w:rPr>
      </w:pPr>
      <w:r w:rsidRPr="00B07376">
        <w:rPr>
          <w:lang w:eastAsia="fr-FR"/>
        </w:rPr>
        <w:t>« </w:t>
      </w:r>
      <w:r w:rsidR="006E7F9C" w:rsidRPr="00B07376">
        <w:rPr>
          <w:i/>
          <w:iCs/>
          <w:lang w:eastAsia="fr-FR"/>
        </w:rPr>
        <w:t>Art. 13</w:t>
      </w:r>
      <w:r w:rsidR="00EE2823">
        <w:rPr>
          <w:i/>
          <w:iCs/>
          <w:lang w:eastAsia="fr-FR"/>
        </w:rPr>
        <w:t>.</w:t>
      </w:r>
      <w:r w:rsidR="006E7F9C" w:rsidRPr="00B07376">
        <w:rPr>
          <w:i/>
          <w:iCs/>
          <w:lang w:eastAsia="fr-FR"/>
        </w:rPr>
        <w:t xml:space="preserve"> -</w:t>
      </w:r>
      <w:r w:rsidR="006E7F9C" w:rsidRPr="00B07376">
        <w:rPr>
          <w:lang w:eastAsia="fr-FR"/>
        </w:rPr>
        <w:t xml:space="preserve"> </w:t>
      </w:r>
      <w:r w:rsidRPr="00B07376">
        <w:rPr>
          <w:lang w:eastAsia="fr-FR"/>
        </w:rPr>
        <w:t>Autres polluants</w:t>
      </w:r>
    </w:p>
    <w:p w14:paraId="55AFC10D" w14:textId="57C4D228" w:rsidR="007E0586" w:rsidRPr="007E0586" w:rsidRDefault="00212200" w:rsidP="002B0DC1">
      <w:pPr>
        <w:jc w:val="both"/>
        <w:rPr>
          <w:color w:val="000000"/>
          <w:lang w:eastAsia="fr-FR"/>
        </w:rPr>
      </w:pPr>
      <w:r>
        <w:rPr>
          <w:color w:val="000000"/>
          <w:lang w:eastAsia="fr-FR"/>
        </w:rPr>
        <w:t>« </w:t>
      </w:r>
      <w:r w:rsidR="007E0586" w:rsidRPr="007E0586">
        <w:rPr>
          <w:color w:val="000000"/>
          <w:lang w:eastAsia="fr-FR"/>
        </w:rPr>
        <w:t>I. – Valeurs limites d’émission en NH</w:t>
      </w:r>
      <w:r w:rsidR="007E0586" w:rsidRPr="00353EFD">
        <w:rPr>
          <w:color w:val="000000"/>
          <w:vertAlign w:val="subscript"/>
          <w:lang w:eastAsia="fr-FR"/>
        </w:rPr>
        <w:t>3</w:t>
      </w:r>
      <w:r w:rsidR="007E0586" w:rsidRPr="007E0586">
        <w:rPr>
          <w:color w:val="000000"/>
          <w:lang w:eastAsia="fr-FR"/>
        </w:rPr>
        <w:t xml:space="preserve"> en cas de traitement des NOx à l’ammoniac ou ses précurseurs :</w:t>
      </w:r>
    </w:p>
    <w:p w14:paraId="528DFD58" w14:textId="77777777" w:rsidR="007E0586" w:rsidRPr="007E0586" w:rsidRDefault="007E0586" w:rsidP="002B0DC1">
      <w:pPr>
        <w:jc w:val="both"/>
        <w:rPr>
          <w:color w:val="000000"/>
          <w:lang w:eastAsia="fr-FR"/>
        </w:rPr>
      </w:pPr>
    </w:p>
    <w:p w14:paraId="2C3CE8D8" w14:textId="619E1E71" w:rsidR="007E0586" w:rsidRPr="007E0586" w:rsidRDefault="00212200" w:rsidP="002B0DC1">
      <w:pPr>
        <w:jc w:val="both"/>
        <w:rPr>
          <w:color w:val="000000"/>
          <w:lang w:eastAsia="fr-FR"/>
        </w:rPr>
      </w:pPr>
      <w:r>
        <w:rPr>
          <w:color w:val="000000"/>
          <w:lang w:eastAsia="fr-FR"/>
        </w:rPr>
        <w:t>« </w:t>
      </w:r>
      <w:proofErr w:type="gramStart"/>
      <w:r w:rsidR="007E0586" w:rsidRPr="007E0586">
        <w:rPr>
          <w:color w:val="000000"/>
          <w:lang w:eastAsia="fr-FR"/>
        </w:rPr>
        <w:t>a</w:t>
      </w:r>
      <w:proofErr w:type="gramEnd"/>
      <w:r w:rsidR="007E0586" w:rsidRPr="007E0586">
        <w:rPr>
          <w:color w:val="000000"/>
          <w:lang w:eastAsia="fr-FR"/>
        </w:rPr>
        <w:t>) Les dispositions du présent point s’appliquent :</w:t>
      </w:r>
    </w:p>
    <w:p w14:paraId="37BD7212" w14:textId="79B014F9" w:rsidR="007E0586" w:rsidRPr="007E0586" w:rsidRDefault="00212200" w:rsidP="002B0DC1">
      <w:pPr>
        <w:ind w:left="708"/>
        <w:jc w:val="both"/>
        <w:rPr>
          <w:color w:val="000000"/>
          <w:lang w:eastAsia="fr-FR"/>
        </w:rPr>
      </w:pPr>
      <w:r>
        <w:rPr>
          <w:color w:val="000000"/>
          <w:lang w:eastAsia="fr-FR"/>
        </w:rPr>
        <w:t>« </w:t>
      </w:r>
      <w:r w:rsidR="007E0586" w:rsidRPr="007E0586">
        <w:rPr>
          <w:color w:val="000000"/>
          <w:lang w:eastAsia="fr-FR"/>
        </w:rPr>
        <w:t xml:space="preserve">- aux appareils de </w:t>
      </w:r>
      <w:r w:rsidR="006B4968">
        <w:rPr>
          <w:color w:val="000000"/>
          <w:lang w:eastAsia="fr-FR"/>
        </w:rPr>
        <w:t>puissance thermique nominale inférieure à</w:t>
      </w:r>
      <w:r w:rsidR="007E0586" w:rsidRPr="007E0586">
        <w:rPr>
          <w:color w:val="000000"/>
          <w:lang w:eastAsia="fr-FR"/>
        </w:rPr>
        <w:t xml:space="preserve"> 15 MW ;</w:t>
      </w:r>
    </w:p>
    <w:p w14:paraId="79CE00F1" w14:textId="79A42E0D" w:rsidR="007E0586" w:rsidRPr="007E0586" w:rsidRDefault="00212200" w:rsidP="002B0DC1">
      <w:pPr>
        <w:ind w:left="708"/>
        <w:jc w:val="both"/>
        <w:rPr>
          <w:color w:val="000000"/>
          <w:lang w:eastAsia="fr-FR"/>
        </w:rPr>
      </w:pPr>
      <w:r>
        <w:rPr>
          <w:color w:val="000000"/>
          <w:lang w:eastAsia="fr-FR"/>
        </w:rPr>
        <w:t>« </w:t>
      </w:r>
      <w:r w:rsidR="007E0586" w:rsidRPr="007E0586">
        <w:rPr>
          <w:color w:val="000000"/>
          <w:lang w:eastAsia="fr-FR"/>
        </w:rPr>
        <w:t>- aux fours et réchauffeurs industriels indirects ;</w:t>
      </w:r>
    </w:p>
    <w:p w14:paraId="6F0706AC" w14:textId="04C5873A" w:rsidR="007E0586" w:rsidRPr="007E0586" w:rsidRDefault="00212200" w:rsidP="002B0DC1">
      <w:pPr>
        <w:ind w:left="708"/>
        <w:jc w:val="both"/>
        <w:rPr>
          <w:color w:val="000000"/>
          <w:lang w:eastAsia="fr-FR"/>
        </w:rPr>
      </w:pPr>
      <w:r w:rsidRPr="00C752D4">
        <w:rPr>
          <w:color w:val="000000"/>
          <w:lang w:eastAsia="fr-FR"/>
        </w:rPr>
        <w:t>« </w:t>
      </w:r>
      <w:r w:rsidR="007E0586" w:rsidRPr="00C752D4">
        <w:rPr>
          <w:color w:val="000000"/>
          <w:lang w:eastAsia="fr-FR"/>
        </w:rPr>
        <w:t xml:space="preserve">- aux appareils pour lesquels les délais mentionnés </w:t>
      </w:r>
      <w:r w:rsidR="00D9011B">
        <w:rPr>
          <w:color w:val="000000"/>
          <w:lang w:eastAsia="fr-FR"/>
        </w:rPr>
        <w:t>au VII de l’article 3</w:t>
      </w:r>
      <w:r w:rsidR="007E0586" w:rsidRPr="00C752D4">
        <w:rPr>
          <w:color w:val="000000"/>
          <w:lang w:eastAsia="fr-FR"/>
        </w:rPr>
        <w:t xml:space="preserve"> du présent arrêté ne sont pas encore échus ;</w:t>
      </w:r>
    </w:p>
    <w:p w14:paraId="7B97EEB0" w14:textId="77777777" w:rsidR="007E0586" w:rsidRPr="007E0586" w:rsidRDefault="007E0586" w:rsidP="002B0DC1">
      <w:pPr>
        <w:jc w:val="both"/>
        <w:rPr>
          <w:color w:val="000000"/>
          <w:lang w:eastAsia="fr-FR"/>
        </w:rPr>
      </w:pPr>
    </w:p>
    <w:p w14:paraId="0EACE009" w14:textId="59232B31" w:rsidR="007E0586" w:rsidRPr="007E0586" w:rsidRDefault="00212200" w:rsidP="002B0DC1">
      <w:pPr>
        <w:jc w:val="both"/>
        <w:rPr>
          <w:color w:val="000000"/>
          <w:lang w:eastAsia="fr-FR"/>
        </w:rPr>
      </w:pPr>
      <w:r>
        <w:rPr>
          <w:color w:val="000000"/>
          <w:lang w:eastAsia="fr-FR"/>
        </w:rPr>
        <w:t>« </w:t>
      </w:r>
      <w:r w:rsidR="007E0586" w:rsidRPr="007E0586">
        <w:rPr>
          <w:color w:val="000000"/>
          <w:lang w:eastAsia="fr-FR"/>
        </w:rPr>
        <w:t>En cas de dispositif de traitement des oxydes d'azote à l'ammoniac ou ses précurseurs :</w:t>
      </w:r>
    </w:p>
    <w:p w14:paraId="191B63C2" w14:textId="77777777" w:rsidR="007E0586" w:rsidRPr="007E0586" w:rsidRDefault="007E0586" w:rsidP="002B0DC1">
      <w:pPr>
        <w:jc w:val="both"/>
        <w:rPr>
          <w:color w:val="000000"/>
          <w:lang w:eastAsia="fr-FR"/>
        </w:rPr>
      </w:pPr>
    </w:p>
    <w:p w14:paraId="4ACEBC94" w14:textId="759A896E" w:rsidR="007E0586" w:rsidRPr="007E0586" w:rsidRDefault="00212200" w:rsidP="002B0DC1">
      <w:pPr>
        <w:ind w:left="708"/>
        <w:jc w:val="both"/>
        <w:rPr>
          <w:color w:val="000000"/>
          <w:lang w:eastAsia="fr-FR"/>
        </w:rPr>
      </w:pPr>
      <w:r>
        <w:rPr>
          <w:color w:val="000000"/>
          <w:lang w:eastAsia="fr-FR"/>
        </w:rPr>
        <w:t xml:space="preserve">« - </w:t>
      </w:r>
      <w:r w:rsidR="007E0586" w:rsidRPr="007E0586">
        <w:rPr>
          <w:color w:val="000000"/>
          <w:lang w:eastAsia="fr-FR"/>
        </w:rPr>
        <w:t>pour les chaudières autorisées à compter du 1</w:t>
      </w:r>
      <w:r w:rsidR="007E0586" w:rsidRPr="006E7F9C">
        <w:rPr>
          <w:color w:val="000000"/>
          <w:vertAlign w:val="superscript"/>
          <w:lang w:eastAsia="fr-FR"/>
        </w:rPr>
        <w:t>er</w:t>
      </w:r>
      <w:r w:rsidR="007E0586" w:rsidRPr="007E0586">
        <w:rPr>
          <w:color w:val="000000"/>
          <w:lang w:eastAsia="fr-FR"/>
        </w:rPr>
        <w:t xml:space="preserve"> novembre 2010 et pour les autres installations autorisées à compter du 1</w:t>
      </w:r>
      <w:r w:rsidR="007E0586" w:rsidRPr="006E7F9C">
        <w:rPr>
          <w:color w:val="000000"/>
          <w:vertAlign w:val="superscript"/>
          <w:lang w:eastAsia="fr-FR"/>
        </w:rPr>
        <w:t>er</w:t>
      </w:r>
      <w:r w:rsidR="007E0586" w:rsidRPr="007E0586">
        <w:rPr>
          <w:color w:val="000000"/>
          <w:lang w:eastAsia="fr-FR"/>
        </w:rPr>
        <w:t xml:space="preserve"> janvier 2014, la valeur limite d'émission d'ammoniac est de 5 mg/Nm</w:t>
      </w:r>
      <w:r w:rsidR="007E0586" w:rsidRPr="006B4968">
        <w:rPr>
          <w:color w:val="000000"/>
          <w:vertAlign w:val="superscript"/>
          <w:lang w:eastAsia="fr-FR"/>
        </w:rPr>
        <w:t>3</w:t>
      </w:r>
      <w:r w:rsidR="007E0586" w:rsidRPr="007E0586">
        <w:rPr>
          <w:color w:val="000000"/>
          <w:lang w:eastAsia="fr-FR"/>
        </w:rPr>
        <w:t xml:space="preserve">. </w:t>
      </w:r>
    </w:p>
    <w:p w14:paraId="78254EF5" w14:textId="762B23F7" w:rsidR="007E0586" w:rsidRPr="00212200" w:rsidRDefault="00212200" w:rsidP="002B0DC1">
      <w:pPr>
        <w:ind w:left="708"/>
        <w:jc w:val="both"/>
        <w:rPr>
          <w:color w:val="000000"/>
          <w:lang w:eastAsia="fr-FR"/>
        </w:rPr>
      </w:pPr>
      <w:r>
        <w:rPr>
          <w:color w:val="000000"/>
          <w:lang w:eastAsia="fr-FR"/>
        </w:rPr>
        <w:t>« </w:t>
      </w:r>
      <w:r w:rsidR="007E0586" w:rsidRPr="007E0586">
        <w:rPr>
          <w:color w:val="000000"/>
          <w:lang w:eastAsia="fr-FR"/>
        </w:rPr>
        <w:t>Cette valeur peut être adaptée par le préfet sur la base d'éléments technico-économiques fournis par l'exploitant, des performances des meilleures techniques disponibles et des contraintes liées à l'environnement local afin de garantir la protection des intérêts mentionnés à l'article L.511-1 du code de l'environnement, sans toutefois dépasser 20 mg/Nm</w:t>
      </w:r>
      <w:r w:rsidR="007E0586" w:rsidRPr="00212200">
        <w:rPr>
          <w:color w:val="000000"/>
          <w:vertAlign w:val="superscript"/>
          <w:lang w:eastAsia="fr-FR"/>
        </w:rPr>
        <w:t>3</w:t>
      </w:r>
      <w:r>
        <w:rPr>
          <w:color w:val="000000"/>
          <w:vertAlign w:val="superscript"/>
          <w:lang w:eastAsia="fr-FR"/>
        </w:rPr>
        <w:t> </w:t>
      </w:r>
      <w:r>
        <w:rPr>
          <w:color w:val="000000"/>
          <w:lang w:eastAsia="fr-FR"/>
        </w:rPr>
        <w:t>;</w:t>
      </w:r>
    </w:p>
    <w:p w14:paraId="4A52FB00" w14:textId="77777777" w:rsidR="007E0586" w:rsidRPr="007E0586" w:rsidRDefault="007E0586" w:rsidP="002B0DC1">
      <w:pPr>
        <w:jc w:val="both"/>
        <w:rPr>
          <w:color w:val="000000"/>
          <w:lang w:eastAsia="fr-FR"/>
        </w:rPr>
      </w:pPr>
    </w:p>
    <w:p w14:paraId="6C73FB59" w14:textId="6D68CF67" w:rsidR="007E0586" w:rsidRPr="007E0586" w:rsidRDefault="00212200" w:rsidP="002B0DC1">
      <w:pPr>
        <w:ind w:firstLine="708"/>
        <w:jc w:val="both"/>
        <w:rPr>
          <w:color w:val="000000"/>
          <w:lang w:eastAsia="fr-FR"/>
        </w:rPr>
      </w:pPr>
      <w:r>
        <w:rPr>
          <w:color w:val="000000"/>
          <w:lang w:eastAsia="fr-FR"/>
        </w:rPr>
        <w:t>« </w:t>
      </w:r>
      <w:r w:rsidR="007E0586" w:rsidRPr="007E0586">
        <w:rPr>
          <w:color w:val="000000"/>
          <w:lang w:eastAsia="fr-FR"/>
        </w:rPr>
        <w:t>- pour les autres installations, la valeur limite d'émission d'ammoniac est de 20 mg/Nm</w:t>
      </w:r>
      <w:r w:rsidR="007E0586" w:rsidRPr="00212200">
        <w:rPr>
          <w:color w:val="000000"/>
          <w:vertAlign w:val="superscript"/>
          <w:lang w:eastAsia="fr-FR"/>
        </w:rPr>
        <w:t>3</w:t>
      </w:r>
      <w:r w:rsidR="007E0586" w:rsidRPr="007E0586">
        <w:rPr>
          <w:color w:val="000000"/>
          <w:lang w:eastAsia="fr-FR"/>
        </w:rPr>
        <w:t>.</w:t>
      </w:r>
    </w:p>
    <w:p w14:paraId="387E890F" w14:textId="77777777" w:rsidR="007E0586" w:rsidRPr="007E0586" w:rsidRDefault="007E0586" w:rsidP="002B0DC1">
      <w:pPr>
        <w:jc w:val="both"/>
        <w:rPr>
          <w:color w:val="000000"/>
          <w:lang w:eastAsia="fr-FR"/>
        </w:rPr>
      </w:pPr>
    </w:p>
    <w:p w14:paraId="695CC483" w14:textId="05297A55" w:rsidR="007E0586" w:rsidRPr="007E0586" w:rsidRDefault="00212200" w:rsidP="002B0DC1">
      <w:pPr>
        <w:jc w:val="both"/>
        <w:rPr>
          <w:color w:val="000000"/>
          <w:lang w:eastAsia="fr-FR"/>
        </w:rPr>
      </w:pPr>
      <w:r>
        <w:rPr>
          <w:color w:val="000000"/>
          <w:lang w:eastAsia="fr-FR"/>
        </w:rPr>
        <w:t>« </w:t>
      </w:r>
      <w:proofErr w:type="gramStart"/>
      <w:r w:rsidR="007E0586" w:rsidRPr="007E0586">
        <w:rPr>
          <w:color w:val="000000"/>
          <w:lang w:eastAsia="fr-FR"/>
        </w:rPr>
        <w:t>b</w:t>
      </w:r>
      <w:proofErr w:type="gramEnd"/>
      <w:r w:rsidR="007E0586" w:rsidRPr="007E0586">
        <w:rPr>
          <w:color w:val="000000"/>
          <w:lang w:eastAsia="fr-FR"/>
        </w:rPr>
        <w:t xml:space="preserve">) Les dispositions du présent point s’appliquent aux chaudières, turbines et moteurs dont la puissance thermique nominale est supérieure ou égale à 15 MW, </w:t>
      </w:r>
      <w:r w:rsidR="007E0586" w:rsidRPr="00C752D4">
        <w:rPr>
          <w:color w:val="000000"/>
          <w:lang w:eastAsia="fr-FR"/>
        </w:rPr>
        <w:t xml:space="preserve">dans les délais mentionnés </w:t>
      </w:r>
      <w:r w:rsidR="00D9011B">
        <w:rPr>
          <w:color w:val="000000"/>
          <w:lang w:eastAsia="fr-FR"/>
        </w:rPr>
        <w:t>au VII de</w:t>
      </w:r>
      <w:r w:rsidR="007E0586" w:rsidRPr="00C752D4">
        <w:rPr>
          <w:color w:val="000000"/>
          <w:lang w:eastAsia="fr-FR"/>
        </w:rPr>
        <w:t xml:space="preserve"> l’article 3 du présent arrêté.</w:t>
      </w:r>
    </w:p>
    <w:p w14:paraId="26EBBB0B" w14:textId="06E3F2CC" w:rsidR="007E0586" w:rsidRPr="007E0586" w:rsidRDefault="00212200" w:rsidP="002B0DC1">
      <w:pPr>
        <w:jc w:val="both"/>
        <w:rPr>
          <w:color w:val="000000"/>
          <w:lang w:eastAsia="fr-FR"/>
        </w:rPr>
      </w:pPr>
      <w:r>
        <w:rPr>
          <w:color w:val="000000"/>
          <w:lang w:eastAsia="fr-FR"/>
        </w:rPr>
        <w:t>« </w:t>
      </w:r>
      <w:r w:rsidR="007E0586" w:rsidRPr="007E0586">
        <w:rPr>
          <w:color w:val="000000"/>
          <w:lang w:eastAsia="fr-FR"/>
        </w:rPr>
        <w:t>Les valeurs limites d’émission en NH</w:t>
      </w:r>
      <w:r w:rsidR="007E0586" w:rsidRPr="00FB33D1">
        <w:rPr>
          <w:color w:val="000000"/>
          <w:vertAlign w:val="subscript"/>
          <w:lang w:eastAsia="fr-FR"/>
        </w:rPr>
        <w:t>3</w:t>
      </w:r>
      <w:r w:rsidR="007E0586" w:rsidRPr="007E0586">
        <w:rPr>
          <w:color w:val="000000"/>
          <w:lang w:eastAsia="fr-FR"/>
        </w:rPr>
        <w:t>, résultant de l’application de la SCR ou de la SNCR, selon le combustible utilisé et selon le type d’appareil</w:t>
      </w:r>
      <w:r w:rsidR="006E7F9C">
        <w:rPr>
          <w:color w:val="000000"/>
          <w:lang w:eastAsia="fr-FR"/>
        </w:rPr>
        <w:t>,</w:t>
      </w:r>
      <w:r w:rsidR="007E0586" w:rsidRPr="007E0586">
        <w:rPr>
          <w:color w:val="000000"/>
          <w:lang w:eastAsia="fr-FR"/>
        </w:rPr>
        <w:t xml:space="preserve"> sont les suivantes :</w:t>
      </w:r>
    </w:p>
    <w:p w14:paraId="2DED0171" w14:textId="77777777" w:rsidR="00212200" w:rsidRDefault="00212200" w:rsidP="002B0DC1">
      <w:pPr>
        <w:jc w:val="both"/>
        <w:rPr>
          <w:color w:val="000000"/>
          <w:lang w:eastAsia="fr-FR"/>
        </w:rPr>
      </w:pPr>
    </w:p>
    <w:p w14:paraId="3C736C96" w14:textId="544AD425" w:rsidR="007E0586" w:rsidRPr="007E0586" w:rsidRDefault="00212200" w:rsidP="002B0DC1">
      <w:pPr>
        <w:ind w:left="708"/>
        <w:jc w:val="both"/>
        <w:rPr>
          <w:color w:val="000000"/>
          <w:lang w:eastAsia="fr-FR"/>
        </w:rPr>
      </w:pPr>
      <w:r>
        <w:rPr>
          <w:color w:val="000000"/>
          <w:lang w:eastAsia="fr-FR"/>
        </w:rPr>
        <w:t>« </w:t>
      </w:r>
      <w:r w:rsidR="007E0586" w:rsidRPr="007E0586">
        <w:rPr>
          <w:color w:val="000000"/>
          <w:lang w:eastAsia="fr-FR"/>
        </w:rPr>
        <w:t>-</w:t>
      </w:r>
      <w:r>
        <w:rPr>
          <w:color w:val="000000"/>
          <w:lang w:eastAsia="fr-FR"/>
        </w:rPr>
        <w:t xml:space="preserve"> </w:t>
      </w:r>
      <w:r w:rsidR="007E0586" w:rsidRPr="007E0586">
        <w:rPr>
          <w:color w:val="000000"/>
          <w:lang w:eastAsia="fr-FR"/>
        </w:rPr>
        <w:t>pour les chaudières autorisées à compter du 1</w:t>
      </w:r>
      <w:r w:rsidR="007E0586" w:rsidRPr="006E7F9C">
        <w:rPr>
          <w:color w:val="000000"/>
          <w:vertAlign w:val="superscript"/>
          <w:lang w:eastAsia="fr-FR"/>
        </w:rPr>
        <w:t>er</w:t>
      </w:r>
      <w:r w:rsidR="007E0586" w:rsidRPr="007E0586">
        <w:rPr>
          <w:color w:val="000000"/>
          <w:lang w:eastAsia="fr-FR"/>
        </w:rPr>
        <w:t xml:space="preserve"> novembre 2010 et pour les autres appareils autorisés à compter du 1</w:t>
      </w:r>
      <w:r w:rsidR="007E0586" w:rsidRPr="006E7F9C">
        <w:rPr>
          <w:color w:val="000000"/>
          <w:vertAlign w:val="superscript"/>
          <w:lang w:eastAsia="fr-FR"/>
        </w:rPr>
        <w:t>er</w:t>
      </w:r>
      <w:r w:rsidR="007E0586" w:rsidRPr="007E0586">
        <w:rPr>
          <w:color w:val="000000"/>
          <w:lang w:eastAsia="fr-FR"/>
        </w:rPr>
        <w:t xml:space="preserve"> janvier 2014, la valeur limite d'émission d'ammoniac est de 5 mg/Nm</w:t>
      </w:r>
      <w:r w:rsidR="007E0586" w:rsidRPr="00212200">
        <w:rPr>
          <w:color w:val="000000"/>
          <w:vertAlign w:val="superscript"/>
          <w:lang w:eastAsia="fr-FR"/>
        </w:rPr>
        <w:t>3</w:t>
      </w:r>
      <w:r w:rsidR="007E0586" w:rsidRPr="007E0586">
        <w:rPr>
          <w:color w:val="000000"/>
          <w:lang w:eastAsia="fr-FR"/>
        </w:rPr>
        <w:t xml:space="preserve">. </w:t>
      </w:r>
    </w:p>
    <w:p w14:paraId="33199D4B" w14:textId="77777777" w:rsidR="007E0586" w:rsidRPr="007E0586" w:rsidRDefault="007E0586" w:rsidP="002B0DC1">
      <w:pPr>
        <w:jc w:val="both"/>
        <w:rPr>
          <w:color w:val="000000"/>
          <w:lang w:eastAsia="fr-FR"/>
        </w:rPr>
      </w:pPr>
    </w:p>
    <w:p w14:paraId="78B4282D" w14:textId="55B982C1" w:rsidR="007E0586" w:rsidRPr="007E0586" w:rsidRDefault="00212200" w:rsidP="002B0DC1">
      <w:pPr>
        <w:ind w:left="708"/>
        <w:jc w:val="both"/>
        <w:rPr>
          <w:color w:val="000000"/>
          <w:lang w:eastAsia="fr-FR"/>
        </w:rPr>
      </w:pPr>
      <w:r>
        <w:rPr>
          <w:color w:val="000000"/>
          <w:lang w:eastAsia="fr-FR"/>
        </w:rPr>
        <w:t>« </w:t>
      </w:r>
      <w:r w:rsidR="007E0586" w:rsidRPr="007E0586">
        <w:rPr>
          <w:color w:val="000000"/>
          <w:lang w:eastAsia="fr-FR"/>
        </w:rPr>
        <w:t>Cette valeur peut être adaptée par le préfet sur la base d'éléments technico-économiques fournis par l'exploitant, des performances des meilleures techniques disponibles et des contraintes liées à l'environnement local afin de garantir la protection des intérêts mentionnés à l'article L.</w:t>
      </w:r>
      <w:r w:rsidR="006E7F9C">
        <w:rPr>
          <w:color w:val="000000"/>
          <w:lang w:eastAsia="fr-FR"/>
        </w:rPr>
        <w:t xml:space="preserve"> </w:t>
      </w:r>
      <w:r w:rsidR="007E0586" w:rsidRPr="007E0586">
        <w:rPr>
          <w:color w:val="000000"/>
          <w:lang w:eastAsia="fr-FR"/>
        </w:rPr>
        <w:t>511-1 du code de l'environnement, sans toutefois dépasser :</w:t>
      </w:r>
    </w:p>
    <w:p w14:paraId="32762FB3" w14:textId="02C70053" w:rsidR="007E0586" w:rsidRPr="007E0586" w:rsidRDefault="00212200" w:rsidP="002B0DC1">
      <w:pPr>
        <w:ind w:left="708" w:firstLine="708"/>
        <w:jc w:val="both"/>
        <w:rPr>
          <w:color w:val="000000"/>
          <w:lang w:eastAsia="fr-FR"/>
        </w:rPr>
      </w:pPr>
      <w:r>
        <w:rPr>
          <w:color w:val="000000"/>
          <w:lang w:eastAsia="fr-FR"/>
        </w:rPr>
        <w:t>« </w:t>
      </w:r>
      <w:r w:rsidR="007E0586" w:rsidRPr="007E0586">
        <w:rPr>
          <w:color w:val="000000"/>
          <w:lang w:eastAsia="fr-FR"/>
        </w:rPr>
        <w:t>- 10 mg/Nm</w:t>
      </w:r>
      <w:r w:rsidR="007E0586" w:rsidRPr="00212200">
        <w:rPr>
          <w:color w:val="000000"/>
          <w:vertAlign w:val="superscript"/>
          <w:lang w:eastAsia="fr-FR"/>
        </w:rPr>
        <w:t>3</w:t>
      </w:r>
      <w:r w:rsidR="007E0586" w:rsidRPr="007E0586">
        <w:rPr>
          <w:color w:val="000000"/>
          <w:lang w:eastAsia="fr-FR"/>
        </w:rPr>
        <w:t xml:space="preserve"> pour les chaudières ;</w:t>
      </w:r>
    </w:p>
    <w:p w14:paraId="7B10A87C" w14:textId="715F013A" w:rsidR="007E0586" w:rsidRPr="007E0586" w:rsidRDefault="00212200" w:rsidP="002B0DC1">
      <w:pPr>
        <w:ind w:left="1416"/>
        <w:jc w:val="both"/>
        <w:rPr>
          <w:color w:val="000000"/>
          <w:lang w:eastAsia="fr-FR"/>
        </w:rPr>
      </w:pPr>
      <w:r>
        <w:rPr>
          <w:color w:val="000000"/>
          <w:lang w:eastAsia="fr-FR"/>
        </w:rPr>
        <w:t>« </w:t>
      </w:r>
      <w:r w:rsidR="007E0586" w:rsidRPr="007E0586">
        <w:rPr>
          <w:color w:val="000000"/>
          <w:lang w:eastAsia="fr-FR"/>
        </w:rPr>
        <w:t>- 15 mg/</w:t>
      </w:r>
      <w:r w:rsidRPr="00212200">
        <w:rPr>
          <w:color w:val="000000"/>
          <w:lang w:eastAsia="fr-FR"/>
        </w:rPr>
        <w:t xml:space="preserve"> </w:t>
      </w:r>
      <w:r w:rsidRPr="007E0586">
        <w:rPr>
          <w:color w:val="000000"/>
          <w:lang w:eastAsia="fr-FR"/>
        </w:rPr>
        <w:t>Nm</w:t>
      </w:r>
      <w:r w:rsidRPr="00212200">
        <w:rPr>
          <w:color w:val="000000"/>
          <w:vertAlign w:val="superscript"/>
          <w:lang w:eastAsia="fr-FR"/>
        </w:rPr>
        <w:t>3</w:t>
      </w:r>
      <w:r w:rsidR="007E0586" w:rsidRPr="007E0586">
        <w:rPr>
          <w:color w:val="000000"/>
          <w:lang w:eastAsia="fr-FR"/>
        </w:rPr>
        <w:t xml:space="preserve"> pour les appareils brûlant de la biomasse et qui sont exploités à charge variable</w:t>
      </w:r>
      <w:r w:rsidR="006E7F9C">
        <w:rPr>
          <w:color w:val="000000"/>
          <w:lang w:eastAsia="fr-FR"/>
        </w:rPr>
        <w:t> ;</w:t>
      </w:r>
    </w:p>
    <w:p w14:paraId="491CA1AB" w14:textId="61787245" w:rsidR="007E0586" w:rsidRPr="007E0586" w:rsidRDefault="00212200" w:rsidP="002B0DC1">
      <w:pPr>
        <w:ind w:left="1416"/>
        <w:jc w:val="both"/>
        <w:rPr>
          <w:color w:val="000000"/>
          <w:lang w:eastAsia="fr-FR"/>
        </w:rPr>
      </w:pPr>
      <w:r>
        <w:rPr>
          <w:color w:val="000000"/>
          <w:lang w:eastAsia="fr-FR"/>
        </w:rPr>
        <w:t>« </w:t>
      </w:r>
      <w:r w:rsidR="007E0586" w:rsidRPr="007E0586">
        <w:rPr>
          <w:color w:val="000000"/>
          <w:lang w:eastAsia="fr-FR"/>
        </w:rPr>
        <w:t>- 15 mg/</w:t>
      </w:r>
      <w:r w:rsidRPr="00212200">
        <w:rPr>
          <w:color w:val="000000"/>
          <w:lang w:eastAsia="fr-FR"/>
        </w:rPr>
        <w:t xml:space="preserve"> </w:t>
      </w:r>
      <w:r w:rsidRPr="007E0586">
        <w:rPr>
          <w:color w:val="000000"/>
          <w:lang w:eastAsia="fr-FR"/>
        </w:rPr>
        <w:t>Nm</w:t>
      </w:r>
      <w:r w:rsidRPr="00212200">
        <w:rPr>
          <w:color w:val="000000"/>
          <w:vertAlign w:val="superscript"/>
          <w:lang w:eastAsia="fr-FR"/>
        </w:rPr>
        <w:t>3</w:t>
      </w:r>
      <w:r w:rsidR="007E0586" w:rsidRPr="007E0586">
        <w:rPr>
          <w:color w:val="000000"/>
          <w:lang w:eastAsia="fr-FR"/>
        </w:rPr>
        <w:t xml:space="preserve"> dans le cas des moteurs alimentés au fioul lourd ou au fioul domestique ;</w:t>
      </w:r>
    </w:p>
    <w:p w14:paraId="6A730A70" w14:textId="7186B8A6" w:rsidR="007E0586" w:rsidRPr="007E0586" w:rsidRDefault="00212200" w:rsidP="002B0DC1">
      <w:pPr>
        <w:ind w:left="708" w:firstLine="708"/>
        <w:jc w:val="both"/>
        <w:rPr>
          <w:color w:val="000000"/>
          <w:lang w:eastAsia="fr-FR"/>
        </w:rPr>
      </w:pPr>
      <w:r>
        <w:rPr>
          <w:color w:val="000000"/>
          <w:lang w:eastAsia="fr-FR"/>
        </w:rPr>
        <w:t>« </w:t>
      </w:r>
      <w:r w:rsidR="007E0586" w:rsidRPr="007E0586">
        <w:rPr>
          <w:color w:val="000000"/>
          <w:lang w:eastAsia="fr-FR"/>
        </w:rPr>
        <w:t>- 10 mg/</w:t>
      </w:r>
      <w:r w:rsidRPr="00212200">
        <w:rPr>
          <w:color w:val="000000"/>
          <w:lang w:eastAsia="fr-FR"/>
        </w:rPr>
        <w:t xml:space="preserve"> </w:t>
      </w:r>
      <w:r w:rsidRPr="007E0586">
        <w:rPr>
          <w:color w:val="000000"/>
          <w:lang w:eastAsia="fr-FR"/>
        </w:rPr>
        <w:t>Nm</w:t>
      </w:r>
      <w:r w:rsidRPr="00212200">
        <w:rPr>
          <w:color w:val="000000"/>
          <w:vertAlign w:val="superscript"/>
          <w:lang w:eastAsia="fr-FR"/>
        </w:rPr>
        <w:t>3</w:t>
      </w:r>
      <w:r w:rsidR="007E0586" w:rsidRPr="007E0586">
        <w:rPr>
          <w:color w:val="000000"/>
          <w:lang w:eastAsia="fr-FR"/>
        </w:rPr>
        <w:t xml:space="preserve"> pour les autres appareils.</w:t>
      </w:r>
    </w:p>
    <w:p w14:paraId="5A646B6A" w14:textId="77777777" w:rsidR="007E0586" w:rsidRPr="007E0586" w:rsidRDefault="007E0586" w:rsidP="002B0DC1">
      <w:pPr>
        <w:jc w:val="both"/>
        <w:rPr>
          <w:color w:val="000000"/>
          <w:lang w:eastAsia="fr-FR"/>
        </w:rPr>
      </w:pPr>
    </w:p>
    <w:p w14:paraId="59799D98" w14:textId="3A7004CB" w:rsidR="007E0586" w:rsidRPr="007E0586" w:rsidRDefault="00212200" w:rsidP="002B0DC1">
      <w:pPr>
        <w:ind w:left="708"/>
        <w:jc w:val="both"/>
        <w:rPr>
          <w:color w:val="000000"/>
          <w:lang w:eastAsia="fr-FR"/>
        </w:rPr>
      </w:pPr>
      <w:r>
        <w:rPr>
          <w:color w:val="000000"/>
          <w:lang w:eastAsia="fr-FR"/>
        </w:rPr>
        <w:t xml:space="preserve">« - </w:t>
      </w:r>
      <w:r w:rsidR="007E0586" w:rsidRPr="007E0586">
        <w:rPr>
          <w:color w:val="000000"/>
          <w:lang w:eastAsia="fr-FR"/>
        </w:rPr>
        <w:t>pour les chaudières autorisées avant le 1</w:t>
      </w:r>
      <w:r w:rsidR="007E0586" w:rsidRPr="006E7F9C">
        <w:rPr>
          <w:color w:val="000000"/>
          <w:vertAlign w:val="superscript"/>
          <w:lang w:eastAsia="fr-FR"/>
        </w:rPr>
        <w:t>er</w:t>
      </w:r>
      <w:r w:rsidR="00710F20">
        <w:rPr>
          <w:color w:val="000000"/>
          <w:lang w:eastAsia="fr-FR"/>
        </w:rPr>
        <w:t xml:space="preserve"> </w:t>
      </w:r>
      <w:r w:rsidR="007E0586" w:rsidRPr="007E0586">
        <w:rPr>
          <w:color w:val="000000"/>
          <w:lang w:eastAsia="fr-FR"/>
        </w:rPr>
        <w:t>novembre 2010 et pour les autres appareils autorisés avant le 1</w:t>
      </w:r>
      <w:r w:rsidR="007E0586" w:rsidRPr="006E7F9C">
        <w:rPr>
          <w:color w:val="000000"/>
          <w:vertAlign w:val="superscript"/>
          <w:lang w:eastAsia="fr-FR"/>
        </w:rPr>
        <w:t>er</w:t>
      </w:r>
      <w:r w:rsidR="007E0586" w:rsidRPr="007E0586">
        <w:rPr>
          <w:color w:val="000000"/>
          <w:lang w:eastAsia="fr-FR"/>
        </w:rPr>
        <w:t xml:space="preserve"> janvier 2014, la valeur limite d'émission d'ammoniac est de :</w:t>
      </w:r>
    </w:p>
    <w:p w14:paraId="299FB320" w14:textId="40482884" w:rsidR="007E0586" w:rsidRPr="007E0586" w:rsidRDefault="00212200" w:rsidP="002B0DC1">
      <w:pPr>
        <w:ind w:left="708" w:firstLine="708"/>
        <w:jc w:val="both"/>
        <w:rPr>
          <w:color w:val="000000"/>
          <w:lang w:eastAsia="fr-FR"/>
        </w:rPr>
      </w:pPr>
      <w:r>
        <w:rPr>
          <w:color w:val="000000"/>
          <w:lang w:eastAsia="fr-FR"/>
        </w:rPr>
        <w:t>« </w:t>
      </w:r>
      <w:r w:rsidR="007E0586" w:rsidRPr="007E0586">
        <w:rPr>
          <w:color w:val="000000"/>
          <w:lang w:eastAsia="fr-FR"/>
        </w:rPr>
        <w:t>- 10 mg/</w:t>
      </w:r>
      <w:r w:rsidRPr="00212200">
        <w:rPr>
          <w:color w:val="000000"/>
          <w:lang w:eastAsia="fr-FR"/>
        </w:rPr>
        <w:t xml:space="preserve"> </w:t>
      </w:r>
      <w:r w:rsidRPr="007E0586">
        <w:rPr>
          <w:color w:val="000000"/>
          <w:lang w:eastAsia="fr-FR"/>
        </w:rPr>
        <w:t>Nm</w:t>
      </w:r>
      <w:r w:rsidRPr="00212200">
        <w:rPr>
          <w:color w:val="000000"/>
          <w:vertAlign w:val="superscript"/>
          <w:lang w:eastAsia="fr-FR"/>
        </w:rPr>
        <w:t>3</w:t>
      </w:r>
      <w:r w:rsidR="007E0586" w:rsidRPr="007E0586">
        <w:rPr>
          <w:color w:val="000000"/>
          <w:lang w:eastAsia="fr-FR"/>
        </w:rPr>
        <w:t xml:space="preserve"> pour les chaudières ;</w:t>
      </w:r>
    </w:p>
    <w:p w14:paraId="6EA7A378" w14:textId="75E3EDF7" w:rsidR="007E0586" w:rsidRPr="007E0586" w:rsidRDefault="00212200" w:rsidP="002B0DC1">
      <w:pPr>
        <w:ind w:left="1416"/>
        <w:jc w:val="both"/>
        <w:rPr>
          <w:color w:val="000000"/>
          <w:lang w:eastAsia="fr-FR"/>
        </w:rPr>
      </w:pPr>
      <w:r>
        <w:rPr>
          <w:color w:val="000000"/>
          <w:lang w:eastAsia="fr-FR"/>
        </w:rPr>
        <w:t>« </w:t>
      </w:r>
      <w:r w:rsidR="007E0586" w:rsidRPr="007E0586">
        <w:rPr>
          <w:color w:val="000000"/>
          <w:lang w:eastAsia="fr-FR"/>
        </w:rPr>
        <w:t>- 15 mg/</w:t>
      </w:r>
      <w:r w:rsidRPr="00212200">
        <w:rPr>
          <w:color w:val="000000"/>
          <w:lang w:eastAsia="fr-FR"/>
        </w:rPr>
        <w:t xml:space="preserve"> </w:t>
      </w:r>
      <w:r w:rsidRPr="007E0586">
        <w:rPr>
          <w:color w:val="000000"/>
          <w:lang w:eastAsia="fr-FR"/>
        </w:rPr>
        <w:t>Nm</w:t>
      </w:r>
      <w:r w:rsidRPr="00212200">
        <w:rPr>
          <w:color w:val="000000"/>
          <w:vertAlign w:val="superscript"/>
          <w:lang w:eastAsia="fr-FR"/>
        </w:rPr>
        <w:t>3</w:t>
      </w:r>
      <w:r w:rsidR="007E0586" w:rsidRPr="007E0586">
        <w:rPr>
          <w:color w:val="000000"/>
          <w:lang w:eastAsia="fr-FR"/>
        </w:rPr>
        <w:t xml:space="preserve"> pour les appareils brûlant de la biomasse et qui sont exploités à charge variable</w:t>
      </w:r>
      <w:r w:rsidR="006E7F9C">
        <w:rPr>
          <w:color w:val="000000"/>
          <w:lang w:eastAsia="fr-FR"/>
        </w:rPr>
        <w:t> ;</w:t>
      </w:r>
    </w:p>
    <w:p w14:paraId="3037326C" w14:textId="76FF168D" w:rsidR="007E0586" w:rsidRPr="007E0586" w:rsidRDefault="00212200" w:rsidP="002B0DC1">
      <w:pPr>
        <w:ind w:left="1416"/>
        <w:jc w:val="both"/>
        <w:rPr>
          <w:color w:val="000000"/>
          <w:lang w:eastAsia="fr-FR"/>
        </w:rPr>
      </w:pPr>
      <w:r>
        <w:rPr>
          <w:color w:val="000000"/>
          <w:lang w:eastAsia="fr-FR"/>
        </w:rPr>
        <w:t>« </w:t>
      </w:r>
      <w:r w:rsidR="007E0586" w:rsidRPr="007E0586">
        <w:rPr>
          <w:color w:val="000000"/>
          <w:lang w:eastAsia="fr-FR"/>
        </w:rPr>
        <w:t>- 15 mg/</w:t>
      </w:r>
      <w:r w:rsidRPr="007E0586">
        <w:rPr>
          <w:color w:val="000000"/>
          <w:lang w:eastAsia="fr-FR"/>
        </w:rPr>
        <w:t>Nm</w:t>
      </w:r>
      <w:r w:rsidRPr="00212200">
        <w:rPr>
          <w:color w:val="000000"/>
          <w:vertAlign w:val="superscript"/>
          <w:lang w:eastAsia="fr-FR"/>
        </w:rPr>
        <w:t>3</w:t>
      </w:r>
      <w:r w:rsidR="007E0586" w:rsidRPr="007E0586">
        <w:rPr>
          <w:color w:val="000000"/>
          <w:lang w:eastAsia="fr-FR"/>
        </w:rPr>
        <w:t xml:space="preserve"> dans le cas des moteurs alimentés au fioul lourd ou au fioul domestique ;</w:t>
      </w:r>
    </w:p>
    <w:p w14:paraId="7C628C88" w14:textId="1C6F1AFD" w:rsidR="00246793" w:rsidRDefault="00212200" w:rsidP="002B0DC1">
      <w:pPr>
        <w:ind w:left="708" w:firstLine="708"/>
        <w:jc w:val="both"/>
        <w:rPr>
          <w:color w:val="000000"/>
          <w:lang w:eastAsia="fr-FR"/>
        </w:rPr>
      </w:pPr>
      <w:r>
        <w:rPr>
          <w:color w:val="000000"/>
          <w:lang w:eastAsia="fr-FR"/>
        </w:rPr>
        <w:t>« </w:t>
      </w:r>
      <w:r w:rsidR="007E0586" w:rsidRPr="007E0586">
        <w:rPr>
          <w:color w:val="000000"/>
          <w:lang w:eastAsia="fr-FR"/>
        </w:rPr>
        <w:t>- 10 mg/</w:t>
      </w:r>
      <w:r w:rsidRPr="00212200">
        <w:rPr>
          <w:color w:val="000000"/>
          <w:lang w:eastAsia="fr-FR"/>
        </w:rPr>
        <w:t xml:space="preserve"> </w:t>
      </w:r>
      <w:r w:rsidRPr="007E0586">
        <w:rPr>
          <w:color w:val="000000"/>
          <w:lang w:eastAsia="fr-FR"/>
        </w:rPr>
        <w:t>Nm</w:t>
      </w:r>
      <w:r w:rsidRPr="00212200">
        <w:rPr>
          <w:color w:val="000000"/>
          <w:vertAlign w:val="superscript"/>
          <w:lang w:eastAsia="fr-FR"/>
        </w:rPr>
        <w:t>3</w:t>
      </w:r>
      <w:r w:rsidR="007E0586" w:rsidRPr="007E0586">
        <w:rPr>
          <w:color w:val="000000"/>
          <w:lang w:eastAsia="fr-FR"/>
        </w:rPr>
        <w:t xml:space="preserve"> pour les autres appareils.</w:t>
      </w:r>
      <w:r>
        <w:rPr>
          <w:color w:val="000000"/>
          <w:lang w:eastAsia="fr-FR"/>
        </w:rPr>
        <w:t> ».</w:t>
      </w:r>
    </w:p>
    <w:p w14:paraId="03FF848A" w14:textId="77777777" w:rsidR="00212200" w:rsidRPr="00246793" w:rsidRDefault="00212200" w:rsidP="002B0DC1">
      <w:pPr>
        <w:jc w:val="both"/>
        <w:rPr>
          <w:color w:val="000000"/>
          <w:sz w:val="21"/>
          <w:szCs w:val="21"/>
          <w:lang w:eastAsia="fr-FR"/>
        </w:rPr>
      </w:pPr>
    </w:p>
    <w:p w14:paraId="4AD92AA9" w14:textId="203BF43E" w:rsidR="00246793" w:rsidRPr="00246793" w:rsidRDefault="00246793" w:rsidP="002B0DC1">
      <w:pPr>
        <w:jc w:val="both"/>
        <w:rPr>
          <w:color w:val="000000"/>
          <w:lang w:eastAsia="fr-FR"/>
        </w:rPr>
      </w:pPr>
      <w:r>
        <w:rPr>
          <w:color w:val="000000"/>
          <w:lang w:eastAsia="fr-FR"/>
        </w:rPr>
        <w:t>« </w:t>
      </w:r>
      <w:r w:rsidRPr="00246793">
        <w:rPr>
          <w:color w:val="000000"/>
          <w:lang w:eastAsia="fr-FR"/>
        </w:rPr>
        <w:t>II. – Valeurs limites d’émission en HAP</w:t>
      </w:r>
    </w:p>
    <w:p w14:paraId="08467455" w14:textId="48FAEC34" w:rsidR="00246793" w:rsidRPr="00246793" w:rsidRDefault="00246793" w:rsidP="002B0DC1">
      <w:pPr>
        <w:jc w:val="both"/>
        <w:rPr>
          <w:color w:val="000000"/>
          <w:lang w:eastAsia="fr-FR"/>
        </w:rPr>
      </w:pPr>
      <w:r>
        <w:rPr>
          <w:color w:val="000000"/>
          <w:lang w:eastAsia="fr-FR"/>
        </w:rPr>
        <w:t>« </w:t>
      </w:r>
      <w:r w:rsidRPr="00246793">
        <w:rPr>
          <w:color w:val="000000"/>
          <w:lang w:eastAsia="fr-FR"/>
        </w:rPr>
        <w:t>Pour les chaudières autorisées à compter du 1</w:t>
      </w:r>
      <w:r w:rsidRPr="006E7F9C">
        <w:rPr>
          <w:color w:val="000000"/>
          <w:vertAlign w:val="superscript"/>
          <w:lang w:eastAsia="fr-FR"/>
        </w:rPr>
        <w:t>er</w:t>
      </w:r>
      <w:r w:rsidR="00710F20">
        <w:rPr>
          <w:color w:val="000000"/>
          <w:lang w:eastAsia="fr-FR"/>
        </w:rPr>
        <w:t xml:space="preserve"> </w:t>
      </w:r>
      <w:r w:rsidRPr="00246793">
        <w:rPr>
          <w:color w:val="000000"/>
          <w:lang w:eastAsia="fr-FR"/>
        </w:rPr>
        <w:t>novembre 2010, la valeur limite pour les HAP est 0,01 mg/Nm</w:t>
      </w:r>
      <w:r w:rsidRPr="00246793">
        <w:rPr>
          <w:color w:val="000000"/>
          <w:vertAlign w:val="superscript"/>
          <w:lang w:eastAsia="fr-FR"/>
        </w:rPr>
        <w:t>3</w:t>
      </w:r>
      <w:r w:rsidRPr="00246793">
        <w:rPr>
          <w:color w:val="000000"/>
          <w:lang w:eastAsia="fr-FR"/>
        </w:rPr>
        <w:t>.</w:t>
      </w:r>
    </w:p>
    <w:p w14:paraId="11E999AD" w14:textId="5A2AEC28" w:rsidR="00246793" w:rsidRPr="00246793" w:rsidRDefault="00246793" w:rsidP="002B0DC1">
      <w:pPr>
        <w:jc w:val="both"/>
        <w:rPr>
          <w:color w:val="000000"/>
          <w:lang w:eastAsia="fr-FR"/>
        </w:rPr>
      </w:pPr>
      <w:r>
        <w:rPr>
          <w:color w:val="000000"/>
          <w:lang w:eastAsia="fr-FR"/>
        </w:rPr>
        <w:t>« </w:t>
      </w:r>
      <w:r w:rsidRPr="00246793">
        <w:rPr>
          <w:color w:val="000000"/>
          <w:lang w:eastAsia="fr-FR"/>
        </w:rPr>
        <w:t>Pour les autres installations, la valeur limite pour les HAP est de 0,1 mg/Nm</w:t>
      </w:r>
      <w:r w:rsidRPr="00246793">
        <w:rPr>
          <w:color w:val="000000"/>
          <w:vertAlign w:val="superscript"/>
          <w:lang w:eastAsia="fr-FR"/>
        </w:rPr>
        <w:t>3</w:t>
      </w:r>
      <w:r w:rsidRPr="00246793">
        <w:rPr>
          <w:color w:val="000000"/>
          <w:lang w:eastAsia="fr-FR"/>
        </w:rPr>
        <w:t>.</w:t>
      </w:r>
    </w:p>
    <w:p w14:paraId="49B94F8C" w14:textId="77777777" w:rsidR="00246793" w:rsidRPr="00246793" w:rsidRDefault="00246793" w:rsidP="002B0DC1">
      <w:pPr>
        <w:jc w:val="both"/>
        <w:rPr>
          <w:color w:val="000000"/>
          <w:lang w:eastAsia="fr-FR"/>
        </w:rPr>
      </w:pPr>
    </w:p>
    <w:p w14:paraId="652D958F" w14:textId="63436AF7" w:rsidR="00246793" w:rsidRPr="00246793" w:rsidRDefault="00246793" w:rsidP="002B0DC1">
      <w:pPr>
        <w:jc w:val="both"/>
        <w:rPr>
          <w:color w:val="000000"/>
          <w:lang w:eastAsia="fr-FR"/>
        </w:rPr>
      </w:pPr>
      <w:r>
        <w:rPr>
          <w:color w:val="000000"/>
          <w:lang w:eastAsia="fr-FR"/>
        </w:rPr>
        <w:t>« </w:t>
      </w:r>
      <w:r w:rsidRPr="00246793">
        <w:rPr>
          <w:color w:val="000000"/>
          <w:lang w:eastAsia="fr-FR"/>
        </w:rPr>
        <w:t>III. – a) Valeurs limites d’émission en COVNM</w:t>
      </w:r>
    </w:p>
    <w:p w14:paraId="20CF77C7" w14:textId="0D1E23A5" w:rsidR="00246793" w:rsidRPr="00246793" w:rsidRDefault="00246793" w:rsidP="002B0DC1">
      <w:pPr>
        <w:jc w:val="both"/>
        <w:rPr>
          <w:color w:val="000000"/>
          <w:lang w:eastAsia="fr-FR"/>
        </w:rPr>
      </w:pPr>
      <w:r>
        <w:rPr>
          <w:color w:val="000000"/>
          <w:lang w:eastAsia="fr-FR"/>
        </w:rPr>
        <w:t>« </w:t>
      </w:r>
      <w:r w:rsidRPr="00246793">
        <w:rPr>
          <w:color w:val="000000"/>
          <w:lang w:eastAsia="fr-FR"/>
        </w:rPr>
        <w:t>Pour les chaudières autorisées à compter du 1</w:t>
      </w:r>
      <w:r w:rsidRPr="006E7F9C">
        <w:rPr>
          <w:color w:val="000000"/>
          <w:vertAlign w:val="superscript"/>
          <w:lang w:eastAsia="fr-FR"/>
        </w:rPr>
        <w:t>er</w:t>
      </w:r>
      <w:r w:rsidR="00710F20">
        <w:rPr>
          <w:color w:val="000000"/>
          <w:lang w:eastAsia="fr-FR"/>
        </w:rPr>
        <w:t xml:space="preserve"> </w:t>
      </w:r>
      <w:r w:rsidRPr="00246793">
        <w:rPr>
          <w:color w:val="000000"/>
          <w:lang w:eastAsia="fr-FR"/>
        </w:rPr>
        <w:t>novembre 2010, la valeur limite pour les COVNM est 50 mg/Nm</w:t>
      </w:r>
      <w:r w:rsidRPr="00246793">
        <w:rPr>
          <w:color w:val="000000"/>
          <w:vertAlign w:val="superscript"/>
          <w:lang w:eastAsia="fr-FR"/>
        </w:rPr>
        <w:t>3</w:t>
      </w:r>
      <w:r w:rsidRPr="00246793">
        <w:rPr>
          <w:color w:val="000000"/>
          <w:lang w:eastAsia="fr-FR"/>
        </w:rPr>
        <w:t> en carbone total.</w:t>
      </w:r>
    </w:p>
    <w:p w14:paraId="5232C530" w14:textId="482DF5B3" w:rsidR="00246793" w:rsidRPr="00246793" w:rsidRDefault="00246793" w:rsidP="002B0DC1">
      <w:pPr>
        <w:jc w:val="both"/>
        <w:rPr>
          <w:color w:val="000000"/>
          <w:lang w:eastAsia="fr-FR"/>
        </w:rPr>
      </w:pPr>
      <w:r>
        <w:rPr>
          <w:color w:val="000000"/>
          <w:lang w:eastAsia="fr-FR"/>
        </w:rPr>
        <w:t>« </w:t>
      </w:r>
      <w:r w:rsidRPr="00246793">
        <w:rPr>
          <w:color w:val="000000"/>
          <w:lang w:eastAsia="fr-FR"/>
        </w:rPr>
        <w:t>Pour les autres chaudières, la valeur limite pour les COVNM est de 110 mg/Nm</w:t>
      </w:r>
      <w:r w:rsidRPr="00246793">
        <w:rPr>
          <w:color w:val="000000"/>
          <w:vertAlign w:val="superscript"/>
          <w:lang w:eastAsia="fr-FR"/>
        </w:rPr>
        <w:t>3</w:t>
      </w:r>
      <w:r w:rsidRPr="00246793">
        <w:rPr>
          <w:color w:val="000000"/>
          <w:lang w:eastAsia="fr-FR"/>
        </w:rPr>
        <w:t> en carbone total.</w:t>
      </w:r>
      <w:r w:rsidRPr="00246793">
        <w:rPr>
          <w:color w:val="000000"/>
          <w:lang w:eastAsia="fr-FR"/>
        </w:rPr>
        <w:br/>
      </w:r>
    </w:p>
    <w:p w14:paraId="00C3AF9D" w14:textId="57C78C3C" w:rsidR="00246793" w:rsidRPr="00246793" w:rsidRDefault="00246793" w:rsidP="002B0DC1">
      <w:pPr>
        <w:jc w:val="both"/>
        <w:rPr>
          <w:color w:val="000000"/>
          <w:lang w:eastAsia="fr-FR"/>
        </w:rPr>
      </w:pPr>
      <w:r>
        <w:rPr>
          <w:color w:val="000000"/>
          <w:lang w:eastAsia="fr-FR"/>
        </w:rPr>
        <w:t>« </w:t>
      </w:r>
      <w:proofErr w:type="gramStart"/>
      <w:r w:rsidRPr="00246793">
        <w:rPr>
          <w:color w:val="000000"/>
          <w:lang w:eastAsia="fr-FR"/>
        </w:rPr>
        <w:t>b</w:t>
      </w:r>
      <w:proofErr w:type="gramEnd"/>
      <w:r w:rsidRPr="00246793">
        <w:rPr>
          <w:color w:val="000000"/>
          <w:lang w:eastAsia="fr-FR"/>
        </w:rPr>
        <w:t>) Valeurs limites d’émission en COVT</w:t>
      </w:r>
    </w:p>
    <w:p w14:paraId="6E34C019" w14:textId="1A4FE16A" w:rsidR="00246793" w:rsidRPr="00246793" w:rsidRDefault="00246793" w:rsidP="002B0DC1">
      <w:pPr>
        <w:jc w:val="both"/>
        <w:rPr>
          <w:color w:val="000000"/>
          <w:lang w:eastAsia="fr-FR"/>
        </w:rPr>
      </w:pPr>
      <w:r>
        <w:rPr>
          <w:color w:val="000000"/>
          <w:lang w:eastAsia="fr-FR"/>
        </w:rPr>
        <w:t>« </w:t>
      </w:r>
      <w:r w:rsidRPr="00246793">
        <w:rPr>
          <w:color w:val="000000"/>
          <w:lang w:eastAsia="fr-FR"/>
        </w:rPr>
        <w:t>Pour les chaudières de puissance thermique nominale supérieure ou égale à 15 MW et utilisant des combustibles issus à 100</w:t>
      </w:r>
      <w:r w:rsidR="00BE0814">
        <w:rPr>
          <w:color w:val="000000"/>
          <w:lang w:eastAsia="fr-FR"/>
        </w:rPr>
        <w:t xml:space="preserve"> </w:t>
      </w:r>
      <w:r w:rsidRPr="00246793">
        <w:rPr>
          <w:color w:val="000000"/>
          <w:lang w:eastAsia="fr-FR"/>
        </w:rPr>
        <w:t xml:space="preserve">% de procédés de l’industrie chimique, la valeur limite d’émission en COVT (COV total) est de </w:t>
      </w:r>
      <w:r w:rsidRPr="00246793">
        <w:rPr>
          <w:color w:val="000000"/>
          <w:shd w:val="clear" w:color="auto" w:fill="E2EFD9" w:themeFill="accent6" w:themeFillTint="33"/>
          <w:lang w:eastAsia="fr-FR"/>
        </w:rPr>
        <w:t>12 mg/Nm</w:t>
      </w:r>
      <w:r w:rsidRPr="00246793">
        <w:rPr>
          <w:color w:val="000000"/>
          <w:shd w:val="clear" w:color="auto" w:fill="E2EFD9" w:themeFill="accent6" w:themeFillTint="33"/>
          <w:vertAlign w:val="superscript"/>
          <w:lang w:eastAsia="fr-FR"/>
        </w:rPr>
        <w:t>3</w:t>
      </w:r>
      <w:r w:rsidRPr="00246793">
        <w:rPr>
          <w:color w:val="000000"/>
          <w:lang w:eastAsia="fr-FR"/>
        </w:rPr>
        <w:t xml:space="preserve">. Cette valeur est applicable dans les délais mentionnés </w:t>
      </w:r>
      <w:r w:rsidR="00D9011B">
        <w:rPr>
          <w:color w:val="000000"/>
          <w:lang w:eastAsia="fr-FR"/>
        </w:rPr>
        <w:t>au VII de l’article 3</w:t>
      </w:r>
      <w:r w:rsidRPr="00246793">
        <w:rPr>
          <w:color w:val="000000"/>
          <w:lang w:eastAsia="fr-FR"/>
        </w:rPr>
        <w:t xml:space="preserve"> du présent arrêté. Dans ce cas, la valeur limite d’émission en COVNM </w:t>
      </w:r>
      <w:r w:rsidR="00C752D4">
        <w:rPr>
          <w:color w:val="000000"/>
          <w:lang w:eastAsia="fr-FR"/>
        </w:rPr>
        <w:t xml:space="preserve">du point a) </w:t>
      </w:r>
      <w:r w:rsidRPr="00246793">
        <w:rPr>
          <w:color w:val="000000"/>
          <w:lang w:eastAsia="fr-FR"/>
        </w:rPr>
        <w:t>ne s’applique pas.</w:t>
      </w:r>
    </w:p>
    <w:p w14:paraId="78BA6369" w14:textId="77777777" w:rsidR="00246793" w:rsidRPr="00246793" w:rsidRDefault="00246793" w:rsidP="002B0DC1">
      <w:pPr>
        <w:jc w:val="both"/>
        <w:rPr>
          <w:color w:val="000000"/>
          <w:lang w:eastAsia="fr-FR"/>
        </w:rPr>
      </w:pPr>
    </w:p>
    <w:p w14:paraId="2184A0EB" w14:textId="1D6902C5" w:rsidR="00246793" w:rsidRPr="00246793" w:rsidRDefault="00246793" w:rsidP="002B0DC1">
      <w:pPr>
        <w:jc w:val="both"/>
        <w:rPr>
          <w:color w:val="000000"/>
          <w:lang w:eastAsia="fr-FR"/>
        </w:rPr>
      </w:pPr>
      <w:r>
        <w:rPr>
          <w:color w:val="000000"/>
          <w:lang w:eastAsia="fr-FR"/>
        </w:rPr>
        <w:t>« </w:t>
      </w:r>
      <w:proofErr w:type="gramStart"/>
      <w:r w:rsidRPr="00246793">
        <w:rPr>
          <w:color w:val="000000"/>
          <w:lang w:eastAsia="fr-FR"/>
        </w:rPr>
        <w:t>c</w:t>
      </w:r>
      <w:proofErr w:type="gramEnd"/>
      <w:r w:rsidRPr="00246793">
        <w:rPr>
          <w:color w:val="000000"/>
          <w:lang w:eastAsia="fr-FR"/>
        </w:rPr>
        <w:t>) Valeurs limites d’émission spécifiques aux moteurs (formaldéhyde et CH</w:t>
      </w:r>
      <w:r w:rsidRPr="006B4968">
        <w:rPr>
          <w:color w:val="000000"/>
          <w:vertAlign w:val="subscript"/>
          <w:lang w:eastAsia="fr-FR"/>
        </w:rPr>
        <w:t>4</w:t>
      </w:r>
      <w:r w:rsidRPr="00246793">
        <w:rPr>
          <w:color w:val="000000"/>
          <w:lang w:eastAsia="fr-FR"/>
        </w:rPr>
        <w:t>)</w:t>
      </w:r>
    </w:p>
    <w:p w14:paraId="781E0EE4" w14:textId="7677DEEA" w:rsidR="00246793" w:rsidRPr="00246793" w:rsidRDefault="00246793" w:rsidP="002B0DC1">
      <w:pPr>
        <w:jc w:val="both"/>
        <w:rPr>
          <w:color w:val="000000"/>
          <w:lang w:eastAsia="fr-FR"/>
        </w:rPr>
      </w:pPr>
      <w:r>
        <w:rPr>
          <w:color w:val="000000"/>
          <w:lang w:eastAsia="fr-FR"/>
        </w:rPr>
        <w:t>« </w:t>
      </w:r>
      <w:r w:rsidRPr="00246793">
        <w:rPr>
          <w:color w:val="000000"/>
          <w:lang w:eastAsia="fr-FR"/>
        </w:rPr>
        <w:t>Pour les moteurs, la valeur limite en formaldéhyde est de 15 mg/Nm</w:t>
      </w:r>
      <w:r w:rsidRPr="00246793">
        <w:rPr>
          <w:color w:val="000000"/>
          <w:vertAlign w:val="superscript"/>
          <w:lang w:eastAsia="fr-FR"/>
        </w:rPr>
        <w:t>3</w:t>
      </w:r>
      <w:r w:rsidRPr="00246793">
        <w:rPr>
          <w:color w:val="000000"/>
          <w:lang w:eastAsia="fr-FR"/>
        </w:rPr>
        <w:t>.</w:t>
      </w:r>
    </w:p>
    <w:p w14:paraId="342E3185" w14:textId="77777777" w:rsidR="00246793" w:rsidRPr="00246793" w:rsidRDefault="00246793" w:rsidP="002B0DC1">
      <w:pPr>
        <w:jc w:val="both"/>
        <w:rPr>
          <w:color w:val="000000"/>
          <w:lang w:eastAsia="fr-FR"/>
        </w:rPr>
      </w:pPr>
    </w:p>
    <w:p w14:paraId="6B2E9C59" w14:textId="57281A71" w:rsidR="00246793" w:rsidRPr="00246793" w:rsidRDefault="00246793" w:rsidP="002B0DC1">
      <w:pPr>
        <w:jc w:val="both"/>
        <w:rPr>
          <w:lang w:eastAsia="fr-FR"/>
        </w:rPr>
      </w:pPr>
      <w:r>
        <w:rPr>
          <w:color w:val="000000"/>
          <w:lang w:eastAsia="fr-FR"/>
        </w:rPr>
        <w:t>« </w:t>
      </w:r>
      <w:r w:rsidRPr="00246793">
        <w:rPr>
          <w:color w:val="000000"/>
          <w:lang w:eastAsia="fr-FR"/>
        </w:rPr>
        <w:t xml:space="preserve">Pour les moteurs à allumage par étincelle à mélange pauvre, de puissance thermique nominale supérieure ou égale à 15 MW, la valeur limite d’émission </w:t>
      </w:r>
      <w:r w:rsidRPr="00246793">
        <w:rPr>
          <w:lang w:eastAsia="fr-FR"/>
        </w:rPr>
        <w:t>en CH</w:t>
      </w:r>
      <w:r w:rsidRPr="00246793">
        <w:rPr>
          <w:vertAlign w:val="subscript"/>
          <w:lang w:eastAsia="fr-FR"/>
        </w:rPr>
        <w:t>4</w:t>
      </w:r>
      <w:r w:rsidRPr="00246793">
        <w:rPr>
          <w:lang w:eastAsia="fr-FR"/>
        </w:rPr>
        <w:t xml:space="preserve"> est la suivante, dans les délais mentionnés </w:t>
      </w:r>
      <w:r w:rsidR="00D9011B">
        <w:rPr>
          <w:lang w:eastAsia="fr-FR"/>
        </w:rPr>
        <w:t>au VII de l’article 3</w:t>
      </w:r>
      <w:r w:rsidRPr="00246793">
        <w:rPr>
          <w:lang w:eastAsia="fr-FR"/>
        </w:rPr>
        <w:t> :</w:t>
      </w:r>
    </w:p>
    <w:p w14:paraId="7630E4C9" w14:textId="74700462" w:rsidR="00246793" w:rsidRPr="00246793" w:rsidRDefault="00246793" w:rsidP="002B0DC1">
      <w:pPr>
        <w:pStyle w:val="Paragraphedeliste"/>
        <w:spacing w:after="0" w:line="240" w:lineRule="auto"/>
        <w:jc w:val="both"/>
        <w:rPr>
          <w:rFonts w:ascii="Times New Roman" w:eastAsia="Times New Roman" w:hAnsi="Times New Roman"/>
          <w:sz w:val="24"/>
          <w:szCs w:val="24"/>
        </w:rPr>
      </w:pPr>
      <w:r w:rsidRPr="00246793">
        <w:rPr>
          <w:rFonts w:ascii="Times New Roman" w:eastAsia="Times New Roman" w:hAnsi="Times New Roman"/>
          <w:sz w:val="24"/>
          <w:szCs w:val="24"/>
          <w:shd w:val="clear" w:color="auto" w:fill="E2EFD9" w:themeFill="accent6" w:themeFillTint="33"/>
        </w:rPr>
        <w:t>« - 500 mg/Nm</w:t>
      </w:r>
      <w:r w:rsidRPr="00246793">
        <w:rPr>
          <w:rFonts w:ascii="Times New Roman" w:eastAsia="Times New Roman" w:hAnsi="Times New Roman"/>
          <w:sz w:val="24"/>
          <w:szCs w:val="24"/>
          <w:shd w:val="clear" w:color="auto" w:fill="E2EFD9" w:themeFill="accent6" w:themeFillTint="33"/>
          <w:vertAlign w:val="superscript"/>
        </w:rPr>
        <w:t>3</w:t>
      </w:r>
      <w:r w:rsidRPr="00246793">
        <w:rPr>
          <w:rFonts w:ascii="Times New Roman" w:eastAsia="Times New Roman" w:hAnsi="Times New Roman"/>
          <w:sz w:val="24"/>
          <w:szCs w:val="24"/>
        </w:rPr>
        <w:t xml:space="preserve">, exprimé en C à pleine charge pour les moteurs </w:t>
      </w:r>
      <w:bookmarkStart w:id="26" w:name="_Hlk177745508"/>
      <w:r w:rsidR="00461C24" w:rsidRPr="00461C24">
        <w:rPr>
          <w:rFonts w:ascii="Times New Roman" w:eastAsia="Times New Roman" w:hAnsi="Times New Roman"/>
          <w:bCs/>
          <w:sz w:val="24"/>
          <w:szCs w:val="24"/>
        </w:rPr>
        <w:t>dont l’autorisation a été délivrée</w:t>
      </w:r>
      <w:bookmarkEnd w:id="26"/>
      <w:r w:rsidR="00461C24" w:rsidRPr="00461C24">
        <w:rPr>
          <w:rFonts w:ascii="Times New Roman" w:eastAsia="Times New Roman" w:hAnsi="Times New Roman"/>
          <w:bCs/>
          <w:sz w:val="24"/>
          <w:szCs w:val="24"/>
        </w:rPr>
        <w:t xml:space="preserve"> </w:t>
      </w:r>
      <w:r w:rsidR="006B21BB">
        <w:rPr>
          <w:rFonts w:ascii="Times New Roman" w:eastAsia="Times New Roman" w:hAnsi="Times New Roman"/>
          <w:bCs/>
          <w:sz w:val="24"/>
          <w:szCs w:val="24"/>
        </w:rPr>
        <w:t>à compter du</w:t>
      </w:r>
      <w:r w:rsidR="00C752D4" w:rsidRPr="00C752D4">
        <w:rPr>
          <w:rFonts w:ascii="Times New Roman" w:eastAsia="Times New Roman" w:hAnsi="Times New Roman"/>
          <w:bCs/>
          <w:sz w:val="24"/>
          <w:szCs w:val="24"/>
        </w:rPr>
        <w:t xml:space="preserve"> 17 août 2017</w:t>
      </w:r>
      <w:r w:rsidRPr="00246793">
        <w:rPr>
          <w:rFonts w:ascii="Times New Roman" w:eastAsia="Times New Roman" w:hAnsi="Times New Roman"/>
          <w:sz w:val="24"/>
          <w:szCs w:val="24"/>
        </w:rPr>
        <w:t> ;</w:t>
      </w:r>
    </w:p>
    <w:p w14:paraId="4CC5E6EF" w14:textId="1CA6C715" w:rsidR="00246793" w:rsidRPr="00246793" w:rsidRDefault="00246793" w:rsidP="002B0DC1">
      <w:pPr>
        <w:pStyle w:val="Paragraphedeliste"/>
        <w:spacing w:after="0" w:line="240" w:lineRule="auto"/>
        <w:jc w:val="both"/>
        <w:rPr>
          <w:rFonts w:ascii="Times New Roman" w:eastAsia="Times New Roman" w:hAnsi="Times New Roman"/>
          <w:sz w:val="24"/>
          <w:szCs w:val="24"/>
        </w:rPr>
      </w:pPr>
      <w:r w:rsidRPr="00246793">
        <w:rPr>
          <w:rFonts w:ascii="Times New Roman" w:eastAsia="Times New Roman" w:hAnsi="Times New Roman"/>
          <w:sz w:val="24"/>
          <w:szCs w:val="24"/>
          <w:shd w:val="clear" w:color="auto" w:fill="E2EFD9" w:themeFill="accent6" w:themeFillTint="33"/>
        </w:rPr>
        <w:t>« - 560 mg/Nm</w:t>
      </w:r>
      <w:r w:rsidRPr="00246793">
        <w:rPr>
          <w:rFonts w:ascii="Times New Roman" w:eastAsia="Times New Roman" w:hAnsi="Times New Roman"/>
          <w:sz w:val="24"/>
          <w:szCs w:val="24"/>
          <w:shd w:val="clear" w:color="auto" w:fill="E2EFD9" w:themeFill="accent6" w:themeFillTint="33"/>
          <w:vertAlign w:val="superscript"/>
        </w:rPr>
        <w:t>3</w:t>
      </w:r>
      <w:r w:rsidRPr="00246793">
        <w:rPr>
          <w:rFonts w:ascii="Times New Roman" w:eastAsia="Times New Roman" w:hAnsi="Times New Roman"/>
          <w:sz w:val="24"/>
          <w:szCs w:val="24"/>
        </w:rPr>
        <w:t xml:space="preserve"> exprimé en C à pleine charge, pour les autres moteurs.</w:t>
      </w:r>
    </w:p>
    <w:p w14:paraId="5F3938A9" w14:textId="5B0C8A9F" w:rsidR="00246793" w:rsidRPr="00246793" w:rsidRDefault="00246793" w:rsidP="002B0DC1">
      <w:pPr>
        <w:jc w:val="both"/>
        <w:rPr>
          <w:color w:val="000000"/>
          <w:lang w:eastAsia="fr-FR"/>
        </w:rPr>
      </w:pPr>
      <w:r w:rsidRPr="00246793">
        <w:rPr>
          <w:color w:val="000000"/>
          <w:lang w:eastAsia="fr-FR"/>
        </w:rPr>
        <w:br/>
      </w:r>
      <w:r>
        <w:rPr>
          <w:color w:val="000000"/>
          <w:lang w:eastAsia="fr-FR"/>
        </w:rPr>
        <w:t>« </w:t>
      </w:r>
      <w:r w:rsidRPr="00246793">
        <w:rPr>
          <w:color w:val="000000"/>
          <w:lang w:eastAsia="fr-FR"/>
        </w:rPr>
        <w:t xml:space="preserve">IV. – Valeurs limites d’émission en </w:t>
      </w:r>
      <w:proofErr w:type="spellStart"/>
      <w:r w:rsidRPr="00246793">
        <w:rPr>
          <w:color w:val="000000"/>
          <w:lang w:eastAsia="fr-FR"/>
        </w:rPr>
        <w:t>HCl</w:t>
      </w:r>
      <w:proofErr w:type="spellEnd"/>
      <w:r w:rsidRPr="00246793">
        <w:rPr>
          <w:color w:val="000000"/>
          <w:lang w:eastAsia="fr-FR"/>
        </w:rPr>
        <w:t xml:space="preserve"> et HF</w:t>
      </w:r>
    </w:p>
    <w:p w14:paraId="313FA36E" w14:textId="77777777" w:rsidR="00246793" w:rsidRPr="00246793" w:rsidRDefault="00246793" w:rsidP="002B0DC1">
      <w:pPr>
        <w:jc w:val="both"/>
        <w:rPr>
          <w:color w:val="000000"/>
          <w:lang w:eastAsia="fr-FR"/>
        </w:rPr>
      </w:pPr>
    </w:p>
    <w:p w14:paraId="716D8C59" w14:textId="55B9B1FD" w:rsidR="00246793" w:rsidRPr="00246793" w:rsidRDefault="00246793" w:rsidP="002B0DC1">
      <w:pPr>
        <w:jc w:val="both"/>
        <w:rPr>
          <w:color w:val="000000"/>
          <w:lang w:eastAsia="fr-FR"/>
        </w:rPr>
      </w:pPr>
      <w:r>
        <w:rPr>
          <w:color w:val="000000"/>
          <w:lang w:eastAsia="fr-FR"/>
        </w:rPr>
        <w:t>« </w:t>
      </w:r>
      <w:proofErr w:type="gramStart"/>
      <w:r w:rsidRPr="00246793">
        <w:rPr>
          <w:color w:val="000000"/>
          <w:lang w:eastAsia="fr-FR"/>
        </w:rPr>
        <w:t>a</w:t>
      </w:r>
      <w:proofErr w:type="gramEnd"/>
      <w:r w:rsidRPr="00246793">
        <w:rPr>
          <w:color w:val="000000"/>
          <w:lang w:eastAsia="fr-FR"/>
        </w:rPr>
        <w:t>) Les dispositions du présent point s’appliquent :</w:t>
      </w:r>
    </w:p>
    <w:p w14:paraId="12AE26EC" w14:textId="743C63CE" w:rsidR="00246793" w:rsidRPr="00246793" w:rsidRDefault="00246793" w:rsidP="002B0DC1">
      <w:pPr>
        <w:ind w:left="708"/>
        <w:jc w:val="both"/>
        <w:rPr>
          <w:color w:val="000000"/>
          <w:lang w:eastAsia="fr-FR"/>
        </w:rPr>
      </w:pPr>
      <w:r>
        <w:rPr>
          <w:color w:val="000000"/>
          <w:lang w:eastAsia="fr-FR"/>
        </w:rPr>
        <w:t>« </w:t>
      </w:r>
      <w:r w:rsidRPr="00246793">
        <w:rPr>
          <w:color w:val="000000"/>
          <w:lang w:eastAsia="fr-FR"/>
        </w:rPr>
        <w:t xml:space="preserve">- aux appareils de </w:t>
      </w:r>
      <w:r w:rsidR="006B4968">
        <w:rPr>
          <w:color w:val="000000"/>
          <w:lang w:eastAsia="fr-FR"/>
        </w:rPr>
        <w:t>puissance thermique inférieure à</w:t>
      </w:r>
      <w:r w:rsidRPr="00246793">
        <w:rPr>
          <w:color w:val="000000"/>
          <w:lang w:eastAsia="fr-FR"/>
        </w:rPr>
        <w:t xml:space="preserve"> 15 MW ;</w:t>
      </w:r>
    </w:p>
    <w:p w14:paraId="3E17F77D" w14:textId="2A77CE64" w:rsidR="00246793" w:rsidRPr="00246793" w:rsidRDefault="00246793" w:rsidP="002B0DC1">
      <w:pPr>
        <w:ind w:left="708"/>
        <w:jc w:val="both"/>
        <w:rPr>
          <w:color w:val="000000"/>
          <w:lang w:eastAsia="fr-FR"/>
        </w:rPr>
      </w:pPr>
      <w:r>
        <w:rPr>
          <w:color w:val="000000"/>
          <w:lang w:eastAsia="fr-FR"/>
        </w:rPr>
        <w:t>« </w:t>
      </w:r>
      <w:r w:rsidRPr="00246793">
        <w:rPr>
          <w:color w:val="000000"/>
          <w:lang w:eastAsia="fr-FR"/>
        </w:rPr>
        <w:t>- aux fours et réchauffeurs industriels indirects ;</w:t>
      </w:r>
    </w:p>
    <w:p w14:paraId="387E4263" w14:textId="50F77EA6" w:rsidR="00246793" w:rsidRPr="00246793" w:rsidRDefault="00246793" w:rsidP="002B0DC1">
      <w:pPr>
        <w:ind w:left="708"/>
        <w:jc w:val="both"/>
        <w:rPr>
          <w:color w:val="000000"/>
          <w:lang w:eastAsia="fr-FR"/>
        </w:rPr>
      </w:pPr>
      <w:r>
        <w:rPr>
          <w:color w:val="000000"/>
          <w:lang w:eastAsia="fr-FR"/>
        </w:rPr>
        <w:t>« </w:t>
      </w:r>
      <w:r w:rsidRPr="00246793">
        <w:rPr>
          <w:color w:val="000000"/>
          <w:lang w:eastAsia="fr-FR"/>
        </w:rPr>
        <w:t xml:space="preserve">- aux appareils pour lesquels les délais mentionnés </w:t>
      </w:r>
      <w:r w:rsidR="00D9011B">
        <w:rPr>
          <w:color w:val="000000"/>
          <w:lang w:eastAsia="fr-FR"/>
        </w:rPr>
        <w:t>au VII de l’article 3</w:t>
      </w:r>
      <w:r w:rsidRPr="00246793">
        <w:rPr>
          <w:color w:val="000000"/>
          <w:lang w:eastAsia="fr-FR"/>
        </w:rPr>
        <w:t xml:space="preserve"> du présent arrêté ne sont pas encore échus ;</w:t>
      </w:r>
    </w:p>
    <w:p w14:paraId="5EC5B0D8" w14:textId="77777777" w:rsidR="00246793" w:rsidRPr="00246793" w:rsidRDefault="00246793" w:rsidP="002B0DC1">
      <w:pPr>
        <w:jc w:val="both"/>
        <w:rPr>
          <w:color w:val="000000"/>
          <w:lang w:eastAsia="fr-FR"/>
        </w:rPr>
      </w:pPr>
    </w:p>
    <w:p w14:paraId="611E4959" w14:textId="0C1A8BD8" w:rsidR="00246793" w:rsidRDefault="00246793" w:rsidP="002B0DC1">
      <w:pPr>
        <w:jc w:val="both"/>
        <w:rPr>
          <w:color w:val="000000"/>
          <w:lang w:eastAsia="fr-FR"/>
        </w:rPr>
      </w:pPr>
      <w:r>
        <w:rPr>
          <w:color w:val="000000"/>
          <w:lang w:eastAsia="fr-FR"/>
        </w:rPr>
        <w:t>« </w:t>
      </w:r>
      <w:r w:rsidRPr="00246793">
        <w:rPr>
          <w:color w:val="000000"/>
          <w:lang w:eastAsia="fr-FR"/>
        </w:rPr>
        <w:t>Pour les chaudières autorisées à compter du 1</w:t>
      </w:r>
      <w:r w:rsidRPr="00D23B3A">
        <w:rPr>
          <w:color w:val="000000"/>
          <w:vertAlign w:val="superscript"/>
          <w:lang w:eastAsia="fr-FR"/>
        </w:rPr>
        <w:t>er</w:t>
      </w:r>
      <w:r w:rsidR="006377B2">
        <w:rPr>
          <w:color w:val="000000"/>
          <w:lang w:eastAsia="fr-FR"/>
        </w:rPr>
        <w:t xml:space="preserve"> </w:t>
      </w:r>
      <w:r w:rsidRPr="00246793">
        <w:rPr>
          <w:color w:val="000000"/>
          <w:lang w:eastAsia="fr-FR"/>
        </w:rPr>
        <w:t xml:space="preserve">novembre 2010 utilisant un combustible solide, les valeurs limites d'émission en </w:t>
      </w:r>
      <w:proofErr w:type="spellStart"/>
      <w:r w:rsidRPr="00246793">
        <w:rPr>
          <w:color w:val="000000"/>
          <w:lang w:eastAsia="fr-FR"/>
        </w:rPr>
        <w:t>HCl</w:t>
      </w:r>
      <w:proofErr w:type="spellEnd"/>
      <w:r w:rsidRPr="00246793">
        <w:rPr>
          <w:color w:val="000000"/>
          <w:lang w:eastAsia="fr-FR"/>
        </w:rPr>
        <w:t xml:space="preserve"> et HF sont les suivantes :</w:t>
      </w:r>
    </w:p>
    <w:p w14:paraId="3053961A" w14:textId="63B95C7A" w:rsidR="003C50B7" w:rsidRPr="00D23B3A" w:rsidRDefault="00246793" w:rsidP="002B0DC1">
      <w:pPr>
        <w:ind w:left="708"/>
        <w:jc w:val="both"/>
        <w:rPr>
          <w:color w:val="000000"/>
          <w:lang w:val="en-GB" w:eastAsia="fr-FR"/>
        </w:rPr>
      </w:pPr>
      <w:r w:rsidRPr="00801303">
        <w:rPr>
          <w:color w:val="000000"/>
          <w:lang w:val="en-GB" w:eastAsia="fr-FR"/>
        </w:rPr>
        <w:t xml:space="preserve">« - </w:t>
      </w:r>
      <w:proofErr w:type="gramStart"/>
      <w:r w:rsidRPr="00801303">
        <w:rPr>
          <w:color w:val="000000"/>
          <w:lang w:val="en-GB" w:eastAsia="fr-FR"/>
        </w:rPr>
        <w:t>HCl :</w:t>
      </w:r>
      <w:proofErr w:type="gramEnd"/>
      <w:r w:rsidR="003C50B7" w:rsidRPr="00801303">
        <w:rPr>
          <w:color w:val="000000"/>
          <w:lang w:val="en-GB" w:eastAsia="fr-FR"/>
        </w:rPr>
        <w:t xml:space="preserve"> 10</w:t>
      </w:r>
      <w:r w:rsidR="003C50B7" w:rsidRPr="00246793">
        <w:rPr>
          <w:color w:val="000000"/>
          <w:lang w:val="en-GB" w:eastAsia="fr-FR"/>
        </w:rPr>
        <w:t xml:space="preserve"> mg/Nm</w:t>
      </w:r>
      <w:r w:rsidR="003C50B7" w:rsidRPr="00246793">
        <w:rPr>
          <w:color w:val="000000"/>
          <w:vertAlign w:val="superscript"/>
          <w:lang w:val="en-GB" w:eastAsia="fr-FR"/>
        </w:rPr>
        <w:t>3</w:t>
      </w:r>
      <w:r w:rsidR="00D23B3A">
        <w:rPr>
          <w:color w:val="000000"/>
          <w:vertAlign w:val="superscript"/>
          <w:lang w:val="en-GB" w:eastAsia="fr-FR"/>
        </w:rPr>
        <w:t xml:space="preserve"> </w:t>
      </w:r>
      <w:r w:rsidR="00D23B3A">
        <w:rPr>
          <w:color w:val="000000"/>
          <w:lang w:val="en-GB" w:eastAsia="fr-FR"/>
        </w:rPr>
        <w:t>;</w:t>
      </w:r>
    </w:p>
    <w:p w14:paraId="63E70726" w14:textId="591D9B92" w:rsidR="00246793" w:rsidRPr="00D23B3A" w:rsidRDefault="003C50B7" w:rsidP="002B0DC1">
      <w:pPr>
        <w:ind w:left="708"/>
        <w:jc w:val="both"/>
        <w:rPr>
          <w:color w:val="000000"/>
          <w:lang w:val="en-GB" w:eastAsia="fr-FR"/>
        </w:rPr>
      </w:pPr>
      <w:r w:rsidRPr="00801303">
        <w:rPr>
          <w:color w:val="000000"/>
          <w:lang w:val="en-GB" w:eastAsia="fr-FR"/>
        </w:rPr>
        <w:t xml:space="preserve">« - </w:t>
      </w:r>
      <w:proofErr w:type="gramStart"/>
      <w:r w:rsidRPr="00801303">
        <w:rPr>
          <w:color w:val="000000"/>
          <w:lang w:val="en-GB" w:eastAsia="fr-FR"/>
        </w:rPr>
        <w:t>HF :</w:t>
      </w:r>
      <w:proofErr w:type="gramEnd"/>
      <w:r w:rsidR="00246793" w:rsidRPr="00246793">
        <w:rPr>
          <w:color w:val="000000"/>
          <w:lang w:val="en-GB" w:eastAsia="fr-FR"/>
        </w:rPr>
        <w:t xml:space="preserve"> </w:t>
      </w:r>
      <w:r>
        <w:rPr>
          <w:color w:val="000000"/>
          <w:lang w:val="en-GB" w:eastAsia="fr-FR"/>
        </w:rPr>
        <w:t>5</w:t>
      </w:r>
      <w:r w:rsidR="00246793" w:rsidRPr="00246793">
        <w:rPr>
          <w:color w:val="000000"/>
          <w:lang w:val="en-GB" w:eastAsia="fr-FR"/>
        </w:rPr>
        <w:t xml:space="preserve"> mg/Nm</w:t>
      </w:r>
      <w:r w:rsidR="00246793" w:rsidRPr="00246793">
        <w:rPr>
          <w:color w:val="000000"/>
          <w:vertAlign w:val="superscript"/>
          <w:lang w:val="en-GB" w:eastAsia="fr-FR"/>
        </w:rPr>
        <w:t>3</w:t>
      </w:r>
      <w:r w:rsidR="00D23B3A">
        <w:rPr>
          <w:color w:val="000000"/>
          <w:lang w:val="en-GB" w:eastAsia="fr-FR"/>
        </w:rPr>
        <w:t>.</w:t>
      </w:r>
    </w:p>
    <w:p w14:paraId="66D4E690" w14:textId="184BAB63" w:rsidR="00246793" w:rsidRPr="00246793" w:rsidRDefault="003C50B7" w:rsidP="002B0DC1">
      <w:pPr>
        <w:spacing w:after="240"/>
        <w:jc w:val="both"/>
        <w:rPr>
          <w:color w:val="000000"/>
          <w:lang w:eastAsia="fr-FR"/>
        </w:rPr>
      </w:pPr>
      <w:r>
        <w:rPr>
          <w:color w:val="000000"/>
          <w:lang w:eastAsia="fr-FR"/>
        </w:rPr>
        <w:t xml:space="preserve">« </w:t>
      </w:r>
      <w:r w:rsidR="00246793" w:rsidRPr="00246793">
        <w:rPr>
          <w:color w:val="000000"/>
          <w:lang w:eastAsia="fr-FR"/>
        </w:rPr>
        <w:t>Ces valeurs peuvent être adaptées par le préfet sur la base d'éléments technico-économiques fournis par l'exploitant montrant l'impossibilité d'atteindre ces valeurs en raison du combustible ou de la technologie de combustion utilisés, des performances des meilleures techniques disponibles et des contraintes liées à l'environnement local afin de garantir la protection des intérêts mentionnés à l'</w:t>
      </w:r>
      <w:hyperlink r:id="rId11" w:tooltip="Code de l" w:history="1">
        <w:r w:rsidR="00246793" w:rsidRPr="00246793">
          <w:rPr>
            <w:color w:val="4A5E81"/>
            <w:u w:val="single"/>
            <w:lang w:eastAsia="fr-FR"/>
          </w:rPr>
          <w:t>article L.</w:t>
        </w:r>
        <w:r w:rsidR="008A6D4F">
          <w:rPr>
            <w:color w:val="4A5E81"/>
            <w:u w:val="single"/>
            <w:lang w:eastAsia="fr-FR"/>
          </w:rPr>
          <w:t xml:space="preserve"> </w:t>
        </w:r>
        <w:r w:rsidR="00246793" w:rsidRPr="00246793">
          <w:rPr>
            <w:color w:val="4A5E81"/>
            <w:u w:val="single"/>
            <w:lang w:eastAsia="fr-FR"/>
          </w:rPr>
          <w:t>511-1 du code de l'environnement</w:t>
        </w:r>
      </w:hyperlink>
      <w:r w:rsidR="00246793" w:rsidRPr="00246793">
        <w:rPr>
          <w:color w:val="000000"/>
          <w:lang w:eastAsia="fr-FR"/>
        </w:rPr>
        <w:t>. Les valeurs déterminées par le préfet ne dépassent en aucun cas 30 mg/Nm</w:t>
      </w:r>
      <w:r w:rsidR="00246793" w:rsidRPr="00246793">
        <w:rPr>
          <w:color w:val="000000"/>
          <w:vertAlign w:val="superscript"/>
          <w:lang w:eastAsia="fr-FR"/>
        </w:rPr>
        <w:t>3</w:t>
      </w:r>
      <w:r w:rsidR="00246793" w:rsidRPr="00246793">
        <w:rPr>
          <w:color w:val="000000"/>
          <w:lang w:eastAsia="fr-FR"/>
        </w:rPr>
        <w:t xml:space="preserve"> en </w:t>
      </w:r>
      <w:proofErr w:type="spellStart"/>
      <w:r w:rsidR="00246793" w:rsidRPr="00246793">
        <w:rPr>
          <w:color w:val="000000"/>
          <w:lang w:eastAsia="fr-FR"/>
        </w:rPr>
        <w:t>HCl</w:t>
      </w:r>
      <w:proofErr w:type="spellEnd"/>
      <w:r w:rsidR="00246793" w:rsidRPr="00246793">
        <w:rPr>
          <w:color w:val="000000"/>
          <w:lang w:eastAsia="fr-FR"/>
        </w:rPr>
        <w:t xml:space="preserve"> et 25 mg/Nm</w:t>
      </w:r>
      <w:r w:rsidR="00246793" w:rsidRPr="00246793">
        <w:rPr>
          <w:color w:val="000000"/>
          <w:vertAlign w:val="superscript"/>
          <w:lang w:eastAsia="fr-FR"/>
        </w:rPr>
        <w:t>3</w:t>
      </w:r>
      <w:r w:rsidR="00246793" w:rsidRPr="00246793">
        <w:rPr>
          <w:color w:val="000000"/>
          <w:lang w:eastAsia="fr-FR"/>
        </w:rPr>
        <w:t> en HF.</w:t>
      </w:r>
    </w:p>
    <w:p w14:paraId="10588DAC" w14:textId="5E11193B" w:rsidR="00354A2F" w:rsidRDefault="003C50B7" w:rsidP="002B0DC1">
      <w:pPr>
        <w:spacing w:after="240"/>
        <w:jc w:val="both"/>
        <w:rPr>
          <w:color w:val="000000"/>
          <w:lang w:eastAsia="fr-FR"/>
        </w:rPr>
      </w:pPr>
      <w:r>
        <w:rPr>
          <w:color w:val="000000"/>
          <w:lang w:eastAsia="fr-FR"/>
        </w:rPr>
        <w:t xml:space="preserve">« </w:t>
      </w:r>
      <w:proofErr w:type="gramStart"/>
      <w:r w:rsidR="00246793" w:rsidRPr="00246793">
        <w:rPr>
          <w:color w:val="000000"/>
          <w:lang w:eastAsia="fr-FR"/>
        </w:rPr>
        <w:t>b</w:t>
      </w:r>
      <w:proofErr w:type="gramEnd"/>
      <w:r w:rsidR="00246793" w:rsidRPr="00246793">
        <w:rPr>
          <w:color w:val="000000"/>
          <w:lang w:eastAsia="fr-FR"/>
        </w:rPr>
        <w:t xml:space="preserve">) </w:t>
      </w:r>
      <w:r w:rsidR="00354A2F" w:rsidRPr="00354A2F">
        <w:rPr>
          <w:color w:val="000000"/>
          <w:lang w:eastAsia="fr-FR"/>
        </w:rPr>
        <w:t xml:space="preserve">Les dispositions du présent point s’appliquent aux chaudières de puissance thermique supérieure ou égale à 15 MW, dans les délais mentionnés </w:t>
      </w:r>
      <w:r w:rsidR="00D9011B">
        <w:rPr>
          <w:color w:val="000000"/>
          <w:lang w:eastAsia="fr-FR"/>
        </w:rPr>
        <w:t>au VII de l’article 3</w:t>
      </w:r>
      <w:r w:rsidR="00354A2F" w:rsidRPr="00354A2F">
        <w:rPr>
          <w:color w:val="000000"/>
          <w:lang w:eastAsia="fr-FR"/>
        </w:rPr>
        <w:t xml:space="preserve"> du présent arrêté</w:t>
      </w:r>
      <w:r w:rsidR="00221B66">
        <w:rPr>
          <w:color w:val="000000"/>
          <w:lang w:eastAsia="fr-FR"/>
        </w:rPr>
        <w:t>, et selon les combustibles cités ci-après</w:t>
      </w:r>
      <w:r w:rsidR="00354A2F" w:rsidRPr="00354A2F">
        <w:rPr>
          <w:color w:val="000000"/>
          <w:lang w:eastAsia="fr-FR"/>
        </w:rPr>
        <w:t>.</w:t>
      </w:r>
    </w:p>
    <w:p w14:paraId="109E0200" w14:textId="7A0695E5" w:rsidR="00246793" w:rsidRPr="00246793" w:rsidRDefault="00D23B3A" w:rsidP="002B0DC1">
      <w:pPr>
        <w:spacing w:after="240"/>
        <w:jc w:val="both"/>
        <w:rPr>
          <w:color w:val="000000"/>
          <w:lang w:eastAsia="fr-FR"/>
        </w:rPr>
      </w:pPr>
      <w:r>
        <w:rPr>
          <w:color w:val="000000"/>
          <w:lang w:eastAsia="fr-FR"/>
        </w:rPr>
        <w:t>« </w:t>
      </w:r>
      <w:r w:rsidR="00354A2F">
        <w:rPr>
          <w:color w:val="000000"/>
          <w:lang w:eastAsia="fr-FR"/>
        </w:rPr>
        <w:t xml:space="preserve">1° </w:t>
      </w:r>
      <w:r w:rsidR="00221B66">
        <w:rPr>
          <w:color w:val="000000"/>
          <w:lang w:eastAsia="fr-FR"/>
        </w:rPr>
        <w:t>C</w:t>
      </w:r>
      <w:r w:rsidR="00246793" w:rsidRPr="00246793">
        <w:rPr>
          <w:color w:val="000000"/>
          <w:lang w:eastAsia="fr-FR"/>
        </w:rPr>
        <w:t xml:space="preserve">haudières </w:t>
      </w:r>
      <w:r w:rsidR="006B4968">
        <w:rPr>
          <w:color w:val="000000"/>
          <w:lang w:eastAsia="fr-FR"/>
        </w:rPr>
        <w:t>autorisées</w:t>
      </w:r>
      <w:r w:rsidR="00246793" w:rsidRPr="00246793">
        <w:rPr>
          <w:color w:val="000000"/>
          <w:lang w:eastAsia="fr-FR"/>
        </w:rPr>
        <w:t xml:space="preserve"> </w:t>
      </w:r>
      <w:r w:rsidR="006B21BB">
        <w:rPr>
          <w:color w:val="000000"/>
          <w:lang w:eastAsia="fr-FR"/>
        </w:rPr>
        <w:t>à compter du</w:t>
      </w:r>
      <w:r w:rsidR="00246793" w:rsidRPr="00246793">
        <w:rPr>
          <w:color w:val="000000"/>
          <w:lang w:eastAsia="fr-FR"/>
        </w:rPr>
        <w:t xml:space="preserve"> 17 août 2017</w:t>
      </w:r>
      <w:r w:rsidR="00FB33D1">
        <w:rPr>
          <w:color w:val="000000"/>
          <w:lang w:eastAsia="fr-FR"/>
        </w:rPr>
        <w:t xml:space="preserve"> </w:t>
      </w:r>
      <w:r w:rsidR="00246793" w:rsidRPr="00246793">
        <w:rPr>
          <w:color w:val="000000"/>
          <w:lang w:eastAsia="fr-FR"/>
        </w:rPr>
        <w:t>:</w:t>
      </w:r>
    </w:p>
    <w:p w14:paraId="18BF6BC1" w14:textId="53D88C23" w:rsidR="00246793" w:rsidRPr="00354A2F" w:rsidRDefault="003C50B7" w:rsidP="002B0DC1">
      <w:pPr>
        <w:pStyle w:val="Paragraphedeliste"/>
        <w:spacing w:after="240" w:line="240" w:lineRule="auto"/>
        <w:jc w:val="both"/>
        <w:rPr>
          <w:rFonts w:ascii="Times New Roman" w:eastAsia="Times New Roman" w:hAnsi="Times New Roman"/>
          <w:color w:val="000000"/>
          <w:sz w:val="24"/>
          <w:szCs w:val="24"/>
        </w:rPr>
      </w:pPr>
      <w:r w:rsidRPr="003C50B7">
        <w:rPr>
          <w:rFonts w:ascii="Times New Roman" w:hAnsi="Times New Roman"/>
          <w:color w:val="000000"/>
          <w:sz w:val="24"/>
          <w:szCs w:val="24"/>
        </w:rPr>
        <w:t xml:space="preserve">« - </w:t>
      </w:r>
      <w:r w:rsidR="00246793" w:rsidRPr="00354A2F">
        <w:rPr>
          <w:rFonts w:ascii="Times New Roman" w:eastAsia="Times New Roman" w:hAnsi="Times New Roman"/>
          <w:color w:val="000000"/>
          <w:sz w:val="24"/>
          <w:szCs w:val="24"/>
        </w:rPr>
        <w:t>Charbon, lignite, combustion de combustibles issus de procédés de l’industrie chimique dans des chaudières</w:t>
      </w:r>
    </w:p>
    <w:p w14:paraId="029595F9" w14:textId="6E485F7B" w:rsidR="00246793" w:rsidRPr="003C50B7" w:rsidRDefault="003C50B7" w:rsidP="002B0DC1">
      <w:pPr>
        <w:spacing w:after="240"/>
        <w:jc w:val="both"/>
        <w:rPr>
          <w:color w:val="000000"/>
          <w:lang w:eastAsia="fr-FR"/>
        </w:rPr>
      </w:pPr>
      <w:r>
        <w:rPr>
          <w:color w:val="000000"/>
          <w:lang w:eastAsia="fr-FR"/>
        </w:rPr>
        <w:t>« </w:t>
      </w:r>
      <w:r w:rsidR="00246793" w:rsidRPr="003C50B7">
        <w:rPr>
          <w:color w:val="000000"/>
          <w:lang w:eastAsia="fr-FR"/>
        </w:rPr>
        <w:t xml:space="preserve">Les valeurs limites d’émission sont </w:t>
      </w:r>
      <w:r w:rsidR="00F67F0E">
        <w:rPr>
          <w:color w:val="000000"/>
          <w:lang w:eastAsia="fr-FR"/>
        </w:rPr>
        <w:t>les suivantes</w:t>
      </w:r>
      <w:r w:rsidR="00246793" w:rsidRPr="003C50B7">
        <w:rPr>
          <w:color w:val="000000"/>
          <w:lang w:eastAsia="fr-FR"/>
        </w:rPr>
        <w:t> :</w:t>
      </w:r>
    </w:p>
    <w:tbl>
      <w:tblPr>
        <w:tblW w:w="7094"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41"/>
        <w:gridCol w:w="1601"/>
        <w:gridCol w:w="1276"/>
        <w:gridCol w:w="1276"/>
      </w:tblGrid>
      <w:tr w:rsidR="00246793" w:rsidRPr="00246793" w14:paraId="7188736E" w14:textId="77777777" w:rsidTr="005D385E">
        <w:trPr>
          <w:jc w:val="center"/>
        </w:trPr>
        <w:tc>
          <w:tcPr>
            <w:tcW w:w="2941" w:type="dxa"/>
            <w:vMerge w:val="restart"/>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3FA7102E"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Combustibles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07247A53"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Puissance P (MW)</w:t>
            </w:r>
          </w:p>
        </w:tc>
        <w:tc>
          <w:tcPr>
            <w:tcW w:w="1276"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1D7582D1" w14:textId="77777777" w:rsidR="00246793" w:rsidRPr="003C50B7" w:rsidRDefault="00246793" w:rsidP="005D385E">
            <w:pPr>
              <w:jc w:val="center"/>
              <w:rPr>
                <w:b/>
                <w:bCs/>
                <w:color w:val="FFFFFF"/>
                <w:sz w:val="20"/>
                <w:szCs w:val="20"/>
                <w:lang w:eastAsia="fr-FR"/>
              </w:rPr>
            </w:pPr>
            <w:proofErr w:type="spellStart"/>
            <w:r w:rsidRPr="003C50B7">
              <w:rPr>
                <w:b/>
                <w:bCs/>
                <w:color w:val="FFFFFF"/>
                <w:sz w:val="20"/>
                <w:szCs w:val="20"/>
                <w:lang w:eastAsia="fr-FR"/>
              </w:rPr>
              <w:t>HCl</w:t>
            </w:r>
            <w:proofErr w:type="spellEnd"/>
            <w:r w:rsidRPr="003C50B7">
              <w:rPr>
                <w:b/>
                <w:bCs/>
                <w:color w:val="FFFFFF"/>
                <w:sz w:val="20"/>
                <w:szCs w:val="20"/>
                <w:lang w:eastAsia="fr-FR"/>
              </w:rPr>
              <w:t xml:space="preserve"> (mg/Nm</w:t>
            </w:r>
            <w:r w:rsidRPr="003C50B7">
              <w:rPr>
                <w:b/>
                <w:bCs/>
                <w:color w:val="FFFFFF"/>
                <w:sz w:val="20"/>
                <w:szCs w:val="20"/>
                <w:vertAlign w:val="superscript"/>
                <w:lang w:eastAsia="fr-FR"/>
              </w:rPr>
              <w:t>3</w:t>
            </w:r>
            <w:r w:rsidRPr="003C50B7">
              <w:rPr>
                <w:b/>
                <w:bCs/>
                <w:color w:val="FFFFFF"/>
                <w:sz w:val="20"/>
                <w:szCs w:val="20"/>
                <w:lang w:eastAsia="fr-FR"/>
              </w:rPr>
              <w:t>)</w:t>
            </w:r>
          </w:p>
        </w:tc>
        <w:tc>
          <w:tcPr>
            <w:tcW w:w="1276" w:type="dxa"/>
            <w:tcBorders>
              <w:top w:val="single" w:sz="4" w:space="0" w:color="auto"/>
              <w:left w:val="single" w:sz="4" w:space="0" w:color="auto"/>
              <w:bottom w:val="single" w:sz="4" w:space="0" w:color="auto"/>
              <w:right w:val="single" w:sz="4" w:space="0" w:color="auto"/>
            </w:tcBorders>
            <w:shd w:val="clear" w:color="auto" w:fill="5C75A2"/>
            <w:vAlign w:val="center"/>
          </w:tcPr>
          <w:p w14:paraId="40285C66"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 xml:space="preserve">HF </w:t>
            </w:r>
          </w:p>
          <w:p w14:paraId="676D920A"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w:t>
            </w:r>
            <w:proofErr w:type="gramStart"/>
            <w:r w:rsidRPr="003C50B7">
              <w:rPr>
                <w:b/>
                <w:bCs/>
                <w:color w:val="FFFFFF"/>
                <w:sz w:val="20"/>
                <w:szCs w:val="20"/>
                <w:lang w:eastAsia="fr-FR"/>
              </w:rPr>
              <w:t>mg</w:t>
            </w:r>
            <w:proofErr w:type="gramEnd"/>
            <w:r w:rsidRPr="003C50B7">
              <w:rPr>
                <w:b/>
                <w:bCs/>
                <w:color w:val="FFFFFF"/>
                <w:sz w:val="20"/>
                <w:szCs w:val="20"/>
                <w:lang w:eastAsia="fr-FR"/>
              </w:rPr>
              <w:t>/Nm</w:t>
            </w:r>
            <w:r w:rsidRPr="003C50B7">
              <w:rPr>
                <w:b/>
                <w:bCs/>
                <w:color w:val="FFFFFF"/>
                <w:sz w:val="20"/>
                <w:szCs w:val="20"/>
                <w:vertAlign w:val="superscript"/>
                <w:lang w:eastAsia="fr-FR"/>
              </w:rPr>
              <w:t>3</w:t>
            </w:r>
            <w:r w:rsidRPr="003C50B7">
              <w:rPr>
                <w:b/>
                <w:bCs/>
                <w:color w:val="FFFFFF"/>
                <w:sz w:val="20"/>
                <w:szCs w:val="20"/>
                <w:lang w:eastAsia="fr-FR"/>
              </w:rPr>
              <w:t>)</w:t>
            </w:r>
          </w:p>
        </w:tc>
      </w:tr>
      <w:tr w:rsidR="00246793" w:rsidRPr="00246793" w14:paraId="374CF1AD" w14:textId="77777777" w:rsidTr="005D385E">
        <w:trPr>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1AC12F16" w14:textId="77777777" w:rsidR="00246793" w:rsidRPr="003C50B7" w:rsidRDefault="00246793" w:rsidP="005D385E">
            <w:pPr>
              <w:jc w:val="center"/>
              <w:rPr>
                <w:b/>
                <w:bCs/>
                <w:color w:val="FFFFFF"/>
                <w:sz w:val="20"/>
                <w:szCs w:val="20"/>
                <w:lang w:eastAsia="fr-FR"/>
              </w:rPr>
            </w:pPr>
          </w:p>
        </w:tc>
        <w:tc>
          <w:tcPr>
            <w:tcW w:w="1601" w:type="dxa"/>
            <w:vMerge/>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03816AB" w14:textId="77777777" w:rsidR="00246793" w:rsidRPr="003C50B7" w:rsidRDefault="00246793" w:rsidP="005D385E">
            <w:pPr>
              <w:jc w:val="center"/>
              <w:rPr>
                <w:b/>
                <w:bCs/>
                <w:color w:val="FFFFFF"/>
                <w:sz w:val="20"/>
                <w:szCs w:val="20"/>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02CA5007"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A</w:t>
            </w:r>
          </w:p>
        </w:tc>
        <w:tc>
          <w:tcPr>
            <w:tcW w:w="1276"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266CCEF9"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A</w:t>
            </w:r>
          </w:p>
        </w:tc>
      </w:tr>
      <w:tr w:rsidR="00246793" w:rsidRPr="00246793" w14:paraId="2BB9443A" w14:textId="77777777" w:rsidTr="005D385E">
        <w:trPr>
          <w:jc w:val="center"/>
        </w:trPr>
        <w:tc>
          <w:tcPr>
            <w:tcW w:w="2941"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1DE03B86" w14:textId="77777777" w:rsidR="00246793" w:rsidRPr="003C50B7" w:rsidRDefault="00246793" w:rsidP="005D385E">
            <w:pPr>
              <w:jc w:val="center"/>
              <w:rPr>
                <w:b/>
                <w:bCs/>
                <w:sz w:val="20"/>
                <w:szCs w:val="20"/>
                <w:lang w:eastAsia="fr-FR"/>
              </w:rPr>
            </w:pPr>
            <w:r w:rsidRPr="003C50B7">
              <w:rPr>
                <w:b/>
                <w:bCs/>
                <w:sz w:val="20"/>
                <w:szCs w:val="20"/>
                <w:lang w:eastAsia="fr-FR"/>
              </w:rPr>
              <w:t>Charbon</w:t>
            </w:r>
          </w:p>
          <w:p w14:paraId="3E58525B" w14:textId="77777777" w:rsidR="00246793" w:rsidRPr="003C50B7" w:rsidRDefault="00246793" w:rsidP="005D385E">
            <w:pPr>
              <w:jc w:val="center"/>
              <w:rPr>
                <w:b/>
                <w:bCs/>
                <w:sz w:val="20"/>
                <w:szCs w:val="20"/>
                <w:lang w:eastAsia="fr-FR"/>
              </w:rPr>
            </w:pPr>
            <w:r w:rsidRPr="003C50B7">
              <w:rPr>
                <w:b/>
                <w:bCs/>
                <w:sz w:val="20"/>
                <w:szCs w:val="20"/>
                <w:lang w:eastAsia="fr-FR"/>
              </w:rPr>
              <w:t>Lignite</w:t>
            </w:r>
          </w:p>
          <w:p w14:paraId="5D5C3C42" w14:textId="77777777" w:rsidR="00246793" w:rsidRPr="003C50B7" w:rsidRDefault="00246793" w:rsidP="005D385E">
            <w:pPr>
              <w:jc w:val="center"/>
              <w:rPr>
                <w:b/>
                <w:bCs/>
                <w:sz w:val="20"/>
                <w:szCs w:val="20"/>
                <w:lang w:eastAsia="fr-FR"/>
              </w:rPr>
            </w:pPr>
          </w:p>
        </w:tc>
        <w:tc>
          <w:tcPr>
            <w:tcW w:w="1601"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36808997" w14:textId="77777777" w:rsidR="00246793" w:rsidRPr="003C50B7" w:rsidRDefault="00246793" w:rsidP="005D385E">
            <w:pPr>
              <w:jc w:val="center"/>
              <w:rPr>
                <w:b/>
                <w:bCs/>
                <w:sz w:val="20"/>
                <w:szCs w:val="20"/>
                <w:lang w:eastAsia="fr-FR"/>
              </w:rPr>
            </w:pPr>
            <w:r w:rsidRPr="003C50B7">
              <w:rPr>
                <w:b/>
                <w:bCs/>
                <w:sz w:val="20"/>
                <w:szCs w:val="20"/>
                <w:lang w:eastAsia="fr-FR"/>
              </w:rPr>
              <w:t>50 ≤ P &lt; 100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C2B48FB" w14:textId="77777777" w:rsidR="00246793" w:rsidRPr="003C50B7" w:rsidRDefault="00246793" w:rsidP="005D385E">
            <w:pPr>
              <w:jc w:val="center"/>
              <w:rPr>
                <w:b/>
                <w:bCs/>
                <w:sz w:val="20"/>
                <w:szCs w:val="20"/>
                <w:lang w:eastAsia="fr-FR"/>
              </w:rPr>
            </w:pPr>
            <w:r w:rsidRPr="003C50B7">
              <w:rPr>
                <w:b/>
                <w:bCs/>
                <w:sz w:val="20"/>
                <w:szCs w:val="20"/>
                <w:lang w:eastAsia="fr-FR"/>
              </w:rPr>
              <w:t>6</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9BD14D" w14:textId="77777777" w:rsidR="00246793" w:rsidRPr="003C50B7" w:rsidRDefault="00246793" w:rsidP="005D385E">
            <w:pPr>
              <w:jc w:val="center"/>
              <w:rPr>
                <w:b/>
                <w:bCs/>
                <w:sz w:val="20"/>
                <w:szCs w:val="20"/>
                <w:lang w:eastAsia="fr-FR"/>
              </w:rPr>
            </w:pPr>
            <w:r w:rsidRPr="003C50B7">
              <w:rPr>
                <w:b/>
                <w:bCs/>
                <w:sz w:val="20"/>
                <w:szCs w:val="20"/>
                <w:lang w:eastAsia="fr-FR"/>
              </w:rPr>
              <w:t>3</w:t>
            </w:r>
          </w:p>
        </w:tc>
      </w:tr>
      <w:tr w:rsidR="00246793" w:rsidRPr="00246793" w14:paraId="17D1E70D" w14:textId="77777777" w:rsidTr="005D385E">
        <w:trPr>
          <w:jc w:val="center"/>
        </w:trPr>
        <w:tc>
          <w:tcPr>
            <w:tcW w:w="2941" w:type="dxa"/>
            <w:vMerge/>
            <w:tcBorders>
              <w:top w:val="single" w:sz="4" w:space="0" w:color="auto"/>
              <w:left w:val="single" w:sz="4" w:space="0" w:color="auto"/>
              <w:bottom w:val="single" w:sz="4" w:space="0" w:color="auto"/>
              <w:right w:val="single" w:sz="4" w:space="0" w:color="auto"/>
            </w:tcBorders>
            <w:vAlign w:val="center"/>
            <w:hideMark/>
          </w:tcPr>
          <w:p w14:paraId="7D7B22F5" w14:textId="77777777" w:rsidR="00246793" w:rsidRPr="003C50B7" w:rsidRDefault="00246793" w:rsidP="005D385E">
            <w:pPr>
              <w:rPr>
                <w:b/>
                <w:bCs/>
                <w:sz w:val="20"/>
                <w:szCs w:val="20"/>
                <w:lang w:eastAsia="fr-FR"/>
              </w:rPr>
            </w:pPr>
          </w:p>
        </w:tc>
        <w:tc>
          <w:tcPr>
            <w:tcW w:w="1601" w:type="dxa"/>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hideMark/>
          </w:tcPr>
          <w:p w14:paraId="77F9128D" w14:textId="77777777" w:rsidR="00246793" w:rsidRPr="003C50B7" w:rsidRDefault="00246793" w:rsidP="005D385E">
            <w:pPr>
              <w:jc w:val="center"/>
              <w:rPr>
                <w:b/>
                <w:bCs/>
                <w:sz w:val="20"/>
                <w:szCs w:val="20"/>
                <w:lang w:eastAsia="fr-FR"/>
              </w:rPr>
            </w:pPr>
            <w:r w:rsidRPr="003C50B7">
              <w:rPr>
                <w:b/>
                <w:bCs/>
                <w:sz w:val="20"/>
                <w:szCs w:val="20"/>
                <w:lang w:eastAsia="fr-FR"/>
              </w:rPr>
              <w:t>100 ≤ P &lt; 300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49ADAD" w14:textId="77777777" w:rsidR="00246793" w:rsidRPr="003C50B7" w:rsidRDefault="00246793" w:rsidP="005D385E">
            <w:pPr>
              <w:jc w:val="center"/>
              <w:rPr>
                <w:b/>
                <w:bCs/>
                <w:sz w:val="20"/>
                <w:szCs w:val="20"/>
                <w:lang w:eastAsia="fr-FR"/>
              </w:rPr>
            </w:pPr>
            <w:r w:rsidRPr="003C50B7">
              <w:rPr>
                <w:b/>
                <w:bCs/>
                <w:sz w:val="20"/>
                <w:szCs w:val="20"/>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988278" w14:textId="77777777" w:rsidR="00246793" w:rsidRPr="003C50B7" w:rsidRDefault="00246793" w:rsidP="005D385E">
            <w:pPr>
              <w:jc w:val="center"/>
              <w:rPr>
                <w:b/>
                <w:bCs/>
                <w:sz w:val="20"/>
                <w:szCs w:val="20"/>
                <w:lang w:eastAsia="fr-FR"/>
              </w:rPr>
            </w:pPr>
            <w:r w:rsidRPr="003C50B7">
              <w:rPr>
                <w:b/>
                <w:bCs/>
                <w:sz w:val="20"/>
                <w:szCs w:val="20"/>
                <w:lang w:eastAsia="fr-FR"/>
              </w:rPr>
              <w:t>2</w:t>
            </w:r>
          </w:p>
        </w:tc>
      </w:tr>
      <w:tr w:rsidR="00246793" w:rsidRPr="00246793" w14:paraId="6B4CE431" w14:textId="77777777" w:rsidTr="005D385E">
        <w:trPr>
          <w:jc w:val="center"/>
        </w:trPr>
        <w:tc>
          <w:tcPr>
            <w:tcW w:w="2941" w:type="dxa"/>
            <w:vMerge/>
            <w:tcBorders>
              <w:top w:val="single" w:sz="4" w:space="0" w:color="auto"/>
              <w:left w:val="single" w:sz="4" w:space="0" w:color="auto"/>
              <w:bottom w:val="single" w:sz="4" w:space="0" w:color="auto"/>
              <w:right w:val="single" w:sz="4" w:space="0" w:color="auto"/>
            </w:tcBorders>
            <w:vAlign w:val="center"/>
            <w:hideMark/>
          </w:tcPr>
          <w:p w14:paraId="6A998CB3" w14:textId="77777777" w:rsidR="00246793" w:rsidRPr="003C50B7" w:rsidRDefault="00246793" w:rsidP="005D385E">
            <w:pPr>
              <w:rPr>
                <w:b/>
                <w:bCs/>
                <w:sz w:val="20"/>
                <w:szCs w:val="20"/>
                <w:lang w:eastAsia="fr-FR"/>
              </w:rPr>
            </w:pPr>
          </w:p>
        </w:tc>
        <w:tc>
          <w:tcPr>
            <w:tcW w:w="1601"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1FB7AAF6" w14:textId="77777777" w:rsidR="00246793" w:rsidRPr="003C50B7" w:rsidRDefault="00246793" w:rsidP="005D385E">
            <w:pPr>
              <w:jc w:val="center"/>
              <w:rPr>
                <w:b/>
                <w:bCs/>
                <w:sz w:val="20"/>
                <w:szCs w:val="20"/>
                <w:lang w:eastAsia="fr-FR"/>
              </w:rPr>
            </w:pPr>
            <w:r w:rsidRPr="003C50B7">
              <w:rPr>
                <w:b/>
                <w:bCs/>
                <w:sz w:val="20"/>
                <w:szCs w:val="20"/>
                <w:lang w:eastAsia="fr-FR"/>
              </w:rPr>
              <w:t>300 ≤ P</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26637A" w14:textId="77777777" w:rsidR="00246793" w:rsidRPr="003C50B7" w:rsidRDefault="00246793" w:rsidP="005D385E">
            <w:pPr>
              <w:jc w:val="center"/>
              <w:rPr>
                <w:b/>
                <w:bCs/>
                <w:sz w:val="20"/>
                <w:szCs w:val="20"/>
                <w:lang w:eastAsia="fr-FR"/>
              </w:rPr>
            </w:pPr>
            <w:r w:rsidRPr="003C50B7">
              <w:rPr>
                <w:b/>
                <w:bCs/>
                <w:sz w:val="20"/>
                <w:szCs w:val="20"/>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C31D6E" w14:textId="77777777" w:rsidR="00246793" w:rsidRPr="003C50B7" w:rsidRDefault="00246793" w:rsidP="005D385E">
            <w:pPr>
              <w:jc w:val="center"/>
              <w:rPr>
                <w:b/>
                <w:bCs/>
                <w:sz w:val="20"/>
                <w:szCs w:val="20"/>
                <w:lang w:eastAsia="fr-FR"/>
              </w:rPr>
            </w:pPr>
            <w:r w:rsidRPr="003C50B7">
              <w:rPr>
                <w:b/>
                <w:bCs/>
                <w:sz w:val="20"/>
                <w:szCs w:val="20"/>
                <w:lang w:eastAsia="fr-FR"/>
              </w:rPr>
              <w:t>2</w:t>
            </w:r>
          </w:p>
        </w:tc>
      </w:tr>
      <w:tr w:rsidR="00246793" w:rsidRPr="00246793" w14:paraId="751CA059" w14:textId="77777777" w:rsidTr="005D385E">
        <w:trPr>
          <w:jc w:val="center"/>
        </w:trPr>
        <w:tc>
          <w:tcPr>
            <w:tcW w:w="2941"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FDB26D4" w14:textId="77777777" w:rsidR="00246793" w:rsidRPr="003C50B7" w:rsidRDefault="00246793" w:rsidP="005D385E">
            <w:pPr>
              <w:jc w:val="center"/>
              <w:rPr>
                <w:b/>
                <w:bCs/>
                <w:sz w:val="20"/>
                <w:szCs w:val="20"/>
                <w:lang w:eastAsia="fr-FR"/>
              </w:rPr>
            </w:pPr>
            <w:r w:rsidRPr="003C50B7">
              <w:rPr>
                <w:b/>
                <w:bCs/>
                <w:sz w:val="20"/>
                <w:szCs w:val="20"/>
                <w:lang w:eastAsia="fr-FR"/>
              </w:rPr>
              <w:t>Combustion de combustible issus de procédés de l’industrie chimique dans des chaudières</w:t>
            </w:r>
          </w:p>
        </w:tc>
        <w:tc>
          <w:tcPr>
            <w:tcW w:w="1601"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156D9D1D" w14:textId="77777777" w:rsidR="00246793" w:rsidRPr="003C50B7" w:rsidRDefault="00246793" w:rsidP="005D385E">
            <w:pPr>
              <w:jc w:val="center"/>
              <w:rPr>
                <w:b/>
                <w:bCs/>
                <w:sz w:val="20"/>
                <w:szCs w:val="20"/>
                <w:lang w:eastAsia="fr-FR"/>
              </w:rPr>
            </w:pPr>
            <w:r w:rsidRPr="003C50B7">
              <w:rPr>
                <w:b/>
                <w:bCs/>
                <w:sz w:val="20"/>
                <w:szCs w:val="20"/>
                <w:lang w:eastAsia="fr-FR"/>
              </w:rPr>
              <w:t>50 ≤ P &lt; 100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9310C05" w14:textId="77777777" w:rsidR="00246793" w:rsidRPr="003C50B7" w:rsidRDefault="00246793" w:rsidP="005D385E">
            <w:pPr>
              <w:jc w:val="center"/>
              <w:rPr>
                <w:b/>
                <w:bCs/>
                <w:sz w:val="20"/>
                <w:szCs w:val="20"/>
                <w:lang w:eastAsia="fr-FR"/>
              </w:rPr>
            </w:pPr>
            <w:r w:rsidRPr="003C50B7">
              <w:rPr>
                <w:b/>
                <w:bCs/>
                <w:sz w:val="20"/>
                <w:szCs w:val="20"/>
                <w:lang w:eastAsia="fr-FR"/>
              </w:rPr>
              <w:t>7</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A6F548" w14:textId="77777777" w:rsidR="00246793" w:rsidRPr="003C50B7" w:rsidRDefault="00246793" w:rsidP="005D385E">
            <w:pPr>
              <w:jc w:val="center"/>
              <w:rPr>
                <w:b/>
                <w:bCs/>
                <w:sz w:val="20"/>
                <w:szCs w:val="20"/>
                <w:lang w:eastAsia="fr-FR"/>
              </w:rPr>
            </w:pPr>
            <w:r w:rsidRPr="003C50B7">
              <w:rPr>
                <w:b/>
                <w:bCs/>
                <w:sz w:val="20"/>
                <w:szCs w:val="20"/>
                <w:lang w:eastAsia="fr-FR"/>
              </w:rPr>
              <w:t>3</w:t>
            </w:r>
          </w:p>
        </w:tc>
      </w:tr>
      <w:tr w:rsidR="00246793" w:rsidRPr="00246793" w14:paraId="2D99C4E2" w14:textId="77777777" w:rsidTr="005D385E">
        <w:trPr>
          <w:jc w:val="center"/>
        </w:trPr>
        <w:tc>
          <w:tcPr>
            <w:tcW w:w="2941" w:type="dxa"/>
            <w:vMerge/>
            <w:tcBorders>
              <w:top w:val="single" w:sz="4" w:space="0" w:color="auto"/>
              <w:left w:val="single" w:sz="4" w:space="0" w:color="auto"/>
              <w:bottom w:val="single" w:sz="4" w:space="0" w:color="auto"/>
              <w:right w:val="single" w:sz="4" w:space="0" w:color="auto"/>
            </w:tcBorders>
            <w:vAlign w:val="center"/>
          </w:tcPr>
          <w:p w14:paraId="66406453" w14:textId="77777777" w:rsidR="00246793" w:rsidRPr="003C50B7" w:rsidRDefault="00246793" w:rsidP="005D385E">
            <w:pPr>
              <w:rPr>
                <w:b/>
                <w:bCs/>
                <w:sz w:val="20"/>
                <w:szCs w:val="20"/>
                <w:lang w:eastAsia="fr-FR"/>
              </w:rPr>
            </w:pPr>
          </w:p>
        </w:tc>
        <w:tc>
          <w:tcPr>
            <w:tcW w:w="1601" w:type="dxa"/>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hideMark/>
          </w:tcPr>
          <w:p w14:paraId="4F55B6DE" w14:textId="77777777" w:rsidR="00246793" w:rsidRPr="003C50B7" w:rsidRDefault="00246793" w:rsidP="005D385E">
            <w:pPr>
              <w:jc w:val="center"/>
              <w:rPr>
                <w:b/>
                <w:bCs/>
                <w:sz w:val="20"/>
                <w:szCs w:val="20"/>
                <w:lang w:eastAsia="fr-FR"/>
              </w:rPr>
            </w:pPr>
            <w:r w:rsidRPr="003C50B7">
              <w:rPr>
                <w:b/>
                <w:bCs/>
                <w:sz w:val="20"/>
                <w:szCs w:val="20"/>
                <w:lang w:eastAsia="fr-FR"/>
              </w:rPr>
              <w:t>100 ≤ P &lt; 300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554003" w14:textId="77777777" w:rsidR="00246793" w:rsidRPr="003C50B7" w:rsidRDefault="00246793" w:rsidP="005D385E">
            <w:pPr>
              <w:jc w:val="center"/>
              <w:rPr>
                <w:b/>
                <w:bCs/>
                <w:sz w:val="20"/>
                <w:szCs w:val="20"/>
                <w:lang w:eastAsia="fr-FR"/>
              </w:rPr>
            </w:pPr>
            <w:r w:rsidRPr="003C50B7">
              <w:rPr>
                <w:b/>
                <w:bCs/>
                <w:sz w:val="20"/>
                <w:szCs w:val="20"/>
                <w:lang w:eastAsia="fr-FR"/>
              </w:rPr>
              <w:t>5</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857301" w14:textId="77777777" w:rsidR="00246793" w:rsidRPr="003C50B7" w:rsidRDefault="00246793" w:rsidP="005D385E">
            <w:pPr>
              <w:jc w:val="center"/>
              <w:rPr>
                <w:b/>
                <w:bCs/>
                <w:sz w:val="20"/>
                <w:szCs w:val="20"/>
                <w:lang w:eastAsia="fr-FR"/>
              </w:rPr>
            </w:pPr>
            <w:r w:rsidRPr="003C50B7">
              <w:rPr>
                <w:b/>
                <w:bCs/>
                <w:sz w:val="20"/>
                <w:szCs w:val="20"/>
                <w:lang w:eastAsia="fr-FR"/>
              </w:rPr>
              <w:t>2</w:t>
            </w:r>
          </w:p>
        </w:tc>
      </w:tr>
      <w:tr w:rsidR="00246793" w:rsidRPr="00246793" w14:paraId="348929B3" w14:textId="77777777" w:rsidTr="005D385E">
        <w:trPr>
          <w:jc w:val="center"/>
        </w:trPr>
        <w:tc>
          <w:tcPr>
            <w:tcW w:w="2941" w:type="dxa"/>
            <w:vMerge/>
            <w:tcBorders>
              <w:top w:val="single" w:sz="4" w:space="0" w:color="auto"/>
              <w:left w:val="single" w:sz="4" w:space="0" w:color="auto"/>
              <w:bottom w:val="single" w:sz="4" w:space="0" w:color="auto"/>
              <w:right w:val="single" w:sz="4" w:space="0" w:color="auto"/>
            </w:tcBorders>
            <w:vAlign w:val="center"/>
          </w:tcPr>
          <w:p w14:paraId="7F22CB91" w14:textId="77777777" w:rsidR="00246793" w:rsidRPr="003C50B7" w:rsidRDefault="00246793" w:rsidP="005D385E">
            <w:pPr>
              <w:rPr>
                <w:b/>
                <w:bCs/>
                <w:sz w:val="20"/>
                <w:szCs w:val="20"/>
                <w:lang w:eastAsia="fr-FR"/>
              </w:rPr>
            </w:pPr>
          </w:p>
        </w:tc>
        <w:tc>
          <w:tcPr>
            <w:tcW w:w="1601"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74E88617" w14:textId="77777777" w:rsidR="00246793" w:rsidRPr="003C50B7" w:rsidRDefault="00246793" w:rsidP="005D385E">
            <w:pPr>
              <w:jc w:val="center"/>
              <w:rPr>
                <w:b/>
                <w:bCs/>
                <w:sz w:val="20"/>
                <w:szCs w:val="20"/>
                <w:lang w:eastAsia="fr-FR"/>
              </w:rPr>
            </w:pPr>
            <w:r w:rsidRPr="003C50B7">
              <w:rPr>
                <w:b/>
                <w:bCs/>
                <w:sz w:val="20"/>
                <w:szCs w:val="20"/>
                <w:lang w:eastAsia="fr-FR"/>
              </w:rPr>
              <w:t>300 ≤ P</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6D097C" w14:textId="77777777" w:rsidR="00246793" w:rsidRPr="003C50B7" w:rsidRDefault="00246793" w:rsidP="005D385E">
            <w:pPr>
              <w:jc w:val="center"/>
              <w:rPr>
                <w:b/>
                <w:bCs/>
                <w:sz w:val="20"/>
                <w:szCs w:val="20"/>
                <w:lang w:eastAsia="fr-FR"/>
              </w:rPr>
            </w:pPr>
            <w:r w:rsidRPr="003C50B7">
              <w:rPr>
                <w:b/>
                <w:bCs/>
                <w:sz w:val="20"/>
                <w:szCs w:val="20"/>
                <w:lang w:eastAsia="fr-FR"/>
              </w:rPr>
              <w:t>5</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118787" w14:textId="77777777" w:rsidR="00246793" w:rsidRPr="003C50B7" w:rsidRDefault="00246793" w:rsidP="005D385E">
            <w:pPr>
              <w:jc w:val="center"/>
              <w:rPr>
                <w:b/>
                <w:bCs/>
                <w:sz w:val="20"/>
                <w:szCs w:val="20"/>
                <w:lang w:eastAsia="fr-FR"/>
              </w:rPr>
            </w:pPr>
            <w:r w:rsidRPr="003C50B7">
              <w:rPr>
                <w:b/>
                <w:bCs/>
                <w:sz w:val="20"/>
                <w:szCs w:val="20"/>
                <w:lang w:eastAsia="fr-FR"/>
              </w:rPr>
              <w:t>2</w:t>
            </w:r>
          </w:p>
        </w:tc>
      </w:tr>
    </w:tbl>
    <w:p w14:paraId="0D1181D6" w14:textId="77777777" w:rsidR="00246793" w:rsidRPr="00246793" w:rsidRDefault="00246793" w:rsidP="00246793">
      <w:pPr>
        <w:shd w:val="clear" w:color="auto" w:fill="FFFFFF"/>
        <w:jc w:val="both"/>
        <w:rPr>
          <w:color w:val="000000"/>
          <w:sz w:val="21"/>
          <w:szCs w:val="21"/>
          <w:lang w:eastAsia="fr-FR"/>
        </w:rPr>
      </w:pPr>
    </w:p>
    <w:p w14:paraId="73AE9EFE" w14:textId="382634FD" w:rsidR="00246793" w:rsidRPr="00221B66" w:rsidRDefault="003C50B7" w:rsidP="003C50B7">
      <w:pPr>
        <w:pStyle w:val="Paragraphedeliste"/>
        <w:shd w:val="clear" w:color="auto" w:fill="FFFFFF"/>
        <w:spacing w:after="0" w:line="240" w:lineRule="auto"/>
        <w:jc w:val="both"/>
        <w:rPr>
          <w:rFonts w:ascii="Times New Roman" w:eastAsia="Times New Roman" w:hAnsi="Times New Roman"/>
          <w:color w:val="000000"/>
          <w:sz w:val="24"/>
          <w:szCs w:val="24"/>
        </w:rPr>
      </w:pPr>
      <w:r w:rsidRPr="00221B66">
        <w:rPr>
          <w:rFonts w:ascii="Times New Roman" w:eastAsia="Times New Roman" w:hAnsi="Times New Roman"/>
          <w:color w:val="000000"/>
          <w:sz w:val="24"/>
          <w:szCs w:val="24"/>
        </w:rPr>
        <w:t xml:space="preserve">« - </w:t>
      </w:r>
      <w:r w:rsidR="00246793" w:rsidRPr="00221B66">
        <w:rPr>
          <w:rFonts w:ascii="Times New Roman" w:eastAsia="Times New Roman" w:hAnsi="Times New Roman"/>
          <w:color w:val="000000"/>
          <w:sz w:val="24"/>
          <w:szCs w:val="24"/>
        </w:rPr>
        <w:t>Biomasse</w:t>
      </w:r>
      <w:r w:rsidR="0077783A" w:rsidRPr="00221B66">
        <w:rPr>
          <w:rFonts w:ascii="Times New Roman" w:eastAsia="Times New Roman" w:hAnsi="Times New Roman"/>
          <w:color w:val="000000"/>
          <w:sz w:val="24"/>
          <w:szCs w:val="24"/>
        </w:rPr>
        <w:t xml:space="preserve"> solide</w:t>
      </w:r>
      <w:r w:rsidR="00246793" w:rsidRPr="00221B66">
        <w:rPr>
          <w:rFonts w:ascii="Times New Roman" w:eastAsia="Times New Roman" w:hAnsi="Times New Roman"/>
          <w:color w:val="000000"/>
          <w:sz w:val="24"/>
          <w:szCs w:val="24"/>
        </w:rPr>
        <w:t>, tourbe</w:t>
      </w:r>
    </w:p>
    <w:p w14:paraId="0D167594" w14:textId="4DD82251" w:rsidR="00246793" w:rsidRPr="003C50B7" w:rsidRDefault="003C50B7" w:rsidP="00246793">
      <w:pPr>
        <w:shd w:val="clear" w:color="auto" w:fill="FFFFFF"/>
        <w:spacing w:after="240"/>
        <w:jc w:val="both"/>
        <w:rPr>
          <w:color w:val="000000"/>
          <w:lang w:eastAsia="fr-FR"/>
        </w:rPr>
      </w:pPr>
      <w:r>
        <w:rPr>
          <w:color w:val="000000"/>
          <w:lang w:eastAsia="fr-FR"/>
        </w:rPr>
        <w:t>« </w:t>
      </w:r>
      <w:r w:rsidR="00246793" w:rsidRPr="003C50B7">
        <w:rPr>
          <w:color w:val="000000"/>
          <w:lang w:eastAsia="fr-FR"/>
        </w:rPr>
        <w:t xml:space="preserve">Dans le cas des installations exploitées moins de 1500 heures par an, la valeur journalière ci-dessous ne s’applique pas. </w:t>
      </w:r>
    </w:p>
    <w:tbl>
      <w:tblPr>
        <w:tblW w:w="8784"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54"/>
        <w:gridCol w:w="1601"/>
        <w:gridCol w:w="993"/>
        <w:gridCol w:w="992"/>
        <w:gridCol w:w="1276"/>
        <w:gridCol w:w="2268"/>
      </w:tblGrid>
      <w:tr w:rsidR="00246793" w:rsidRPr="00246793" w14:paraId="1CEAF072" w14:textId="77777777" w:rsidTr="005D385E">
        <w:trPr>
          <w:jc w:val="center"/>
        </w:trPr>
        <w:tc>
          <w:tcPr>
            <w:tcW w:w="1654" w:type="dxa"/>
            <w:vMerge w:val="restart"/>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31A9799F"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Combustibles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4DAB8DD8"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Puissance P (MW)</w:t>
            </w:r>
          </w:p>
        </w:tc>
        <w:tc>
          <w:tcPr>
            <w:tcW w:w="3261"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496D8371" w14:textId="77777777" w:rsidR="00246793" w:rsidRPr="003C50B7" w:rsidRDefault="00246793" w:rsidP="005D385E">
            <w:pPr>
              <w:jc w:val="center"/>
              <w:rPr>
                <w:b/>
                <w:bCs/>
                <w:color w:val="FFFFFF"/>
                <w:sz w:val="20"/>
                <w:szCs w:val="20"/>
                <w:lang w:eastAsia="fr-FR"/>
              </w:rPr>
            </w:pPr>
            <w:proofErr w:type="spellStart"/>
            <w:r w:rsidRPr="003C50B7">
              <w:rPr>
                <w:b/>
                <w:bCs/>
                <w:color w:val="FFFFFF"/>
                <w:sz w:val="20"/>
                <w:szCs w:val="20"/>
                <w:lang w:eastAsia="fr-FR"/>
              </w:rPr>
              <w:t>HCl</w:t>
            </w:r>
            <w:proofErr w:type="spellEnd"/>
            <w:r w:rsidRPr="003C50B7">
              <w:rPr>
                <w:b/>
                <w:bCs/>
                <w:color w:val="FFFFFF"/>
                <w:sz w:val="20"/>
                <w:szCs w:val="20"/>
                <w:lang w:eastAsia="fr-FR"/>
              </w:rPr>
              <w:t xml:space="preserve"> (mg/Nm</w:t>
            </w:r>
            <w:r w:rsidRPr="003C50B7">
              <w:rPr>
                <w:b/>
                <w:bCs/>
                <w:color w:val="FFFFFF"/>
                <w:sz w:val="20"/>
                <w:szCs w:val="20"/>
                <w:vertAlign w:val="superscript"/>
                <w:lang w:eastAsia="fr-FR"/>
              </w:rPr>
              <w:t>3</w:t>
            </w:r>
            <w:r w:rsidRPr="003C50B7">
              <w:rPr>
                <w:b/>
                <w:bCs/>
                <w:color w:val="FFFFFF"/>
                <w:sz w:val="20"/>
                <w:szCs w:val="20"/>
                <w:lang w:eastAsia="fr-FR"/>
              </w:rPr>
              <w:t>)</w:t>
            </w:r>
          </w:p>
        </w:tc>
        <w:tc>
          <w:tcPr>
            <w:tcW w:w="2268" w:type="dxa"/>
            <w:tcBorders>
              <w:top w:val="single" w:sz="4" w:space="0" w:color="auto"/>
              <w:left w:val="single" w:sz="4" w:space="0" w:color="auto"/>
              <w:bottom w:val="single" w:sz="4" w:space="0" w:color="auto"/>
              <w:right w:val="single" w:sz="4" w:space="0" w:color="auto"/>
            </w:tcBorders>
            <w:shd w:val="clear" w:color="auto" w:fill="5C75A2"/>
            <w:vAlign w:val="center"/>
          </w:tcPr>
          <w:p w14:paraId="09585614"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HF (mg/Nm</w:t>
            </w:r>
            <w:r w:rsidRPr="003C50B7">
              <w:rPr>
                <w:b/>
                <w:bCs/>
                <w:color w:val="FFFFFF"/>
                <w:sz w:val="20"/>
                <w:szCs w:val="20"/>
                <w:vertAlign w:val="superscript"/>
                <w:lang w:eastAsia="fr-FR"/>
              </w:rPr>
              <w:t>3</w:t>
            </w:r>
            <w:r w:rsidRPr="003C50B7">
              <w:rPr>
                <w:b/>
                <w:bCs/>
                <w:color w:val="FFFFFF"/>
                <w:sz w:val="20"/>
                <w:szCs w:val="20"/>
                <w:lang w:eastAsia="fr-FR"/>
              </w:rPr>
              <w:t>)</w:t>
            </w:r>
          </w:p>
        </w:tc>
      </w:tr>
      <w:tr w:rsidR="00246793" w:rsidRPr="00246793" w14:paraId="60E5928A" w14:textId="77777777" w:rsidTr="005D385E">
        <w:trPr>
          <w:jc w:val="center"/>
        </w:trPr>
        <w:tc>
          <w:tcPr>
            <w:tcW w:w="1654" w:type="dxa"/>
            <w:vMerge/>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7C16FB36" w14:textId="77777777" w:rsidR="00246793" w:rsidRPr="003C50B7" w:rsidRDefault="00246793" w:rsidP="005D385E">
            <w:pPr>
              <w:jc w:val="center"/>
              <w:rPr>
                <w:b/>
                <w:bCs/>
                <w:color w:val="FFFFFF"/>
                <w:sz w:val="20"/>
                <w:szCs w:val="20"/>
                <w:lang w:eastAsia="fr-FR"/>
              </w:rPr>
            </w:pPr>
          </w:p>
        </w:tc>
        <w:tc>
          <w:tcPr>
            <w:tcW w:w="1601" w:type="dxa"/>
            <w:vMerge/>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18B0307E" w14:textId="77777777" w:rsidR="00246793" w:rsidRPr="003C50B7" w:rsidRDefault="00246793" w:rsidP="005D385E">
            <w:pPr>
              <w:jc w:val="center"/>
              <w:rPr>
                <w:b/>
                <w:bCs/>
                <w:color w:val="FFFFFF"/>
                <w:sz w:val="20"/>
                <w:szCs w:val="20"/>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3A411E93"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A</w:t>
            </w:r>
          </w:p>
        </w:tc>
        <w:tc>
          <w:tcPr>
            <w:tcW w:w="992" w:type="dxa"/>
            <w:tcBorders>
              <w:top w:val="single" w:sz="4" w:space="0" w:color="auto"/>
              <w:left w:val="single" w:sz="4" w:space="0" w:color="auto"/>
              <w:bottom w:val="single" w:sz="4" w:space="0" w:color="auto"/>
              <w:right w:val="single" w:sz="4" w:space="0" w:color="auto"/>
            </w:tcBorders>
            <w:shd w:val="clear" w:color="auto" w:fill="5C75A2"/>
            <w:vAlign w:val="center"/>
          </w:tcPr>
          <w:p w14:paraId="6F3ECE35"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J</w:t>
            </w:r>
          </w:p>
        </w:tc>
        <w:tc>
          <w:tcPr>
            <w:tcW w:w="1276" w:type="dxa"/>
            <w:tcBorders>
              <w:top w:val="single" w:sz="4" w:space="0" w:color="auto"/>
              <w:left w:val="single" w:sz="4" w:space="0" w:color="auto"/>
              <w:bottom w:val="single" w:sz="4" w:space="0" w:color="auto"/>
              <w:right w:val="single" w:sz="4" w:space="0" w:color="auto"/>
            </w:tcBorders>
            <w:shd w:val="clear" w:color="auto" w:fill="5C75A2"/>
            <w:vAlign w:val="center"/>
          </w:tcPr>
          <w:p w14:paraId="5779BB2B"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Périodique</w:t>
            </w:r>
          </w:p>
        </w:tc>
        <w:tc>
          <w:tcPr>
            <w:tcW w:w="2268" w:type="dxa"/>
            <w:tcBorders>
              <w:top w:val="single" w:sz="4" w:space="0" w:color="auto"/>
              <w:left w:val="single" w:sz="4" w:space="0" w:color="auto"/>
              <w:bottom w:val="single" w:sz="4" w:space="0" w:color="auto"/>
              <w:right w:val="single" w:sz="4" w:space="0" w:color="auto"/>
            </w:tcBorders>
            <w:shd w:val="clear" w:color="auto" w:fill="5C75A2"/>
            <w:vAlign w:val="center"/>
          </w:tcPr>
          <w:p w14:paraId="740E3A75"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Périodique</w:t>
            </w:r>
          </w:p>
        </w:tc>
      </w:tr>
      <w:tr w:rsidR="00246793" w:rsidRPr="00246793" w14:paraId="012755BE" w14:textId="77777777" w:rsidTr="005D385E">
        <w:trPr>
          <w:jc w:val="center"/>
        </w:trPr>
        <w:tc>
          <w:tcPr>
            <w:tcW w:w="1654"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23391AC" w14:textId="46010BDB" w:rsidR="00246793" w:rsidRPr="003C50B7" w:rsidRDefault="00246793" w:rsidP="005D385E">
            <w:pPr>
              <w:jc w:val="center"/>
              <w:rPr>
                <w:b/>
                <w:bCs/>
                <w:sz w:val="20"/>
                <w:szCs w:val="20"/>
                <w:lang w:eastAsia="fr-FR"/>
              </w:rPr>
            </w:pPr>
            <w:r w:rsidRPr="003C50B7">
              <w:rPr>
                <w:b/>
                <w:bCs/>
                <w:sz w:val="20"/>
                <w:szCs w:val="20"/>
                <w:lang w:eastAsia="fr-FR"/>
              </w:rPr>
              <w:t>Biomasse</w:t>
            </w:r>
            <w:r w:rsidR="00856994">
              <w:rPr>
                <w:b/>
                <w:bCs/>
                <w:sz w:val="20"/>
                <w:szCs w:val="20"/>
                <w:lang w:eastAsia="fr-FR"/>
              </w:rPr>
              <w:t xml:space="preserve"> solide</w:t>
            </w:r>
            <w:r w:rsidRPr="003C50B7">
              <w:rPr>
                <w:b/>
                <w:bCs/>
                <w:sz w:val="20"/>
                <w:szCs w:val="20"/>
                <w:lang w:eastAsia="fr-FR"/>
              </w:rPr>
              <w:t>,</w:t>
            </w:r>
          </w:p>
          <w:p w14:paraId="6F684FA5" w14:textId="77777777" w:rsidR="00246793" w:rsidRPr="003C50B7" w:rsidRDefault="00246793" w:rsidP="005D385E">
            <w:pPr>
              <w:jc w:val="center"/>
              <w:rPr>
                <w:b/>
                <w:bCs/>
                <w:sz w:val="20"/>
                <w:szCs w:val="20"/>
                <w:lang w:eastAsia="fr-FR"/>
              </w:rPr>
            </w:pPr>
            <w:r w:rsidRPr="003C50B7">
              <w:rPr>
                <w:b/>
                <w:bCs/>
                <w:sz w:val="20"/>
                <w:szCs w:val="20"/>
                <w:lang w:eastAsia="fr-FR"/>
              </w:rPr>
              <w:t>Tourbe</w:t>
            </w:r>
          </w:p>
        </w:tc>
        <w:tc>
          <w:tcPr>
            <w:tcW w:w="1601"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FC456D1" w14:textId="77777777" w:rsidR="00246793" w:rsidRPr="003C50B7" w:rsidRDefault="00246793" w:rsidP="005D385E">
            <w:pPr>
              <w:jc w:val="center"/>
              <w:rPr>
                <w:b/>
                <w:bCs/>
                <w:sz w:val="20"/>
                <w:szCs w:val="20"/>
                <w:lang w:eastAsia="fr-FR"/>
              </w:rPr>
            </w:pPr>
            <w:r w:rsidRPr="003C50B7">
              <w:rPr>
                <w:b/>
                <w:bCs/>
                <w:sz w:val="20"/>
                <w:szCs w:val="20"/>
                <w:lang w:eastAsia="fr-FR"/>
              </w:rPr>
              <w:t>50 ≤ P &lt; 100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7A435CB9" w14:textId="77777777" w:rsidR="00246793" w:rsidRPr="003C50B7" w:rsidRDefault="00246793" w:rsidP="005D385E">
            <w:pPr>
              <w:jc w:val="center"/>
              <w:rPr>
                <w:b/>
                <w:bCs/>
                <w:sz w:val="20"/>
                <w:szCs w:val="20"/>
                <w:lang w:eastAsia="fr-FR"/>
              </w:rPr>
            </w:pPr>
            <w:r w:rsidRPr="003C50B7">
              <w:rPr>
                <w:b/>
                <w:bCs/>
                <w:sz w:val="20"/>
                <w:szCs w:val="20"/>
                <w:lang w:eastAsia="fr-FR"/>
              </w:rPr>
              <w:t>7</w:t>
            </w:r>
          </w:p>
          <w:p w14:paraId="05492C62" w14:textId="77777777" w:rsidR="00246793" w:rsidRPr="003C50B7" w:rsidRDefault="00246793" w:rsidP="005D385E">
            <w:pPr>
              <w:jc w:val="center"/>
              <w:rPr>
                <w:b/>
                <w:bCs/>
                <w:sz w:val="20"/>
                <w:szCs w:val="20"/>
                <w:lang w:eastAsia="fr-FR"/>
              </w:rPr>
            </w:pPr>
            <w:r w:rsidRPr="003C50B7">
              <w:rPr>
                <w:b/>
                <w:bCs/>
                <w:sz w:val="20"/>
                <w:szCs w:val="20"/>
                <w:lang w:eastAsia="fr-FR"/>
              </w:rPr>
              <w:t>(1)(2)</w:t>
            </w:r>
          </w:p>
        </w:tc>
        <w:tc>
          <w:tcPr>
            <w:tcW w:w="992"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633852CA" w14:textId="77777777" w:rsidR="00246793" w:rsidRPr="003C50B7" w:rsidRDefault="00246793" w:rsidP="005D385E">
            <w:pPr>
              <w:jc w:val="center"/>
              <w:rPr>
                <w:b/>
                <w:bCs/>
                <w:sz w:val="20"/>
                <w:szCs w:val="20"/>
                <w:lang w:eastAsia="fr-FR"/>
              </w:rPr>
            </w:pPr>
            <w:r w:rsidRPr="003C50B7">
              <w:rPr>
                <w:b/>
                <w:bCs/>
                <w:sz w:val="20"/>
                <w:szCs w:val="20"/>
                <w:lang w:eastAsia="fr-FR"/>
              </w:rPr>
              <w:t>10</w:t>
            </w:r>
          </w:p>
        </w:tc>
        <w:tc>
          <w:tcPr>
            <w:tcW w:w="1276" w:type="dxa"/>
            <w:vMerge w:val="restart"/>
            <w:tcBorders>
              <w:top w:val="single" w:sz="4" w:space="0" w:color="auto"/>
              <w:left w:val="single" w:sz="4" w:space="0" w:color="auto"/>
              <w:right w:val="single" w:sz="4" w:space="0" w:color="auto"/>
            </w:tcBorders>
            <w:shd w:val="clear" w:color="auto" w:fill="B4C6E7" w:themeFill="accent5" w:themeFillTint="66"/>
            <w:vAlign w:val="center"/>
          </w:tcPr>
          <w:p w14:paraId="02CCE927" w14:textId="77777777" w:rsidR="00246793" w:rsidRPr="003C50B7" w:rsidRDefault="00246793" w:rsidP="005D385E">
            <w:pPr>
              <w:jc w:val="center"/>
              <w:rPr>
                <w:b/>
                <w:bCs/>
                <w:sz w:val="20"/>
                <w:szCs w:val="20"/>
                <w:lang w:eastAsia="fr-FR"/>
              </w:rPr>
            </w:pPr>
            <w:r w:rsidRPr="003C50B7">
              <w:rPr>
                <w:b/>
                <w:bCs/>
                <w:sz w:val="20"/>
                <w:szCs w:val="20"/>
                <w:lang w:eastAsia="fr-FR"/>
              </w:rPr>
              <w:t>10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A192183" w14:textId="77777777" w:rsidR="00246793" w:rsidRPr="003C50B7" w:rsidRDefault="00246793" w:rsidP="005D385E">
            <w:pPr>
              <w:jc w:val="center"/>
              <w:rPr>
                <w:b/>
                <w:bCs/>
                <w:sz w:val="20"/>
                <w:szCs w:val="20"/>
                <w:lang w:eastAsia="fr-FR"/>
              </w:rPr>
            </w:pPr>
            <w:r w:rsidRPr="003C50B7">
              <w:rPr>
                <w:b/>
                <w:bCs/>
                <w:sz w:val="20"/>
                <w:szCs w:val="20"/>
                <w:lang w:eastAsia="fr-FR"/>
              </w:rPr>
              <w:t>1</w:t>
            </w:r>
          </w:p>
        </w:tc>
      </w:tr>
      <w:tr w:rsidR="00246793" w:rsidRPr="00246793" w14:paraId="0E49E40A" w14:textId="77777777" w:rsidTr="005D385E">
        <w:trPr>
          <w:jc w:val="center"/>
        </w:trPr>
        <w:tc>
          <w:tcPr>
            <w:tcW w:w="165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D111881" w14:textId="77777777" w:rsidR="00246793" w:rsidRPr="003C50B7" w:rsidRDefault="00246793" w:rsidP="005D385E">
            <w:pPr>
              <w:jc w:val="center"/>
              <w:rPr>
                <w:b/>
                <w:bCs/>
                <w:sz w:val="20"/>
                <w:szCs w:val="20"/>
                <w:lang w:eastAsia="fr-FR"/>
              </w:rPr>
            </w:pPr>
          </w:p>
        </w:tc>
        <w:tc>
          <w:tcPr>
            <w:tcW w:w="1601"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3E5EA2D" w14:textId="77777777" w:rsidR="00246793" w:rsidRPr="003C50B7" w:rsidRDefault="00246793" w:rsidP="005D385E">
            <w:pPr>
              <w:jc w:val="center"/>
              <w:rPr>
                <w:b/>
                <w:bCs/>
                <w:sz w:val="20"/>
                <w:szCs w:val="20"/>
                <w:lang w:eastAsia="fr-FR"/>
              </w:rPr>
            </w:pPr>
            <w:r w:rsidRPr="003C50B7">
              <w:rPr>
                <w:b/>
                <w:bCs/>
                <w:sz w:val="20"/>
                <w:szCs w:val="20"/>
                <w:lang w:eastAsia="fr-FR"/>
              </w:rPr>
              <w:t>100 ≤ P &lt; 300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655B28A" w14:textId="77777777" w:rsidR="00246793" w:rsidRPr="003C50B7" w:rsidRDefault="00246793" w:rsidP="005D385E">
            <w:pPr>
              <w:jc w:val="center"/>
              <w:rPr>
                <w:b/>
                <w:bCs/>
                <w:sz w:val="20"/>
                <w:szCs w:val="20"/>
                <w:lang w:eastAsia="fr-FR"/>
              </w:rPr>
            </w:pPr>
            <w:r w:rsidRPr="003C50B7">
              <w:rPr>
                <w:b/>
                <w:bCs/>
                <w:sz w:val="20"/>
                <w:szCs w:val="20"/>
                <w:lang w:eastAsia="fr-FR"/>
              </w:rPr>
              <w:t>5</w:t>
            </w:r>
          </w:p>
          <w:p w14:paraId="30AF2B14" w14:textId="77777777" w:rsidR="00246793" w:rsidRPr="003C50B7" w:rsidRDefault="00246793" w:rsidP="005D385E">
            <w:pPr>
              <w:jc w:val="center"/>
              <w:rPr>
                <w:b/>
                <w:bCs/>
                <w:sz w:val="20"/>
                <w:szCs w:val="20"/>
                <w:lang w:eastAsia="fr-FR"/>
              </w:rPr>
            </w:pPr>
            <w:r w:rsidRPr="003C50B7">
              <w:rPr>
                <w:b/>
                <w:bCs/>
                <w:sz w:val="20"/>
                <w:szCs w:val="20"/>
                <w:lang w:eastAsia="fr-FR"/>
              </w:rPr>
              <w:t>(1)(2)</w:t>
            </w:r>
          </w:p>
        </w:tc>
        <w:tc>
          <w:tcPr>
            <w:tcW w:w="992" w:type="dxa"/>
            <w:vMerge/>
            <w:tcBorders>
              <w:left w:val="single" w:sz="4" w:space="0" w:color="auto"/>
              <w:right w:val="single" w:sz="4" w:space="0" w:color="auto"/>
            </w:tcBorders>
            <w:shd w:val="clear" w:color="auto" w:fill="B4C6E7" w:themeFill="accent5" w:themeFillTint="66"/>
          </w:tcPr>
          <w:p w14:paraId="4B147B07" w14:textId="77777777" w:rsidR="00246793" w:rsidRPr="003C50B7" w:rsidRDefault="00246793" w:rsidP="005D385E">
            <w:pPr>
              <w:jc w:val="center"/>
              <w:rPr>
                <w:b/>
                <w:bCs/>
                <w:sz w:val="20"/>
                <w:szCs w:val="20"/>
                <w:lang w:eastAsia="fr-FR"/>
              </w:rPr>
            </w:pPr>
          </w:p>
        </w:tc>
        <w:tc>
          <w:tcPr>
            <w:tcW w:w="1276" w:type="dxa"/>
            <w:vMerge/>
            <w:tcBorders>
              <w:left w:val="single" w:sz="4" w:space="0" w:color="auto"/>
              <w:right w:val="single" w:sz="4" w:space="0" w:color="auto"/>
            </w:tcBorders>
            <w:shd w:val="clear" w:color="auto" w:fill="B4C6E7" w:themeFill="accent5" w:themeFillTint="66"/>
          </w:tcPr>
          <w:p w14:paraId="6BC0906F" w14:textId="77777777" w:rsidR="00246793" w:rsidRPr="003C50B7" w:rsidRDefault="00246793" w:rsidP="005D385E">
            <w:pPr>
              <w:jc w:val="center"/>
              <w:rPr>
                <w:b/>
                <w:bCs/>
                <w:sz w:val="20"/>
                <w:szCs w:val="20"/>
                <w:lang w:eastAsia="fr-FR"/>
              </w:rPr>
            </w:pPr>
          </w:p>
        </w:tc>
        <w:tc>
          <w:tcPr>
            <w:tcW w:w="226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5571EACF" w14:textId="77777777" w:rsidR="00246793" w:rsidRPr="003C50B7" w:rsidRDefault="00246793" w:rsidP="005D385E">
            <w:pPr>
              <w:jc w:val="center"/>
              <w:rPr>
                <w:b/>
                <w:bCs/>
                <w:sz w:val="20"/>
                <w:szCs w:val="20"/>
                <w:lang w:eastAsia="fr-FR"/>
              </w:rPr>
            </w:pPr>
          </w:p>
        </w:tc>
      </w:tr>
      <w:tr w:rsidR="00246793" w:rsidRPr="00246793" w14:paraId="015FA3A1" w14:textId="77777777" w:rsidTr="005D385E">
        <w:trPr>
          <w:jc w:val="center"/>
        </w:trPr>
        <w:tc>
          <w:tcPr>
            <w:tcW w:w="165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43BE0922" w14:textId="77777777" w:rsidR="00246793" w:rsidRPr="003C50B7" w:rsidRDefault="00246793" w:rsidP="005D385E">
            <w:pPr>
              <w:jc w:val="center"/>
              <w:rPr>
                <w:b/>
                <w:bCs/>
                <w:sz w:val="20"/>
                <w:szCs w:val="20"/>
                <w:lang w:eastAsia="fr-FR"/>
              </w:rPr>
            </w:pPr>
          </w:p>
        </w:tc>
        <w:tc>
          <w:tcPr>
            <w:tcW w:w="1601"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C712B59" w14:textId="77777777" w:rsidR="00246793" w:rsidRPr="003C50B7" w:rsidRDefault="00246793" w:rsidP="005D385E">
            <w:pPr>
              <w:jc w:val="center"/>
              <w:rPr>
                <w:b/>
                <w:bCs/>
                <w:sz w:val="20"/>
                <w:szCs w:val="20"/>
                <w:lang w:eastAsia="fr-FR"/>
              </w:rPr>
            </w:pPr>
            <w:r w:rsidRPr="003C50B7">
              <w:rPr>
                <w:b/>
                <w:bCs/>
                <w:sz w:val="20"/>
                <w:szCs w:val="20"/>
                <w:lang w:eastAsia="fr-FR"/>
              </w:rPr>
              <w:t>300 ≤ P</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4C98F8E8" w14:textId="77777777" w:rsidR="00246793" w:rsidRPr="003C50B7" w:rsidRDefault="00246793" w:rsidP="005D385E">
            <w:pPr>
              <w:jc w:val="center"/>
              <w:rPr>
                <w:b/>
                <w:bCs/>
                <w:sz w:val="20"/>
                <w:szCs w:val="20"/>
                <w:lang w:eastAsia="fr-FR"/>
              </w:rPr>
            </w:pPr>
            <w:r w:rsidRPr="003C50B7">
              <w:rPr>
                <w:b/>
                <w:bCs/>
                <w:sz w:val="20"/>
                <w:szCs w:val="20"/>
                <w:lang w:eastAsia="fr-FR"/>
              </w:rPr>
              <w:t>5</w:t>
            </w:r>
          </w:p>
          <w:p w14:paraId="2391B4A0" w14:textId="77777777" w:rsidR="00246793" w:rsidRPr="003C50B7" w:rsidRDefault="00246793" w:rsidP="005D385E">
            <w:pPr>
              <w:jc w:val="center"/>
              <w:rPr>
                <w:b/>
                <w:bCs/>
                <w:sz w:val="20"/>
                <w:szCs w:val="20"/>
                <w:lang w:eastAsia="fr-FR"/>
              </w:rPr>
            </w:pPr>
            <w:r w:rsidRPr="003C50B7">
              <w:rPr>
                <w:b/>
                <w:bCs/>
                <w:sz w:val="20"/>
                <w:szCs w:val="20"/>
                <w:lang w:eastAsia="fr-FR"/>
              </w:rPr>
              <w:t>(1)(2)</w:t>
            </w:r>
          </w:p>
        </w:tc>
        <w:tc>
          <w:tcPr>
            <w:tcW w:w="992" w:type="dxa"/>
            <w:vMerge/>
            <w:tcBorders>
              <w:left w:val="single" w:sz="4" w:space="0" w:color="auto"/>
              <w:right w:val="single" w:sz="4" w:space="0" w:color="auto"/>
            </w:tcBorders>
            <w:shd w:val="clear" w:color="auto" w:fill="B4C6E7" w:themeFill="accent5" w:themeFillTint="66"/>
          </w:tcPr>
          <w:p w14:paraId="27CB1786" w14:textId="77777777" w:rsidR="00246793" w:rsidRPr="003C50B7" w:rsidRDefault="00246793" w:rsidP="005D385E">
            <w:pPr>
              <w:jc w:val="center"/>
              <w:rPr>
                <w:b/>
                <w:bCs/>
                <w:sz w:val="20"/>
                <w:szCs w:val="20"/>
                <w:lang w:eastAsia="fr-FR"/>
              </w:rPr>
            </w:pPr>
          </w:p>
        </w:tc>
        <w:tc>
          <w:tcPr>
            <w:tcW w:w="1276" w:type="dxa"/>
            <w:vMerge/>
            <w:tcBorders>
              <w:left w:val="single" w:sz="4" w:space="0" w:color="auto"/>
              <w:right w:val="single" w:sz="4" w:space="0" w:color="auto"/>
            </w:tcBorders>
            <w:shd w:val="clear" w:color="auto" w:fill="B4C6E7" w:themeFill="accent5" w:themeFillTint="66"/>
          </w:tcPr>
          <w:p w14:paraId="35522867" w14:textId="77777777" w:rsidR="00246793" w:rsidRPr="003C50B7" w:rsidRDefault="00246793" w:rsidP="005D385E">
            <w:pPr>
              <w:jc w:val="center"/>
              <w:rPr>
                <w:b/>
                <w:bCs/>
                <w:sz w:val="20"/>
                <w:szCs w:val="20"/>
                <w:lang w:eastAsia="fr-FR"/>
              </w:rPr>
            </w:pPr>
          </w:p>
        </w:tc>
        <w:tc>
          <w:tcPr>
            <w:tcW w:w="226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2BE4BE27" w14:textId="77777777" w:rsidR="00246793" w:rsidRPr="003C50B7" w:rsidRDefault="00246793" w:rsidP="005D385E">
            <w:pPr>
              <w:jc w:val="center"/>
              <w:rPr>
                <w:b/>
                <w:bCs/>
                <w:sz w:val="20"/>
                <w:szCs w:val="20"/>
                <w:lang w:eastAsia="fr-FR"/>
              </w:rPr>
            </w:pPr>
          </w:p>
        </w:tc>
      </w:tr>
      <w:tr w:rsidR="00246793" w:rsidRPr="00246793" w14:paraId="6A954E2D" w14:textId="77777777" w:rsidTr="005D385E">
        <w:trPr>
          <w:jc w:val="center"/>
        </w:trPr>
        <w:tc>
          <w:tcPr>
            <w:tcW w:w="1654"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4D151993" w14:textId="77777777" w:rsidR="00246793" w:rsidRPr="003C50B7" w:rsidRDefault="00246793" w:rsidP="005D385E">
            <w:pPr>
              <w:jc w:val="center"/>
              <w:rPr>
                <w:b/>
                <w:bCs/>
                <w:sz w:val="20"/>
                <w:szCs w:val="20"/>
                <w:lang w:eastAsia="fr-FR"/>
              </w:rPr>
            </w:pPr>
            <w:r w:rsidRPr="003C50B7">
              <w:rPr>
                <w:b/>
                <w:bCs/>
                <w:sz w:val="20"/>
                <w:szCs w:val="20"/>
                <w:lang w:eastAsia="fr-FR"/>
              </w:rPr>
              <w:t>Renvoi</w:t>
            </w:r>
          </w:p>
        </w:tc>
        <w:tc>
          <w:tcPr>
            <w:tcW w:w="4862"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D82FE2F" w14:textId="77777777" w:rsidR="00246793" w:rsidRPr="003C50B7" w:rsidRDefault="00246793" w:rsidP="005D385E">
            <w:pPr>
              <w:jc w:val="center"/>
              <w:rPr>
                <w:b/>
                <w:bCs/>
                <w:sz w:val="20"/>
                <w:szCs w:val="20"/>
                <w:lang w:eastAsia="fr-FR"/>
              </w:rPr>
            </w:pPr>
            <w:r w:rsidRPr="003C50B7">
              <w:rPr>
                <w:b/>
                <w:bCs/>
                <w:sz w:val="20"/>
                <w:szCs w:val="20"/>
                <w:lang w:eastAsia="fr-FR"/>
              </w:rPr>
              <w:t>Conditions</w:t>
            </w:r>
          </w:p>
        </w:tc>
        <w:tc>
          <w:tcPr>
            <w:tcW w:w="2268"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55E37F3" w14:textId="77777777" w:rsidR="00246793" w:rsidRPr="003C50B7" w:rsidRDefault="00246793" w:rsidP="005D385E">
            <w:pPr>
              <w:jc w:val="center"/>
              <w:rPr>
                <w:b/>
                <w:bCs/>
                <w:sz w:val="20"/>
                <w:szCs w:val="20"/>
                <w:lang w:eastAsia="fr-FR"/>
              </w:rPr>
            </w:pPr>
            <w:r w:rsidRPr="003C50B7">
              <w:rPr>
                <w:b/>
                <w:bCs/>
                <w:sz w:val="20"/>
                <w:szCs w:val="20"/>
                <w:lang w:eastAsia="fr-FR"/>
              </w:rPr>
              <w:t>Valeur limite d’émission (mg/Nm</w:t>
            </w:r>
            <w:r w:rsidRPr="003C50B7">
              <w:rPr>
                <w:b/>
                <w:bCs/>
                <w:sz w:val="20"/>
                <w:szCs w:val="20"/>
                <w:vertAlign w:val="superscript"/>
                <w:lang w:eastAsia="fr-FR"/>
              </w:rPr>
              <w:t>3</w:t>
            </w:r>
            <w:r w:rsidRPr="003C50B7">
              <w:rPr>
                <w:b/>
                <w:bCs/>
                <w:sz w:val="20"/>
                <w:szCs w:val="20"/>
                <w:lang w:eastAsia="fr-FR"/>
              </w:rPr>
              <w:t>)</w:t>
            </w:r>
          </w:p>
        </w:tc>
      </w:tr>
      <w:tr w:rsidR="00246793" w:rsidRPr="00246793" w14:paraId="27A0C12D" w14:textId="77777777" w:rsidTr="005D385E">
        <w:trPr>
          <w:jc w:val="center"/>
        </w:trPr>
        <w:tc>
          <w:tcPr>
            <w:tcW w:w="1654"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CE4F993" w14:textId="77777777" w:rsidR="00246793" w:rsidRPr="003C50B7" w:rsidRDefault="00246793" w:rsidP="005D385E">
            <w:pPr>
              <w:jc w:val="center"/>
              <w:rPr>
                <w:b/>
                <w:bCs/>
                <w:sz w:val="20"/>
                <w:szCs w:val="20"/>
                <w:lang w:eastAsia="fr-FR"/>
              </w:rPr>
            </w:pPr>
            <w:r w:rsidRPr="003C50B7">
              <w:rPr>
                <w:b/>
                <w:bCs/>
                <w:sz w:val="20"/>
                <w:szCs w:val="20"/>
                <w:lang w:eastAsia="fr-FR"/>
              </w:rPr>
              <w:t>(1)</w:t>
            </w:r>
          </w:p>
        </w:tc>
        <w:tc>
          <w:tcPr>
            <w:tcW w:w="4862"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1CBC70F" w14:textId="4F81ADBC" w:rsidR="00246793" w:rsidRDefault="00246793" w:rsidP="005D385E">
            <w:pPr>
              <w:jc w:val="both"/>
              <w:rPr>
                <w:sz w:val="20"/>
                <w:szCs w:val="20"/>
              </w:rPr>
            </w:pPr>
            <w:r w:rsidRPr="003C50B7">
              <w:rPr>
                <w:sz w:val="20"/>
                <w:szCs w:val="20"/>
              </w:rPr>
              <w:t>Dans le cas des installations brûlant des combustibles à teneur moyenne en chlore égale ou supérieure à 0,1 % (poids sec).</w:t>
            </w:r>
          </w:p>
          <w:p w14:paraId="77476573" w14:textId="1067B242" w:rsidR="00221B66" w:rsidRPr="003C50B7" w:rsidRDefault="00221B66" w:rsidP="005D385E">
            <w:pPr>
              <w:jc w:val="both"/>
              <w:rPr>
                <w:sz w:val="20"/>
                <w:szCs w:val="20"/>
              </w:rPr>
            </w:pPr>
            <w:r>
              <w:rPr>
                <w:sz w:val="20"/>
                <w:szCs w:val="20"/>
              </w:rPr>
              <w:t>La moyenne journalière ne s’applique pas à ces installations.</w:t>
            </w:r>
          </w:p>
        </w:tc>
        <w:tc>
          <w:tcPr>
            <w:tcW w:w="2268"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90BE018" w14:textId="77777777" w:rsidR="00246793" w:rsidRPr="003C50B7" w:rsidRDefault="00246793" w:rsidP="005D385E">
            <w:pPr>
              <w:jc w:val="center"/>
              <w:rPr>
                <w:b/>
                <w:bCs/>
                <w:sz w:val="20"/>
                <w:szCs w:val="20"/>
                <w:lang w:eastAsia="fr-FR"/>
              </w:rPr>
            </w:pPr>
            <w:proofErr w:type="spellStart"/>
            <w:r w:rsidRPr="003C50B7">
              <w:rPr>
                <w:b/>
                <w:bCs/>
                <w:sz w:val="20"/>
                <w:szCs w:val="20"/>
                <w:lang w:eastAsia="fr-FR"/>
              </w:rPr>
              <w:t>HCl</w:t>
            </w:r>
            <w:proofErr w:type="spellEnd"/>
            <w:r w:rsidRPr="003C50B7">
              <w:rPr>
                <w:b/>
                <w:bCs/>
                <w:sz w:val="20"/>
                <w:szCs w:val="20"/>
                <w:lang w:eastAsia="fr-FR"/>
              </w:rPr>
              <w:t xml:space="preserve"> : </w:t>
            </w:r>
            <w:r w:rsidRPr="003C50B7">
              <w:rPr>
                <w:b/>
                <w:bCs/>
                <w:sz w:val="20"/>
                <w:szCs w:val="20"/>
                <w:shd w:val="clear" w:color="auto" w:fill="B4C6E7" w:themeFill="accent5" w:themeFillTint="66"/>
                <w:lang w:eastAsia="fr-FR"/>
              </w:rPr>
              <w:t>A = 10</w:t>
            </w:r>
          </w:p>
        </w:tc>
      </w:tr>
      <w:tr w:rsidR="00246793" w:rsidRPr="00246793" w14:paraId="2EF490D7" w14:textId="77777777" w:rsidTr="005D385E">
        <w:trPr>
          <w:jc w:val="center"/>
        </w:trPr>
        <w:tc>
          <w:tcPr>
            <w:tcW w:w="1654"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D1FA7A0" w14:textId="77777777" w:rsidR="00246793" w:rsidRPr="003C50B7" w:rsidRDefault="00246793" w:rsidP="005D385E">
            <w:pPr>
              <w:jc w:val="center"/>
              <w:rPr>
                <w:b/>
                <w:bCs/>
                <w:sz w:val="20"/>
                <w:szCs w:val="20"/>
                <w:lang w:eastAsia="fr-FR"/>
              </w:rPr>
            </w:pPr>
            <w:r w:rsidRPr="003C50B7">
              <w:rPr>
                <w:b/>
                <w:bCs/>
                <w:sz w:val="20"/>
                <w:szCs w:val="20"/>
                <w:lang w:eastAsia="fr-FR"/>
              </w:rPr>
              <w:t>(2)</w:t>
            </w:r>
          </w:p>
        </w:tc>
        <w:tc>
          <w:tcPr>
            <w:tcW w:w="4862" w:type="dxa"/>
            <w:gridSpan w:val="4"/>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226E7B85" w14:textId="77777777" w:rsidR="00246793" w:rsidRPr="003C50B7" w:rsidRDefault="00246793" w:rsidP="005D385E">
            <w:pPr>
              <w:jc w:val="both"/>
              <w:rPr>
                <w:sz w:val="20"/>
                <w:szCs w:val="20"/>
              </w:rPr>
            </w:pPr>
            <w:r w:rsidRPr="003C50B7">
              <w:rPr>
                <w:sz w:val="20"/>
                <w:szCs w:val="20"/>
              </w:rPr>
              <w:t>Dans le cas des installations exploitées moins de 1500 heures par an</w:t>
            </w:r>
          </w:p>
        </w:tc>
        <w:tc>
          <w:tcPr>
            <w:tcW w:w="2268"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385615B" w14:textId="77777777" w:rsidR="00246793" w:rsidRPr="003C50B7" w:rsidRDefault="00246793" w:rsidP="005D385E">
            <w:pPr>
              <w:jc w:val="center"/>
              <w:rPr>
                <w:b/>
                <w:bCs/>
                <w:sz w:val="20"/>
                <w:szCs w:val="20"/>
                <w:lang w:eastAsia="fr-FR"/>
              </w:rPr>
            </w:pPr>
            <w:proofErr w:type="spellStart"/>
            <w:r w:rsidRPr="003C50B7">
              <w:rPr>
                <w:b/>
                <w:bCs/>
                <w:sz w:val="20"/>
                <w:szCs w:val="20"/>
                <w:lang w:eastAsia="fr-FR"/>
              </w:rPr>
              <w:t>HCl</w:t>
            </w:r>
            <w:proofErr w:type="spellEnd"/>
            <w:r w:rsidRPr="003C50B7">
              <w:rPr>
                <w:b/>
                <w:bCs/>
                <w:sz w:val="20"/>
                <w:szCs w:val="20"/>
                <w:lang w:eastAsia="fr-FR"/>
              </w:rPr>
              <w:t xml:space="preserve"> : </w:t>
            </w:r>
            <w:r w:rsidRPr="003C50B7">
              <w:rPr>
                <w:b/>
                <w:bCs/>
                <w:sz w:val="20"/>
                <w:szCs w:val="20"/>
                <w:shd w:val="clear" w:color="auto" w:fill="B4C6E7" w:themeFill="accent5" w:themeFillTint="66"/>
                <w:lang w:eastAsia="fr-FR"/>
              </w:rPr>
              <w:t>A = 10</w:t>
            </w:r>
          </w:p>
        </w:tc>
      </w:tr>
    </w:tbl>
    <w:p w14:paraId="77654518" w14:textId="29FAC61D" w:rsidR="00246793" w:rsidRPr="003C50B7" w:rsidRDefault="003C50B7" w:rsidP="002B0DC1">
      <w:pPr>
        <w:jc w:val="both"/>
        <w:rPr>
          <w:color w:val="000000"/>
          <w:lang w:eastAsia="fr-FR"/>
        </w:rPr>
      </w:pPr>
      <w:bookmarkStart w:id="27" w:name="_Hlk160202144"/>
      <w:r>
        <w:rPr>
          <w:color w:val="000000"/>
          <w:lang w:eastAsia="fr-FR"/>
        </w:rPr>
        <w:t>« </w:t>
      </w:r>
      <w:r w:rsidR="00246793" w:rsidRPr="003C50B7">
        <w:rPr>
          <w:color w:val="000000"/>
          <w:lang w:eastAsia="fr-FR"/>
        </w:rPr>
        <w:t xml:space="preserve">La valeur de </w:t>
      </w:r>
      <w:proofErr w:type="spellStart"/>
      <w:r w:rsidR="00246793" w:rsidRPr="003C50B7">
        <w:rPr>
          <w:color w:val="000000"/>
          <w:lang w:eastAsia="fr-FR"/>
        </w:rPr>
        <w:t>HCl</w:t>
      </w:r>
      <w:proofErr w:type="spellEnd"/>
      <w:r w:rsidR="00246793" w:rsidRPr="003C50B7">
        <w:rPr>
          <w:color w:val="000000"/>
          <w:lang w:eastAsia="fr-FR"/>
        </w:rPr>
        <w:t xml:space="preserve"> pour la biomasse solide ou la tourbe peut être adaptée par le préfet sur la base d'éléments technico-économiques fournis par l'exploitant montrant l'impossibilité d'atteindre ces valeurs en raison du combustible ou de la technologie de combustion utilisés, des performances des meilleures techniques disponibles et des contraintes liées à l'environnement local afin de garantir la protection des intérêts mentionnés à l'</w:t>
      </w:r>
      <w:hyperlink r:id="rId12" w:tooltip="Code de l" w:history="1">
        <w:r w:rsidR="00246793" w:rsidRPr="003C50B7">
          <w:rPr>
            <w:color w:val="4A5E81"/>
            <w:u w:val="single"/>
            <w:lang w:eastAsia="fr-FR"/>
          </w:rPr>
          <w:t>article L.</w:t>
        </w:r>
        <w:r w:rsidR="008A6D4F">
          <w:rPr>
            <w:color w:val="4A5E81"/>
            <w:u w:val="single"/>
            <w:lang w:eastAsia="fr-FR"/>
          </w:rPr>
          <w:t xml:space="preserve"> </w:t>
        </w:r>
        <w:r w:rsidR="00246793" w:rsidRPr="003C50B7">
          <w:rPr>
            <w:color w:val="4A5E81"/>
            <w:u w:val="single"/>
            <w:lang w:eastAsia="fr-FR"/>
          </w:rPr>
          <w:t>511-1 du code de l'environnement</w:t>
        </w:r>
      </w:hyperlink>
      <w:r w:rsidR="00246793" w:rsidRPr="003C50B7">
        <w:rPr>
          <w:color w:val="000000"/>
          <w:lang w:eastAsia="fr-FR"/>
        </w:rPr>
        <w:t>. Les valeurs déterminées par le préfet ne dépassent en aucun cas :</w:t>
      </w:r>
    </w:p>
    <w:p w14:paraId="0318A461" w14:textId="5F14B092" w:rsidR="00246793" w:rsidRPr="003C50B7" w:rsidRDefault="003C50B7" w:rsidP="002B0DC1">
      <w:pPr>
        <w:ind w:left="708"/>
        <w:jc w:val="both"/>
        <w:rPr>
          <w:color w:val="000000"/>
          <w:lang w:eastAsia="fr-FR"/>
        </w:rPr>
      </w:pPr>
      <w:r>
        <w:rPr>
          <w:color w:val="000000"/>
          <w:lang w:eastAsia="fr-FR"/>
        </w:rPr>
        <w:t>« </w:t>
      </w:r>
      <w:r w:rsidR="00246793" w:rsidRPr="003C50B7">
        <w:rPr>
          <w:color w:val="000000"/>
          <w:lang w:eastAsia="fr-FR"/>
        </w:rPr>
        <w:t xml:space="preserve">- </w:t>
      </w:r>
      <w:r w:rsidR="00246793" w:rsidRPr="003C50B7">
        <w:rPr>
          <w:color w:val="000000"/>
          <w:shd w:val="clear" w:color="auto" w:fill="E2EFD9" w:themeFill="accent6" w:themeFillTint="33"/>
          <w:lang w:eastAsia="fr-FR"/>
        </w:rPr>
        <w:t>12 mg/Nm</w:t>
      </w:r>
      <w:r w:rsidR="00246793" w:rsidRPr="003C50B7">
        <w:rPr>
          <w:color w:val="000000"/>
          <w:shd w:val="clear" w:color="auto" w:fill="E2EFD9" w:themeFill="accent6" w:themeFillTint="33"/>
          <w:vertAlign w:val="superscript"/>
          <w:lang w:eastAsia="fr-FR"/>
        </w:rPr>
        <w:t>3</w:t>
      </w:r>
      <w:r w:rsidR="00246793" w:rsidRPr="003C50B7">
        <w:rPr>
          <w:color w:val="000000"/>
          <w:shd w:val="clear" w:color="auto" w:fill="E2EFD9" w:themeFill="accent6" w:themeFillTint="33"/>
          <w:lang w:eastAsia="fr-FR"/>
        </w:rPr>
        <w:t xml:space="preserve"> en </w:t>
      </w:r>
      <w:proofErr w:type="spellStart"/>
      <w:r w:rsidR="00246793" w:rsidRPr="003C50B7">
        <w:rPr>
          <w:color w:val="000000"/>
          <w:shd w:val="clear" w:color="auto" w:fill="E2EFD9" w:themeFill="accent6" w:themeFillTint="33"/>
          <w:lang w:eastAsia="fr-FR"/>
        </w:rPr>
        <w:t>HCl</w:t>
      </w:r>
      <w:proofErr w:type="spellEnd"/>
      <w:r w:rsidR="00246793" w:rsidRPr="003C50B7">
        <w:rPr>
          <w:color w:val="000000"/>
          <w:lang w:eastAsia="fr-FR"/>
        </w:rPr>
        <w:t xml:space="preserve"> en valeur annuelle ou journalière ou sur la période d’échantillonnage,</w:t>
      </w:r>
    </w:p>
    <w:p w14:paraId="6366DE0D" w14:textId="69B16701" w:rsidR="00246793" w:rsidRDefault="003C50B7" w:rsidP="002B0DC1">
      <w:pPr>
        <w:ind w:left="708"/>
        <w:jc w:val="both"/>
        <w:rPr>
          <w:color w:val="000000"/>
          <w:lang w:eastAsia="fr-FR"/>
        </w:rPr>
      </w:pPr>
      <w:r>
        <w:rPr>
          <w:color w:val="000000"/>
          <w:lang w:eastAsia="fr-FR"/>
        </w:rPr>
        <w:t>« </w:t>
      </w:r>
      <w:r w:rsidR="00246793" w:rsidRPr="003C50B7">
        <w:rPr>
          <w:color w:val="000000"/>
          <w:lang w:eastAsia="fr-FR"/>
        </w:rPr>
        <w:t xml:space="preserve">- </w:t>
      </w:r>
      <w:r w:rsidR="00246793" w:rsidRPr="003C50B7">
        <w:rPr>
          <w:color w:val="000000"/>
          <w:shd w:val="clear" w:color="auto" w:fill="E2EFD9" w:themeFill="accent6" w:themeFillTint="33"/>
          <w:lang w:eastAsia="fr-FR"/>
        </w:rPr>
        <w:t>15 mg/Nm</w:t>
      </w:r>
      <w:r w:rsidR="00246793" w:rsidRPr="003C50B7">
        <w:rPr>
          <w:color w:val="000000"/>
          <w:shd w:val="clear" w:color="auto" w:fill="E2EFD9" w:themeFill="accent6" w:themeFillTint="33"/>
          <w:vertAlign w:val="superscript"/>
          <w:lang w:eastAsia="fr-FR"/>
        </w:rPr>
        <w:t>3</w:t>
      </w:r>
      <w:r w:rsidR="00246793" w:rsidRPr="003C50B7">
        <w:rPr>
          <w:color w:val="000000"/>
          <w:shd w:val="clear" w:color="auto" w:fill="E2EFD9" w:themeFill="accent6" w:themeFillTint="33"/>
          <w:lang w:eastAsia="fr-FR"/>
        </w:rPr>
        <w:t xml:space="preserve"> en </w:t>
      </w:r>
      <w:proofErr w:type="spellStart"/>
      <w:r w:rsidR="00246793" w:rsidRPr="003C50B7">
        <w:rPr>
          <w:color w:val="000000"/>
          <w:shd w:val="clear" w:color="auto" w:fill="E2EFD9" w:themeFill="accent6" w:themeFillTint="33"/>
          <w:lang w:eastAsia="fr-FR"/>
        </w:rPr>
        <w:t>HCl</w:t>
      </w:r>
      <w:proofErr w:type="spellEnd"/>
      <w:r w:rsidR="00246793" w:rsidRPr="003C50B7">
        <w:rPr>
          <w:color w:val="000000"/>
          <w:lang w:eastAsia="fr-FR"/>
        </w:rPr>
        <w:t xml:space="preserve"> en valeur annuelle pour les installations brûlant des combustibles à teneur moyenne en chlore égale ou supérieure à 0,1</w:t>
      </w:r>
      <w:r w:rsidR="00D23B3A">
        <w:rPr>
          <w:color w:val="000000"/>
          <w:lang w:eastAsia="fr-FR"/>
        </w:rPr>
        <w:t xml:space="preserve"> </w:t>
      </w:r>
      <w:r w:rsidR="00246793" w:rsidRPr="003C50B7">
        <w:rPr>
          <w:color w:val="000000"/>
          <w:lang w:eastAsia="fr-FR"/>
        </w:rPr>
        <w:t>% (poids sec) ou exploitées moins de 1500 heures par an.</w:t>
      </w:r>
    </w:p>
    <w:p w14:paraId="1D298441" w14:textId="77777777" w:rsidR="00FB33D1" w:rsidRPr="003C50B7" w:rsidRDefault="00FB33D1" w:rsidP="002B0DC1">
      <w:pPr>
        <w:ind w:left="708"/>
        <w:jc w:val="both"/>
        <w:rPr>
          <w:lang w:eastAsia="fr-FR"/>
        </w:rPr>
      </w:pPr>
    </w:p>
    <w:bookmarkEnd w:id="27"/>
    <w:p w14:paraId="7C617722" w14:textId="2C9DAEA6" w:rsidR="00246793" w:rsidRPr="003C50B7" w:rsidRDefault="003C50B7" w:rsidP="002B0DC1">
      <w:pPr>
        <w:spacing w:after="240"/>
        <w:jc w:val="both"/>
        <w:rPr>
          <w:bCs/>
          <w:lang w:eastAsia="fr-FR"/>
        </w:rPr>
      </w:pPr>
      <w:r w:rsidRPr="003C50B7">
        <w:rPr>
          <w:lang w:eastAsia="fr-FR"/>
        </w:rPr>
        <w:t>« </w:t>
      </w:r>
      <w:r w:rsidR="00221B66">
        <w:rPr>
          <w:lang w:eastAsia="fr-FR"/>
        </w:rPr>
        <w:t>2°</w:t>
      </w:r>
      <w:r w:rsidR="00246793" w:rsidRPr="003C50B7">
        <w:rPr>
          <w:lang w:eastAsia="fr-FR"/>
        </w:rPr>
        <w:t xml:space="preserve"> </w:t>
      </w:r>
      <w:r w:rsidR="00221B66">
        <w:rPr>
          <w:lang w:eastAsia="fr-FR"/>
        </w:rPr>
        <w:t>C</w:t>
      </w:r>
      <w:r w:rsidR="00246793" w:rsidRPr="003C50B7">
        <w:rPr>
          <w:lang w:eastAsia="fr-FR"/>
        </w:rPr>
        <w:t xml:space="preserve">haudières </w:t>
      </w:r>
      <w:r w:rsidR="00C40620">
        <w:rPr>
          <w:lang w:eastAsia="fr-FR"/>
        </w:rPr>
        <w:t xml:space="preserve">dont l’autorisation a été délivrée </w:t>
      </w:r>
      <w:r w:rsidR="006B21BB">
        <w:rPr>
          <w:lang w:eastAsia="fr-FR"/>
        </w:rPr>
        <w:t>avant le</w:t>
      </w:r>
      <w:r w:rsidR="00246793" w:rsidRPr="003C50B7">
        <w:rPr>
          <w:lang w:eastAsia="fr-FR"/>
        </w:rPr>
        <w:t xml:space="preserve"> 17 août 2017</w:t>
      </w:r>
      <w:r w:rsidR="00E37A4B">
        <w:rPr>
          <w:bCs/>
          <w:lang w:eastAsia="fr-FR"/>
        </w:rPr>
        <w:t xml:space="preserve"> </w:t>
      </w:r>
      <w:r w:rsidR="00246793" w:rsidRPr="003C50B7">
        <w:rPr>
          <w:bCs/>
          <w:lang w:eastAsia="fr-FR"/>
        </w:rPr>
        <w:t>:</w:t>
      </w:r>
    </w:p>
    <w:p w14:paraId="42243F19" w14:textId="7B62BFD6" w:rsidR="00246793" w:rsidRPr="003C50B7" w:rsidRDefault="003C50B7" w:rsidP="002B0DC1">
      <w:pPr>
        <w:pStyle w:val="Paragraphedeliste"/>
        <w:spacing w:after="24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 </w:t>
      </w:r>
      <w:r w:rsidR="00246793" w:rsidRPr="00E37A4B">
        <w:rPr>
          <w:rFonts w:ascii="Times New Roman" w:eastAsia="Times New Roman" w:hAnsi="Times New Roman"/>
          <w:bCs/>
          <w:sz w:val="24"/>
          <w:szCs w:val="24"/>
        </w:rPr>
        <w:t>Charbon, lignite, combustion de combustibles issus de procédés de l’industrie chimique dans des chaudières</w:t>
      </w:r>
    </w:p>
    <w:p w14:paraId="039583B8" w14:textId="77777777" w:rsidR="00246793" w:rsidRPr="003C50B7" w:rsidRDefault="00246793" w:rsidP="002B0DC1">
      <w:pPr>
        <w:pStyle w:val="Paragraphedeliste"/>
        <w:spacing w:after="240"/>
        <w:jc w:val="both"/>
        <w:rPr>
          <w:rFonts w:ascii="Times New Roman" w:eastAsia="Times New Roman" w:hAnsi="Times New Roman"/>
          <w:bCs/>
          <w:sz w:val="24"/>
          <w:szCs w:val="24"/>
        </w:rPr>
      </w:pPr>
    </w:p>
    <w:p w14:paraId="1A69C1FB" w14:textId="77777777" w:rsidR="00F67F0E" w:rsidRDefault="003C50B7" w:rsidP="002B0DC1">
      <w:pPr>
        <w:pStyle w:val="Paragraphedeliste"/>
        <w:spacing w:after="240"/>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sidR="00246793" w:rsidRPr="003C50B7">
        <w:rPr>
          <w:rFonts w:ascii="Times New Roman" w:eastAsia="Times New Roman" w:hAnsi="Times New Roman"/>
          <w:color w:val="000000"/>
          <w:sz w:val="24"/>
          <w:szCs w:val="24"/>
        </w:rPr>
        <w:t xml:space="preserve">Les valeurs limites d’émission sont </w:t>
      </w:r>
      <w:r w:rsidR="00F67F0E">
        <w:rPr>
          <w:rFonts w:ascii="Times New Roman" w:eastAsia="Times New Roman" w:hAnsi="Times New Roman"/>
          <w:color w:val="000000"/>
          <w:sz w:val="24"/>
          <w:szCs w:val="24"/>
        </w:rPr>
        <w:t>les suivantes</w:t>
      </w:r>
      <w:r w:rsidR="00246793" w:rsidRPr="003C50B7">
        <w:rPr>
          <w:rFonts w:ascii="Times New Roman" w:eastAsia="Times New Roman" w:hAnsi="Times New Roman"/>
          <w:color w:val="000000"/>
          <w:sz w:val="24"/>
          <w:szCs w:val="24"/>
        </w:rPr>
        <w:t xml:space="preserve">. </w:t>
      </w:r>
    </w:p>
    <w:p w14:paraId="19EAD0F5" w14:textId="3D6BA505" w:rsidR="00246793" w:rsidRPr="003C50B7" w:rsidRDefault="00F67F0E" w:rsidP="002B0DC1">
      <w:pPr>
        <w:pStyle w:val="Paragraphedeliste"/>
        <w:spacing w:after="240"/>
        <w:ind w:left="0"/>
        <w:jc w:val="both"/>
        <w:rPr>
          <w:rFonts w:ascii="Times New Roman" w:eastAsia="Times New Roman" w:hAnsi="Times New Roman"/>
          <w:bCs/>
          <w:color w:val="4A5E81"/>
          <w:sz w:val="24"/>
          <w:szCs w:val="24"/>
        </w:rPr>
      </w:pPr>
      <w:r>
        <w:rPr>
          <w:rFonts w:ascii="Times New Roman" w:eastAsia="Times New Roman" w:hAnsi="Times New Roman"/>
          <w:color w:val="000000"/>
          <w:sz w:val="24"/>
          <w:szCs w:val="24"/>
        </w:rPr>
        <w:t>« </w:t>
      </w:r>
      <w:r w:rsidR="00246793" w:rsidRPr="003C50B7">
        <w:rPr>
          <w:rFonts w:ascii="Times New Roman" w:eastAsia="Times New Roman" w:hAnsi="Times New Roman"/>
          <w:color w:val="000000"/>
          <w:sz w:val="24"/>
          <w:szCs w:val="24"/>
        </w:rPr>
        <w:t xml:space="preserve">Dans le cas des installations exploitées moins de 500h par an, les valeurs limites d’émission du </w:t>
      </w:r>
      <w:r w:rsidR="00D23B3A">
        <w:rPr>
          <w:rFonts w:ascii="Times New Roman" w:eastAsia="Times New Roman" w:hAnsi="Times New Roman"/>
          <w:color w:val="000000"/>
          <w:sz w:val="24"/>
          <w:szCs w:val="24"/>
        </w:rPr>
        <w:t xml:space="preserve">a) du </w:t>
      </w:r>
      <w:r w:rsidR="00246793" w:rsidRPr="003C50B7">
        <w:rPr>
          <w:rFonts w:ascii="Times New Roman" w:eastAsia="Times New Roman" w:hAnsi="Times New Roman"/>
          <w:color w:val="000000"/>
          <w:sz w:val="24"/>
          <w:szCs w:val="24"/>
        </w:rPr>
        <w:t>IV du présent article s’appliquent :</w:t>
      </w:r>
    </w:p>
    <w:tbl>
      <w:tblPr>
        <w:tblW w:w="9073"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2448"/>
        <w:gridCol w:w="2513"/>
        <w:gridCol w:w="1985"/>
      </w:tblGrid>
      <w:tr w:rsidR="00246793" w:rsidRPr="003C50B7" w14:paraId="6C25F281" w14:textId="77777777" w:rsidTr="005D385E">
        <w:trPr>
          <w:jc w:val="center"/>
        </w:trPr>
        <w:tc>
          <w:tcPr>
            <w:tcW w:w="2127" w:type="dxa"/>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hideMark/>
          </w:tcPr>
          <w:p w14:paraId="605F19CC"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Combustibles</w:t>
            </w:r>
          </w:p>
        </w:tc>
        <w:tc>
          <w:tcPr>
            <w:tcW w:w="2448" w:type="dxa"/>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hideMark/>
          </w:tcPr>
          <w:p w14:paraId="3B6D9C4C"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Puissance P (MW)</w:t>
            </w:r>
          </w:p>
        </w:tc>
        <w:tc>
          <w:tcPr>
            <w:tcW w:w="2513" w:type="dxa"/>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7711ECBE" w14:textId="77777777" w:rsidR="00246793" w:rsidRPr="003C50B7" w:rsidRDefault="00246793" w:rsidP="005D385E">
            <w:pPr>
              <w:jc w:val="center"/>
              <w:rPr>
                <w:b/>
                <w:bCs/>
                <w:color w:val="FFFFFF"/>
                <w:sz w:val="20"/>
                <w:szCs w:val="20"/>
                <w:lang w:eastAsia="fr-FR"/>
              </w:rPr>
            </w:pPr>
            <w:proofErr w:type="spellStart"/>
            <w:r w:rsidRPr="003C50B7">
              <w:rPr>
                <w:b/>
                <w:bCs/>
                <w:color w:val="FFFFFF"/>
                <w:sz w:val="20"/>
                <w:szCs w:val="20"/>
                <w:lang w:eastAsia="fr-FR"/>
              </w:rPr>
              <w:t>HCl</w:t>
            </w:r>
            <w:proofErr w:type="spellEnd"/>
            <w:r w:rsidRPr="003C50B7">
              <w:rPr>
                <w:b/>
                <w:bCs/>
                <w:color w:val="FFFFFF"/>
                <w:sz w:val="20"/>
                <w:szCs w:val="20"/>
                <w:lang w:eastAsia="fr-FR"/>
              </w:rPr>
              <w:t xml:space="preserve"> (mg/Nm</w:t>
            </w:r>
            <w:r w:rsidRPr="003C50B7">
              <w:rPr>
                <w:b/>
                <w:bCs/>
                <w:color w:val="FFFFFF"/>
                <w:sz w:val="20"/>
                <w:szCs w:val="20"/>
                <w:vertAlign w:val="superscript"/>
                <w:lang w:eastAsia="fr-FR"/>
              </w:rPr>
              <w:t>3</w:t>
            </w:r>
            <w:r w:rsidRPr="003C50B7">
              <w:rPr>
                <w:b/>
                <w:bCs/>
                <w:color w:val="FFFFFF"/>
                <w:sz w:val="20"/>
                <w:szCs w:val="20"/>
                <w:lang w:eastAsia="fr-FR"/>
              </w:rPr>
              <w:t>)</w:t>
            </w:r>
          </w:p>
        </w:tc>
        <w:tc>
          <w:tcPr>
            <w:tcW w:w="1985" w:type="dxa"/>
            <w:tcBorders>
              <w:top w:val="outset" w:sz="6" w:space="0" w:color="auto"/>
              <w:left w:val="outset" w:sz="6" w:space="0" w:color="auto"/>
              <w:bottom w:val="single" w:sz="6" w:space="0" w:color="D8D8D8"/>
              <w:right w:val="single" w:sz="6" w:space="0" w:color="D8D8D8"/>
            </w:tcBorders>
            <w:shd w:val="clear" w:color="auto" w:fill="5C75A2"/>
          </w:tcPr>
          <w:p w14:paraId="05B42CC3"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HF (mg/Nm</w:t>
            </w:r>
            <w:r w:rsidRPr="003C50B7">
              <w:rPr>
                <w:b/>
                <w:bCs/>
                <w:color w:val="FFFFFF"/>
                <w:sz w:val="20"/>
                <w:szCs w:val="20"/>
                <w:vertAlign w:val="superscript"/>
                <w:lang w:eastAsia="fr-FR"/>
              </w:rPr>
              <w:t>3</w:t>
            </w:r>
            <w:r w:rsidRPr="003C50B7">
              <w:rPr>
                <w:b/>
                <w:bCs/>
                <w:color w:val="FFFFFF"/>
                <w:sz w:val="20"/>
                <w:szCs w:val="20"/>
                <w:lang w:eastAsia="fr-FR"/>
              </w:rPr>
              <w:t>)</w:t>
            </w:r>
          </w:p>
        </w:tc>
      </w:tr>
      <w:tr w:rsidR="00246793" w:rsidRPr="003C50B7" w14:paraId="4809AFAD" w14:textId="77777777" w:rsidTr="005D385E">
        <w:trPr>
          <w:jc w:val="center"/>
        </w:trPr>
        <w:tc>
          <w:tcPr>
            <w:tcW w:w="2127" w:type="dxa"/>
            <w:vMerge/>
            <w:tcBorders>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06D52B83" w14:textId="77777777" w:rsidR="00246793" w:rsidRPr="003C50B7" w:rsidRDefault="00246793" w:rsidP="005D385E">
            <w:pPr>
              <w:jc w:val="center"/>
              <w:rPr>
                <w:b/>
                <w:bCs/>
                <w:color w:val="FFFFFF"/>
                <w:sz w:val="20"/>
                <w:szCs w:val="20"/>
                <w:lang w:eastAsia="fr-FR"/>
              </w:rPr>
            </w:pPr>
          </w:p>
        </w:tc>
        <w:tc>
          <w:tcPr>
            <w:tcW w:w="2448" w:type="dxa"/>
            <w:vMerge/>
            <w:tcBorders>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3AF302C1" w14:textId="77777777" w:rsidR="00246793" w:rsidRPr="003C50B7" w:rsidRDefault="00246793" w:rsidP="005D385E">
            <w:pPr>
              <w:jc w:val="center"/>
              <w:rPr>
                <w:b/>
                <w:bCs/>
                <w:color w:val="FFFFFF"/>
                <w:sz w:val="20"/>
                <w:szCs w:val="20"/>
                <w:lang w:eastAsia="fr-FR"/>
              </w:rPr>
            </w:pPr>
          </w:p>
        </w:tc>
        <w:tc>
          <w:tcPr>
            <w:tcW w:w="2513" w:type="dxa"/>
            <w:tcBorders>
              <w:top w:val="outset" w:sz="6" w:space="0" w:color="auto"/>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17BD6881"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A</w:t>
            </w:r>
          </w:p>
        </w:tc>
        <w:tc>
          <w:tcPr>
            <w:tcW w:w="1985" w:type="dxa"/>
            <w:tcBorders>
              <w:top w:val="outset" w:sz="6" w:space="0" w:color="auto"/>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tcPr>
          <w:p w14:paraId="585ECDCA"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A</w:t>
            </w:r>
          </w:p>
        </w:tc>
      </w:tr>
      <w:tr w:rsidR="00246793" w:rsidRPr="003C50B7" w14:paraId="138B83F6" w14:textId="77777777" w:rsidTr="005D385E">
        <w:trP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36A54BE7" w14:textId="77777777" w:rsidR="00246793" w:rsidRPr="003C50B7" w:rsidRDefault="00246793" w:rsidP="005D385E">
            <w:pPr>
              <w:jc w:val="center"/>
              <w:rPr>
                <w:b/>
                <w:bCs/>
                <w:sz w:val="20"/>
                <w:szCs w:val="20"/>
                <w:lang w:eastAsia="fr-FR"/>
              </w:rPr>
            </w:pPr>
            <w:r w:rsidRPr="003C50B7">
              <w:rPr>
                <w:b/>
                <w:bCs/>
                <w:sz w:val="20"/>
                <w:szCs w:val="20"/>
                <w:lang w:eastAsia="fr-FR"/>
              </w:rPr>
              <w:t>Charbon</w:t>
            </w:r>
          </w:p>
          <w:p w14:paraId="7E5D9E67" w14:textId="77777777" w:rsidR="00246793" w:rsidRPr="003C50B7" w:rsidRDefault="00246793" w:rsidP="005D385E">
            <w:pPr>
              <w:jc w:val="center"/>
              <w:rPr>
                <w:b/>
                <w:bCs/>
                <w:sz w:val="20"/>
                <w:szCs w:val="20"/>
                <w:lang w:eastAsia="fr-FR"/>
              </w:rPr>
            </w:pPr>
            <w:r w:rsidRPr="003C50B7">
              <w:rPr>
                <w:b/>
                <w:bCs/>
                <w:sz w:val="20"/>
                <w:szCs w:val="20"/>
                <w:lang w:eastAsia="fr-FR"/>
              </w:rPr>
              <w:t>Lignite</w:t>
            </w:r>
          </w:p>
          <w:p w14:paraId="6892CC2D" w14:textId="77777777" w:rsidR="00246793" w:rsidRPr="003C50B7" w:rsidRDefault="00246793" w:rsidP="005D385E">
            <w:pPr>
              <w:jc w:val="center"/>
              <w:rPr>
                <w:b/>
                <w:bCs/>
                <w:sz w:val="20"/>
                <w:szCs w:val="20"/>
                <w:lang w:eastAsia="fr-FR"/>
              </w:rPr>
            </w:pPr>
          </w:p>
        </w:tc>
        <w:tc>
          <w:tcPr>
            <w:tcW w:w="2448"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62AFD6CD" w14:textId="77777777" w:rsidR="00246793" w:rsidRPr="003C50B7" w:rsidRDefault="00246793" w:rsidP="005D385E">
            <w:pPr>
              <w:jc w:val="center"/>
              <w:rPr>
                <w:b/>
                <w:bCs/>
                <w:sz w:val="20"/>
                <w:szCs w:val="20"/>
                <w:lang w:eastAsia="fr-FR"/>
              </w:rPr>
            </w:pPr>
            <w:r w:rsidRPr="003C50B7">
              <w:rPr>
                <w:b/>
                <w:bCs/>
                <w:sz w:val="20"/>
                <w:szCs w:val="20"/>
                <w:lang w:eastAsia="fr-FR"/>
              </w:rPr>
              <w:t>50 ≤ P &lt; 100</w:t>
            </w:r>
          </w:p>
        </w:tc>
        <w:tc>
          <w:tcPr>
            <w:tcW w:w="251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0" w:type="dxa"/>
              <w:left w:w="150" w:type="dxa"/>
              <w:bottom w:w="150" w:type="dxa"/>
              <w:right w:w="150" w:type="dxa"/>
            </w:tcMar>
            <w:vAlign w:val="center"/>
          </w:tcPr>
          <w:p w14:paraId="0ED06B5D" w14:textId="77777777" w:rsidR="00246793" w:rsidRPr="003C50B7" w:rsidRDefault="00246793" w:rsidP="005D385E">
            <w:pPr>
              <w:jc w:val="center"/>
              <w:rPr>
                <w:b/>
                <w:bCs/>
                <w:sz w:val="20"/>
                <w:szCs w:val="20"/>
                <w:lang w:eastAsia="fr-FR"/>
              </w:rPr>
            </w:pPr>
            <w:r w:rsidRPr="003C50B7">
              <w:rPr>
                <w:b/>
                <w:bCs/>
                <w:sz w:val="20"/>
                <w:szCs w:val="20"/>
                <w:lang w:eastAsia="fr-FR"/>
              </w:rPr>
              <w:t xml:space="preserve">10 </w:t>
            </w:r>
          </w:p>
          <w:p w14:paraId="6CB3900C" w14:textId="77777777" w:rsidR="00246793" w:rsidRPr="003C50B7" w:rsidRDefault="00246793" w:rsidP="005D385E">
            <w:pPr>
              <w:jc w:val="center"/>
              <w:rPr>
                <w:b/>
                <w:bCs/>
                <w:sz w:val="20"/>
                <w:szCs w:val="20"/>
                <w:lang w:eastAsia="fr-FR"/>
              </w:rPr>
            </w:pPr>
            <w:r w:rsidRPr="003C50B7">
              <w:rPr>
                <w:b/>
                <w:bCs/>
                <w:sz w:val="20"/>
                <w:szCs w:val="20"/>
                <w:lang w:eastAsia="fr-FR"/>
              </w:rPr>
              <w:t>(1)</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150" w:type="dxa"/>
              <w:left w:w="150" w:type="dxa"/>
              <w:bottom w:w="150" w:type="dxa"/>
              <w:right w:w="150" w:type="dxa"/>
            </w:tcMar>
            <w:vAlign w:val="center"/>
          </w:tcPr>
          <w:p w14:paraId="3FA9FE37" w14:textId="77777777" w:rsidR="00246793" w:rsidRPr="003C50B7" w:rsidRDefault="00246793" w:rsidP="005D385E">
            <w:pPr>
              <w:jc w:val="center"/>
              <w:rPr>
                <w:b/>
                <w:bCs/>
                <w:sz w:val="20"/>
                <w:szCs w:val="20"/>
                <w:lang w:eastAsia="fr-FR"/>
              </w:rPr>
            </w:pPr>
            <w:r w:rsidRPr="003C50B7">
              <w:rPr>
                <w:b/>
                <w:bCs/>
                <w:sz w:val="20"/>
                <w:szCs w:val="20"/>
                <w:lang w:eastAsia="fr-FR"/>
              </w:rPr>
              <w:t>5</w:t>
            </w:r>
          </w:p>
          <w:p w14:paraId="778A6682" w14:textId="77777777" w:rsidR="00246793" w:rsidRPr="003C50B7" w:rsidRDefault="00246793" w:rsidP="005D385E">
            <w:pPr>
              <w:jc w:val="center"/>
              <w:rPr>
                <w:b/>
                <w:bCs/>
                <w:sz w:val="20"/>
                <w:szCs w:val="20"/>
                <w:lang w:eastAsia="fr-FR"/>
              </w:rPr>
            </w:pPr>
            <w:r w:rsidRPr="003C50B7">
              <w:rPr>
                <w:b/>
                <w:bCs/>
                <w:sz w:val="20"/>
                <w:szCs w:val="20"/>
                <w:lang w:eastAsia="fr-FR"/>
              </w:rPr>
              <w:t>(3)(4)</w:t>
            </w:r>
          </w:p>
        </w:tc>
      </w:tr>
      <w:tr w:rsidR="00246793" w:rsidRPr="003C50B7" w14:paraId="6AC8E68D" w14:textId="77777777" w:rsidTr="005D385E">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A523C39" w14:textId="77777777" w:rsidR="00246793" w:rsidRPr="003C50B7" w:rsidRDefault="00246793" w:rsidP="005D385E">
            <w:pPr>
              <w:rPr>
                <w:b/>
                <w:bCs/>
                <w:sz w:val="20"/>
                <w:szCs w:val="20"/>
                <w:lang w:eastAsia="fr-FR"/>
              </w:rPr>
            </w:pPr>
          </w:p>
        </w:tc>
        <w:tc>
          <w:tcPr>
            <w:tcW w:w="2448" w:type="dxa"/>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hideMark/>
          </w:tcPr>
          <w:p w14:paraId="6FDD37F6" w14:textId="77777777" w:rsidR="00246793" w:rsidRPr="003C50B7" w:rsidRDefault="00246793" w:rsidP="005D385E">
            <w:pPr>
              <w:jc w:val="center"/>
              <w:rPr>
                <w:b/>
                <w:bCs/>
                <w:sz w:val="20"/>
                <w:szCs w:val="20"/>
                <w:lang w:eastAsia="fr-FR"/>
              </w:rPr>
            </w:pPr>
            <w:r w:rsidRPr="003C50B7">
              <w:rPr>
                <w:b/>
                <w:bCs/>
                <w:sz w:val="20"/>
                <w:szCs w:val="20"/>
                <w:lang w:eastAsia="fr-FR"/>
              </w:rPr>
              <w:t>100 ≤ P &lt; 300</w:t>
            </w:r>
          </w:p>
        </w:tc>
        <w:tc>
          <w:tcPr>
            <w:tcW w:w="25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B8CFBB" w14:textId="77777777" w:rsidR="00246793" w:rsidRPr="003C50B7" w:rsidRDefault="00246793" w:rsidP="005D385E">
            <w:pPr>
              <w:jc w:val="center"/>
              <w:rPr>
                <w:b/>
                <w:bCs/>
                <w:sz w:val="20"/>
                <w:szCs w:val="20"/>
                <w:lang w:eastAsia="fr-FR"/>
              </w:rPr>
            </w:pPr>
            <w:r w:rsidRPr="003C50B7">
              <w:rPr>
                <w:b/>
                <w:bCs/>
                <w:sz w:val="20"/>
                <w:szCs w:val="20"/>
                <w:lang w:eastAsia="fr-FR"/>
              </w:rPr>
              <w:t xml:space="preserve">5 </w:t>
            </w:r>
          </w:p>
          <w:p w14:paraId="1105FA0D" w14:textId="77777777" w:rsidR="00246793" w:rsidRPr="003C50B7" w:rsidRDefault="00246793" w:rsidP="005D385E">
            <w:pPr>
              <w:jc w:val="center"/>
              <w:rPr>
                <w:b/>
                <w:bCs/>
                <w:sz w:val="20"/>
                <w:szCs w:val="20"/>
                <w:lang w:eastAsia="fr-FR"/>
              </w:rPr>
            </w:pPr>
            <w:r w:rsidRPr="003C50B7">
              <w:rPr>
                <w:b/>
                <w:bCs/>
                <w:sz w:val="20"/>
                <w:szCs w:val="20"/>
                <w:lang w:eastAsia="fr-FR"/>
              </w:rPr>
              <w:t>(1)(2)</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567248" w14:textId="77777777" w:rsidR="00246793" w:rsidRPr="003C50B7" w:rsidRDefault="00246793" w:rsidP="005D385E">
            <w:pPr>
              <w:jc w:val="center"/>
              <w:rPr>
                <w:b/>
                <w:bCs/>
                <w:sz w:val="20"/>
                <w:szCs w:val="20"/>
                <w:lang w:eastAsia="fr-FR"/>
              </w:rPr>
            </w:pPr>
            <w:r w:rsidRPr="003C50B7">
              <w:rPr>
                <w:b/>
                <w:bCs/>
                <w:sz w:val="20"/>
                <w:szCs w:val="20"/>
                <w:lang w:eastAsia="fr-FR"/>
              </w:rPr>
              <w:t xml:space="preserve">3 </w:t>
            </w:r>
          </w:p>
          <w:p w14:paraId="686AF86A" w14:textId="77777777" w:rsidR="00246793" w:rsidRPr="003C50B7" w:rsidRDefault="00246793" w:rsidP="005D385E">
            <w:pPr>
              <w:jc w:val="center"/>
              <w:rPr>
                <w:b/>
                <w:bCs/>
                <w:sz w:val="20"/>
                <w:szCs w:val="20"/>
                <w:lang w:eastAsia="fr-FR"/>
              </w:rPr>
            </w:pPr>
            <w:r w:rsidRPr="003C50B7">
              <w:rPr>
                <w:b/>
                <w:bCs/>
                <w:sz w:val="20"/>
                <w:szCs w:val="20"/>
                <w:lang w:eastAsia="fr-FR"/>
              </w:rPr>
              <w:t>(4)</w:t>
            </w:r>
          </w:p>
        </w:tc>
      </w:tr>
      <w:tr w:rsidR="00246793" w:rsidRPr="003C50B7" w14:paraId="0BB876EE" w14:textId="77777777" w:rsidTr="005D385E">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841AC94" w14:textId="77777777" w:rsidR="00246793" w:rsidRPr="003C50B7" w:rsidRDefault="00246793" w:rsidP="005D385E">
            <w:pPr>
              <w:rPr>
                <w:b/>
                <w:bCs/>
                <w:sz w:val="20"/>
                <w:szCs w:val="20"/>
                <w:lang w:eastAsia="fr-FR"/>
              </w:rPr>
            </w:pPr>
          </w:p>
        </w:tc>
        <w:tc>
          <w:tcPr>
            <w:tcW w:w="2448"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4A867F42" w14:textId="77777777" w:rsidR="00246793" w:rsidRPr="003C50B7" w:rsidRDefault="00246793" w:rsidP="005D385E">
            <w:pPr>
              <w:jc w:val="center"/>
              <w:rPr>
                <w:b/>
                <w:bCs/>
                <w:sz w:val="20"/>
                <w:szCs w:val="20"/>
                <w:lang w:eastAsia="fr-FR"/>
              </w:rPr>
            </w:pPr>
            <w:r w:rsidRPr="003C50B7">
              <w:rPr>
                <w:b/>
                <w:bCs/>
                <w:sz w:val="20"/>
                <w:szCs w:val="20"/>
                <w:lang w:eastAsia="fr-FR"/>
              </w:rPr>
              <w:t>300 ≤ P</w:t>
            </w:r>
          </w:p>
        </w:tc>
        <w:tc>
          <w:tcPr>
            <w:tcW w:w="25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CCEA7C" w14:textId="77777777" w:rsidR="00246793" w:rsidRPr="003C50B7" w:rsidRDefault="00246793" w:rsidP="005D385E">
            <w:pPr>
              <w:jc w:val="center"/>
              <w:rPr>
                <w:b/>
                <w:bCs/>
                <w:sz w:val="20"/>
                <w:szCs w:val="20"/>
                <w:lang w:eastAsia="fr-FR"/>
              </w:rPr>
            </w:pPr>
            <w:r w:rsidRPr="003C50B7">
              <w:rPr>
                <w:b/>
                <w:bCs/>
                <w:sz w:val="20"/>
                <w:szCs w:val="20"/>
                <w:lang w:eastAsia="fr-FR"/>
              </w:rPr>
              <w:t xml:space="preserve">5 </w:t>
            </w:r>
          </w:p>
          <w:p w14:paraId="644C52EA" w14:textId="77777777" w:rsidR="00246793" w:rsidRPr="003C50B7" w:rsidRDefault="00246793" w:rsidP="005D385E">
            <w:pPr>
              <w:jc w:val="center"/>
              <w:rPr>
                <w:b/>
                <w:bCs/>
                <w:sz w:val="20"/>
                <w:szCs w:val="20"/>
                <w:lang w:eastAsia="fr-FR"/>
              </w:rPr>
            </w:pPr>
            <w:r w:rsidRPr="003C50B7">
              <w:rPr>
                <w:b/>
                <w:bCs/>
                <w:sz w:val="20"/>
                <w:szCs w:val="20"/>
                <w:lang w:eastAsia="fr-FR"/>
              </w:rPr>
              <w:t>(1)(2)</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15B9DE" w14:textId="77777777" w:rsidR="00246793" w:rsidRPr="003C50B7" w:rsidRDefault="00246793" w:rsidP="005D385E">
            <w:pPr>
              <w:jc w:val="center"/>
              <w:rPr>
                <w:b/>
                <w:bCs/>
                <w:sz w:val="20"/>
                <w:szCs w:val="20"/>
                <w:lang w:eastAsia="fr-FR"/>
              </w:rPr>
            </w:pPr>
            <w:r w:rsidRPr="003C50B7">
              <w:rPr>
                <w:b/>
                <w:bCs/>
                <w:sz w:val="20"/>
                <w:szCs w:val="20"/>
                <w:lang w:eastAsia="fr-FR"/>
              </w:rPr>
              <w:t xml:space="preserve">3 </w:t>
            </w:r>
          </w:p>
          <w:p w14:paraId="5F8851D6" w14:textId="77777777" w:rsidR="00246793" w:rsidRPr="003C50B7" w:rsidRDefault="00246793" w:rsidP="005D385E">
            <w:pPr>
              <w:jc w:val="center"/>
              <w:rPr>
                <w:b/>
                <w:bCs/>
                <w:sz w:val="20"/>
                <w:szCs w:val="20"/>
                <w:lang w:eastAsia="fr-FR"/>
              </w:rPr>
            </w:pPr>
            <w:r w:rsidRPr="003C50B7">
              <w:rPr>
                <w:b/>
                <w:bCs/>
                <w:sz w:val="20"/>
                <w:szCs w:val="20"/>
                <w:lang w:eastAsia="fr-FR"/>
              </w:rPr>
              <w:t>(4)</w:t>
            </w:r>
          </w:p>
        </w:tc>
      </w:tr>
      <w:tr w:rsidR="00246793" w:rsidRPr="003C50B7" w14:paraId="2C213C0E" w14:textId="77777777" w:rsidTr="005D385E">
        <w:trP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EB7496D" w14:textId="77777777" w:rsidR="00246793" w:rsidRPr="003C50B7" w:rsidRDefault="00246793" w:rsidP="005D385E">
            <w:pPr>
              <w:jc w:val="center"/>
              <w:rPr>
                <w:b/>
                <w:bCs/>
                <w:sz w:val="20"/>
                <w:szCs w:val="20"/>
                <w:lang w:eastAsia="fr-FR"/>
              </w:rPr>
            </w:pPr>
            <w:r w:rsidRPr="003C50B7">
              <w:rPr>
                <w:b/>
                <w:bCs/>
                <w:sz w:val="20"/>
                <w:szCs w:val="20"/>
                <w:lang w:eastAsia="fr-FR"/>
              </w:rPr>
              <w:t>Combustion de combustible issus de procédés de l’industrie chimique dans des chaudières</w:t>
            </w:r>
          </w:p>
        </w:tc>
        <w:tc>
          <w:tcPr>
            <w:tcW w:w="2448"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1888A095" w14:textId="77777777" w:rsidR="00246793" w:rsidRPr="003C50B7" w:rsidRDefault="00246793" w:rsidP="005D385E">
            <w:pPr>
              <w:jc w:val="center"/>
              <w:rPr>
                <w:b/>
                <w:bCs/>
                <w:sz w:val="20"/>
                <w:szCs w:val="20"/>
                <w:lang w:eastAsia="fr-FR"/>
              </w:rPr>
            </w:pPr>
            <w:r w:rsidRPr="003C50B7">
              <w:rPr>
                <w:b/>
                <w:bCs/>
                <w:sz w:val="20"/>
                <w:szCs w:val="20"/>
                <w:lang w:eastAsia="fr-FR"/>
              </w:rPr>
              <w:t>50 ≤ P &lt; 100</w:t>
            </w:r>
          </w:p>
        </w:tc>
        <w:tc>
          <w:tcPr>
            <w:tcW w:w="2513"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150" w:type="dxa"/>
              <w:left w:w="150" w:type="dxa"/>
              <w:bottom w:w="150" w:type="dxa"/>
              <w:right w:w="150" w:type="dxa"/>
            </w:tcMar>
            <w:vAlign w:val="center"/>
          </w:tcPr>
          <w:p w14:paraId="4C8540A1" w14:textId="77777777" w:rsidR="00246793" w:rsidRPr="003C50B7" w:rsidRDefault="00246793" w:rsidP="005D385E">
            <w:pPr>
              <w:jc w:val="center"/>
              <w:rPr>
                <w:b/>
                <w:bCs/>
                <w:sz w:val="20"/>
                <w:szCs w:val="20"/>
                <w:lang w:eastAsia="fr-FR"/>
              </w:rPr>
            </w:pPr>
            <w:r w:rsidRPr="003C50B7">
              <w:rPr>
                <w:b/>
                <w:bCs/>
                <w:sz w:val="20"/>
                <w:szCs w:val="20"/>
                <w:lang w:eastAsia="fr-FR"/>
              </w:rPr>
              <w:t>10</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150" w:type="dxa"/>
              <w:left w:w="150" w:type="dxa"/>
              <w:bottom w:w="150" w:type="dxa"/>
              <w:right w:w="150" w:type="dxa"/>
            </w:tcMar>
            <w:vAlign w:val="center"/>
          </w:tcPr>
          <w:p w14:paraId="2F0D4BC9" w14:textId="77777777" w:rsidR="00246793" w:rsidRPr="003C50B7" w:rsidRDefault="00246793" w:rsidP="005D385E">
            <w:pPr>
              <w:jc w:val="center"/>
              <w:rPr>
                <w:b/>
                <w:bCs/>
                <w:sz w:val="20"/>
                <w:szCs w:val="20"/>
                <w:lang w:eastAsia="fr-FR"/>
              </w:rPr>
            </w:pPr>
            <w:r w:rsidRPr="003C50B7">
              <w:rPr>
                <w:b/>
                <w:bCs/>
                <w:sz w:val="20"/>
                <w:szCs w:val="20"/>
                <w:lang w:eastAsia="fr-FR"/>
              </w:rPr>
              <w:t>5</w:t>
            </w:r>
          </w:p>
        </w:tc>
      </w:tr>
      <w:tr w:rsidR="00246793" w:rsidRPr="003C50B7" w14:paraId="4708DE70" w14:textId="77777777" w:rsidTr="005D385E">
        <w:trPr>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1209BD5B" w14:textId="77777777" w:rsidR="00246793" w:rsidRPr="003C50B7" w:rsidRDefault="00246793" w:rsidP="005D385E">
            <w:pPr>
              <w:rPr>
                <w:b/>
                <w:bCs/>
                <w:sz w:val="20"/>
                <w:szCs w:val="20"/>
                <w:lang w:eastAsia="fr-FR"/>
              </w:rPr>
            </w:pPr>
          </w:p>
        </w:tc>
        <w:tc>
          <w:tcPr>
            <w:tcW w:w="2448" w:type="dxa"/>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hideMark/>
          </w:tcPr>
          <w:p w14:paraId="1AB1FE7D" w14:textId="77777777" w:rsidR="00246793" w:rsidRPr="003C50B7" w:rsidRDefault="00246793" w:rsidP="005D385E">
            <w:pPr>
              <w:jc w:val="center"/>
              <w:rPr>
                <w:b/>
                <w:bCs/>
                <w:sz w:val="20"/>
                <w:szCs w:val="20"/>
                <w:lang w:eastAsia="fr-FR"/>
              </w:rPr>
            </w:pPr>
            <w:r w:rsidRPr="003C50B7">
              <w:rPr>
                <w:b/>
                <w:bCs/>
                <w:sz w:val="20"/>
                <w:szCs w:val="20"/>
                <w:lang w:eastAsia="fr-FR"/>
              </w:rPr>
              <w:t>100 ≤ P &lt; 300</w:t>
            </w:r>
          </w:p>
        </w:tc>
        <w:tc>
          <w:tcPr>
            <w:tcW w:w="25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7CBE41" w14:textId="77777777" w:rsidR="00246793" w:rsidRPr="003C50B7" w:rsidRDefault="00246793" w:rsidP="005D385E">
            <w:pPr>
              <w:jc w:val="center"/>
              <w:rPr>
                <w:b/>
                <w:bCs/>
                <w:sz w:val="20"/>
                <w:szCs w:val="20"/>
                <w:lang w:eastAsia="fr-FR"/>
              </w:rPr>
            </w:pPr>
            <w:r w:rsidRPr="003C50B7">
              <w:rPr>
                <w:b/>
                <w:bCs/>
                <w:sz w:val="20"/>
                <w:szCs w:val="20"/>
                <w:lang w:eastAsia="fr-FR"/>
              </w:rPr>
              <w:t>9</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9B89FA" w14:textId="77777777" w:rsidR="00246793" w:rsidRPr="003C50B7" w:rsidRDefault="00246793" w:rsidP="005D385E">
            <w:pPr>
              <w:jc w:val="center"/>
              <w:rPr>
                <w:b/>
                <w:bCs/>
                <w:sz w:val="20"/>
                <w:szCs w:val="20"/>
                <w:lang w:eastAsia="fr-FR"/>
              </w:rPr>
            </w:pPr>
            <w:r w:rsidRPr="003C50B7">
              <w:rPr>
                <w:b/>
                <w:bCs/>
                <w:sz w:val="20"/>
                <w:szCs w:val="20"/>
                <w:lang w:eastAsia="fr-FR"/>
              </w:rPr>
              <w:t>3</w:t>
            </w:r>
          </w:p>
        </w:tc>
      </w:tr>
      <w:tr w:rsidR="00246793" w:rsidRPr="003C50B7" w14:paraId="78C06F6F" w14:textId="77777777" w:rsidTr="005D385E">
        <w:trPr>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3A4A4562" w14:textId="77777777" w:rsidR="00246793" w:rsidRPr="003C50B7" w:rsidRDefault="00246793" w:rsidP="005D385E">
            <w:pPr>
              <w:rPr>
                <w:b/>
                <w:bCs/>
                <w:sz w:val="20"/>
                <w:szCs w:val="20"/>
                <w:lang w:eastAsia="fr-FR"/>
              </w:rPr>
            </w:pPr>
          </w:p>
        </w:tc>
        <w:tc>
          <w:tcPr>
            <w:tcW w:w="2448"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4E54859C" w14:textId="77777777" w:rsidR="00246793" w:rsidRPr="003C50B7" w:rsidRDefault="00246793" w:rsidP="005D385E">
            <w:pPr>
              <w:jc w:val="center"/>
              <w:rPr>
                <w:b/>
                <w:bCs/>
                <w:sz w:val="20"/>
                <w:szCs w:val="20"/>
                <w:lang w:eastAsia="fr-FR"/>
              </w:rPr>
            </w:pPr>
            <w:r w:rsidRPr="003C50B7">
              <w:rPr>
                <w:b/>
                <w:bCs/>
                <w:sz w:val="20"/>
                <w:szCs w:val="20"/>
                <w:lang w:eastAsia="fr-FR"/>
              </w:rPr>
              <w:t>300 ≤ P</w:t>
            </w:r>
          </w:p>
        </w:tc>
        <w:tc>
          <w:tcPr>
            <w:tcW w:w="25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9696AE" w14:textId="77777777" w:rsidR="00246793" w:rsidRPr="003C50B7" w:rsidRDefault="00246793" w:rsidP="005D385E">
            <w:pPr>
              <w:jc w:val="center"/>
              <w:rPr>
                <w:b/>
                <w:bCs/>
                <w:sz w:val="20"/>
                <w:szCs w:val="20"/>
                <w:lang w:eastAsia="fr-FR"/>
              </w:rPr>
            </w:pPr>
            <w:r w:rsidRPr="003C50B7">
              <w:rPr>
                <w:b/>
                <w:bCs/>
                <w:sz w:val="20"/>
                <w:szCs w:val="20"/>
                <w:lang w:eastAsia="fr-FR"/>
              </w:rPr>
              <w:t>9</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1F3EFD" w14:textId="77777777" w:rsidR="00246793" w:rsidRPr="003C50B7" w:rsidRDefault="00246793" w:rsidP="005D385E">
            <w:pPr>
              <w:jc w:val="center"/>
              <w:rPr>
                <w:b/>
                <w:bCs/>
                <w:sz w:val="20"/>
                <w:szCs w:val="20"/>
                <w:lang w:eastAsia="fr-FR"/>
              </w:rPr>
            </w:pPr>
            <w:r w:rsidRPr="003C50B7">
              <w:rPr>
                <w:b/>
                <w:bCs/>
                <w:sz w:val="20"/>
                <w:szCs w:val="20"/>
                <w:lang w:eastAsia="fr-FR"/>
              </w:rPr>
              <w:t>3</w:t>
            </w:r>
          </w:p>
        </w:tc>
      </w:tr>
      <w:tr w:rsidR="00246793" w:rsidRPr="003C50B7" w14:paraId="25E2F95A" w14:textId="77777777" w:rsidTr="005D385E">
        <w:trPr>
          <w:trHeight w:val="553"/>
          <w:jc w:val="center"/>
        </w:trPr>
        <w:tc>
          <w:tcPr>
            <w:tcW w:w="2127"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097FFB86"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Renvoi</w:t>
            </w:r>
          </w:p>
        </w:tc>
        <w:tc>
          <w:tcPr>
            <w:tcW w:w="4961"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tcMar>
              <w:top w:w="150" w:type="dxa"/>
              <w:left w:w="150" w:type="dxa"/>
              <w:bottom w:w="150" w:type="dxa"/>
              <w:right w:w="150" w:type="dxa"/>
            </w:tcMar>
            <w:vAlign w:val="center"/>
          </w:tcPr>
          <w:p w14:paraId="0DE10372"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Conditions</w:t>
            </w:r>
          </w:p>
        </w:tc>
        <w:tc>
          <w:tcPr>
            <w:tcW w:w="1985"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0C4DF5FF" w14:textId="77777777" w:rsidR="00246793" w:rsidRPr="003C50B7" w:rsidRDefault="00246793" w:rsidP="005D385E">
            <w:pPr>
              <w:jc w:val="center"/>
              <w:rPr>
                <w:b/>
                <w:bCs/>
                <w:color w:val="FFFFFF"/>
                <w:sz w:val="20"/>
                <w:szCs w:val="20"/>
                <w:lang w:eastAsia="fr-FR"/>
              </w:rPr>
            </w:pPr>
            <w:r w:rsidRPr="003C50B7">
              <w:rPr>
                <w:b/>
                <w:bCs/>
                <w:color w:val="FFFFFF"/>
                <w:sz w:val="20"/>
                <w:szCs w:val="20"/>
                <w:lang w:eastAsia="fr-FR"/>
              </w:rPr>
              <w:t>Valeur limite d’émission (mg/Nm</w:t>
            </w:r>
            <w:r w:rsidRPr="003C50B7">
              <w:rPr>
                <w:b/>
                <w:bCs/>
                <w:color w:val="FFFFFF"/>
                <w:sz w:val="20"/>
                <w:szCs w:val="20"/>
                <w:vertAlign w:val="superscript"/>
                <w:lang w:eastAsia="fr-FR"/>
              </w:rPr>
              <w:t>3</w:t>
            </w:r>
            <w:r w:rsidRPr="003C50B7">
              <w:rPr>
                <w:b/>
                <w:bCs/>
                <w:color w:val="FFFFFF"/>
                <w:sz w:val="20"/>
                <w:szCs w:val="20"/>
                <w:lang w:eastAsia="fr-FR"/>
              </w:rPr>
              <w:t>)</w:t>
            </w:r>
          </w:p>
        </w:tc>
      </w:tr>
      <w:tr w:rsidR="00246793" w:rsidRPr="003C50B7" w14:paraId="5A1FAB6A" w14:textId="77777777" w:rsidTr="005D385E">
        <w:trPr>
          <w:trHeight w:val="553"/>
          <w:jc w:val="center"/>
        </w:trPr>
        <w:tc>
          <w:tcPr>
            <w:tcW w:w="2127" w:type="dxa"/>
            <w:tcBorders>
              <w:top w:val="single" w:sz="4" w:space="0" w:color="auto"/>
              <w:left w:val="single" w:sz="4" w:space="0" w:color="auto"/>
              <w:bottom w:val="single" w:sz="4" w:space="0" w:color="auto"/>
              <w:right w:val="single" w:sz="4" w:space="0" w:color="auto"/>
            </w:tcBorders>
            <w:vAlign w:val="center"/>
          </w:tcPr>
          <w:p w14:paraId="0F84B0A3" w14:textId="77777777" w:rsidR="00246793" w:rsidRPr="003C50B7" w:rsidRDefault="00246793" w:rsidP="005D385E">
            <w:pPr>
              <w:jc w:val="center"/>
              <w:rPr>
                <w:b/>
                <w:bCs/>
                <w:sz w:val="20"/>
                <w:szCs w:val="20"/>
                <w:lang w:eastAsia="fr-FR"/>
              </w:rPr>
            </w:pPr>
            <w:r w:rsidRPr="003C50B7">
              <w:rPr>
                <w:b/>
                <w:bCs/>
                <w:sz w:val="20"/>
                <w:szCs w:val="20"/>
                <w:lang w:eastAsia="fr-FR"/>
              </w:rPr>
              <w:t>(1)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tcPr>
          <w:p w14:paraId="707926DE" w14:textId="77777777" w:rsidR="00246793" w:rsidRPr="003C50B7" w:rsidRDefault="00246793" w:rsidP="005D385E">
            <w:pPr>
              <w:rPr>
                <w:sz w:val="20"/>
                <w:szCs w:val="20"/>
                <w:lang w:eastAsia="fr-FR"/>
              </w:rPr>
            </w:pPr>
            <w:r w:rsidRPr="003C50B7">
              <w:rPr>
                <w:sz w:val="20"/>
                <w:szCs w:val="20"/>
                <w:lang w:eastAsia="fr-FR"/>
              </w:rPr>
              <w:t>Dans le cas d’une installation brûlant des combustibles à teneur moyenne en chlore ≥ 1000 mg/kg (poids sec)</w:t>
            </w:r>
          </w:p>
          <w:p w14:paraId="72D501B0" w14:textId="50AECB95" w:rsidR="00246793" w:rsidRPr="003C50B7" w:rsidRDefault="00246793" w:rsidP="005D385E">
            <w:pPr>
              <w:rPr>
                <w:sz w:val="20"/>
                <w:szCs w:val="20"/>
                <w:lang w:eastAsia="fr-FR"/>
              </w:rPr>
            </w:pPr>
            <w:r w:rsidRPr="003C50B7">
              <w:rPr>
                <w:sz w:val="20"/>
                <w:szCs w:val="20"/>
                <w:lang w:eastAsia="fr-FR"/>
              </w:rPr>
              <w:t xml:space="preserve">Ou </w:t>
            </w:r>
            <w:r w:rsidR="00D23B3A">
              <w:rPr>
                <w:sz w:val="20"/>
                <w:szCs w:val="20"/>
                <w:lang w:eastAsia="fr-FR"/>
              </w:rPr>
              <w:t>d</w:t>
            </w:r>
            <w:r w:rsidR="00D23B3A" w:rsidRPr="003C50B7">
              <w:rPr>
                <w:sz w:val="20"/>
                <w:szCs w:val="20"/>
                <w:lang w:eastAsia="fr-FR"/>
              </w:rPr>
              <w:t xml:space="preserve">ans </w:t>
            </w:r>
            <w:r w:rsidRPr="003C50B7">
              <w:rPr>
                <w:sz w:val="20"/>
                <w:szCs w:val="20"/>
                <w:lang w:eastAsia="fr-FR"/>
              </w:rPr>
              <w:t>le cas de chaudières à lit fluidisé</w:t>
            </w:r>
          </w:p>
          <w:p w14:paraId="70AEC4A1" w14:textId="7709CF79" w:rsidR="00246793" w:rsidRPr="003C50B7" w:rsidRDefault="00246793" w:rsidP="005D385E">
            <w:pPr>
              <w:rPr>
                <w:sz w:val="20"/>
                <w:szCs w:val="20"/>
                <w:lang w:eastAsia="fr-FR"/>
              </w:rPr>
            </w:pPr>
            <w:r w:rsidRPr="003C50B7">
              <w:rPr>
                <w:sz w:val="20"/>
                <w:szCs w:val="20"/>
                <w:lang w:eastAsia="fr-FR"/>
              </w:rPr>
              <w:t xml:space="preserve">Ou </w:t>
            </w:r>
            <w:r w:rsidR="00D23B3A">
              <w:rPr>
                <w:sz w:val="20"/>
                <w:szCs w:val="20"/>
                <w:lang w:eastAsia="fr-FR"/>
              </w:rPr>
              <w:t>d</w:t>
            </w:r>
            <w:r w:rsidR="00D23B3A" w:rsidRPr="003C50B7">
              <w:rPr>
                <w:sz w:val="20"/>
                <w:szCs w:val="20"/>
                <w:lang w:eastAsia="fr-FR"/>
              </w:rPr>
              <w:t xml:space="preserve">ans </w:t>
            </w:r>
            <w:r w:rsidRPr="003C50B7">
              <w:rPr>
                <w:sz w:val="20"/>
                <w:szCs w:val="20"/>
                <w:lang w:eastAsia="fr-FR"/>
              </w:rPr>
              <w:t>le cas d’une installation exploitée moins de 1500 heures par an</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A52E4" w14:textId="77777777" w:rsidR="00246793" w:rsidRPr="003C50B7" w:rsidRDefault="00246793" w:rsidP="005D385E">
            <w:pPr>
              <w:jc w:val="center"/>
              <w:rPr>
                <w:b/>
                <w:bCs/>
                <w:sz w:val="20"/>
                <w:szCs w:val="20"/>
                <w:lang w:eastAsia="fr-FR"/>
              </w:rPr>
            </w:pPr>
            <w:r w:rsidRPr="003C50B7">
              <w:rPr>
                <w:b/>
                <w:bCs/>
                <w:sz w:val="20"/>
                <w:szCs w:val="20"/>
                <w:lang w:eastAsia="fr-FR"/>
              </w:rPr>
              <w:t>Chaudières autorisées avant le 01/11/2010 :</w:t>
            </w:r>
          </w:p>
          <w:p w14:paraId="360ADF27" w14:textId="77777777" w:rsidR="00246793" w:rsidRPr="003C50B7" w:rsidRDefault="00246793" w:rsidP="005D385E">
            <w:pPr>
              <w:jc w:val="center"/>
              <w:rPr>
                <w:b/>
                <w:bCs/>
                <w:sz w:val="20"/>
                <w:szCs w:val="20"/>
                <w:lang w:eastAsia="fr-FR"/>
              </w:rPr>
            </w:pPr>
            <w:proofErr w:type="spellStart"/>
            <w:r w:rsidRPr="003C50B7">
              <w:rPr>
                <w:b/>
                <w:bCs/>
                <w:sz w:val="20"/>
                <w:szCs w:val="20"/>
                <w:shd w:val="clear" w:color="auto" w:fill="E2EFD9" w:themeFill="accent6" w:themeFillTint="33"/>
                <w:lang w:eastAsia="fr-FR"/>
              </w:rPr>
              <w:t>HCl</w:t>
            </w:r>
            <w:proofErr w:type="spellEnd"/>
            <w:r w:rsidRPr="003C50B7">
              <w:rPr>
                <w:b/>
                <w:bCs/>
                <w:sz w:val="20"/>
                <w:szCs w:val="20"/>
                <w:shd w:val="clear" w:color="auto" w:fill="E2EFD9" w:themeFill="accent6" w:themeFillTint="33"/>
                <w:lang w:eastAsia="fr-FR"/>
              </w:rPr>
              <w:t> = 20</w:t>
            </w:r>
          </w:p>
        </w:tc>
      </w:tr>
      <w:tr w:rsidR="00246793" w:rsidRPr="003C50B7" w14:paraId="76DF3419" w14:textId="77777777" w:rsidTr="005D385E">
        <w:trPr>
          <w:trHeight w:val="553"/>
          <w:jc w:val="center"/>
        </w:trPr>
        <w:tc>
          <w:tcPr>
            <w:tcW w:w="2127" w:type="dxa"/>
            <w:tcBorders>
              <w:top w:val="single" w:sz="4" w:space="0" w:color="auto"/>
              <w:left w:val="single" w:sz="4" w:space="0" w:color="auto"/>
              <w:bottom w:val="single" w:sz="4" w:space="0" w:color="auto"/>
              <w:right w:val="single" w:sz="4" w:space="0" w:color="auto"/>
            </w:tcBorders>
            <w:vAlign w:val="center"/>
          </w:tcPr>
          <w:p w14:paraId="0BFFEFF5" w14:textId="77777777" w:rsidR="00246793" w:rsidRPr="003C50B7" w:rsidRDefault="00246793" w:rsidP="005D385E">
            <w:pPr>
              <w:jc w:val="center"/>
              <w:rPr>
                <w:b/>
                <w:bCs/>
                <w:sz w:val="20"/>
                <w:szCs w:val="20"/>
                <w:lang w:eastAsia="fr-FR"/>
              </w:rPr>
            </w:pPr>
            <w:r w:rsidRPr="003C50B7">
              <w:rPr>
                <w:b/>
                <w:bCs/>
                <w:sz w:val="20"/>
                <w:szCs w:val="20"/>
                <w:lang w:eastAsia="fr-FR"/>
              </w:rPr>
              <w:t>(2)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tcPr>
          <w:p w14:paraId="74A53370" w14:textId="77777777" w:rsidR="00246793" w:rsidRPr="003C50B7" w:rsidRDefault="00246793" w:rsidP="005D385E">
            <w:pPr>
              <w:rPr>
                <w:sz w:val="20"/>
                <w:szCs w:val="20"/>
                <w:lang w:eastAsia="fr-FR"/>
              </w:rPr>
            </w:pPr>
            <w:r w:rsidRPr="003C50B7">
              <w:rPr>
                <w:sz w:val="20"/>
                <w:szCs w:val="20"/>
                <w:lang w:eastAsia="fr-FR"/>
              </w:rPr>
              <w:t>Dans le cas d’une installation équipée d’un système de désulfuration des fumées par voie humide avec échangeur thermique gaz-gaz en aval</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B33AB0" w14:textId="77777777" w:rsidR="00246793" w:rsidRPr="003C50B7" w:rsidRDefault="00246793" w:rsidP="005D385E">
            <w:pPr>
              <w:jc w:val="center"/>
              <w:rPr>
                <w:b/>
                <w:bCs/>
                <w:sz w:val="20"/>
                <w:szCs w:val="20"/>
                <w:lang w:eastAsia="fr-FR"/>
              </w:rPr>
            </w:pPr>
            <w:proofErr w:type="spellStart"/>
            <w:r w:rsidRPr="003C50B7">
              <w:rPr>
                <w:b/>
                <w:bCs/>
                <w:sz w:val="20"/>
                <w:szCs w:val="20"/>
                <w:lang w:eastAsia="fr-FR"/>
              </w:rPr>
              <w:t>HCl</w:t>
            </w:r>
            <w:proofErr w:type="spellEnd"/>
            <w:r w:rsidRPr="003C50B7">
              <w:rPr>
                <w:b/>
                <w:bCs/>
                <w:sz w:val="20"/>
                <w:szCs w:val="20"/>
                <w:lang w:eastAsia="fr-FR"/>
              </w:rPr>
              <w:t> = 7</w:t>
            </w:r>
          </w:p>
        </w:tc>
      </w:tr>
      <w:tr w:rsidR="00246793" w:rsidRPr="003C50B7" w14:paraId="3052F798" w14:textId="77777777" w:rsidTr="005D385E">
        <w:trPr>
          <w:trHeight w:val="553"/>
          <w:jc w:val="center"/>
        </w:trPr>
        <w:tc>
          <w:tcPr>
            <w:tcW w:w="2127" w:type="dxa"/>
            <w:tcBorders>
              <w:top w:val="single" w:sz="4" w:space="0" w:color="auto"/>
              <w:left w:val="single" w:sz="4" w:space="0" w:color="auto"/>
              <w:bottom w:val="single" w:sz="4" w:space="0" w:color="auto"/>
              <w:right w:val="single" w:sz="4" w:space="0" w:color="auto"/>
            </w:tcBorders>
            <w:vAlign w:val="center"/>
          </w:tcPr>
          <w:p w14:paraId="6BDE8BD5" w14:textId="77777777" w:rsidR="00246793" w:rsidRPr="003C50B7" w:rsidRDefault="00246793" w:rsidP="005D385E">
            <w:pPr>
              <w:jc w:val="center"/>
              <w:rPr>
                <w:b/>
                <w:bCs/>
                <w:sz w:val="20"/>
                <w:szCs w:val="20"/>
                <w:lang w:eastAsia="fr-FR"/>
              </w:rPr>
            </w:pPr>
            <w:r w:rsidRPr="003C50B7">
              <w:rPr>
                <w:b/>
                <w:bCs/>
                <w:sz w:val="20"/>
                <w:szCs w:val="20"/>
                <w:lang w:eastAsia="fr-FR"/>
              </w:rPr>
              <w:t>(3)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tcPr>
          <w:p w14:paraId="53A74D35" w14:textId="77777777" w:rsidR="00246793" w:rsidRPr="003C50B7" w:rsidRDefault="00246793" w:rsidP="005D385E">
            <w:pPr>
              <w:rPr>
                <w:sz w:val="20"/>
                <w:szCs w:val="20"/>
                <w:lang w:eastAsia="fr-FR"/>
              </w:rPr>
            </w:pPr>
            <w:r w:rsidRPr="003C50B7">
              <w:rPr>
                <w:sz w:val="20"/>
                <w:szCs w:val="20"/>
                <w:lang w:eastAsia="fr-FR"/>
              </w:rPr>
              <w:t>Chaudières autorisées avant le 01/11/2010</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49DA92" w14:textId="77777777" w:rsidR="00246793" w:rsidRPr="003C50B7" w:rsidRDefault="00246793" w:rsidP="005D385E">
            <w:pPr>
              <w:jc w:val="center"/>
              <w:rPr>
                <w:b/>
                <w:bCs/>
                <w:sz w:val="20"/>
                <w:szCs w:val="20"/>
                <w:lang w:eastAsia="fr-FR"/>
              </w:rPr>
            </w:pPr>
            <w:r w:rsidRPr="003C50B7">
              <w:rPr>
                <w:b/>
                <w:bCs/>
                <w:sz w:val="20"/>
                <w:szCs w:val="20"/>
                <w:lang w:eastAsia="fr-FR"/>
              </w:rPr>
              <w:t>HF = 6</w:t>
            </w:r>
          </w:p>
        </w:tc>
      </w:tr>
      <w:tr w:rsidR="00246793" w:rsidRPr="003C50B7" w14:paraId="7F2CF304" w14:textId="77777777" w:rsidTr="005D385E">
        <w:trPr>
          <w:trHeight w:val="553"/>
          <w:jc w:val="center"/>
        </w:trPr>
        <w:tc>
          <w:tcPr>
            <w:tcW w:w="2127" w:type="dxa"/>
            <w:tcBorders>
              <w:top w:val="single" w:sz="4" w:space="0" w:color="auto"/>
              <w:left w:val="single" w:sz="4" w:space="0" w:color="auto"/>
              <w:bottom w:val="single" w:sz="4" w:space="0" w:color="auto"/>
              <w:right w:val="single" w:sz="4" w:space="0" w:color="auto"/>
            </w:tcBorders>
            <w:vAlign w:val="center"/>
          </w:tcPr>
          <w:p w14:paraId="79F152EA" w14:textId="77777777" w:rsidR="00246793" w:rsidRPr="003C50B7" w:rsidRDefault="00246793" w:rsidP="005D385E">
            <w:pPr>
              <w:jc w:val="center"/>
              <w:rPr>
                <w:b/>
                <w:bCs/>
                <w:sz w:val="20"/>
                <w:szCs w:val="20"/>
                <w:lang w:eastAsia="fr-FR"/>
              </w:rPr>
            </w:pPr>
            <w:r w:rsidRPr="003C50B7">
              <w:rPr>
                <w:b/>
                <w:bCs/>
                <w:sz w:val="20"/>
                <w:szCs w:val="20"/>
                <w:lang w:eastAsia="fr-FR"/>
              </w:rPr>
              <w:t>(4)</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tcPr>
          <w:p w14:paraId="3A06CCE6" w14:textId="77777777" w:rsidR="00246793" w:rsidRPr="003C50B7" w:rsidRDefault="00246793" w:rsidP="005D385E">
            <w:pPr>
              <w:rPr>
                <w:sz w:val="20"/>
                <w:szCs w:val="20"/>
                <w:lang w:eastAsia="fr-FR"/>
              </w:rPr>
            </w:pPr>
            <w:r w:rsidRPr="003C50B7">
              <w:rPr>
                <w:sz w:val="20"/>
                <w:szCs w:val="20"/>
                <w:lang w:eastAsia="fr-FR"/>
              </w:rPr>
              <w:t xml:space="preserve">Dans le cas d’une installation équipée d’un système de désulfuration des fumées par voie humide avec échangeur thermique gaz-gaz en aval, </w:t>
            </w:r>
          </w:p>
          <w:p w14:paraId="31EF70FE" w14:textId="55C7AB3D" w:rsidR="00246793" w:rsidRPr="003C50B7" w:rsidRDefault="00246793" w:rsidP="005D385E">
            <w:pPr>
              <w:rPr>
                <w:sz w:val="20"/>
                <w:szCs w:val="20"/>
                <w:lang w:eastAsia="fr-FR"/>
              </w:rPr>
            </w:pPr>
            <w:r w:rsidRPr="003C50B7">
              <w:rPr>
                <w:sz w:val="20"/>
                <w:szCs w:val="20"/>
                <w:lang w:eastAsia="fr-FR"/>
              </w:rPr>
              <w:t xml:space="preserve">Ou </w:t>
            </w:r>
            <w:r w:rsidR="00D23B3A">
              <w:rPr>
                <w:sz w:val="20"/>
                <w:szCs w:val="20"/>
                <w:lang w:eastAsia="fr-FR"/>
              </w:rPr>
              <w:t>d</w:t>
            </w:r>
            <w:r w:rsidR="00D23B3A" w:rsidRPr="003C50B7">
              <w:rPr>
                <w:sz w:val="20"/>
                <w:szCs w:val="20"/>
                <w:lang w:eastAsia="fr-FR"/>
              </w:rPr>
              <w:t xml:space="preserve">ans </w:t>
            </w:r>
            <w:r w:rsidRPr="003C50B7">
              <w:rPr>
                <w:sz w:val="20"/>
                <w:szCs w:val="20"/>
                <w:lang w:eastAsia="fr-FR"/>
              </w:rPr>
              <w:t>le cas des chaudières à lit fluidisé,</w:t>
            </w:r>
          </w:p>
          <w:p w14:paraId="49CE8728" w14:textId="68011DE5" w:rsidR="00246793" w:rsidRPr="003C50B7" w:rsidRDefault="00246793" w:rsidP="005D385E">
            <w:pPr>
              <w:rPr>
                <w:sz w:val="20"/>
                <w:szCs w:val="20"/>
                <w:lang w:eastAsia="fr-FR"/>
              </w:rPr>
            </w:pPr>
            <w:r w:rsidRPr="003C50B7">
              <w:rPr>
                <w:sz w:val="20"/>
                <w:szCs w:val="20"/>
                <w:lang w:eastAsia="fr-FR"/>
              </w:rPr>
              <w:t xml:space="preserve">Ou </w:t>
            </w:r>
            <w:r w:rsidR="00D23B3A">
              <w:rPr>
                <w:sz w:val="20"/>
                <w:szCs w:val="20"/>
                <w:lang w:eastAsia="fr-FR"/>
              </w:rPr>
              <w:t>d</w:t>
            </w:r>
            <w:r w:rsidR="00D23B3A" w:rsidRPr="003C50B7">
              <w:rPr>
                <w:sz w:val="20"/>
                <w:szCs w:val="20"/>
                <w:lang w:eastAsia="fr-FR"/>
              </w:rPr>
              <w:t xml:space="preserve">ans </w:t>
            </w:r>
            <w:r w:rsidRPr="003C50B7">
              <w:rPr>
                <w:sz w:val="20"/>
                <w:szCs w:val="20"/>
                <w:lang w:eastAsia="fr-FR"/>
              </w:rPr>
              <w:t>le cas d’une installation exploitée moins de 1500 heures par an</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23DCEE" w14:textId="77777777" w:rsidR="00246793" w:rsidRPr="003C50B7" w:rsidRDefault="00246793" w:rsidP="005D385E">
            <w:pPr>
              <w:jc w:val="center"/>
              <w:rPr>
                <w:b/>
                <w:bCs/>
                <w:sz w:val="20"/>
                <w:szCs w:val="20"/>
                <w:lang w:eastAsia="fr-FR"/>
              </w:rPr>
            </w:pPr>
            <w:r w:rsidRPr="003C50B7">
              <w:rPr>
                <w:b/>
                <w:bCs/>
                <w:sz w:val="20"/>
                <w:szCs w:val="20"/>
                <w:lang w:eastAsia="fr-FR"/>
              </w:rPr>
              <w:t>Chaudières autorisées avant le 01/11/2010 :</w:t>
            </w:r>
          </w:p>
          <w:p w14:paraId="61DF504E" w14:textId="77777777" w:rsidR="00246793" w:rsidRPr="003C50B7" w:rsidRDefault="00246793" w:rsidP="005D385E">
            <w:pPr>
              <w:jc w:val="center"/>
              <w:rPr>
                <w:b/>
                <w:bCs/>
                <w:sz w:val="20"/>
                <w:szCs w:val="20"/>
                <w:lang w:eastAsia="fr-FR"/>
              </w:rPr>
            </w:pPr>
            <w:r w:rsidRPr="003C50B7">
              <w:rPr>
                <w:b/>
                <w:bCs/>
                <w:sz w:val="20"/>
                <w:szCs w:val="20"/>
                <w:lang w:eastAsia="fr-FR"/>
              </w:rPr>
              <w:t>HF = 7</w:t>
            </w:r>
          </w:p>
          <w:p w14:paraId="4F18A2DE" w14:textId="77777777" w:rsidR="00246793" w:rsidRPr="003C50B7" w:rsidRDefault="00246793" w:rsidP="005D385E">
            <w:pPr>
              <w:jc w:val="center"/>
              <w:rPr>
                <w:b/>
                <w:bCs/>
                <w:sz w:val="20"/>
                <w:szCs w:val="20"/>
                <w:lang w:eastAsia="fr-FR"/>
              </w:rPr>
            </w:pPr>
          </w:p>
        </w:tc>
      </w:tr>
    </w:tbl>
    <w:p w14:paraId="7A73CE85" w14:textId="148F1583" w:rsidR="00246793" w:rsidRDefault="003C50B7" w:rsidP="002B0DC1">
      <w:pPr>
        <w:jc w:val="both"/>
        <w:rPr>
          <w:color w:val="000000"/>
          <w:lang w:eastAsia="fr-FR"/>
        </w:rPr>
      </w:pPr>
      <w:r>
        <w:rPr>
          <w:color w:val="000000"/>
          <w:lang w:eastAsia="fr-FR"/>
        </w:rPr>
        <w:t>« </w:t>
      </w:r>
      <w:r w:rsidR="00246793" w:rsidRPr="003C50B7">
        <w:rPr>
          <w:color w:val="000000"/>
          <w:lang w:eastAsia="fr-FR"/>
        </w:rPr>
        <w:t xml:space="preserve">La valeur de </w:t>
      </w:r>
      <w:proofErr w:type="spellStart"/>
      <w:r w:rsidR="00246793" w:rsidRPr="003C50B7">
        <w:rPr>
          <w:color w:val="000000"/>
          <w:lang w:eastAsia="fr-FR"/>
        </w:rPr>
        <w:t>HCl</w:t>
      </w:r>
      <w:proofErr w:type="spellEnd"/>
      <w:r w:rsidR="00246793" w:rsidRPr="003C50B7">
        <w:rPr>
          <w:color w:val="000000"/>
          <w:lang w:eastAsia="fr-FR"/>
        </w:rPr>
        <w:t xml:space="preserve"> peut être adaptée par le préfet sur la base d'éléments technico-économiques fournis par l'exploitant montrant l'impossibilité d'atteindre ces valeurs en raison du combustible ou de la technologie de combustion utilisés, des performances des meilleures techniques disponibles et des contraintes liées à l'environnement local afin de garantir la protection des intérêts mentionnés à l'</w:t>
      </w:r>
      <w:hyperlink r:id="rId13" w:tooltip="Code de l" w:history="1">
        <w:r w:rsidR="00246793" w:rsidRPr="003C50B7">
          <w:rPr>
            <w:color w:val="4A5E81"/>
            <w:u w:val="single"/>
            <w:lang w:eastAsia="fr-FR"/>
          </w:rPr>
          <w:t>article L.</w:t>
        </w:r>
        <w:r w:rsidR="008A6D4F">
          <w:rPr>
            <w:color w:val="4A5E81"/>
            <w:u w:val="single"/>
            <w:lang w:eastAsia="fr-FR"/>
          </w:rPr>
          <w:t xml:space="preserve"> </w:t>
        </w:r>
        <w:r w:rsidR="00246793" w:rsidRPr="003C50B7">
          <w:rPr>
            <w:color w:val="4A5E81"/>
            <w:u w:val="single"/>
            <w:lang w:eastAsia="fr-FR"/>
          </w:rPr>
          <w:t>511-1 du code de l'environnement</w:t>
        </w:r>
      </w:hyperlink>
      <w:r w:rsidR="00246793" w:rsidRPr="003C50B7">
        <w:rPr>
          <w:color w:val="000000"/>
          <w:lang w:eastAsia="fr-FR"/>
        </w:rPr>
        <w:t>. Les valeurs déterminées par le préfet ne dépassent en aucun cas :</w:t>
      </w:r>
    </w:p>
    <w:p w14:paraId="2A6233F6" w14:textId="77777777" w:rsidR="00FB33D1" w:rsidRPr="003C50B7" w:rsidRDefault="00FB33D1" w:rsidP="002B0DC1">
      <w:pPr>
        <w:jc w:val="both"/>
        <w:rPr>
          <w:color w:val="000000"/>
          <w:lang w:eastAsia="fr-FR"/>
        </w:rPr>
      </w:pPr>
    </w:p>
    <w:p w14:paraId="47C6BE13" w14:textId="3289273E" w:rsidR="00246793" w:rsidRPr="003C50B7" w:rsidRDefault="003C50B7" w:rsidP="002B0DC1">
      <w:pPr>
        <w:ind w:left="708"/>
        <w:jc w:val="both"/>
        <w:rPr>
          <w:color w:val="000000"/>
          <w:lang w:eastAsia="fr-FR"/>
        </w:rPr>
      </w:pPr>
      <w:r>
        <w:rPr>
          <w:color w:val="000000"/>
          <w:lang w:eastAsia="fr-FR"/>
        </w:rPr>
        <w:t>« </w:t>
      </w:r>
      <w:r w:rsidR="00246793" w:rsidRPr="003C50B7">
        <w:rPr>
          <w:color w:val="000000"/>
          <w:lang w:eastAsia="fr-FR"/>
        </w:rPr>
        <w:t xml:space="preserve">- pour le charbon, lignite : </w:t>
      </w:r>
      <w:r w:rsidR="00246793" w:rsidRPr="003C50B7">
        <w:rPr>
          <w:color w:val="000000"/>
          <w:shd w:val="clear" w:color="auto" w:fill="E2EFD9" w:themeFill="accent6" w:themeFillTint="33"/>
          <w:lang w:eastAsia="fr-FR"/>
        </w:rPr>
        <w:t>20 mg/Nm</w:t>
      </w:r>
      <w:r w:rsidR="00246793" w:rsidRPr="003C50B7">
        <w:rPr>
          <w:color w:val="000000"/>
          <w:shd w:val="clear" w:color="auto" w:fill="E2EFD9" w:themeFill="accent6" w:themeFillTint="33"/>
          <w:vertAlign w:val="superscript"/>
          <w:lang w:eastAsia="fr-FR"/>
        </w:rPr>
        <w:t>3</w:t>
      </w:r>
      <w:r w:rsidR="00246793" w:rsidRPr="003C50B7">
        <w:rPr>
          <w:color w:val="000000"/>
          <w:shd w:val="clear" w:color="auto" w:fill="E2EFD9" w:themeFill="accent6" w:themeFillTint="33"/>
          <w:lang w:eastAsia="fr-FR"/>
        </w:rPr>
        <w:t xml:space="preserve"> en </w:t>
      </w:r>
      <w:proofErr w:type="spellStart"/>
      <w:r w:rsidR="00246793" w:rsidRPr="003C50B7">
        <w:rPr>
          <w:color w:val="000000"/>
          <w:shd w:val="clear" w:color="auto" w:fill="E2EFD9" w:themeFill="accent6" w:themeFillTint="33"/>
          <w:lang w:eastAsia="fr-FR"/>
        </w:rPr>
        <w:t>HCl</w:t>
      </w:r>
      <w:proofErr w:type="spellEnd"/>
      <w:r w:rsidR="00246793" w:rsidRPr="003C50B7">
        <w:rPr>
          <w:color w:val="000000"/>
          <w:lang w:eastAsia="fr-FR"/>
        </w:rPr>
        <w:t xml:space="preserve"> dans le cas d’une installation brûlant des combustibles à teneur moyenne en chlore ≥ 1000 mg/kg (poids sec), ou dans le cas des installations exploitées moins de 1500 heures par an, ou dans le cas des chaudières à lit fluidisé ;</w:t>
      </w:r>
    </w:p>
    <w:p w14:paraId="2E76BF30" w14:textId="52B33151" w:rsidR="00246793" w:rsidRDefault="003C50B7" w:rsidP="002B0DC1">
      <w:pPr>
        <w:ind w:left="708"/>
        <w:jc w:val="both"/>
        <w:rPr>
          <w:color w:val="000000"/>
          <w:lang w:eastAsia="fr-FR"/>
        </w:rPr>
      </w:pPr>
      <w:r>
        <w:rPr>
          <w:color w:val="000000"/>
          <w:lang w:eastAsia="fr-FR"/>
        </w:rPr>
        <w:t>« </w:t>
      </w:r>
      <w:r w:rsidR="00246793" w:rsidRPr="003C50B7">
        <w:rPr>
          <w:color w:val="000000"/>
          <w:lang w:eastAsia="fr-FR"/>
        </w:rPr>
        <w:t xml:space="preserve">- pour les combustibles issus de procédés de l’industrie chimique dans des chaudières : </w:t>
      </w:r>
      <w:r w:rsidR="00246793" w:rsidRPr="003C50B7">
        <w:rPr>
          <w:color w:val="000000"/>
          <w:shd w:val="clear" w:color="auto" w:fill="E2EFD9" w:themeFill="accent6" w:themeFillTint="33"/>
          <w:lang w:eastAsia="fr-FR"/>
        </w:rPr>
        <w:t>20 mg/Nm</w:t>
      </w:r>
      <w:r w:rsidR="00246793" w:rsidRPr="003C50B7">
        <w:rPr>
          <w:color w:val="000000"/>
          <w:shd w:val="clear" w:color="auto" w:fill="E2EFD9" w:themeFill="accent6" w:themeFillTint="33"/>
          <w:vertAlign w:val="superscript"/>
          <w:lang w:eastAsia="fr-FR"/>
        </w:rPr>
        <w:t>3</w:t>
      </w:r>
      <w:r w:rsidR="00246793" w:rsidRPr="003C50B7">
        <w:rPr>
          <w:color w:val="000000"/>
          <w:shd w:val="clear" w:color="auto" w:fill="E2EFD9" w:themeFill="accent6" w:themeFillTint="33"/>
          <w:lang w:eastAsia="fr-FR"/>
        </w:rPr>
        <w:t xml:space="preserve"> en </w:t>
      </w:r>
      <w:proofErr w:type="spellStart"/>
      <w:r w:rsidR="00246793" w:rsidRPr="003C50B7">
        <w:rPr>
          <w:color w:val="000000"/>
          <w:shd w:val="clear" w:color="auto" w:fill="E2EFD9" w:themeFill="accent6" w:themeFillTint="33"/>
          <w:lang w:eastAsia="fr-FR"/>
        </w:rPr>
        <w:t>HCl</w:t>
      </w:r>
      <w:proofErr w:type="spellEnd"/>
      <w:r w:rsidR="00246793" w:rsidRPr="003C50B7">
        <w:rPr>
          <w:color w:val="000000"/>
          <w:shd w:val="clear" w:color="auto" w:fill="E2EFD9" w:themeFill="accent6" w:themeFillTint="33"/>
          <w:lang w:eastAsia="fr-FR"/>
        </w:rPr>
        <w:t xml:space="preserve"> et 7 mg/Nm</w:t>
      </w:r>
      <w:r w:rsidR="00246793" w:rsidRPr="003C50B7">
        <w:rPr>
          <w:color w:val="000000"/>
          <w:shd w:val="clear" w:color="auto" w:fill="E2EFD9" w:themeFill="accent6" w:themeFillTint="33"/>
          <w:vertAlign w:val="superscript"/>
          <w:lang w:eastAsia="fr-FR"/>
        </w:rPr>
        <w:t>3</w:t>
      </w:r>
      <w:r w:rsidR="00246793" w:rsidRPr="003C50B7">
        <w:rPr>
          <w:color w:val="000000"/>
          <w:lang w:eastAsia="fr-FR"/>
        </w:rPr>
        <w:t xml:space="preserve"> en HF pour les installations exploitées moins de 1500 heures par an.</w:t>
      </w:r>
    </w:p>
    <w:p w14:paraId="2F771B4B" w14:textId="77777777" w:rsidR="00FB33D1" w:rsidRPr="003C50B7" w:rsidRDefault="00FB33D1" w:rsidP="002B0DC1">
      <w:pPr>
        <w:ind w:left="708"/>
        <w:jc w:val="both"/>
        <w:rPr>
          <w:color w:val="000000"/>
          <w:lang w:eastAsia="fr-FR"/>
        </w:rPr>
      </w:pPr>
    </w:p>
    <w:p w14:paraId="1C915793" w14:textId="7C79ED20" w:rsidR="00246793" w:rsidRPr="00E37A4B" w:rsidRDefault="003C50B7" w:rsidP="002B0DC1">
      <w:pPr>
        <w:pStyle w:val="Paragraphedeliste"/>
        <w:spacing w:after="0" w:line="240" w:lineRule="auto"/>
        <w:jc w:val="both"/>
        <w:rPr>
          <w:rFonts w:ascii="Times New Roman" w:eastAsia="Times New Roman" w:hAnsi="Times New Roman"/>
          <w:color w:val="000000"/>
          <w:sz w:val="24"/>
          <w:szCs w:val="24"/>
        </w:rPr>
      </w:pPr>
      <w:r w:rsidRPr="00E37A4B">
        <w:rPr>
          <w:rFonts w:ascii="Times New Roman" w:eastAsia="Times New Roman" w:hAnsi="Times New Roman"/>
          <w:color w:val="000000"/>
          <w:sz w:val="24"/>
          <w:szCs w:val="24"/>
        </w:rPr>
        <w:t xml:space="preserve">« - </w:t>
      </w:r>
      <w:r w:rsidR="00246793" w:rsidRPr="00E37A4B">
        <w:rPr>
          <w:rFonts w:ascii="Times New Roman" w:eastAsia="Times New Roman" w:hAnsi="Times New Roman"/>
          <w:color w:val="000000"/>
          <w:sz w:val="24"/>
          <w:szCs w:val="24"/>
        </w:rPr>
        <w:t xml:space="preserve">Biomasse </w:t>
      </w:r>
      <w:r w:rsidR="0077783A" w:rsidRPr="00E37A4B">
        <w:rPr>
          <w:rFonts w:ascii="Times New Roman" w:eastAsia="Times New Roman" w:hAnsi="Times New Roman"/>
          <w:color w:val="000000"/>
          <w:sz w:val="24"/>
          <w:szCs w:val="24"/>
        </w:rPr>
        <w:t xml:space="preserve">solide </w:t>
      </w:r>
      <w:r w:rsidR="00246793" w:rsidRPr="00E37A4B">
        <w:rPr>
          <w:rFonts w:ascii="Times New Roman" w:eastAsia="Times New Roman" w:hAnsi="Times New Roman"/>
          <w:color w:val="000000"/>
          <w:sz w:val="24"/>
          <w:szCs w:val="24"/>
        </w:rPr>
        <w:t>ou tourbe</w:t>
      </w:r>
    </w:p>
    <w:p w14:paraId="3E008FBE" w14:textId="77777777" w:rsidR="00E37A4B" w:rsidRDefault="003C50B7" w:rsidP="002B0DC1">
      <w:pPr>
        <w:jc w:val="both"/>
        <w:rPr>
          <w:color w:val="000000"/>
          <w:lang w:eastAsia="fr-FR"/>
        </w:rPr>
      </w:pPr>
      <w:r>
        <w:rPr>
          <w:color w:val="000000"/>
          <w:lang w:eastAsia="fr-FR"/>
        </w:rPr>
        <w:t>« </w:t>
      </w:r>
      <w:r w:rsidR="00246793" w:rsidRPr="003C50B7">
        <w:rPr>
          <w:color w:val="000000"/>
          <w:lang w:eastAsia="fr-FR"/>
        </w:rPr>
        <w:t xml:space="preserve">La valeur limite annuelle en </w:t>
      </w:r>
      <w:proofErr w:type="spellStart"/>
      <w:r w:rsidR="00246793" w:rsidRPr="003C50B7">
        <w:rPr>
          <w:color w:val="000000"/>
          <w:lang w:eastAsia="fr-FR"/>
        </w:rPr>
        <w:t>HCl</w:t>
      </w:r>
      <w:proofErr w:type="spellEnd"/>
      <w:r w:rsidR="00246793" w:rsidRPr="003C50B7">
        <w:rPr>
          <w:color w:val="000000"/>
          <w:lang w:eastAsia="fr-FR"/>
        </w:rPr>
        <w:t xml:space="preserve"> ne s’applique pas aux installations exploitées moins de 1500h par an. </w:t>
      </w:r>
    </w:p>
    <w:p w14:paraId="0ED972A7" w14:textId="5D1D9AC7" w:rsidR="00246793" w:rsidRPr="003C50B7" w:rsidRDefault="00246793" w:rsidP="002B0DC1">
      <w:pPr>
        <w:jc w:val="both"/>
        <w:rPr>
          <w:color w:val="000000"/>
          <w:lang w:eastAsia="fr-FR"/>
        </w:rPr>
      </w:pPr>
      <w:r w:rsidRPr="003C50B7">
        <w:rPr>
          <w:color w:val="000000"/>
          <w:lang w:eastAsia="fr-FR"/>
        </w:rPr>
        <w:t xml:space="preserve">Dans le cas des installations exploitées moins de 500 heures par an, les valeurs limites d’émission du </w:t>
      </w:r>
      <w:r w:rsidR="00D23B3A">
        <w:rPr>
          <w:color w:val="000000"/>
          <w:lang w:eastAsia="fr-FR"/>
        </w:rPr>
        <w:t xml:space="preserve">a) du </w:t>
      </w:r>
      <w:r w:rsidRPr="003C50B7">
        <w:rPr>
          <w:color w:val="000000"/>
          <w:lang w:eastAsia="fr-FR"/>
        </w:rPr>
        <w:t>IV du présent article s’appliquent.</w:t>
      </w:r>
    </w:p>
    <w:tbl>
      <w:tblPr>
        <w:tblW w:w="8500"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02"/>
        <w:gridCol w:w="1619"/>
        <w:gridCol w:w="1110"/>
        <w:gridCol w:w="993"/>
        <w:gridCol w:w="1417"/>
        <w:gridCol w:w="1559"/>
      </w:tblGrid>
      <w:tr w:rsidR="00246793" w:rsidRPr="00246793" w14:paraId="50F40E61" w14:textId="77777777" w:rsidTr="005D385E">
        <w:trPr>
          <w:jc w:val="center"/>
        </w:trPr>
        <w:tc>
          <w:tcPr>
            <w:tcW w:w="1802" w:type="dxa"/>
            <w:vMerge w:val="restart"/>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471038C0"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Combustibles</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545DED8C"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Puissance P (MW)</w:t>
            </w:r>
          </w:p>
        </w:tc>
        <w:tc>
          <w:tcPr>
            <w:tcW w:w="3520" w:type="dxa"/>
            <w:gridSpan w:val="3"/>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326EFEDC" w14:textId="77777777" w:rsidR="00246793" w:rsidRPr="00246793" w:rsidRDefault="00246793" w:rsidP="005D385E">
            <w:pPr>
              <w:jc w:val="center"/>
              <w:rPr>
                <w:b/>
                <w:bCs/>
                <w:color w:val="FFFFFF"/>
                <w:sz w:val="21"/>
                <w:szCs w:val="21"/>
                <w:lang w:eastAsia="fr-FR"/>
              </w:rPr>
            </w:pPr>
            <w:proofErr w:type="spellStart"/>
            <w:r w:rsidRPr="00246793">
              <w:rPr>
                <w:b/>
                <w:bCs/>
                <w:color w:val="FFFFFF"/>
                <w:sz w:val="21"/>
                <w:szCs w:val="21"/>
                <w:lang w:eastAsia="fr-FR"/>
              </w:rPr>
              <w:t>HCl</w:t>
            </w:r>
            <w:proofErr w:type="spellEnd"/>
            <w:r w:rsidRPr="00246793">
              <w:rPr>
                <w:b/>
                <w:bCs/>
                <w:color w:val="FFFFFF"/>
                <w:sz w:val="21"/>
                <w:szCs w:val="21"/>
                <w:lang w:eastAsia="fr-FR"/>
              </w:rPr>
              <w:t xml:space="preserve"> (mg/Nm</w:t>
            </w:r>
            <w:r w:rsidRPr="00246793">
              <w:rPr>
                <w:b/>
                <w:bCs/>
                <w:color w:val="FFFFFF"/>
                <w:sz w:val="21"/>
                <w:szCs w:val="21"/>
                <w:vertAlign w:val="superscript"/>
                <w:lang w:eastAsia="fr-FR"/>
              </w:rPr>
              <w:t>3</w:t>
            </w:r>
            <w:r w:rsidRPr="00246793">
              <w:rPr>
                <w:b/>
                <w:bCs/>
                <w:color w:val="FFFFFF"/>
                <w:sz w:val="21"/>
                <w:szCs w:val="21"/>
                <w:lang w:eastAsia="fr-FR"/>
              </w:rPr>
              <w:t>)</w:t>
            </w:r>
          </w:p>
        </w:tc>
        <w:tc>
          <w:tcPr>
            <w:tcW w:w="1559" w:type="dxa"/>
            <w:tcBorders>
              <w:top w:val="single" w:sz="4" w:space="0" w:color="auto"/>
              <w:left w:val="single" w:sz="4" w:space="0" w:color="auto"/>
              <w:bottom w:val="single" w:sz="4" w:space="0" w:color="auto"/>
              <w:right w:val="single" w:sz="4" w:space="0" w:color="auto"/>
            </w:tcBorders>
            <w:shd w:val="clear" w:color="auto" w:fill="5C75A2"/>
          </w:tcPr>
          <w:p w14:paraId="67340015"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HF (mg/Nm</w:t>
            </w:r>
            <w:r w:rsidRPr="00246793">
              <w:rPr>
                <w:b/>
                <w:bCs/>
                <w:color w:val="FFFFFF"/>
                <w:sz w:val="21"/>
                <w:szCs w:val="21"/>
                <w:vertAlign w:val="superscript"/>
                <w:lang w:eastAsia="fr-FR"/>
              </w:rPr>
              <w:t>3</w:t>
            </w:r>
            <w:r w:rsidRPr="00246793">
              <w:rPr>
                <w:b/>
                <w:bCs/>
                <w:color w:val="FFFFFF"/>
                <w:sz w:val="21"/>
                <w:szCs w:val="21"/>
                <w:lang w:eastAsia="fr-FR"/>
              </w:rPr>
              <w:t>)</w:t>
            </w:r>
          </w:p>
        </w:tc>
      </w:tr>
      <w:tr w:rsidR="00246793" w:rsidRPr="00246793" w14:paraId="16FC75D2" w14:textId="77777777" w:rsidTr="005D385E">
        <w:trPr>
          <w:jc w:val="center"/>
        </w:trPr>
        <w:tc>
          <w:tcPr>
            <w:tcW w:w="1802" w:type="dxa"/>
            <w:vMerge/>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3DD87688" w14:textId="77777777" w:rsidR="00246793" w:rsidRPr="00246793" w:rsidRDefault="00246793" w:rsidP="005D385E">
            <w:pPr>
              <w:jc w:val="center"/>
              <w:rPr>
                <w:b/>
                <w:bCs/>
                <w:color w:val="FFFFFF"/>
                <w:sz w:val="21"/>
                <w:szCs w:val="21"/>
                <w:lang w:eastAsia="fr-FR"/>
              </w:rPr>
            </w:pPr>
          </w:p>
        </w:tc>
        <w:tc>
          <w:tcPr>
            <w:tcW w:w="1619" w:type="dxa"/>
            <w:vMerge/>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34480A56" w14:textId="77777777" w:rsidR="00246793" w:rsidRPr="00246793" w:rsidRDefault="00246793" w:rsidP="005D385E">
            <w:pPr>
              <w:jc w:val="center"/>
              <w:rPr>
                <w:b/>
                <w:bCs/>
                <w:color w:val="FFFFFF"/>
                <w:sz w:val="21"/>
                <w:szCs w:val="21"/>
                <w:lang w:eastAsia="fr-FR"/>
              </w:rPr>
            </w:pPr>
          </w:p>
        </w:tc>
        <w:tc>
          <w:tcPr>
            <w:tcW w:w="1110"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4AC1514B"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A</w:t>
            </w:r>
          </w:p>
        </w:tc>
        <w:tc>
          <w:tcPr>
            <w:tcW w:w="993" w:type="dxa"/>
            <w:tcBorders>
              <w:top w:val="single" w:sz="4" w:space="0" w:color="auto"/>
              <w:left w:val="single" w:sz="4" w:space="0" w:color="auto"/>
              <w:bottom w:val="single" w:sz="4" w:space="0" w:color="auto"/>
              <w:right w:val="single" w:sz="4" w:space="0" w:color="auto"/>
            </w:tcBorders>
            <w:shd w:val="clear" w:color="auto" w:fill="5C75A2"/>
            <w:vAlign w:val="center"/>
          </w:tcPr>
          <w:p w14:paraId="75589218"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J</w:t>
            </w:r>
          </w:p>
        </w:tc>
        <w:tc>
          <w:tcPr>
            <w:tcW w:w="1417" w:type="dxa"/>
            <w:tcBorders>
              <w:top w:val="single" w:sz="4" w:space="0" w:color="auto"/>
              <w:left w:val="single" w:sz="4" w:space="0" w:color="auto"/>
              <w:bottom w:val="single" w:sz="4" w:space="0" w:color="auto"/>
              <w:right w:val="single" w:sz="4" w:space="0" w:color="auto"/>
            </w:tcBorders>
            <w:shd w:val="clear" w:color="auto" w:fill="5C75A2"/>
            <w:vAlign w:val="center"/>
          </w:tcPr>
          <w:p w14:paraId="61E9997A"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Périodique</w:t>
            </w:r>
          </w:p>
        </w:tc>
        <w:tc>
          <w:tcPr>
            <w:tcW w:w="1559" w:type="dxa"/>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tcPr>
          <w:p w14:paraId="59B1D9C6"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A</w:t>
            </w:r>
          </w:p>
        </w:tc>
      </w:tr>
      <w:tr w:rsidR="00246793" w:rsidRPr="00246793" w14:paraId="3DD6A4C0" w14:textId="77777777" w:rsidTr="005D385E">
        <w:trPr>
          <w:jc w:val="center"/>
        </w:trPr>
        <w:tc>
          <w:tcPr>
            <w:tcW w:w="1802"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E40BA8D" w14:textId="6C0ADB92" w:rsidR="00246793" w:rsidRPr="00246793" w:rsidRDefault="00246793" w:rsidP="005D385E">
            <w:pPr>
              <w:jc w:val="center"/>
              <w:rPr>
                <w:b/>
                <w:bCs/>
                <w:sz w:val="21"/>
                <w:szCs w:val="21"/>
                <w:lang w:eastAsia="fr-FR"/>
              </w:rPr>
            </w:pPr>
            <w:r w:rsidRPr="00246793">
              <w:rPr>
                <w:b/>
                <w:bCs/>
                <w:sz w:val="21"/>
                <w:szCs w:val="21"/>
                <w:lang w:eastAsia="fr-FR"/>
              </w:rPr>
              <w:t>Biomasse</w:t>
            </w:r>
            <w:r w:rsidR="00856994">
              <w:rPr>
                <w:b/>
                <w:bCs/>
                <w:sz w:val="21"/>
                <w:szCs w:val="21"/>
                <w:lang w:eastAsia="fr-FR"/>
              </w:rPr>
              <w:t xml:space="preserve"> solide</w:t>
            </w:r>
            <w:r w:rsidRPr="00246793">
              <w:rPr>
                <w:b/>
                <w:bCs/>
                <w:sz w:val="21"/>
                <w:szCs w:val="21"/>
                <w:lang w:eastAsia="fr-FR"/>
              </w:rPr>
              <w:t>,</w:t>
            </w:r>
          </w:p>
          <w:p w14:paraId="44419514" w14:textId="77777777" w:rsidR="00246793" w:rsidRPr="00246793" w:rsidRDefault="00246793" w:rsidP="005D385E">
            <w:pPr>
              <w:jc w:val="center"/>
              <w:rPr>
                <w:b/>
                <w:bCs/>
                <w:sz w:val="21"/>
                <w:szCs w:val="21"/>
                <w:lang w:eastAsia="fr-FR"/>
              </w:rPr>
            </w:pPr>
            <w:r w:rsidRPr="00246793">
              <w:rPr>
                <w:b/>
                <w:bCs/>
                <w:sz w:val="21"/>
                <w:szCs w:val="21"/>
                <w:lang w:eastAsia="fr-FR"/>
              </w:rPr>
              <w:t>Tourbe</w:t>
            </w:r>
          </w:p>
        </w:tc>
        <w:tc>
          <w:tcPr>
            <w:tcW w:w="1619"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230102CC" w14:textId="77777777" w:rsidR="00246793" w:rsidRPr="00246793" w:rsidRDefault="00246793" w:rsidP="005D385E">
            <w:pPr>
              <w:jc w:val="center"/>
              <w:rPr>
                <w:b/>
                <w:bCs/>
                <w:sz w:val="21"/>
                <w:szCs w:val="21"/>
                <w:lang w:eastAsia="fr-FR"/>
              </w:rPr>
            </w:pPr>
            <w:r w:rsidRPr="00246793">
              <w:rPr>
                <w:b/>
                <w:bCs/>
                <w:sz w:val="21"/>
                <w:szCs w:val="21"/>
                <w:lang w:eastAsia="fr-FR"/>
              </w:rPr>
              <w:t>50 ≤ P &lt; 100</w:t>
            </w:r>
          </w:p>
        </w:tc>
        <w:tc>
          <w:tcPr>
            <w:tcW w:w="111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8D5207A" w14:textId="77777777" w:rsidR="00246793" w:rsidRPr="00246793" w:rsidRDefault="00246793" w:rsidP="005D385E">
            <w:pPr>
              <w:jc w:val="center"/>
              <w:rPr>
                <w:b/>
                <w:bCs/>
                <w:sz w:val="21"/>
                <w:szCs w:val="21"/>
                <w:lang w:eastAsia="fr-FR"/>
              </w:rPr>
            </w:pPr>
            <w:r w:rsidRPr="00246793">
              <w:rPr>
                <w:b/>
                <w:bCs/>
                <w:sz w:val="21"/>
                <w:szCs w:val="21"/>
                <w:lang w:eastAsia="fr-FR"/>
              </w:rPr>
              <w:t>10</w:t>
            </w:r>
          </w:p>
          <w:p w14:paraId="234BD664" w14:textId="77777777" w:rsidR="00246793" w:rsidRPr="00246793" w:rsidRDefault="00246793" w:rsidP="005D385E">
            <w:pPr>
              <w:jc w:val="center"/>
              <w:rPr>
                <w:b/>
                <w:bCs/>
                <w:sz w:val="21"/>
                <w:szCs w:val="21"/>
                <w:lang w:eastAsia="fr-FR"/>
              </w:rPr>
            </w:pPr>
            <w:r w:rsidRPr="00246793">
              <w:rPr>
                <w:b/>
                <w:bCs/>
                <w:sz w:val="21"/>
                <w:szCs w:val="21"/>
                <w:lang w:eastAsia="fr-FR"/>
              </w:rPr>
              <w:t>(1)</w:t>
            </w:r>
          </w:p>
        </w:tc>
        <w:tc>
          <w:tcPr>
            <w:tcW w:w="993" w:type="dxa"/>
            <w:tcBorders>
              <w:top w:val="single" w:sz="4" w:space="0" w:color="auto"/>
              <w:left w:val="single" w:sz="4" w:space="0" w:color="auto"/>
              <w:bottom w:val="single" w:sz="4" w:space="0" w:color="auto"/>
              <w:right w:val="single" w:sz="4" w:space="0" w:color="auto"/>
            </w:tcBorders>
            <w:shd w:val="clear" w:color="auto" w:fill="EEEEEE"/>
            <w:vAlign w:val="center"/>
          </w:tcPr>
          <w:p w14:paraId="2F6C8DBA" w14:textId="77777777" w:rsidR="00246793" w:rsidRPr="00246793" w:rsidRDefault="00246793" w:rsidP="005D385E">
            <w:pPr>
              <w:jc w:val="center"/>
              <w:rPr>
                <w:b/>
                <w:bCs/>
                <w:sz w:val="21"/>
                <w:szCs w:val="21"/>
                <w:lang w:eastAsia="fr-FR"/>
              </w:rPr>
            </w:pPr>
            <w:r w:rsidRPr="00246793">
              <w:rPr>
                <w:b/>
                <w:bCs/>
                <w:sz w:val="21"/>
                <w:szCs w:val="21"/>
                <w:lang w:eastAsia="fr-FR"/>
              </w:rPr>
              <w:t>10</w:t>
            </w:r>
          </w:p>
          <w:p w14:paraId="7285D26A" w14:textId="77777777" w:rsidR="00246793" w:rsidRPr="00246793" w:rsidRDefault="00246793" w:rsidP="005D385E">
            <w:pPr>
              <w:jc w:val="center"/>
              <w:rPr>
                <w:b/>
                <w:bCs/>
                <w:sz w:val="21"/>
                <w:szCs w:val="21"/>
                <w:lang w:eastAsia="fr-FR"/>
              </w:rPr>
            </w:pPr>
            <w:r w:rsidRPr="00246793">
              <w:rPr>
                <w:b/>
                <w:bCs/>
                <w:sz w:val="21"/>
                <w:szCs w:val="21"/>
                <w:lang w:eastAsia="fr-FR"/>
              </w:rPr>
              <w:t>(1)</w:t>
            </w:r>
          </w:p>
        </w:tc>
        <w:tc>
          <w:tcPr>
            <w:tcW w:w="1417" w:type="dxa"/>
            <w:tcBorders>
              <w:top w:val="single" w:sz="4" w:space="0" w:color="auto"/>
              <w:left w:val="single" w:sz="4" w:space="0" w:color="auto"/>
              <w:bottom w:val="single" w:sz="4" w:space="0" w:color="auto"/>
              <w:right w:val="single" w:sz="4" w:space="0" w:color="auto"/>
            </w:tcBorders>
            <w:shd w:val="clear" w:color="auto" w:fill="EEEEEE"/>
            <w:vAlign w:val="center"/>
          </w:tcPr>
          <w:p w14:paraId="12E60F0B" w14:textId="77777777" w:rsidR="00246793" w:rsidRPr="00246793" w:rsidRDefault="00246793" w:rsidP="005D385E">
            <w:pPr>
              <w:jc w:val="center"/>
              <w:rPr>
                <w:b/>
                <w:bCs/>
                <w:sz w:val="21"/>
                <w:szCs w:val="21"/>
                <w:lang w:eastAsia="fr-FR"/>
              </w:rPr>
            </w:pPr>
            <w:r w:rsidRPr="00246793">
              <w:rPr>
                <w:b/>
                <w:bCs/>
                <w:sz w:val="21"/>
                <w:szCs w:val="21"/>
                <w:lang w:eastAsia="fr-FR"/>
              </w:rPr>
              <w:t>10</w:t>
            </w:r>
          </w:p>
          <w:p w14:paraId="1EDBC714" w14:textId="77777777" w:rsidR="00246793" w:rsidRPr="00246793" w:rsidRDefault="00246793" w:rsidP="005D385E">
            <w:pPr>
              <w:jc w:val="center"/>
              <w:rPr>
                <w:b/>
                <w:bCs/>
                <w:sz w:val="21"/>
                <w:szCs w:val="21"/>
                <w:lang w:eastAsia="fr-FR"/>
              </w:rPr>
            </w:pPr>
            <w:r w:rsidRPr="00246793">
              <w:rPr>
                <w:b/>
                <w:bCs/>
                <w:sz w:val="21"/>
                <w:szCs w:val="21"/>
                <w:lang w:eastAsia="fr-FR"/>
              </w:rPr>
              <w:t>(1)</w:t>
            </w:r>
          </w:p>
        </w:tc>
        <w:tc>
          <w:tcPr>
            <w:tcW w:w="1559"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07118F0" w14:textId="77777777" w:rsidR="00246793" w:rsidRPr="00246793" w:rsidRDefault="00246793" w:rsidP="005D385E">
            <w:pPr>
              <w:jc w:val="center"/>
              <w:rPr>
                <w:b/>
                <w:bCs/>
                <w:sz w:val="21"/>
                <w:szCs w:val="21"/>
                <w:lang w:eastAsia="fr-FR"/>
              </w:rPr>
            </w:pPr>
            <w:r w:rsidRPr="00246793">
              <w:rPr>
                <w:b/>
                <w:bCs/>
                <w:sz w:val="21"/>
                <w:szCs w:val="21"/>
                <w:lang w:eastAsia="fr-FR"/>
              </w:rPr>
              <w:t>1,5</w:t>
            </w:r>
          </w:p>
        </w:tc>
      </w:tr>
      <w:tr w:rsidR="00246793" w:rsidRPr="00246793" w14:paraId="64D5B2AA" w14:textId="77777777" w:rsidTr="005D385E">
        <w:trPr>
          <w:jc w:val="center"/>
        </w:trPr>
        <w:tc>
          <w:tcPr>
            <w:tcW w:w="1802"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E7B3370" w14:textId="77777777" w:rsidR="00246793" w:rsidRPr="00246793" w:rsidRDefault="00246793" w:rsidP="005D385E">
            <w:pPr>
              <w:jc w:val="center"/>
              <w:rPr>
                <w:b/>
                <w:bCs/>
                <w:sz w:val="21"/>
                <w:szCs w:val="21"/>
                <w:lang w:eastAsia="fr-FR"/>
              </w:rPr>
            </w:pPr>
          </w:p>
        </w:tc>
        <w:tc>
          <w:tcPr>
            <w:tcW w:w="1619"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77139CA" w14:textId="77777777" w:rsidR="00246793" w:rsidRPr="00246793" w:rsidRDefault="00246793" w:rsidP="005D385E">
            <w:pPr>
              <w:jc w:val="center"/>
              <w:rPr>
                <w:b/>
                <w:bCs/>
                <w:sz w:val="21"/>
                <w:szCs w:val="21"/>
                <w:lang w:eastAsia="fr-FR"/>
              </w:rPr>
            </w:pPr>
            <w:r w:rsidRPr="00246793">
              <w:rPr>
                <w:b/>
                <w:bCs/>
                <w:sz w:val="21"/>
                <w:szCs w:val="21"/>
                <w:lang w:eastAsia="fr-FR"/>
              </w:rPr>
              <w:t>100 ≤ P &lt; 300</w:t>
            </w:r>
          </w:p>
        </w:tc>
        <w:tc>
          <w:tcPr>
            <w:tcW w:w="111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1DC2B5A7" w14:textId="77777777" w:rsidR="00246793" w:rsidRPr="00246793" w:rsidRDefault="00246793" w:rsidP="005D385E">
            <w:pPr>
              <w:jc w:val="center"/>
              <w:rPr>
                <w:b/>
                <w:bCs/>
                <w:sz w:val="21"/>
                <w:szCs w:val="21"/>
                <w:lang w:eastAsia="fr-FR"/>
              </w:rPr>
            </w:pPr>
            <w:r w:rsidRPr="00246793">
              <w:rPr>
                <w:b/>
                <w:bCs/>
                <w:sz w:val="21"/>
                <w:szCs w:val="21"/>
                <w:lang w:eastAsia="fr-FR"/>
              </w:rPr>
              <w:t>9</w:t>
            </w:r>
          </w:p>
        </w:tc>
        <w:tc>
          <w:tcPr>
            <w:tcW w:w="993" w:type="dxa"/>
            <w:tcBorders>
              <w:top w:val="single" w:sz="4" w:space="0" w:color="auto"/>
              <w:left w:val="single" w:sz="4" w:space="0" w:color="auto"/>
              <w:bottom w:val="single" w:sz="4" w:space="0" w:color="auto"/>
              <w:right w:val="single" w:sz="4" w:space="0" w:color="auto"/>
            </w:tcBorders>
            <w:shd w:val="clear" w:color="auto" w:fill="EEEEEE"/>
            <w:vAlign w:val="center"/>
          </w:tcPr>
          <w:p w14:paraId="51BF9525" w14:textId="77777777" w:rsidR="00246793" w:rsidRPr="00246793" w:rsidRDefault="00246793" w:rsidP="005D385E">
            <w:pPr>
              <w:jc w:val="center"/>
              <w:rPr>
                <w:b/>
                <w:bCs/>
                <w:sz w:val="21"/>
                <w:szCs w:val="21"/>
                <w:lang w:eastAsia="fr-FR"/>
              </w:rPr>
            </w:pPr>
            <w:r w:rsidRPr="00246793">
              <w:rPr>
                <w:b/>
                <w:bCs/>
                <w:sz w:val="21"/>
                <w:szCs w:val="21"/>
                <w:lang w:eastAsia="fr-FR"/>
              </w:rPr>
              <w:t>10</w:t>
            </w:r>
          </w:p>
          <w:p w14:paraId="3DC97F3D" w14:textId="77777777" w:rsidR="00246793" w:rsidRPr="00246793" w:rsidRDefault="00246793" w:rsidP="005D385E">
            <w:pPr>
              <w:jc w:val="center"/>
              <w:rPr>
                <w:b/>
                <w:bCs/>
                <w:sz w:val="21"/>
                <w:szCs w:val="21"/>
                <w:lang w:eastAsia="fr-FR"/>
              </w:rPr>
            </w:pPr>
            <w:r w:rsidRPr="00246793">
              <w:rPr>
                <w:b/>
                <w:bCs/>
                <w:sz w:val="21"/>
                <w:szCs w:val="21"/>
                <w:lang w:eastAsia="fr-FR"/>
              </w:rPr>
              <w:t>(2)</w:t>
            </w:r>
          </w:p>
        </w:tc>
        <w:tc>
          <w:tcPr>
            <w:tcW w:w="1417" w:type="dxa"/>
            <w:tcBorders>
              <w:top w:val="single" w:sz="4" w:space="0" w:color="auto"/>
              <w:left w:val="single" w:sz="4" w:space="0" w:color="auto"/>
              <w:bottom w:val="single" w:sz="4" w:space="0" w:color="auto"/>
              <w:right w:val="single" w:sz="4" w:space="0" w:color="auto"/>
            </w:tcBorders>
            <w:shd w:val="clear" w:color="auto" w:fill="EEEEEE"/>
            <w:vAlign w:val="center"/>
          </w:tcPr>
          <w:p w14:paraId="762315FB" w14:textId="77777777" w:rsidR="00246793" w:rsidRPr="00246793" w:rsidRDefault="00246793" w:rsidP="005D385E">
            <w:pPr>
              <w:jc w:val="center"/>
              <w:rPr>
                <w:b/>
                <w:bCs/>
                <w:sz w:val="21"/>
                <w:szCs w:val="21"/>
                <w:lang w:eastAsia="fr-FR"/>
              </w:rPr>
            </w:pPr>
            <w:r w:rsidRPr="00246793">
              <w:rPr>
                <w:b/>
                <w:bCs/>
                <w:sz w:val="21"/>
                <w:szCs w:val="21"/>
                <w:lang w:eastAsia="fr-FR"/>
              </w:rPr>
              <w:t>10</w:t>
            </w:r>
          </w:p>
          <w:p w14:paraId="3B0F41AF" w14:textId="77777777" w:rsidR="00246793" w:rsidRPr="00246793" w:rsidRDefault="00246793" w:rsidP="005D385E">
            <w:pPr>
              <w:jc w:val="center"/>
              <w:rPr>
                <w:b/>
                <w:bCs/>
                <w:sz w:val="21"/>
                <w:szCs w:val="21"/>
                <w:lang w:eastAsia="fr-FR"/>
              </w:rPr>
            </w:pPr>
            <w:r w:rsidRPr="00246793">
              <w:rPr>
                <w:b/>
                <w:bCs/>
                <w:sz w:val="21"/>
                <w:szCs w:val="21"/>
                <w:lang w:eastAsia="fr-FR"/>
              </w:rPr>
              <w:t>(2)</w:t>
            </w:r>
          </w:p>
        </w:tc>
        <w:tc>
          <w:tcPr>
            <w:tcW w:w="1559"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357A805" w14:textId="77777777" w:rsidR="00246793" w:rsidRPr="00246793" w:rsidRDefault="00246793" w:rsidP="005D385E">
            <w:pPr>
              <w:jc w:val="center"/>
              <w:rPr>
                <w:b/>
                <w:bCs/>
                <w:sz w:val="21"/>
                <w:szCs w:val="21"/>
                <w:lang w:eastAsia="fr-FR"/>
              </w:rPr>
            </w:pPr>
            <w:r w:rsidRPr="00246793">
              <w:rPr>
                <w:b/>
                <w:bCs/>
                <w:sz w:val="21"/>
                <w:szCs w:val="21"/>
                <w:lang w:eastAsia="fr-FR"/>
              </w:rPr>
              <w:t>1</w:t>
            </w:r>
          </w:p>
        </w:tc>
      </w:tr>
      <w:tr w:rsidR="00246793" w:rsidRPr="00246793" w14:paraId="268853A1" w14:textId="77777777" w:rsidTr="005D385E">
        <w:trPr>
          <w:jc w:val="center"/>
        </w:trPr>
        <w:tc>
          <w:tcPr>
            <w:tcW w:w="1802"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533FE58" w14:textId="77777777" w:rsidR="00246793" w:rsidRPr="00246793" w:rsidRDefault="00246793" w:rsidP="005D385E">
            <w:pPr>
              <w:jc w:val="center"/>
              <w:rPr>
                <w:b/>
                <w:bCs/>
                <w:sz w:val="21"/>
                <w:szCs w:val="21"/>
                <w:lang w:eastAsia="fr-FR"/>
              </w:rPr>
            </w:pPr>
          </w:p>
        </w:tc>
        <w:tc>
          <w:tcPr>
            <w:tcW w:w="1619"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6B166F5" w14:textId="77777777" w:rsidR="00246793" w:rsidRPr="00246793" w:rsidRDefault="00246793" w:rsidP="005D385E">
            <w:pPr>
              <w:jc w:val="center"/>
              <w:rPr>
                <w:b/>
                <w:bCs/>
                <w:sz w:val="21"/>
                <w:szCs w:val="21"/>
                <w:lang w:eastAsia="fr-FR"/>
              </w:rPr>
            </w:pPr>
            <w:r w:rsidRPr="00246793">
              <w:rPr>
                <w:b/>
                <w:bCs/>
                <w:sz w:val="21"/>
                <w:szCs w:val="21"/>
                <w:lang w:eastAsia="fr-FR"/>
              </w:rPr>
              <w:t>300 ≤ P</w:t>
            </w:r>
          </w:p>
        </w:tc>
        <w:tc>
          <w:tcPr>
            <w:tcW w:w="111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EC7C1E9" w14:textId="77777777" w:rsidR="00246793" w:rsidRPr="00246793" w:rsidRDefault="00246793" w:rsidP="005D385E">
            <w:pPr>
              <w:jc w:val="center"/>
              <w:rPr>
                <w:b/>
                <w:bCs/>
                <w:sz w:val="21"/>
                <w:szCs w:val="21"/>
                <w:lang w:eastAsia="fr-FR"/>
              </w:rPr>
            </w:pPr>
            <w:r w:rsidRPr="00246793">
              <w:rPr>
                <w:b/>
                <w:bCs/>
                <w:sz w:val="21"/>
                <w:szCs w:val="21"/>
                <w:lang w:eastAsia="fr-FR"/>
              </w:rPr>
              <w:t>5</w:t>
            </w:r>
          </w:p>
        </w:tc>
        <w:tc>
          <w:tcPr>
            <w:tcW w:w="993" w:type="dxa"/>
            <w:tcBorders>
              <w:top w:val="single" w:sz="4" w:space="0" w:color="auto"/>
              <w:left w:val="single" w:sz="4" w:space="0" w:color="auto"/>
              <w:bottom w:val="single" w:sz="4" w:space="0" w:color="auto"/>
              <w:right w:val="single" w:sz="4" w:space="0" w:color="auto"/>
            </w:tcBorders>
            <w:shd w:val="clear" w:color="auto" w:fill="EEEEEE"/>
            <w:vAlign w:val="center"/>
          </w:tcPr>
          <w:p w14:paraId="1066D99F" w14:textId="77777777" w:rsidR="00246793" w:rsidRPr="00246793" w:rsidRDefault="00246793" w:rsidP="005D385E">
            <w:pPr>
              <w:jc w:val="center"/>
              <w:rPr>
                <w:b/>
                <w:bCs/>
                <w:sz w:val="21"/>
                <w:szCs w:val="21"/>
                <w:lang w:eastAsia="fr-FR"/>
              </w:rPr>
            </w:pPr>
            <w:r w:rsidRPr="00246793">
              <w:rPr>
                <w:b/>
                <w:bCs/>
                <w:sz w:val="21"/>
                <w:szCs w:val="21"/>
                <w:lang w:eastAsia="fr-FR"/>
              </w:rPr>
              <w:t>10</w:t>
            </w:r>
          </w:p>
          <w:p w14:paraId="54B7514C" w14:textId="77777777" w:rsidR="00246793" w:rsidRPr="00246793" w:rsidRDefault="00246793" w:rsidP="005D385E">
            <w:pPr>
              <w:jc w:val="center"/>
              <w:rPr>
                <w:b/>
                <w:bCs/>
                <w:sz w:val="21"/>
                <w:szCs w:val="21"/>
                <w:lang w:eastAsia="fr-FR"/>
              </w:rPr>
            </w:pPr>
            <w:r w:rsidRPr="00246793">
              <w:rPr>
                <w:b/>
                <w:bCs/>
                <w:sz w:val="21"/>
                <w:szCs w:val="21"/>
                <w:lang w:eastAsia="fr-FR"/>
              </w:rPr>
              <w:t>(2)</w:t>
            </w:r>
          </w:p>
        </w:tc>
        <w:tc>
          <w:tcPr>
            <w:tcW w:w="1417" w:type="dxa"/>
            <w:tcBorders>
              <w:top w:val="single" w:sz="4" w:space="0" w:color="auto"/>
              <w:left w:val="single" w:sz="4" w:space="0" w:color="auto"/>
              <w:bottom w:val="single" w:sz="4" w:space="0" w:color="auto"/>
              <w:right w:val="single" w:sz="4" w:space="0" w:color="auto"/>
            </w:tcBorders>
            <w:shd w:val="clear" w:color="auto" w:fill="EEEEEE"/>
            <w:vAlign w:val="center"/>
          </w:tcPr>
          <w:p w14:paraId="17B6B4B7" w14:textId="77777777" w:rsidR="00246793" w:rsidRPr="00246793" w:rsidRDefault="00246793" w:rsidP="005D385E">
            <w:pPr>
              <w:jc w:val="center"/>
              <w:rPr>
                <w:b/>
                <w:bCs/>
                <w:sz w:val="21"/>
                <w:szCs w:val="21"/>
                <w:lang w:eastAsia="fr-FR"/>
              </w:rPr>
            </w:pPr>
            <w:r w:rsidRPr="00246793">
              <w:rPr>
                <w:b/>
                <w:bCs/>
                <w:sz w:val="21"/>
                <w:szCs w:val="21"/>
                <w:lang w:eastAsia="fr-FR"/>
              </w:rPr>
              <w:t>10</w:t>
            </w:r>
          </w:p>
          <w:p w14:paraId="573F9DBB" w14:textId="77777777" w:rsidR="00246793" w:rsidRPr="00246793" w:rsidRDefault="00246793" w:rsidP="005D385E">
            <w:pPr>
              <w:jc w:val="center"/>
              <w:rPr>
                <w:b/>
                <w:bCs/>
                <w:sz w:val="21"/>
                <w:szCs w:val="21"/>
                <w:lang w:eastAsia="fr-FR"/>
              </w:rPr>
            </w:pPr>
            <w:r w:rsidRPr="00246793">
              <w:rPr>
                <w:b/>
                <w:bCs/>
                <w:sz w:val="21"/>
                <w:szCs w:val="21"/>
                <w:lang w:eastAsia="fr-FR"/>
              </w:rPr>
              <w:t>(2)</w:t>
            </w:r>
          </w:p>
        </w:tc>
        <w:tc>
          <w:tcPr>
            <w:tcW w:w="1559"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E92F330" w14:textId="77777777" w:rsidR="00246793" w:rsidRPr="00246793" w:rsidRDefault="00246793" w:rsidP="005D385E">
            <w:pPr>
              <w:jc w:val="center"/>
              <w:rPr>
                <w:b/>
                <w:bCs/>
                <w:sz w:val="21"/>
                <w:szCs w:val="21"/>
                <w:lang w:eastAsia="fr-FR"/>
              </w:rPr>
            </w:pPr>
            <w:r w:rsidRPr="00246793">
              <w:rPr>
                <w:b/>
                <w:bCs/>
                <w:sz w:val="21"/>
                <w:szCs w:val="21"/>
                <w:lang w:eastAsia="fr-FR"/>
              </w:rPr>
              <w:t>1</w:t>
            </w:r>
          </w:p>
        </w:tc>
      </w:tr>
      <w:tr w:rsidR="00246793" w:rsidRPr="00246793" w14:paraId="7A69304D" w14:textId="77777777" w:rsidTr="003C50B7">
        <w:trPr>
          <w:trHeight w:val="553"/>
          <w:jc w:val="center"/>
        </w:trPr>
        <w:tc>
          <w:tcPr>
            <w:tcW w:w="1802" w:type="dxa"/>
            <w:tcBorders>
              <w:top w:val="single" w:sz="4" w:space="0" w:color="auto"/>
              <w:left w:val="single" w:sz="4" w:space="0" w:color="auto"/>
              <w:bottom w:val="single" w:sz="4" w:space="0" w:color="auto"/>
              <w:right w:val="single" w:sz="4" w:space="0" w:color="auto"/>
            </w:tcBorders>
            <w:shd w:val="clear" w:color="auto" w:fill="5C75A2"/>
            <w:vAlign w:val="center"/>
          </w:tcPr>
          <w:p w14:paraId="56FCFD23" w14:textId="77777777" w:rsidR="00246793" w:rsidRPr="003C50B7" w:rsidRDefault="00246793" w:rsidP="005D385E">
            <w:pPr>
              <w:jc w:val="center"/>
              <w:rPr>
                <w:b/>
                <w:bCs/>
                <w:color w:val="FFFFFF" w:themeColor="background1"/>
                <w:sz w:val="21"/>
                <w:szCs w:val="21"/>
                <w:lang w:eastAsia="fr-FR"/>
              </w:rPr>
            </w:pPr>
            <w:r w:rsidRPr="003C50B7">
              <w:rPr>
                <w:b/>
                <w:bCs/>
                <w:color w:val="FFFFFF" w:themeColor="background1"/>
                <w:sz w:val="21"/>
                <w:szCs w:val="21"/>
                <w:lang w:eastAsia="fr-FR"/>
              </w:rPr>
              <w:t>Renvoi</w:t>
            </w:r>
          </w:p>
        </w:tc>
        <w:tc>
          <w:tcPr>
            <w:tcW w:w="5139" w:type="dxa"/>
            <w:gridSpan w:val="4"/>
            <w:tcBorders>
              <w:top w:val="single" w:sz="4" w:space="0" w:color="auto"/>
              <w:left w:val="single" w:sz="4" w:space="0" w:color="auto"/>
              <w:bottom w:val="single" w:sz="4" w:space="0" w:color="auto"/>
              <w:right w:val="single" w:sz="4" w:space="0" w:color="auto"/>
            </w:tcBorders>
            <w:shd w:val="clear" w:color="auto" w:fill="5C75A2"/>
            <w:tcMar>
              <w:top w:w="150" w:type="dxa"/>
              <w:left w:w="150" w:type="dxa"/>
              <w:bottom w:w="150" w:type="dxa"/>
              <w:right w:w="150" w:type="dxa"/>
            </w:tcMar>
            <w:vAlign w:val="center"/>
          </w:tcPr>
          <w:p w14:paraId="428803A7" w14:textId="77777777" w:rsidR="00246793" w:rsidRPr="003C50B7" w:rsidRDefault="00246793" w:rsidP="005D385E">
            <w:pPr>
              <w:jc w:val="center"/>
              <w:rPr>
                <w:b/>
                <w:bCs/>
                <w:color w:val="FFFFFF" w:themeColor="background1"/>
                <w:sz w:val="21"/>
                <w:szCs w:val="21"/>
                <w:lang w:eastAsia="fr-FR"/>
              </w:rPr>
            </w:pPr>
            <w:r w:rsidRPr="003C50B7">
              <w:rPr>
                <w:b/>
                <w:bCs/>
                <w:color w:val="FFFFFF" w:themeColor="background1"/>
                <w:sz w:val="21"/>
                <w:szCs w:val="21"/>
                <w:lang w:eastAsia="fr-FR"/>
              </w:rPr>
              <w:t>Conditions</w:t>
            </w:r>
          </w:p>
        </w:tc>
        <w:tc>
          <w:tcPr>
            <w:tcW w:w="1559" w:type="dxa"/>
            <w:tcBorders>
              <w:top w:val="single" w:sz="4" w:space="0" w:color="auto"/>
              <w:left w:val="single" w:sz="4" w:space="0" w:color="auto"/>
              <w:bottom w:val="single" w:sz="4" w:space="0" w:color="auto"/>
              <w:right w:val="single" w:sz="4" w:space="0" w:color="auto"/>
            </w:tcBorders>
            <w:shd w:val="clear" w:color="auto" w:fill="5C75A2"/>
          </w:tcPr>
          <w:p w14:paraId="7700F2A2" w14:textId="77777777" w:rsidR="00246793" w:rsidRPr="003C50B7" w:rsidRDefault="00246793" w:rsidP="005D385E">
            <w:pPr>
              <w:jc w:val="center"/>
              <w:rPr>
                <w:b/>
                <w:bCs/>
                <w:color w:val="FFFFFF" w:themeColor="background1"/>
                <w:sz w:val="21"/>
                <w:szCs w:val="21"/>
                <w:lang w:eastAsia="fr-FR"/>
              </w:rPr>
            </w:pPr>
            <w:r w:rsidRPr="003C50B7">
              <w:rPr>
                <w:b/>
                <w:bCs/>
                <w:color w:val="FFFFFF" w:themeColor="background1"/>
                <w:sz w:val="21"/>
                <w:szCs w:val="21"/>
                <w:lang w:eastAsia="fr-FR"/>
              </w:rPr>
              <w:t>Valeur limite d’émission (mg/Nm</w:t>
            </w:r>
            <w:r w:rsidRPr="003C50B7">
              <w:rPr>
                <w:b/>
                <w:bCs/>
                <w:color w:val="FFFFFF" w:themeColor="background1"/>
                <w:sz w:val="21"/>
                <w:szCs w:val="21"/>
                <w:vertAlign w:val="superscript"/>
                <w:lang w:eastAsia="fr-FR"/>
              </w:rPr>
              <w:t>3</w:t>
            </w:r>
            <w:r w:rsidRPr="003C50B7">
              <w:rPr>
                <w:b/>
                <w:bCs/>
                <w:color w:val="FFFFFF" w:themeColor="background1"/>
                <w:sz w:val="21"/>
                <w:szCs w:val="21"/>
                <w:lang w:eastAsia="fr-FR"/>
              </w:rPr>
              <w:t>)</w:t>
            </w:r>
          </w:p>
        </w:tc>
      </w:tr>
      <w:tr w:rsidR="00246793" w:rsidRPr="00246793" w14:paraId="3C71CB58" w14:textId="77777777" w:rsidTr="003C50B7">
        <w:trPr>
          <w:trHeight w:val="553"/>
          <w:jc w:val="center"/>
        </w:trPr>
        <w:tc>
          <w:tcPr>
            <w:tcW w:w="1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EF921" w14:textId="77777777" w:rsidR="00246793" w:rsidRPr="003C50B7" w:rsidRDefault="00246793" w:rsidP="005D385E">
            <w:pPr>
              <w:jc w:val="center"/>
              <w:rPr>
                <w:sz w:val="21"/>
                <w:szCs w:val="21"/>
                <w:lang w:eastAsia="fr-FR"/>
              </w:rPr>
            </w:pPr>
            <w:r w:rsidRPr="003C50B7">
              <w:rPr>
                <w:sz w:val="21"/>
                <w:szCs w:val="21"/>
                <w:lang w:eastAsia="fr-FR"/>
              </w:rPr>
              <w:t>(1)</w:t>
            </w:r>
          </w:p>
        </w:tc>
        <w:tc>
          <w:tcPr>
            <w:tcW w:w="51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2C5823E8" w14:textId="77777777" w:rsidR="00246793" w:rsidRPr="003C50B7" w:rsidRDefault="00246793" w:rsidP="005D385E">
            <w:pPr>
              <w:jc w:val="center"/>
              <w:rPr>
                <w:sz w:val="21"/>
                <w:szCs w:val="21"/>
                <w:lang w:eastAsia="fr-FR"/>
              </w:rPr>
            </w:pPr>
            <w:r w:rsidRPr="003C50B7">
              <w:rPr>
                <w:sz w:val="21"/>
                <w:szCs w:val="21"/>
                <w:lang w:eastAsia="fr-FR"/>
              </w:rPr>
              <w:t>Pour les chaudières autorisées avant le 01/11/2010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6489B" w14:textId="77777777" w:rsidR="00246793" w:rsidRPr="003C50B7" w:rsidRDefault="00246793" w:rsidP="005D385E">
            <w:pPr>
              <w:jc w:val="center"/>
              <w:rPr>
                <w:sz w:val="21"/>
                <w:szCs w:val="21"/>
                <w:lang w:eastAsia="fr-FR"/>
              </w:rPr>
            </w:pPr>
            <w:proofErr w:type="spellStart"/>
            <w:r w:rsidRPr="003C50B7">
              <w:rPr>
                <w:sz w:val="21"/>
                <w:szCs w:val="21"/>
                <w:lang w:eastAsia="fr-FR"/>
              </w:rPr>
              <w:t>HCl</w:t>
            </w:r>
            <w:proofErr w:type="spellEnd"/>
            <w:r w:rsidRPr="003C50B7">
              <w:rPr>
                <w:sz w:val="21"/>
                <w:szCs w:val="21"/>
                <w:lang w:eastAsia="fr-FR"/>
              </w:rPr>
              <w:t> : A = 15</w:t>
            </w:r>
          </w:p>
          <w:p w14:paraId="0AFC4D89" w14:textId="77777777" w:rsidR="00246793" w:rsidRPr="003C50B7" w:rsidRDefault="00246793" w:rsidP="005D385E">
            <w:pPr>
              <w:jc w:val="center"/>
              <w:rPr>
                <w:sz w:val="21"/>
                <w:szCs w:val="21"/>
                <w:lang w:eastAsia="fr-FR"/>
              </w:rPr>
            </w:pPr>
            <w:proofErr w:type="spellStart"/>
            <w:r w:rsidRPr="003C50B7">
              <w:rPr>
                <w:sz w:val="21"/>
                <w:szCs w:val="21"/>
                <w:lang w:eastAsia="fr-FR"/>
              </w:rPr>
              <w:t>HCl</w:t>
            </w:r>
            <w:proofErr w:type="spellEnd"/>
            <w:r w:rsidRPr="003C50B7">
              <w:rPr>
                <w:sz w:val="21"/>
                <w:szCs w:val="21"/>
                <w:lang w:eastAsia="fr-FR"/>
              </w:rPr>
              <w:t> : J = 35</w:t>
            </w:r>
          </w:p>
          <w:p w14:paraId="0C37317A" w14:textId="77777777" w:rsidR="00246793" w:rsidRPr="003C50B7" w:rsidRDefault="00246793" w:rsidP="005D385E">
            <w:pPr>
              <w:jc w:val="center"/>
              <w:rPr>
                <w:sz w:val="21"/>
                <w:szCs w:val="21"/>
                <w:lang w:eastAsia="fr-FR"/>
              </w:rPr>
            </w:pPr>
            <w:proofErr w:type="spellStart"/>
            <w:r w:rsidRPr="003C50B7">
              <w:rPr>
                <w:sz w:val="21"/>
                <w:szCs w:val="21"/>
                <w:lang w:eastAsia="fr-FR"/>
              </w:rPr>
              <w:t>HCl</w:t>
            </w:r>
            <w:proofErr w:type="spellEnd"/>
            <w:r w:rsidRPr="003C50B7">
              <w:rPr>
                <w:sz w:val="21"/>
                <w:szCs w:val="21"/>
                <w:lang w:eastAsia="fr-FR"/>
              </w:rPr>
              <w:t> : périodique = 35</w:t>
            </w:r>
          </w:p>
        </w:tc>
      </w:tr>
      <w:tr w:rsidR="00246793" w:rsidRPr="00246793" w14:paraId="34ABF693" w14:textId="77777777" w:rsidTr="003C50B7">
        <w:trPr>
          <w:trHeight w:val="553"/>
          <w:jc w:val="center"/>
        </w:trPr>
        <w:tc>
          <w:tcPr>
            <w:tcW w:w="1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2C762" w14:textId="77777777" w:rsidR="00246793" w:rsidRPr="003C50B7" w:rsidRDefault="00246793" w:rsidP="005D385E">
            <w:pPr>
              <w:jc w:val="center"/>
              <w:rPr>
                <w:sz w:val="21"/>
                <w:szCs w:val="21"/>
                <w:lang w:eastAsia="fr-FR"/>
              </w:rPr>
            </w:pPr>
            <w:r w:rsidRPr="003C50B7">
              <w:rPr>
                <w:sz w:val="21"/>
                <w:szCs w:val="21"/>
                <w:lang w:eastAsia="fr-FR"/>
              </w:rPr>
              <w:t xml:space="preserve">(2) </w:t>
            </w:r>
          </w:p>
        </w:tc>
        <w:tc>
          <w:tcPr>
            <w:tcW w:w="51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0" w:type="dxa"/>
              <w:left w:w="150" w:type="dxa"/>
              <w:bottom w:w="150" w:type="dxa"/>
              <w:right w:w="150" w:type="dxa"/>
            </w:tcMar>
            <w:vAlign w:val="center"/>
          </w:tcPr>
          <w:p w14:paraId="3DF7E154" w14:textId="77777777" w:rsidR="00246793" w:rsidRPr="003C50B7" w:rsidRDefault="00246793" w:rsidP="005D385E">
            <w:pPr>
              <w:jc w:val="center"/>
              <w:rPr>
                <w:sz w:val="21"/>
                <w:szCs w:val="21"/>
                <w:lang w:eastAsia="fr-FR"/>
              </w:rPr>
            </w:pPr>
            <w:r w:rsidRPr="003C50B7">
              <w:t>Pour les chaudières autorisées avant le 01/11/2010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C2E8D" w14:textId="77777777" w:rsidR="00246793" w:rsidRPr="003C50B7" w:rsidRDefault="00246793" w:rsidP="005D385E">
            <w:pPr>
              <w:jc w:val="center"/>
              <w:rPr>
                <w:sz w:val="21"/>
                <w:szCs w:val="21"/>
                <w:lang w:eastAsia="fr-FR"/>
              </w:rPr>
            </w:pPr>
            <w:proofErr w:type="spellStart"/>
            <w:r w:rsidRPr="003C50B7">
              <w:rPr>
                <w:sz w:val="21"/>
                <w:szCs w:val="21"/>
                <w:lang w:eastAsia="fr-FR"/>
              </w:rPr>
              <w:t>HCl</w:t>
            </w:r>
            <w:proofErr w:type="spellEnd"/>
            <w:r w:rsidRPr="003C50B7">
              <w:rPr>
                <w:sz w:val="21"/>
                <w:szCs w:val="21"/>
                <w:lang w:eastAsia="fr-FR"/>
              </w:rPr>
              <w:t> : J = 12</w:t>
            </w:r>
          </w:p>
          <w:p w14:paraId="41E2CBA9" w14:textId="77777777" w:rsidR="00246793" w:rsidRPr="003C50B7" w:rsidRDefault="00246793" w:rsidP="005D385E">
            <w:pPr>
              <w:jc w:val="center"/>
              <w:rPr>
                <w:sz w:val="21"/>
                <w:szCs w:val="21"/>
                <w:lang w:eastAsia="fr-FR"/>
              </w:rPr>
            </w:pPr>
            <w:proofErr w:type="spellStart"/>
            <w:proofErr w:type="gramStart"/>
            <w:r w:rsidRPr="003C50B7">
              <w:rPr>
                <w:sz w:val="21"/>
                <w:szCs w:val="21"/>
                <w:lang w:eastAsia="fr-FR"/>
              </w:rPr>
              <w:t>HCl</w:t>
            </w:r>
            <w:proofErr w:type="spellEnd"/>
            <w:r w:rsidRPr="003C50B7">
              <w:rPr>
                <w:sz w:val="21"/>
                <w:szCs w:val="21"/>
                <w:lang w:eastAsia="fr-FR"/>
              </w:rPr>
              <w:t>:</w:t>
            </w:r>
            <w:proofErr w:type="gramEnd"/>
            <w:r w:rsidRPr="003C50B7">
              <w:rPr>
                <w:sz w:val="21"/>
                <w:szCs w:val="21"/>
                <w:lang w:eastAsia="fr-FR"/>
              </w:rPr>
              <w:t xml:space="preserve"> périodique = 12</w:t>
            </w:r>
          </w:p>
        </w:tc>
      </w:tr>
    </w:tbl>
    <w:p w14:paraId="441F399F" w14:textId="3E68F47A" w:rsidR="00246793" w:rsidRPr="003C50B7" w:rsidRDefault="003C50B7" w:rsidP="002B0DC1">
      <w:pPr>
        <w:spacing w:after="240"/>
        <w:jc w:val="both"/>
        <w:rPr>
          <w:color w:val="000000"/>
          <w:lang w:eastAsia="fr-FR"/>
        </w:rPr>
      </w:pPr>
      <w:r>
        <w:rPr>
          <w:color w:val="000000"/>
          <w:lang w:eastAsia="fr-FR"/>
        </w:rPr>
        <w:t>« </w:t>
      </w:r>
      <w:r w:rsidR="00246793" w:rsidRPr="003C50B7">
        <w:rPr>
          <w:color w:val="000000"/>
          <w:lang w:eastAsia="fr-FR"/>
        </w:rPr>
        <w:t xml:space="preserve">La valeur limite d’émission de </w:t>
      </w:r>
      <w:proofErr w:type="spellStart"/>
      <w:r w:rsidR="00246793" w:rsidRPr="003C50B7">
        <w:rPr>
          <w:color w:val="000000"/>
          <w:lang w:eastAsia="fr-FR"/>
        </w:rPr>
        <w:t>HCl</w:t>
      </w:r>
      <w:proofErr w:type="spellEnd"/>
      <w:r w:rsidR="00246793" w:rsidRPr="003C50B7">
        <w:rPr>
          <w:color w:val="000000"/>
          <w:lang w:eastAsia="fr-FR"/>
        </w:rPr>
        <w:t xml:space="preserve"> pour la biomasse solide ou la tourbe peut être adaptée par le préfet sur la base d'éléments technico-économiques fournis par l'exploitant montrant l'impossibilité d'atteindre ces valeurs en raison du combustible ou de la technologie de combustion utilisés, des performances des meilleures techniques disponibles et des contraintes liées à l'environnement local afin de garantir la protection des intérêts mentionnés à l'</w:t>
      </w:r>
      <w:hyperlink r:id="rId14" w:tooltip="Code de l" w:history="1">
        <w:r w:rsidR="00246793" w:rsidRPr="003C50B7">
          <w:rPr>
            <w:color w:val="4A5E81"/>
            <w:u w:val="single"/>
            <w:lang w:eastAsia="fr-FR"/>
          </w:rPr>
          <w:t>article L.511-1 du code de l'environnement</w:t>
        </w:r>
      </w:hyperlink>
      <w:r w:rsidR="00246793" w:rsidRPr="003C50B7">
        <w:rPr>
          <w:color w:val="000000"/>
          <w:lang w:eastAsia="fr-FR"/>
        </w:rPr>
        <w:t>. Les valeurs déterminées par le préfet ne dépassent en aucun cas :</w:t>
      </w:r>
    </w:p>
    <w:p w14:paraId="7CF268E4" w14:textId="0CEBE4A3" w:rsidR="00246793" w:rsidRPr="003C50B7" w:rsidRDefault="003C50B7" w:rsidP="002B0DC1">
      <w:pPr>
        <w:ind w:left="709"/>
        <w:jc w:val="both"/>
        <w:rPr>
          <w:color w:val="000000"/>
          <w:lang w:eastAsia="fr-FR"/>
        </w:rPr>
      </w:pPr>
      <w:r>
        <w:rPr>
          <w:color w:val="000000"/>
          <w:lang w:eastAsia="fr-FR"/>
        </w:rPr>
        <w:t>« </w:t>
      </w:r>
      <w:r w:rsidR="00246793" w:rsidRPr="003C50B7">
        <w:rPr>
          <w:color w:val="000000"/>
          <w:lang w:eastAsia="fr-FR"/>
        </w:rPr>
        <w:t xml:space="preserve">- </w:t>
      </w:r>
      <w:r w:rsidR="00246793" w:rsidRPr="003C50B7">
        <w:rPr>
          <w:color w:val="000000"/>
          <w:shd w:val="clear" w:color="auto" w:fill="E2EFD9" w:themeFill="accent6" w:themeFillTint="33"/>
          <w:lang w:eastAsia="fr-FR"/>
        </w:rPr>
        <w:t>15 mg/Nm</w:t>
      </w:r>
      <w:r w:rsidR="00246793" w:rsidRPr="003C50B7">
        <w:rPr>
          <w:color w:val="000000"/>
          <w:shd w:val="clear" w:color="auto" w:fill="E2EFD9" w:themeFill="accent6" w:themeFillTint="33"/>
          <w:vertAlign w:val="superscript"/>
          <w:lang w:eastAsia="fr-FR"/>
        </w:rPr>
        <w:t>3</w:t>
      </w:r>
      <w:r w:rsidR="00246793" w:rsidRPr="003C50B7">
        <w:rPr>
          <w:color w:val="000000"/>
          <w:shd w:val="clear" w:color="auto" w:fill="E2EFD9" w:themeFill="accent6" w:themeFillTint="33"/>
          <w:lang w:eastAsia="fr-FR"/>
        </w:rPr>
        <w:t xml:space="preserve"> en </w:t>
      </w:r>
      <w:proofErr w:type="spellStart"/>
      <w:r w:rsidR="00246793" w:rsidRPr="003C50B7">
        <w:rPr>
          <w:color w:val="000000"/>
          <w:shd w:val="clear" w:color="auto" w:fill="E2EFD9" w:themeFill="accent6" w:themeFillTint="33"/>
          <w:lang w:eastAsia="fr-FR"/>
        </w:rPr>
        <w:t>HCl</w:t>
      </w:r>
      <w:proofErr w:type="spellEnd"/>
      <w:r w:rsidR="00246793" w:rsidRPr="003C50B7">
        <w:rPr>
          <w:color w:val="000000"/>
          <w:lang w:eastAsia="fr-FR"/>
        </w:rPr>
        <w:t xml:space="preserve"> en valeur annuelle pour les installations de puissance thermique nominale totale &lt; 100 MW ;</w:t>
      </w:r>
    </w:p>
    <w:p w14:paraId="7AAEF4C0" w14:textId="50E54A16" w:rsidR="00246793" w:rsidRDefault="003C50B7" w:rsidP="002B0DC1">
      <w:pPr>
        <w:ind w:left="709"/>
        <w:jc w:val="both"/>
        <w:rPr>
          <w:color w:val="000000"/>
          <w:lang w:eastAsia="fr-FR"/>
        </w:rPr>
      </w:pPr>
      <w:r>
        <w:rPr>
          <w:color w:val="000000"/>
          <w:lang w:eastAsia="fr-FR"/>
        </w:rPr>
        <w:t>« </w:t>
      </w:r>
      <w:r w:rsidR="00246793" w:rsidRPr="003C50B7">
        <w:rPr>
          <w:color w:val="000000"/>
          <w:lang w:eastAsia="fr-FR"/>
        </w:rPr>
        <w:t xml:space="preserve">- </w:t>
      </w:r>
      <w:r w:rsidR="00246793" w:rsidRPr="003C50B7">
        <w:rPr>
          <w:color w:val="000000"/>
          <w:shd w:val="clear" w:color="auto" w:fill="E2EFD9" w:themeFill="accent6" w:themeFillTint="33"/>
          <w:lang w:eastAsia="fr-FR"/>
        </w:rPr>
        <w:t>25 mg/Nm</w:t>
      </w:r>
      <w:r w:rsidR="00246793" w:rsidRPr="003C50B7">
        <w:rPr>
          <w:color w:val="000000"/>
          <w:shd w:val="clear" w:color="auto" w:fill="E2EFD9" w:themeFill="accent6" w:themeFillTint="33"/>
          <w:vertAlign w:val="superscript"/>
          <w:lang w:eastAsia="fr-FR"/>
        </w:rPr>
        <w:t>3</w:t>
      </w:r>
      <w:r w:rsidR="00246793" w:rsidRPr="003C50B7">
        <w:rPr>
          <w:color w:val="000000"/>
          <w:shd w:val="clear" w:color="auto" w:fill="E2EFD9" w:themeFill="accent6" w:themeFillTint="33"/>
          <w:lang w:eastAsia="fr-FR"/>
        </w:rPr>
        <w:t xml:space="preserve"> en </w:t>
      </w:r>
      <w:proofErr w:type="spellStart"/>
      <w:r w:rsidR="00246793" w:rsidRPr="003C50B7">
        <w:rPr>
          <w:color w:val="000000"/>
          <w:shd w:val="clear" w:color="auto" w:fill="E2EFD9" w:themeFill="accent6" w:themeFillTint="33"/>
          <w:lang w:eastAsia="fr-FR"/>
        </w:rPr>
        <w:t>HCl</w:t>
      </w:r>
      <w:proofErr w:type="spellEnd"/>
      <w:r w:rsidR="00246793" w:rsidRPr="003C50B7">
        <w:rPr>
          <w:color w:val="000000"/>
          <w:lang w:eastAsia="fr-FR"/>
        </w:rPr>
        <w:t xml:space="preserve"> en valeur annuelle pour les installations brûlant des combustibles à teneur moyenne en chlore égale ou supérieure à 0,1 % (poids sec) ou dans le cas des installations brûlant de la biomasse en association avec un combustible riche en soufre ou utilisant des additifs alcalins de conversion des chlorures. Dans ce cas, la valeur limite journalière ne s’applique pas.</w:t>
      </w:r>
    </w:p>
    <w:p w14:paraId="07580DE7" w14:textId="77777777" w:rsidR="0077783A" w:rsidRPr="003C50B7" w:rsidRDefault="0077783A" w:rsidP="002B0DC1">
      <w:pPr>
        <w:jc w:val="both"/>
        <w:rPr>
          <w:color w:val="000000"/>
          <w:lang w:eastAsia="fr-FR"/>
        </w:rPr>
      </w:pPr>
    </w:p>
    <w:p w14:paraId="24F068C1" w14:textId="50A0660B" w:rsidR="00246793" w:rsidRPr="003C50B7" w:rsidRDefault="0077783A" w:rsidP="002B0DC1">
      <w:pPr>
        <w:spacing w:after="240"/>
        <w:jc w:val="both"/>
        <w:rPr>
          <w:color w:val="000000"/>
          <w:lang w:eastAsia="fr-FR"/>
        </w:rPr>
      </w:pPr>
      <w:r>
        <w:rPr>
          <w:color w:val="000000"/>
          <w:lang w:eastAsia="fr-FR"/>
        </w:rPr>
        <w:t>« </w:t>
      </w:r>
      <w:r w:rsidR="00246793" w:rsidRPr="003C50B7">
        <w:rPr>
          <w:color w:val="000000"/>
          <w:lang w:eastAsia="fr-FR"/>
        </w:rPr>
        <w:t xml:space="preserve">V. – </w:t>
      </w:r>
      <w:r w:rsidR="00991D30">
        <w:rPr>
          <w:color w:val="000000"/>
          <w:lang w:eastAsia="fr-FR"/>
        </w:rPr>
        <w:t>Valeurs limite d’émission</w:t>
      </w:r>
      <w:r w:rsidR="00991D30" w:rsidRPr="003C50B7">
        <w:rPr>
          <w:color w:val="000000"/>
          <w:lang w:eastAsia="fr-FR"/>
        </w:rPr>
        <w:t xml:space="preserve"> </w:t>
      </w:r>
      <w:r w:rsidR="00246793" w:rsidRPr="003C50B7">
        <w:rPr>
          <w:color w:val="000000"/>
          <w:lang w:eastAsia="fr-FR"/>
        </w:rPr>
        <w:t>en dioxines et furanes</w:t>
      </w:r>
    </w:p>
    <w:p w14:paraId="35EF8975" w14:textId="3EA3DB56" w:rsidR="00246793" w:rsidRPr="003C50B7" w:rsidRDefault="003C50B7" w:rsidP="002B0DC1">
      <w:pPr>
        <w:spacing w:after="240"/>
        <w:jc w:val="both"/>
        <w:rPr>
          <w:color w:val="000000"/>
          <w:lang w:eastAsia="fr-FR"/>
        </w:rPr>
      </w:pPr>
      <w:r>
        <w:rPr>
          <w:color w:val="000000"/>
          <w:lang w:eastAsia="fr-FR"/>
        </w:rPr>
        <w:t>« </w:t>
      </w:r>
      <w:proofErr w:type="gramStart"/>
      <w:r w:rsidR="00246793" w:rsidRPr="003C50B7">
        <w:rPr>
          <w:color w:val="000000"/>
          <w:lang w:eastAsia="fr-FR"/>
        </w:rPr>
        <w:t>a</w:t>
      </w:r>
      <w:proofErr w:type="gramEnd"/>
      <w:r w:rsidR="00246793" w:rsidRPr="003C50B7">
        <w:rPr>
          <w:color w:val="000000"/>
          <w:lang w:eastAsia="fr-FR"/>
        </w:rPr>
        <w:t xml:space="preserve">) Pour les installations utilisant un combustible solide, la valeur limite d'émission en dioxines et furanes est de 0,1 </w:t>
      </w:r>
      <w:proofErr w:type="spellStart"/>
      <w:r w:rsidR="00246793" w:rsidRPr="003C50B7">
        <w:rPr>
          <w:color w:val="000000"/>
          <w:lang w:eastAsia="fr-FR"/>
        </w:rPr>
        <w:t>ng</w:t>
      </w:r>
      <w:proofErr w:type="spellEnd"/>
      <w:r w:rsidR="00246793" w:rsidRPr="003C50B7">
        <w:rPr>
          <w:color w:val="000000"/>
          <w:lang w:eastAsia="fr-FR"/>
        </w:rPr>
        <w:t xml:space="preserve"> I-TEQ/Nm</w:t>
      </w:r>
      <w:r w:rsidR="00246793" w:rsidRPr="003C50B7">
        <w:rPr>
          <w:color w:val="000000"/>
          <w:vertAlign w:val="superscript"/>
          <w:lang w:eastAsia="fr-FR"/>
        </w:rPr>
        <w:t>3</w:t>
      </w:r>
      <w:r w:rsidR="00246793" w:rsidRPr="003C50B7">
        <w:rPr>
          <w:color w:val="000000"/>
          <w:lang w:eastAsia="fr-FR"/>
        </w:rPr>
        <w:t>.</w:t>
      </w:r>
    </w:p>
    <w:p w14:paraId="41792312" w14:textId="0E9290AD" w:rsidR="00246793" w:rsidRPr="003C50B7" w:rsidRDefault="003C50B7" w:rsidP="002B0DC1">
      <w:pPr>
        <w:spacing w:after="240"/>
        <w:jc w:val="both"/>
        <w:rPr>
          <w:color w:val="000000"/>
          <w:lang w:eastAsia="fr-FR"/>
        </w:rPr>
      </w:pPr>
      <w:r>
        <w:rPr>
          <w:color w:val="000000"/>
          <w:lang w:eastAsia="fr-FR"/>
        </w:rPr>
        <w:t>« </w:t>
      </w:r>
      <w:proofErr w:type="gramStart"/>
      <w:r w:rsidR="00246793" w:rsidRPr="003C50B7">
        <w:rPr>
          <w:color w:val="000000"/>
          <w:lang w:eastAsia="fr-FR"/>
        </w:rPr>
        <w:t>b</w:t>
      </w:r>
      <w:proofErr w:type="gramEnd"/>
      <w:r w:rsidR="00246793" w:rsidRPr="003C50B7">
        <w:rPr>
          <w:color w:val="000000"/>
          <w:lang w:eastAsia="fr-FR"/>
        </w:rPr>
        <w:t xml:space="preserve">) Pour les chaudières dont la puissance thermique nominale totale est supérieure ou égale à 15 MW </w:t>
      </w:r>
      <w:r w:rsidR="00FB33D1">
        <w:rPr>
          <w:color w:val="000000"/>
          <w:lang w:eastAsia="fr-FR"/>
        </w:rPr>
        <w:t xml:space="preserve">et </w:t>
      </w:r>
      <w:r w:rsidR="00246793" w:rsidRPr="003C50B7">
        <w:rPr>
          <w:color w:val="000000"/>
          <w:lang w:eastAsia="fr-FR"/>
        </w:rPr>
        <w:t xml:space="preserve">dont le combustible est un gaz résultant de procédés de l’industrie chimique dans lesquels interviennent des substances chlorées, la valeur limite d’émission en dioxines et furanes est de 0,036 </w:t>
      </w:r>
      <w:proofErr w:type="spellStart"/>
      <w:r w:rsidR="00246793" w:rsidRPr="003C50B7">
        <w:rPr>
          <w:color w:val="000000"/>
          <w:lang w:eastAsia="fr-FR"/>
        </w:rPr>
        <w:t>ng</w:t>
      </w:r>
      <w:proofErr w:type="spellEnd"/>
      <w:r w:rsidR="00246793" w:rsidRPr="003C50B7">
        <w:rPr>
          <w:color w:val="000000"/>
          <w:lang w:eastAsia="fr-FR"/>
        </w:rPr>
        <w:t xml:space="preserve"> I-TEQ/Nm</w:t>
      </w:r>
      <w:r w:rsidR="00246793" w:rsidRPr="003C50B7">
        <w:rPr>
          <w:color w:val="000000"/>
          <w:vertAlign w:val="superscript"/>
          <w:lang w:eastAsia="fr-FR"/>
        </w:rPr>
        <w:t>3,</w:t>
      </w:r>
      <w:r w:rsidR="00246793" w:rsidRPr="003C50B7">
        <w:rPr>
          <w:color w:val="000000"/>
          <w:lang w:eastAsia="fr-FR"/>
        </w:rPr>
        <w:t xml:space="preserve">dans les délais mentionnés </w:t>
      </w:r>
      <w:r w:rsidR="00D9011B">
        <w:rPr>
          <w:color w:val="000000"/>
          <w:lang w:eastAsia="fr-FR"/>
        </w:rPr>
        <w:t>au VII de l’article 3</w:t>
      </w:r>
      <w:r w:rsidR="00246793" w:rsidRPr="003C50B7">
        <w:rPr>
          <w:color w:val="000000"/>
          <w:lang w:eastAsia="fr-FR"/>
        </w:rPr>
        <w:t xml:space="preserve"> du présent arrêté.</w:t>
      </w:r>
    </w:p>
    <w:p w14:paraId="5F435403" w14:textId="269C2E13" w:rsidR="00246793" w:rsidRPr="003C50B7" w:rsidRDefault="003C50B7" w:rsidP="002B0DC1">
      <w:pPr>
        <w:spacing w:after="240"/>
        <w:jc w:val="both"/>
        <w:rPr>
          <w:color w:val="000000"/>
          <w:lang w:eastAsia="fr-FR"/>
        </w:rPr>
      </w:pPr>
      <w:r>
        <w:rPr>
          <w:color w:val="000000"/>
          <w:lang w:eastAsia="fr-FR"/>
        </w:rPr>
        <w:t>« </w:t>
      </w:r>
      <w:r w:rsidR="00246793" w:rsidRPr="003C50B7">
        <w:rPr>
          <w:color w:val="000000"/>
          <w:lang w:eastAsia="fr-FR"/>
        </w:rPr>
        <w:t xml:space="preserve">VI. – </w:t>
      </w:r>
      <w:r w:rsidR="00991D30">
        <w:rPr>
          <w:color w:val="000000"/>
          <w:lang w:eastAsia="fr-FR"/>
        </w:rPr>
        <w:t>Valeurs limite d’émission</w:t>
      </w:r>
      <w:r w:rsidR="00246793" w:rsidRPr="003C50B7">
        <w:rPr>
          <w:color w:val="000000"/>
          <w:lang w:eastAsia="fr-FR"/>
        </w:rPr>
        <w:t xml:space="preserve"> pour les métaux</w:t>
      </w:r>
    </w:p>
    <w:p w14:paraId="34FAD533" w14:textId="16D02FB6" w:rsidR="00246793" w:rsidRPr="003C50B7" w:rsidRDefault="003C50B7" w:rsidP="002B0DC1">
      <w:pPr>
        <w:spacing w:after="240"/>
        <w:jc w:val="both"/>
        <w:rPr>
          <w:color w:val="000000"/>
          <w:lang w:eastAsia="fr-FR"/>
        </w:rPr>
      </w:pPr>
      <w:r>
        <w:rPr>
          <w:color w:val="000000"/>
          <w:lang w:eastAsia="fr-FR"/>
        </w:rPr>
        <w:t>« </w:t>
      </w:r>
      <w:proofErr w:type="gramStart"/>
      <w:r w:rsidR="00246793" w:rsidRPr="003C50B7">
        <w:rPr>
          <w:color w:val="000000"/>
          <w:lang w:eastAsia="fr-FR"/>
        </w:rPr>
        <w:t>a</w:t>
      </w:r>
      <w:proofErr w:type="gramEnd"/>
      <w:r w:rsidR="00246793" w:rsidRPr="003C50B7">
        <w:rPr>
          <w:color w:val="000000"/>
          <w:lang w:eastAsia="fr-FR"/>
        </w:rPr>
        <w:t>) Les valeurs limites d'émission pour les métaux sont les suivantes sous réserve des renvois entre parenthèses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0"/>
        <w:gridCol w:w="1909"/>
        <w:gridCol w:w="1858"/>
        <w:gridCol w:w="2867"/>
      </w:tblGrid>
      <w:tr w:rsidR="00246793" w:rsidRPr="00246793" w14:paraId="6A751BCE" w14:textId="77777777" w:rsidTr="005D385E">
        <w:trPr>
          <w:jc w:val="center"/>
        </w:trPr>
        <w:tc>
          <w:tcPr>
            <w:tcW w:w="0" w:type="auto"/>
            <w:gridSpan w:val="2"/>
            <w:shd w:val="clear" w:color="auto" w:fill="5C75A2"/>
            <w:tcMar>
              <w:top w:w="75" w:type="dxa"/>
              <w:left w:w="75" w:type="dxa"/>
              <w:bottom w:w="75" w:type="dxa"/>
              <w:right w:w="75" w:type="dxa"/>
            </w:tcMar>
            <w:vAlign w:val="center"/>
            <w:hideMark/>
          </w:tcPr>
          <w:p w14:paraId="15D1E4C4"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Composés</w:t>
            </w:r>
          </w:p>
        </w:tc>
        <w:tc>
          <w:tcPr>
            <w:tcW w:w="0" w:type="auto"/>
            <w:gridSpan w:val="2"/>
            <w:shd w:val="clear" w:color="auto" w:fill="5C75A2"/>
            <w:tcMar>
              <w:top w:w="75" w:type="dxa"/>
              <w:left w:w="75" w:type="dxa"/>
              <w:bottom w:w="75" w:type="dxa"/>
              <w:right w:w="75" w:type="dxa"/>
            </w:tcMar>
            <w:vAlign w:val="center"/>
            <w:hideMark/>
          </w:tcPr>
          <w:p w14:paraId="3041E183"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Valeur limite d'émission</w:t>
            </w:r>
            <w:r w:rsidRPr="00246793">
              <w:rPr>
                <w:b/>
                <w:bCs/>
                <w:color w:val="FFFFFF"/>
                <w:sz w:val="21"/>
                <w:szCs w:val="21"/>
                <w:lang w:eastAsia="fr-FR"/>
              </w:rPr>
              <w:br/>
              <w:t>(moyenne sur la période d'échantillonnage de trente minutes au minimum et de huit heures au maximum)</w:t>
            </w:r>
          </w:p>
        </w:tc>
      </w:tr>
      <w:tr w:rsidR="00246793" w:rsidRPr="00246793" w14:paraId="3D57984B" w14:textId="77777777" w:rsidTr="005D385E">
        <w:trPr>
          <w:jc w:val="center"/>
        </w:trPr>
        <w:tc>
          <w:tcPr>
            <w:tcW w:w="0" w:type="auto"/>
            <w:gridSpan w:val="2"/>
            <w:shd w:val="clear" w:color="auto" w:fill="EEEEEE"/>
            <w:tcMar>
              <w:top w:w="150" w:type="dxa"/>
              <w:left w:w="150" w:type="dxa"/>
              <w:bottom w:w="150" w:type="dxa"/>
              <w:right w:w="150" w:type="dxa"/>
            </w:tcMar>
            <w:vAlign w:val="center"/>
            <w:hideMark/>
          </w:tcPr>
          <w:p w14:paraId="29B89709" w14:textId="5DC0CC53" w:rsidR="00246793" w:rsidRPr="00246793" w:rsidRDefault="00246793" w:rsidP="005D385E">
            <w:pPr>
              <w:rPr>
                <w:b/>
                <w:bCs/>
                <w:sz w:val="21"/>
                <w:szCs w:val="21"/>
                <w:lang w:eastAsia="fr-FR"/>
              </w:rPr>
            </w:pPr>
            <w:proofErr w:type="gramStart"/>
            <w:r w:rsidRPr="00246793">
              <w:rPr>
                <w:b/>
                <w:bCs/>
                <w:sz w:val="21"/>
                <w:szCs w:val="21"/>
                <w:lang w:eastAsia="fr-FR"/>
              </w:rPr>
              <w:t>cadmium</w:t>
            </w:r>
            <w:proofErr w:type="gramEnd"/>
            <w:r w:rsidRPr="00246793">
              <w:rPr>
                <w:b/>
                <w:bCs/>
                <w:sz w:val="21"/>
                <w:szCs w:val="21"/>
                <w:lang w:eastAsia="fr-FR"/>
              </w:rPr>
              <w:t xml:space="preserve"> (Cd), mercure (Hg)</w:t>
            </w:r>
            <w:r w:rsidR="002C32FA">
              <w:rPr>
                <w:b/>
                <w:bCs/>
                <w:sz w:val="21"/>
                <w:szCs w:val="21"/>
                <w:lang w:eastAsia="fr-FR"/>
              </w:rPr>
              <w:t>(*)</w:t>
            </w:r>
            <w:r w:rsidRPr="00246793">
              <w:rPr>
                <w:b/>
                <w:bCs/>
                <w:sz w:val="21"/>
                <w:szCs w:val="21"/>
                <w:lang w:eastAsia="fr-FR"/>
              </w:rPr>
              <w:t>, thallium (Tl) et leurs composés</w:t>
            </w:r>
          </w:p>
        </w:tc>
        <w:tc>
          <w:tcPr>
            <w:tcW w:w="0" w:type="auto"/>
            <w:gridSpan w:val="2"/>
            <w:shd w:val="clear" w:color="auto" w:fill="EEEEEE"/>
            <w:tcMar>
              <w:top w:w="150" w:type="dxa"/>
              <w:left w:w="150" w:type="dxa"/>
              <w:bottom w:w="150" w:type="dxa"/>
              <w:right w:w="150" w:type="dxa"/>
            </w:tcMar>
            <w:vAlign w:val="center"/>
            <w:hideMark/>
          </w:tcPr>
          <w:p w14:paraId="29870F02" w14:textId="77777777" w:rsidR="00246793" w:rsidRPr="00246793" w:rsidRDefault="00246793" w:rsidP="005D385E">
            <w:pPr>
              <w:rPr>
                <w:b/>
                <w:bCs/>
                <w:sz w:val="21"/>
                <w:szCs w:val="21"/>
                <w:lang w:eastAsia="fr-FR"/>
              </w:rPr>
            </w:pPr>
            <w:r w:rsidRPr="00246793">
              <w:rPr>
                <w:b/>
                <w:bCs/>
                <w:sz w:val="21"/>
                <w:szCs w:val="21"/>
                <w:lang w:eastAsia="fr-FR"/>
              </w:rPr>
              <w:t>0,05 mg/Nm</w:t>
            </w:r>
            <w:r w:rsidRPr="00246793">
              <w:rPr>
                <w:b/>
                <w:bCs/>
                <w:sz w:val="16"/>
                <w:szCs w:val="16"/>
                <w:vertAlign w:val="superscript"/>
                <w:lang w:eastAsia="fr-FR"/>
              </w:rPr>
              <w:t>3</w:t>
            </w:r>
            <w:r w:rsidRPr="00246793">
              <w:rPr>
                <w:b/>
                <w:bCs/>
                <w:sz w:val="21"/>
                <w:szCs w:val="21"/>
                <w:lang w:eastAsia="fr-FR"/>
              </w:rPr>
              <w:t> par métal et 0,1 mg/Nm</w:t>
            </w:r>
            <w:r w:rsidRPr="00246793">
              <w:rPr>
                <w:b/>
                <w:bCs/>
                <w:sz w:val="16"/>
                <w:szCs w:val="16"/>
                <w:vertAlign w:val="superscript"/>
                <w:lang w:eastAsia="fr-FR"/>
              </w:rPr>
              <w:t>3</w:t>
            </w:r>
            <w:r w:rsidRPr="00246793">
              <w:rPr>
                <w:b/>
                <w:bCs/>
                <w:sz w:val="21"/>
                <w:szCs w:val="21"/>
                <w:lang w:eastAsia="fr-FR"/>
              </w:rPr>
              <w:t> pour la somme exprimée en (</w:t>
            </w:r>
            <w:proofErr w:type="spellStart"/>
            <w:r w:rsidRPr="00246793">
              <w:rPr>
                <w:b/>
                <w:bCs/>
                <w:sz w:val="21"/>
                <w:szCs w:val="21"/>
                <w:lang w:eastAsia="fr-FR"/>
              </w:rPr>
              <w:t>Cd+Hg+Tl</w:t>
            </w:r>
            <w:proofErr w:type="spellEnd"/>
            <w:r w:rsidRPr="00246793">
              <w:rPr>
                <w:b/>
                <w:bCs/>
                <w:sz w:val="21"/>
                <w:szCs w:val="21"/>
                <w:lang w:eastAsia="fr-FR"/>
              </w:rPr>
              <w:t>)</w:t>
            </w:r>
          </w:p>
        </w:tc>
      </w:tr>
      <w:tr w:rsidR="00246793" w:rsidRPr="00246793" w14:paraId="1F4E2FFD" w14:textId="77777777" w:rsidTr="005D385E">
        <w:trPr>
          <w:jc w:val="center"/>
        </w:trPr>
        <w:tc>
          <w:tcPr>
            <w:tcW w:w="0" w:type="auto"/>
            <w:gridSpan w:val="2"/>
            <w:shd w:val="clear" w:color="auto" w:fill="F5F5F5"/>
            <w:tcMar>
              <w:top w:w="150" w:type="dxa"/>
              <w:left w:w="150" w:type="dxa"/>
              <w:bottom w:w="150" w:type="dxa"/>
              <w:right w:w="150" w:type="dxa"/>
            </w:tcMar>
            <w:vAlign w:val="center"/>
            <w:hideMark/>
          </w:tcPr>
          <w:p w14:paraId="647A438B" w14:textId="77777777" w:rsidR="00246793" w:rsidRPr="00246793" w:rsidRDefault="00246793" w:rsidP="005D385E">
            <w:pPr>
              <w:rPr>
                <w:b/>
                <w:bCs/>
                <w:sz w:val="21"/>
                <w:szCs w:val="21"/>
                <w:lang w:eastAsia="fr-FR"/>
              </w:rPr>
            </w:pPr>
            <w:proofErr w:type="gramStart"/>
            <w:r w:rsidRPr="00246793">
              <w:rPr>
                <w:b/>
                <w:bCs/>
                <w:sz w:val="21"/>
                <w:szCs w:val="21"/>
                <w:lang w:eastAsia="fr-FR"/>
              </w:rPr>
              <w:t>arsenic</w:t>
            </w:r>
            <w:proofErr w:type="gramEnd"/>
            <w:r w:rsidRPr="00246793">
              <w:rPr>
                <w:b/>
                <w:bCs/>
                <w:sz w:val="21"/>
                <w:szCs w:val="21"/>
                <w:lang w:eastAsia="fr-FR"/>
              </w:rPr>
              <w:t xml:space="preserve"> (As), sélénium (Se), tellure (Te) et leurs composés</w:t>
            </w:r>
          </w:p>
        </w:tc>
        <w:tc>
          <w:tcPr>
            <w:tcW w:w="0" w:type="auto"/>
            <w:gridSpan w:val="2"/>
            <w:shd w:val="clear" w:color="auto" w:fill="F5F5F5"/>
            <w:tcMar>
              <w:top w:w="150" w:type="dxa"/>
              <w:left w:w="150" w:type="dxa"/>
              <w:bottom w:w="150" w:type="dxa"/>
              <w:right w:w="150" w:type="dxa"/>
            </w:tcMar>
            <w:vAlign w:val="center"/>
            <w:hideMark/>
          </w:tcPr>
          <w:p w14:paraId="417E2495" w14:textId="77777777" w:rsidR="00246793" w:rsidRPr="00246793" w:rsidRDefault="00246793" w:rsidP="005D385E">
            <w:pPr>
              <w:rPr>
                <w:b/>
                <w:bCs/>
                <w:sz w:val="21"/>
                <w:szCs w:val="21"/>
                <w:lang w:eastAsia="fr-FR"/>
              </w:rPr>
            </w:pPr>
            <w:r w:rsidRPr="00246793">
              <w:rPr>
                <w:b/>
                <w:bCs/>
                <w:sz w:val="21"/>
                <w:szCs w:val="21"/>
                <w:lang w:eastAsia="fr-FR"/>
              </w:rPr>
              <w:t>1 mg/Nm</w:t>
            </w:r>
            <w:r w:rsidRPr="00246793">
              <w:rPr>
                <w:b/>
                <w:bCs/>
                <w:sz w:val="16"/>
                <w:szCs w:val="16"/>
                <w:vertAlign w:val="superscript"/>
                <w:lang w:eastAsia="fr-FR"/>
              </w:rPr>
              <w:t>3</w:t>
            </w:r>
            <w:r w:rsidRPr="00246793">
              <w:rPr>
                <w:b/>
                <w:bCs/>
                <w:sz w:val="21"/>
                <w:szCs w:val="21"/>
                <w:lang w:eastAsia="fr-FR"/>
              </w:rPr>
              <w:t> exprimée en (</w:t>
            </w:r>
            <w:proofErr w:type="spellStart"/>
            <w:r w:rsidRPr="00246793">
              <w:rPr>
                <w:b/>
                <w:bCs/>
                <w:sz w:val="21"/>
                <w:szCs w:val="21"/>
                <w:lang w:eastAsia="fr-FR"/>
              </w:rPr>
              <w:t>As+Se+Te</w:t>
            </w:r>
            <w:proofErr w:type="spellEnd"/>
            <w:r w:rsidRPr="00246793">
              <w:rPr>
                <w:b/>
                <w:bCs/>
                <w:sz w:val="21"/>
                <w:szCs w:val="21"/>
                <w:lang w:eastAsia="fr-FR"/>
              </w:rPr>
              <w:t>)</w:t>
            </w:r>
          </w:p>
        </w:tc>
      </w:tr>
      <w:tr w:rsidR="00246793" w:rsidRPr="00246793" w14:paraId="7E1B14C7" w14:textId="77777777" w:rsidTr="005D385E">
        <w:trPr>
          <w:jc w:val="center"/>
        </w:trPr>
        <w:tc>
          <w:tcPr>
            <w:tcW w:w="0" w:type="auto"/>
            <w:gridSpan w:val="2"/>
            <w:shd w:val="clear" w:color="auto" w:fill="EEEEEE"/>
            <w:tcMar>
              <w:top w:w="150" w:type="dxa"/>
              <w:left w:w="150" w:type="dxa"/>
              <w:bottom w:w="150" w:type="dxa"/>
              <w:right w:w="150" w:type="dxa"/>
            </w:tcMar>
            <w:vAlign w:val="center"/>
            <w:hideMark/>
          </w:tcPr>
          <w:p w14:paraId="1593B7CF" w14:textId="77777777" w:rsidR="00246793" w:rsidRPr="00246793" w:rsidRDefault="00246793" w:rsidP="005D385E">
            <w:pPr>
              <w:rPr>
                <w:b/>
                <w:bCs/>
                <w:sz w:val="21"/>
                <w:szCs w:val="21"/>
                <w:lang w:eastAsia="fr-FR"/>
              </w:rPr>
            </w:pPr>
            <w:proofErr w:type="gramStart"/>
            <w:r w:rsidRPr="00246793">
              <w:rPr>
                <w:b/>
                <w:bCs/>
                <w:sz w:val="21"/>
                <w:szCs w:val="21"/>
                <w:lang w:eastAsia="fr-FR"/>
              </w:rPr>
              <w:t>plomb</w:t>
            </w:r>
            <w:proofErr w:type="gramEnd"/>
            <w:r w:rsidRPr="00246793">
              <w:rPr>
                <w:b/>
                <w:bCs/>
                <w:sz w:val="21"/>
                <w:szCs w:val="21"/>
                <w:lang w:eastAsia="fr-FR"/>
              </w:rPr>
              <w:t xml:space="preserve"> (Pb) et ses composés</w:t>
            </w:r>
          </w:p>
        </w:tc>
        <w:tc>
          <w:tcPr>
            <w:tcW w:w="0" w:type="auto"/>
            <w:gridSpan w:val="2"/>
            <w:shd w:val="clear" w:color="auto" w:fill="EEEEEE"/>
            <w:tcMar>
              <w:top w:w="150" w:type="dxa"/>
              <w:left w:w="150" w:type="dxa"/>
              <w:bottom w:w="150" w:type="dxa"/>
              <w:right w:w="150" w:type="dxa"/>
            </w:tcMar>
            <w:vAlign w:val="center"/>
            <w:hideMark/>
          </w:tcPr>
          <w:p w14:paraId="5EFF2AD5" w14:textId="77777777" w:rsidR="00246793" w:rsidRPr="00246793" w:rsidRDefault="00246793" w:rsidP="005D385E">
            <w:pPr>
              <w:rPr>
                <w:b/>
                <w:bCs/>
                <w:sz w:val="21"/>
                <w:szCs w:val="21"/>
                <w:lang w:eastAsia="fr-FR"/>
              </w:rPr>
            </w:pPr>
            <w:r w:rsidRPr="00246793">
              <w:rPr>
                <w:b/>
                <w:bCs/>
                <w:sz w:val="21"/>
                <w:szCs w:val="21"/>
                <w:lang w:eastAsia="fr-FR"/>
              </w:rPr>
              <w:t>1 mg/Nm</w:t>
            </w:r>
            <w:r w:rsidRPr="00246793">
              <w:rPr>
                <w:b/>
                <w:bCs/>
                <w:sz w:val="16"/>
                <w:szCs w:val="16"/>
                <w:vertAlign w:val="superscript"/>
                <w:lang w:eastAsia="fr-FR"/>
              </w:rPr>
              <w:t>3</w:t>
            </w:r>
            <w:r w:rsidRPr="00246793">
              <w:rPr>
                <w:b/>
                <w:bCs/>
                <w:sz w:val="21"/>
                <w:szCs w:val="21"/>
                <w:lang w:eastAsia="fr-FR"/>
              </w:rPr>
              <w:t> exprimée en Pb</w:t>
            </w:r>
          </w:p>
        </w:tc>
      </w:tr>
      <w:tr w:rsidR="00246793" w:rsidRPr="00246793" w14:paraId="5277B457" w14:textId="77777777" w:rsidTr="005D385E">
        <w:trPr>
          <w:jc w:val="center"/>
        </w:trPr>
        <w:tc>
          <w:tcPr>
            <w:tcW w:w="0" w:type="auto"/>
            <w:gridSpan w:val="2"/>
            <w:vMerge w:val="restart"/>
            <w:shd w:val="clear" w:color="auto" w:fill="F5F5F5"/>
            <w:tcMar>
              <w:top w:w="150" w:type="dxa"/>
              <w:left w:w="150" w:type="dxa"/>
              <w:bottom w:w="150" w:type="dxa"/>
              <w:right w:w="150" w:type="dxa"/>
            </w:tcMar>
            <w:vAlign w:val="center"/>
            <w:hideMark/>
          </w:tcPr>
          <w:p w14:paraId="6FF9099B" w14:textId="77777777" w:rsidR="00246793" w:rsidRPr="00246793" w:rsidRDefault="00246793" w:rsidP="005D385E">
            <w:pPr>
              <w:rPr>
                <w:b/>
                <w:bCs/>
                <w:sz w:val="21"/>
                <w:szCs w:val="21"/>
                <w:lang w:eastAsia="fr-FR"/>
              </w:rPr>
            </w:pPr>
            <w:proofErr w:type="gramStart"/>
            <w:r w:rsidRPr="00246793">
              <w:rPr>
                <w:b/>
                <w:bCs/>
                <w:sz w:val="21"/>
                <w:szCs w:val="21"/>
                <w:lang w:eastAsia="fr-FR"/>
              </w:rPr>
              <w:t>antimoine</w:t>
            </w:r>
            <w:proofErr w:type="gramEnd"/>
            <w:r w:rsidRPr="00246793">
              <w:rPr>
                <w:b/>
                <w:bCs/>
                <w:sz w:val="21"/>
                <w:szCs w:val="21"/>
                <w:lang w:eastAsia="fr-FR"/>
              </w:rPr>
              <w:t xml:space="preserve"> (Sb), chrome (Cr), cobalt (Co), cuivre (Cu), étain (Sn), manganèse (Mn), nickel (Ni), vanadium (V), zinc (Zn) et leurs composés</w:t>
            </w:r>
          </w:p>
        </w:tc>
        <w:tc>
          <w:tcPr>
            <w:tcW w:w="0" w:type="auto"/>
            <w:gridSpan w:val="2"/>
            <w:shd w:val="clear" w:color="auto" w:fill="F5F5F5"/>
            <w:tcMar>
              <w:top w:w="150" w:type="dxa"/>
              <w:left w:w="150" w:type="dxa"/>
              <w:bottom w:w="150" w:type="dxa"/>
              <w:right w:w="150" w:type="dxa"/>
            </w:tcMar>
            <w:vAlign w:val="center"/>
            <w:hideMark/>
          </w:tcPr>
          <w:p w14:paraId="3FF26E21" w14:textId="77777777" w:rsidR="00246793" w:rsidRPr="00246793" w:rsidRDefault="00246793" w:rsidP="005D385E">
            <w:pPr>
              <w:rPr>
                <w:b/>
                <w:bCs/>
                <w:sz w:val="21"/>
                <w:szCs w:val="21"/>
                <w:lang w:eastAsia="fr-FR"/>
              </w:rPr>
            </w:pPr>
            <w:r w:rsidRPr="00246793">
              <w:rPr>
                <w:b/>
                <w:bCs/>
                <w:sz w:val="21"/>
                <w:szCs w:val="21"/>
                <w:lang w:eastAsia="fr-FR"/>
              </w:rPr>
              <w:t>50 MW ≤ P &lt; 100 MW : 5 mg/Nm</w:t>
            </w:r>
            <w:r w:rsidRPr="00246793">
              <w:rPr>
                <w:b/>
                <w:bCs/>
                <w:sz w:val="16"/>
                <w:szCs w:val="16"/>
                <w:vertAlign w:val="superscript"/>
                <w:lang w:eastAsia="fr-FR"/>
              </w:rPr>
              <w:t>3</w:t>
            </w:r>
            <w:r w:rsidRPr="00246793">
              <w:rPr>
                <w:b/>
                <w:bCs/>
                <w:sz w:val="21"/>
                <w:szCs w:val="21"/>
                <w:lang w:eastAsia="fr-FR"/>
              </w:rPr>
              <w:t> (1) pour la somme des métaux</w:t>
            </w:r>
          </w:p>
        </w:tc>
      </w:tr>
      <w:tr w:rsidR="00246793" w:rsidRPr="00246793" w14:paraId="6205403E" w14:textId="77777777" w:rsidTr="005D385E">
        <w:trPr>
          <w:jc w:val="center"/>
        </w:trPr>
        <w:tc>
          <w:tcPr>
            <w:tcW w:w="0" w:type="auto"/>
            <w:gridSpan w:val="2"/>
            <w:vMerge/>
            <w:vAlign w:val="center"/>
            <w:hideMark/>
          </w:tcPr>
          <w:p w14:paraId="554E4AF7" w14:textId="77777777" w:rsidR="00246793" w:rsidRPr="00246793" w:rsidRDefault="00246793" w:rsidP="005D385E">
            <w:pPr>
              <w:rPr>
                <w:b/>
                <w:bCs/>
                <w:sz w:val="21"/>
                <w:szCs w:val="21"/>
                <w:lang w:eastAsia="fr-FR"/>
              </w:rPr>
            </w:pPr>
          </w:p>
        </w:tc>
        <w:tc>
          <w:tcPr>
            <w:tcW w:w="0" w:type="auto"/>
            <w:gridSpan w:val="2"/>
            <w:shd w:val="clear" w:color="auto" w:fill="EEEEEE"/>
            <w:tcMar>
              <w:top w:w="150" w:type="dxa"/>
              <w:left w:w="150" w:type="dxa"/>
              <w:bottom w:w="150" w:type="dxa"/>
              <w:right w:w="150" w:type="dxa"/>
            </w:tcMar>
            <w:vAlign w:val="center"/>
            <w:hideMark/>
          </w:tcPr>
          <w:p w14:paraId="379ECC02" w14:textId="77777777" w:rsidR="00246793" w:rsidRPr="00246793" w:rsidRDefault="00246793" w:rsidP="005D385E">
            <w:pPr>
              <w:rPr>
                <w:b/>
                <w:bCs/>
                <w:sz w:val="21"/>
                <w:szCs w:val="21"/>
                <w:lang w:eastAsia="fr-FR"/>
              </w:rPr>
            </w:pPr>
            <w:r w:rsidRPr="00246793">
              <w:rPr>
                <w:b/>
                <w:bCs/>
                <w:sz w:val="21"/>
                <w:szCs w:val="21"/>
                <w:lang w:eastAsia="fr-FR"/>
              </w:rPr>
              <w:t>100 MW ≤ P : 5 mg/Nm</w:t>
            </w:r>
            <w:r w:rsidRPr="00246793">
              <w:rPr>
                <w:b/>
                <w:bCs/>
                <w:sz w:val="16"/>
                <w:szCs w:val="16"/>
                <w:vertAlign w:val="superscript"/>
                <w:lang w:eastAsia="fr-FR"/>
              </w:rPr>
              <w:t>3</w:t>
            </w:r>
            <w:r w:rsidRPr="00246793">
              <w:rPr>
                <w:b/>
                <w:bCs/>
                <w:sz w:val="21"/>
                <w:szCs w:val="21"/>
                <w:lang w:eastAsia="fr-FR"/>
              </w:rPr>
              <w:t> (2) pour la somme des métaux</w:t>
            </w:r>
          </w:p>
        </w:tc>
      </w:tr>
      <w:tr w:rsidR="00246793" w:rsidRPr="00246793" w14:paraId="2993A962" w14:textId="77777777" w:rsidTr="005D385E">
        <w:trPr>
          <w:jc w:val="center"/>
        </w:trPr>
        <w:tc>
          <w:tcPr>
            <w:tcW w:w="0" w:type="auto"/>
            <w:shd w:val="clear" w:color="auto" w:fill="5C75A2"/>
            <w:tcMar>
              <w:top w:w="75" w:type="dxa"/>
              <w:left w:w="75" w:type="dxa"/>
              <w:bottom w:w="75" w:type="dxa"/>
              <w:right w:w="75" w:type="dxa"/>
            </w:tcMar>
            <w:vAlign w:val="center"/>
            <w:hideMark/>
          </w:tcPr>
          <w:p w14:paraId="7E7E6A5A"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Renvoi</w:t>
            </w:r>
          </w:p>
        </w:tc>
        <w:tc>
          <w:tcPr>
            <w:tcW w:w="0" w:type="auto"/>
            <w:gridSpan w:val="2"/>
            <w:shd w:val="clear" w:color="auto" w:fill="5C75A2"/>
            <w:tcMar>
              <w:top w:w="75" w:type="dxa"/>
              <w:left w:w="75" w:type="dxa"/>
              <w:bottom w:w="75" w:type="dxa"/>
              <w:right w:w="75" w:type="dxa"/>
            </w:tcMar>
            <w:vAlign w:val="center"/>
            <w:hideMark/>
          </w:tcPr>
          <w:p w14:paraId="52C30B1C"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Conditions</w:t>
            </w:r>
          </w:p>
        </w:tc>
        <w:tc>
          <w:tcPr>
            <w:tcW w:w="0" w:type="auto"/>
            <w:shd w:val="clear" w:color="auto" w:fill="5C75A2"/>
            <w:tcMar>
              <w:top w:w="75" w:type="dxa"/>
              <w:left w:w="75" w:type="dxa"/>
              <w:bottom w:w="75" w:type="dxa"/>
              <w:right w:w="75" w:type="dxa"/>
            </w:tcMar>
            <w:vAlign w:val="center"/>
            <w:hideMark/>
          </w:tcPr>
          <w:p w14:paraId="1F8E1A4C"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Valeur limite</w:t>
            </w:r>
            <w:r w:rsidRPr="00246793">
              <w:rPr>
                <w:b/>
                <w:bCs/>
                <w:color w:val="FFFFFF"/>
                <w:sz w:val="21"/>
                <w:szCs w:val="21"/>
                <w:lang w:eastAsia="fr-FR"/>
              </w:rPr>
              <w:br/>
              <w:t>d'émission (mg/Nm</w:t>
            </w:r>
            <w:r w:rsidRPr="00DD1EC5">
              <w:rPr>
                <w:b/>
                <w:bCs/>
                <w:color w:val="FFFFFF"/>
                <w:sz w:val="21"/>
                <w:szCs w:val="21"/>
                <w:vertAlign w:val="superscript"/>
                <w:lang w:eastAsia="fr-FR"/>
              </w:rPr>
              <w:t>3</w:t>
            </w:r>
            <w:r w:rsidRPr="00246793">
              <w:rPr>
                <w:b/>
                <w:bCs/>
                <w:color w:val="FFFFFF"/>
                <w:sz w:val="21"/>
                <w:szCs w:val="21"/>
                <w:lang w:eastAsia="fr-FR"/>
              </w:rPr>
              <w:t>)</w:t>
            </w:r>
          </w:p>
        </w:tc>
      </w:tr>
      <w:tr w:rsidR="00246793" w:rsidRPr="00246793" w14:paraId="5479ABB2" w14:textId="77777777" w:rsidTr="005D385E">
        <w:trPr>
          <w:jc w:val="center"/>
        </w:trPr>
        <w:tc>
          <w:tcPr>
            <w:tcW w:w="0" w:type="auto"/>
            <w:shd w:val="clear" w:color="auto" w:fill="EEEEEE"/>
            <w:tcMar>
              <w:top w:w="150" w:type="dxa"/>
              <w:left w:w="150" w:type="dxa"/>
              <w:bottom w:w="150" w:type="dxa"/>
              <w:right w:w="150" w:type="dxa"/>
            </w:tcMar>
            <w:vAlign w:val="center"/>
            <w:hideMark/>
          </w:tcPr>
          <w:p w14:paraId="20D5CAED" w14:textId="77777777" w:rsidR="00246793" w:rsidRPr="00246793" w:rsidRDefault="00246793" w:rsidP="005D385E">
            <w:pPr>
              <w:jc w:val="center"/>
              <w:rPr>
                <w:b/>
                <w:bCs/>
                <w:sz w:val="21"/>
                <w:szCs w:val="21"/>
                <w:lang w:eastAsia="fr-FR"/>
              </w:rPr>
            </w:pPr>
            <w:r w:rsidRPr="00246793">
              <w:rPr>
                <w:b/>
                <w:bCs/>
                <w:sz w:val="21"/>
                <w:szCs w:val="21"/>
                <w:lang w:eastAsia="fr-FR"/>
              </w:rPr>
              <w:t>(1)</w:t>
            </w:r>
          </w:p>
        </w:tc>
        <w:tc>
          <w:tcPr>
            <w:tcW w:w="0" w:type="auto"/>
            <w:gridSpan w:val="2"/>
            <w:shd w:val="clear" w:color="auto" w:fill="EEEEEE"/>
            <w:tcMar>
              <w:top w:w="150" w:type="dxa"/>
              <w:left w:w="150" w:type="dxa"/>
              <w:bottom w:w="150" w:type="dxa"/>
              <w:right w:w="150" w:type="dxa"/>
            </w:tcMar>
            <w:vAlign w:val="center"/>
            <w:hideMark/>
          </w:tcPr>
          <w:p w14:paraId="44D6B406" w14:textId="53816463" w:rsidR="00246793" w:rsidRPr="00246793" w:rsidRDefault="00246793" w:rsidP="006377B2">
            <w:pPr>
              <w:jc w:val="both"/>
              <w:rPr>
                <w:b/>
                <w:bCs/>
                <w:sz w:val="21"/>
                <w:szCs w:val="21"/>
                <w:lang w:eastAsia="fr-FR"/>
              </w:rPr>
            </w:pPr>
            <w:r w:rsidRPr="00246793">
              <w:rPr>
                <w:b/>
                <w:bCs/>
                <w:sz w:val="21"/>
                <w:szCs w:val="21"/>
                <w:lang w:eastAsia="fr-FR"/>
              </w:rPr>
              <w:t>Chaudières autorisées avant le 1</w:t>
            </w:r>
            <w:r w:rsidRPr="00D23B3A">
              <w:rPr>
                <w:b/>
                <w:bCs/>
                <w:sz w:val="21"/>
                <w:szCs w:val="21"/>
                <w:vertAlign w:val="superscript"/>
                <w:lang w:eastAsia="fr-FR"/>
              </w:rPr>
              <w:t>er</w:t>
            </w:r>
            <w:r w:rsidR="006377B2">
              <w:rPr>
                <w:b/>
                <w:bCs/>
                <w:sz w:val="21"/>
                <w:szCs w:val="21"/>
                <w:lang w:eastAsia="fr-FR"/>
              </w:rPr>
              <w:t xml:space="preserve"> </w:t>
            </w:r>
            <w:r w:rsidRPr="00246793">
              <w:rPr>
                <w:b/>
                <w:bCs/>
                <w:sz w:val="21"/>
                <w:szCs w:val="21"/>
                <w:lang w:eastAsia="fr-FR"/>
              </w:rPr>
              <w:t>novembre 2010</w:t>
            </w:r>
          </w:p>
        </w:tc>
        <w:tc>
          <w:tcPr>
            <w:tcW w:w="0" w:type="auto"/>
            <w:shd w:val="clear" w:color="auto" w:fill="EEEEEE"/>
            <w:tcMar>
              <w:top w:w="150" w:type="dxa"/>
              <w:left w:w="150" w:type="dxa"/>
              <w:bottom w:w="150" w:type="dxa"/>
              <w:right w:w="150" w:type="dxa"/>
            </w:tcMar>
            <w:vAlign w:val="center"/>
            <w:hideMark/>
          </w:tcPr>
          <w:p w14:paraId="7BC5206B" w14:textId="77777777" w:rsidR="00246793" w:rsidRPr="00246793" w:rsidRDefault="00246793" w:rsidP="005D385E">
            <w:pPr>
              <w:jc w:val="center"/>
              <w:rPr>
                <w:b/>
                <w:bCs/>
                <w:sz w:val="21"/>
                <w:szCs w:val="21"/>
                <w:lang w:eastAsia="fr-FR"/>
              </w:rPr>
            </w:pPr>
            <w:r w:rsidRPr="00246793">
              <w:rPr>
                <w:b/>
                <w:bCs/>
                <w:sz w:val="21"/>
                <w:szCs w:val="21"/>
                <w:lang w:eastAsia="fr-FR"/>
              </w:rPr>
              <w:t>10 (pour la somme des métaux)</w:t>
            </w:r>
          </w:p>
        </w:tc>
      </w:tr>
      <w:tr w:rsidR="00246793" w:rsidRPr="00246793" w14:paraId="6D240E87" w14:textId="77777777" w:rsidTr="005D385E">
        <w:trPr>
          <w:jc w:val="center"/>
        </w:trPr>
        <w:tc>
          <w:tcPr>
            <w:tcW w:w="0" w:type="auto"/>
            <w:shd w:val="clear" w:color="auto" w:fill="F5F5F5"/>
            <w:tcMar>
              <w:top w:w="150" w:type="dxa"/>
              <w:left w:w="150" w:type="dxa"/>
              <w:bottom w:w="150" w:type="dxa"/>
              <w:right w:w="150" w:type="dxa"/>
            </w:tcMar>
            <w:vAlign w:val="center"/>
            <w:hideMark/>
          </w:tcPr>
          <w:p w14:paraId="5ABCAB32" w14:textId="77777777" w:rsidR="00246793" w:rsidRPr="00246793" w:rsidRDefault="00246793" w:rsidP="005D385E">
            <w:pPr>
              <w:jc w:val="center"/>
              <w:rPr>
                <w:b/>
                <w:bCs/>
                <w:sz w:val="21"/>
                <w:szCs w:val="21"/>
                <w:lang w:eastAsia="fr-FR"/>
              </w:rPr>
            </w:pPr>
            <w:r w:rsidRPr="00246793">
              <w:rPr>
                <w:b/>
                <w:bCs/>
                <w:sz w:val="21"/>
                <w:szCs w:val="21"/>
                <w:lang w:eastAsia="fr-FR"/>
              </w:rPr>
              <w:t>(2)</w:t>
            </w:r>
          </w:p>
        </w:tc>
        <w:tc>
          <w:tcPr>
            <w:tcW w:w="0" w:type="auto"/>
            <w:gridSpan w:val="2"/>
            <w:shd w:val="clear" w:color="auto" w:fill="F5F5F5"/>
            <w:tcMar>
              <w:top w:w="150" w:type="dxa"/>
              <w:left w:w="150" w:type="dxa"/>
              <w:bottom w:w="150" w:type="dxa"/>
              <w:right w:w="150" w:type="dxa"/>
            </w:tcMar>
            <w:vAlign w:val="center"/>
            <w:hideMark/>
          </w:tcPr>
          <w:p w14:paraId="13008DB6" w14:textId="77777777" w:rsidR="00246793" w:rsidRPr="00246793" w:rsidRDefault="00246793" w:rsidP="006377B2">
            <w:pPr>
              <w:jc w:val="both"/>
              <w:rPr>
                <w:b/>
                <w:bCs/>
                <w:sz w:val="21"/>
                <w:szCs w:val="21"/>
                <w:lang w:eastAsia="fr-FR"/>
              </w:rPr>
            </w:pPr>
            <w:r w:rsidRPr="00246793">
              <w:rPr>
                <w:b/>
                <w:bCs/>
                <w:sz w:val="21"/>
                <w:szCs w:val="21"/>
                <w:lang w:eastAsia="fr-FR"/>
              </w:rPr>
              <w:t>Chaudières autorisées avant le 31 juillet 2002, ou qui ont fait l'objet d'une demande complète d'autorisation avant cette date pour autant que l'installation ait été mise en service au plus tard le 27 novembre 2003</w:t>
            </w:r>
          </w:p>
        </w:tc>
        <w:tc>
          <w:tcPr>
            <w:tcW w:w="0" w:type="auto"/>
            <w:shd w:val="clear" w:color="auto" w:fill="F5F5F5"/>
            <w:tcMar>
              <w:top w:w="150" w:type="dxa"/>
              <w:left w:w="150" w:type="dxa"/>
              <w:bottom w:w="150" w:type="dxa"/>
              <w:right w:w="150" w:type="dxa"/>
            </w:tcMar>
            <w:vAlign w:val="center"/>
            <w:hideMark/>
          </w:tcPr>
          <w:p w14:paraId="17492BDA" w14:textId="77777777" w:rsidR="00246793" w:rsidRPr="00246793" w:rsidRDefault="00246793" w:rsidP="005D385E">
            <w:pPr>
              <w:jc w:val="center"/>
              <w:rPr>
                <w:b/>
                <w:bCs/>
                <w:sz w:val="21"/>
                <w:szCs w:val="21"/>
                <w:lang w:eastAsia="fr-FR"/>
              </w:rPr>
            </w:pPr>
            <w:r w:rsidRPr="00246793">
              <w:rPr>
                <w:b/>
                <w:bCs/>
                <w:sz w:val="21"/>
                <w:szCs w:val="21"/>
                <w:lang w:eastAsia="fr-FR"/>
              </w:rPr>
              <w:t>10 (pour la somme des métaux)</w:t>
            </w:r>
          </w:p>
        </w:tc>
      </w:tr>
    </w:tbl>
    <w:p w14:paraId="1B4E440F" w14:textId="5D5A8FE5" w:rsidR="00246793" w:rsidRDefault="00117187" w:rsidP="002B0DC1">
      <w:pPr>
        <w:jc w:val="both"/>
        <w:rPr>
          <w:lang w:eastAsia="fr-FR"/>
        </w:rPr>
      </w:pPr>
      <w:bookmarkStart w:id="28" w:name="_Hlk169800536"/>
      <w:r>
        <w:rPr>
          <w:lang w:eastAsia="fr-FR"/>
        </w:rPr>
        <w:t>« </w:t>
      </w:r>
      <w:r w:rsidR="002C32FA">
        <w:rPr>
          <w:lang w:eastAsia="fr-FR"/>
        </w:rPr>
        <w:t>(*) Si l’installation est dans l’un des cas mentionnés au b) du présent point, la valeur limite d’émission en Hg est remplacée par la valeur mentionnée au point b)</w:t>
      </w:r>
      <w:r>
        <w:rPr>
          <w:lang w:eastAsia="fr-FR"/>
        </w:rPr>
        <w:t>.</w:t>
      </w:r>
    </w:p>
    <w:bookmarkEnd w:id="28"/>
    <w:p w14:paraId="72FFB153" w14:textId="77777777" w:rsidR="002C32FA" w:rsidRPr="003C50B7" w:rsidRDefault="002C32FA" w:rsidP="002B0DC1">
      <w:pPr>
        <w:spacing w:line="360" w:lineRule="atLeast"/>
        <w:outlineLvl w:val="2"/>
        <w:rPr>
          <w:b/>
          <w:bCs/>
          <w:color w:val="3C3C3C"/>
          <w:lang w:eastAsia="fr-FR"/>
        </w:rPr>
      </w:pPr>
    </w:p>
    <w:p w14:paraId="2495C666" w14:textId="4015A2E1" w:rsidR="00246793" w:rsidRDefault="003C50B7" w:rsidP="002B0DC1">
      <w:pPr>
        <w:jc w:val="both"/>
        <w:rPr>
          <w:color w:val="000000"/>
          <w:lang w:eastAsia="fr-FR"/>
        </w:rPr>
      </w:pPr>
      <w:r>
        <w:rPr>
          <w:color w:val="000000"/>
          <w:lang w:eastAsia="fr-FR"/>
        </w:rPr>
        <w:t>« </w:t>
      </w:r>
      <w:proofErr w:type="gramStart"/>
      <w:r w:rsidR="00246793" w:rsidRPr="003C50B7">
        <w:rPr>
          <w:color w:val="000000"/>
          <w:lang w:eastAsia="fr-FR"/>
        </w:rPr>
        <w:t>b</w:t>
      </w:r>
      <w:proofErr w:type="gramEnd"/>
      <w:r w:rsidR="00246793" w:rsidRPr="003C50B7">
        <w:rPr>
          <w:color w:val="000000"/>
          <w:lang w:eastAsia="fr-FR"/>
        </w:rPr>
        <w:t xml:space="preserve">) </w:t>
      </w:r>
      <w:r w:rsidR="00991D30" w:rsidRPr="00991D30">
        <w:rPr>
          <w:color w:val="000000"/>
          <w:lang w:eastAsia="fr-FR"/>
        </w:rPr>
        <w:t xml:space="preserve">Valeurs limite d’émission </w:t>
      </w:r>
      <w:r w:rsidR="00246793" w:rsidRPr="003C50B7">
        <w:rPr>
          <w:color w:val="000000"/>
          <w:lang w:eastAsia="fr-FR"/>
        </w:rPr>
        <w:t xml:space="preserve">en mercure (Hg) </w:t>
      </w:r>
    </w:p>
    <w:p w14:paraId="19165600" w14:textId="0EA99A75" w:rsidR="00991D30" w:rsidRPr="003C50B7" w:rsidRDefault="00117187" w:rsidP="002B0DC1">
      <w:pPr>
        <w:jc w:val="both"/>
        <w:rPr>
          <w:color w:val="000000"/>
          <w:lang w:eastAsia="fr-FR"/>
        </w:rPr>
      </w:pPr>
      <w:bookmarkStart w:id="29" w:name="_Hlk170138193"/>
      <w:r>
        <w:rPr>
          <w:color w:val="000000"/>
          <w:lang w:eastAsia="fr-FR"/>
        </w:rPr>
        <w:t>« </w:t>
      </w:r>
      <w:r w:rsidR="00991D30">
        <w:rPr>
          <w:color w:val="000000"/>
          <w:lang w:eastAsia="fr-FR"/>
        </w:rPr>
        <w:t xml:space="preserve">Les dispositions ci-après s’appliquent aux chaudières de puissance thermique nominale supérieure ou égale à 15 MW, dans les délais mentionnés </w:t>
      </w:r>
      <w:r w:rsidR="00D9011B">
        <w:rPr>
          <w:color w:val="000000"/>
          <w:lang w:eastAsia="fr-FR"/>
        </w:rPr>
        <w:t>au VII de l’article 3</w:t>
      </w:r>
      <w:r w:rsidR="00991D30">
        <w:rPr>
          <w:color w:val="000000"/>
          <w:lang w:eastAsia="fr-FR"/>
        </w:rPr>
        <w:t xml:space="preserve"> du présent arrêté :</w:t>
      </w:r>
    </w:p>
    <w:bookmarkEnd w:id="29"/>
    <w:p w14:paraId="20E8ED74" w14:textId="77777777" w:rsidR="00246793" w:rsidRPr="003C50B7" w:rsidRDefault="00246793" w:rsidP="002B0DC1">
      <w:pPr>
        <w:jc w:val="both"/>
        <w:rPr>
          <w:color w:val="000000"/>
          <w:lang w:eastAsia="fr-FR"/>
        </w:rPr>
      </w:pPr>
    </w:p>
    <w:p w14:paraId="64ADBD37" w14:textId="5971DEC1" w:rsidR="00991D30" w:rsidRDefault="003C50B7"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00117187">
        <w:rPr>
          <w:rFonts w:ascii="Times New Roman" w:eastAsia="Times New Roman" w:hAnsi="Times New Roman"/>
          <w:color w:val="000000"/>
          <w:sz w:val="24"/>
          <w:szCs w:val="24"/>
        </w:rPr>
        <w:t>C</w:t>
      </w:r>
      <w:r w:rsidR="00246793" w:rsidRPr="003C50B7">
        <w:rPr>
          <w:rFonts w:ascii="Times New Roman" w:eastAsia="Times New Roman" w:hAnsi="Times New Roman"/>
          <w:color w:val="000000"/>
          <w:sz w:val="24"/>
          <w:szCs w:val="24"/>
        </w:rPr>
        <w:t xml:space="preserve">haudières </w:t>
      </w:r>
      <w:r w:rsidR="002C32FA">
        <w:rPr>
          <w:rFonts w:ascii="Times New Roman" w:eastAsia="Times New Roman" w:hAnsi="Times New Roman"/>
          <w:color w:val="000000"/>
          <w:sz w:val="24"/>
          <w:szCs w:val="24"/>
        </w:rPr>
        <w:t>autorisée</w:t>
      </w:r>
      <w:r w:rsidR="00991D30">
        <w:rPr>
          <w:rFonts w:ascii="Times New Roman" w:eastAsia="Times New Roman" w:hAnsi="Times New Roman"/>
          <w:color w:val="000000"/>
          <w:sz w:val="24"/>
          <w:szCs w:val="24"/>
        </w:rPr>
        <w:t>s</w:t>
      </w:r>
      <w:r w:rsidR="002C32FA">
        <w:rPr>
          <w:rFonts w:ascii="Times New Roman" w:eastAsia="Times New Roman" w:hAnsi="Times New Roman"/>
          <w:color w:val="000000"/>
          <w:sz w:val="24"/>
          <w:szCs w:val="24"/>
        </w:rPr>
        <w:t xml:space="preserve"> </w:t>
      </w:r>
      <w:r w:rsidR="006377B2">
        <w:rPr>
          <w:rFonts w:ascii="Times New Roman" w:eastAsia="Times New Roman" w:hAnsi="Times New Roman"/>
          <w:color w:val="000000"/>
          <w:sz w:val="24"/>
          <w:szCs w:val="24"/>
        </w:rPr>
        <w:t>à compter du</w:t>
      </w:r>
      <w:r w:rsidR="006377B2" w:rsidRPr="003C50B7">
        <w:rPr>
          <w:rFonts w:ascii="Times New Roman" w:eastAsia="Times New Roman" w:hAnsi="Times New Roman"/>
          <w:color w:val="000000"/>
          <w:sz w:val="24"/>
          <w:szCs w:val="24"/>
        </w:rPr>
        <w:t xml:space="preserve"> </w:t>
      </w:r>
      <w:r w:rsidR="00246793" w:rsidRPr="003C50B7">
        <w:rPr>
          <w:rFonts w:ascii="Times New Roman" w:eastAsia="Times New Roman" w:hAnsi="Times New Roman"/>
          <w:color w:val="000000"/>
          <w:sz w:val="24"/>
          <w:szCs w:val="24"/>
        </w:rPr>
        <w:t>17 août 2017</w:t>
      </w:r>
      <w:r w:rsidR="00991D30">
        <w:rPr>
          <w:rFonts w:ascii="Times New Roman" w:eastAsia="Times New Roman" w:hAnsi="Times New Roman"/>
          <w:color w:val="000000"/>
          <w:sz w:val="24"/>
          <w:szCs w:val="24"/>
        </w:rPr>
        <w:t> :</w:t>
      </w:r>
    </w:p>
    <w:p w14:paraId="22EA5009" w14:textId="0E598B4F" w:rsidR="00246793" w:rsidRPr="00991D30" w:rsidRDefault="00117187" w:rsidP="002B0DC1">
      <w:pPr>
        <w:jc w:val="both"/>
      </w:pPr>
      <w:r>
        <w:rPr>
          <w:color w:val="000000"/>
        </w:rPr>
        <w:t>« </w:t>
      </w:r>
      <w:r w:rsidR="00991D30" w:rsidRPr="00991D30">
        <w:rPr>
          <w:color w:val="000000"/>
        </w:rPr>
        <w:t>L</w:t>
      </w:r>
      <w:r w:rsidR="00246793" w:rsidRPr="00991D30">
        <w:rPr>
          <w:color w:val="000000"/>
        </w:rPr>
        <w:t>a valeur limite d’émission en mercure (Hg) de 0,05 mg/Nm</w:t>
      </w:r>
      <w:r w:rsidR="00246793" w:rsidRPr="00991D30">
        <w:rPr>
          <w:color w:val="000000"/>
          <w:vertAlign w:val="superscript"/>
        </w:rPr>
        <w:t>3</w:t>
      </w:r>
      <w:r w:rsidR="00246793" w:rsidRPr="00991D30">
        <w:rPr>
          <w:color w:val="000000"/>
        </w:rPr>
        <w:t xml:space="preserve"> </w:t>
      </w:r>
      <w:r w:rsidR="002C32FA" w:rsidRPr="00991D30">
        <w:rPr>
          <w:color w:val="000000"/>
        </w:rPr>
        <w:t xml:space="preserve">mentionnée </w:t>
      </w:r>
      <w:r w:rsidR="00246793" w:rsidRPr="00991D30">
        <w:rPr>
          <w:color w:val="000000"/>
        </w:rPr>
        <w:t xml:space="preserve">dans le tableau du </w:t>
      </w:r>
      <w:r w:rsidR="00D23B3A">
        <w:rPr>
          <w:color w:val="000000"/>
        </w:rPr>
        <w:t xml:space="preserve">a) du </w:t>
      </w:r>
      <w:r w:rsidR="00246793" w:rsidRPr="00991D30">
        <w:rPr>
          <w:color w:val="000000"/>
        </w:rPr>
        <w:t>VI du présent article est remplacée par les valeurs limites d’émission suivantes</w:t>
      </w:r>
      <w:r>
        <w:rPr>
          <w:color w:val="000000"/>
        </w:rPr>
        <w:t xml:space="preserve"> en fonction du combustible utilisé</w:t>
      </w:r>
      <w:r w:rsidR="00246793" w:rsidRPr="00991D30">
        <w:rPr>
          <w:color w:val="000000"/>
        </w:rPr>
        <w:t> :</w:t>
      </w:r>
    </w:p>
    <w:p w14:paraId="120D3B65" w14:textId="77777777" w:rsidR="00246793" w:rsidRPr="003C50B7" w:rsidRDefault="00246793" w:rsidP="002B0DC1">
      <w:pPr>
        <w:jc w:val="both"/>
        <w:rPr>
          <w:lang w:eastAsia="fr-FR"/>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4"/>
        <w:gridCol w:w="2350"/>
        <w:gridCol w:w="1346"/>
      </w:tblGrid>
      <w:tr w:rsidR="00246793" w:rsidRPr="00246793" w14:paraId="19F1B58E" w14:textId="77777777" w:rsidTr="005D385E">
        <w:trPr>
          <w:jc w:val="center"/>
        </w:trPr>
        <w:tc>
          <w:tcPr>
            <w:tcW w:w="2694" w:type="dxa"/>
            <w:tcBorders>
              <w:top w:val="outset" w:sz="6" w:space="0" w:color="auto"/>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hideMark/>
          </w:tcPr>
          <w:p w14:paraId="20AC482B"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Combustibles</w:t>
            </w:r>
          </w:p>
        </w:tc>
        <w:tc>
          <w:tcPr>
            <w:tcW w:w="2350" w:type="dxa"/>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0C594F20"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Puissance P (MW)</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593D2643" w14:textId="77777777" w:rsidR="00246793" w:rsidRPr="00246793" w:rsidRDefault="00246793" w:rsidP="005D385E">
            <w:pPr>
              <w:jc w:val="center"/>
              <w:rPr>
                <w:b/>
                <w:bCs/>
                <w:color w:val="FFFFFF"/>
                <w:sz w:val="21"/>
                <w:szCs w:val="21"/>
                <w:lang w:eastAsia="fr-FR"/>
              </w:rPr>
            </w:pPr>
            <w:r w:rsidRPr="00246793">
              <w:rPr>
                <w:b/>
                <w:bCs/>
                <w:color w:val="FFFFFF"/>
                <w:sz w:val="21"/>
                <w:szCs w:val="21"/>
                <w:lang w:eastAsia="fr-FR"/>
              </w:rPr>
              <w:t>Hg (mg/Nm</w:t>
            </w:r>
            <w:r w:rsidRPr="00246793">
              <w:rPr>
                <w:b/>
                <w:bCs/>
                <w:color w:val="FFFFFF"/>
                <w:sz w:val="21"/>
                <w:szCs w:val="21"/>
                <w:vertAlign w:val="superscript"/>
                <w:lang w:eastAsia="fr-FR"/>
              </w:rPr>
              <w:t>3</w:t>
            </w:r>
            <w:r w:rsidRPr="00246793">
              <w:rPr>
                <w:b/>
                <w:bCs/>
                <w:color w:val="FFFFFF"/>
                <w:sz w:val="21"/>
                <w:szCs w:val="21"/>
                <w:lang w:eastAsia="fr-FR"/>
              </w:rPr>
              <w:t>)</w:t>
            </w:r>
          </w:p>
        </w:tc>
      </w:tr>
      <w:tr w:rsidR="00246793" w:rsidRPr="00246793" w14:paraId="64357461" w14:textId="77777777" w:rsidTr="005D385E">
        <w:trPr>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68CEBA90" w14:textId="77777777" w:rsidR="00246793" w:rsidRPr="00246793" w:rsidRDefault="00246793" w:rsidP="005D385E">
            <w:pPr>
              <w:jc w:val="center"/>
              <w:rPr>
                <w:b/>
                <w:bCs/>
                <w:sz w:val="21"/>
                <w:szCs w:val="21"/>
                <w:lang w:eastAsia="fr-FR"/>
              </w:rPr>
            </w:pPr>
            <w:r w:rsidRPr="00246793">
              <w:rPr>
                <w:b/>
                <w:bCs/>
                <w:sz w:val="21"/>
                <w:szCs w:val="21"/>
                <w:lang w:eastAsia="fr-FR"/>
              </w:rPr>
              <w:t>Charbon</w:t>
            </w:r>
          </w:p>
          <w:p w14:paraId="5DD80612" w14:textId="77777777" w:rsidR="00246793" w:rsidRPr="00246793" w:rsidRDefault="00246793" w:rsidP="005D385E">
            <w:pPr>
              <w:jc w:val="center"/>
              <w:rPr>
                <w:b/>
                <w:bCs/>
                <w:sz w:val="21"/>
                <w:szCs w:val="21"/>
                <w:lang w:eastAsia="fr-FR"/>
              </w:rPr>
            </w:pPr>
          </w:p>
        </w:tc>
        <w:tc>
          <w:tcPr>
            <w:tcW w:w="2350" w:type="dxa"/>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36DBFA0" w14:textId="77777777" w:rsidR="00246793" w:rsidRPr="00246793" w:rsidRDefault="00246793" w:rsidP="005D385E">
            <w:pPr>
              <w:jc w:val="center"/>
              <w:rPr>
                <w:b/>
                <w:bCs/>
                <w:sz w:val="21"/>
                <w:szCs w:val="21"/>
                <w:lang w:eastAsia="fr-FR"/>
              </w:rPr>
            </w:pPr>
            <w:r w:rsidRPr="00246793">
              <w:rPr>
                <w:b/>
                <w:bCs/>
                <w:sz w:val="21"/>
                <w:szCs w:val="21"/>
                <w:lang w:eastAsia="fr-FR"/>
              </w:rPr>
              <w:t>50 ≤ P &lt; 100</w:t>
            </w:r>
          </w:p>
        </w:tc>
        <w:tc>
          <w:tcPr>
            <w:tcW w:w="0" w:type="auto"/>
            <w:vMerge w:val="restart"/>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tcPr>
          <w:p w14:paraId="645D23DB" w14:textId="77777777" w:rsidR="00246793" w:rsidRPr="00246793" w:rsidRDefault="00246793" w:rsidP="005D385E">
            <w:pPr>
              <w:jc w:val="center"/>
              <w:rPr>
                <w:b/>
                <w:bCs/>
                <w:sz w:val="21"/>
                <w:szCs w:val="21"/>
                <w:lang w:eastAsia="fr-FR"/>
              </w:rPr>
            </w:pPr>
            <w:r w:rsidRPr="00246793">
              <w:rPr>
                <w:b/>
                <w:bCs/>
                <w:sz w:val="21"/>
                <w:szCs w:val="21"/>
                <w:lang w:eastAsia="fr-FR"/>
              </w:rPr>
              <w:t>0,003</w:t>
            </w:r>
          </w:p>
        </w:tc>
      </w:tr>
      <w:tr w:rsidR="00246793" w:rsidRPr="00246793" w14:paraId="310D7667"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1BE95B0" w14:textId="77777777" w:rsidR="00246793" w:rsidRPr="00246793" w:rsidRDefault="00246793" w:rsidP="005D385E">
            <w:pPr>
              <w:rPr>
                <w:b/>
                <w:bCs/>
                <w:sz w:val="21"/>
                <w:szCs w:val="21"/>
                <w:lang w:eastAsia="fr-FR"/>
              </w:rPr>
            </w:pPr>
          </w:p>
        </w:tc>
        <w:tc>
          <w:tcPr>
            <w:tcW w:w="2350" w:type="dxa"/>
            <w:tcBorders>
              <w:top w:val="outset" w:sz="6" w:space="0" w:color="auto"/>
              <w:left w:val="single" w:sz="4" w:space="0" w:color="auto"/>
              <w:bottom w:val="single" w:sz="6" w:space="0" w:color="D8D8D8"/>
              <w:right w:val="nil"/>
            </w:tcBorders>
            <w:shd w:val="clear" w:color="auto" w:fill="F5F5F5"/>
            <w:tcMar>
              <w:top w:w="150" w:type="dxa"/>
              <w:left w:w="150" w:type="dxa"/>
              <w:bottom w:w="150" w:type="dxa"/>
              <w:right w:w="150" w:type="dxa"/>
            </w:tcMar>
            <w:vAlign w:val="center"/>
            <w:hideMark/>
          </w:tcPr>
          <w:p w14:paraId="378162B8" w14:textId="77777777" w:rsidR="00246793" w:rsidRPr="00246793" w:rsidRDefault="00246793" w:rsidP="005D385E">
            <w:pPr>
              <w:jc w:val="center"/>
              <w:rPr>
                <w:b/>
                <w:bCs/>
                <w:sz w:val="21"/>
                <w:szCs w:val="21"/>
                <w:lang w:eastAsia="fr-FR"/>
              </w:rPr>
            </w:pPr>
            <w:r w:rsidRPr="00246793">
              <w:rPr>
                <w:b/>
                <w:bCs/>
                <w:sz w:val="21"/>
                <w:szCs w:val="21"/>
                <w:lang w:eastAsia="fr-FR"/>
              </w:rPr>
              <w:t>100 ≤ P &lt; 300</w:t>
            </w:r>
          </w:p>
        </w:tc>
        <w:tc>
          <w:tcPr>
            <w:tcW w:w="0" w:type="auto"/>
            <w:vMerge/>
            <w:tcBorders>
              <w:left w:val="outset" w:sz="6" w:space="0" w:color="auto"/>
              <w:bottom w:val="single" w:sz="6" w:space="0" w:color="D8D8D8"/>
              <w:right w:val="single" w:sz="6" w:space="0" w:color="D8D8D8"/>
            </w:tcBorders>
            <w:shd w:val="clear" w:color="auto" w:fill="EEEEEE"/>
            <w:vAlign w:val="center"/>
          </w:tcPr>
          <w:p w14:paraId="79B50854" w14:textId="77777777" w:rsidR="00246793" w:rsidRPr="00246793" w:rsidRDefault="00246793" w:rsidP="005D385E">
            <w:pPr>
              <w:jc w:val="center"/>
              <w:rPr>
                <w:b/>
                <w:bCs/>
                <w:sz w:val="21"/>
                <w:szCs w:val="21"/>
                <w:lang w:eastAsia="fr-FR"/>
              </w:rPr>
            </w:pPr>
          </w:p>
        </w:tc>
      </w:tr>
      <w:tr w:rsidR="00246793" w:rsidRPr="00246793" w14:paraId="2D9D28B3"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6C8418DE" w14:textId="77777777" w:rsidR="00246793" w:rsidRPr="00246793" w:rsidRDefault="00246793" w:rsidP="005D385E">
            <w:pPr>
              <w:rPr>
                <w:b/>
                <w:bCs/>
                <w:sz w:val="21"/>
                <w:szCs w:val="21"/>
                <w:lang w:eastAsia="fr-FR"/>
              </w:rPr>
            </w:pPr>
          </w:p>
        </w:tc>
        <w:tc>
          <w:tcPr>
            <w:tcW w:w="2350" w:type="dxa"/>
            <w:tcBorders>
              <w:top w:val="outset" w:sz="6" w:space="0" w:color="auto"/>
              <w:left w:val="single" w:sz="4" w:space="0" w:color="auto"/>
              <w:bottom w:val="single" w:sz="6" w:space="0" w:color="D8D8D8"/>
              <w:right w:val="nil"/>
            </w:tcBorders>
            <w:shd w:val="clear" w:color="auto" w:fill="EEEEEE"/>
            <w:tcMar>
              <w:top w:w="150" w:type="dxa"/>
              <w:left w:w="150" w:type="dxa"/>
              <w:bottom w:w="150" w:type="dxa"/>
              <w:right w:w="150" w:type="dxa"/>
            </w:tcMar>
            <w:vAlign w:val="center"/>
            <w:hideMark/>
          </w:tcPr>
          <w:p w14:paraId="22BAF97B" w14:textId="77777777" w:rsidR="00246793" w:rsidRPr="00246793" w:rsidRDefault="00246793" w:rsidP="005D385E">
            <w:pPr>
              <w:jc w:val="center"/>
              <w:rPr>
                <w:b/>
                <w:bCs/>
                <w:sz w:val="21"/>
                <w:szCs w:val="21"/>
                <w:lang w:eastAsia="fr-FR"/>
              </w:rPr>
            </w:pPr>
            <w:r w:rsidRPr="00246793">
              <w:rPr>
                <w:b/>
                <w:bCs/>
                <w:sz w:val="21"/>
                <w:szCs w:val="21"/>
                <w:lang w:eastAsia="fr-FR"/>
              </w:rPr>
              <w:t>300 ≤ P</w:t>
            </w:r>
          </w:p>
        </w:tc>
        <w:tc>
          <w:tcPr>
            <w:tcW w:w="0" w:type="auto"/>
            <w:tcBorders>
              <w:top w:val="outset" w:sz="6" w:space="0" w:color="auto"/>
              <w:left w:val="outset" w:sz="6" w:space="0" w:color="auto"/>
              <w:bottom w:val="single" w:sz="4" w:space="0" w:color="auto"/>
              <w:right w:val="single" w:sz="6" w:space="0" w:color="D8D8D8"/>
            </w:tcBorders>
            <w:shd w:val="clear" w:color="auto" w:fill="EEEEEE"/>
            <w:vAlign w:val="center"/>
          </w:tcPr>
          <w:p w14:paraId="7A01AED5" w14:textId="77777777" w:rsidR="00246793" w:rsidRPr="00246793" w:rsidRDefault="00246793" w:rsidP="005D385E">
            <w:pPr>
              <w:jc w:val="center"/>
              <w:rPr>
                <w:b/>
                <w:bCs/>
                <w:sz w:val="21"/>
                <w:szCs w:val="21"/>
                <w:lang w:eastAsia="fr-FR"/>
              </w:rPr>
            </w:pPr>
            <w:r w:rsidRPr="00246793">
              <w:rPr>
                <w:b/>
                <w:bCs/>
                <w:sz w:val="21"/>
                <w:szCs w:val="21"/>
                <w:lang w:eastAsia="fr-FR"/>
              </w:rPr>
              <w:t>0,002</w:t>
            </w:r>
          </w:p>
        </w:tc>
      </w:tr>
      <w:tr w:rsidR="00246793" w:rsidRPr="00246793" w14:paraId="0788444F" w14:textId="77777777" w:rsidTr="005D385E">
        <w:trPr>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12F36AB" w14:textId="77777777" w:rsidR="00246793" w:rsidRPr="00246793" w:rsidRDefault="00246793" w:rsidP="005D385E">
            <w:pPr>
              <w:jc w:val="center"/>
              <w:rPr>
                <w:b/>
                <w:bCs/>
                <w:sz w:val="21"/>
                <w:szCs w:val="21"/>
                <w:lang w:eastAsia="fr-FR"/>
              </w:rPr>
            </w:pPr>
            <w:r w:rsidRPr="00246793">
              <w:rPr>
                <w:b/>
                <w:bCs/>
                <w:sz w:val="21"/>
                <w:szCs w:val="21"/>
                <w:lang w:eastAsia="fr-FR"/>
              </w:rPr>
              <w:t>Lignite</w:t>
            </w:r>
          </w:p>
        </w:tc>
        <w:tc>
          <w:tcPr>
            <w:tcW w:w="2350" w:type="dxa"/>
            <w:tcBorders>
              <w:top w:val="outset" w:sz="6" w:space="0" w:color="auto"/>
              <w:left w:val="single" w:sz="4" w:space="0" w:color="auto"/>
              <w:bottom w:val="single" w:sz="6" w:space="0" w:color="D8D8D8"/>
              <w:right w:val="single" w:sz="4" w:space="0" w:color="auto"/>
            </w:tcBorders>
            <w:shd w:val="clear" w:color="auto" w:fill="EEEEEE"/>
            <w:tcMar>
              <w:top w:w="150" w:type="dxa"/>
              <w:left w:w="150" w:type="dxa"/>
              <w:bottom w:w="150" w:type="dxa"/>
              <w:right w:w="150" w:type="dxa"/>
            </w:tcMar>
            <w:vAlign w:val="center"/>
          </w:tcPr>
          <w:p w14:paraId="0B50F738" w14:textId="77777777" w:rsidR="00246793" w:rsidRPr="00246793" w:rsidRDefault="00246793" w:rsidP="005D385E">
            <w:pPr>
              <w:jc w:val="center"/>
              <w:rPr>
                <w:b/>
                <w:bCs/>
                <w:sz w:val="21"/>
                <w:szCs w:val="21"/>
                <w:lang w:eastAsia="fr-FR"/>
              </w:rPr>
            </w:pPr>
            <w:r w:rsidRPr="00246793">
              <w:rPr>
                <w:b/>
                <w:bCs/>
                <w:sz w:val="21"/>
                <w:szCs w:val="21"/>
                <w:lang w:eastAsia="fr-FR"/>
              </w:rPr>
              <w:t>50 ≤ P &lt; 100</w:t>
            </w:r>
          </w:p>
        </w:tc>
        <w:tc>
          <w:tcPr>
            <w:tcW w:w="0" w:type="auto"/>
            <w:vMerge w:val="restart"/>
            <w:tcBorders>
              <w:top w:val="single" w:sz="4" w:space="0" w:color="auto"/>
              <w:left w:val="single" w:sz="4" w:space="0" w:color="auto"/>
              <w:right w:val="single" w:sz="4" w:space="0" w:color="auto"/>
            </w:tcBorders>
            <w:shd w:val="clear" w:color="auto" w:fill="EEEEEE"/>
            <w:tcMar>
              <w:top w:w="150" w:type="dxa"/>
              <w:left w:w="150" w:type="dxa"/>
              <w:bottom w:w="150" w:type="dxa"/>
              <w:right w:w="150" w:type="dxa"/>
            </w:tcMar>
            <w:vAlign w:val="center"/>
          </w:tcPr>
          <w:p w14:paraId="3C28E28E" w14:textId="77777777" w:rsidR="00246793" w:rsidRPr="00246793" w:rsidRDefault="00246793" w:rsidP="005D385E">
            <w:pPr>
              <w:jc w:val="center"/>
              <w:rPr>
                <w:b/>
                <w:bCs/>
                <w:sz w:val="21"/>
                <w:szCs w:val="21"/>
                <w:lang w:eastAsia="fr-FR"/>
              </w:rPr>
            </w:pPr>
            <w:r w:rsidRPr="00246793">
              <w:rPr>
                <w:b/>
                <w:bCs/>
                <w:sz w:val="21"/>
                <w:szCs w:val="21"/>
                <w:lang w:eastAsia="fr-FR"/>
              </w:rPr>
              <w:t>0,005</w:t>
            </w:r>
          </w:p>
        </w:tc>
      </w:tr>
      <w:tr w:rsidR="00246793" w:rsidRPr="00246793" w14:paraId="426336D0"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11B136E9" w14:textId="77777777" w:rsidR="00246793" w:rsidRPr="00246793" w:rsidRDefault="00246793" w:rsidP="005D385E">
            <w:pPr>
              <w:jc w:val="center"/>
              <w:rPr>
                <w:b/>
                <w:bCs/>
                <w:sz w:val="21"/>
                <w:szCs w:val="21"/>
                <w:lang w:eastAsia="fr-FR"/>
              </w:rPr>
            </w:pPr>
          </w:p>
        </w:tc>
        <w:tc>
          <w:tcPr>
            <w:tcW w:w="2350" w:type="dxa"/>
            <w:tcBorders>
              <w:top w:val="outset" w:sz="6" w:space="0" w:color="auto"/>
              <w:left w:val="single" w:sz="4" w:space="0" w:color="auto"/>
              <w:bottom w:val="single" w:sz="6" w:space="0" w:color="D8D8D8"/>
              <w:right w:val="single" w:sz="4" w:space="0" w:color="auto"/>
            </w:tcBorders>
            <w:shd w:val="clear" w:color="auto" w:fill="EEEEEE"/>
            <w:tcMar>
              <w:top w:w="150" w:type="dxa"/>
              <w:left w:w="150" w:type="dxa"/>
              <w:bottom w:w="150" w:type="dxa"/>
              <w:right w:w="150" w:type="dxa"/>
            </w:tcMar>
            <w:vAlign w:val="center"/>
          </w:tcPr>
          <w:p w14:paraId="56944290" w14:textId="77777777" w:rsidR="00246793" w:rsidRPr="00246793" w:rsidRDefault="00246793" w:rsidP="005D385E">
            <w:pPr>
              <w:jc w:val="center"/>
              <w:rPr>
                <w:b/>
                <w:bCs/>
                <w:sz w:val="21"/>
                <w:szCs w:val="21"/>
                <w:lang w:eastAsia="fr-FR"/>
              </w:rPr>
            </w:pPr>
            <w:r w:rsidRPr="00246793">
              <w:rPr>
                <w:b/>
                <w:bCs/>
                <w:sz w:val="21"/>
                <w:szCs w:val="21"/>
                <w:lang w:eastAsia="fr-FR"/>
              </w:rPr>
              <w:t>100 ≤ P &lt; 300</w:t>
            </w:r>
          </w:p>
        </w:tc>
        <w:tc>
          <w:tcPr>
            <w:tcW w:w="0" w:type="auto"/>
            <w:vMerge/>
            <w:tcBorders>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10CA77D1" w14:textId="77777777" w:rsidR="00246793" w:rsidRPr="00246793" w:rsidRDefault="00246793" w:rsidP="005D385E">
            <w:pPr>
              <w:jc w:val="center"/>
              <w:rPr>
                <w:b/>
                <w:bCs/>
                <w:sz w:val="21"/>
                <w:szCs w:val="21"/>
                <w:lang w:eastAsia="fr-FR"/>
              </w:rPr>
            </w:pPr>
          </w:p>
        </w:tc>
      </w:tr>
      <w:tr w:rsidR="00246793" w:rsidRPr="00246793" w14:paraId="5A3C846D"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33A91A4" w14:textId="77777777" w:rsidR="00246793" w:rsidRPr="00246793" w:rsidRDefault="00246793" w:rsidP="005D385E">
            <w:pPr>
              <w:jc w:val="center"/>
              <w:rPr>
                <w:b/>
                <w:bCs/>
                <w:sz w:val="21"/>
                <w:szCs w:val="21"/>
                <w:lang w:eastAsia="fr-FR"/>
              </w:rPr>
            </w:pPr>
          </w:p>
        </w:tc>
        <w:tc>
          <w:tcPr>
            <w:tcW w:w="2350" w:type="dxa"/>
            <w:tcBorders>
              <w:top w:val="outset" w:sz="6" w:space="0" w:color="auto"/>
              <w:left w:val="single" w:sz="4" w:space="0" w:color="auto"/>
              <w:bottom w:val="outset" w:sz="6" w:space="0" w:color="auto"/>
              <w:right w:val="single" w:sz="4" w:space="0" w:color="auto"/>
            </w:tcBorders>
            <w:shd w:val="clear" w:color="auto" w:fill="EEEEEE"/>
            <w:tcMar>
              <w:top w:w="150" w:type="dxa"/>
              <w:left w:w="150" w:type="dxa"/>
              <w:bottom w:w="150" w:type="dxa"/>
              <w:right w:w="150" w:type="dxa"/>
            </w:tcMar>
            <w:vAlign w:val="center"/>
          </w:tcPr>
          <w:p w14:paraId="28F236BE" w14:textId="77777777" w:rsidR="00246793" w:rsidRPr="00246793" w:rsidRDefault="00246793" w:rsidP="005D385E">
            <w:pPr>
              <w:jc w:val="center"/>
              <w:rPr>
                <w:b/>
                <w:bCs/>
                <w:sz w:val="21"/>
                <w:szCs w:val="21"/>
                <w:lang w:eastAsia="fr-FR"/>
              </w:rPr>
            </w:pPr>
            <w:r w:rsidRPr="00246793">
              <w:rPr>
                <w:b/>
                <w:bCs/>
                <w:sz w:val="21"/>
                <w:szCs w:val="21"/>
                <w:lang w:eastAsia="fr-FR"/>
              </w:rPr>
              <w:t>300 ≤ P</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6F2ADBBB" w14:textId="77777777" w:rsidR="00246793" w:rsidRPr="00246793" w:rsidRDefault="00246793" w:rsidP="005D385E">
            <w:pPr>
              <w:jc w:val="center"/>
              <w:rPr>
                <w:b/>
                <w:bCs/>
                <w:sz w:val="21"/>
                <w:szCs w:val="21"/>
                <w:lang w:eastAsia="fr-FR"/>
              </w:rPr>
            </w:pPr>
            <w:r w:rsidRPr="00246793">
              <w:rPr>
                <w:b/>
                <w:bCs/>
                <w:sz w:val="21"/>
                <w:szCs w:val="21"/>
                <w:lang w:eastAsia="fr-FR"/>
              </w:rPr>
              <w:t>0,004</w:t>
            </w:r>
          </w:p>
        </w:tc>
      </w:tr>
      <w:tr w:rsidR="00246793" w:rsidRPr="00246793" w14:paraId="14AD7246" w14:textId="77777777" w:rsidTr="005D385E">
        <w:trPr>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EB12E3A" w14:textId="3A18E1DB" w:rsidR="00246793" w:rsidRPr="00246793" w:rsidRDefault="00246793" w:rsidP="005D385E">
            <w:pPr>
              <w:jc w:val="center"/>
              <w:rPr>
                <w:b/>
                <w:bCs/>
                <w:sz w:val="21"/>
                <w:szCs w:val="21"/>
                <w:lang w:eastAsia="fr-FR"/>
              </w:rPr>
            </w:pPr>
            <w:r w:rsidRPr="00246793">
              <w:rPr>
                <w:b/>
                <w:bCs/>
                <w:sz w:val="21"/>
                <w:szCs w:val="21"/>
                <w:lang w:eastAsia="fr-FR"/>
              </w:rPr>
              <w:t>Biomasse</w:t>
            </w:r>
            <w:r w:rsidR="00856994">
              <w:rPr>
                <w:b/>
                <w:bCs/>
                <w:sz w:val="21"/>
                <w:szCs w:val="21"/>
                <w:lang w:eastAsia="fr-FR"/>
              </w:rPr>
              <w:t xml:space="preserve"> solide</w:t>
            </w:r>
            <w:r w:rsidRPr="00246793">
              <w:rPr>
                <w:b/>
                <w:bCs/>
                <w:sz w:val="21"/>
                <w:szCs w:val="21"/>
                <w:lang w:eastAsia="fr-FR"/>
              </w:rPr>
              <w:t>,</w:t>
            </w:r>
          </w:p>
          <w:p w14:paraId="4E473EBC" w14:textId="77777777" w:rsidR="00246793" w:rsidRPr="00246793" w:rsidRDefault="00246793" w:rsidP="005D385E">
            <w:pPr>
              <w:jc w:val="center"/>
              <w:rPr>
                <w:b/>
                <w:bCs/>
                <w:sz w:val="21"/>
                <w:szCs w:val="21"/>
                <w:lang w:eastAsia="fr-FR"/>
              </w:rPr>
            </w:pPr>
            <w:r w:rsidRPr="00246793">
              <w:rPr>
                <w:b/>
                <w:bCs/>
                <w:sz w:val="21"/>
                <w:szCs w:val="21"/>
                <w:lang w:eastAsia="fr-FR"/>
              </w:rPr>
              <w:t>Tourbe</w:t>
            </w:r>
          </w:p>
        </w:tc>
        <w:tc>
          <w:tcPr>
            <w:tcW w:w="2350" w:type="dxa"/>
            <w:tcBorders>
              <w:top w:val="outset" w:sz="6" w:space="0" w:color="auto"/>
              <w:left w:val="single" w:sz="4" w:space="0" w:color="auto"/>
              <w:bottom w:val="outset" w:sz="6" w:space="0" w:color="auto"/>
              <w:right w:val="single" w:sz="4" w:space="0" w:color="auto"/>
            </w:tcBorders>
            <w:shd w:val="clear" w:color="auto" w:fill="EEEEEE"/>
            <w:tcMar>
              <w:top w:w="150" w:type="dxa"/>
              <w:left w:w="150" w:type="dxa"/>
              <w:bottom w:w="150" w:type="dxa"/>
              <w:right w:w="150" w:type="dxa"/>
            </w:tcMar>
            <w:vAlign w:val="center"/>
          </w:tcPr>
          <w:p w14:paraId="1E3EA012" w14:textId="77777777" w:rsidR="00246793" w:rsidRPr="00246793" w:rsidRDefault="00246793" w:rsidP="005D385E">
            <w:pPr>
              <w:jc w:val="center"/>
              <w:rPr>
                <w:b/>
                <w:bCs/>
                <w:sz w:val="21"/>
                <w:szCs w:val="21"/>
                <w:lang w:eastAsia="fr-FR"/>
              </w:rPr>
            </w:pPr>
            <w:r w:rsidRPr="00246793">
              <w:rPr>
                <w:b/>
                <w:bCs/>
                <w:sz w:val="21"/>
                <w:szCs w:val="21"/>
                <w:lang w:eastAsia="fr-FR"/>
              </w:rPr>
              <w:t>50 ≤ P &lt; 100</w:t>
            </w:r>
          </w:p>
        </w:tc>
        <w:tc>
          <w:tcPr>
            <w:tcW w:w="0" w:type="auto"/>
            <w:vMerge w:val="restart"/>
            <w:tcBorders>
              <w:top w:val="single" w:sz="4" w:space="0" w:color="auto"/>
              <w:left w:val="single" w:sz="4" w:space="0" w:color="auto"/>
              <w:right w:val="single" w:sz="4" w:space="0" w:color="auto"/>
            </w:tcBorders>
            <w:shd w:val="clear" w:color="auto" w:fill="EEEEEE"/>
            <w:tcMar>
              <w:top w:w="150" w:type="dxa"/>
              <w:left w:w="150" w:type="dxa"/>
              <w:bottom w:w="150" w:type="dxa"/>
              <w:right w:w="150" w:type="dxa"/>
            </w:tcMar>
            <w:vAlign w:val="center"/>
          </w:tcPr>
          <w:p w14:paraId="638F89FC" w14:textId="77777777" w:rsidR="00246793" w:rsidRPr="00246793" w:rsidRDefault="00246793" w:rsidP="005D385E">
            <w:pPr>
              <w:jc w:val="center"/>
              <w:rPr>
                <w:b/>
                <w:bCs/>
                <w:sz w:val="21"/>
                <w:szCs w:val="21"/>
                <w:lang w:eastAsia="fr-FR"/>
              </w:rPr>
            </w:pPr>
            <w:r w:rsidRPr="00246793">
              <w:rPr>
                <w:b/>
                <w:bCs/>
                <w:sz w:val="21"/>
                <w:szCs w:val="21"/>
                <w:lang w:eastAsia="fr-FR"/>
              </w:rPr>
              <w:t>0,005</w:t>
            </w:r>
          </w:p>
        </w:tc>
      </w:tr>
      <w:tr w:rsidR="00246793" w:rsidRPr="00246793" w14:paraId="0789D0C1"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D05A638" w14:textId="77777777" w:rsidR="00246793" w:rsidRPr="00246793" w:rsidRDefault="00246793" w:rsidP="005D385E">
            <w:pPr>
              <w:jc w:val="center"/>
              <w:rPr>
                <w:b/>
                <w:bCs/>
                <w:sz w:val="21"/>
                <w:szCs w:val="21"/>
                <w:lang w:eastAsia="fr-FR"/>
              </w:rPr>
            </w:pPr>
          </w:p>
        </w:tc>
        <w:tc>
          <w:tcPr>
            <w:tcW w:w="2350" w:type="dxa"/>
            <w:tcBorders>
              <w:top w:val="outset" w:sz="6"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CC6946D" w14:textId="77777777" w:rsidR="00246793" w:rsidRPr="00246793" w:rsidRDefault="00246793" w:rsidP="005D385E">
            <w:pPr>
              <w:jc w:val="center"/>
              <w:rPr>
                <w:b/>
                <w:bCs/>
                <w:sz w:val="21"/>
                <w:szCs w:val="21"/>
                <w:lang w:eastAsia="fr-FR"/>
              </w:rPr>
            </w:pPr>
            <w:r w:rsidRPr="00246793">
              <w:rPr>
                <w:b/>
                <w:bCs/>
                <w:sz w:val="21"/>
                <w:szCs w:val="21"/>
                <w:lang w:eastAsia="fr-FR"/>
              </w:rPr>
              <w:t>100 ≤ P &lt; 300</w:t>
            </w:r>
          </w:p>
        </w:tc>
        <w:tc>
          <w:tcPr>
            <w:tcW w:w="0" w:type="auto"/>
            <w:vMerge/>
            <w:tcBorders>
              <w:left w:val="single" w:sz="4" w:space="0" w:color="auto"/>
              <w:right w:val="single" w:sz="4" w:space="0" w:color="auto"/>
            </w:tcBorders>
            <w:shd w:val="clear" w:color="auto" w:fill="EEEEEE"/>
            <w:tcMar>
              <w:top w:w="150" w:type="dxa"/>
              <w:left w:w="150" w:type="dxa"/>
              <w:bottom w:w="150" w:type="dxa"/>
              <w:right w:w="150" w:type="dxa"/>
            </w:tcMar>
            <w:vAlign w:val="center"/>
          </w:tcPr>
          <w:p w14:paraId="2938EA86" w14:textId="77777777" w:rsidR="00246793" w:rsidRPr="00246793" w:rsidRDefault="00246793" w:rsidP="005D385E">
            <w:pPr>
              <w:jc w:val="center"/>
              <w:rPr>
                <w:b/>
                <w:bCs/>
                <w:sz w:val="21"/>
                <w:szCs w:val="21"/>
                <w:lang w:eastAsia="fr-FR"/>
              </w:rPr>
            </w:pPr>
          </w:p>
        </w:tc>
      </w:tr>
      <w:tr w:rsidR="00246793" w:rsidRPr="00246793" w14:paraId="187279D4"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4D1A26D2" w14:textId="77777777" w:rsidR="00246793" w:rsidRPr="00246793" w:rsidRDefault="00246793" w:rsidP="005D385E">
            <w:pPr>
              <w:jc w:val="center"/>
              <w:rPr>
                <w:b/>
                <w:bCs/>
                <w:sz w:val="21"/>
                <w:szCs w:val="21"/>
                <w:lang w:eastAsia="fr-FR"/>
              </w:rPr>
            </w:pPr>
          </w:p>
        </w:tc>
        <w:tc>
          <w:tcPr>
            <w:tcW w:w="235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F5034A8" w14:textId="77777777" w:rsidR="00246793" w:rsidRPr="00246793" w:rsidRDefault="00246793" w:rsidP="00246793">
            <w:pPr>
              <w:pStyle w:val="Paragraphedeliste"/>
              <w:numPr>
                <w:ilvl w:val="0"/>
                <w:numId w:val="7"/>
              </w:numPr>
              <w:spacing w:after="0" w:line="240" w:lineRule="auto"/>
              <w:jc w:val="center"/>
              <w:rPr>
                <w:rFonts w:ascii="Times New Roman" w:eastAsia="Times New Roman" w:hAnsi="Times New Roman"/>
                <w:b/>
                <w:bCs/>
                <w:sz w:val="21"/>
                <w:szCs w:val="21"/>
              </w:rPr>
            </w:pPr>
            <w:r w:rsidRPr="00246793">
              <w:rPr>
                <w:rFonts w:ascii="Times New Roman" w:eastAsia="Times New Roman" w:hAnsi="Times New Roman"/>
                <w:b/>
                <w:bCs/>
                <w:sz w:val="21"/>
                <w:szCs w:val="21"/>
              </w:rPr>
              <w:t>P</w:t>
            </w:r>
          </w:p>
        </w:tc>
        <w:tc>
          <w:tcPr>
            <w:tcW w:w="0" w:type="auto"/>
            <w:vMerge/>
            <w:tcBorders>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4301003A" w14:textId="77777777" w:rsidR="00246793" w:rsidRPr="00246793" w:rsidRDefault="00246793" w:rsidP="005D385E">
            <w:pPr>
              <w:jc w:val="center"/>
              <w:rPr>
                <w:b/>
                <w:bCs/>
                <w:sz w:val="21"/>
                <w:szCs w:val="21"/>
                <w:lang w:eastAsia="fr-FR"/>
              </w:rPr>
            </w:pPr>
          </w:p>
        </w:tc>
      </w:tr>
    </w:tbl>
    <w:p w14:paraId="7AB87BCD" w14:textId="77777777" w:rsidR="00246793" w:rsidRPr="00246793" w:rsidRDefault="00246793" w:rsidP="002B0DC1">
      <w:pPr>
        <w:jc w:val="both"/>
        <w:rPr>
          <w:lang w:eastAsia="fr-FR"/>
        </w:rPr>
      </w:pPr>
    </w:p>
    <w:p w14:paraId="2FCECAAC" w14:textId="155B39B1" w:rsidR="00117187" w:rsidRPr="00117187" w:rsidRDefault="003C50B7" w:rsidP="002B0DC1">
      <w:pPr>
        <w:pStyle w:val="Paragraphedeliste"/>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w:t>
      </w:r>
      <w:r w:rsidR="00117187" w:rsidRPr="00117187">
        <w:rPr>
          <w:rFonts w:ascii="Times New Roman" w:eastAsia="Times New Roman" w:hAnsi="Times New Roman"/>
          <w:bCs/>
          <w:sz w:val="24"/>
          <w:szCs w:val="24"/>
        </w:rPr>
        <w:t>-</w:t>
      </w:r>
      <w:r w:rsidR="00117187" w:rsidRPr="00117187">
        <w:rPr>
          <w:rFonts w:ascii="Times New Roman" w:eastAsia="Times New Roman" w:hAnsi="Times New Roman"/>
          <w:bCs/>
          <w:sz w:val="24"/>
          <w:szCs w:val="24"/>
        </w:rPr>
        <w:tab/>
        <w:t xml:space="preserve">Chaudières </w:t>
      </w:r>
      <w:r w:rsidR="00C40620">
        <w:rPr>
          <w:rFonts w:ascii="Times New Roman" w:eastAsia="Times New Roman" w:hAnsi="Times New Roman"/>
          <w:bCs/>
          <w:sz w:val="24"/>
          <w:szCs w:val="24"/>
        </w:rPr>
        <w:t xml:space="preserve">dont l’autorisation a été délivrée </w:t>
      </w:r>
      <w:r w:rsidR="006B21BB">
        <w:rPr>
          <w:rFonts w:ascii="Times New Roman" w:eastAsia="Times New Roman" w:hAnsi="Times New Roman"/>
          <w:bCs/>
          <w:sz w:val="24"/>
          <w:szCs w:val="24"/>
        </w:rPr>
        <w:t>avant le</w:t>
      </w:r>
      <w:r w:rsidR="00117187" w:rsidRPr="00117187">
        <w:rPr>
          <w:rFonts w:ascii="Times New Roman" w:eastAsia="Times New Roman" w:hAnsi="Times New Roman"/>
          <w:bCs/>
          <w:sz w:val="24"/>
          <w:szCs w:val="24"/>
        </w:rPr>
        <w:t xml:space="preserve"> 17 août 2017 :</w:t>
      </w:r>
    </w:p>
    <w:p w14:paraId="127253BF" w14:textId="0EAFE435" w:rsidR="00246793" w:rsidRPr="00117187" w:rsidRDefault="00117187" w:rsidP="002B0DC1">
      <w:pPr>
        <w:spacing w:after="240"/>
        <w:jc w:val="both"/>
        <w:rPr>
          <w:bCs/>
        </w:rPr>
      </w:pPr>
      <w:r>
        <w:rPr>
          <w:bCs/>
        </w:rPr>
        <w:t>« </w:t>
      </w:r>
      <w:r w:rsidRPr="00117187">
        <w:rPr>
          <w:bCs/>
        </w:rPr>
        <w:t>La valeur limite d’émission en mercure (Hg) de 0,05 mg/Nm</w:t>
      </w:r>
      <w:r w:rsidRPr="00117187">
        <w:rPr>
          <w:bCs/>
          <w:vertAlign w:val="superscript"/>
        </w:rPr>
        <w:t>3</w:t>
      </w:r>
      <w:r w:rsidRPr="00117187">
        <w:rPr>
          <w:bCs/>
        </w:rPr>
        <w:t xml:space="preserve"> </w:t>
      </w:r>
      <w:r>
        <w:rPr>
          <w:bCs/>
        </w:rPr>
        <w:t>mentionnée</w:t>
      </w:r>
      <w:r w:rsidRPr="00117187">
        <w:rPr>
          <w:bCs/>
        </w:rPr>
        <w:t xml:space="preserve"> dans le tableau du </w:t>
      </w:r>
      <w:r w:rsidR="00D23B3A">
        <w:rPr>
          <w:bCs/>
        </w:rPr>
        <w:t xml:space="preserve">a) du </w:t>
      </w:r>
      <w:r w:rsidRPr="00117187">
        <w:rPr>
          <w:bCs/>
        </w:rPr>
        <w:t>VI est remplacée par les valeurs limites d’émission suivantes en fonction du combustible utilisé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4"/>
        <w:gridCol w:w="2350"/>
        <w:gridCol w:w="1346"/>
      </w:tblGrid>
      <w:tr w:rsidR="00246793" w:rsidRPr="00246793" w14:paraId="5BBE160F" w14:textId="77777777" w:rsidTr="005D385E">
        <w:trPr>
          <w:jc w:val="center"/>
        </w:trPr>
        <w:tc>
          <w:tcPr>
            <w:tcW w:w="2694" w:type="dxa"/>
            <w:tcBorders>
              <w:top w:val="outset" w:sz="6" w:space="0" w:color="auto"/>
              <w:left w:val="outset" w:sz="6" w:space="0" w:color="auto"/>
              <w:bottom w:val="single" w:sz="4" w:space="0" w:color="auto"/>
              <w:right w:val="single" w:sz="6" w:space="0" w:color="D8D8D8"/>
            </w:tcBorders>
            <w:shd w:val="clear" w:color="auto" w:fill="5C75A2"/>
            <w:tcMar>
              <w:top w:w="75" w:type="dxa"/>
              <w:left w:w="75" w:type="dxa"/>
              <w:bottom w:w="75" w:type="dxa"/>
              <w:right w:w="75" w:type="dxa"/>
            </w:tcMar>
            <w:vAlign w:val="center"/>
            <w:hideMark/>
          </w:tcPr>
          <w:p w14:paraId="47038BFF" w14:textId="77777777" w:rsidR="00246793" w:rsidRPr="00246793" w:rsidRDefault="00246793" w:rsidP="002B0DC1">
            <w:pPr>
              <w:jc w:val="center"/>
              <w:rPr>
                <w:b/>
                <w:bCs/>
                <w:color w:val="FFFFFF"/>
                <w:sz w:val="21"/>
                <w:szCs w:val="21"/>
                <w:lang w:eastAsia="fr-FR"/>
              </w:rPr>
            </w:pPr>
            <w:r w:rsidRPr="00246793">
              <w:rPr>
                <w:b/>
                <w:bCs/>
                <w:color w:val="FFFFFF"/>
                <w:sz w:val="21"/>
                <w:szCs w:val="21"/>
                <w:lang w:eastAsia="fr-FR"/>
              </w:rPr>
              <w:t>Combustibles</w:t>
            </w:r>
          </w:p>
        </w:tc>
        <w:tc>
          <w:tcPr>
            <w:tcW w:w="2350" w:type="dxa"/>
            <w:tcBorders>
              <w:top w:val="outset" w:sz="6" w:space="0" w:color="auto"/>
              <w:left w:val="outset" w:sz="6" w:space="0" w:color="auto"/>
              <w:bottom w:val="single" w:sz="6" w:space="0" w:color="D8D8D8"/>
              <w:right w:val="single" w:sz="4" w:space="0" w:color="auto"/>
            </w:tcBorders>
            <w:shd w:val="clear" w:color="auto" w:fill="5C75A2"/>
            <w:tcMar>
              <w:top w:w="75" w:type="dxa"/>
              <w:left w:w="75" w:type="dxa"/>
              <w:bottom w:w="75" w:type="dxa"/>
              <w:right w:w="75" w:type="dxa"/>
            </w:tcMar>
            <w:vAlign w:val="center"/>
            <w:hideMark/>
          </w:tcPr>
          <w:p w14:paraId="6E1E85A8" w14:textId="77777777" w:rsidR="00246793" w:rsidRPr="00246793" w:rsidRDefault="00246793" w:rsidP="002B0DC1">
            <w:pPr>
              <w:jc w:val="center"/>
              <w:rPr>
                <w:b/>
                <w:bCs/>
                <w:color w:val="FFFFFF"/>
                <w:sz w:val="21"/>
                <w:szCs w:val="21"/>
                <w:lang w:eastAsia="fr-FR"/>
              </w:rPr>
            </w:pPr>
            <w:r w:rsidRPr="00246793">
              <w:rPr>
                <w:b/>
                <w:bCs/>
                <w:color w:val="FFFFFF"/>
                <w:sz w:val="21"/>
                <w:szCs w:val="21"/>
                <w:lang w:eastAsia="fr-FR"/>
              </w:rPr>
              <w:t>Puissance P (MW)</w:t>
            </w:r>
          </w:p>
        </w:tc>
        <w:tc>
          <w:tcPr>
            <w:tcW w:w="0" w:type="auto"/>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vAlign w:val="center"/>
            <w:hideMark/>
          </w:tcPr>
          <w:p w14:paraId="23FA7DF0" w14:textId="77777777" w:rsidR="00246793" w:rsidRPr="00246793" w:rsidRDefault="00246793" w:rsidP="002B0DC1">
            <w:pPr>
              <w:jc w:val="center"/>
              <w:rPr>
                <w:b/>
                <w:bCs/>
                <w:color w:val="FFFFFF"/>
                <w:sz w:val="21"/>
                <w:szCs w:val="21"/>
                <w:lang w:eastAsia="fr-FR"/>
              </w:rPr>
            </w:pPr>
            <w:r w:rsidRPr="00246793">
              <w:rPr>
                <w:b/>
                <w:bCs/>
                <w:color w:val="FFFFFF"/>
                <w:sz w:val="21"/>
                <w:szCs w:val="21"/>
                <w:lang w:eastAsia="fr-FR"/>
              </w:rPr>
              <w:t>Hg (mg/Nm</w:t>
            </w:r>
            <w:r w:rsidRPr="00246793">
              <w:rPr>
                <w:b/>
                <w:bCs/>
                <w:color w:val="FFFFFF"/>
                <w:sz w:val="21"/>
                <w:szCs w:val="21"/>
                <w:vertAlign w:val="superscript"/>
                <w:lang w:eastAsia="fr-FR"/>
              </w:rPr>
              <w:t>3</w:t>
            </w:r>
            <w:r w:rsidRPr="00246793">
              <w:rPr>
                <w:b/>
                <w:bCs/>
                <w:color w:val="FFFFFF"/>
                <w:sz w:val="21"/>
                <w:szCs w:val="21"/>
                <w:lang w:eastAsia="fr-FR"/>
              </w:rPr>
              <w:t>)</w:t>
            </w:r>
          </w:p>
        </w:tc>
      </w:tr>
      <w:tr w:rsidR="00246793" w:rsidRPr="00246793" w14:paraId="77195E64" w14:textId="77777777" w:rsidTr="005D385E">
        <w:trPr>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26612E4B" w14:textId="77777777" w:rsidR="00246793" w:rsidRPr="00246793" w:rsidRDefault="00246793" w:rsidP="005D385E">
            <w:pPr>
              <w:jc w:val="center"/>
              <w:rPr>
                <w:b/>
                <w:bCs/>
                <w:sz w:val="21"/>
                <w:szCs w:val="21"/>
                <w:lang w:eastAsia="fr-FR"/>
              </w:rPr>
            </w:pPr>
            <w:r w:rsidRPr="00246793">
              <w:rPr>
                <w:b/>
                <w:bCs/>
                <w:sz w:val="21"/>
                <w:szCs w:val="21"/>
                <w:lang w:eastAsia="fr-FR"/>
              </w:rPr>
              <w:t>Charbon</w:t>
            </w:r>
          </w:p>
          <w:p w14:paraId="7939BBD9" w14:textId="77777777" w:rsidR="00246793" w:rsidRPr="00246793" w:rsidRDefault="00246793" w:rsidP="005D385E">
            <w:pPr>
              <w:jc w:val="center"/>
              <w:rPr>
                <w:b/>
                <w:bCs/>
                <w:sz w:val="21"/>
                <w:szCs w:val="21"/>
                <w:lang w:eastAsia="fr-FR"/>
              </w:rPr>
            </w:pPr>
          </w:p>
        </w:tc>
        <w:tc>
          <w:tcPr>
            <w:tcW w:w="2350" w:type="dxa"/>
            <w:tcBorders>
              <w:top w:val="outset" w:sz="6" w:space="0" w:color="auto"/>
              <w:left w:val="single" w:sz="4" w:space="0" w:color="auto"/>
              <w:bottom w:val="single" w:sz="6" w:space="0" w:color="D8D8D8"/>
              <w:right w:val="single" w:sz="4" w:space="0" w:color="auto"/>
            </w:tcBorders>
            <w:shd w:val="clear" w:color="auto" w:fill="EEEEEE"/>
            <w:tcMar>
              <w:top w:w="150" w:type="dxa"/>
              <w:left w:w="150" w:type="dxa"/>
              <w:bottom w:w="150" w:type="dxa"/>
              <w:right w:w="150" w:type="dxa"/>
            </w:tcMar>
            <w:vAlign w:val="center"/>
            <w:hideMark/>
          </w:tcPr>
          <w:p w14:paraId="36E87469" w14:textId="77777777" w:rsidR="00246793" w:rsidRPr="00246793" w:rsidRDefault="00246793" w:rsidP="005D385E">
            <w:pPr>
              <w:jc w:val="center"/>
              <w:rPr>
                <w:b/>
                <w:bCs/>
                <w:sz w:val="21"/>
                <w:szCs w:val="21"/>
                <w:lang w:eastAsia="fr-FR"/>
              </w:rPr>
            </w:pPr>
            <w:r w:rsidRPr="00246793">
              <w:rPr>
                <w:b/>
                <w:bCs/>
                <w:sz w:val="21"/>
                <w:szCs w:val="21"/>
                <w:lang w:eastAsia="fr-FR"/>
              </w:rPr>
              <w:t>50 ≤ P &lt; 100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EC6AE4C" w14:textId="77777777" w:rsidR="00246793" w:rsidRPr="00246793" w:rsidRDefault="00246793" w:rsidP="005D385E">
            <w:pPr>
              <w:jc w:val="center"/>
              <w:rPr>
                <w:b/>
                <w:bCs/>
                <w:sz w:val="21"/>
                <w:szCs w:val="21"/>
                <w:lang w:eastAsia="fr-FR"/>
              </w:rPr>
            </w:pPr>
            <w:r w:rsidRPr="00246793">
              <w:rPr>
                <w:b/>
                <w:bCs/>
                <w:sz w:val="21"/>
                <w:szCs w:val="21"/>
                <w:lang w:eastAsia="fr-FR"/>
              </w:rPr>
              <w:t>0,009</w:t>
            </w:r>
          </w:p>
        </w:tc>
      </w:tr>
      <w:tr w:rsidR="00246793" w:rsidRPr="00246793" w14:paraId="3128D7CA"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34718CB" w14:textId="77777777" w:rsidR="00246793" w:rsidRPr="00246793" w:rsidRDefault="00246793" w:rsidP="005D385E">
            <w:pPr>
              <w:rPr>
                <w:b/>
                <w:bCs/>
                <w:sz w:val="21"/>
                <w:szCs w:val="21"/>
                <w:lang w:eastAsia="fr-FR"/>
              </w:rPr>
            </w:pPr>
          </w:p>
        </w:tc>
        <w:tc>
          <w:tcPr>
            <w:tcW w:w="2350" w:type="dxa"/>
            <w:tcBorders>
              <w:top w:val="outset" w:sz="6"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hideMark/>
          </w:tcPr>
          <w:p w14:paraId="798EDDF6" w14:textId="77777777" w:rsidR="00246793" w:rsidRPr="00246793" w:rsidRDefault="00246793" w:rsidP="005D385E">
            <w:pPr>
              <w:jc w:val="center"/>
              <w:rPr>
                <w:b/>
                <w:bCs/>
                <w:sz w:val="21"/>
                <w:szCs w:val="21"/>
                <w:lang w:eastAsia="fr-FR"/>
              </w:rPr>
            </w:pPr>
            <w:r w:rsidRPr="00246793">
              <w:rPr>
                <w:b/>
                <w:bCs/>
                <w:sz w:val="21"/>
                <w:szCs w:val="21"/>
                <w:lang w:eastAsia="fr-FR"/>
              </w:rPr>
              <w:t>100 ≤ P &lt; 300</w:t>
            </w:r>
          </w:p>
        </w:tc>
        <w:tc>
          <w:tcPr>
            <w:tcW w:w="0" w:type="auto"/>
            <w:vMerge/>
            <w:tcBorders>
              <w:top w:val="single" w:sz="4" w:space="0" w:color="auto"/>
              <w:left w:val="single" w:sz="4" w:space="0" w:color="auto"/>
              <w:bottom w:val="single" w:sz="4" w:space="0" w:color="auto"/>
              <w:right w:val="single" w:sz="4" w:space="0" w:color="auto"/>
            </w:tcBorders>
            <w:shd w:val="clear" w:color="auto" w:fill="EEEEEE"/>
            <w:vAlign w:val="center"/>
          </w:tcPr>
          <w:p w14:paraId="78E62BBD" w14:textId="77777777" w:rsidR="00246793" w:rsidRPr="00246793" w:rsidRDefault="00246793" w:rsidP="005D385E">
            <w:pPr>
              <w:jc w:val="center"/>
              <w:rPr>
                <w:b/>
                <w:bCs/>
                <w:sz w:val="21"/>
                <w:szCs w:val="21"/>
                <w:lang w:eastAsia="fr-FR"/>
              </w:rPr>
            </w:pPr>
          </w:p>
        </w:tc>
      </w:tr>
      <w:tr w:rsidR="00246793" w:rsidRPr="00246793" w14:paraId="1ED93AEB"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6EB2A0B" w14:textId="77777777" w:rsidR="00246793" w:rsidRPr="00246793" w:rsidRDefault="00246793" w:rsidP="005D385E">
            <w:pPr>
              <w:rPr>
                <w:b/>
                <w:bCs/>
                <w:sz w:val="21"/>
                <w:szCs w:val="21"/>
                <w:lang w:eastAsia="fr-FR"/>
              </w:rPr>
            </w:pPr>
          </w:p>
        </w:tc>
        <w:tc>
          <w:tcPr>
            <w:tcW w:w="235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hideMark/>
          </w:tcPr>
          <w:p w14:paraId="06B88A51" w14:textId="77777777" w:rsidR="00246793" w:rsidRPr="00246793" w:rsidRDefault="00246793" w:rsidP="005D385E">
            <w:pPr>
              <w:jc w:val="center"/>
              <w:rPr>
                <w:b/>
                <w:bCs/>
                <w:sz w:val="21"/>
                <w:szCs w:val="21"/>
                <w:lang w:eastAsia="fr-FR"/>
              </w:rPr>
            </w:pPr>
            <w:r w:rsidRPr="00246793">
              <w:rPr>
                <w:b/>
                <w:bCs/>
                <w:sz w:val="21"/>
                <w:szCs w:val="21"/>
                <w:lang w:eastAsia="fr-FR"/>
              </w:rPr>
              <w:t>300 ≤ P</w:t>
            </w:r>
          </w:p>
        </w:tc>
        <w:tc>
          <w:tcPr>
            <w:tcW w:w="0" w:type="auto"/>
            <w:tcBorders>
              <w:top w:val="single" w:sz="4" w:space="0" w:color="auto"/>
              <w:left w:val="single" w:sz="4" w:space="0" w:color="auto"/>
              <w:bottom w:val="single" w:sz="4" w:space="0" w:color="auto"/>
              <w:right w:val="single" w:sz="4" w:space="0" w:color="auto"/>
            </w:tcBorders>
            <w:shd w:val="clear" w:color="auto" w:fill="EEEEEE"/>
            <w:vAlign w:val="center"/>
          </w:tcPr>
          <w:p w14:paraId="709F003E" w14:textId="77777777" w:rsidR="00246793" w:rsidRPr="00246793" w:rsidRDefault="00246793" w:rsidP="005D385E">
            <w:pPr>
              <w:jc w:val="center"/>
              <w:rPr>
                <w:b/>
                <w:bCs/>
                <w:sz w:val="21"/>
                <w:szCs w:val="21"/>
                <w:lang w:eastAsia="fr-FR"/>
              </w:rPr>
            </w:pPr>
            <w:r w:rsidRPr="00246793">
              <w:rPr>
                <w:b/>
                <w:bCs/>
                <w:sz w:val="21"/>
                <w:szCs w:val="21"/>
                <w:lang w:eastAsia="fr-FR"/>
              </w:rPr>
              <w:t>0,004</w:t>
            </w:r>
          </w:p>
        </w:tc>
      </w:tr>
      <w:tr w:rsidR="00246793" w:rsidRPr="00246793" w14:paraId="6A79A3C4" w14:textId="77777777" w:rsidTr="005D385E">
        <w:trPr>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EB60E89" w14:textId="77777777" w:rsidR="00246793" w:rsidRPr="00246793" w:rsidRDefault="00246793" w:rsidP="005D385E">
            <w:pPr>
              <w:jc w:val="center"/>
              <w:rPr>
                <w:b/>
                <w:bCs/>
                <w:sz w:val="21"/>
                <w:szCs w:val="21"/>
                <w:lang w:eastAsia="fr-FR"/>
              </w:rPr>
            </w:pPr>
            <w:r w:rsidRPr="00246793">
              <w:rPr>
                <w:b/>
                <w:bCs/>
                <w:sz w:val="21"/>
                <w:szCs w:val="21"/>
                <w:lang w:eastAsia="fr-FR"/>
              </w:rPr>
              <w:t>Lignite</w:t>
            </w:r>
          </w:p>
        </w:tc>
        <w:tc>
          <w:tcPr>
            <w:tcW w:w="2350" w:type="dxa"/>
            <w:tcBorders>
              <w:top w:val="single" w:sz="4" w:space="0" w:color="auto"/>
              <w:left w:val="single" w:sz="4" w:space="0" w:color="auto"/>
              <w:bottom w:val="single" w:sz="6" w:space="0" w:color="D8D8D8"/>
              <w:right w:val="single" w:sz="4" w:space="0" w:color="auto"/>
            </w:tcBorders>
            <w:shd w:val="clear" w:color="auto" w:fill="EEEEEE"/>
            <w:tcMar>
              <w:top w:w="150" w:type="dxa"/>
              <w:left w:w="150" w:type="dxa"/>
              <w:bottom w:w="150" w:type="dxa"/>
              <w:right w:w="150" w:type="dxa"/>
            </w:tcMar>
            <w:vAlign w:val="center"/>
          </w:tcPr>
          <w:p w14:paraId="795843FB" w14:textId="77777777" w:rsidR="00246793" w:rsidRPr="00246793" w:rsidRDefault="00246793" w:rsidP="005D385E">
            <w:pPr>
              <w:jc w:val="center"/>
              <w:rPr>
                <w:b/>
                <w:bCs/>
                <w:sz w:val="21"/>
                <w:szCs w:val="21"/>
                <w:lang w:eastAsia="fr-FR"/>
              </w:rPr>
            </w:pPr>
            <w:r w:rsidRPr="00246793">
              <w:rPr>
                <w:b/>
                <w:bCs/>
                <w:sz w:val="21"/>
                <w:szCs w:val="21"/>
                <w:lang w:eastAsia="fr-FR"/>
              </w:rPr>
              <w:t>50 ≤ P &lt; 100</w:t>
            </w:r>
          </w:p>
        </w:tc>
        <w:tc>
          <w:tcPr>
            <w:tcW w:w="0" w:type="auto"/>
            <w:vMerge w:val="restart"/>
            <w:tcBorders>
              <w:top w:val="single" w:sz="4" w:space="0" w:color="auto"/>
              <w:left w:val="single" w:sz="4" w:space="0" w:color="auto"/>
              <w:right w:val="single" w:sz="4" w:space="0" w:color="auto"/>
            </w:tcBorders>
            <w:shd w:val="clear" w:color="auto" w:fill="EEEEEE"/>
            <w:tcMar>
              <w:top w:w="150" w:type="dxa"/>
              <w:left w:w="150" w:type="dxa"/>
              <w:bottom w:w="150" w:type="dxa"/>
              <w:right w:w="150" w:type="dxa"/>
            </w:tcMar>
            <w:vAlign w:val="center"/>
          </w:tcPr>
          <w:p w14:paraId="4A34E673" w14:textId="77777777" w:rsidR="00246793" w:rsidRPr="00246793" w:rsidRDefault="00246793" w:rsidP="005D385E">
            <w:pPr>
              <w:jc w:val="center"/>
              <w:rPr>
                <w:b/>
                <w:bCs/>
                <w:sz w:val="21"/>
                <w:szCs w:val="21"/>
                <w:lang w:eastAsia="fr-FR"/>
              </w:rPr>
            </w:pPr>
            <w:r w:rsidRPr="00246793">
              <w:rPr>
                <w:b/>
                <w:bCs/>
                <w:sz w:val="21"/>
                <w:szCs w:val="21"/>
                <w:lang w:eastAsia="fr-FR"/>
              </w:rPr>
              <w:t>0,010</w:t>
            </w:r>
          </w:p>
        </w:tc>
      </w:tr>
      <w:tr w:rsidR="00246793" w:rsidRPr="00246793" w14:paraId="1E79236E"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78C75CF" w14:textId="77777777" w:rsidR="00246793" w:rsidRPr="00246793" w:rsidRDefault="00246793" w:rsidP="005D385E">
            <w:pPr>
              <w:jc w:val="center"/>
              <w:rPr>
                <w:b/>
                <w:bCs/>
                <w:sz w:val="21"/>
                <w:szCs w:val="21"/>
                <w:lang w:eastAsia="fr-FR"/>
              </w:rPr>
            </w:pPr>
          </w:p>
        </w:tc>
        <w:tc>
          <w:tcPr>
            <w:tcW w:w="2350" w:type="dxa"/>
            <w:tcBorders>
              <w:top w:val="outset" w:sz="6" w:space="0" w:color="auto"/>
              <w:left w:val="single" w:sz="4" w:space="0" w:color="auto"/>
              <w:bottom w:val="single" w:sz="6" w:space="0" w:color="D8D8D8"/>
              <w:right w:val="single" w:sz="4" w:space="0" w:color="auto"/>
            </w:tcBorders>
            <w:shd w:val="clear" w:color="auto" w:fill="EEEEEE"/>
            <w:tcMar>
              <w:top w:w="150" w:type="dxa"/>
              <w:left w:w="150" w:type="dxa"/>
              <w:bottom w:w="150" w:type="dxa"/>
              <w:right w:w="150" w:type="dxa"/>
            </w:tcMar>
            <w:vAlign w:val="center"/>
          </w:tcPr>
          <w:p w14:paraId="42907DB6" w14:textId="77777777" w:rsidR="00246793" w:rsidRPr="00246793" w:rsidRDefault="00246793" w:rsidP="005D385E">
            <w:pPr>
              <w:jc w:val="center"/>
              <w:rPr>
                <w:b/>
                <w:bCs/>
                <w:sz w:val="21"/>
                <w:szCs w:val="21"/>
                <w:lang w:eastAsia="fr-FR"/>
              </w:rPr>
            </w:pPr>
            <w:r w:rsidRPr="00246793">
              <w:rPr>
                <w:b/>
                <w:bCs/>
                <w:sz w:val="21"/>
                <w:szCs w:val="21"/>
                <w:lang w:eastAsia="fr-FR"/>
              </w:rPr>
              <w:t>100 ≤ P &lt; 300</w:t>
            </w:r>
          </w:p>
        </w:tc>
        <w:tc>
          <w:tcPr>
            <w:tcW w:w="0" w:type="auto"/>
            <w:vMerge/>
            <w:tcBorders>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3C337E18" w14:textId="77777777" w:rsidR="00246793" w:rsidRPr="00246793" w:rsidRDefault="00246793" w:rsidP="005D385E">
            <w:pPr>
              <w:jc w:val="center"/>
              <w:rPr>
                <w:b/>
                <w:bCs/>
                <w:sz w:val="21"/>
                <w:szCs w:val="21"/>
                <w:lang w:eastAsia="fr-FR"/>
              </w:rPr>
            </w:pPr>
          </w:p>
        </w:tc>
      </w:tr>
      <w:tr w:rsidR="00246793" w:rsidRPr="00246793" w14:paraId="3B3FC663"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2850FC18" w14:textId="77777777" w:rsidR="00246793" w:rsidRPr="00246793" w:rsidRDefault="00246793" w:rsidP="005D385E">
            <w:pPr>
              <w:jc w:val="center"/>
              <w:rPr>
                <w:b/>
                <w:bCs/>
                <w:sz w:val="21"/>
                <w:szCs w:val="21"/>
                <w:lang w:eastAsia="fr-FR"/>
              </w:rPr>
            </w:pPr>
          </w:p>
        </w:tc>
        <w:tc>
          <w:tcPr>
            <w:tcW w:w="2350" w:type="dxa"/>
            <w:tcBorders>
              <w:top w:val="outset" w:sz="6" w:space="0" w:color="auto"/>
              <w:left w:val="single" w:sz="4" w:space="0" w:color="auto"/>
              <w:bottom w:val="outset" w:sz="6" w:space="0" w:color="auto"/>
              <w:right w:val="single" w:sz="4" w:space="0" w:color="auto"/>
            </w:tcBorders>
            <w:shd w:val="clear" w:color="auto" w:fill="EEEEEE"/>
            <w:tcMar>
              <w:top w:w="150" w:type="dxa"/>
              <w:left w:w="150" w:type="dxa"/>
              <w:bottom w:w="150" w:type="dxa"/>
              <w:right w:w="150" w:type="dxa"/>
            </w:tcMar>
            <w:vAlign w:val="center"/>
          </w:tcPr>
          <w:p w14:paraId="45E3E2FC" w14:textId="77777777" w:rsidR="00246793" w:rsidRPr="00246793" w:rsidRDefault="00246793" w:rsidP="005D385E">
            <w:pPr>
              <w:jc w:val="center"/>
              <w:rPr>
                <w:b/>
                <w:bCs/>
                <w:sz w:val="21"/>
                <w:szCs w:val="21"/>
                <w:lang w:eastAsia="fr-FR"/>
              </w:rPr>
            </w:pPr>
            <w:r w:rsidRPr="00246793">
              <w:rPr>
                <w:b/>
                <w:bCs/>
                <w:sz w:val="21"/>
                <w:szCs w:val="21"/>
                <w:lang w:eastAsia="fr-FR"/>
              </w:rPr>
              <w:t>300 ≤ P</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287B536" w14:textId="77777777" w:rsidR="00246793" w:rsidRPr="00246793" w:rsidRDefault="00246793" w:rsidP="005D385E">
            <w:pPr>
              <w:jc w:val="center"/>
              <w:rPr>
                <w:b/>
                <w:bCs/>
                <w:sz w:val="21"/>
                <w:szCs w:val="21"/>
                <w:lang w:eastAsia="fr-FR"/>
              </w:rPr>
            </w:pPr>
            <w:r w:rsidRPr="00246793">
              <w:rPr>
                <w:b/>
                <w:bCs/>
                <w:sz w:val="21"/>
                <w:szCs w:val="21"/>
                <w:lang w:eastAsia="fr-FR"/>
              </w:rPr>
              <w:t>0,007</w:t>
            </w:r>
          </w:p>
        </w:tc>
      </w:tr>
      <w:tr w:rsidR="00246793" w:rsidRPr="00246793" w14:paraId="39299C6F" w14:textId="77777777" w:rsidTr="005D385E">
        <w:trPr>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18AAA1C7" w14:textId="690BB059" w:rsidR="00246793" w:rsidRPr="00246793" w:rsidRDefault="00246793" w:rsidP="005D385E">
            <w:pPr>
              <w:jc w:val="center"/>
              <w:rPr>
                <w:b/>
                <w:bCs/>
                <w:sz w:val="21"/>
                <w:szCs w:val="21"/>
                <w:lang w:eastAsia="fr-FR"/>
              </w:rPr>
            </w:pPr>
            <w:r w:rsidRPr="00246793">
              <w:rPr>
                <w:b/>
                <w:bCs/>
                <w:sz w:val="21"/>
                <w:szCs w:val="21"/>
                <w:lang w:eastAsia="fr-FR"/>
              </w:rPr>
              <w:t>Biomasse</w:t>
            </w:r>
            <w:r w:rsidR="00856994">
              <w:rPr>
                <w:b/>
                <w:bCs/>
                <w:sz w:val="21"/>
                <w:szCs w:val="21"/>
                <w:lang w:eastAsia="fr-FR"/>
              </w:rPr>
              <w:t xml:space="preserve"> solide</w:t>
            </w:r>
            <w:r w:rsidRPr="00246793">
              <w:rPr>
                <w:b/>
                <w:bCs/>
                <w:sz w:val="21"/>
                <w:szCs w:val="21"/>
                <w:lang w:eastAsia="fr-FR"/>
              </w:rPr>
              <w:t>,</w:t>
            </w:r>
          </w:p>
          <w:p w14:paraId="650D12A7" w14:textId="77777777" w:rsidR="00246793" w:rsidRPr="00246793" w:rsidRDefault="00246793" w:rsidP="005D385E">
            <w:pPr>
              <w:jc w:val="center"/>
              <w:rPr>
                <w:b/>
                <w:bCs/>
                <w:sz w:val="21"/>
                <w:szCs w:val="21"/>
                <w:lang w:eastAsia="fr-FR"/>
              </w:rPr>
            </w:pPr>
            <w:r w:rsidRPr="00246793">
              <w:rPr>
                <w:b/>
                <w:bCs/>
                <w:sz w:val="21"/>
                <w:szCs w:val="21"/>
                <w:lang w:eastAsia="fr-FR"/>
              </w:rPr>
              <w:t>Tourbe</w:t>
            </w:r>
          </w:p>
        </w:tc>
        <w:tc>
          <w:tcPr>
            <w:tcW w:w="2350" w:type="dxa"/>
            <w:tcBorders>
              <w:top w:val="outset" w:sz="6" w:space="0" w:color="auto"/>
              <w:left w:val="single" w:sz="4" w:space="0" w:color="auto"/>
              <w:bottom w:val="outset" w:sz="6" w:space="0" w:color="auto"/>
              <w:right w:val="single" w:sz="4" w:space="0" w:color="auto"/>
            </w:tcBorders>
            <w:shd w:val="clear" w:color="auto" w:fill="EEEEEE"/>
            <w:tcMar>
              <w:top w:w="150" w:type="dxa"/>
              <w:left w:w="150" w:type="dxa"/>
              <w:bottom w:w="150" w:type="dxa"/>
              <w:right w:w="150" w:type="dxa"/>
            </w:tcMar>
            <w:vAlign w:val="center"/>
          </w:tcPr>
          <w:p w14:paraId="419175D2" w14:textId="77777777" w:rsidR="00246793" w:rsidRPr="00246793" w:rsidRDefault="00246793" w:rsidP="005D385E">
            <w:pPr>
              <w:jc w:val="center"/>
              <w:rPr>
                <w:b/>
                <w:bCs/>
                <w:sz w:val="21"/>
                <w:szCs w:val="21"/>
                <w:lang w:eastAsia="fr-FR"/>
              </w:rPr>
            </w:pPr>
            <w:r w:rsidRPr="00246793">
              <w:rPr>
                <w:b/>
                <w:bCs/>
                <w:sz w:val="21"/>
                <w:szCs w:val="21"/>
                <w:lang w:eastAsia="fr-FR"/>
              </w:rPr>
              <w:t>50 ≤ P &lt; 100</w:t>
            </w:r>
          </w:p>
        </w:tc>
        <w:tc>
          <w:tcPr>
            <w:tcW w:w="0" w:type="auto"/>
            <w:vMerge w:val="restart"/>
            <w:tcBorders>
              <w:top w:val="single" w:sz="4" w:space="0" w:color="auto"/>
              <w:left w:val="single" w:sz="4" w:space="0" w:color="auto"/>
              <w:right w:val="single" w:sz="4" w:space="0" w:color="auto"/>
            </w:tcBorders>
            <w:shd w:val="clear" w:color="auto" w:fill="EEEEEE"/>
            <w:tcMar>
              <w:top w:w="150" w:type="dxa"/>
              <w:left w:w="150" w:type="dxa"/>
              <w:bottom w:w="150" w:type="dxa"/>
              <w:right w:w="150" w:type="dxa"/>
            </w:tcMar>
            <w:vAlign w:val="center"/>
          </w:tcPr>
          <w:p w14:paraId="0461DB60" w14:textId="77777777" w:rsidR="00246793" w:rsidRPr="00246793" w:rsidRDefault="00246793" w:rsidP="005D385E">
            <w:pPr>
              <w:jc w:val="center"/>
              <w:rPr>
                <w:b/>
                <w:bCs/>
                <w:sz w:val="21"/>
                <w:szCs w:val="21"/>
                <w:lang w:eastAsia="fr-FR"/>
              </w:rPr>
            </w:pPr>
            <w:r w:rsidRPr="00246793">
              <w:rPr>
                <w:b/>
                <w:bCs/>
                <w:sz w:val="21"/>
                <w:szCs w:val="21"/>
                <w:lang w:eastAsia="fr-FR"/>
              </w:rPr>
              <w:t>0,005</w:t>
            </w:r>
          </w:p>
        </w:tc>
      </w:tr>
      <w:tr w:rsidR="00246793" w:rsidRPr="00E94AE7" w14:paraId="40576644"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C632EC3" w14:textId="77777777" w:rsidR="00246793" w:rsidRPr="00E94AE7" w:rsidRDefault="00246793" w:rsidP="005D385E">
            <w:pPr>
              <w:jc w:val="center"/>
              <w:rPr>
                <w:b/>
                <w:bCs/>
                <w:sz w:val="21"/>
                <w:szCs w:val="21"/>
                <w:lang w:eastAsia="fr-FR"/>
              </w:rPr>
            </w:pPr>
          </w:p>
        </w:tc>
        <w:tc>
          <w:tcPr>
            <w:tcW w:w="2350" w:type="dxa"/>
            <w:tcBorders>
              <w:top w:val="outset" w:sz="6"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5405998C" w14:textId="77777777" w:rsidR="00246793" w:rsidRPr="00E94AE7" w:rsidRDefault="00246793" w:rsidP="005D385E">
            <w:pPr>
              <w:jc w:val="center"/>
              <w:rPr>
                <w:b/>
                <w:bCs/>
                <w:sz w:val="21"/>
                <w:szCs w:val="21"/>
                <w:lang w:eastAsia="fr-FR"/>
              </w:rPr>
            </w:pPr>
            <w:r w:rsidRPr="00E94AE7">
              <w:rPr>
                <w:b/>
                <w:bCs/>
                <w:sz w:val="21"/>
                <w:szCs w:val="21"/>
                <w:lang w:eastAsia="fr-FR"/>
              </w:rPr>
              <w:t>100 ≤ P &lt; 300</w:t>
            </w:r>
          </w:p>
        </w:tc>
        <w:tc>
          <w:tcPr>
            <w:tcW w:w="0" w:type="auto"/>
            <w:vMerge/>
            <w:tcBorders>
              <w:left w:val="single" w:sz="4" w:space="0" w:color="auto"/>
              <w:right w:val="single" w:sz="4" w:space="0" w:color="auto"/>
            </w:tcBorders>
            <w:shd w:val="clear" w:color="auto" w:fill="EEEEEE"/>
            <w:tcMar>
              <w:top w:w="150" w:type="dxa"/>
              <w:left w:w="150" w:type="dxa"/>
              <w:bottom w:w="150" w:type="dxa"/>
              <w:right w:w="150" w:type="dxa"/>
            </w:tcMar>
            <w:vAlign w:val="center"/>
          </w:tcPr>
          <w:p w14:paraId="75E07E3A" w14:textId="77777777" w:rsidR="00246793" w:rsidRDefault="00246793" w:rsidP="005D385E">
            <w:pPr>
              <w:jc w:val="center"/>
              <w:rPr>
                <w:b/>
                <w:bCs/>
                <w:sz w:val="21"/>
                <w:szCs w:val="21"/>
                <w:lang w:eastAsia="fr-FR"/>
              </w:rPr>
            </w:pPr>
          </w:p>
        </w:tc>
      </w:tr>
      <w:tr w:rsidR="00246793" w:rsidRPr="00E94AE7" w14:paraId="13E09FD4" w14:textId="77777777" w:rsidTr="005D385E">
        <w:trPr>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73FB0775" w14:textId="77777777" w:rsidR="00246793" w:rsidRPr="00E94AE7" w:rsidRDefault="00246793" w:rsidP="005D385E">
            <w:pPr>
              <w:jc w:val="center"/>
              <w:rPr>
                <w:b/>
                <w:bCs/>
                <w:sz w:val="21"/>
                <w:szCs w:val="21"/>
                <w:lang w:eastAsia="fr-FR"/>
              </w:rPr>
            </w:pPr>
          </w:p>
        </w:tc>
        <w:tc>
          <w:tcPr>
            <w:tcW w:w="2350" w:type="dxa"/>
            <w:tcBorders>
              <w:top w:val="single" w:sz="4" w:space="0" w:color="auto"/>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0059FBA9" w14:textId="77777777" w:rsidR="00246793" w:rsidRPr="00E94AE7" w:rsidRDefault="00246793" w:rsidP="005D385E">
            <w:pPr>
              <w:jc w:val="center"/>
              <w:rPr>
                <w:b/>
                <w:bCs/>
                <w:sz w:val="21"/>
                <w:szCs w:val="21"/>
                <w:lang w:eastAsia="fr-FR"/>
              </w:rPr>
            </w:pPr>
            <w:r w:rsidRPr="00E94AE7">
              <w:rPr>
                <w:b/>
                <w:bCs/>
                <w:sz w:val="21"/>
                <w:szCs w:val="21"/>
                <w:lang w:eastAsia="fr-FR"/>
              </w:rPr>
              <w:t>300 ≤ P</w:t>
            </w:r>
          </w:p>
        </w:tc>
        <w:tc>
          <w:tcPr>
            <w:tcW w:w="0" w:type="auto"/>
            <w:vMerge/>
            <w:tcBorders>
              <w:left w:val="single" w:sz="4" w:space="0" w:color="auto"/>
              <w:bottom w:val="single" w:sz="4" w:space="0" w:color="auto"/>
              <w:right w:val="single" w:sz="4" w:space="0" w:color="auto"/>
            </w:tcBorders>
            <w:shd w:val="clear" w:color="auto" w:fill="EEEEEE"/>
            <w:tcMar>
              <w:top w:w="150" w:type="dxa"/>
              <w:left w:w="150" w:type="dxa"/>
              <w:bottom w:w="150" w:type="dxa"/>
              <w:right w:w="150" w:type="dxa"/>
            </w:tcMar>
            <w:vAlign w:val="center"/>
          </w:tcPr>
          <w:p w14:paraId="17182218" w14:textId="77777777" w:rsidR="00246793" w:rsidRDefault="00246793" w:rsidP="005D385E">
            <w:pPr>
              <w:jc w:val="center"/>
              <w:rPr>
                <w:b/>
                <w:bCs/>
                <w:sz w:val="21"/>
                <w:szCs w:val="21"/>
                <w:lang w:eastAsia="fr-FR"/>
              </w:rPr>
            </w:pPr>
          </w:p>
        </w:tc>
      </w:tr>
    </w:tbl>
    <w:p w14:paraId="2B605733" w14:textId="77777777" w:rsidR="00246793" w:rsidRDefault="00246793" w:rsidP="002B0DC1">
      <w:pPr>
        <w:spacing w:line="360" w:lineRule="atLeast"/>
        <w:outlineLvl w:val="2"/>
        <w:rPr>
          <w:rFonts w:ascii="Arial" w:hAnsi="Arial" w:cs="Arial"/>
          <w:b/>
          <w:bCs/>
          <w:color w:val="3C3C3C"/>
          <w:lang w:eastAsia="fr-FR"/>
        </w:rPr>
      </w:pPr>
    </w:p>
    <w:p w14:paraId="0C47AD25" w14:textId="3FEE9B56" w:rsidR="00914E79" w:rsidRPr="001E47C8" w:rsidRDefault="00914E79"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17</w:t>
      </w:r>
      <w:r w:rsidRPr="001E47C8">
        <w:rPr>
          <w:b/>
          <w:bCs/>
          <w:i/>
          <w:iCs/>
        </w:rPr>
        <w:fldChar w:fldCharType="end"/>
      </w:r>
    </w:p>
    <w:p w14:paraId="34CA2794" w14:textId="77777777" w:rsidR="00914E79" w:rsidRDefault="00914E79" w:rsidP="002B0DC1"/>
    <w:p w14:paraId="65DAFB39" w14:textId="5E4D2D08" w:rsidR="003C50B7" w:rsidRDefault="007A0870" w:rsidP="008C74D6">
      <w:pPr>
        <w:jc w:val="both"/>
      </w:pPr>
      <w:r>
        <w:t>Au début de l</w:t>
      </w:r>
      <w:r w:rsidR="003C50B7">
        <w:t xml:space="preserve">’article 14 de l’arrêté susvisé est </w:t>
      </w:r>
      <w:r>
        <w:t>inséré l’alinéa suivant</w:t>
      </w:r>
      <w:r w:rsidR="003C50B7">
        <w:t> :</w:t>
      </w:r>
      <w:r w:rsidDel="007A0870">
        <w:t xml:space="preserve"> </w:t>
      </w:r>
      <w:r w:rsidR="003C50B7">
        <w:t>« Périodes de démarrage et d’arrêt ».</w:t>
      </w:r>
    </w:p>
    <w:p w14:paraId="1CE4A8D4" w14:textId="77777777" w:rsidR="003C50B7" w:rsidRDefault="003C50B7" w:rsidP="002B0DC1">
      <w:pPr>
        <w:jc w:val="both"/>
      </w:pPr>
    </w:p>
    <w:p w14:paraId="4A5D3484" w14:textId="77777777" w:rsidR="00914E79" w:rsidRDefault="00914E79" w:rsidP="002B0DC1"/>
    <w:p w14:paraId="74B482AE" w14:textId="6215F90F" w:rsidR="00914E79" w:rsidRPr="001E47C8" w:rsidRDefault="00914E79"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18</w:t>
      </w:r>
      <w:r w:rsidRPr="001E47C8">
        <w:rPr>
          <w:b/>
          <w:bCs/>
          <w:i/>
          <w:iCs/>
        </w:rPr>
        <w:fldChar w:fldCharType="end"/>
      </w:r>
    </w:p>
    <w:p w14:paraId="079673D1" w14:textId="77777777" w:rsidR="003C50B7" w:rsidRDefault="003C50B7" w:rsidP="002B0DC1">
      <w:pPr>
        <w:jc w:val="both"/>
      </w:pPr>
    </w:p>
    <w:p w14:paraId="7A6343ED" w14:textId="576C6243" w:rsidR="003C50B7" w:rsidRDefault="003C50B7" w:rsidP="002B0DC1">
      <w:pPr>
        <w:jc w:val="both"/>
      </w:pPr>
      <w:r>
        <w:t>L’article 15 de l’arrêté susvisé est ainsi modifié :</w:t>
      </w:r>
    </w:p>
    <w:p w14:paraId="4D31DEF9" w14:textId="77777777" w:rsidR="003C50B7" w:rsidRDefault="003C50B7" w:rsidP="002B0DC1">
      <w:pPr>
        <w:jc w:val="both"/>
      </w:pPr>
    </w:p>
    <w:p w14:paraId="0D43C450" w14:textId="10CFD98F" w:rsidR="003C50B7" w:rsidRDefault="0065073C" w:rsidP="002B0DC1">
      <w:pPr>
        <w:jc w:val="both"/>
      </w:pPr>
      <w:r>
        <w:t>1°</w:t>
      </w:r>
      <w:r w:rsidR="003C50B7">
        <w:t xml:space="preserve"> </w:t>
      </w:r>
      <w:r w:rsidR="007A0870">
        <w:t xml:space="preserve">Un alinéa : </w:t>
      </w:r>
      <w:r w:rsidR="003C50B7">
        <w:t>« Dérogations temporaires aux valeurs limites d’émission (SO</w:t>
      </w:r>
      <w:r w:rsidR="003C50B7" w:rsidRPr="003C50B7">
        <w:rPr>
          <w:vertAlign w:val="subscript"/>
        </w:rPr>
        <w:t>2</w:t>
      </w:r>
      <w:r w:rsidR="003C50B7">
        <w:t>, NOx, poussières) » est inséré avant le premier alinéa.</w:t>
      </w:r>
    </w:p>
    <w:p w14:paraId="559B6E63" w14:textId="1B439B21" w:rsidR="009C32B1" w:rsidRDefault="009C32B1" w:rsidP="002B0DC1">
      <w:pPr>
        <w:jc w:val="both"/>
      </w:pPr>
    </w:p>
    <w:p w14:paraId="2FEACCAC" w14:textId="3D18D8B9" w:rsidR="009C32B1" w:rsidRDefault="0065073C" w:rsidP="002B0DC1">
      <w:pPr>
        <w:jc w:val="both"/>
      </w:pPr>
      <w:r>
        <w:t>2°</w:t>
      </w:r>
      <w:r w:rsidR="009C32B1">
        <w:t xml:space="preserve"> Le premier alinéa est complété</w:t>
      </w:r>
      <w:r w:rsidR="007A0870">
        <w:t xml:space="preserve"> par la phrase</w:t>
      </w:r>
      <w:r w:rsidR="009C32B1">
        <w:t> :</w:t>
      </w:r>
      <w:r w:rsidR="001443A3">
        <w:t xml:space="preserve"> </w:t>
      </w:r>
      <w:r w:rsidR="009C32B1">
        <w:t>« La demande de l’exploitant au préfet comporte les raisons justifiant la dérogation. ».</w:t>
      </w:r>
    </w:p>
    <w:p w14:paraId="527E3C2F" w14:textId="4FD7C392" w:rsidR="009C32B1" w:rsidRDefault="009C32B1" w:rsidP="002B0DC1">
      <w:pPr>
        <w:jc w:val="both"/>
      </w:pPr>
    </w:p>
    <w:p w14:paraId="6C364B55" w14:textId="452FAC93" w:rsidR="009C32B1" w:rsidRDefault="0065073C" w:rsidP="002B0DC1">
      <w:pPr>
        <w:jc w:val="both"/>
      </w:pPr>
      <w:r>
        <w:t>3°</w:t>
      </w:r>
      <w:r w:rsidR="009C32B1">
        <w:t xml:space="preserve"> </w:t>
      </w:r>
      <w:r w:rsidR="007A0870">
        <w:t xml:space="preserve">Le </w:t>
      </w:r>
      <w:r w:rsidR="009C32B1">
        <w:t>deuxième alinéa</w:t>
      </w:r>
      <w:r w:rsidR="007A0870">
        <w:t xml:space="preserve"> est complété par les mots :</w:t>
      </w:r>
      <w:r w:rsidR="009C32B1">
        <w:t xml:space="preserve"> « en précisant les raisons justifiant cette dérogation »</w:t>
      </w:r>
      <w:r w:rsidR="00AB44E7">
        <w:t>.</w:t>
      </w:r>
    </w:p>
    <w:p w14:paraId="2761DE04" w14:textId="77777777" w:rsidR="00914E79" w:rsidRDefault="00914E79" w:rsidP="002B0DC1"/>
    <w:p w14:paraId="708EFAF2" w14:textId="6125A5C1" w:rsidR="00914E79" w:rsidRPr="001E47C8" w:rsidRDefault="00914E79" w:rsidP="00914E79">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19</w:t>
      </w:r>
      <w:r w:rsidRPr="001E47C8">
        <w:rPr>
          <w:b/>
          <w:bCs/>
          <w:i/>
          <w:iCs/>
        </w:rPr>
        <w:fldChar w:fldCharType="end"/>
      </w:r>
    </w:p>
    <w:p w14:paraId="383DF84C" w14:textId="712E53FE" w:rsidR="00914E79" w:rsidRDefault="00914E79" w:rsidP="003C50B7"/>
    <w:p w14:paraId="38F0690A" w14:textId="5313A3CE" w:rsidR="003C50B7" w:rsidRDefault="003C50B7" w:rsidP="003C50B7">
      <w:pPr>
        <w:jc w:val="both"/>
      </w:pPr>
      <w:r>
        <w:t>L’article 16 de l’arrêté susvisé est ainsi modifié :</w:t>
      </w:r>
    </w:p>
    <w:p w14:paraId="79FA81D7" w14:textId="77777777" w:rsidR="003C50B7" w:rsidRPr="00384282" w:rsidRDefault="003C50B7" w:rsidP="003C50B7">
      <w:pPr>
        <w:jc w:val="both"/>
      </w:pPr>
    </w:p>
    <w:p w14:paraId="636DAFE7" w14:textId="1D4891D0" w:rsidR="00384282" w:rsidRPr="00384282" w:rsidRDefault="0065073C" w:rsidP="003C50B7">
      <w:pPr>
        <w:jc w:val="both"/>
      </w:pPr>
      <w:r>
        <w:t>1°</w:t>
      </w:r>
      <w:r w:rsidR="003C50B7" w:rsidRPr="00384282">
        <w:t xml:space="preserve"> Les alinéas suivants sont insérés avant le premier alinéa :</w:t>
      </w:r>
      <w:r w:rsidR="00384282" w:rsidRPr="00384282">
        <w:t xml:space="preserve"> </w:t>
      </w:r>
    </w:p>
    <w:p w14:paraId="0C5483B6" w14:textId="7A9E6ECC" w:rsidR="00384282" w:rsidRPr="00384282" w:rsidRDefault="003C50B7" w:rsidP="003C50B7">
      <w:pPr>
        <w:jc w:val="both"/>
      </w:pPr>
      <w:r w:rsidRPr="00384282">
        <w:t>« Dispositi</w:t>
      </w:r>
      <w:r w:rsidR="00384282" w:rsidRPr="00384282">
        <w:t>f</w:t>
      </w:r>
      <w:r w:rsidRPr="00384282">
        <w:t>s</w:t>
      </w:r>
      <w:r w:rsidR="00384282" w:rsidRPr="00384282">
        <w:t xml:space="preserve"> de réduction des émissions</w:t>
      </w:r>
    </w:p>
    <w:p w14:paraId="1A5413D0" w14:textId="27124D0A" w:rsidR="003C50B7" w:rsidRPr="00384282" w:rsidRDefault="00384282" w:rsidP="00384282">
      <w:pPr>
        <w:shd w:val="clear" w:color="auto" w:fill="FFFFFF"/>
        <w:jc w:val="both"/>
        <w:rPr>
          <w:color w:val="000000"/>
          <w:lang w:eastAsia="fr-FR"/>
        </w:rPr>
      </w:pPr>
      <w:r w:rsidRPr="009B7DAA">
        <w:t>«</w:t>
      </w:r>
      <w:r w:rsidR="003C50B7" w:rsidRPr="009B7DAA">
        <w:t> </w:t>
      </w:r>
      <w:r w:rsidRPr="009B7DAA">
        <w:rPr>
          <w:color w:val="000000"/>
          <w:lang w:eastAsia="fr-FR"/>
        </w:rPr>
        <w:t xml:space="preserve">Les dispositions de l’article 19 (sauf </w:t>
      </w:r>
      <w:r w:rsidR="007A0870">
        <w:rPr>
          <w:color w:val="000000"/>
          <w:lang w:eastAsia="fr-FR"/>
        </w:rPr>
        <w:t>son</w:t>
      </w:r>
      <w:r w:rsidR="007A0870" w:rsidRPr="009B7DAA">
        <w:rPr>
          <w:color w:val="000000"/>
          <w:lang w:eastAsia="fr-FR"/>
        </w:rPr>
        <w:t xml:space="preserve"> </w:t>
      </w:r>
      <w:r w:rsidRPr="009B7DAA">
        <w:rPr>
          <w:color w:val="000000"/>
          <w:lang w:eastAsia="fr-FR"/>
        </w:rPr>
        <w:t>dernier alinéa</w:t>
      </w:r>
      <w:r w:rsidR="00283A55">
        <w:rPr>
          <w:color w:val="000000"/>
          <w:lang w:eastAsia="fr-FR"/>
        </w:rPr>
        <w:t>)</w:t>
      </w:r>
      <w:r w:rsidR="00283A55" w:rsidRPr="00283A55">
        <w:rPr>
          <w:color w:val="000000"/>
          <w:lang w:eastAsia="fr-FR"/>
        </w:rPr>
        <w:t xml:space="preserve"> </w:t>
      </w:r>
      <w:r w:rsidR="00283A55" w:rsidRPr="009B7DAA">
        <w:rPr>
          <w:color w:val="000000"/>
          <w:lang w:eastAsia="fr-FR"/>
        </w:rPr>
        <w:t>de l’arrêté du 2 février 1998</w:t>
      </w:r>
      <w:r w:rsidR="00283A55">
        <w:rPr>
          <w:color w:val="000000"/>
          <w:lang w:eastAsia="fr-FR"/>
        </w:rPr>
        <w:t xml:space="preserve"> susvisé</w:t>
      </w:r>
      <w:r w:rsidR="007A0870">
        <w:rPr>
          <w:color w:val="000000"/>
          <w:lang w:eastAsia="fr-FR"/>
        </w:rPr>
        <w:t xml:space="preserve"> s’appliquent</w:t>
      </w:r>
      <w:r w:rsidRPr="009B7DAA">
        <w:rPr>
          <w:color w:val="000000"/>
          <w:lang w:eastAsia="fr-FR"/>
        </w:rPr>
        <w:t xml:space="preserve"> </w:t>
      </w:r>
      <w:r w:rsidR="006F72E2" w:rsidRPr="009B7DAA">
        <w:rPr>
          <w:color w:val="000000"/>
          <w:lang w:eastAsia="fr-FR"/>
        </w:rPr>
        <w:t>aux installations de traitement</w:t>
      </w:r>
      <w:r w:rsidR="007D5290">
        <w:rPr>
          <w:color w:val="000000"/>
          <w:lang w:eastAsia="fr-FR"/>
        </w:rPr>
        <w:t xml:space="preserve"> des fumées</w:t>
      </w:r>
      <w:r w:rsidRPr="009B7DAA">
        <w:rPr>
          <w:color w:val="000000"/>
          <w:lang w:eastAsia="fr-FR"/>
        </w:rPr>
        <w:t xml:space="preserve">. </w:t>
      </w:r>
      <w:r w:rsidR="003C50B7" w:rsidRPr="009B7DAA">
        <w:t>»</w:t>
      </w:r>
      <w:r w:rsidR="003C50B7" w:rsidRPr="00384282">
        <w:t xml:space="preserve"> </w:t>
      </w:r>
    </w:p>
    <w:p w14:paraId="1959389A" w14:textId="3C148756" w:rsidR="003C50B7" w:rsidRDefault="003C50B7" w:rsidP="003C50B7"/>
    <w:p w14:paraId="7A98D4AA" w14:textId="0AF895D6" w:rsidR="00384282" w:rsidRDefault="0065073C" w:rsidP="003C50B7">
      <w:r>
        <w:t>2°</w:t>
      </w:r>
      <w:r w:rsidR="00384282">
        <w:t xml:space="preserve"> L’article 16 est complété par l’alinéa suivant :</w:t>
      </w:r>
    </w:p>
    <w:p w14:paraId="7CBD4BA1" w14:textId="4258A8E6" w:rsidR="00384282" w:rsidRPr="00384282" w:rsidRDefault="00384282" w:rsidP="00384282">
      <w:pPr>
        <w:shd w:val="clear" w:color="auto" w:fill="FFFFFF"/>
        <w:jc w:val="both"/>
        <w:rPr>
          <w:color w:val="000000"/>
          <w:lang w:eastAsia="fr-FR"/>
        </w:rPr>
      </w:pPr>
      <w:r w:rsidRPr="00384282">
        <w:rPr>
          <w:color w:val="000000"/>
          <w:lang w:eastAsia="fr-FR"/>
        </w:rPr>
        <w:t>« L’exploitant garantit, par une conception, un fonctionnement et une maintenance appropriés, l’utilisation de tous les systèmes de réduction des émissions au maximum de leur capacité et</w:t>
      </w:r>
      <w:r w:rsidR="007A0870">
        <w:rPr>
          <w:color w:val="000000"/>
          <w:lang w:eastAsia="fr-FR"/>
        </w:rPr>
        <w:t xml:space="preserve"> de leurs</w:t>
      </w:r>
      <w:r w:rsidRPr="00384282">
        <w:rPr>
          <w:color w:val="000000"/>
          <w:lang w:eastAsia="fr-FR"/>
        </w:rPr>
        <w:t xml:space="preserve"> disponibilités pendant les phases normales d’exploitation. »</w:t>
      </w:r>
    </w:p>
    <w:p w14:paraId="3DC1EE3E" w14:textId="77777777" w:rsidR="003C50B7" w:rsidRDefault="003C50B7" w:rsidP="003C50B7"/>
    <w:p w14:paraId="3C6B421E" w14:textId="4F7DA82C" w:rsidR="00914E79" w:rsidRPr="00914E79" w:rsidRDefault="00914E79" w:rsidP="00914E79">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20</w:t>
      </w:r>
      <w:r w:rsidRPr="00914E79">
        <w:rPr>
          <w:b/>
          <w:bCs/>
          <w:i/>
          <w:iCs/>
        </w:rPr>
        <w:fldChar w:fldCharType="end"/>
      </w:r>
    </w:p>
    <w:p w14:paraId="79D44FD0" w14:textId="43580836" w:rsidR="00914E79" w:rsidRDefault="00914E79" w:rsidP="00384282"/>
    <w:p w14:paraId="62CD0FCC" w14:textId="534D63DB" w:rsidR="00384282" w:rsidRDefault="00384282" w:rsidP="002B0DC1">
      <w:pPr>
        <w:jc w:val="both"/>
      </w:pPr>
      <w:r>
        <w:t xml:space="preserve">L’article 16-1 est </w:t>
      </w:r>
      <w:r w:rsidR="006B21BB">
        <w:t xml:space="preserve">ajouté </w:t>
      </w:r>
      <w:r>
        <w:t>après l’article 16 :</w:t>
      </w:r>
    </w:p>
    <w:p w14:paraId="76294CD6" w14:textId="6FE3F68C" w:rsidR="00384282" w:rsidRDefault="00384282" w:rsidP="002B0DC1">
      <w:pPr>
        <w:jc w:val="both"/>
      </w:pPr>
    </w:p>
    <w:p w14:paraId="25501A8B" w14:textId="460CAB93" w:rsidR="00384282" w:rsidRPr="00384282" w:rsidRDefault="00384282" w:rsidP="002B0DC1">
      <w:pPr>
        <w:jc w:val="both"/>
        <w:rPr>
          <w:color w:val="000000"/>
          <w:lang w:eastAsia="fr-FR"/>
        </w:rPr>
      </w:pPr>
      <w:r>
        <w:rPr>
          <w:color w:val="000000"/>
          <w:lang w:eastAsia="fr-FR"/>
        </w:rPr>
        <w:t>« </w:t>
      </w:r>
      <w:r w:rsidR="001443A3" w:rsidRPr="001443A3">
        <w:rPr>
          <w:i/>
          <w:iCs/>
          <w:color w:val="000000"/>
          <w:lang w:eastAsia="fr-FR"/>
        </w:rPr>
        <w:t>Art.</w:t>
      </w:r>
      <w:r w:rsidR="00EE2823">
        <w:rPr>
          <w:i/>
          <w:iCs/>
          <w:color w:val="000000"/>
          <w:lang w:eastAsia="fr-FR"/>
        </w:rPr>
        <w:t xml:space="preserve"> </w:t>
      </w:r>
      <w:r w:rsidRPr="001443A3">
        <w:rPr>
          <w:i/>
          <w:iCs/>
          <w:color w:val="000000"/>
          <w:lang w:eastAsia="fr-FR"/>
        </w:rPr>
        <w:t>16-1</w:t>
      </w:r>
      <w:r w:rsidR="00EE2823">
        <w:rPr>
          <w:i/>
          <w:iCs/>
          <w:color w:val="000000"/>
          <w:lang w:eastAsia="fr-FR"/>
        </w:rPr>
        <w:t>.</w:t>
      </w:r>
      <w:r w:rsidR="001443A3">
        <w:rPr>
          <w:color w:val="000000"/>
          <w:lang w:eastAsia="fr-FR"/>
        </w:rPr>
        <w:t xml:space="preserve"> - </w:t>
      </w:r>
      <w:r w:rsidRPr="00384282">
        <w:rPr>
          <w:color w:val="000000"/>
          <w:lang w:eastAsia="fr-FR"/>
        </w:rPr>
        <w:t>Amélioration des performances environnementales générales</w:t>
      </w:r>
    </w:p>
    <w:p w14:paraId="0D17103B" w14:textId="77777777" w:rsidR="00384282" w:rsidRPr="00384282" w:rsidRDefault="00384282" w:rsidP="002B0DC1">
      <w:pPr>
        <w:jc w:val="both"/>
        <w:rPr>
          <w:color w:val="000000"/>
          <w:lang w:eastAsia="fr-FR"/>
        </w:rPr>
      </w:pPr>
    </w:p>
    <w:p w14:paraId="48D650B8" w14:textId="68B2125B" w:rsidR="00384282" w:rsidRPr="00384282" w:rsidRDefault="00384282" w:rsidP="002B0DC1">
      <w:pPr>
        <w:jc w:val="both"/>
        <w:rPr>
          <w:color w:val="000000"/>
          <w:lang w:eastAsia="fr-FR"/>
        </w:rPr>
      </w:pPr>
      <w:r>
        <w:rPr>
          <w:color w:val="000000"/>
          <w:lang w:eastAsia="fr-FR"/>
        </w:rPr>
        <w:t>« </w:t>
      </w:r>
      <w:r w:rsidRPr="00384282">
        <w:rPr>
          <w:color w:val="000000"/>
          <w:lang w:eastAsia="fr-FR"/>
        </w:rPr>
        <w:t xml:space="preserve">Les chaudières, turbines et moteurs de puissance thermique nominale supérieure ou égale à 15 MW respectent les dispositions du présent article pour améliorer les performances environnementales générales des installations de combustion ou mettent en œuvre des dispositions garantissant un niveau de protection de l’environnement équivalent, dans les conditions et dans les délais mentionnés </w:t>
      </w:r>
      <w:r w:rsidR="00D9011B">
        <w:rPr>
          <w:color w:val="000000"/>
          <w:lang w:eastAsia="fr-FR"/>
        </w:rPr>
        <w:t>au VII de</w:t>
      </w:r>
      <w:r w:rsidRPr="00384282">
        <w:rPr>
          <w:color w:val="000000"/>
          <w:lang w:eastAsia="fr-FR"/>
        </w:rPr>
        <w:t xml:space="preserve"> l’article 3 du présent arrêté.</w:t>
      </w:r>
    </w:p>
    <w:p w14:paraId="60E37FE7" w14:textId="77777777" w:rsidR="00384282" w:rsidRPr="00384282" w:rsidRDefault="00384282" w:rsidP="002B0DC1">
      <w:pPr>
        <w:jc w:val="both"/>
        <w:rPr>
          <w:color w:val="000000"/>
          <w:lang w:eastAsia="fr-FR"/>
        </w:rPr>
      </w:pPr>
    </w:p>
    <w:p w14:paraId="12AEB1B0" w14:textId="3F7F9711" w:rsidR="00384282" w:rsidRPr="00384282" w:rsidRDefault="00384282" w:rsidP="002B0DC1">
      <w:pPr>
        <w:jc w:val="both"/>
        <w:rPr>
          <w:color w:val="000000"/>
          <w:lang w:eastAsia="fr-FR"/>
        </w:rPr>
      </w:pPr>
      <w:r>
        <w:rPr>
          <w:color w:val="000000"/>
          <w:lang w:eastAsia="fr-FR"/>
        </w:rPr>
        <w:t>« </w:t>
      </w:r>
      <w:proofErr w:type="gramStart"/>
      <w:r w:rsidRPr="00384282">
        <w:rPr>
          <w:color w:val="000000"/>
          <w:lang w:eastAsia="fr-FR"/>
        </w:rPr>
        <w:t>a</w:t>
      </w:r>
      <w:proofErr w:type="gramEnd"/>
      <w:r w:rsidRPr="00384282">
        <w:rPr>
          <w:color w:val="000000"/>
          <w:lang w:eastAsia="fr-FR"/>
        </w:rPr>
        <w:t>) Pour réduire les émissions atmosphériques de CO et de substances imbrûlées, l’exploitant optimise la combustion et applique une combinaison appropriée des techniques énumérées ci-dessous :</w:t>
      </w:r>
    </w:p>
    <w:p w14:paraId="52E36E93" w14:textId="77777777" w:rsidR="00384282" w:rsidRPr="00384282" w:rsidRDefault="00384282" w:rsidP="002B0DC1">
      <w:pPr>
        <w:jc w:val="both"/>
      </w:pPr>
    </w:p>
    <w:tbl>
      <w:tblPr>
        <w:tblW w:w="9086" w:type="dxa"/>
        <w:jc w:val="center"/>
        <w:tblLayout w:type="fixed"/>
        <w:tblLook w:val="0000" w:firstRow="0" w:lastRow="0" w:firstColumn="0" w:lastColumn="0" w:noHBand="0" w:noVBand="0"/>
      </w:tblPr>
      <w:tblGrid>
        <w:gridCol w:w="373"/>
        <w:gridCol w:w="2032"/>
        <w:gridCol w:w="3544"/>
        <w:gridCol w:w="3137"/>
      </w:tblGrid>
      <w:tr w:rsidR="00384282" w:rsidRPr="00384282" w14:paraId="5EC56BB8" w14:textId="77777777" w:rsidTr="005D385E">
        <w:trPr>
          <w:cantSplit/>
          <w:jc w:val="center"/>
        </w:trPr>
        <w:tc>
          <w:tcPr>
            <w:tcW w:w="2405" w:type="dxa"/>
            <w:gridSpan w:val="2"/>
            <w:tcBorders>
              <w:top w:val="single" w:sz="4" w:space="0" w:color="000000"/>
              <w:left w:val="single" w:sz="4" w:space="0" w:color="000000"/>
              <w:bottom w:val="single" w:sz="4" w:space="0" w:color="000000"/>
            </w:tcBorders>
            <w:shd w:val="clear" w:color="auto" w:fill="auto"/>
          </w:tcPr>
          <w:p w14:paraId="7A15DBBC" w14:textId="77777777" w:rsidR="00384282" w:rsidRPr="00384282" w:rsidRDefault="00384282" w:rsidP="002B0DC1">
            <w:pPr>
              <w:widowControl w:val="0"/>
              <w:jc w:val="center"/>
              <w:rPr>
                <w:color w:val="000000"/>
                <w:lang w:eastAsia="fr-FR"/>
              </w:rPr>
            </w:pPr>
            <w:r w:rsidRPr="00384282">
              <w:rPr>
                <w:color w:val="000000"/>
                <w:lang w:eastAsia="fr-FR"/>
              </w:rPr>
              <w:t>Technique</w:t>
            </w:r>
          </w:p>
        </w:tc>
        <w:tc>
          <w:tcPr>
            <w:tcW w:w="3544" w:type="dxa"/>
            <w:tcBorders>
              <w:top w:val="single" w:sz="4" w:space="0" w:color="000000"/>
              <w:left w:val="single" w:sz="4" w:space="0" w:color="000000"/>
              <w:bottom w:val="single" w:sz="4" w:space="0" w:color="000000"/>
            </w:tcBorders>
            <w:shd w:val="clear" w:color="auto" w:fill="auto"/>
            <w:vAlign w:val="center"/>
          </w:tcPr>
          <w:p w14:paraId="339BAF70" w14:textId="77777777" w:rsidR="00384282" w:rsidRPr="00384282" w:rsidRDefault="00384282" w:rsidP="002B0DC1">
            <w:pPr>
              <w:widowControl w:val="0"/>
              <w:jc w:val="center"/>
              <w:rPr>
                <w:color w:val="000000"/>
                <w:lang w:eastAsia="fr-FR"/>
              </w:rPr>
            </w:pPr>
            <w:r w:rsidRPr="00384282">
              <w:rPr>
                <w:color w:val="000000"/>
                <w:lang w:eastAsia="fr-FR"/>
              </w:rPr>
              <w:t>Description</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2424" w14:textId="77777777" w:rsidR="00384282" w:rsidRPr="00384282" w:rsidRDefault="00384282" w:rsidP="002B0DC1">
            <w:pPr>
              <w:widowControl w:val="0"/>
              <w:jc w:val="center"/>
              <w:rPr>
                <w:color w:val="000000"/>
                <w:lang w:eastAsia="fr-FR"/>
              </w:rPr>
            </w:pPr>
            <w:r w:rsidRPr="00384282">
              <w:rPr>
                <w:color w:val="000000"/>
                <w:lang w:eastAsia="fr-FR"/>
              </w:rPr>
              <w:t>Applicabilité</w:t>
            </w:r>
          </w:p>
        </w:tc>
      </w:tr>
      <w:tr w:rsidR="00384282" w:rsidRPr="00384282" w14:paraId="33255D34"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56C24863" w14:textId="77777777" w:rsidR="00384282" w:rsidRPr="00384282" w:rsidRDefault="00384282" w:rsidP="002B0DC1">
            <w:pPr>
              <w:widowControl w:val="0"/>
              <w:jc w:val="center"/>
              <w:rPr>
                <w:color w:val="000000"/>
                <w:lang w:eastAsia="fr-FR"/>
              </w:rPr>
            </w:pPr>
            <w:proofErr w:type="gramStart"/>
            <w:r w:rsidRPr="00384282">
              <w:rPr>
                <w:color w:val="000000"/>
                <w:lang w:eastAsia="fr-FR"/>
              </w:rPr>
              <w:t>a</w:t>
            </w:r>
            <w:proofErr w:type="gramEnd"/>
          </w:p>
        </w:tc>
        <w:tc>
          <w:tcPr>
            <w:tcW w:w="2032" w:type="dxa"/>
            <w:tcBorders>
              <w:top w:val="single" w:sz="4" w:space="0" w:color="000000"/>
              <w:left w:val="single" w:sz="4" w:space="0" w:color="000000"/>
              <w:bottom w:val="single" w:sz="4" w:space="0" w:color="000000"/>
            </w:tcBorders>
            <w:shd w:val="clear" w:color="auto" w:fill="auto"/>
            <w:vAlign w:val="center"/>
          </w:tcPr>
          <w:p w14:paraId="765FCFEF" w14:textId="77777777" w:rsidR="00384282" w:rsidRPr="00384282" w:rsidRDefault="00384282" w:rsidP="002B0DC1">
            <w:pPr>
              <w:widowControl w:val="0"/>
              <w:jc w:val="both"/>
              <w:rPr>
                <w:color w:val="000000"/>
                <w:lang w:eastAsia="fr-FR"/>
              </w:rPr>
            </w:pPr>
            <w:r w:rsidRPr="00384282">
              <w:rPr>
                <w:color w:val="000000"/>
                <w:lang w:eastAsia="fr-FR"/>
              </w:rPr>
              <w:t>Mélange de combustibles</w:t>
            </w:r>
          </w:p>
        </w:tc>
        <w:tc>
          <w:tcPr>
            <w:tcW w:w="3544" w:type="dxa"/>
            <w:tcBorders>
              <w:top w:val="single" w:sz="4" w:space="0" w:color="000000"/>
              <w:left w:val="single" w:sz="4" w:space="0" w:color="000000"/>
              <w:bottom w:val="single" w:sz="4" w:space="0" w:color="000000"/>
            </w:tcBorders>
            <w:shd w:val="clear" w:color="auto" w:fill="auto"/>
            <w:vAlign w:val="center"/>
          </w:tcPr>
          <w:p w14:paraId="54B8F916" w14:textId="77777777" w:rsidR="00384282" w:rsidRPr="00384282" w:rsidRDefault="00384282" w:rsidP="002B0DC1">
            <w:pPr>
              <w:widowControl w:val="0"/>
              <w:jc w:val="both"/>
              <w:rPr>
                <w:color w:val="000000"/>
                <w:lang w:eastAsia="fr-FR"/>
              </w:rPr>
            </w:pPr>
            <w:r w:rsidRPr="00384282">
              <w:rPr>
                <w:color w:val="000000"/>
                <w:lang w:eastAsia="fr-FR"/>
              </w:rPr>
              <w:t>Consiste à mélanger différentes qualités d'un même type de combustible afin de garantir des conditions de combustion stables ou de réduire les émissions de polluants.</w:t>
            </w:r>
          </w:p>
        </w:tc>
        <w:tc>
          <w:tcPr>
            <w:tcW w:w="3137" w:type="dxa"/>
            <w:vMerge w:val="restart"/>
            <w:tcBorders>
              <w:top w:val="single" w:sz="4" w:space="0" w:color="000000"/>
              <w:left w:val="single" w:sz="4" w:space="0" w:color="000000"/>
              <w:right w:val="single" w:sz="4" w:space="0" w:color="000000"/>
            </w:tcBorders>
            <w:shd w:val="clear" w:color="auto" w:fill="auto"/>
            <w:vAlign w:val="center"/>
          </w:tcPr>
          <w:p w14:paraId="5738A52C" w14:textId="77777777" w:rsidR="00384282" w:rsidRPr="00384282" w:rsidRDefault="00384282" w:rsidP="002B0DC1">
            <w:pPr>
              <w:widowControl w:val="0"/>
              <w:jc w:val="both"/>
              <w:rPr>
                <w:color w:val="000000"/>
                <w:lang w:eastAsia="fr-FR"/>
              </w:rPr>
            </w:pPr>
            <w:r w:rsidRPr="00384282">
              <w:rPr>
                <w:color w:val="000000"/>
                <w:lang w:eastAsia="fr-FR"/>
              </w:rPr>
              <w:t>Applicable d'une manière générale.</w:t>
            </w:r>
          </w:p>
        </w:tc>
      </w:tr>
      <w:tr w:rsidR="00384282" w:rsidRPr="00384282" w14:paraId="33FFCC5D" w14:textId="77777777" w:rsidTr="005D385E">
        <w:trPr>
          <w:cantSplit/>
          <w:trHeight w:val="558"/>
          <w:jc w:val="center"/>
        </w:trPr>
        <w:tc>
          <w:tcPr>
            <w:tcW w:w="373" w:type="dxa"/>
            <w:tcBorders>
              <w:top w:val="single" w:sz="4" w:space="0" w:color="000000"/>
              <w:left w:val="single" w:sz="4" w:space="0" w:color="000000"/>
              <w:bottom w:val="single" w:sz="4" w:space="0" w:color="000000"/>
            </w:tcBorders>
            <w:shd w:val="clear" w:color="auto" w:fill="auto"/>
            <w:vAlign w:val="center"/>
          </w:tcPr>
          <w:p w14:paraId="3B757406" w14:textId="77777777" w:rsidR="00384282" w:rsidRPr="00384282" w:rsidRDefault="00384282" w:rsidP="002B0DC1">
            <w:pPr>
              <w:widowControl w:val="0"/>
              <w:jc w:val="center"/>
              <w:rPr>
                <w:color w:val="000000"/>
                <w:lang w:eastAsia="fr-FR"/>
              </w:rPr>
            </w:pPr>
            <w:proofErr w:type="gramStart"/>
            <w:r w:rsidRPr="00384282">
              <w:rPr>
                <w:color w:val="000000"/>
                <w:lang w:eastAsia="fr-FR"/>
              </w:rPr>
              <w:t>b</w:t>
            </w:r>
            <w:proofErr w:type="gramEnd"/>
          </w:p>
        </w:tc>
        <w:tc>
          <w:tcPr>
            <w:tcW w:w="2032" w:type="dxa"/>
            <w:tcBorders>
              <w:top w:val="single" w:sz="4" w:space="0" w:color="000000"/>
              <w:left w:val="single" w:sz="4" w:space="0" w:color="000000"/>
              <w:bottom w:val="single" w:sz="4" w:space="0" w:color="000000"/>
            </w:tcBorders>
            <w:shd w:val="clear" w:color="auto" w:fill="auto"/>
            <w:vAlign w:val="center"/>
          </w:tcPr>
          <w:p w14:paraId="23F0E5BE" w14:textId="77777777" w:rsidR="00384282" w:rsidRPr="00384282" w:rsidRDefault="00384282" w:rsidP="002B0DC1">
            <w:pPr>
              <w:widowControl w:val="0"/>
              <w:jc w:val="both"/>
              <w:rPr>
                <w:color w:val="000000"/>
                <w:lang w:eastAsia="fr-FR"/>
              </w:rPr>
            </w:pPr>
            <w:r w:rsidRPr="00384282">
              <w:rPr>
                <w:color w:val="000000"/>
                <w:lang w:eastAsia="fr-FR"/>
              </w:rPr>
              <w:t>Maintenance du système de combustion</w:t>
            </w:r>
          </w:p>
        </w:tc>
        <w:tc>
          <w:tcPr>
            <w:tcW w:w="3544" w:type="dxa"/>
            <w:tcBorders>
              <w:top w:val="single" w:sz="4" w:space="0" w:color="000000"/>
              <w:left w:val="single" w:sz="4" w:space="0" w:color="000000"/>
              <w:bottom w:val="single" w:sz="4" w:space="0" w:color="000000"/>
            </w:tcBorders>
            <w:shd w:val="clear" w:color="auto" w:fill="auto"/>
            <w:vAlign w:val="center"/>
          </w:tcPr>
          <w:p w14:paraId="6BAA8283" w14:textId="45D16C84" w:rsidR="00384282" w:rsidRPr="00384282" w:rsidRDefault="00384282" w:rsidP="002B0DC1">
            <w:pPr>
              <w:widowControl w:val="0"/>
              <w:jc w:val="both"/>
              <w:rPr>
                <w:color w:val="000000"/>
                <w:lang w:eastAsia="fr-FR"/>
              </w:rPr>
            </w:pPr>
            <w:r w:rsidRPr="00384282">
              <w:rPr>
                <w:color w:val="000000"/>
                <w:lang w:eastAsia="fr-FR"/>
              </w:rPr>
              <w:t xml:space="preserve">Maintenance </w:t>
            </w:r>
            <w:r w:rsidR="007A0870">
              <w:rPr>
                <w:color w:val="000000"/>
                <w:lang w:eastAsia="fr-FR"/>
              </w:rPr>
              <w:t>préventive</w:t>
            </w:r>
            <w:r w:rsidR="007A0870" w:rsidRPr="00384282">
              <w:rPr>
                <w:color w:val="000000"/>
                <w:lang w:eastAsia="fr-FR"/>
              </w:rPr>
              <w:t xml:space="preserve"> </w:t>
            </w:r>
            <w:r w:rsidRPr="00384282">
              <w:rPr>
                <w:color w:val="000000"/>
                <w:lang w:eastAsia="fr-FR"/>
              </w:rPr>
              <w:t>régulière conformément aux recommandations des fournisseurs</w:t>
            </w:r>
          </w:p>
        </w:tc>
        <w:tc>
          <w:tcPr>
            <w:tcW w:w="3137" w:type="dxa"/>
            <w:vMerge/>
            <w:tcBorders>
              <w:left w:val="single" w:sz="4" w:space="0" w:color="000000"/>
              <w:bottom w:val="single" w:sz="4" w:space="0" w:color="000000"/>
              <w:right w:val="single" w:sz="4" w:space="0" w:color="000000"/>
            </w:tcBorders>
            <w:shd w:val="clear" w:color="auto" w:fill="auto"/>
            <w:vAlign w:val="center"/>
          </w:tcPr>
          <w:p w14:paraId="075DC94A" w14:textId="77777777" w:rsidR="00384282" w:rsidRPr="00384282" w:rsidRDefault="00384282" w:rsidP="002B0DC1">
            <w:pPr>
              <w:widowControl w:val="0"/>
              <w:rPr>
                <w:color w:val="000000"/>
                <w:lang w:eastAsia="fr-FR"/>
              </w:rPr>
            </w:pPr>
          </w:p>
        </w:tc>
      </w:tr>
      <w:tr w:rsidR="00384282" w:rsidRPr="00384282" w14:paraId="484A72CF"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774FD344" w14:textId="77777777" w:rsidR="00384282" w:rsidRPr="00384282" w:rsidRDefault="00384282" w:rsidP="002B0DC1">
            <w:pPr>
              <w:widowControl w:val="0"/>
              <w:jc w:val="center"/>
              <w:rPr>
                <w:color w:val="000000"/>
                <w:lang w:eastAsia="fr-FR"/>
              </w:rPr>
            </w:pPr>
            <w:proofErr w:type="gramStart"/>
            <w:r w:rsidRPr="00384282">
              <w:rPr>
                <w:color w:val="000000"/>
                <w:lang w:eastAsia="fr-FR"/>
              </w:rPr>
              <w:t>c</w:t>
            </w:r>
            <w:proofErr w:type="gramEnd"/>
          </w:p>
        </w:tc>
        <w:tc>
          <w:tcPr>
            <w:tcW w:w="2032" w:type="dxa"/>
            <w:tcBorders>
              <w:top w:val="single" w:sz="4" w:space="0" w:color="000000"/>
              <w:left w:val="single" w:sz="4" w:space="0" w:color="000000"/>
              <w:bottom w:val="single" w:sz="4" w:space="0" w:color="000000"/>
            </w:tcBorders>
            <w:shd w:val="clear" w:color="auto" w:fill="auto"/>
            <w:vAlign w:val="center"/>
          </w:tcPr>
          <w:p w14:paraId="4C68BC7B" w14:textId="77777777" w:rsidR="00384282" w:rsidRPr="00384282" w:rsidRDefault="00384282" w:rsidP="002B0DC1">
            <w:pPr>
              <w:widowControl w:val="0"/>
              <w:jc w:val="both"/>
              <w:rPr>
                <w:color w:val="000000"/>
                <w:lang w:eastAsia="fr-FR"/>
              </w:rPr>
            </w:pPr>
            <w:r w:rsidRPr="00384282">
              <w:rPr>
                <w:color w:val="000000"/>
                <w:lang w:eastAsia="fr-FR"/>
              </w:rPr>
              <w:t>Système de contrôle avancé</w:t>
            </w:r>
          </w:p>
        </w:tc>
        <w:tc>
          <w:tcPr>
            <w:tcW w:w="3544" w:type="dxa"/>
            <w:tcBorders>
              <w:top w:val="single" w:sz="4" w:space="0" w:color="000000"/>
              <w:left w:val="single" w:sz="4" w:space="0" w:color="000000"/>
              <w:bottom w:val="single" w:sz="4" w:space="0" w:color="000000"/>
            </w:tcBorders>
            <w:shd w:val="clear" w:color="auto" w:fill="auto"/>
            <w:vAlign w:val="center"/>
          </w:tcPr>
          <w:p w14:paraId="6913A05C" w14:textId="77777777" w:rsidR="00384282" w:rsidRPr="00384282" w:rsidRDefault="00384282" w:rsidP="002B0DC1">
            <w:pPr>
              <w:widowControl w:val="0"/>
              <w:jc w:val="both"/>
              <w:rPr>
                <w:color w:val="000000"/>
                <w:lang w:eastAsia="fr-FR"/>
              </w:rPr>
            </w:pPr>
            <w:r w:rsidRPr="00384282">
              <w:rPr>
                <w:color w:val="000000"/>
                <w:lang w:eastAsia="fr-FR"/>
              </w:rPr>
              <w:t>Utilisation d'un système informatisé de contrôle automatique de l'efficacité de la combustion contribuant à la prévention ou à la réduction des émissions. Inclut également une surveillance très performante.</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D5EB" w14:textId="77777777" w:rsidR="00384282" w:rsidRPr="00384282" w:rsidRDefault="00384282" w:rsidP="002B0DC1">
            <w:pPr>
              <w:widowControl w:val="0"/>
              <w:rPr>
                <w:color w:val="000000"/>
                <w:lang w:eastAsia="fr-FR"/>
              </w:rPr>
            </w:pPr>
            <w:r w:rsidRPr="00384282">
              <w:rPr>
                <w:color w:val="000000"/>
                <w:lang w:eastAsia="fr-FR"/>
              </w:rPr>
              <w:t>L'applicabilité aux anciennes installations de combustion peut être limitée car cela suppose la rénovation du système de combustion ou du système de contrôle/commande.</w:t>
            </w:r>
          </w:p>
        </w:tc>
      </w:tr>
      <w:tr w:rsidR="00384282" w:rsidRPr="00384282" w14:paraId="7E53DA23"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6B235241" w14:textId="77777777" w:rsidR="00384282" w:rsidRPr="00384282" w:rsidRDefault="00384282" w:rsidP="002B0DC1">
            <w:pPr>
              <w:widowControl w:val="0"/>
              <w:jc w:val="center"/>
              <w:rPr>
                <w:color w:val="000000"/>
                <w:lang w:eastAsia="fr-FR"/>
              </w:rPr>
            </w:pPr>
            <w:proofErr w:type="gramStart"/>
            <w:r w:rsidRPr="00384282">
              <w:rPr>
                <w:color w:val="000000"/>
                <w:lang w:eastAsia="fr-FR"/>
              </w:rPr>
              <w:t>d</w:t>
            </w:r>
            <w:proofErr w:type="gramEnd"/>
          </w:p>
        </w:tc>
        <w:tc>
          <w:tcPr>
            <w:tcW w:w="2032" w:type="dxa"/>
            <w:tcBorders>
              <w:top w:val="single" w:sz="4" w:space="0" w:color="000000"/>
              <w:left w:val="single" w:sz="4" w:space="0" w:color="000000"/>
              <w:bottom w:val="single" w:sz="4" w:space="0" w:color="000000"/>
            </w:tcBorders>
            <w:shd w:val="clear" w:color="auto" w:fill="auto"/>
            <w:vAlign w:val="center"/>
          </w:tcPr>
          <w:p w14:paraId="45176666" w14:textId="77777777" w:rsidR="00384282" w:rsidRPr="00384282" w:rsidRDefault="00384282" w:rsidP="002B0DC1">
            <w:pPr>
              <w:widowControl w:val="0"/>
              <w:jc w:val="both"/>
              <w:rPr>
                <w:color w:val="000000"/>
                <w:lang w:eastAsia="fr-FR"/>
              </w:rPr>
            </w:pPr>
            <w:r w:rsidRPr="00384282">
              <w:rPr>
                <w:color w:val="000000"/>
                <w:lang w:eastAsia="fr-FR"/>
              </w:rPr>
              <w:t>Bonne conception des équipements de combustion</w:t>
            </w:r>
          </w:p>
        </w:tc>
        <w:tc>
          <w:tcPr>
            <w:tcW w:w="3544" w:type="dxa"/>
            <w:tcBorders>
              <w:top w:val="single" w:sz="4" w:space="0" w:color="000000"/>
              <w:left w:val="single" w:sz="4" w:space="0" w:color="000000"/>
              <w:bottom w:val="single" w:sz="4" w:space="0" w:color="000000"/>
            </w:tcBorders>
            <w:shd w:val="clear" w:color="auto" w:fill="auto"/>
            <w:vAlign w:val="center"/>
          </w:tcPr>
          <w:p w14:paraId="2DC0285A" w14:textId="77777777" w:rsidR="00384282" w:rsidRPr="00384282" w:rsidRDefault="00384282" w:rsidP="002B0DC1">
            <w:pPr>
              <w:widowControl w:val="0"/>
              <w:jc w:val="both"/>
              <w:rPr>
                <w:color w:val="000000"/>
                <w:lang w:eastAsia="fr-FR"/>
              </w:rPr>
            </w:pPr>
            <w:r w:rsidRPr="00384282">
              <w:rPr>
                <w:color w:val="000000"/>
                <w:lang w:eastAsia="fr-FR"/>
              </w:rPr>
              <w:t>Bonne conception du four, des chambres de combustion, des brûleurs et des dispositifs associés</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E19B" w14:textId="2528519F" w:rsidR="00384282" w:rsidRPr="00384282" w:rsidRDefault="00384282" w:rsidP="002B0DC1">
            <w:pPr>
              <w:widowControl w:val="0"/>
              <w:rPr>
                <w:color w:val="000000"/>
                <w:lang w:eastAsia="fr-FR"/>
              </w:rPr>
            </w:pPr>
            <w:r w:rsidRPr="00384282">
              <w:rPr>
                <w:color w:val="000000"/>
                <w:lang w:eastAsia="fr-FR"/>
              </w:rPr>
              <w:t>Applicable d'une manière générale aux installations de combustion</w:t>
            </w:r>
            <w:r w:rsidR="002B4CF8">
              <w:rPr>
                <w:color w:val="000000"/>
                <w:lang w:eastAsia="fr-FR"/>
              </w:rPr>
              <w:t xml:space="preserve"> </w:t>
            </w:r>
            <w:r w:rsidR="00104855">
              <w:rPr>
                <w:color w:val="000000"/>
                <w:lang w:eastAsia="fr-FR"/>
              </w:rPr>
              <w:t>dont l’autorisation a été délivré</w:t>
            </w:r>
            <w:r w:rsidR="00C40620">
              <w:rPr>
                <w:color w:val="000000"/>
                <w:lang w:eastAsia="fr-FR"/>
              </w:rPr>
              <w:t>e</w:t>
            </w:r>
            <w:r w:rsidR="00104855">
              <w:rPr>
                <w:color w:val="000000"/>
                <w:lang w:eastAsia="fr-FR"/>
              </w:rPr>
              <w:t xml:space="preserve"> </w:t>
            </w:r>
            <w:r w:rsidR="006B21BB">
              <w:rPr>
                <w:color w:val="000000"/>
                <w:lang w:eastAsia="fr-FR"/>
              </w:rPr>
              <w:t>à compter du</w:t>
            </w:r>
            <w:r w:rsidR="00104855">
              <w:rPr>
                <w:color w:val="000000"/>
                <w:lang w:eastAsia="fr-FR"/>
              </w:rPr>
              <w:t xml:space="preserve"> 17 août 2017</w:t>
            </w:r>
            <w:r w:rsidRPr="00384282">
              <w:rPr>
                <w:color w:val="000000"/>
                <w:lang w:eastAsia="fr-FR"/>
              </w:rPr>
              <w:t>.</w:t>
            </w:r>
          </w:p>
        </w:tc>
      </w:tr>
      <w:tr w:rsidR="00384282" w:rsidRPr="00384282" w14:paraId="112EE468"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71E460F4" w14:textId="77777777" w:rsidR="00384282" w:rsidRPr="00384282" w:rsidRDefault="00384282" w:rsidP="002B0DC1">
            <w:pPr>
              <w:widowControl w:val="0"/>
              <w:jc w:val="center"/>
              <w:rPr>
                <w:color w:val="000000"/>
                <w:lang w:eastAsia="fr-FR"/>
              </w:rPr>
            </w:pPr>
            <w:proofErr w:type="gramStart"/>
            <w:r w:rsidRPr="00384282">
              <w:rPr>
                <w:color w:val="000000"/>
                <w:lang w:eastAsia="fr-FR"/>
              </w:rPr>
              <w:t>e</w:t>
            </w:r>
            <w:proofErr w:type="gramEnd"/>
          </w:p>
        </w:tc>
        <w:tc>
          <w:tcPr>
            <w:tcW w:w="2032" w:type="dxa"/>
            <w:tcBorders>
              <w:top w:val="single" w:sz="4" w:space="0" w:color="000000"/>
              <w:left w:val="single" w:sz="4" w:space="0" w:color="000000"/>
              <w:bottom w:val="single" w:sz="4" w:space="0" w:color="000000"/>
            </w:tcBorders>
            <w:shd w:val="clear" w:color="auto" w:fill="auto"/>
            <w:vAlign w:val="center"/>
          </w:tcPr>
          <w:p w14:paraId="616874BD" w14:textId="77777777" w:rsidR="00384282" w:rsidRPr="00384282" w:rsidRDefault="00384282" w:rsidP="002B0DC1">
            <w:pPr>
              <w:widowControl w:val="0"/>
              <w:jc w:val="both"/>
              <w:rPr>
                <w:color w:val="000000"/>
                <w:lang w:eastAsia="fr-FR"/>
              </w:rPr>
            </w:pPr>
            <w:r w:rsidRPr="00384282">
              <w:rPr>
                <w:color w:val="000000"/>
                <w:lang w:eastAsia="fr-FR"/>
              </w:rPr>
              <w:t>Choix du combustible</w:t>
            </w:r>
          </w:p>
        </w:tc>
        <w:tc>
          <w:tcPr>
            <w:tcW w:w="3544" w:type="dxa"/>
            <w:tcBorders>
              <w:top w:val="single" w:sz="4" w:space="0" w:color="000000"/>
              <w:left w:val="single" w:sz="4" w:space="0" w:color="000000"/>
              <w:bottom w:val="single" w:sz="4" w:space="0" w:color="000000"/>
            </w:tcBorders>
            <w:shd w:val="clear" w:color="auto" w:fill="auto"/>
            <w:vAlign w:val="center"/>
          </w:tcPr>
          <w:p w14:paraId="7F53597D" w14:textId="77777777" w:rsidR="00384282" w:rsidRPr="00384282" w:rsidRDefault="00384282" w:rsidP="002B0DC1">
            <w:pPr>
              <w:widowControl w:val="0"/>
              <w:jc w:val="both"/>
              <w:rPr>
                <w:color w:val="000000"/>
                <w:lang w:eastAsia="fr-FR"/>
              </w:rPr>
            </w:pPr>
            <w:r w:rsidRPr="00384282">
              <w:rPr>
                <w:color w:val="000000"/>
                <w:lang w:eastAsia="fr-FR"/>
              </w:rPr>
              <w:t>Consiste à choisir, parmi les combustibles disponibles, ceux qui présentent de meilleures caractéristiques environnementales (faible teneur en soufre ou en mercure, par exemple), ou à remplacer la totalité ou une partie des combustibles utilisés par de tels combustibles, y compris dans les situations de démarrage ou en cas de recours à des combustibles d'appoint.</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D00A7" w14:textId="6F1EF7FF" w:rsidR="00384282" w:rsidRPr="001443A3" w:rsidRDefault="00384282" w:rsidP="002B0DC1">
            <w:pPr>
              <w:widowControl w:val="0"/>
              <w:rPr>
                <w:color w:val="000000"/>
                <w:lang w:eastAsia="fr-FR"/>
              </w:rPr>
            </w:pPr>
            <w:r w:rsidRPr="001443A3">
              <w:rPr>
                <w:color w:val="000000"/>
                <w:lang w:eastAsia="fr-FR"/>
              </w:rPr>
              <w:t xml:space="preserve">Applicable dans les limites des contraintes liées à la disponibilité de types de combustibles appropriés, présentant de meilleures caractéristiques environnementales, disponibilité </w:t>
            </w:r>
            <w:r w:rsidR="005D64EA" w:rsidRPr="001443A3">
              <w:rPr>
                <w:color w:val="000000"/>
                <w:lang w:eastAsia="fr-FR"/>
              </w:rPr>
              <w:t>qui peut dépendre de</w:t>
            </w:r>
            <w:r w:rsidRPr="001443A3">
              <w:rPr>
                <w:color w:val="000000"/>
                <w:lang w:eastAsia="fr-FR"/>
              </w:rPr>
              <w:t xml:space="preserve"> la politique énergétique </w:t>
            </w:r>
            <w:r w:rsidR="005D64EA" w:rsidRPr="001443A3">
              <w:rPr>
                <w:color w:val="000000"/>
                <w:lang w:eastAsia="fr-FR"/>
              </w:rPr>
              <w:t>nationale</w:t>
            </w:r>
            <w:r w:rsidRPr="001443A3">
              <w:rPr>
                <w:color w:val="000000"/>
                <w:lang w:eastAsia="fr-FR"/>
              </w:rPr>
              <w:t xml:space="preserve"> ou </w:t>
            </w:r>
            <w:r w:rsidR="005D64EA" w:rsidRPr="001443A3">
              <w:rPr>
                <w:color w:val="000000"/>
                <w:lang w:eastAsia="fr-FR"/>
              </w:rPr>
              <w:t>des combustibles éventuellement produits sur le site</w:t>
            </w:r>
            <w:r w:rsidRPr="001443A3">
              <w:rPr>
                <w:color w:val="000000"/>
                <w:lang w:eastAsia="fr-FR"/>
              </w:rPr>
              <w:t>. Dans le cas des installations de combustion</w:t>
            </w:r>
            <w:r w:rsidR="00104855" w:rsidRPr="001443A3">
              <w:rPr>
                <w:color w:val="000000"/>
                <w:lang w:eastAsia="fr-FR"/>
              </w:rPr>
              <w:t xml:space="preserve"> dont l’autorisation a été délivrée </w:t>
            </w:r>
            <w:r w:rsidR="006B21BB" w:rsidRPr="001443A3">
              <w:rPr>
                <w:color w:val="000000"/>
                <w:lang w:eastAsia="fr-FR"/>
              </w:rPr>
              <w:t>avant le</w:t>
            </w:r>
            <w:r w:rsidR="00104855" w:rsidRPr="001443A3">
              <w:rPr>
                <w:color w:val="000000"/>
                <w:lang w:eastAsia="fr-FR"/>
              </w:rPr>
              <w:t xml:space="preserve"> 17 août 2017</w:t>
            </w:r>
            <w:r w:rsidRPr="001443A3">
              <w:rPr>
                <w:color w:val="000000"/>
                <w:lang w:eastAsia="fr-FR"/>
              </w:rPr>
              <w:t>,</w:t>
            </w:r>
            <w:r w:rsidR="00104855" w:rsidRPr="001443A3">
              <w:rPr>
                <w:color w:val="000000"/>
                <w:lang w:eastAsia="fr-FR"/>
              </w:rPr>
              <w:t xml:space="preserve"> </w:t>
            </w:r>
            <w:r w:rsidRPr="001443A3">
              <w:rPr>
                <w:color w:val="000000"/>
                <w:lang w:eastAsia="fr-FR"/>
              </w:rPr>
              <w:t>le type de combustible peut être limité par la configuration et la conception de l'installation</w:t>
            </w:r>
          </w:p>
        </w:tc>
      </w:tr>
    </w:tbl>
    <w:p w14:paraId="4EFD262C" w14:textId="77777777" w:rsidR="00384282" w:rsidRPr="00384282" w:rsidRDefault="00384282" w:rsidP="002B0DC1">
      <w:pPr>
        <w:jc w:val="both"/>
        <w:rPr>
          <w:color w:val="000000"/>
          <w:lang w:eastAsia="fr-FR"/>
        </w:rPr>
      </w:pPr>
    </w:p>
    <w:p w14:paraId="60AE4F42" w14:textId="42B73BB6" w:rsidR="00384282" w:rsidRPr="00384282" w:rsidRDefault="00384282" w:rsidP="002B0DC1">
      <w:pPr>
        <w:jc w:val="both"/>
        <w:rPr>
          <w:color w:val="000000"/>
          <w:lang w:eastAsia="fr-FR"/>
        </w:rPr>
      </w:pPr>
      <w:r>
        <w:rPr>
          <w:color w:val="000000"/>
          <w:lang w:eastAsia="fr-FR"/>
        </w:rPr>
        <w:t>« </w:t>
      </w:r>
      <w:proofErr w:type="gramStart"/>
      <w:r w:rsidRPr="00384282">
        <w:rPr>
          <w:color w:val="000000"/>
          <w:lang w:eastAsia="fr-FR"/>
        </w:rPr>
        <w:t>b</w:t>
      </w:r>
      <w:proofErr w:type="gramEnd"/>
      <w:r w:rsidRPr="00384282">
        <w:rPr>
          <w:color w:val="000000"/>
          <w:lang w:eastAsia="fr-FR"/>
        </w:rPr>
        <w:t xml:space="preserve">) Pour les appareils utilisant comme combustible du charbon ou </w:t>
      </w:r>
      <w:r w:rsidR="007A0870">
        <w:rPr>
          <w:color w:val="000000"/>
          <w:lang w:eastAsia="fr-FR"/>
        </w:rPr>
        <w:t>du</w:t>
      </w:r>
      <w:r w:rsidRPr="00384282">
        <w:rPr>
          <w:color w:val="000000"/>
          <w:lang w:eastAsia="fr-FR"/>
        </w:rPr>
        <w:t xml:space="preserve"> lignite, l’exploitant applique en plus</w:t>
      </w:r>
      <w:r w:rsidR="00691E2B">
        <w:rPr>
          <w:color w:val="000000"/>
          <w:lang w:eastAsia="fr-FR"/>
        </w:rPr>
        <w:t>,</w:t>
      </w:r>
      <w:r w:rsidR="001E10F4">
        <w:rPr>
          <w:color w:val="000000"/>
          <w:lang w:eastAsia="fr-FR"/>
        </w:rPr>
        <w:t xml:space="preserve"> </w:t>
      </w:r>
      <w:r w:rsidRPr="00384282">
        <w:rPr>
          <w:color w:val="000000"/>
          <w:lang w:eastAsia="fr-FR"/>
        </w:rPr>
        <w:t>la technique ci-dessous :</w:t>
      </w:r>
    </w:p>
    <w:p w14:paraId="1A2378B0" w14:textId="77777777" w:rsidR="00384282" w:rsidRPr="00384282" w:rsidRDefault="00384282" w:rsidP="002B0DC1">
      <w:pPr>
        <w:jc w:val="both"/>
        <w:rPr>
          <w:color w:val="000000"/>
          <w:lang w:eastAsia="fr-FR"/>
        </w:rPr>
      </w:pPr>
    </w:p>
    <w:tbl>
      <w:tblPr>
        <w:tblW w:w="9086" w:type="dxa"/>
        <w:jc w:val="center"/>
        <w:tblLayout w:type="fixed"/>
        <w:tblLook w:val="0000" w:firstRow="0" w:lastRow="0" w:firstColumn="0" w:lastColumn="0" w:noHBand="0" w:noVBand="0"/>
      </w:tblPr>
      <w:tblGrid>
        <w:gridCol w:w="373"/>
        <w:gridCol w:w="3024"/>
        <w:gridCol w:w="2835"/>
        <w:gridCol w:w="2854"/>
      </w:tblGrid>
      <w:tr w:rsidR="00384282" w:rsidRPr="00384282" w14:paraId="0C3FD614" w14:textId="77777777" w:rsidTr="005D385E">
        <w:trPr>
          <w:cantSplit/>
          <w:jc w:val="center"/>
        </w:trPr>
        <w:tc>
          <w:tcPr>
            <w:tcW w:w="3397" w:type="dxa"/>
            <w:gridSpan w:val="2"/>
            <w:tcBorders>
              <w:top w:val="single" w:sz="4" w:space="0" w:color="000000"/>
              <w:left w:val="single" w:sz="4" w:space="0" w:color="000000"/>
              <w:bottom w:val="single" w:sz="4" w:space="0" w:color="000000"/>
            </w:tcBorders>
            <w:shd w:val="clear" w:color="auto" w:fill="auto"/>
          </w:tcPr>
          <w:p w14:paraId="5DD9A604" w14:textId="77777777" w:rsidR="00384282" w:rsidRPr="00384282" w:rsidRDefault="00384282" w:rsidP="002B0DC1">
            <w:pPr>
              <w:widowControl w:val="0"/>
              <w:jc w:val="center"/>
              <w:rPr>
                <w:color w:val="000000"/>
                <w:lang w:eastAsia="fr-FR"/>
              </w:rPr>
            </w:pPr>
            <w:r w:rsidRPr="00384282">
              <w:rPr>
                <w:color w:val="000000"/>
                <w:lang w:eastAsia="fr-FR"/>
              </w:rPr>
              <w:t>Technique</w:t>
            </w:r>
          </w:p>
        </w:tc>
        <w:tc>
          <w:tcPr>
            <w:tcW w:w="2835" w:type="dxa"/>
            <w:tcBorders>
              <w:top w:val="single" w:sz="4" w:space="0" w:color="000000"/>
              <w:left w:val="single" w:sz="4" w:space="0" w:color="000000"/>
              <w:bottom w:val="single" w:sz="4" w:space="0" w:color="000000"/>
            </w:tcBorders>
            <w:shd w:val="clear" w:color="auto" w:fill="auto"/>
            <w:vAlign w:val="center"/>
          </w:tcPr>
          <w:p w14:paraId="01C2DC7F" w14:textId="77777777" w:rsidR="00384282" w:rsidRPr="00384282" w:rsidRDefault="00384282" w:rsidP="002B0DC1">
            <w:pPr>
              <w:widowControl w:val="0"/>
              <w:jc w:val="center"/>
              <w:rPr>
                <w:color w:val="000000"/>
                <w:lang w:eastAsia="fr-FR"/>
              </w:rPr>
            </w:pPr>
            <w:r w:rsidRPr="00384282">
              <w:rPr>
                <w:color w:val="000000"/>
                <w:lang w:eastAsia="fr-FR"/>
              </w:rPr>
              <w:t>Description</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19CF9" w14:textId="77777777" w:rsidR="00384282" w:rsidRPr="00384282" w:rsidRDefault="00384282" w:rsidP="002B0DC1">
            <w:pPr>
              <w:widowControl w:val="0"/>
              <w:jc w:val="center"/>
              <w:rPr>
                <w:color w:val="000000"/>
                <w:lang w:eastAsia="fr-FR"/>
              </w:rPr>
            </w:pPr>
            <w:r w:rsidRPr="00384282">
              <w:rPr>
                <w:color w:val="000000"/>
                <w:lang w:eastAsia="fr-FR"/>
              </w:rPr>
              <w:t>Applicabilité</w:t>
            </w:r>
          </w:p>
        </w:tc>
      </w:tr>
      <w:tr w:rsidR="00384282" w:rsidRPr="00384282" w14:paraId="232CA6EE" w14:textId="77777777" w:rsidTr="005D385E">
        <w:trPr>
          <w:cantSplit/>
          <w:jc w:val="center"/>
        </w:trPr>
        <w:tc>
          <w:tcPr>
            <w:tcW w:w="373" w:type="dxa"/>
            <w:tcBorders>
              <w:top w:val="single" w:sz="4" w:space="0" w:color="000000"/>
              <w:left w:val="single" w:sz="4" w:space="0" w:color="000000"/>
              <w:bottom w:val="single" w:sz="4" w:space="0" w:color="000000"/>
              <w:right w:val="single" w:sz="4" w:space="0" w:color="auto"/>
            </w:tcBorders>
            <w:shd w:val="clear" w:color="auto" w:fill="auto"/>
            <w:vAlign w:val="center"/>
          </w:tcPr>
          <w:p w14:paraId="08046AAD" w14:textId="77777777" w:rsidR="00384282" w:rsidRPr="00384282" w:rsidRDefault="00384282" w:rsidP="002B0DC1">
            <w:pPr>
              <w:widowControl w:val="0"/>
              <w:jc w:val="center"/>
              <w:rPr>
                <w:color w:val="000000"/>
                <w:lang w:eastAsia="fr-FR"/>
              </w:rPr>
            </w:pPr>
            <w:proofErr w:type="gramStart"/>
            <w:r w:rsidRPr="00384282">
              <w:rPr>
                <w:color w:val="000000"/>
                <w:lang w:eastAsia="fr-FR"/>
              </w:rPr>
              <w:t>a</w:t>
            </w:r>
            <w:proofErr w:type="gramEnd"/>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2C7D252C" w14:textId="3CBD3C18" w:rsidR="00384282" w:rsidRPr="00384282" w:rsidRDefault="00384282" w:rsidP="002B0DC1">
            <w:pPr>
              <w:widowControl w:val="0"/>
              <w:jc w:val="both"/>
              <w:rPr>
                <w:color w:val="000000"/>
                <w:lang w:eastAsia="fr-FR"/>
              </w:rPr>
            </w:pPr>
            <w:r w:rsidRPr="00384282">
              <w:t xml:space="preserve">Procédé de combustion intégrée garantissant un haut rendement de la chaudière et incluant des techniques primaires de réduction des émissions de </w:t>
            </w:r>
            <w:r w:rsidR="005D64EA" w:rsidRPr="00384282">
              <w:t>NO</w:t>
            </w:r>
            <w:r w:rsidR="005D64EA">
              <w:t>x</w:t>
            </w:r>
            <w:r w:rsidR="005D64EA" w:rsidRPr="00384282">
              <w:t xml:space="preserve"> </w:t>
            </w:r>
            <w:r w:rsidRPr="00384282">
              <w:t xml:space="preserve">(par exemple, étagement de l'air, étagement du combustible, brûleurs bas </w:t>
            </w:r>
            <w:r w:rsidR="005D64EA" w:rsidRPr="00384282">
              <w:t>NO</w:t>
            </w:r>
            <w:r w:rsidR="005D64EA">
              <w:t>x</w:t>
            </w:r>
            <w:r w:rsidR="005D64EA" w:rsidRPr="00384282">
              <w:t xml:space="preserve"> </w:t>
            </w:r>
            <w:r w:rsidRPr="00384282">
              <w:t>ou recyclag</w:t>
            </w:r>
            <w:r w:rsidR="00416D07">
              <w:t>e</w:t>
            </w:r>
            <w:r w:rsidR="005D64EA">
              <w:t xml:space="preserve"> des fumées)</w:t>
            </w:r>
            <w:r w:rsidR="00691E2B">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07D6E9" w14:textId="77777777" w:rsidR="00384282" w:rsidRPr="00384282" w:rsidRDefault="00384282" w:rsidP="002B0DC1">
            <w:pPr>
              <w:widowControl w:val="0"/>
              <w:jc w:val="both"/>
              <w:rPr>
                <w:color w:val="000000"/>
                <w:lang w:eastAsia="fr-FR"/>
              </w:rPr>
            </w:pPr>
            <w:r w:rsidRPr="00384282">
              <w:t>Des procédés de combustion tels que la combustion de charbon sous forme pulvérisée, la combustion en lit fluidisé ou en couche permettent cette intégration.</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3FCC7EE3" w14:textId="77777777" w:rsidR="00384282" w:rsidRPr="00384282" w:rsidRDefault="00384282" w:rsidP="002B0DC1">
            <w:pPr>
              <w:widowControl w:val="0"/>
              <w:jc w:val="both"/>
              <w:rPr>
                <w:color w:val="000000"/>
                <w:lang w:eastAsia="fr-FR"/>
              </w:rPr>
            </w:pPr>
            <w:r w:rsidRPr="00384282">
              <w:t>Applicable d'une manière générale</w:t>
            </w:r>
          </w:p>
        </w:tc>
      </w:tr>
    </w:tbl>
    <w:p w14:paraId="030CB17C" w14:textId="2A27FF56" w:rsidR="00384282" w:rsidRDefault="00384282" w:rsidP="002B0DC1">
      <w:pPr>
        <w:jc w:val="both"/>
        <w:rPr>
          <w:color w:val="000000"/>
          <w:lang w:eastAsia="fr-FR"/>
        </w:rPr>
      </w:pPr>
    </w:p>
    <w:p w14:paraId="650D15E1" w14:textId="0BA519BF" w:rsidR="00416D07" w:rsidRPr="00416D07" w:rsidRDefault="00416D07" w:rsidP="002B0DC1">
      <w:pPr>
        <w:suppressAutoHyphens w:val="0"/>
        <w:jc w:val="both"/>
        <w:rPr>
          <w:color w:val="000000"/>
          <w:lang w:eastAsia="fr-FR"/>
        </w:rPr>
      </w:pPr>
      <w:r>
        <w:rPr>
          <w:color w:val="000000"/>
          <w:lang w:eastAsia="fr-FR"/>
        </w:rPr>
        <w:t>« </w:t>
      </w:r>
      <w:proofErr w:type="gramStart"/>
      <w:r w:rsidRPr="00416D07">
        <w:rPr>
          <w:color w:val="000000"/>
          <w:lang w:eastAsia="fr-FR"/>
        </w:rPr>
        <w:t>c</w:t>
      </w:r>
      <w:proofErr w:type="gramEnd"/>
      <w:r w:rsidRPr="00416D07">
        <w:rPr>
          <w:color w:val="000000"/>
          <w:lang w:eastAsia="fr-FR"/>
        </w:rPr>
        <w:t>) Pour les turbines utilisant comme combustible du fioul domestique, l’exploitant applique en plus, l</w:t>
      </w:r>
      <w:r>
        <w:rPr>
          <w:color w:val="000000"/>
          <w:lang w:eastAsia="fr-FR"/>
        </w:rPr>
        <w:t>es</w:t>
      </w:r>
      <w:r w:rsidRPr="00416D07">
        <w:rPr>
          <w:color w:val="000000"/>
          <w:lang w:eastAsia="fr-FR"/>
        </w:rPr>
        <w:t xml:space="preserve"> technique</w:t>
      </w:r>
      <w:r>
        <w:rPr>
          <w:color w:val="000000"/>
          <w:lang w:eastAsia="fr-FR"/>
        </w:rPr>
        <w:t>s</w:t>
      </w:r>
      <w:r w:rsidRPr="00416D07">
        <w:rPr>
          <w:color w:val="000000"/>
          <w:lang w:eastAsia="fr-FR"/>
        </w:rPr>
        <w:t xml:space="preserve"> ci-dessous :</w:t>
      </w:r>
    </w:p>
    <w:p w14:paraId="420D533F" w14:textId="77777777" w:rsidR="00416D07" w:rsidRPr="00416D07" w:rsidRDefault="00416D07" w:rsidP="002B0DC1">
      <w:pPr>
        <w:suppressAutoHyphens w:val="0"/>
        <w:jc w:val="both"/>
        <w:rPr>
          <w:color w:val="000000"/>
          <w:lang w:eastAsia="fr-FR"/>
        </w:rPr>
      </w:pPr>
    </w:p>
    <w:tbl>
      <w:tblPr>
        <w:tblW w:w="9086" w:type="dxa"/>
        <w:jc w:val="center"/>
        <w:tblLayout w:type="fixed"/>
        <w:tblLook w:val="0000" w:firstRow="0" w:lastRow="0" w:firstColumn="0" w:lastColumn="0" w:noHBand="0" w:noVBand="0"/>
      </w:tblPr>
      <w:tblGrid>
        <w:gridCol w:w="373"/>
        <w:gridCol w:w="3024"/>
        <w:gridCol w:w="2835"/>
        <w:gridCol w:w="2854"/>
      </w:tblGrid>
      <w:tr w:rsidR="00416D07" w:rsidRPr="00416D07" w14:paraId="22E2F269" w14:textId="77777777" w:rsidTr="00EB1C7F">
        <w:trPr>
          <w:cantSplit/>
          <w:jc w:val="center"/>
        </w:trPr>
        <w:tc>
          <w:tcPr>
            <w:tcW w:w="3397" w:type="dxa"/>
            <w:gridSpan w:val="2"/>
            <w:tcBorders>
              <w:top w:val="single" w:sz="4" w:space="0" w:color="000000"/>
              <w:left w:val="single" w:sz="4" w:space="0" w:color="000000"/>
              <w:bottom w:val="single" w:sz="4" w:space="0" w:color="000000"/>
            </w:tcBorders>
            <w:shd w:val="clear" w:color="auto" w:fill="auto"/>
          </w:tcPr>
          <w:p w14:paraId="143F710E" w14:textId="77777777" w:rsidR="00416D07" w:rsidRPr="00416D07" w:rsidRDefault="00416D07" w:rsidP="002B0DC1">
            <w:pPr>
              <w:widowControl w:val="0"/>
              <w:suppressAutoHyphens w:val="0"/>
              <w:jc w:val="center"/>
              <w:rPr>
                <w:color w:val="000000"/>
                <w:sz w:val="22"/>
                <w:szCs w:val="22"/>
                <w:lang w:eastAsia="fr-FR"/>
              </w:rPr>
            </w:pPr>
            <w:r w:rsidRPr="00416D07">
              <w:rPr>
                <w:color w:val="000000"/>
                <w:sz w:val="22"/>
                <w:szCs w:val="22"/>
                <w:lang w:eastAsia="fr-FR"/>
              </w:rPr>
              <w:t>Technique</w:t>
            </w:r>
          </w:p>
        </w:tc>
        <w:tc>
          <w:tcPr>
            <w:tcW w:w="2835" w:type="dxa"/>
            <w:tcBorders>
              <w:top w:val="single" w:sz="4" w:space="0" w:color="000000"/>
              <w:left w:val="single" w:sz="4" w:space="0" w:color="000000"/>
              <w:bottom w:val="single" w:sz="4" w:space="0" w:color="000000"/>
            </w:tcBorders>
            <w:shd w:val="clear" w:color="auto" w:fill="auto"/>
            <w:vAlign w:val="center"/>
          </w:tcPr>
          <w:p w14:paraId="60E0DF68" w14:textId="77777777" w:rsidR="00416D07" w:rsidRPr="00416D07" w:rsidRDefault="00416D07" w:rsidP="002B0DC1">
            <w:pPr>
              <w:widowControl w:val="0"/>
              <w:suppressAutoHyphens w:val="0"/>
              <w:jc w:val="center"/>
              <w:rPr>
                <w:color w:val="000000"/>
                <w:sz w:val="22"/>
                <w:szCs w:val="22"/>
                <w:lang w:eastAsia="fr-FR"/>
              </w:rPr>
            </w:pPr>
            <w:r w:rsidRPr="00416D07">
              <w:rPr>
                <w:color w:val="000000"/>
                <w:sz w:val="22"/>
                <w:szCs w:val="22"/>
                <w:lang w:eastAsia="fr-FR"/>
              </w:rPr>
              <w:t>Description</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770E6" w14:textId="77777777" w:rsidR="00416D07" w:rsidRPr="00416D07" w:rsidRDefault="00416D07" w:rsidP="002B0DC1">
            <w:pPr>
              <w:widowControl w:val="0"/>
              <w:suppressAutoHyphens w:val="0"/>
              <w:jc w:val="center"/>
              <w:rPr>
                <w:color w:val="000000"/>
                <w:sz w:val="22"/>
                <w:szCs w:val="22"/>
                <w:lang w:eastAsia="fr-FR"/>
              </w:rPr>
            </w:pPr>
            <w:r w:rsidRPr="00416D07">
              <w:rPr>
                <w:color w:val="000000"/>
                <w:sz w:val="22"/>
                <w:szCs w:val="22"/>
                <w:lang w:eastAsia="fr-FR"/>
              </w:rPr>
              <w:t>Applicabilité</w:t>
            </w:r>
          </w:p>
        </w:tc>
      </w:tr>
      <w:tr w:rsidR="00416D07" w:rsidRPr="00416D07" w14:paraId="5492901C" w14:textId="77777777" w:rsidTr="00EB1C7F">
        <w:trPr>
          <w:cantSplit/>
          <w:jc w:val="center"/>
        </w:trPr>
        <w:tc>
          <w:tcPr>
            <w:tcW w:w="37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7A6B3A" w14:textId="77777777" w:rsidR="00416D07" w:rsidRPr="00416D07" w:rsidRDefault="00416D07" w:rsidP="002B0DC1">
            <w:pPr>
              <w:widowControl w:val="0"/>
              <w:suppressAutoHyphens w:val="0"/>
              <w:jc w:val="center"/>
              <w:rPr>
                <w:color w:val="000000"/>
                <w:sz w:val="22"/>
                <w:szCs w:val="22"/>
                <w:lang w:eastAsia="fr-FR"/>
              </w:rPr>
            </w:pPr>
            <w:proofErr w:type="gramStart"/>
            <w:r w:rsidRPr="00416D07">
              <w:rPr>
                <w:color w:val="000000"/>
                <w:sz w:val="22"/>
                <w:szCs w:val="22"/>
                <w:lang w:eastAsia="fr-FR"/>
              </w:rPr>
              <w:t>a</w:t>
            </w:r>
            <w:proofErr w:type="gramEnd"/>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2E707C0B" w14:textId="77777777" w:rsidR="00416D07" w:rsidRPr="00416D07" w:rsidRDefault="00416D07" w:rsidP="002B0DC1">
            <w:pPr>
              <w:widowControl w:val="0"/>
              <w:suppressAutoHyphens w:val="0"/>
              <w:jc w:val="both"/>
              <w:rPr>
                <w:color w:val="000000"/>
                <w:sz w:val="22"/>
                <w:szCs w:val="22"/>
                <w:lang w:eastAsia="fr-FR"/>
              </w:rPr>
            </w:pPr>
            <w:r w:rsidRPr="00416D07">
              <w:rPr>
                <w:rFonts w:eastAsiaTheme="minorHAnsi"/>
                <w:sz w:val="22"/>
                <w:szCs w:val="22"/>
                <w:lang w:eastAsia="en-US"/>
              </w:rPr>
              <w:t>Optimisation de la combustion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538219" w14:textId="77777777" w:rsidR="00416D07" w:rsidRPr="00416D07" w:rsidRDefault="00416D07" w:rsidP="002B0DC1">
            <w:pPr>
              <w:widowControl w:val="0"/>
              <w:suppressAutoHyphens w:val="0"/>
              <w:jc w:val="both"/>
              <w:rPr>
                <w:color w:val="000000"/>
                <w:sz w:val="22"/>
                <w:szCs w:val="22"/>
                <w:lang w:eastAsia="fr-FR"/>
              </w:rPr>
            </w:pPr>
            <w:r w:rsidRPr="00416D07">
              <w:rPr>
                <w:color w:val="000000"/>
                <w:sz w:val="22"/>
                <w:szCs w:val="22"/>
                <w:lang w:eastAsia="fr-FR"/>
              </w:rPr>
              <w:t>Mesures prises pour maximiser l'efficacité de la conversion d'énergie, notamment dans le four ou la chaudière, tout en réduisant au minimum les émissions (de CO en particulier). On applique à cet effet une combinaison de techniques telles que la bonne conception des équipements de combustion, l'optimisation de la température (mélange efficace du combustible et de l'air de combustion) et du temps de séjour dans la zone de combustion et l'utilisation d'un système de contrôle avancé.</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1AB2B33B" w14:textId="77777777" w:rsidR="00416D07" w:rsidRPr="00416D07" w:rsidRDefault="00416D07" w:rsidP="002B0DC1">
            <w:pPr>
              <w:widowControl w:val="0"/>
              <w:suppressAutoHyphens w:val="0"/>
              <w:jc w:val="both"/>
              <w:rPr>
                <w:color w:val="000000"/>
                <w:sz w:val="22"/>
                <w:szCs w:val="22"/>
                <w:lang w:eastAsia="fr-FR"/>
              </w:rPr>
            </w:pPr>
            <w:r w:rsidRPr="00416D07">
              <w:rPr>
                <w:rFonts w:eastAsiaTheme="minorHAnsi"/>
                <w:sz w:val="22"/>
                <w:szCs w:val="22"/>
                <w:lang w:eastAsia="en-US"/>
              </w:rPr>
              <w:t>Applicable d'une manière générale</w:t>
            </w:r>
          </w:p>
        </w:tc>
      </w:tr>
      <w:tr w:rsidR="00416D07" w:rsidRPr="00416D07" w14:paraId="74CB944A" w14:textId="77777777" w:rsidTr="00EB1C7F">
        <w:trPr>
          <w:cantSplit/>
          <w:jc w:val="center"/>
        </w:trPr>
        <w:tc>
          <w:tcPr>
            <w:tcW w:w="37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AF6C6C" w14:textId="77777777" w:rsidR="00416D07" w:rsidRPr="00416D07" w:rsidRDefault="00416D07" w:rsidP="002B0DC1">
            <w:pPr>
              <w:widowControl w:val="0"/>
              <w:suppressAutoHyphens w:val="0"/>
              <w:jc w:val="center"/>
              <w:rPr>
                <w:color w:val="000000"/>
                <w:sz w:val="22"/>
                <w:szCs w:val="22"/>
                <w:lang w:eastAsia="fr-FR"/>
              </w:rPr>
            </w:pPr>
            <w:proofErr w:type="gramStart"/>
            <w:r w:rsidRPr="00416D07">
              <w:rPr>
                <w:color w:val="000000"/>
                <w:sz w:val="22"/>
                <w:szCs w:val="22"/>
                <w:lang w:eastAsia="fr-FR"/>
              </w:rPr>
              <w:t>b</w:t>
            </w:r>
            <w:proofErr w:type="gramEnd"/>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5DF3471" w14:textId="77777777" w:rsidR="00416D07" w:rsidRPr="00416D07" w:rsidRDefault="00416D07" w:rsidP="002B0DC1">
            <w:pPr>
              <w:widowControl w:val="0"/>
              <w:suppressAutoHyphens w:val="0"/>
              <w:jc w:val="both"/>
              <w:rPr>
                <w:rFonts w:eastAsiaTheme="minorHAnsi"/>
                <w:sz w:val="22"/>
                <w:szCs w:val="22"/>
                <w:lang w:eastAsia="en-US"/>
              </w:rPr>
            </w:pPr>
            <w:r w:rsidRPr="00416D07">
              <w:rPr>
                <w:rFonts w:eastAsiaTheme="minorHAnsi"/>
                <w:sz w:val="22"/>
                <w:szCs w:val="22"/>
                <w:lang w:eastAsia="en-US"/>
              </w:rPr>
              <w:t>Catalyseurs d'oxydation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EB9848" w14:textId="77777777" w:rsidR="00416D07" w:rsidRPr="00416D07" w:rsidRDefault="00416D07" w:rsidP="002B0DC1">
            <w:pPr>
              <w:widowControl w:val="0"/>
              <w:suppressAutoHyphens w:val="0"/>
              <w:jc w:val="both"/>
              <w:rPr>
                <w:rFonts w:eastAsiaTheme="minorHAnsi"/>
                <w:sz w:val="22"/>
                <w:szCs w:val="22"/>
                <w:lang w:eastAsia="en-US"/>
              </w:rPr>
            </w:pPr>
            <w:r w:rsidRPr="00416D07">
              <w:rPr>
                <w:rFonts w:eastAsiaTheme="minorHAnsi"/>
                <w:sz w:val="22"/>
                <w:szCs w:val="22"/>
                <w:lang w:eastAsia="en-US"/>
              </w:rPr>
              <w:t>Utilisation de catalyseurs (qui contiennent généralement des métaux précieux comme le palladium ou le platine) pour oxyder le monoxyde de carbone et les hydrocarbures imbrûlés à l'aide d'oxygène afin d'obtenir du CO</w:t>
            </w:r>
            <w:r w:rsidRPr="00691E2B">
              <w:rPr>
                <w:rFonts w:eastAsiaTheme="minorHAnsi"/>
                <w:sz w:val="22"/>
                <w:szCs w:val="22"/>
                <w:vertAlign w:val="subscript"/>
                <w:lang w:eastAsia="en-US"/>
              </w:rPr>
              <w:t>2</w:t>
            </w:r>
            <w:r w:rsidRPr="00416D07">
              <w:rPr>
                <w:rFonts w:eastAsiaTheme="minorHAnsi"/>
                <w:sz w:val="22"/>
                <w:szCs w:val="22"/>
                <w:lang w:eastAsia="en-US"/>
              </w:rPr>
              <w:t xml:space="preserve"> et de la vapeur d'eau.</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0F3DFC11" w14:textId="77777777" w:rsidR="00416D07" w:rsidRPr="00416D07" w:rsidRDefault="00416D07" w:rsidP="002B0DC1">
            <w:pPr>
              <w:widowControl w:val="0"/>
              <w:suppressAutoHyphens w:val="0"/>
              <w:jc w:val="both"/>
              <w:rPr>
                <w:rFonts w:eastAsiaTheme="minorHAnsi"/>
                <w:sz w:val="22"/>
                <w:szCs w:val="22"/>
                <w:lang w:eastAsia="en-US"/>
              </w:rPr>
            </w:pPr>
            <w:r w:rsidRPr="00416D07">
              <w:rPr>
                <w:rFonts w:eastAsiaTheme="minorHAnsi"/>
                <w:sz w:val="22"/>
                <w:szCs w:val="22"/>
                <w:lang w:eastAsia="en-US"/>
              </w:rPr>
              <w:t>Non applicable aux installations de combustion exploitées moins de 500 h/an.</w:t>
            </w:r>
          </w:p>
          <w:p w14:paraId="57FBDFF5" w14:textId="0A7A8A8A" w:rsidR="00416D07" w:rsidRPr="00416D07" w:rsidRDefault="00416D07" w:rsidP="002B0DC1">
            <w:pPr>
              <w:widowControl w:val="0"/>
              <w:suppressAutoHyphens w:val="0"/>
              <w:jc w:val="both"/>
              <w:rPr>
                <w:rFonts w:eastAsiaTheme="minorHAnsi"/>
                <w:sz w:val="22"/>
                <w:szCs w:val="22"/>
                <w:lang w:eastAsia="en-US"/>
              </w:rPr>
            </w:pPr>
            <w:r w:rsidRPr="00416D07">
              <w:rPr>
                <w:rFonts w:eastAsiaTheme="minorHAnsi"/>
                <w:sz w:val="22"/>
                <w:szCs w:val="22"/>
                <w:lang w:eastAsia="en-US"/>
              </w:rPr>
              <w:t xml:space="preserve">La rénovation des installations de combustion </w:t>
            </w:r>
            <w:r w:rsidR="00104855" w:rsidRPr="00104855">
              <w:rPr>
                <w:rFonts w:eastAsiaTheme="minorHAnsi"/>
                <w:sz w:val="22"/>
                <w:szCs w:val="22"/>
                <w:lang w:eastAsia="en-US"/>
              </w:rPr>
              <w:t>dont l’autorisation a été délivré</w:t>
            </w:r>
            <w:r w:rsidR="00C40620">
              <w:rPr>
                <w:rFonts w:eastAsiaTheme="minorHAnsi"/>
                <w:sz w:val="22"/>
                <w:szCs w:val="22"/>
                <w:lang w:eastAsia="en-US"/>
              </w:rPr>
              <w:t>e</w:t>
            </w:r>
            <w:r w:rsidR="00104855" w:rsidRPr="00104855">
              <w:rPr>
                <w:rFonts w:eastAsiaTheme="minorHAnsi"/>
                <w:sz w:val="22"/>
                <w:szCs w:val="22"/>
                <w:lang w:eastAsia="en-US"/>
              </w:rPr>
              <w:t xml:space="preserve"> </w:t>
            </w:r>
            <w:r w:rsidR="006B21BB">
              <w:rPr>
                <w:rFonts w:eastAsiaTheme="minorHAnsi"/>
                <w:sz w:val="22"/>
                <w:szCs w:val="22"/>
                <w:lang w:eastAsia="en-US"/>
              </w:rPr>
              <w:t>avant le</w:t>
            </w:r>
            <w:r w:rsidR="00104855" w:rsidRPr="00104855">
              <w:rPr>
                <w:rFonts w:eastAsiaTheme="minorHAnsi"/>
                <w:sz w:val="22"/>
                <w:szCs w:val="22"/>
                <w:lang w:eastAsia="en-US"/>
              </w:rPr>
              <w:t xml:space="preserve"> 17 août 20</w:t>
            </w:r>
            <w:r w:rsidR="00104855">
              <w:rPr>
                <w:rFonts w:eastAsiaTheme="minorHAnsi"/>
                <w:sz w:val="22"/>
                <w:szCs w:val="22"/>
                <w:lang w:eastAsia="en-US"/>
              </w:rPr>
              <w:t>17</w:t>
            </w:r>
            <w:r w:rsidRPr="00416D07">
              <w:rPr>
                <w:rFonts w:eastAsiaTheme="minorHAnsi"/>
                <w:sz w:val="22"/>
                <w:szCs w:val="22"/>
                <w:lang w:eastAsia="en-US"/>
              </w:rPr>
              <w:t>peut être limitée par des contraintes d'espace.</w:t>
            </w:r>
          </w:p>
        </w:tc>
      </w:tr>
    </w:tbl>
    <w:p w14:paraId="4104D65D" w14:textId="77777777" w:rsidR="00416D07" w:rsidRPr="00416D07" w:rsidRDefault="00416D07" w:rsidP="002B0DC1">
      <w:pPr>
        <w:suppressAutoHyphens w:val="0"/>
        <w:jc w:val="both"/>
        <w:rPr>
          <w:color w:val="000000"/>
          <w:lang w:eastAsia="fr-FR"/>
        </w:rPr>
      </w:pPr>
    </w:p>
    <w:p w14:paraId="29F318EB" w14:textId="61F58C9F" w:rsidR="007330CF" w:rsidRPr="007330CF" w:rsidRDefault="007330CF" w:rsidP="002B0DC1">
      <w:pPr>
        <w:suppressAutoHyphens w:val="0"/>
        <w:jc w:val="both"/>
        <w:rPr>
          <w:color w:val="000000"/>
          <w:lang w:eastAsia="fr-FR"/>
        </w:rPr>
      </w:pPr>
      <w:r w:rsidRPr="007330CF">
        <w:rPr>
          <w:color w:val="000000"/>
          <w:lang w:eastAsia="fr-FR"/>
        </w:rPr>
        <w:t>« Et les techniques ci-dessous pour réduire ses émissions de NOx :</w:t>
      </w:r>
    </w:p>
    <w:p w14:paraId="6E0FC696" w14:textId="77777777" w:rsidR="007330CF" w:rsidRPr="007330CF" w:rsidRDefault="007330CF" w:rsidP="002B0DC1">
      <w:pPr>
        <w:suppressAutoHyphens w:val="0"/>
        <w:jc w:val="both"/>
        <w:rPr>
          <w:rFonts w:ascii="Arial" w:hAnsi="Arial" w:cs="Arial"/>
          <w:color w:val="000000"/>
          <w:sz w:val="21"/>
          <w:szCs w:val="21"/>
          <w:lang w:eastAsia="fr-FR"/>
        </w:rPr>
      </w:pPr>
    </w:p>
    <w:tbl>
      <w:tblPr>
        <w:tblW w:w="9086" w:type="dxa"/>
        <w:jc w:val="center"/>
        <w:tblLayout w:type="fixed"/>
        <w:tblLook w:val="0000" w:firstRow="0" w:lastRow="0" w:firstColumn="0" w:lastColumn="0" w:noHBand="0" w:noVBand="0"/>
      </w:tblPr>
      <w:tblGrid>
        <w:gridCol w:w="373"/>
        <w:gridCol w:w="2883"/>
        <w:gridCol w:w="3118"/>
        <w:gridCol w:w="2712"/>
      </w:tblGrid>
      <w:tr w:rsidR="007330CF" w:rsidRPr="007330CF" w14:paraId="2D3825A2" w14:textId="77777777" w:rsidTr="00EB1C7F">
        <w:trPr>
          <w:cantSplit/>
          <w:jc w:val="center"/>
        </w:trPr>
        <w:tc>
          <w:tcPr>
            <w:tcW w:w="3256" w:type="dxa"/>
            <w:gridSpan w:val="2"/>
            <w:tcBorders>
              <w:top w:val="single" w:sz="4" w:space="0" w:color="000000"/>
              <w:left w:val="single" w:sz="4" w:space="0" w:color="000000"/>
              <w:bottom w:val="single" w:sz="4" w:space="0" w:color="000000"/>
            </w:tcBorders>
            <w:shd w:val="clear" w:color="auto" w:fill="auto"/>
          </w:tcPr>
          <w:p w14:paraId="6E4252D0" w14:textId="77777777" w:rsidR="007330CF" w:rsidRPr="007330CF" w:rsidRDefault="007330CF" w:rsidP="002B0DC1">
            <w:pPr>
              <w:widowControl w:val="0"/>
              <w:suppressAutoHyphens w:val="0"/>
              <w:jc w:val="center"/>
              <w:rPr>
                <w:color w:val="000000"/>
                <w:sz w:val="22"/>
                <w:szCs w:val="22"/>
                <w:lang w:eastAsia="fr-FR"/>
              </w:rPr>
            </w:pPr>
            <w:r w:rsidRPr="007330CF">
              <w:rPr>
                <w:color w:val="000000"/>
                <w:sz w:val="22"/>
                <w:szCs w:val="22"/>
                <w:lang w:eastAsia="fr-FR"/>
              </w:rPr>
              <w:t>Technique</w:t>
            </w:r>
          </w:p>
        </w:tc>
        <w:tc>
          <w:tcPr>
            <w:tcW w:w="3118" w:type="dxa"/>
            <w:tcBorders>
              <w:top w:val="single" w:sz="4" w:space="0" w:color="000000"/>
              <w:left w:val="single" w:sz="4" w:space="0" w:color="000000"/>
              <w:bottom w:val="single" w:sz="4" w:space="0" w:color="000000"/>
            </w:tcBorders>
            <w:shd w:val="clear" w:color="auto" w:fill="auto"/>
            <w:vAlign w:val="center"/>
          </w:tcPr>
          <w:p w14:paraId="016FEC2E" w14:textId="77777777" w:rsidR="007330CF" w:rsidRPr="007330CF" w:rsidRDefault="007330CF" w:rsidP="002B0DC1">
            <w:pPr>
              <w:widowControl w:val="0"/>
              <w:suppressAutoHyphens w:val="0"/>
              <w:jc w:val="center"/>
              <w:rPr>
                <w:color w:val="000000"/>
                <w:sz w:val="22"/>
                <w:szCs w:val="22"/>
                <w:lang w:eastAsia="fr-FR"/>
              </w:rPr>
            </w:pPr>
            <w:r w:rsidRPr="007330CF">
              <w:rPr>
                <w:color w:val="000000"/>
                <w:sz w:val="22"/>
                <w:szCs w:val="22"/>
                <w:lang w:eastAsia="fr-FR"/>
              </w:rPr>
              <w:t>Description</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4281" w14:textId="77777777" w:rsidR="007330CF" w:rsidRPr="007330CF" w:rsidRDefault="007330CF" w:rsidP="002B0DC1">
            <w:pPr>
              <w:widowControl w:val="0"/>
              <w:suppressAutoHyphens w:val="0"/>
              <w:jc w:val="center"/>
              <w:rPr>
                <w:color w:val="000000"/>
                <w:sz w:val="22"/>
                <w:szCs w:val="22"/>
                <w:lang w:eastAsia="fr-FR"/>
              </w:rPr>
            </w:pPr>
            <w:r w:rsidRPr="007330CF">
              <w:rPr>
                <w:color w:val="000000"/>
                <w:sz w:val="22"/>
                <w:szCs w:val="22"/>
                <w:lang w:eastAsia="fr-FR"/>
              </w:rPr>
              <w:t>Applicabilité</w:t>
            </w:r>
          </w:p>
        </w:tc>
      </w:tr>
      <w:tr w:rsidR="007330CF" w:rsidRPr="007330CF" w14:paraId="3455D403" w14:textId="77777777" w:rsidTr="00EB1C7F">
        <w:trPr>
          <w:cantSplit/>
          <w:jc w:val="center"/>
        </w:trPr>
        <w:tc>
          <w:tcPr>
            <w:tcW w:w="37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0883D4" w14:textId="77777777" w:rsidR="007330CF" w:rsidRPr="007330CF" w:rsidRDefault="007330CF" w:rsidP="002B0DC1">
            <w:pPr>
              <w:widowControl w:val="0"/>
              <w:suppressAutoHyphens w:val="0"/>
              <w:jc w:val="center"/>
              <w:rPr>
                <w:color w:val="000000"/>
                <w:sz w:val="22"/>
                <w:szCs w:val="22"/>
                <w:lang w:eastAsia="fr-FR"/>
              </w:rPr>
            </w:pPr>
            <w:proofErr w:type="gramStart"/>
            <w:r w:rsidRPr="007330CF">
              <w:rPr>
                <w:color w:val="000000"/>
                <w:sz w:val="22"/>
                <w:szCs w:val="22"/>
                <w:lang w:eastAsia="fr-FR"/>
              </w:rPr>
              <w:t>a</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07B63CE7" w14:textId="77777777" w:rsidR="007330CF" w:rsidRPr="007330CF" w:rsidRDefault="007330CF" w:rsidP="002B0DC1">
            <w:pPr>
              <w:widowControl w:val="0"/>
              <w:suppressAutoHyphens w:val="0"/>
              <w:jc w:val="both"/>
              <w:rPr>
                <w:color w:val="000000"/>
                <w:sz w:val="22"/>
                <w:szCs w:val="22"/>
                <w:lang w:eastAsia="fr-FR"/>
              </w:rPr>
            </w:pPr>
            <w:r w:rsidRPr="007330CF">
              <w:rPr>
                <w:color w:val="000000"/>
                <w:sz w:val="22"/>
                <w:szCs w:val="22"/>
                <w:lang w:eastAsia="fr-FR"/>
              </w:rPr>
              <w:t>Ajout d'eau/vapeur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4B1812" w14:textId="750D4185" w:rsidR="007330CF" w:rsidRPr="007330CF" w:rsidRDefault="007330CF" w:rsidP="002B0DC1">
            <w:pPr>
              <w:widowControl w:val="0"/>
              <w:suppressAutoHyphens w:val="0"/>
              <w:jc w:val="both"/>
              <w:rPr>
                <w:color w:val="000000"/>
                <w:sz w:val="22"/>
                <w:szCs w:val="22"/>
                <w:lang w:eastAsia="fr-FR"/>
              </w:rPr>
            </w:pPr>
            <w:r w:rsidRPr="007330CF">
              <w:rPr>
                <w:color w:val="000000"/>
                <w:sz w:val="22"/>
                <w:szCs w:val="22"/>
                <w:lang w:eastAsia="fr-FR"/>
              </w:rPr>
              <w:t xml:space="preserve">De l'eau ou de la vapeur est utilisée comme diluant afin de réduire la température de combustion dans les turbines, moteurs ou chaudières à gaz et limiter ainsi la formation de </w:t>
            </w:r>
            <w:r w:rsidR="00591FA0" w:rsidRPr="007330CF">
              <w:rPr>
                <w:color w:val="000000"/>
                <w:sz w:val="22"/>
                <w:szCs w:val="22"/>
                <w:lang w:eastAsia="fr-FR"/>
              </w:rPr>
              <w:t>NO</w:t>
            </w:r>
            <w:r w:rsidR="00591FA0">
              <w:rPr>
                <w:color w:val="000000"/>
                <w:sz w:val="22"/>
                <w:szCs w:val="22"/>
                <w:lang w:eastAsia="fr-FR"/>
              </w:rPr>
              <w:t>x</w:t>
            </w:r>
            <w:r w:rsidRPr="007330CF">
              <w:rPr>
                <w:color w:val="000000"/>
                <w:sz w:val="22"/>
                <w:szCs w:val="22"/>
                <w:lang w:eastAsia="fr-FR"/>
              </w:rPr>
              <w:t xml:space="preserve">. L'eau ou la vapeur est soit </w:t>
            </w:r>
            <w:proofErr w:type="spellStart"/>
            <w:r w:rsidRPr="007330CF">
              <w:rPr>
                <w:color w:val="000000"/>
                <w:sz w:val="22"/>
                <w:szCs w:val="22"/>
                <w:lang w:eastAsia="fr-FR"/>
              </w:rPr>
              <w:t>prémélangée</w:t>
            </w:r>
            <w:proofErr w:type="spellEnd"/>
            <w:r w:rsidRPr="007330CF">
              <w:rPr>
                <w:color w:val="000000"/>
                <w:sz w:val="22"/>
                <w:szCs w:val="22"/>
                <w:lang w:eastAsia="fr-FR"/>
              </w:rPr>
              <w:t xml:space="preserve"> au combustible avant la combustion (émulsion, humidification ou saturation du combustible), soit directement injectée dans la chambre de combustion (injection d'eau/de vapeur).</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5CE7668B" w14:textId="77777777" w:rsidR="007330CF" w:rsidRPr="007330CF" w:rsidRDefault="007330CF" w:rsidP="002B0DC1">
            <w:pPr>
              <w:widowControl w:val="0"/>
              <w:suppressAutoHyphens w:val="0"/>
              <w:jc w:val="both"/>
              <w:rPr>
                <w:color w:val="000000"/>
                <w:sz w:val="22"/>
                <w:szCs w:val="22"/>
                <w:lang w:eastAsia="fr-FR"/>
              </w:rPr>
            </w:pPr>
            <w:r w:rsidRPr="007330CF">
              <w:rPr>
                <w:rFonts w:eastAsiaTheme="minorHAnsi"/>
                <w:sz w:val="22"/>
                <w:szCs w:val="22"/>
                <w:lang w:eastAsia="en-US"/>
              </w:rPr>
              <w:t>L'applicabilité peut être limitée par les ressources en eau disponibles</w:t>
            </w:r>
          </w:p>
        </w:tc>
      </w:tr>
      <w:tr w:rsidR="007330CF" w:rsidRPr="007330CF" w14:paraId="7DB90F0E" w14:textId="77777777" w:rsidTr="00EB1C7F">
        <w:trPr>
          <w:cantSplit/>
          <w:jc w:val="center"/>
        </w:trPr>
        <w:tc>
          <w:tcPr>
            <w:tcW w:w="37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B3580C" w14:textId="77777777" w:rsidR="007330CF" w:rsidRPr="007330CF" w:rsidRDefault="007330CF" w:rsidP="002B0DC1">
            <w:pPr>
              <w:widowControl w:val="0"/>
              <w:suppressAutoHyphens w:val="0"/>
              <w:jc w:val="center"/>
              <w:rPr>
                <w:color w:val="000000"/>
                <w:sz w:val="22"/>
                <w:szCs w:val="22"/>
                <w:lang w:eastAsia="fr-FR"/>
              </w:rPr>
            </w:pPr>
            <w:proofErr w:type="gramStart"/>
            <w:r w:rsidRPr="007330CF">
              <w:rPr>
                <w:color w:val="000000"/>
                <w:sz w:val="22"/>
                <w:szCs w:val="22"/>
                <w:lang w:eastAsia="fr-FR"/>
              </w:rPr>
              <w:t>b</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0A459FDA" w14:textId="06A0743F" w:rsidR="007330CF" w:rsidRPr="007330CF" w:rsidRDefault="007330CF" w:rsidP="002B0DC1">
            <w:pPr>
              <w:widowControl w:val="0"/>
              <w:suppressAutoHyphens w:val="0"/>
              <w:jc w:val="both"/>
              <w:rPr>
                <w:rFonts w:eastAsiaTheme="minorHAnsi"/>
                <w:sz w:val="22"/>
                <w:szCs w:val="22"/>
                <w:lang w:eastAsia="en-US"/>
              </w:rPr>
            </w:pPr>
            <w:r w:rsidRPr="007330CF">
              <w:rPr>
                <w:rFonts w:eastAsiaTheme="minorHAnsi"/>
                <w:sz w:val="22"/>
                <w:szCs w:val="22"/>
                <w:lang w:eastAsia="en-US"/>
              </w:rPr>
              <w:t xml:space="preserve">Brûleurs bas </w:t>
            </w:r>
            <w:r w:rsidR="00591FA0" w:rsidRPr="007330CF">
              <w:rPr>
                <w:rFonts w:eastAsiaTheme="minorHAnsi"/>
                <w:sz w:val="22"/>
                <w:szCs w:val="22"/>
                <w:lang w:eastAsia="en-US"/>
              </w:rPr>
              <w:t>NO</w:t>
            </w:r>
            <w:r w:rsidR="00591FA0">
              <w:rPr>
                <w:rFonts w:eastAsiaTheme="minorHAnsi"/>
                <w:sz w:val="22"/>
                <w:szCs w:val="22"/>
                <w:lang w:eastAsia="en-US"/>
              </w:rPr>
              <w:t>x</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12195B" w14:textId="10911B55" w:rsidR="007330CF" w:rsidRPr="007330CF" w:rsidRDefault="007330CF" w:rsidP="002B0DC1">
            <w:pPr>
              <w:widowControl w:val="0"/>
              <w:suppressAutoHyphens w:val="0"/>
              <w:jc w:val="both"/>
              <w:rPr>
                <w:rFonts w:eastAsiaTheme="minorHAnsi"/>
                <w:sz w:val="22"/>
                <w:szCs w:val="22"/>
                <w:lang w:eastAsia="en-US"/>
              </w:rPr>
            </w:pPr>
            <w:r w:rsidRPr="007330CF">
              <w:rPr>
                <w:rFonts w:eastAsiaTheme="minorHAnsi"/>
                <w:sz w:val="22"/>
                <w:szCs w:val="22"/>
                <w:lang w:eastAsia="en-US"/>
              </w:rPr>
              <w:t xml:space="preserve">La technique (y compris les brûleurs ultra-bas </w:t>
            </w:r>
            <w:r w:rsidR="00591FA0" w:rsidRPr="007330CF">
              <w:rPr>
                <w:rFonts w:eastAsiaTheme="minorHAnsi"/>
                <w:sz w:val="22"/>
                <w:szCs w:val="22"/>
                <w:lang w:eastAsia="en-US"/>
              </w:rPr>
              <w:t>NO</w:t>
            </w:r>
            <w:r w:rsidR="00591FA0">
              <w:rPr>
                <w:rFonts w:eastAsiaTheme="minorHAnsi"/>
                <w:sz w:val="22"/>
                <w:szCs w:val="22"/>
                <w:lang w:eastAsia="en-US"/>
              </w:rPr>
              <w:t>x</w:t>
            </w:r>
            <w:r w:rsidR="00591FA0" w:rsidRPr="007330CF">
              <w:rPr>
                <w:rFonts w:eastAsiaTheme="minorHAnsi"/>
                <w:sz w:val="22"/>
                <w:szCs w:val="22"/>
                <w:lang w:eastAsia="en-US"/>
              </w:rPr>
              <w:t xml:space="preserve"> </w:t>
            </w:r>
            <w:r w:rsidRPr="007330CF">
              <w:rPr>
                <w:rFonts w:eastAsiaTheme="minorHAnsi"/>
                <w:sz w:val="22"/>
                <w:szCs w:val="22"/>
                <w:lang w:eastAsia="en-US"/>
              </w:rPr>
              <w:t xml:space="preserve">ou les brûleurs bas </w:t>
            </w:r>
            <w:r w:rsidR="00591FA0" w:rsidRPr="007330CF">
              <w:rPr>
                <w:rFonts w:eastAsiaTheme="minorHAnsi"/>
                <w:sz w:val="22"/>
                <w:szCs w:val="22"/>
                <w:lang w:eastAsia="en-US"/>
              </w:rPr>
              <w:t>NO</w:t>
            </w:r>
            <w:r w:rsidR="00591FA0">
              <w:rPr>
                <w:rFonts w:eastAsiaTheme="minorHAnsi"/>
                <w:sz w:val="22"/>
                <w:szCs w:val="22"/>
                <w:lang w:eastAsia="en-US"/>
              </w:rPr>
              <w:t>x</w:t>
            </w:r>
            <w:r w:rsidR="00591FA0" w:rsidRPr="007330CF">
              <w:rPr>
                <w:rFonts w:eastAsiaTheme="minorHAnsi"/>
                <w:sz w:val="22"/>
                <w:szCs w:val="22"/>
                <w:lang w:eastAsia="en-US"/>
              </w:rPr>
              <w:t xml:space="preserve"> </w:t>
            </w:r>
            <w:r w:rsidRPr="007330CF">
              <w:rPr>
                <w:rFonts w:eastAsiaTheme="minorHAnsi"/>
                <w:sz w:val="22"/>
                <w:szCs w:val="22"/>
                <w:lang w:eastAsia="en-US"/>
              </w:rPr>
              <w:t xml:space="preserve">avancés) repose sur la réduction de la température de flamme maximale ; les brûleurs des chaudières sont conçus de façon à retarder la combustion tout en l'améliorant et à accroître le transfert de chaleur (émissivité accrue de la flamme). Le mélange air/combustible réduit la quantité d'oxygène disponible et la température de flamme maximale, ce qui retarde la transformation de l'azote contenu dans le combustible en </w:t>
            </w:r>
            <w:r w:rsidR="00591FA0" w:rsidRPr="007330CF">
              <w:rPr>
                <w:rFonts w:eastAsiaTheme="minorHAnsi"/>
                <w:sz w:val="22"/>
                <w:szCs w:val="22"/>
                <w:lang w:eastAsia="en-US"/>
              </w:rPr>
              <w:t>NO</w:t>
            </w:r>
            <w:r w:rsidR="00591FA0">
              <w:rPr>
                <w:rFonts w:eastAsiaTheme="minorHAnsi"/>
                <w:sz w:val="22"/>
                <w:szCs w:val="22"/>
                <w:lang w:eastAsia="en-US"/>
              </w:rPr>
              <w:t>x</w:t>
            </w:r>
            <w:r w:rsidR="00591FA0" w:rsidRPr="007330CF">
              <w:rPr>
                <w:rFonts w:eastAsiaTheme="minorHAnsi"/>
                <w:sz w:val="22"/>
                <w:szCs w:val="22"/>
                <w:lang w:eastAsia="en-US"/>
              </w:rPr>
              <w:t xml:space="preserve"> </w:t>
            </w:r>
            <w:r w:rsidRPr="007330CF">
              <w:rPr>
                <w:rFonts w:eastAsiaTheme="minorHAnsi"/>
                <w:sz w:val="22"/>
                <w:szCs w:val="22"/>
                <w:lang w:eastAsia="en-US"/>
              </w:rPr>
              <w:t xml:space="preserve">et la formation de </w:t>
            </w:r>
            <w:r w:rsidR="00591FA0" w:rsidRPr="007330CF">
              <w:rPr>
                <w:rFonts w:eastAsiaTheme="minorHAnsi"/>
                <w:sz w:val="22"/>
                <w:szCs w:val="22"/>
                <w:lang w:eastAsia="en-US"/>
              </w:rPr>
              <w:t>NO</w:t>
            </w:r>
            <w:r w:rsidR="00591FA0">
              <w:rPr>
                <w:rFonts w:eastAsiaTheme="minorHAnsi"/>
                <w:sz w:val="22"/>
                <w:szCs w:val="22"/>
                <w:lang w:eastAsia="en-US"/>
              </w:rPr>
              <w:t>x</w:t>
            </w:r>
            <w:r w:rsidR="00691E2B">
              <w:rPr>
                <w:rFonts w:eastAsiaTheme="minorHAnsi"/>
                <w:sz w:val="22"/>
                <w:szCs w:val="22"/>
                <w:lang w:eastAsia="en-US"/>
              </w:rPr>
              <w:t xml:space="preserve"> </w:t>
            </w:r>
            <w:r w:rsidRPr="007330CF">
              <w:rPr>
                <w:rFonts w:eastAsiaTheme="minorHAnsi"/>
                <w:sz w:val="22"/>
                <w:szCs w:val="22"/>
                <w:lang w:eastAsia="en-US"/>
              </w:rPr>
              <w:t xml:space="preserve">thermiques, tout en préservant l'efficacité de la combustion. La technique peut être associée à une conception modifiée de la chambre de combustion de la chaudière. Les brûleurs ultra-bas </w:t>
            </w:r>
            <w:r w:rsidR="00591FA0" w:rsidRPr="007330CF">
              <w:rPr>
                <w:rFonts w:eastAsiaTheme="minorHAnsi"/>
                <w:sz w:val="22"/>
                <w:szCs w:val="22"/>
                <w:lang w:eastAsia="en-US"/>
              </w:rPr>
              <w:t>NO</w:t>
            </w:r>
            <w:r w:rsidR="00591FA0">
              <w:rPr>
                <w:rFonts w:eastAsiaTheme="minorHAnsi"/>
                <w:sz w:val="22"/>
                <w:szCs w:val="22"/>
                <w:lang w:eastAsia="en-US"/>
              </w:rPr>
              <w:t>x</w:t>
            </w:r>
            <w:r w:rsidR="00591FA0" w:rsidRPr="007330CF">
              <w:rPr>
                <w:rFonts w:eastAsiaTheme="minorHAnsi"/>
                <w:sz w:val="22"/>
                <w:szCs w:val="22"/>
                <w:lang w:eastAsia="en-US"/>
              </w:rPr>
              <w:t xml:space="preserve"> </w:t>
            </w:r>
            <w:r w:rsidRPr="007330CF">
              <w:rPr>
                <w:rFonts w:eastAsiaTheme="minorHAnsi"/>
                <w:sz w:val="22"/>
                <w:szCs w:val="22"/>
                <w:lang w:eastAsia="en-US"/>
              </w:rPr>
              <w:t xml:space="preserve">font appel à la combustion étagée (air/combustible) et au recyclage des gaz de combustion (recyclage interne des fumées). En cas de rénovation d'installations anciennes, la conception de la chaudière peut </w:t>
            </w:r>
            <w:r w:rsidR="00591FA0">
              <w:rPr>
                <w:rFonts w:eastAsiaTheme="minorHAnsi"/>
                <w:sz w:val="22"/>
                <w:szCs w:val="22"/>
                <w:lang w:eastAsia="en-US"/>
              </w:rPr>
              <w:t xml:space="preserve">avoir une influence </w:t>
            </w:r>
            <w:r w:rsidRPr="007330CF">
              <w:rPr>
                <w:rFonts w:eastAsiaTheme="minorHAnsi"/>
                <w:sz w:val="22"/>
                <w:szCs w:val="22"/>
                <w:lang w:eastAsia="en-US"/>
              </w:rPr>
              <w:t>sur l'efficacité de la technique.</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4D638383" w14:textId="7FED1B72" w:rsidR="007330CF" w:rsidRPr="007330CF" w:rsidRDefault="007330CF" w:rsidP="002B0DC1">
            <w:pPr>
              <w:widowControl w:val="0"/>
              <w:suppressAutoHyphens w:val="0"/>
              <w:jc w:val="both"/>
              <w:rPr>
                <w:rFonts w:eastAsiaTheme="minorHAnsi"/>
                <w:sz w:val="22"/>
                <w:szCs w:val="22"/>
                <w:lang w:eastAsia="en-US"/>
              </w:rPr>
            </w:pPr>
            <w:r w:rsidRPr="007330CF">
              <w:rPr>
                <w:rFonts w:eastAsiaTheme="minorHAnsi"/>
                <w:sz w:val="22"/>
                <w:szCs w:val="22"/>
                <w:lang w:eastAsia="en-US"/>
              </w:rPr>
              <w:t xml:space="preserve">Uniquement applicable aux modèles de turbines pour lesquels des brûleurs bas </w:t>
            </w:r>
            <w:r w:rsidR="00591FA0" w:rsidRPr="007330CF">
              <w:rPr>
                <w:rFonts w:eastAsiaTheme="minorHAnsi"/>
                <w:sz w:val="22"/>
                <w:szCs w:val="22"/>
                <w:lang w:eastAsia="en-US"/>
              </w:rPr>
              <w:t>NO</w:t>
            </w:r>
            <w:r w:rsidR="00591FA0">
              <w:rPr>
                <w:rFonts w:eastAsiaTheme="minorHAnsi"/>
                <w:sz w:val="22"/>
                <w:szCs w:val="22"/>
                <w:lang w:eastAsia="en-US"/>
              </w:rPr>
              <w:t>x</w:t>
            </w:r>
            <w:r w:rsidR="00591FA0" w:rsidRPr="007330CF">
              <w:rPr>
                <w:rFonts w:eastAsiaTheme="minorHAnsi"/>
                <w:sz w:val="22"/>
                <w:szCs w:val="22"/>
                <w:lang w:eastAsia="en-US"/>
              </w:rPr>
              <w:t xml:space="preserve"> </w:t>
            </w:r>
            <w:r w:rsidRPr="007330CF">
              <w:rPr>
                <w:rFonts w:eastAsiaTheme="minorHAnsi"/>
                <w:sz w:val="22"/>
                <w:szCs w:val="22"/>
                <w:lang w:eastAsia="en-US"/>
              </w:rPr>
              <w:t>sont disponibles sur le marché</w:t>
            </w:r>
          </w:p>
        </w:tc>
      </w:tr>
      <w:tr w:rsidR="007330CF" w:rsidRPr="007330CF" w14:paraId="32737FCC" w14:textId="77777777" w:rsidTr="00EB1C7F">
        <w:trPr>
          <w:cantSplit/>
          <w:jc w:val="center"/>
        </w:trPr>
        <w:tc>
          <w:tcPr>
            <w:tcW w:w="373" w:type="dxa"/>
            <w:tcBorders>
              <w:top w:val="single" w:sz="4" w:space="0" w:color="000000"/>
              <w:left w:val="single" w:sz="4" w:space="0" w:color="000000"/>
              <w:bottom w:val="single" w:sz="4" w:space="0" w:color="000000"/>
              <w:right w:val="single" w:sz="4" w:space="0" w:color="auto"/>
            </w:tcBorders>
            <w:shd w:val="clear" w:color="auto" w:fill="auto"/>
            <w:vAlign w:val="center"/>
          </w:tcPr>
          <w:p w14:paraId="3F837D74" w14:textId="77777777" w:rsidR="007330CF" w:rsidRPr="007330CF" w:rsidRDefault="007330CF" w:rsidP="002B0DC1">
            <w:pPr>
              <w:widowControl w:val="0"/>
              <w:suppressAutoHyphens w:val="0"/>
              <w:jc w:val="center"/>
              <w:rPr>
                <w:color w:val="000000"/>
                <w:sz w:val="22"/>
                <w:szCs w:val="22"/>
                <w:lang w:eastAsia="fr-FR"/>
              </w:rPr>
            </w:pPr>
            <w:proofErr w:type="gramStart"/>
            <w:r w:rsidRPr="007330CF">
              <w:rPr>
                <w:color w:val="000000"/>
                <w:sz w:val="22"/>
                <w:szCs w:val="22"/>
                <w:lang w:eastAsia="fr-FR"/>
              </w:rPr>
              <w:t>c</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32709E3D" w14:textId="77777777" w:rsidR="007330CF" w:rsidRPr="007330CF" w:rsidRDefault="007330CF" w:rsidP="002B0DC1">
            <w:pPr>
              <w:widowControl w:val="0"/>
              <w:suppressAutoHyphens w:val="0"/>
              <w:jc w:val="both"/>
              <w:rPr>
                <w:rFonts w:eastAsiaTheme="minorHAnsi"/>
                <w:sz w:val="22"/>
                <w:szCs w:val="22"/>
                <w:lang w:eastAsia="en-US"/>
              </w:rPr>
            </w:pPr>
            <w:r w:rsidRPr="007330CF">
              <w:rPr>
                <w:rFonts w:eastAsiaTheme="minorHAnsi"/>
                <w:sz w:val="22"/>
                <w:szCs w:val="22"/>
                <w:lang w:eastAsia="en-US"/>
              </w:rPr>
              <w:t>Réduction catalytique sélective</w:t>
            </w:r>
          </w:p>
          <w:p w14:paraId="25734E7F" w14:textId="77777777" w:rsidR="007330CF" w:rsidRPr="007330CF" w:rsidRDefault="007330CF" w:rsidP="002B0DC1">
            <w:pPr>
              <w:widowControl w:val="0"/>
              <w:suppressAutoHyphens w:val="0"/>
              <w:jc w:val="both"/>
              <w:rPr>
                <w:rFonts w:eastAsiaTheme="minorHAnsi"/>
                <w:sz w:val="22"/>
                <w:szCs w:val="22"/>
                <w:lang w:eastAsia="en-US"/>
              </w:rPr>
            </w:pPr>
            <w:r w:rsidRPr="007330CF">
              <w:rPr>
                <w:rFonts w:eastAsiaTheme="minorHAnsi"/>
                <w:sz w:val="22"/>
                <w:szCs w:val="22"/>
                <w:lang w:eastAsia="en-US"/>
              </w:rPr>
              <w:t>(SCR)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972ACA" w14:textId="7C5EF2F1" w:rsidR="007330CF" w:rsidRPr="007330CF" w:rsidRDefault="007330CF" w:rsidP="002B0DC1">
            <w:pPr>
              <w:widowControl w:val="0"/>
              <w:suppressAutoHyphens w:val="0"/>
              <w:jc w:val="both"/>
              <w:rPr>
                <w:rFonts w:eastAsiaTheme="minorHAnsi"/>
                <w:sz w:val="22"/>
                <w:szCs w:val="22"/>
                <w:lang w:eastAsia="en-US"/>
              </w:rPr>
            </w:pPr>
            <w:r w:rsidRPr="007330CF">
              <w:rPr>
                <w:rFonts w:eastAsiaTheme="minorHAnsi"/>
                <w:sz w:val="22"/>
                <w:szCs w:val="22"/>
                <w:lang w:eastAsia="en-US"/>
              </w:rPr>
              <w:t xml:space="preserve">Réduction sélective des oxydes d'azote par de l'ammoniac ou de l'urée en présence d'un catalyseur. La technique consiste à réduire les </w:t>
            </w:r>
            <w:r w:rsidR="00591FA0" w:rsidRPr="007330CF">
              <w:rPr>
                <w:rFonts w:eastAsiaTheme="minorHAnsi"/>
                <w:sz w:val="22"/>
                <w:szCs w:val="22"/>
                <w:lang w:eastAsia="en-US"/>
              </w:rPr>
              <w:t>NO</w:t>
            </w:r>
            <w:r w:rsidR="00591FA0">
              <w:rPr>
                <w:rFonts w:eastAsiaTheme="minorHAnsi"/>
                <w:sz w:val="22"/>
                <w:szCs w:val="22"/>
                <w:lang w:eastAsia="en-US"/>
              </w:rPr>
              <w:t>x</w:t>
            </w:r>
            <w:r w:rsidR="00591FA0" w:rsidRPr="007330CF">
              <w:rPr>
                <w:rFonts w:eastAsiaTheme="minorHAnsi"/>
                <w:sz w:val="22"/>
                <w:szCs w:val="22"/>
                <w:lang w:eastAsia="en-US"/>
              </w:rPr>
              <w:t xml:space="preserve"> </w:t>
            </w:r>
            <w:r w:rsidRPr="007330CF">
              <w:rPr>
                <w:rFonts w:eastAsiaTheme="minorHAnsi"/>
                <w:sz w:val="22"/>
                <w:szCs w:val="22"/>
                <w:lang w:eastAsia="en-US"/>
              </w:rPr>
              <w:t>en azote sur un lit catalytique par réaction avec l'ammoniac (introduit en général sous forme de solution aqueuse) à une température de fonctionnement optimale comprise entre 300 et 450 °C. Plusieurs couches de catalyseur peuvent être utilisées. Dans ce cas, le taux de réduction des NO</w:t>
            </w:r>
            <w:r w:rsidR="00591FA0">
              <w:rPr>
                <w:rFonts w:eastAsiaTheme="minorHAnsi"/>
                <w:sz w:val="22"/>
                <w:szCs w:val="22"/>
                <w:lang w:eastAsia="en-US"/>
              </w:rPr>
              <w:t>x</w:t>
            </w:r>
            <w:r w:rsidRPr="007330CF">
              <w:rPr>
                <w:rFonts w:eastAsiaTheme="minorHAnsi"/>
                <w:sz w:val="22"/>
                <w:szCs w:val="22"/>
                <w:lang w:eastAsia="en-US"/>
              </w:rPr>
              <w:t xml:space="preserve"> est amélioré. La technique est de conception modulaire, des catalyseurs spéciaux ou un préchauffage pouvant être utilisés pour compenser de faibles charges ou une large fenêtre de température des fumées. La SCR hybride de finition (« </w:t>
            </w:r>
            <w:r w:rsidRPr="00691E2B">
              <w:rPr>
                <w:rFonts w:eastAsiaTheme="minorHAnsi"/>
                <w:i/>
                <w:iCs/>
                <w:sz w:val="22"/>
                <w:szCs w:val="22"/>
                <w:lang w:eastAsia="en-US"/>
              </w:rPr>
              <w:t>In-</w:t>
            </w:r>
            <w:proofErr w:type="spellStart"/>
            <w:r w:rsidRPr="00691E2B">
              <w:rPr>
                <w:rFonts w:eastAsiaTheme="minorHAnsi"/>
                <w:i/>
                <w:iCs/>
                <w:sz w:val="22"/>
                <w:szCs w:val="22"/>
                <w:lang w:eastAsia="en-US"/>
              </w:rPr>
              <w:t>duct</w:t>
            </w:r>
            <w:proofErr w:type="spellEnd"/>
            <w:r w:rsidRPr="007330CF">
              <w:rPr>
                <w:rFonts w:eastAsiaTheme="minorHAnsi"/>
                <w:sz w:val="22"/>
                <w:szCs w:val="22"/>
                <w:lang w:eastAsia="en-US"/>
              </w:rPr>
              <w:t xml:space="preserve"> » ou « </w:t>
            </w:r>
            <w:r w:rsidRPr="00691E2B">
              <w:rPr>
                <w:rFonts w:eastAsiaTheme="minorHAnsi"/>
                <w:i/>
                <w:iCs/>
                <w:sz w:val="22"/>
                <w:szCs w:val="22"/>
                <w:lang w:eastAsia="en-US"/>
              </w:rPr>
              <w:t>slip</w:t>
            </w:r>
            <w:r w:rsidRPr="007330CF">
              <w:rPr>
                <w:rFonts w:eastAsiaTheme="minorHAnsi"/>
                <w:sz w:val="22"/>
                <w:szCs w:val="22"/>
                <w:lang w:eastAsia="en-US"/>
              </w:rPr>
              <w:t xml:space="preserve"> » SCR) est une technique qui combine la SNCR avec une</w:t>
            </w:r>
          </w:p>
          <w:p w14:paraId="69515A40" w14:textId="18B110B1" w:rsidR="007330CF" w:rsidRPr="007330CF" w:rsidRDefault="007330CF" w:rsidP="002B0DC1">
            <w:pPr>
              <w:widowControl w:val="0"/>
              <w:suppressAutoHyphens w:val="0"/>
              <w:jc w:val="both"/>
              <w:rPr>
                <w:rFonts w:eastAsiaTheme="minorHAnsi"/>
                <w:sz w:val="22"/>
                <w:szCs w:val="22"/>
                <w:lang w:eastAsia="en-US"/>
              </w:rPr>
            </w:pPr>
            <w:r w:rsidRPr="007330CF">
              <w:rPr>
                <w:rFonts w:eastAsiaTheme="minorHAnsi"/>
                <w:sz w:val="22"/>
                <w:szCs w:val="22"/>
                <w:lang w:eastAsia="en-US"/>
              </w:rPr>
              <w:t>SCR en aval</w:t>
            </w:r>
            <w:r w:rsidR="00691E2B">
              <w:rPr>
                <w:rFonts w:eastAsiaTheme="minorHAnsi"/>
                <w:sz w:val="22"/>
                <w:szCs w:val="22"/>
                <w:lang w:eastAsia="en-US"/>
              </w:rPr>
              <w:t>,</w:t>
            </w:r>
            <w:r w:rsidRPr="007330CF">
              <w:rPr>
                <w:rFonts w:eastAsiaTheme="minorHAnsi"/>
                <w:sz w:val="22"/>
                <w:szCs w:val="22"/>
                <w:lang w:eastAsia="en-US"/>
              </w:rPr>
              <w:t xml:space="preserve"> de manière à réduire la fuite d'ammoniac en provenance de l'</w:t>
            </w:r>
            <w:r w:rsidR="004D32D4">
              <w:rPr>
                <w:rFonts w:eastAsiaTheme="minorHAnsi"/>
                <w:sz w:val="22"/>
                <w:szCs w:val="22"/>
                <w:lang w:eastAsia="en-US"/>
              </w:rPr>
              <w:t>appareil</w:t>
            </w:r>
            <w:r w:rsidRPr="007330CF">
              <w:rPr>
                <w:rFonts w:eastAsiaTheme="minorHAnsi"/>
                <w:sz w:val="22"/>
                <w:szCs w:val="22"/>
                <w:lang w:eastAsia="en-US"/>
              </w:rPr>
              <w:t xml:space="preserve"> SNCR.</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71004567" w14:textId="0B2B56E4" w:rsidR="007330CF" w:rsidRPr="007330CF" w:rsidRDefault="007330CF" w:rsidP="002B0DC1">
            <w:pPr>
              <w:widowControl w:val="0"/>
              <w:suppressAutoHyphens w:val="0"/>
              <w:jc w:val="both"/>
              <w:rPr>
                <w:rFonts w:eastAsiaTheme="minorHAnsi"/>
                <w:sz w:val="22"/>
                <w:szCs w:val="22"/>
                <w:lang w:eastAsia="en-US"/>
              </w:rPr>
            </w:pPr>
            <w:r w:rsidRPr="007330CF">
              <w:rPr>
                <w:rFonts w:eastAsiaTheme="minorHAnsi"/>
                <w:sz w:val="22"/>
                <w:szCs w:val="22"/>
                <w:lang w:eastAsia="en-US"/>
              </w:rPr>
              <w:t xml:space="preserve">Non applicable aux installations de combustion exploitées moins de 500 h/an. Des considérations techniques et économiques peuvent limiter l'applicabilité de la technique aux installations de combustion </w:t>
            </w:r>
            <w:r w:rsidR="00A56882" w:rsidRPr="00A56882">
              <w:rPr>
                <w:rFonts w:eastAsiaTheme="minorHAnsi"/>
                <w:sz w:val="22"/>
                <w:szCs w:val="22"/>
                <w:lang w:eastAsia="en-US"/>
              </w:rPr>
              <w:t>dont l’autorisation a été délivré</w:t>
            </w:r>
            <w:r w:rsidR="00C40620">
              <w:rPr>
                <w:rFonts w:eastAsiaTheme="minorHAnsi"/>
                <w:sz w:val="22"/>
                <w:szCs w:val="22"/>
                <w:lang w:eastAsia="en-US"/>
              </w:rPr>
              <w:t>e</w:t>
            </w:r>
            <w:r w:rsidR="00A56882" w:rsidRPr="00A56882">
              <w:rPr>
                <w:rFonts w:eastAsiaTheme="minorHAnsi"/>
                <w:sz w:val="22"/>
                <w:szCs w:val="22"/>
                <w:lang w:eastAsia="en-US"/>
              </w:rPr>
              <w:t xml:space="preserve"> </w:t>
            </w:r>
            <w:r w:rsidR="006B21BB">
              <w:rPr>
                <w:rFonts w:eastAsiaTheme="minorHAnsi"/>
                <w:sz w:val="22"/>
                <w:szCs w:val="22"/>
                <w:lang w:eastAsia="en-US"/>
              </w:rPr>
              <w:t>avant le</w:t>
            </w:r>
            <w:r w:rsidR="00A56882" w:rsidRPr="00A56882">
              <w:rPr>
                <w:rFonts w:eastAsiaTheme="minorHAnsi"/>
                <w:sz w:val="22"/>
                <w:szCs w:val="22"/>
                <w:lang w:eastAsia="en-US"/>
              </w:rPr>
              <w:t xml:space="preserve"> 17 août 2017</w:t>
            </w:r>
            <w:r w:rsidR="00691E2B">
              <w:rPr>
                <w:rFonts w:eastAsiaTheme="minorHAnsi"/>
                <w:sz w:val="22"/>
                <w:szCs w:val="22"/>
                <w:lang w:eastAsia="en-US"/>
              </w:rPr>
              <w:t>,</w:t>
            </w:r>
            <w:r w:rsidRPr="007330CF">
              <w:rPr>
                <w:rFonts w:eastAsiaTheme="minorHAnsi"/>
                <w:sz w:val="22"/>
                <w:szCs w:val="22"/>
                <w:lang w:eastAsia="en-US"/>
              </w:rPr>
              <w:t xml:space="preserve"> exploitées entre 500 et 1 500 h/an. La rénovation des installations de combustion </w:t>
            </w:r>
            <w:r w:rsidR="00A56882" w:rsidRPr="00A56882">
              <w:rPr>
                <w:rFonts w:eastAsiaTheme="minorHAnsi"/>
                <w:sz w:val="22"/>
                <w:szCs w:val="22"/>
                <w:lang w:eastAsia="en-US"/>
              </w:rPr>
              <w:t>dont l’autorisation a été délivré</w:t>
            </w:r>
            <w:r w:rsidR="00C40620">
              <w:rPr>
                <w:rFonts w:eastAsiaTheme="minorHAnsi"/>
                <w:sz w:val="22"/>
                <w:szCs w:val="22"/>
                <w:lang w:eastAsia="en-US"/>
              </w:rPr>
              <w:t>e</w:t>
            </w:r>
            <w:r w:rsidR="00A56882" w:rsidRPr="00A56882">
              <w:rPr>
                <w:rFonts w:eastAsiaTheme="minorHAnsi"/>
                <w:sz w:val="22"/>
                <w:szCs w:val="22"/>
                <w:lang w:eastAsia="en-US"/>
              </w:rPr>
              <w:t xml:space="preserve"> </w:t>
            </w:r>
            <w:r w:rsidR="006B21BB">
              <w:rPr>
                <w:rFonts w:eastAsiaTheme="minorHAnsi"/>
                <w:sz w:val="22"/>
                <w:szCs w:val="22"/>
                <w:lang w:eastAsia="en-US"/>
              </w:rPr>
              <w:t>avant le</w:t>
            </w:r>
            <w:r w:rsidR="00A56882" w:rsidRPr="00A56882">
              <w:rPr>
                <w:rFonts w:eastAsiaTheme="minorHAnsi"/>
                <w:sz w:val="22"/>
                <w:szCs w:val="22"/>
                <w:lang w:eastAsia="en-US"/>
              </w:rPr>
              <w:t xml:space="preserve"> 17 août 2017</w:t>
            </w:r>
            <w:r w:rsidR="006B21BB">
              <w:rPr>
                <w:rFonts w:eastAsiaTheme="minorHAnsi"/>
                <w:sz w:val="22"/>
                <w:szCs w:val="22"/>
                <w:lang w:eastAsia="en-US"/>
              </w:rPr>
              <w:t xml:space="preserve"> </w:t>
            </w:r>
            <w:r w:rsidRPr="007330CF">
              <w:rPr>
                <w:rFonts w:eastAsiaTheme="minorHAnsi"/>
                <w:sz w:val="22"/>
                <w:szCs w:val="22"/>
                <w:lang w:eastAsia="en-US"/>
              </w:rPr>
              <w:t>peut être limitée par des contraintes d'espace.</w:t>
            </w:r>
          </w:p>
        </w:tc>
      </w:tr>
    </w:tbl>
    <w:p w14:paraId="48F740BE" w14:textId="77777777" w:rsidR="00416D07" w:rsidRPr="00384282" w:rsidRDefault="00416D07" w:rsidP="002B0DC1">
      <w:pPr>
        <w:jc w:val="both"/>
        <w:rPr>
          <w:color w:val="000000"/>
          <w:lang w:eastAsia="fr-FR"/>
        </w:rPr>
      </w:pPr>
    </w:p>
    <w:p w14:paraId="24A73431" w14:textId="18084E38" w:rsidR="00296F86" w:rsidRPr="00296F86" w:rsidRDefault="00296F86" w:rsidP="002B0DC1">
      <w:pPr>
        <w:jc w:val="both"/>
        <w:rPr>
          <w:color w:val="000000"/>
          <w:lang w:eastAsia="fr-FR"/>
        </w:rPr>
      </w:pPr>
      <w:r w:rsidRPr="00296F86">
        <w:rPr>
          <w:color w:val="000000"/>
          <w:lang w:eastAsia="fr-FR"/>
        </w:rPr>
        <w:t>« </w:t>
      </w:r>
      <w:proofErr w:type="gramStart"/>
      <w:r w:rsidRPr="00296F86">
        <w:rPr>
          <w:color w:val="000000"/>
          <w:lang w:eastAsia="fr-FR"/>
        </w:rPr>
        <w:t>d</w:t>
      </w:r>
      <w:proofErr w:type="gramEnd"/>
      <w:r w:rsidRPr="00296F86">
        <w:rPr>
          <w:color w:val="000000"/>
          <w:lang w:eastAsia="fr-FR"/>
        </w:rPr>
        <w:t>) Pour les appareils utilisant des gaz sidérurgiques, l’exploitant applique en plus, la technique ci-dessous :</w:t>
      </w:r>
    </w:p>
    <w:p w14:paraId="3D89F293" w14:textId="77777777" w:rsidR="00296F86" w:rsidRDefault="00296F86" w:rsidP="002B0DC1">
      <w:pPr>
        <w:jc w:val="both"/>
        <w:rPr>
          <w:rFonts w:ascii="Arial" w:hAnsi="Arial" w:cs="Arial"/>
          <w:color w:val="000000"/>
          <w:sz w:val="21"/>
          <w:szCs w:val="21"/>
          <w:lang w:eastAsia="fr-FR"/>
        </w:rPr>
      </w:pPr>
    </w:p>
    <w:tbl>
      <w:tblPr>
        <w:tblW w:w="9086" w:type="dxa"/>
        <w:jc w:val="center"/>
        <w:tblLayout w:type="fixed"/>
        <w:tblLook w:val="0000" w:firstRow="0" w:lastRow="0" w:firstColumn="0" w:lastColumn="0" w:noHBand="0" w:noVBand="0"/>
      </w:tblPr>
      <w:tblGrid>
        <w:gridCol w:w="373"/>
        <w:gridCol w:w="2883"/>
        <w:gridCol w:w="3118"/>
        <w:gridCol w:w="2712"/>
      </w:tblGrid>
      <w:tr w:rsidR="00296F86" w:rsidRPr="00296F86" w14:paraId="353E1CC5" w14:textId="77777777" w:rsidTr="00EB1C7F">
        <w:trPr>
          <w:cantSplit/>
          <w:jc w:val="center"/>
        </w:trPr>
        <w:tc>
          <w:tcPr>
            <w:tcW w:w="3256" w:type="dxa"/>
            <w:gridSpan w:val="2"/>
            <w:tcBorders>
              <w:top w:val="single" w:sz="4" w:space="0" w:color="000000"/>
              <w:left w:val="single" w:sz="4" w:space="0" w:color="000000"/>
              <w:bottom w:val="single" w:sz="4" w:space="0" w:color="000000"/>
            </w:tcBorders>
            <w:shd w:val="clear" w:color="auto" w:fill="auto"/>
          </w:tcPr>
          <w:p w14:paraId="702BC2C6" w14:textId="77777777" w:rsidR="00296F86" w:rsidRPr="00296F86" w:rsidRDefault="00296F86" w:rsidP="002B0DC1">
            <w:pPr>
              <w:widowControl w:val="0"/>
              <w:jc w:val="center"/>
              <w:rPr>
                <w:color w:val="000000"/>
                <w:sz w:val="22"/>
                <w:szCs w:val="22"/>
                <w:lang w:eastAsia="fr-FR"/>
              </w:rPr>
            </w:pPr>
            <w:r w:rsidRPr="00296F86">
              <w:rPr>
                <w:color w:val="000000"/>
                <w:sz w:val="22"/>
                <w:szCs w:val="22"/>
                <w:lang w:eastAsia="fr-FR"/>
              </w:rPr>
              <w:t>Technique</w:t>
            </w:r>
          </w:p>
        </w:tc>
        <w:tc>
          <w:tcPr>
            <w:tcW w:w="3118" w:type="dxa"/>
            <w:tcBorders>
              <w:top w:val="single" w:sz="4" w:space="0" w:color="000000"/>
              <w:left w:val="single" w:sz="4" w:space="0" w:color="000000"/>
              <w:bottom w:val="single" w:sz="4" w:space="0" w:color="000000"/>
            </w:tcBorders>
            <w:shd w:val="clear" w:color="auto" w:fill="auto"/>
            <w:vAlign w:val="center"/>
          </w:tcPr>
          <w:p w14:paraId="59DC09CF" w14:textId="77777777" w:rsidR="00296F86" w:rsidRPr="00296F86" w:rsidRDefault="00296F86" w:rsidP="002B0DC1">
            <w:pPr>
              <w:widowControl w:val="0"/>
              <w:jc w:val="center"/>
              <w:rPr>
                <w:color w:val="000000"/>
                <w:sz w:val="22"/>
                <w:szCs w:val="22"/>
                <w:lang w:eastAsia="fr-FR"/>
              </w:rPr>
            </w:pPr>
            <w:r w:rsidRPr="00296F86">
              <w:rPr>
                <w:color w:val="000000"/>
                <w:sz w:val="22"/>
                <w:szCs w:val="22"/>
                <w:lang w:eastAsia="fr-FR"/>
              </w:rPr>
              <w:t>Description</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128FB" w14:textId="77777777" w:rsidR="00296F86" w:rsidRPr="00296F86" w:rsidRDefault="00296F86" w:rsidP="002B0DC1">
            <w:pPr>
              <w:widowControl w:val="0"/>
              <w:jc w:val="center"/>
              <w:rPr>
                <w:color w:val="000000"/>
                <w:sz w:val="22"/>
                <w:szCs w:val="22"/>
                <w:lang w:eastAsia="fr-FR"/>
              </w:rPr>
            </w:pPr>
            <w:r w:rsidRPr="00296F86">
              <w:rPr>
                <w:color w:val="000000"/>
                <w:sz w:val="22"/>
                <w:szCs w:val="22"/>
                <w:lang w:eastAsia="fr-FR"/>
              </w:rPr>
              <w:t>Applicabilité</w:t>
            </w:r>
          </w:p>
        </w:tc>
      </w:tr>
      <w:tr w:rsidR="00296F86" w:rsidRPr="00296F86" w14:paraId="51B3376A" w14:textId="77777777" w:rsidTr="00EB1C7F">
        <w:trPr>
          <w:cantSplit/>
          <w:jc w:val="center"/>
        </w:trPr>
        <w:tc>
          <w:tcPr>
            <w:tcW w:w="37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E28783" w14:textId="77777777" w:rsidR="00296F86" w:rsidRPr="00296F86" w:rsidRDefault="00296F86" w:rsidP="002B0DC1">
            <w:pPr>
              <w:widowControl w:val="0"/>
              <w:jc w:val="center"/>
              <w:rPr>
                <w:color w:val="000000"/>
                <w:sz w:val="22"/>
                <w:szCs w:val="22"/>
                <w:lang w:eastAsia="fr-FR"/>
              </w:rPr>
            </w:pPr>
            <w:proofErr w:type="gramStart"/>
            <w:r w:rsidRPr="00296F86">
              <w:rPr>
                <w:color w:val="000000"/>
                <w:sz w:val="22"/>
                <w:szCs w:val="22"/>
                <w:lang w:eastAsia="fr-FR"/>
              </w:rPr>
              <w:t>a</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4F756D2D" w14:textId="77777777" w:rsidR="00296F86" w:rsidRPr="00296F86" w:rsidRDefault="00296F86" w:rsidP="002B0DC1">
            <w:pPr>
              <w:widowControl w:val="0"/>
              <w:jc w:val="both"/>
              <w:rPr>
                <w:color w:val="000000"/>
                <w:sz w:val="22"/>
                <w:szCs w:val="22"/>
                <w:lang w:eastAsia="fr-FR"/>
              </w:rPr>
            </w:pPr>
            <w:r w:rsidRPr="00296F86">
              <w:rPr>
                <w:sz w:val="22"/>
                <w:szCs w:val="22"/>
              </w:rPr>
              <w:t>Optimisation de la combustion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EA4737" w14:textId="77777777" w:rsidR="00296F86" w:rsidRPr="00296F86" w:rsidRDefault="00296F86" w:rsidP="002B0DC1">
            <w:pPr>
              <w:widowControl w:val="0"/>
              <w:jc w:val="both"/>
              <w:rPr>
                <w:color w:val="000000"/>
                <w:sz w:val="22"/>
                <w:szCs w:val="22"/>
                <w:lang w:eastAsia="fr-FR"/>
              </w:rPr>
            </w:pPr>
            <w:r w:rsidRPr="00296F86">
              <w:rPr>
                <w:color w:val="000000"/>
                <w:sz w:val="22"/>
                <w:szCs w:val="22"/>
                <w:lang w:eastAsia="fr-FR"/>
              </w:rPr>
              <w:t>Mesures prises pour maximiser l'efficacité de la conversion d'énergie, notamment dans le four ou la chaudière, tout en réduisant au minimum les émissions (de CO en particulier). On applique à cet effet une combinaison de techniques telles que la bonne conception des équipements de combustion, l'optimisation de la température (mélange efficace du combustible et de l'air de combustion) et du temps de séjour dans la zone de combustion et l'utilisation d'un système de contrôle avancé.</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44BAEA16" w14:textId="77777777" w:rsidR="00296F86" w:rsidRPr="00296F86" w:rsidRDefault="00296F86" w:rsidP="002B0DC1">
            <w:pPr>
              <w:widowControl w:val="0"/>
              <w:jc w:val="both"/>
              <w:rPr>
                <w:color w:val="000000"/>
                <w:sz w:val="22"/>
                <w:szCs w:val="22"/>
                <w:lang w:eastAsia="fr-FR"/>
              </w:rPr>
            </w:pPr>
            <w:r w:rsidRPr="00296F86">
              <w:rPr>
                <w:sz w:val="22"/>
                <w:szCs w:val="22"/>
              </w:rPr>
              <w:t>Applicable d'une manière générale</w:t>
            </w:r>
          </w:p>
        </w:tc>
      </w:tr>
      <w:tr w:rsidR="00296F86" w:rsidRPr="00296F86" w14:paraId="0C549DBD" w14:textId="77777777" w:rsidTr="00EB1C7F">
        <w:trPr>
          <w:cantSplit/>
          <w:jc w:val="center"/>
        </w:trPr>
        <w:tc>
          <w:tcPr>
            <w:tcW w:w="373" w:type="dxa"/>
            <w:tcBorders>
              <w:top w:val="single" w:sz="4" w:space="0" w:color="000000"/>
              <w:left w:val="single" w:sz="4" w:space="0" w:color="000000"/>
              <w:bottom w:val="single" w:sz="4" w:space="0" w:color="000000"/>
              <w:right w:val="single" w:sz="4" w:space="0" w:color="auto"/>
            </w:tcBorders>
            <w:shd w:val="clear" w:color="auto" w:fill="auto"/>
            <w:vAlign w:val="center"/>
          </w:tcPr>
          <w:p w14:paraId="6361CD26" w14:textId="77777777" w:rsidR="00296F86" w:rsidRPr="00296F86" w:rsidRDefault="00296F86" w:rsidP="002B0DC1">
            <w:pPr>
              <w:widowControl w:val="0"/>
              <w:jc w:val="center"/>
              <w:rPr>
                <w:color w:val="000000"/>
                <w:sz w:val="22"/>
                <w:szCs w:val="22"/>
                <w:lang w:eastAsia="fr-FR"/>
              </w:rPr>
            </w:pPr>
            <w:proofErr w:type="gramStart"/>
            <w:r w:rsidRPr="00296F86">
              <w:rPr>
                <w:color w:val="000000"/>
                <w:sz w:val="22"/>
                <w:szCs w:val="22"/>
                <w:lang w:eastAsia="fr-FR"/>
              </w:rPr>
              <w:t>b</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3A081D5F" w14:textId="77777777" w:rsidR="00296F86" w:rsidRPr="00296F86" w:rsidRDefault="00296F86" w:rsidP="002B0DC1">
            <w:pPr>
              <w:widowControl w:val="0"/>
              <w:jc w:val="both"/>
              <w:rPr>
                <w:sz w:val="22"/>
                <w:szCs w:val="22"/>
              </w:rPr>
            </w:pPr>
            <w:r w:rsidRPr="00296F86">
              <w:rPr>
                <w:sz w:val="22"/>
                <w:szCs w:val="22"/>
              </w:rPr>
              <w:t>Catalyseurs d'oxydation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5B94EF" w14:textId="77777777" w:rsidR="00296F86" w:rsidRPr="00296F86" w:rsidRDefault="00296F86" w:rsidP="002B0DC1">
            <w:pPr>
              <w:widowControl w:val="0"/>
              <w:jc w:val="both"/>
              <w:rPr>
                <w:sz w:val="22"/>
                <w:szCs w:val="22"/>
              </w:rPr>
            </w:pPr>
            <w:r w:rsidRPr="00296F86">
              <w:rPr>
                <w:sz w:val="22"/>
                <w:szCs w:val="22"/>
              </w:rPr>
              <w:t>Utilisation de catalyseurs (qui contiennent généralement des métaux précieux comme le palladium ou le platine) pour oxyder le monoxyde de carbone et les hydrocarbures imbrûlés à l'aide d'oxygène afin d'obtenir du CO</w:t>
            </w:r>
            <w:r w:rsidRPr="00A1495D">
              <w:rPr>
                <w:sz w:val="22"/>
                <w:szCs w:val="22"/>
                <w:vertAlign w:val="subscript"/>
              </w:rPr>
              <w:t>2</w:t>
            </w:r>
            <w:r w:rsidRPr="00296F86">
              <w:rPr>
                <w:sz w:val="22"/>
                <w:szCs w:val="22"/>
              </w:rPr>
              <w:t xml:space="preserve"> et de la vapeur d'eau.</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286D8358" w14:textId="77777777" w:rsidR="00296F86" w:rsidRPr="00296F86" w:rsidRDefault="00296F86" w:rsidP="002B0DC1">
            <w:pPr>
              <w:widowControl w:val="0"/>
              <w:jc w:val="both"/>
              <w:rPr>
                <w:sz w:val="22"/>
                <w:szCs w:val="22"/>
              </w:rPr>
            </w:pPr>
            <w:r w:rsidRPr="00296F86">
              <w:rPr>
                <w:sz w:val="22"/>
                <w:szCs w:val="22"/>
              </w:rPr>
              <w:t>Uniquement applicable aux CCGT. L'applicabilité peut être limitée par les contraintes d'espace, la charge requise et teneur en soufre du combustible</w:t>
            </w:r>
          </w:p>
        </w:tc>
      </w:tr>
    </w:tbl>
    <w:p w14:paraId="7EE0721B" w14:textId="77777777" w:rsidR="00296F86" w:rsidRDefault="00296F86" w:rsidP="002B0DC1">
      <w:pPr>
        <w:jc w:val="both"/>
        <w:rPr>
          <w:color w:val="000000"/>
          <w:lang w:eastAsia="fr-FR"/>
        </w:rPr>
      </w:pPr>
    </w:p>
    <w:p w14:paraId="19019E4B" w14:textId="7899D04C" w:rsidR="00384282" w:rsidRPr="00384282" w:rsidRDefault="00384282" w:rsidP="002B0DC1">
      <w:pPr>
        <w:jc w:val="both"/>
        <w:rPr>
          <w:color w:val="000000"/>
          <w:lang w:eastAsia="fr-FR"/>
        </w:rPr>
      </w:pPr>
      <w:r>
        <w:rPr>
          <w:color w:val="000000"/>
          <w:lang w:eastAsia="fr-FR"/>
        </w:rPr>
        <w:t>« </w:t>
      </w:r>
      <w:proofErr w:type="gramStart"/>
      <w:r w:rsidR="00296F86">
        <w:rPr>
          <w:color w:val="000000"/>
          <w:lang w:eastAsia="fr-FR"/>
        </w:rPr>
        <w:t>e</w:t>
      </w:r>
      <w:proofErr w:type="gramEnd"/>
      <w:r w:rsidRPr="00384282">
        <w:rPr>
          <w:color w:val="000000"/>
          <w:lang w:eastAsia="fr-FR"/>
        </w:rPr>
        <w:t>) Pour les appareils utilisant des combustibles issus de procédés de l’industrie chimique dans des chaudières, l’exploitant applique en plus</w:t>
      </w:r>
      <w:r w:rsidR="001E10F4">
        <w:rPr>
          <w:color w:val="000000"/>
          <w:lang w:eastAsia="fr-FR"/>
        </w:rPr>
        <w:t xml:space="preserve"> l</w:t>
      </w:r>
      <w:r w:rsidRPr="00384282">
        <w:rPr>
          <w:color w:val="000000"/>
          <w:lang w:eastAsia="fr-FR"/>
        </w:rPr>
        <w:t>a technique ci-dessous :</w:t>
      </w:r>
    </w:p>
    <w:p w14:paraId="6E225838" w14:textId="77777777" w:rsidR="00384282" w:rsidRPr="00384282" w:rsidRDefault="00384282" w:rsidP="002B0DC1">
      <w:pPr>
        <w:jc w:val="both"/>
        <w:rPr>
          <w:color w:val="000000"/>
          <w:lang w:eastAsia="fr-FR"/>
        </w:rPr>
      </w:pPr>
    </w:p>
    <w:tbl>
      <w:tblPr>
        <w:tblW w:w="9086" w:type="dxa"/>
        <w:jc w:val="center"/>
        <w:tblLayout w:type="fixed"/>
        <w:tblLook w:val="0000" w:firstRow="0" w:lastRow="0" w:firstColumn="0" w:lastColumn="0" w:noHBand="0" w:noVBand="0"/>
      </w:tblPr>
      <w:tblGrid>
        <w:gridCol w:w="373"/>
        <w:gridCol w:w="3024"/>
        <w:gridCol w:w="2835"/>
        <w:gridCol w:w="2854"/>
      </w:tblGrid>
      <w:tr w:rsidR="00384282" w:rsidRPr="00384282" w14:paraId="4E3CF641" w14:textId="77777777" w:rsidTr="005D385E">
        <w:trPr>
          <w:cantSplit/>
          <w:jc w:val="center"/>
        </w:trPr>
        <w:tc>
          <w:tcPr>
            <w:tcW w:w="3397" w:type="dxa"/>
            <w:gridSpan w:val="2"/>
            <w:tcBorders>
              <w:top w:val="single" w:sz="4" w:space="0" w:color="000000"/>
              <w:left w:val="single" w:sz="4" w:space="0" w:color="000000"/>
              <w:bottom w:val="single" w:sz="4" w:space="0" w:color="000000"/>
            </w:tcBorders>
            <w:shd w:val="clear" w:color="auto" w:fill="auto"/>
          </w:tcPr>
          <w:p w14:paraId="369F5D4C" w14:textId="77777777" w:rsidR="00384282" w:rsidRPr="00384282" w:rsidRDefault="00384282" w:rsidP="002B0DC1">
            <w:pPr>
              <w:widowControl w:val="0"/>
              <w:jc w:val="center"/>
              <w:rPr>
                <w:color w:val="000000"/>
                <w:lang w:eastAsia="fr-FR"/>
              </w:rPr>
            </w:pPr>
            <w:r w:rsidRPr="00384282">
              <w:rPr>
                <w:color w:val="000000"/>
                <w:lang w:eastAsia="fr-FR"/>
              </w:rPr>
              <w:t>Technique</w:t>
            </w:r>
          </w:p>
        </w:tc>
        <w:tc>
          <w:tcPr>
            <w:tcW w:w="2835" w:type="dxa"/>
            <w:tcBorders>
              <w:top w:val="single" w:sz="4" w:space="0" w:color="000000"/>
              <w:left w:val="single" w:sz="4" w:space="0" w:color="000000"/>
              <w:bottom w:val="single" w:sz="4" w:space="0" w:color="auto"/>
            </w:tcBorders>
            <w:shd w:val="clear" w:color="auto" w:fill="auto"/>
            <w:vAlign w:val="center"/>
          </w:tcPr>
          <w:p w14:paraId="1ACAF751" w14:textId="77777777" w:rsidR="00384282" w:rsidRPr="00384282" w:rsidRDefault="00384282" w:rsidP="002B0DC1">
            <w:pPr>
              <w:widowControl w:val="0"/>
              <w:jc w:val="center"/>
              <w:rPr>
                <w:color w:val="000000"/>
                <w:lang w:eastAsia="fr-FR"/>
              </w:rPr>
            </w:pPr>
            <w:r w:rsidRPr="00384282">
              <w:rPr>
                <w:color w:val="000000"/>
                <w:lang w:eastAsia="fr-FR"/>
              </w:rPr>
              <w:t>Description</w:t>
            </w:r>
          </w:p>
        </w:tc>
        <w:tc>
          <w:tcPr>
            <w:tcW w:w="2854" w:type="dxa"/>
            <w:tcBorders>
              <w:top w:val="single" w:sz="4" w:space="0" w:color="000000"/>
              <w:left w:val="single" w:sz="4" w:space="0" w:color="000000"/>
              <w:bottom w:val="single" w:sz="4" w:space="0" w:color="auto"/>
              <w:right w:val="single" w:sz="4" w:space="0" w:color="000000"/>
            </w:tcBorders>
            <w:shd w:val="clear" w:color="auto" w:fill="auto"/>
            <w:vAlign w:val="center"/>
          </w:tcPr>
          <w:p w14:paraId="777E9592" w14:textId="77777777" w:rsidR="00384282" w:rsidRPr="00384282" w:rsidRDefault="00384282" w:rsidP="002B0DC1">
            <w:pPr>
              <w:widowControl w:val="0"/>
              <w:jc w:val="center"/>
              <w:rPr>
                <w:color w:val="000000"/>
                <w:lang w:eastAsia="fr-FR"/>
              </w:rPr>
            </w:pPr>
            <w:r w:rsidRPr="00384282">
              <w:rPr>
                <w:color w:val="000000"/>
                <w:lang w:eastAsia="fr-FR"/>
              </w:rPr>
              <w:t>Applicabilité</w:t>
            </w:r>
          </w:p>
        </w:tc>
      </w:tr>
      <w:tr w:rsidR="00384282" w:rsidRPr="00384282" w14:paraId="245796BE"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13BFEAF7" w14:textId="77777777" w:rsidR="00384282" w:rsidRPr="00384282" w:rsidRDefault="00384282" w:rsidP="002B0DC1">
            <w:pPr>
              <w:widowControl w:val="0"/>
              <w:jc w:val="both"/>
            </w:pPr>
            <w:proofErr w:type="gramStart"/>
            <w:r w:rsidRPr="00384282">
              <w:t>a</w:t>
            </w:r>
            <w:proofErr w:type="gramEnd"/>
          </w:p>
        </w:tc>
        <w:tc>
          <w:tcPr>
            <w:tcW w:w="302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A5C6EB" w14:textId="77777777" w:rsidR="00384282" w:rsidRPr="00384282" w:rsidRDefault="00384282" w:rsidP="002B0DC1">
            <w:pPr>
              <w:widowControl w:val="0"/>
              <w:jc w:val="both"/>
            </w:pPr>
            <w:r w:rsidRPr="00384282">
              <w:t>Prétraitement des combustibles issus de procédés de l'industrie chimique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CD0043" w14:textId="77777777" w:rsidR="00384282" w:rsidRPr="00384282" w:rsidRDefault="00384282" w:rsidP="002B0DC1">
            <w:pPr>
              <w:widowControl w:val="0"/>
              <w:jc w:val="both"/>
            </w:pPr>
            <w:r w:rsidRPr="00384282">
              <w:t>Prétraitement du combustible sur le site de l'installation de combustion ou en dehors de celui-ci afin d'améliorer la performance environnementale de la combustion</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218FCA7B" w14:textId="77777777" w:rsidR="00384282" w:rsidRPr="00384282" w:rsidRDefault="00384282" w:rsidP="002B0DC1">
            <w:pPr>
              <w:widowControl w:val="0"/>
              <w:jc w:val="both"/>
            </w:pPr>
            <w:r w:rsidRPr="00384282">
              <w:t>Applicable dans les limites des contraintes liées aux caractéristiques du combustible et à l'espace disponible</w:t>
            </w:r>
          </w:p>
        </w:tc>
      </w:tr>
    </w:tbl>
    <w:p w14:paraId="2D380E5E" w14:textId="63B1A979" w:rsidR="00384282" w:rsidRDefault="00384282" w:rsidP="002B0DC1">
      <w:pPr>
        <w:jc w:val="both"/>
        <w:rPr>
          <w:color w:val="000000"/>
          <w:lang w:eastAsia="fr-FR"/>
        </w:rPr>
      </w:pPr>
    </w:p>
    <w:p w14:paraId="31BF63B8" w14:textId="16615EBE" w:rsidR="00296F86" w:rsidRDefault="00296F86" w:rsidP="002B0DC1">
      <w:pPr>
        <w:jc w:val="both"/>
        <w:rPr>
          <w:color w:val="000000"/>
          <w:lang w:eastAsia="fr-FR"/>
        </w:rPr>
      </w:pPr>
    </w:p>
    <w:p w14:paraId="66B7F34B" w14:textId="65BED78F" w:rsidR="00424C89" w:rsidRPr="00384282" w:rsidRDefault="00424C89" w:rsidP="002B0DC1">
      <w:pPr>
        <w:jc w:val="center"/>
        <w:rPr>
          <w:b/>
          <w:bCs/>
        </w:rPr>
      </w:pPr>
      <w:r w:rsidRPr="00C46254">
        <w:rPr>
          <w:b/>
          <w:bCs/>
          <w:highlight w:val="yellow"/>
        </w:rPr>
        <w:t xml:space="preserve">Article </w:t>
      </w:r>
      <w:r w:rsidRPr="00C46254">
        <w:rPr>
          <w:b/>
          <w:bCs/>
          <w:highlight w:val="yellow"/>
        </w:rPr>
        <w:fldChar w:fldCharType="begin"/>
      </w:r>
      <w:r w:rsidRPr="00C46254">
        <w:rPr>
          <w:b/>
          <w:bCs/>
          <w:highlight w:val="yellow"/>
        </w:rPr>
        <w:instrText xml:space="preserve"> SEQ Article \* ARABIC </w:instrText>
      </w:r>
      <w:r w:rsidRPr="00C46254">
        <w:rPr>
          <w:b/>
          <w:bCs/>
          <w:highlight w:val="yellow"/>
        </w:rPr>
        <w:fldChar w:fldCharType="separate"/>
      </w:r>
      <w:r w:rsidR="00871300">
        <w:rPr>
          <w:b/>
          <w:bCs/>
          <w:noProof/>
          <w:highlight w:val="yellow"/>
        </w:rPr>
        <w:t>21</w:t>
      </w:r>
      <w:r w:rsidRPr="00C46254">
        <w:rPr>
          <w:b/>
          <w:bCs/>
          <w:highlight w:val="yellow"/>
        </w:rPr>
        <w:fldChar w:fldCharType="end"/>
      </w:r>
    </w:p>
    <w:p w14:paraId="39FD7850" w14:textId="3FB63849" w:rsidR="00424C89" w:rsidRDefault="00424C89" w:rsidP="002B0DC1"/>
    <w:p w14:paraId="19942898" w14:textId="1C0D4A6E" w:rsidR="00384282" w:rsidRDefault="00384282" w:rsidP="002B0DC1">
      <w:pPr>
        <w:jc w:val="both"/>
      </w:pPr>
      <w:r>
        <w:t>L’article 17 de l’arrêté susvisé est ainsi modifié :</w:t>
      </w:r>
    </w:p>
    <w:p w14:paraId="63E5FFD8" w14:textId="77777777" w:rsidR="00384282" w:rsidRPr="00384282" w:rsidRDefault="00384282" w:rsidP="002B0DC1">
      <w:pPr>
        <w:jc w:val="both"/>
      </w:pPr>
    </w:p>
    <w:p w14:paraId="674F3272" w14:textId="485CA52D" w:rsidR="00384282" w:rsidRDefault="0065073C" w:rsidP="002B0DC1">
      <w:pPr>
        <w:jc w:val="both"/>
      </w:pPr>
      <w:r>
        <w:t>1°</w:t>
      </w:r>
      <w:r w:rsidR="00384282" w:rsidRPr="00384282">
        <w:t xml:space="preserve"> </w:t>
      </w:r>
      <w:r w:rsidR="006507F0">
        <w:t xml:space="preserve">Un </w:t>
      </w:r>
      <w:r w:rsidR="006507F0" w:rsidRPr="00384282">
        <w:t xml:space="preserve">alinéa </w:t>
      </w:r>
      <w:r w:rsidR="00384282">
        <w:t xml:space="preserve">« Dispositions particulières applicables aux installations situées en </w:t>
      </w:r>
      <w:r>
        <w:t>zones non interconnectées (</w:t>
      </w:r>
      <w:r w:rsidR="00384282">
        <w:t>ZNI</w:t>
      </w:r>
      <w:r>
        <w:t>)</w:t>
      </w:r>
      <w:r w:rsidR="00384282">
        <w:t xml:space="preserve"> » est inséré </w:t>
      </w:r>
      <w:r w:rsidR="00384282" w:rsidRPr="00384282">
        <w:t>avant le premier alinéa</w:t>
      </w:r>
      <w:r w:rsidR="00384282">
        <w:t>.</w:t>
      </w:r>
    </w:p>
    <w:p w14:paraId="3D09FC10" w14:textId="4317D924" w:rsidR="00384282" w:rsidRDefault="00384282" w:rsidP="002B0DC1">
      <w:pPr>
        <w:jc w:val="both"/>
      </w:pPr>
    </w:p>
    <w:p w14:paraId="36CFFE5B" w14:textId="301DB932" w:rsidR="00384282" w:rsidRPr="001137C3" w:rsidRDefault="0065073C" w:rsidP="002B0DC1">
      <w:pPr>
        <w:jc w:val="both"/>
      </w:pPr>
      <w:r>
        <w:t>2°</w:t>
      </w:r>
      <w:r w:rsidR="00384282" w:rsidRPr="001137C3">
        <w:t xml:space="preserve"> Le</w:t>
      </w:r>
      <w:r w:rsidR="006507F0">
        <w:t xml:space="preserve"> II de l’article 17 e</w:t>
      </w:r>
      <w:r w:rsidR="00384282" w:rsidRPr="001137C3">
        <w:t>s</w:t>
      </w:r>
      <w:r w:rsidR="006507F0">
        <w:t>t</w:t>
      </w:r>
      <w:r w:rsidR="00384282" w:rsidRPr="001137C3">
        <w:t xml:space="preserve"> modifi</w:t>
      </w:r>
      <w:r w:rsidR="006507F0">
        <w:t>é comme suit</w:t>
      </w:r>
      <w:r w:rsidR="00384282" w:rsidRPr="001137C3">
        <w:t> :</w:t>
      </w:r>
    </w:p>
    <w:p w14:paraId="03F19CF9" w14:textId="5CBEA804" w:rsidR="00384282" w:rsidRPr="001137C3" w:rsidRDefault="00384282"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au</w:t>
      </w:r>
      <w:proofErr w:type="gramEnd"/>
      <w:r w:rsidRPr="001137C3">
        <w:rPr>
          <w:rFonts w:ascii="Times New Roman" w:hAnsi="Times New Roman"/>
          <w:sz w:val="24"/>
          <w:szCs w:val="24"/>
        </w:rPr>
        <w:t xml:space="preserve"> premier alinéa, les mots</w:t>
      </w:r>
      <w:r w:rsidR="006507F0">
        <w:rPr>
          <w:rFonts w:ascii="Times New Roman" w:hAnsi="Times New Roman"/>
          <w:sz w:val="24"/>
          <w:szCs w:val="24"/>
        </w:rPr>
        <w:t xml:space="preserve"> : </w:t>
      </w:r>
      <w:r w:rsidRPr="001137C3">
        <w:rPr>
          <w:rFonts w:ascii="Times New Roman" w:hAnsi="Times New Roman"/>
          <w:sz w:val="24"/>
          <w:szCs w:val="24"/>
        </w:rPr>
        <w:t>«</w:t>
      </w:r>
      <w:r w:rsidR="0065073C">
        <w:rPr>
          <w:rFonts w:ascii="Times New Roman" w:hAnsi="Times New Roman"/>
          <w:sz w:val="24"/>
          <w:szCs w:val="24"/>
        </w:rPr>
        <w:t xml:space="preserve"> visées</w:t>
      </w:r>
      <w:r w:rsidRPr="001137C3">
        <w:rPr>
          <w:rFonts w:ascii="Times New Roman" w:hAnsi="Times New Roman"/>
          <w:sz w:val="24"/>
          <w:szCs w:val="24"/>
        </w:rPr>
        <w:t> au chapitre II du présent titre » sont remplacés par les mots : « </w:t>
      </w:r>
      <w:r w:rsidR="0065073C">
        <w:rPr>
          <w:rFonts w:ascii="Times New Roman" w:hAnsi="Times New Roman"/>
          <w:sz w:val="24"/>
          <w:szCs w:val="24"/>
        </w:rPr>
        <w:t xml:space="preserve">mentionnées </w:t>
      </w:r>
      <w:r w:rsidRPr="001137C3">
        <w:rPr>
          <w:rFonts w:ascii="Times New Roman" w:hAnsi="Times New Roman"/>
          <w:sz w:val="24"/>
          <w:szCs w:val="24"/>
        </w:rPr>
        <w:t>aux I des articles 10, 11 et 12 du présent arrêté » ;</w:t>
      </w:r>
    </w:p>
    <w:p w14:paraId="235E6631" w14:textId="422467A5" w:rsidR="00384282" w:rsidRPr="001137C3" w:rsidRDefault="00384282"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au</w:t>
      </w:r>
      <w:proofErr w:type="gramEnd"/>
      <w:r w:rsidRPr="001137C3">
        <w:rPr>
          <w:rFonts w:ascii="Times New Roman" w:hAnsi="Times New Roman"/>
          <w:sz w:val="24"/>
          <w:szCs w:val="24"/>
        </w:rPr>
        <w:t xml:space="preserve"> </w:t>
      </w:r>
      <w:r w:rsidR="0065073C">
        <w:rPr>
          <w:rFonts w:ascii="Times New Roman" w:hAnsi="Times New Roman"/>
          <w:sz w:val="24"/>
          <w:szCs w:val="24"/>
        </w:rPr>
        <w:t>deuxième</w:t>
      </w:r>
      <w:r w:rsidR="0065073C" w:rsidRPr="001137C3">
        <w:rPr>
          <w:rFonts w:ascii="Times New Roman" w:hAnsi="Times New Roman"/>
          <w:sz w:val="24"/>
          <w:szCs w:val="24"/>
        </w:rPr>
        <w:t xml:space="preserve"> </w:t>
      </w:r>
      <w:r w:rsidRPr="001137C3">
        <w:rPr>
          <w:rFonts w:ascii="Times New Roman" w:hAnsi="Times New Roman"/>
          <w:sz w:val="24"/>
          <w:szCs w:val="24"/>
        </w:rPr>
        <w:t xml:space="preserve">alinéa, </w:t>
      </w:r>
      <w:r w:rsidR="001137C3" w:rsidRPr="001137C3">
        <w:rPr>
          <w:rFonts w:ascii="Times New Roman" w:hAnsi="Times New Roman"/>
          <w:sz w:val="24"/>
          <w:szCs w:val="24"/>
        </w:rPr>
        <w:t>après les mots : « pour les oxydes d’azote fixées au</w:t>
      </w:r>
      <w:r w:rsidR="006507F0">
        <w:rPr>
          <w:rFonts w:ascii="Times New Roman" w:hAnsi="Times New Roman"/>
          <w:sz w:val="24"/>
          <w:szCs w:val="24"/>
        </w:rPr>
        <w:t> »</w:t>
      </w:r>
      <w:r w:rsidR="001137C3" w:rsidRPr="001137C3">
        <w:rPr>
          <w:rFonts w:ascii="Times New Roman" w:hAnsi="Times New Roman"/>
          <w:sz w:val="24"/>
          <w:szCs w:val="24"/>
        </w:rPr>
        <w:t xml:space="preserve">, </w:t>
      </w:r>
      <w:r w:rsidR="006507F0">
        <w:rPr>
          <w:rFonts w:ascii="Times New Roman" w:hAnsi="Times New Roman"/>
          <w:sz w:val="24"/>
          <w:szCs w:val="24"/>
        </w:rPr>
        <w:t>les mots</w:t>
      </w:r>
      <w:r w:rsidR="001137C3" w:rsidRPr="001137C3">
        <w:rPr>
          <w:rFonts w:ascii="Times New Roman" w:hAnsi="Times New Roman"/>
          <w:sz w:val="24"/>
          <w:szCs w:val="24"/>
        </w:rPr>
        <w:t> : « a) </w:t>
      </w:r>
      <w:r w:rsidR="006507F0">
        <w:rPr>
          <w:rFonts w:ascii="Times New Roman" w:hAnsi="Times New Roman"/>
          <w:sz w:val="24"/>
          <w:szCs w:val="24"/>
        </w:rPr>
        <w:t xml:space="preserve">du </w:t>
      </w:r>
      <w:r w:rsidR="001137C3" w:rsidRPr="001137C3">
        <w:rPr>
          <w:rFonts w:ascii="Times New Roman" w:hAnsi="Times New Roman"/>
          <w:sz w:val="24"/>
          <w:szCs w:val="24"/>
        </w:rPr>
        <w:t xml:space="preserve">» </w:t>
      </w:r>
      <w:r w:rsidR="006507F0">
        <w:rPr>
          <w:rFonts w:ascii="Times New Roman" w:hAnsi="Times New Roman"/>
          <w:sz w:val="24"/>
          <w:szCs w:val="24"/>
        </w:rPr>
        <w:t xml:space="preserve">sont </w:t>
      </w:r>
      <w:r w:rsidR="001137C3" w:rsidRPr="001137C3">
        <w:rPr>
          <w:rFonts w:ascii="Times New Roman" w:hAnsi="Times New Roman"/>
          <w:sz w:val="24"/>
          <w:szCs w:val="24"/>
        </w:rPr>
        <w:t>inséré</w:t>
      </w:r>
      <w:r w:rsidR="006507F0">
        <w:rPr>
          <w:rFonts w:ascii="Times New Roman" w:hAnsi="Times New Roman"/>
          <w:sz w:val="24"/>
          <w:szCs w:val="24"/>
        </w:rPr>
        <w:t>s</w:t>
      </w:r>
      <w:r w:rsidR="001137C3">
        <w:rPr>
          <w:rFonts w:ascii="Times New Roman" w:hAnsi="Times New Roman"/>
          <w:sz w:val="24"/>
          <w:szCs w:val="24"/>
        </w:rPr>
        <w:t> ;</w:t>
      </w:r>
    </w:p>
    <w:p w14:paraId="501F7F45" w14:textId="5CBCF0A5" w:rsidR="001137C3" w:rsidRPr="001137C3" w:rsidRDefault="001137C3"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un</w:t>
      </w:r>
      <w:proofErr w:type="gramEnd"/>
      <w:r w:rsidRPr="001137C3">
        <w:rPr>
          <w:rFonts w:ascii="Times New Roman" w:hAnsi="Times New Roman"/>
          <w:sz w:val="24"/>
          <w:szCs w:val="24"/>
        </w:rPr>
        <w:t xml:space="preserve"> troisième alinéa </w:t>
      </w:r>
      <w:r w:rsidR="0065073C">
        <w:rPr>
          <w:rFonts w:ascii="Times New Roman" w:hAnsi="Times New Roman"/>
          <w:sz w:val="24"/>
          <w:szCs w:val="24"/>
        </w:rPr>
        <w:t xml:space="preserve">ainsi rédigé </w:t>
      </w:r>
      <w:r w:rsidRPr="001137C3">
        <w:rPr>
          <w:rFonts w:ascii="Times New Roman" w:hAnsi="Times New Roman"/>
          <w:sz w:val="24"/>
          <w:szCs w:val="24"/>
        </w:rPr>
        <w:t xml:space="preserve">est </w:t>
      </w:r>
      <w:r w:rsidR="006507F0">
        <w:rPr>
          <w:rFonts w:ascii="Times New Roman" w:hAnsi="Times New Roman"/>
          <w:sz w:val="24"/>
          <w:szCs w:val="24"/>
        </w:rPr>
        <w:t>inséré</w:t>
      </w:r>
      <w:r w:rsidR="006507F0" w:rsidRPr="001137C3">
        <w:rPr>
          <w:rFonts w:ascii="Times New Roman" w:hAnsi="Times New Roman"/>
          <w:sz w:val="24"/>
          <w:szCs w:val="24"/>
        </w:rPr>
        <w:t> </w:t>
      </w:r>
      <w:r w:rsidRPr="001137C3">
        <w:rPr>
          <w:rFonts w:ascii="Times New Roman" w:hAnsi="Times New Roman"/>
          <w:sz w:val="24"/>
          <w:szCs w:val="24"/>
        </w:rPr>
        <w:t>:</w:t>
      </w:r>
    </w:p>
    <w:p w14:paraId="43ECB259" w14:textId="22080F16" w:rsidR="001137C3" w:rsidRPr="001137C3" w:rsidRDefault="001137C3" w:rsidP="002B0DC1">
      <w:pPr>
        <w:pStyle w:val="Paragraphedeliste"/>
        <w:jc w:val="both"/>
        <w:rPr>
          <w:rFonts w:ascii="Times New Roman" w:eastAsia="Times New Roman" w:hAnsi="Times New Roman"/>
          <w:color w:val="000000"/>
          <w:sz w:val="24"/>
          <w:szCs w:val="24"/>
        </w:rPr>
      </w:pPr>
      <w:r w:rsidRPr="001137C3">
        <w:rPr>
          <w:rFonts w:ascii="Times New Roman" w:eastAsia="Times New Roman" w:hAnsi="Times New Roman"/>
          <w:color w:val="000000"/>
          <w:sz w:val="24"/>
          <w:szCs w:val="24"/>
        </w:rPr>
        <w:t xml:space="preserve">« Pour les moteurs de puissance thermique nominale supérieure ou égale à 15 MW, les valeurs limites d’émissions </w:t>
      </w:r>
      <w:r w:rsidR="001E10F4">
        <w:rPr>
          <w:rFonts w:ascii="Times New Roman" w:eastAsia="Times New Roman" w:hAnsi="Times New Roman"/>
          <w:color w:val="000000"/>
          <w:sz w:val="24"/>
          <w:szCs w:val="24"/>
        </w:rPr>
        <w:t>mentionnées</w:t>
      </w:r>
      <w:r w:rsidR="001E10F4" w:rsidRPr="001137C3">
        <w:rPr>
          <w:rFonts w:ascii="Times New Roman" w:eastAsia="Times New Roman" w:hAnsi="Times New Roman"/>
          <w:color w:val="000000"/>
          <w:sz w:val="24"/>
          <w:szCs w:val="24"/>
        </w:rPr>
        <w:t xml:space="preserve"> </w:t>
      </w:r>
      <w:r w:rsidRPr="001137C3">
        <w:rPr>
          <w:rFonts w:ascii="Times New Roman" w:eastAsia="Times New Roman" w:hAnsi="Times New Roman"/>
          <w:color w:val="000000"/>
          <w:sz w:val="24"/>
          <w:szCs w:val="24"/>
        </w:rPr>
        <w:t xml:space="preserve">au II de l’article 12 s’appliquent dans les délais mentionnés </w:t>
      </w:r>
      <w:r w:rsidR="001B1537">
        <w:rPr>
          <w:rFonts w:ascii="Times New Roman" w:eastAsia="Times New Roman" w:hAnsi="Times New Roman"/>
          <w:color w:val="000000"/>
          <w:sz w:val="24"/>
          <w:szCs w:val="24"/>
        </w:rPr>
        <w:t>au point d) du II de</w:t>
      </w:r>
      <w:r w:rsidRPr="001137C3">
        <w:rPr>
          <w:rFonts w:ascii="Times New Roman" w:eastAsia="Times New Roman" w:hAnsi="Times New Roman"/>
          <w:color w:val="000000"/>
          <w:sz w:val="24"/>
          <w:szCs w:val="24"/>
        </w:rPr>
        <w:t xml:space="preserve"> l’article 12. ».</w:t>
      </w:r>
    </w:p>
    <w:p w14:paraId="650345F7" w14:textId="76BB1883" w:rsidR="001137C3" w:rsidRDefault="0065073C" w:rsidP="002B0DC1">
      <w:pPr>
        <w:jc w:val="both"/>
      </w:pPr>
      <w:r>
        <w:rPr>
          <w:color w:val="000000"/>
        </w:rPr>
        <w:t>3°</w:t>
      </w:r>
      <w:r w:rsidR="001137C3" w:rsidRPr="001137C3">
        <w:rPr>
          <w:color w:val="000000"/>
        </w:rPr>
        <w:t xml:space="preserve"> </w:t>
      </w:r>
      <w:r w:rsidR="001137C3" w:rsidRPr="001137C3">
        <w:t>Le</w:t>
      </w:r>
      <w:r w:rsidR="006507F0">
        <w:t xml:space="preserve"> III de l’article 17 est modifié comme suit</w:t>
      </w:r>
      <w:r w:rsidR="001137C3" w:rsidRPr="001137C3">
        <w:t> :</w:t>
      </w:r>
    </w:p>
    <w:p w14:paraId="62FC8CC0" w14:textId="082C7D32" w:rsidR="001137C3" w:rsidRPr="001137C3" w:rsidRDefault="001137C3"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les</w:t>
      </w:r>
      <w:proofErr w:type="gramEnd"/>
      <w:r w:rsidRPr="001137C3">
        <w:rPr>
          <w:rFonts w:ascii="Times New Roman" w:hAnsi="Times New Roman"/>
          <w:sz w:val="24"/>
          <w:szCs w:val="24"/>
        </w:rPr>
        <w:t xml:space="preserve"> mots : « </w:t>
      </w:r>
      <w:r w:rsidR="0065073C">
        <w:rPr>
          <w:rFonts w:ascii="Times New Roman" w:hAnsi="Times New Roman"/>
          <w:sz w:val="24"/>
          <w:szCs w:val="24"/>
        </w:rPr>
        <w:t xml:space="preserve">visés </w:t>
      </w:r>
      <w:r w:rsidRPr="001137C3">
        <w:rPr>
          <w:rFonts w:ascii="Times New Roman" w:hAnsi="Times New Roman"/>
          <w:sz w:val="24"/>
          <w:szCs w:val="24"/>
        </w:rPr>
        <w:t>au chapitre II » sont remplacés par les mots : « </w:t>
      </w:r>
      <w:r w:rsidR="0065073C">
        <w:rPr>
          <w:rFonts w:ascii="Times New Roman" w:hAnsi="Times New Roman"/>
          <w:sz w:val="24"/>
          <w:szCs w:val="24"/>
        </w:rPr>
        <w:t xml:space="preserve">mentionnées </w:t>
      </w:r>
      <w:r w:rsidRPr="001137C3">
        <w:rPr>
          <w:rFonts w:ascii="Times New Roman" w:hAnsi="Times New Roman"/>
          <w:sz w:val="24"/>
          <w:szCs w:val="24"/>
        </w:rPr>
        <w:t>aux I des articles 10, 11 et 12 » ;</w:t>
      </w:r>
    </w:p>
    <w:p w14:paraId="5A3C28CC" w14:textId="34C0F5A1" w:rsidR="001137C3" w:rsidRPr="001137C3" w:rsidRDefault="001137C3"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après</w:t>
      </w:r>
      <w:proofErr w:type="gramEnd"/>
      <w:r w:rsidRPr="001137C3">
        <w:rPr>
          <w:rFonts w:ascii="Times New Roman" w:hAnsi="Times New Roman"/>
          <w:sz w:val="24"/>
          <w:szCs w:val="24"/>
        </w:rPr>
        <w:t xml:space="preserve"> les mots : « sous réserve d’obtenir une nouvelle autorisation du préfet », les mots suivants sont insérés : « ou une actualisation de l’arrêté préfectoral, » ;</w:t>
      </w:r>
    </w:p>
    <w:p w14:paraId="699BE5AC" w14:textId="7A5A0394" w:rsidR="001137C3" w:rsidRPr="001137C3" w:rsidRDefault="001137C3"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après</w:t>
      </w:r>
      <w:proofErr w:type="gramEnd"/>
      <w:r w:rsidRPr="001137C3">
        <w:rPr>
          <w:rFonts w:ascii="Times New Roman" w:hAnsi="Times New Roman"/>
          <w:sz w:val="24"/>
          <w:szCs w:val="24"/>
        </w:rPr>
        <w:t xml:space="preserve"> les mots</w:t>
      </w:r>
      <w:r w:rsidR="006507F0">
        <w:rPr>
          <w:rFonts w:ascii="Times New Roman" w:hAnsi="Times New Roman"/>
          <w:sz w:val="24"/>
          <w:szCs w:val="24"/>
        </w:rPr>
        <w:t xml:space="preserve"> : </w:t>
      </w:r>
      <w:r w:rsidRPr="001137C3">
        <w:rPr>
          <w:rFonts w:ascii="Times New Roman" w:hAnsi="Times New Roman"/>
          <w:sz w:val="24"/>
          <w:szCs w:val="24"/>
        </w:rPr>
        <w:t>« le dépôt d’une nouvelle demande » sont insérés les mots : « ou d’un dossier de porter à connaissance, conformément aux dispositions » ;</w:t>
      </w:r>
    </w:p>
    <w:p w14:paraId="2DF9188C" w14:textId="6F5FE8DF" w:rsidR="001137C3" w:rsidRPr="001137C3" w:rsidRDefault="001137C3"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le</w:t>
      </w:r>
      <w:proofErr w:type="gramEnd"/>
      <w:r w:rsidRPr="001137C3">
        <w:rPr>
          <w:rFonts w:ascii="Times New Roman" w:hAnsi="Times New Roman"/>
          <w:sz w:val="24"/>
          <w:szCs w:val="24"/>
        </w:rPr>
        <w:t xml:space="preserve"> mot</w:t>
      </w:r>
      <w:r w:rsidR="006507F0">
        <w:rPr>
          <w:rFonts w:ascii="Times New Roman" w:hAnsi="Times New Roman"/>
          <w:sz w:val="24"/>
          <w:szCs w:val="24"/>
        </w:rPr>
        <w:t xml:space="preserve"> : </w:t>
      </w:r>
      <w:r w:rsidRPr="001137C3">
        <w:rPr>
          <w:rFonts w:ascii="Times New Roman" w:hAnsi="Times New Roman"/>
          <w:sz w:val="24"/>
          <w:szCs w:val="24"/>
        </w:rPr>
        <w:t>« prévue » est remplacé par</w:t>
      </w:r>
      <w:r w:rsidR="006507F0">
        <w:rPr>
          <w:rFonts w:ascii="Times New Roman" w:hAnsi="Times New Roman"/>
          <w:sz w:val="24"/>
          <w:szCs w:val="24"/>
        </w:rPr>
        <w:t> </w:t>
      </w:r>
      <w:r w:rsidR="0065073C">
        <w:rPr>
          <w:rFonts w:ascii="Times New Roman" w:hAnsi="Times New Roman"/>
          <w:sz w:val="24"/>
          <w:szCs w:val="24"/>
        </w:rPr>
        <w:t xml:space="preserve">le mot </w:t>
      </w:r>
      <w:r w:rsidR="006507F0">
        <w:rPr>
          <w:rFonts w:ascii="Times New Roman" w:hAnsi="Times New Roman"/>
          <w:sz w:val="24"/>
          <w:szCs w:val="24"/>
        </w:rPr>
        <w:t xml:space="preserve">: </w:t>
      </w:r>
      <w:r w:rsidRPr="001137C3">
        <w:rPr>
          <w:rFonts w:ascii="Times New Roman" w:hAnsi="Times New Roman"/>
          <w:sz w:val="24"/>
          <w:szCs w:val="24"/>
        </w:rPr>
        <w:t>« prévues » ;</w:t>
      </w:r>
    </w:p>
    <w:p w14:paraId="1B5BE5EA" w14:textId="6C31CE9B" w:rsidR="001137C3" w:rsidRPr="001137C3" w:rsidRDefault="001137C3"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les</w:t>
      </w:r>
      <w:proofErr w:type="gramEnd"/>
      <w:r w:rsidRPr="001137C3">
        <w:rPr>
          <w:rFonts w:ascii="Times New Roman" w:hAnsi="Times New Roman"/>
          <w:sz w:val="24"/>
          <w:szCs w:val="24"/>
        </w:rPr>
        <w:t xml:space="preserve"> mots : « considérée comme une installation nouvelle et elle est » sont supprimés ;</w:t>
      </w:r>
    </w:p>
    <w:p w14:paraId="2619D67A" w14:textId="4D75B66F" w:rsidR="001137C3" w:rsidRPr="001137C3" w:rsidRDefault="001137C3" w:rsidP="002B0DC1">
      <w:pPr>
        <w:pStyle w:val="Paragraphedeliste"/>
        <w:numPr>
          <w:ilvl w:val="0"/>
          <w:numId w:val="3"/>
        </w:numPr>
        <w:jc w:val="both"/>
        <w:rPr>
          <w:rFonts w:ascii="Times New Roman" w:hAnsi="Times New Roman"/>
          <w:sz w:val="24"/>
          <w:szCs w:val="24"/>
        </w:rPr>
      </w:pPr>
      <w:proofErr w:type="gramStart"/>
      <w:r w:rsidRPr="001137C3">
        <w:rPr>
          <w:rFonts w:ascii="Times New Roman" w:hAnsi="Times New Roman"/>
          <w:sz w:val="24"/>
          <w:szCs w:val="24"/>
        </w:rPr>
        <w:t>après</w:t>
      </w:r>
      <w:proofErr w:type="gramEnd"/>
      <w:r w:rsidRPr="001137C3">
        <w:rPr>
          <w:rFonts w:ascii="Times New Roman" w:hAnsi="Times New Roman"/>
          <w:sz w:val="24"/>
          <w:szCs w:val="24"/>
        </w:rPr>
        <w:t xml:space="preserve"> les mots</w:t>
      </w:r>
      <w:r w:rsidR="006507F0">
        <w:rPr>
          <w:rFonts w:ascii="Times New Roman" w:hAnsi="Times New Roman"/>
          <w:sz w:val="24"/>
          <w:szCs w:val="24"/>
        </w:rPr>
        <w:t xml:space="preserve"> : </w:t>
      </w:r>
      <w:r w:rsidRPr="001137C3">
        <w:rPr>
          <w:rFonts w:ascii="Times New Roman" w:hAnsi="Times New Roman"/>
          <w:sz w:val="24"/>
          <w:szCs w:val="24"/>
        </w:rPr>
        <w:t>« cette dernière autorisation » sont insérés les mots : « ou de ce dernier arrêté préfectoral ».</w:t>
      </w:r>
    </w:p>
    <w:p w14:paraId="0DBAB27C" w14:textId="77777777" w:rsidR="00384282" w:rsidRPr="001137C3" w:rsidRDefault="00384282" w:rsidP="002B0DC1">
      <w:pPr>
        <w:jc w:val="both"/>
      </w:pPr>
    </w:p>
    <w:p w14:paraId="4BFD5666" w14:textId="4DCABDA3"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22</w:t>
      </w:r>
      <w:r w:rsidRPr="00384282">
        <w:rPr>
          <w:b/>
          <w:bCs/>
        </w:rPr>
        <w:fldChar w:fldCharType="end"/>
      </w:r>
    </w:p>
    <w:p w14:paraId="3A97A517" w14:textId="77777777" w:rsidR="001137C3" w:rsidRDefault="001137C3" w:rsidP="002B0DC1">
      <w:pPr>
        <w:jc w:val="both"/>
      </w:pPr>
    </w:p>
    <w:p w14:paraId="4F4587E1" w14:textId="6C1DF95A" w:rsidR="001137C3" w:rsidRDefault="001137C3" w:rsidP="002B0DC1">
      <w:pPr>
        <w:jc w:val="both"/>
      </w:pPr>
      <w:r>
        <w:t>L’article 18 de l’arrêté susvisé est ainsi modifié :</w:t>
      </w:r>
    </w:p>
    <w:p w14:paraId="397AB036" w14:textId="77777777" w:rsidR="001137C3" w:rsidRPr="001137C3" w:rsidRDefault="001137C3" w:rsidP="002B0DC1">
      <w:pPr>
        <w:jc w:val="both"/>
      </w:pPr>
    </w:p>
    <w:p w14:paraId="32C6C98E" w14:textId="51083F5E" w:rsidR="001137C3" w:rsidRDefault="0065073C" w:rsidP="002B0DC1">
      <w:pPr>
        <w:spacing w:after="240"/>
        <w:jc w:val="both"/>
      </w:pPr>
      <w:r>
        <w:t xml:space="preserve">1° </w:t>
      </w:r>
      <w:r w:rsidR="006507F0">
        <w:t xml:space="preserve">Un </w:t>
      </w:r>
      <w:r w:rsidR="001137C3" w:rsidRPr="001137C3">
        <w:t>alinéa « </w:t>
      </w:r>
      <w:r w:rsidR="001137C3" w:rsidRPr="001137C3">
        <w:rPr>
          <w:lang w:eastAsia="fr-FR"/>
        </w:rPr>
        <w:t xml:space="preserve">Installations de combustion à foyer mixte impliquant l’utilisation simultanée de deux combustibles ou plus </w:t>
      </w:r>
      <w:r w:rsidR="001137C3" w:rsidRPr="001137C3">
        <w:t>» est inséré avant le premier alinéa.</w:t>
      </w:r>
    </w:p>
    <w:p w14:paraId="17994974" w14:textId="1E033953" w:rsidR="001137C3" w:rsidRDefault="0065073C" w:rsidP="002B0DC1">
      <w:pPr>
        <w:spacing w:after="240"/>
        <w:jc w:val="both"/>
      </w:pPr>
      <w:r>
        <w:t>2°</w:t>
      </w:r>
      <w:r w:rsidR="003C2D9C" w:rsidRPr="003C2D9C">
        <w:t xml:space="preserve"> Avant le premier alinéa, </w:t>
      </w:r>
      <w:r>
        <w:t>la référence</w:t>
      </w:r>
      <w:r w:rsidR="003C2D9C" w:rsidRPr="003C2D9C">
        <w:t> :</w:t>
      </w:r>
      <w:r w:rsidR="001137C3" w:rsidRPr="003C2D9C">
        <w:t xml:space="preserve"> « I. – » est inséré.</w:t>
      </w:r>
    </w:p>
    <w:p w14:paraId="445C9926" w14:textId="320C095F" w:rsidR="001137C3" w:rsidRPr="001137C3" w:rsidRDefault="0065073C" w:rsidP="002B0DC1">
      <w:pPr>
        <w:spacing w:after="240"/>
        <w:jc w:val="both"/>
      </w:pPr>
      <w:r>
        <w:t>3°</w:t>
      </w:r>
      <w:r w:rsidR="001137C3" w:rsidRPr="001137C3">
        <w:t xml:space="preserve"> L’article est complété par les dispositions suivantes :</w:t>
      </w:r>
    </w:p>
    <w:p w14:paraId="324CA5AB" w14:textId="5AF4D283" w:rsidR="001137C3" w:rsidRPr="001137C3" w:rsidRDefault="001137C3" w:rsidP="002B0DC1">
      <w:pPr>
        <w:jc w:val="both"/>
        <w:rPr>
          <w:lang w:eastAsia="fr-FR"/>
        </w:rPr>
      </w:pPr>
      <w:r>
        <w:rPr>
          <w:lang w:eastAsia="fr-FR"/>
        </w:rPr>
        <w:t>« </w:t>
      </w:r>
      <w:r w:rsidRPr="001137C3">
        <w:rPr>
          <w:lang w:eastAsia="fr-FR"/>
        </w:rPr>
        <w:t xml:space="preserve">II. – </w:t>
      </w:r>
      <w:r w:rsidRPr="001137C3">
        <w:rPr>
          <w:color w:val="000000"/>
          <w:lang w:eastAsia="fr-FR"/>
        </w:rPr>
        <w:t>Pour les appareils de puissance thermique nominale de plus de 15 MW, dans le cas où il existe une valeur limite d’émission dans les tableaux II des articles 10, 11 et 12 qui s'applique aux mélanges de combustibles, la valeur limite d'émission journalière est la valeur la plus contraignante entre cette dernière valeur et celle déterminée conformément à l'article 40.1 de la directive 2010/75/UE susvisée et à l'article 34 du présent arrêté</w:t>
      </w:r>
      <w:r>
        <w:rPr>
          <w:color w:val="000000"/>
          <w:lang w:eastAsia="fr-FR"/>
        </w:rPr>
        <w:t>. »</w:t>
      </w:r>
    </w:p>
    <w:p w14:paraId="1D2FE531" w14:textId="77777777" w:rsidR="001137C3" w:rsidRPr="00384282" w:rsidRDefault="001137C3" w:rsidP="002B0DC1"/>
    <w:p w14:paraId="0018E901" w14:textId="5FD93A6F"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23</w:t>
      </w:r>
      <w:r w:rsidRPr="00384282">
        <w:rPr>
          <w:b/>
          <w:bCs/>
        </w:rPr>
        <w:fldChar w:fldCharType="end"/>
      </w:r>
    </w:p>
    <w:p w14:paraId="56AF6BCE" w14:textId="203DD553" w:rsidR="00424C89" w:rsidRDefault="00424C89" w:rsidP="002B0DC1"/>
    <w:p w14:paraId="7F2D8E84" w14:textId="2682D0C2" w:rsidR="001137C3" w:rsidRPr="001137C3" w:rsidRDefault="006507F0" w:rsidP="006507F0">
      <w:pPr>
        <w:jc w:val="both"/>
        <w:rPr>
          <w:rFonts w:ascii="Arial" w:hAnsi="Arial" w:cs="Arial"/>
          <w:b/>
          <w:bCs/>
          <w:color w:val="4A5E81"/>
          <w:sz w:val="21"/>
          <w:szCs w:val="21"/>
          <w:lang w:eastAsia="fr-FR"/>
        </w:rPr>
      </w:pPr>
      <w:r>
        <w:t xml:space="preserve">Au début de l’article </w:t>
      </w:r>
      <w:r w:rsidR="001137C3">
        <w:t xml:space="preserve">19 de l’arrêté susvisé est </w:t>
      </w:r>
      <w:r>
        <w:t xml:space="preserve">inséré un alinéa ainsi rédigé : </w:t>
      </w:r>
      <w:r w:rsidR="001137C3" w:rsidRPr="001137C3">
        <w:t>« </w:t>
      </w:r>
      <w:r w:rsidR="001137C3" w:rsidRPr="001137C3">
        <w:rPr>
          <w:lang w:eastAsia="fr-FR"/>
        </w:rPr>
        <w:t xml:space="preserve">Installations de combustion à foyer mixte et utilisant des résidus de distillation et de conversion du raffinage du pétrole brut </w:t>
      </w:r>
      <w:r w:rsidR="001137C3" w:rsidRPr="001137C3">
        <w:t>».</w:t>
      </w:r>
    </w:p>
    <w:p w14:paraId="40EA2600" w14:textId="77777777" w:rsidR="001137C3" w:rsidRPr="00384282" w:rsidRDefault="001137C3" w:rsidP="002B0DC1">
      <w:pPr>
        <w:jc w:val="center"/>
        <w:rPr>
          <w:b/>
          <w:bCs/>
        </w:rPr>
      </w:pPr>
    </w:p>
    <w:p w14:paraId="22C7B0A1" w14:textId="2D0062AE"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24</w:t>
      </w:r>
      <w:r w:rsidRPr="00384282">
        <w:rPr>
          <w:b/>
          <w:bCs/>
        </w:rPr>
        <w:fldChar w:fldCharType="end"/>
      </w:r>
    </w:p>
    <w:p w14:paraId="61CFDC17" w14:textId="77777777" w:rsidR="00424C89" w:rsidRPr="00384282" w:rsidRDefault="00424C89" w:rsidP="002B0DC1"/>
    <w:p w14:paraId="0E6C679C" w14:textId="7A42135A" w:rsidR="001137C3" w:rsidRPr="001137C3" w:rsidRDefault="006507F0" w:rsidP="006507F0">
      <w:pPr>
        <w:jc w:val="both"/>
        <w:rPr>
          <w:rFonts w:ascii="Arial" w:hAnsi="Arial" w:cs="Arial"/>
          <w:b/>
          <w:bCs/>
          <w:color w:val="4A5E81"/>
          <w:sz w:val="21"/>
          <w:szCs w:val="21"/>
          <w:lang w:eastAsia="fr-FR"/>
        </w:rPr>
      </w:pPr>
      <w:r>
        <w:t xml:space="preserve">Au début de l’article </w:t>
      </w:r>
      <w:r w:rsidR="001137C3">
        <w:t xml:space="preserve">20 de l’arrêté susvisé est </w:t>
      </w:r>
      <w:r>
        <w:t>inséré un alinéa ainsi rédigé</w:t>
      </w:r>
      <w:r w:rsidR="001137C3">
        <w:t> :</w:t>
      </w:r>
      <w:r w:rsidR="001137C3" w:rsidRPr="001137C3">
        <w:t xml:space="preserve"> « </w:t>
      </w:r>
      <w:r w:rsidR="001137C3">
        <w:rPr>
          <w:lang w:eastAsia="fr-FR"/>
        </w:rPr>
        <w:t>Appareils destinés aux situations d’urgence</w:t>
      </w:r>
      <w:r w:rsidR="001137C3" w:rsidRPr="001137C3">
        <w:rPr>
          <w:lang w:eastAsia="fr-FR"/>
        </w:rPr>
        <w:t xml:space="preserve"> </w:t>
      </w:r>
      <w:r w:rsidR="001137C3" w:rsidRPr="001137C3">
        <w:t>» est inséré avant le premier alinéa.</w:t>
      </w:r>
    </w:p>
    <w:p w14:paraId="7E3B42C2" w14:textId="77777777" w:rsidR="00424C89" w:rsidRPr="00384282" w:rsidRDefault="00424C89" w:rsidP="002B0DC1"/>
    <w:p w14:paraId="427CF59A" w14:textId="7ECCA78D"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25</w:t>
      </w:r>
      <w:r w:rsidRPr="00384282">
        <w:rPr>
          <w:b/>
          <w:bCs/>
        </w:rPr>
        <w:fldChar w:fldCharType="end"/>
      </w:r>
    </w:p>
    <w:p w14:paraId="660A9A18" w14:textId="77777777" w:rsidR="00C93E74" w:rsidRDefault="00C93E74" w:rsidP="002B0DC1">
      <w:pPr>
        <w:jc w:val="both"/>
      </w:pPr>
    </w:p>
    <w:p w14:paraId="550B8EBE" w14:textId="0163A055" w:rsidR="00C93E74" w:rsidRDefault="00C93E74" w:rsidP="002B0DC1">
      <w:pPr>
        <w:jc w:val="both"/>
      </w:pPr>
      <w:r>
        <w:t>L’article 21 de l’arrêté susvisé est ainsi modifié :</w:t>
      </w:r>
    </w:p>
    <w:p w14:paraId="376FE844" w14:textId="77777777" w:rsidR="00C93E74" w:rsidRPr="001137C3" w:rsidRDefault="00C93E74" w:rsidP="002B0DC1">
      <w:pPr>
        <w:jc w:val="both"/>
      </w:pPr>
    </w:p>
    <w:p w14:paraId="5B2E38FE" w14:textId="06838CE0" w:rsidR="00C93E74" w:rsidRDefault="0065073C" w:rsidP="002B0DC1">
      <w:r>
        <w:t>1°</w:t>
      </w:r>
      <w:r w:rsidR="00C93E74" w:rsidRPr="001137C3">
        <w:t xml:space="preserve"> </w:t>
      </w:r>
      <w:r w:rsidR="006507F0">
        <w:t xml:space="preserve">Un </w:t>
      </w:r>
      <w:r w:rsidR="006507F0" w:rsidRPr="00C93E74">
        <w:t>alinéa</w:t>
      </w:r>
      <w:r w:rsidR="00EE2823">
        <w:t xml:space="preserve"> : </w:t>
      </w:r>
      <w:r w:rsidR="00C93E74" w:rsidRPr="00C93E74">
        <w:t>« </w:t>
      </w:r>
      <w:r w:rsidR="00C93E74" w:rsidRPr="00C93E74">
        <w:rPr>
          <w:lang w:eastAsia="fr-FR"/>
        </w:rPr>
        <w:t xml:space="preserve">Dispositions générales concernant les rejets à l’atmosphère </w:t>
      </w:r>
      <w:r w:rsidR="00C93E74" w:rsidRPr="00C93E74">
        <w:t xml:space="preserve">» est inséré </w:t>
      </w:r>
      <w:r w:rsidR="00C93E74" w:rsidRPr="001137C3">
        <w:t>avant le premier alinéa.</w:t>
      </w:r>
    </w:p>
    <w:p w14:paraId="73B944FA" w14:textId="77777777" w:rsidR="00C705BC" w:rsidRDefault="00C705BC" w:rsidP="002B0DC1"/>
    <w:p w14:paraId="30EE4215" w14:textId="7F6CF440" w:rsidR="00C93E74" w:rsidRPr="00C705BC" w:rsidRDefault="0065073C" w:rsidP="002B0DC1">
      <w:pPr>
        <w:jc w:val="both"/>
        <w:rPr>
          <w:lang w:eastAsia="fr-FR"/>
        </w:rPr>
      </w:pPr>
      <w:r>
        <w:rPr>
          <w:lang w:eastAsia="fr-FR"/>
        </w:rPr>
        <w:t>2°</w:t>
      </w:r>
      <w:r w:rsidR="00C93E74" w:rsidRPr="00C705BC">
        <w:rPr>
          <w:lang w:eastAsia="fr-FR"/>
        </w:rPr>
        <w:t xml:space="preserve"> </w:t>
      </w:r>
      <w:r w:rsidR="006507F0">
        <w:rPr>
          <w:lang w:eastAsia="fr-FR"/>
        </w:rPr>
        <w:t>Le</w:t>
      </w:r>
      <w:r w:rsidR="00C705BC" w:rsidRPr="00C705BC">
        <w:rPr>
          <w:lang w:eastAsia="fr-FR"/>
        </w:rPr>
        <w:t xml:space="preserve"> I</w:t>
      </w:r>
      <w:r w:rsidR="006507F0">
        <w:rPr>
          <w:lang w:eastAsia="fr-FR"/>
        </w:rPr>
        <w:t xml:space="preserve"> de l’article 21 est modifié</w:t>
      </w:r>
      <w:r w:rsidR="00C705BC" w:rsidRPr="00C705BC">
        <w:rPr>
          <w:lang w:eastAsia="fr-FR"/>
        </w:rPr>
        <w:t xml:space="preserve"> comme suit :</w:t>
      </w:r>
    </w:p>
    <w:p w14:paraId="620609C7" w14:textId="5A1B9B76" w:rsidR="00C705BC" w:rsidRPr="00C705BC" w:rsidRDefault="00C705BC" w:rsidP="002B0DC1">
      <w:pPr>
        <w:pStyle w:val="Paragraphedeliste"/>
        <w:numPr>
          <w:ilvl w:val="0"/>
          <w:numId w:val="3"/>
        </w:numPr>
        <w:jc w:val="both"/>
        <w:rPr>
          <w:rFonts w:ascii="Times New Roman" w:hAnsi="Times New Roman"/>
          <w:sz w:val="24"/>
          <w:szCs w:val="24"/>
        </w:rPr>
      </w:pPr>
      <w:proofErr w:type="gramStart"/>
      <w:r w:rsidRPr="00C705BC">
        <w:rPr>
          <w:rFonts w:ascii="Times New Roman" w:hAnsi="Times New Roman"/>
          <w:sz w:val="24"/>
          <w:szCs w:val="24"/>
        </w:rPr>
        <w:t>au</w:t>
      </w:r>
      <w:proofErr w:type="gramEnd"/>
      <w:r w:rsidRPr="00C705BC">
        <w:rPr>
          <w:rFonts w:ascii="Times New Roman" w:hAnsi="Times New Roman"/>
          <w:sz w:val="24"/>
          <w:szCs w:val="24"/>
        </w:rPr>
        <w:t xml:space="preserve"> premier alinéa, après les mots : « points de rejet », sont insérés les mots : « dans le milieu naturel » ;</w:t>
      </w:r>
    </w:p>
    <w:p w14:paraId="34180278" w14:textId="78D23187" w:rsidR="00C705BC" w:rsidRPr="00C705BC" w:rsidRDefault="00C705BC" w:rsidP="002B0DC1">
      <w:pPr>
        <w:pStyle w:val="Paragraphedeliste"/>
        <w:numPr>
          <w:ilvl w:val="0"/>
          <w:numId w:val="3"/>
        </w:numPr>
        <w:jc w:val="both"/>
        <w:rPr>
          <w:rFonts w:ascii="Times New Roman" w:hAnsi="Times New Roman"/>
          <w:sz w:val="24"/>
          <w:szCs w:val="24"/>
        </w:rPr>
      </w:pPr>
      <w:proofErr w:type="gramStart"/>
      <w:r w:rsidRPr="00C705BC">
        <w:rPr>
          <w:rFonts w:ascii="Times New Roman" w:hAnsi="Times New Roman"/>
          <w:sz w:val="24"/>
          <w:szCs w:val="24"/>
        </w:rPr>
        <w:t>le</w:t>
      </w:r>
      <w:proofErr w:type="gramEnd"/>
      <w:r w:rsidRPr="00C705BC">
        <w:rPr>
          <w:rFonts w:ascii="Times New Roman" w:hAnsi="Times New Roman"/>
          <w:sz w:val="24"/>
          <w:szCs w:val="24"/>
        </w:rPr>
        <w:t xml:space="preserve"> premier alinéa est complété par </w:t>
      </w:r>
      <w:r w:rsidR="0065073C">
        <w:rPr>
          <w:rFonts w:ascii="Times New Roman" w:hAnsi="Times New Roman"/>
          <w:sz w:val="24"/>
          <w:szCs w:val="24"/>
        </w:rPr>
        <w:t>la phrase</w:t>
      </w:r>
      <w:r w:rsidRPr="00C705BC">
        <w:rPr>
          <w:rFonts w:ascii="Times New Roman" w:hAnsi="Times New Roman"/>
          <w:sz w:val="24"/>
          <w:szCs w:val="24"/>
        </w:rPr>
        <w:t> : « </w:t>
      </w:r>
      <w:r w:rsidRPr="00C705BC">
        <w:rPr>
          <w:rFonts w:ascii="Times New Roman" w:eastAsia="Times New Roman" w:hAnsi="Times New Roman"/>
          <w:color w:val="000000"/>
          <w:sz w:val="24"/>
          <w:szCs w:val="24"/>
        </w:rPr>
        <w:t xml:space="preserve">Si plusieurs points de rejets sont nécessaires, l’exploitant le justifie. » ; </w:t>
      </w:r>
    </w:p>
    <w:p w14:paraId="3B46034D" w14:textId="0D717EC9" w:rsidR="00C705BC" w:rsidRPr="00C705BC" w:rsidRDefault="00C705BC" w:rsidP="002B0DC1">
      <w:pPr>
        <w:pStyle w:val="Paragraphedeliste"/>
        <w:numPr>
          <w:ilvl w:val="0"/>
          <w:numId w:val="3"/>
        </w:numPr>
        <w:jc w:val="both"/>
        <w:rPr>
          <w:rFonts w:ascii="Times New Roman" w:hAnsi="Times New Roman"/>
          <w:sz w:val="24"/>
          <w:szCs w:val="24"/>
        </w:rPr>
      </w:pPr>
      <w:proofErr w:type="gramStart"/>
      <w:r w:rsidRPr="00C705BC">
        <w:rPr>
          <w:rFonts w:ascii="Times New Roman" w:hAnsi="Times New Roman"/>
          <w:sz w:val="24"/>
          <w:szCs w:val="24"/>
        </w:rPr>
        <w:t>au</w:t>
      </w:r>
      <w:proofErr w:type="gramEnd"/>
      <w:r w:rsidRPr="00C705BC">
        <w:rPr>
          <w:rFonts w:ascii="Times New Roman" w:hAnsi="Times New Roman"/>
          <w:sz w:val="24"/>
          <w:szCs w:val="24"/>
        </w:rPr>
        <w:t xml:space="preserve"> quatrième alinéa, les mots : « </w:t>
      </w:r>
      <w:r w:rsidRPr="00C705BC">
        <w:rPr>
          <w:rFonts w:ascii="Times New Roman" w:eastAsia="Times New Roman" w:hAnsi="Times New Roman"/>
          <w:color w:val="000000"/>
          <w:sz w:val="24"/>
          <w:szCs w:val="24"/>
        </w:rPr>
        <w:t>La partie terminale de la cheminée peut comporter un convergent réalisé suivant les règles de l'art lorsque la vitesse d'éjection à respecter est plus élevée que la vitesse des gaz dans la cheminée. » sont supprimés ;</w:t>
      </w:r>
    </w:p>
    <w:p w14:paraId="4299974A" w14:textId="7FC02EA3" w:rsidR="00C705BC" w:rsidRPr="00FB4D82" w:rsidRDefault="00C705BC" w:rsidP="002B0DC1">
      <w:pPr>
        <w:pStyle w:val="Paragraphedeliste"/>
        <w:numPr>
          <w:ilvl w:val="0"/>
          <w:numId w:val="3"/>
        </w:numPr>
        <w:jc w:val="both"/>
        <w:rPr>
          <w:rFonts w:ascii="Times New Roman" w:hAnsi="Times New Roman"/>
          <w:sz w:val="24"/>
          <w:szCs w:val="24"/>
        </w:rPr>
      </w:pPr>
      <w:proofErr w:type="gramStart"/>
      <w:r w:rsidRPr="00C705BC">
        <w:rPr>
          <w:rFonts w:ascii="Times New Roman" w:hAnsi="Times New Roman"/>
          <w:sz w:val="24"/>
          <w:szCs w:val="24"/>
        </w:rPr>
        <w:t>au</w:t>
      </w:r>
      <w:proofErr w:type="gramEnd"/>
      <w:r w:rsidRPr="00C705BC">
        <w:rPr>
          <w:rFonts w:ascii="Times New Roman" w:hAnsi="Times New Roman"/>
          <w:sz w:val="24"/>
          <w:szCs w:val="24"/>
        </w:rPr>
        <w:t xml:space="preserve"> quatrième alinéa, </w:t>
      </w:r>
      <w:r w:rsidR="0065073C">
        <w:rPr>
          <w:rFonts w:ascii="Times New Roman" w:hAnsi="Times New Roman"/>
          <w:sz w:val="24"/>
          <w:szCs w:val="24"/>
        </w:rPr>
        <w:t>la phrase</w:t>
      </w:r>
      <w:r w:rsidRPr="00C705BC">
        <w:rPr>
          <w:rFonts w:ascii="Times New Roman" w:hAnsi="Times New Roman"/>
          <w:sz w:val="24"/>
          <w:szCs w:val="24"/>
        </w:rPr>
        <w:t> : « </w:t>
      </w:r>
      <w:r w:rsidRPr="00C705BC">
        <w:rPr>
          <w:rFonts w:ascii="Times New Roman" w:eastAsia="Times New Roman" w:hAnsi="Times New Roman"/>
          <w:color w:val="000000"/>
          <w:sz w:val="24"/>
          <w:szCs w:val="24"/>
        </w:rPr>
        <w:t xml:space="preserve">Les contours des conduits ne présentent pas de point anguleux et la variation de la section des conduits au voisinage du débouché est continue et lente. » </w:t>
      </w:r>
      <w:r w:rsidR="0063454E">
        <w:rPr>
          <w:rFonts w:ascii="Times New Roman" w:eastAsia="Times New Roman" w:hAnsi="Times New Roman"/>
          <w:color w:val="000000"/>
          <w:sz w:val="24"/>
          <w:szCs w:val="24"/>
        </w:rPr>
        <w:t>est</w:t>
      </w:r>
      <w:r w:rsidRPr="00C705BC">
        <w:rPr>
          <w:rFonts w:ascii="Times New Roman" w:eastAsia="Times New Roman" w:hAnsi="Times New Roman"/>
          <w:color w:val="000000"/>
          <w:sz w:val="24"/>
          <w:szCs w:val="24"/>
        </w:rPr>
        <w:t xml:space="preserve"> remplacé</w:t>
      </w:r>
      <w:r w:rsidR="0063454E">
        <w:rPr>
          <w:rFonts w:ascii="Times New Roman" w:eastAsia="Times New Roman" w:hAnsi="Times New Roman"/>
          <w:color w:val="000000"/>
          <w:sz w:val="24"/>
          <w:szCs w:val="24"/>
        </w:rPr>
        <w:t>e</w:t>
      </w:r>
      <w:r w:rsidRPr="00C705BC">
        <w:rPr>
          <w:rFonts w:ascii="Times New Roman" w:eastAsia="Times New Roman" w:hAnsi="Times New Roman"/>
          <w:color w:val="000000"/>
          <w:sz w:val="24"/>
          <w:szCs w:val="24"/>
        </w:rPr>
        <w:t xml:space="preserve"> par : « Au voisinage du débouché, les conduits ne présentent pas </w:t>
      </w:r>
      <w:r w:rsidRPr="00FB4D82">
        <w:rPr>
          <w:rFonts w:ascii="Times New Roman" w:eastAsia="Times New Roman" w:hAnsi="Times New Roman"/>
          <w:color w:val="000000"/>
          <w:sz w:val="24"/>
          <w:szCs w:val="24"/>
        </w:rPr>
        <w:t>de changement d’axe brusque et la varisation de la section des conduits est progressive. ».</w:t>
      </w:r>
    </w:p>
    <w:p w14:paraId="36E1445B" w14:textId="7326F516" w:rsidR="00C705BC" w:rsidRPr="00FB4D82" w:rsidRDefault="0065073C" w:rsidP="002B0DC1">
      <w:pPr>
        <w:jc w:val="both"/>
      </w:pPr>
      <w:r>
        <w:t>3°</w:t>
      </w:r>
      <w:r w:rsidR="00C705BC" w:rsidRPr="00FB4D82">
        <w:t xml:space="preserve"> Le</w:t>
      </w:r>
      <w:r w:rsidR="00F214B2">
        <w:t xml:space="preserve"> III de l’article 21 est modifié </w:t>
      </w:r>
      <w:r w:rsidR="00C705BC" w:rsidRPr="00FB4D82">
        <w:t>comme suit :</w:t>
      </w:r>
    </w:p>
    <w:p w14:paraId="1B8176C4" w14:textId="566A459E" w:rsidR="00FB4D82" w:rsidRPr="00FB4D82" w:rsidRDefault="00C705BC" w:rsidP="002B0DC1">
      <w:pPr>
        <w:pStyle w:val="Paragraphedeliste"/>
        <w:numPr>
          <w:ilvl w:val="0"/>
          <w:numId w:val="3"/>
        </w:numPr>
        <w:jc w:val="both"/>
        <w:rPr>
          <w:rFonts w:ascii="Times New Roman" w:hAnsi="Times New Roman"/>
          <w:sz w:val="24"/>
          <w:szCs w:val="24"/>
        </w:rPr>
      </w:pPr>
      <w:proofErr w:type="gramStart"/>
      <w:r w:rsidRPr="00FB4D82">
        <w:rPr>
          <w:rFonts w:ascii="Times New Roman" w:hAnsi="Times New Roman"/>
          <w:sz w:val="24"/>
          <w:szCs w:val="24"/>
        </w:rPr>
        <w:t>le</w:t>
      </w:r>
      <w:proofErr w:type="gramEnd"/>
      <w:r w:rsidRPr="00FB4D82">
        <w:rPr>
          <w:rFonts w:ascii="Times New Roman" w:hAnsi="Times New Roman"/>
          <w:sz w:val="24"/>
          <w:szCs w:val="24"/>
        </w:rPr>
        <w:t xml:space="preserve"> mot</w:t>
      </w:r>
      <w:r w:rsidR="00F214B2">
        <w:rPr>
          <w:rFonts w:ascii="Times New Roman" w:hAnsi="Times New Roman"/>
          <w:sz w:val="24"/>
          <w:szCs w:val="24"/>
        </w:rPr>
        <w:t xml:space="preserve"> : </w:t>
      </w:r>
      <w:r w:rsidRPr="00FB4D82">
        <w:rPr>
          <w:rFonts w:ascii="Times New Roman" w:hAnsi="Times New Roman"/>
          <w:sz w:val="24"/>
          <w:szCs w:val="24"/>
        </w:rPr>
        <w:t xml:space="preserve">« nominale » </w:t>
      </w:r>
      <w:r w:rsidR="00F214B2">
        <w:rPr>
          <w:rFonts w:ascii="Times New Roman" w:hAnsi="Times New Roman"/>
          <w:sz w:val="24"/>
          <w:szCs w:val="24"/>
        </w:rPr>
        <w:t>est</w:t>
      </w:r>
      <w:r w:rsidR="00F214B2" w:rsidRPr="00FB4D82">
        <w:rPr>
          <w:rFonts w:ascii="Times New Roman" w:hAnsi="Times New Roman"/>
          <w:sz w:val="24"/>
          <w:szCs w:val="24"/>
        </w:rPr>
        <w:t xml:space="preserve"> </w:t>
      </w:r>
      <w:r w:rsidRPr="00FB4D82">
        <w:rPr>
          <w:rFonts w:ascii="Times New Roman" w:hAnsi="Times New Roman"/>
          <w:sz w:val="24"/>
          <w:szCs w:val="24"/>
        </w:rPr>
        <w:t>remplacé par les mots : « continue maximale » ;</w:t>
      </w:r>
    </w:p>
    <w:p w14:paraId="55E897CF" w14:textId="63595F87" w:rsidR="00FB4D82" w:rsidRPr="00FB4D82" w:rsidRDefault="00C705BC" w:rsidP="002B0DC1">
      <w:pPr>
        <w:pStyle w:val="Paragraphedeliste"/>
        <w:numPr>
          <w:ilvl w:val="0"/>
          <w:numId w:val="3"/>
        </w:numPr>
        <w:jc w:val="both"/>
        <w:rPr>
          <w:rFonts w:ascii="Times New Roman" w:hAnsi="Times New Roman"/>
          <w:sz w:val="24"/>
          <w:szCs w:val="24"/>
        </w:rPr>
      </w:pPr>
      <w:proofErr w:type="gramStart"/>
      <w:r w:rsidRPr="00FB4D82">
        <w:rPr>
          <w:rFonts w:ascii="Times New Roman" w:hAnsi="Times New Roman"/>
          <w:sz w:val="24"/>
          <w:szCs w:val="24"/>
        </w:rPr>
        <w:t>l’alinéa</w:t>
      </w:r>
      <w:proofErr w:type="gramEnd"/>
      <w:r w:rsidRPr="00FB4D82">
        <w:rPr>
          <w:rFonts w:ascii="Times New Roman" w:hAnsi="Times New Roman"/>
          <w:sz w:val="24"/>
          <w:szCs w:val="24"/>
        </w:rPr>
        <w:t xml:space="preserve"> suivant est inséré :</w:t>
      </w:r>
      <w:r w:rsidR="00FB4D82" w:rsidRPr="00FB4D82">
        <w:rPr>
          <w:rFonts w:ascii="Times New Roman" w:hAnsi="Times New Roman"/>
          <w:sz w:val="24"/>
          <w:szCs w:val="24"/>
        </w:rPr>
        <w:t xml:space="preserve"> « </w:t>
      </w:r>
      <w:bookmarkStart w:id="30" w:name="_Hlk167804505"/>
      <w:r w:rsidR="00FB4D82" w:rsidRPr="00FB4D82">
        <w:rPr>
          <w:rFonts w:ascii="Times New Roman" w:eastAsia="Times New Roman" w:hAnsi="Times New Roman"/>
          <w:color w:val="000000"/>
          <w:sz w:val="24"/>
          <w:szCs w:val="24"/>
        </w:rPr>
        <w:t>La partie terminale de la cheminée peut comporter un convergent réalisé suivant les règles de l'art lorsque la vitesse d'éjection à respecter est plus élevée que la vitesse des gaz dans la cheminée. »</w:t>
      </w:r>
    </w:p>
    <w:bookmarkEnd w:id="30"/>
    <w:p w14:paraId="2BB078B9" w14:textId="44E70CA7" w:rsidR="00FB4D82" w:rsidRPr="00FB4D82" w:rsidRDefault="0065073C" w:rsidP="002B0DC1">
      <w:pPr>
        <w:jc w:val="both"/>
      </w:pPr>
      <w:r>
        <w:t>4°</w:t>
      </w:r>
      <w:r w:rsidR="00FB4D82" w:rsidRPr="00FB4D82">
        <w:t xml:space="preserve"> L’article 21 est complété par l’alinéa suivant :</w:t>
      </w:r>
    </w:p>
    <w:p w14:paraId="4EE6E8CA" w14:textId="2CB30B6F" w:rsidR="00424C89" w:rsidRPr="00384282" w:rsidRDefault="00FB4D82" w:rsidP="002B0DC1">
      <w:pPr>
        <w:jc w:val="both"/>
      </w:pPr>
      <w:r w:rsidRPr="00FB4D82">
        <w:t xml:space="preserve">«  </w:t>
      </w:r>
      <w:r w:rsidRPr="00FB4D82">
        <w:rPr>
          <w:color w:val="000000"/>
          <w:lang w:eastAsia="fr-FR"/>
        </w:rPr>
        <w:t>IV. – Les dispositions de l’article 59 bis</w:t>
      </w:r>
      <w:r w:rsidR="00283A55">
        <w:rPr>
          <w:color w:val="000000"/>
          <w:lang w:eastAsia="fr-FR"/>
        </w:rPr>
        <w:t xml:space="preserve"> </w:t>
      </w:r>
      <w:r w:rsidR="00283A55" w:rsidRPr="00FB4D82">
        <w:rPr>
          <w:color w:val="000000"/>
          <w:lang w:eastAsia="fr-FR"/>
        </w:rPr>
        <w:t xml:space="preserve">de l’arrêté du 2 février 1998 </w:t>
      </w:r>
      <w:r w:rsidR="00283A55">
        <w:rPr>
          <w:color w:val="000000"/>
          <w:lang w:eastAsia="fr-FR"/>
        </w:rPr>
        <w:t>susvisé</w:t>
      </w:r>
      <w:r w:rsidRPr="00FB4D82">
        <w:rPr>
          <w:color w:val="000000"/>
          <w:lang w:eastAsia="fr-FR"/>
        </w:rPr>
        <w:t xml:space="preserve">, concernant le </w:t>
      </w:r>
      <w:r w:rsidR="00F214B2" w:rsidRPr="00FB4D82">
        <w:rPr>
          <w:color w:val="000000"/>
          <w:lang w:eastAsia="fr-FR"/>
        </w:rPr>
        <w:t>br</w:t>
      </w:r>
      <w:r w:rsidR="00F214B2">
        <w:rPr>
          <w:color w:val="000000"/>
          <w:lang w:eastAsia="fr-FR"/>
        </w:rPr>
        <w:t>û</w:t>
      </w:r>
      <w:r w:rsidR="00F214B2" w:rsidRPr="00FB4D82">
        <w:rPr>
          <w:color w:val="000000"/>
          <w:lang w:eastAsia="fr-FR"/>
        </w:rPr>
        <w:t xml:space="preserve">lage </w:t>
      </w:r>
      <w:r w:rsidRPr="00FB4D82">
        <w:rPr>
          <w:color w:val="000000"/>
          <w:lang w:eastAsia="fr-FR"/>
        </w:rPr>
        <w:t>à l’air libre,</w:t>
      </w:r>
      <w:r w:rsidR="00417A57">
        <w:rPr>
          <w:color w:val="000000"/>
          <w:lang w:eastAsia="fr-FR"/>
        </w:rPr>
        <w:t xml:space="preserve"> </w:t>
      </w:r>
      <w:r w:rsidRPr="00FB4D82">
        <w:rPr>
          <w:color w:val="000000"/>
          <w:lang w:eastAsia="fr-FR"/>
        </w:rPr>
        <w:t>s’appliquent. »</w:t>
      </w:r>
    </w:p>
    <w:p w14:paraId="0B7D710A" w14:textId="77777777" w:rsidR="00424C89" w:rsidRPr="00384282" w:rsidRDefault="00424C89" w:rsidP="002B0DC1"/>
    <w:p w14:paraId="6666566F" w14:textId="16DC3D37"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26</w:t>
      </w:r>
      <w:r w:rsidRPr="00384282">
        <w:rPr>
          <w:b/>
          <w:bCs/>
        </w:rPr>
        <w:fldChar w:fldCharType="end"/>
      </w:r>
    </w:p>
    <w:p w14:paraId="46ED67D7" w14:textId="77777777" w:rsidR="00FB4D82" w:rsidRDefault="00FB4D82" w:rsidP="002B0DC1">
      <w:pPr>
        <w:jc w:val="both"/>
      </w:pPr>
    </w:p>
    <w:p w14:paraId="0EE474FD" w14:textId="77569ACD" w:rsidR="00FB4D82" w:rsidRDefault="00FB4D82" w:rsidP="002B0DC1">
      <w:pPr>
        <w:jc w:val="both"/>
      </w:pPr>
      <w:r>
        <w:t>L’article 22 de l’arrêté susvisé est ainsi modifié :</w:t>
      </w:r>
    </w:p>
    <w:p w14:paraId="6D68CE59" w14:textId="77777777" w:rsidR="00FB4D82" w:rsidRPr="001137C3" w:rsidRDefault="00FB4D82" w:rsidP="002B0DC1">
      <w:pPr>
        <w:jc w:val="both"/>
      </w:pPr>
    </w:p>
    <w:p w14:paraId="68C10E43" w14:textId="15CA3C57" w:rsidR="00FB4D82" w:rsidRDefault="0065073C" w:rsidP="00020FF2">
      <w:pPr>
        <w:jc w:val="both"/>
      </w:pPr>
      <w:r>
        <w:t>1°</w:t>
      </w:r>
      <w:r w:rsidR="00FB4D82" w:rsidRPr="001137C3">
        <w:t xml:space="preserve"> </w:t>
      </w:r>
      <w:r w:rsidR="00F214B2">
        <w:t xml:space="preserve">Un </w:t>
      </w:r>
      <w:r w:rsidR="00F214B2" w:rsidRPr="00C93E74">
        <w:t>alinéa</w:t>
      </w:r>
      <w:r w:rsidR="00F214B2">
        <w:t xml:space="preserve"> : </w:t>
      </w:r>
      <w:r w:rsidR="00FB4D82" w:rsidRPr="00C93E74">
        <w:t>« </w:t>
      </w:r>
      <w:r w:rsidR="00FB4D82">
        <w:rPr>
          <w:lang w:eastAsia="fr-FR"/>
        </w:rPr>
        <w:t>Cheminées</w:t>
      </w:r>
      <w:r w:rsidR="00FB4D82" w:rsidRPr="00C93E74">
        <w:rPr>
          <w:lang w:eastAsia="fr-FR"/>
        </w:rPr>
        <w:t xml:space="preserve"> </w:t>
      </w:r>
      <w:r w:rsidR="00FB4D82" w:rsidRPr="00C93E74">
        <w:t xml:space="preserve">» est inséré </w:t>
      </w:r>
      <w:r w:rsidR="00FB4D82" w:rsidRPr="001137C3">
        <w:t>avant le premier alinéa.</w:t>
      </w:r>
    </w:p>
    <w:p w14:paraId="2FC3CE24" w14:textId="727B9D53" w:rsidR="000553E3" w:rsidRDefault="000553E3" w:rsidP="00020FF2">
      <w:pPr>
        <w:jc w:val="both"/>
      </w:pPr>
    </w:p>
    <w:p w14:paraId="0B4F5F6F" w14:textId="5B43123A" w:rsidR="000553E3" w:rsidRDefault="0065073C" w:rsidP="00020FF2">
      <w:pPr>
        <w:jc w:val="both"/>
      </w:pPr>
      <w:r>
        <w:t>2°</w:t>
      </w:r>
      <w:r w:rsidR="000553E3">
        <w:t xml:space="preserve"> Le premier alinéa est remplacé par les dispositions suivantes :</w:t>
      </w:r>
    </w:p>
    <w:p w14:paraId="4F269335" w14:textId="002F23F5" w:rsidR="000553E3" w:rsidRDefault="000553E3" w:rsidP="00020FF2">
      <w:pPr>
        <w:jc w:val="both"/>
      </w:pPr>
      <w:r>
        <w:t xml:space="preserve">« Pour les cheminées </w:t>
      </w:r>
      <w:r w:rsidR="0063454E">
        <w:t>construites</w:t>
      </w:r>
      <w:r>
        <w:t xml:space="preserve"> avant le 20 juin 2002, les dispositions définies dans l’arrêté préfectoral du site s’appliquent.</w:t>
      </w:r>
    </w:p>
    <w:p w14:paraId="15EA2642" w14:textId="77777777" w:rsidR="000553E3" w:rsidRDefault="000553E3" w:rsidP="00020FF2">
      <w:pPr>
        <w:jc w:val="both"/>
      </w:pPr>
    </w:p>
    <w:p w14:paraId="52CA68D3" w14:textId="60C9ED72" w:rsidR="000553E3" w:rsidRDefault="000553E3" w:rsidP="00020FF2">
      <w:pPr>
        <w:jc w:val="both"/>
      </w:pPr>
      <w:r>
        <w:t xml:space="preserve">« Pour les cheminées </w:t>
      </w:r>
      <w:r w:rsidR="0063454E">
        <w:t xml:space="preserve">construites </w:t>
      </w:r>
      <w:r>
        <w:t>entre le 20 juin 2002 et le 20 décembre 2018, les dispositions du présent article s’appliquent, sauf en ce qui concerne les dispositions du 6</w:t>
      </w:r>
      <w:r w:rsidRPr="0063454E">
        <w:rPr>
          <w:vertAlign w:val="superscript"/>
        </w:rPr>
        <w:t>e</w:t>
      </w:r>
      <w:r>
        <w:t xml:space="preserve"> alinéa du VII du présent article</w:t>
      </w:r>
      <w:r w:rsidR="0063454E">
        <w:t>,</w:t>
      </w:r>
      <w:r>
        <w:t xml:space="preserve"> qui sont remplacées par les dispositions suivantes : « - ils sont vus de la cheminée considérée sous un angle supérieur à 15° dans le plan horizontal ; »</w:t>
      </w:r>
    </w:p>
    <w:p w14:paraId="3A243EFE" w14:textId="77777777" w:rsidR="000553E3" w:rsidRDefault="000553E3" w:rsidP="00020FF2">
      <w:pPr>
        <w:jc w:val="both"/>
      </w:pPr>
    </w:p>
    <w:p w14:paraId="0C6F6A46" w14:textId="07DC90BF" w:rsidR="000553E3" w:rsidRDefault="000553E3" w:rsidP="00020FF2">
      <w:pPr>
        <w:jc w:val="both"/>
      </w:pPr>
      <w:r>
        <w:t xml:space="preserve">« Pour les cheminées </w:t>
      </w:r>
      <w:r w:rsidR="0063454E">
        <w:t xml:space="preserve">construites </w:t>
      </w:r>
      <w:r w:rsidR="00857400">
        <w:t>à compter du</w:t>
      </w:r>
      <w:r>
        <w:t xml:space="preserve"> 20 décembre 2018, les dispositions du présent article s’appliquent. »</w:t>
      </w:r>
    </w:p>
    <w:p w14:paraId="7F0EDD4D" w14:textId="01C1D3C3" w:rsidR="00424C89" w:rsidRDefault="00424C89" w:rsidP="00020FF2">
      <w:pPr>
        <w:jc w:val="both"/>
      </w:pPr>
    </w:p>
    <w:p w14:paraId="03E58A7A" w14:textId="4FB90613" w:rsidR="00FB4D82" w:rsidRPr="00FB4D82" w:rsidRDefault="0065073C" w:rsidP="00020FF2">
      <w:pPr>
        <w:jc w:val="both"/>
      </w:pPr>
      <w:r>
        <w:t>3°</w:t>
      </w:r>
      <w:r w:rsidR="00FB4D82" w:rsidRPr="00FB4D82">
        <w:t xml:space="preserve"> </w:t>
      </w:r>
      <w:r w:rsidR="00F214B2">
        <w:t>Le VII est modifié</w:t>
      </w:r>
      <w:r w:rsidR="00F214B2" w:rsidRPr="00FB4D82">
        <w:t xml:space="preserve"> </w:t>
      </w:r>
      <w:r w:rsidR="00FB4D82" w:rsidRPr="00FB4D82">
        <w:t>comme suit :</w:t>
      </w:r>
    </w:p>
    <w:p w14:paraId="74F6E3B4" w14:textId="0ACA1C12" w:rsidR="00FB4D82" w:rsidRPr="00FB4D82" w:rsidRDefault="00FB4D82" w:rsidP="00020FF2">
      <w:pPr>
        <w:pStyle w:val="Paragraphedeliste"/>
        <w:numPr>
          <w:ilvl w:val="0"/>
          <w:numId w:val="3"/>
        </w:numPr>
        <w:jc w:val="both"/>
        <w:rPr>
          <w:rFonts w:ascii="Times New Roman" w:hAnsi="Times New Roman"/>
          <w:sz w:val="24"/>
          <w:szCs w:val="24"/>
        </w:rPr>
      </w:pPr>
      <w:proofErr w:type="gramStart"/>
      <w:r w:rsidRPr="00FB4D82">
        <w:rPr>
          <w:rFonts w:ascii="Times New Roman" w:hAnsi="Times New Roman"/>
          <w:sz w:val="24"/>
          <w:szCs w:val="24"/>
        </w:rPr>
        <w:t>au</w:t>
      </w:r>
      <w:proofErr w:type="gramEnd"/>
      <w:r w:rsidRPr="00FB4D82">
        <w:rPr>
          <w:rFonts w:ascii="Times New Roman" w:hAnsi="Times New Roman"/>
          <w:sz w:val="24"/>
          <w:szCs w:val="24"/>
        </w:rPr>
        <w:t xml:space="preserve"> troisième alinéa, les mots</w:t>
      </w:r>
      <w:r w:rsidR="00F214B2">
        <w:rPr>
          <w:rFonts w:ascii="Times New Roman" w:hAnsi="Times New Roman"/>
          <w:sz w:val="24"/>
          <w:szCs w:val="24"/>
        </w:rPr>
        <w:t xml:space="preserve"> : </w:t>
      </w:r>
      <w:r w:rsidRPr="00FB4D82">
        <w:rPr>
          <w:rFonts w:ascii="Times New Roman" w:hAnsi="Times New Roman"/>
          <w:sz w:val="24"/>
          <w:szCs w:val="24"/>
        </w:rPr>
        <w:t>« les reliefs » sont insérés après les mots</w:t>
      </w:r>
      <w:r w:rsidR="00F214B2">
        <w:rPr>
          <w:rFonts w:ascii="Times New Roman" w:hAnsi="Times New Roman"/>
          <w:sz w:val="24"/>
          <w:szCs w:val="24"/>
        </w:rPr>
        <w:t xml:space="preserve"> : </w:t>
      </w:r>
      <w:r w:rsidRPr="00FB4D82">
        <w:rPr>
          <w:rFonts w:ascii="Times New Roman" w:hAnsi="Times New Roman"/>
          <w:sz w:val="24"/>
          <w:szCs w:val="24"/>
        </w:rPr>
        <w:t>« on considère comme obstacles » ;</w:t>
      </w:r>
    </w:p>
    <w:p w14:paraId="5CD3163A" w14:textId="4C81F759" w:rsidR="00FB4D82" w:rsidRPr="00FB4D82" w:rsidRDefault="00FB4D82" w:rsidP="00020FF2">
      <w:pPr>
        <w:pStyle w:val="Paragraphedeliste"/>
        <w:numPr>
          <w:ilvl w:val="0"/>
          <w:numId w:val="3"/>
        </w:numPr>
        <w:jc w:val="both"/>
        <w:rPr>
          <w:rFonts w:ascii="Times New Roman" w:hAnsi="Times New Roman"/>
          <w:sz w:val="24"/>
          <w:szCs w:val="24"/>
        </w:rPr>
      </w:pPr>
      <w:proofErr w:type="gramStart"/>
      <w:r w:rsidRPr="00FB4D82">
        <w:rPr>
          <w:rFonts w:ascii="Times New Roman" w:hAnsi="Times New Roman"/>
          <w:sz w:val="24"/>
          <w:szCs w:val="24"/>
        </w:rPr>
        <w:t>le</w:t>
      </w:r>
      <w:proofErr w:type="gramEnd"/>
      <w:r w:rsidRPr="00FB4D82">
        <w:rPr>
          <w:rFonts w:ascii="Times New Roman" w:hAnsi="Times New Roman"/>
          <w:sz w:val="24"/>
          <w:szCs w:val="24"/>
        </w:rPr>
        <w:t xml:space="preserve"> sixième alinéa est remplacé par les dispositions suivantes : « </w:t>
      </w:r>
      <w:r w:rsidRPr="00FB4D82">
        <w:rPr>
          <w:rFonts w:ascii="Times New Roman" w:hAnsi="Times New Roman"/>
          <w:iCs/>
          <w:sz w:val="24"/>
          <w:szCs w:val="24"/>
        </w:rPr>
        <w:t>ils ont une largeur supérieure à la largeur de leur intersection avec un cône d’axe horizontal et d’angle 15 degrés dont le sommet est le débouché de la cheminée</w:t>
      </w:r>
      <w:r w:rsidRPr="00FB4D82">
        <w:rPr>
          <w:rFonts w:ascii="Times New Roman" w:hAnsi="Times New Roman"/>
          <w:color w:val="3E3E3F"/>
          <w:sz w:val="24"/>
          <w:szCs w:val="24"/>
        </w:rPr>
        <w:t>. »</w:t>
      </w:r>
    </w:p>
    <w:p w14:paraId="784CD246" w14:textId="77777777" w:rsidR="00424C89" w:rsidRPr="00384282" w:rsidRDefault="00424C89" w:rsidP="002B0DC1"/>
    <w:p w14:paraId="362BB8A6" w14:textId="514EA243"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27</w:t>
      </w:r>
      <w:r w:rsidRPr="00384282">
        <w:rPr>
          <w:b/>
          <w:bCs/>
        </w:rPr>
        <w:fldChar w:fldCharType="end"/>
      </w:r>
    </w:p>
    <w:p w14:paraId="46577D77" w14:textId="0FEA44F3" w:rsidR="00424C89" w:rsidRDefault="00424C89" w:rsidP="002B0DC1">
      <w:pPr>
        <w:jc w:val="center"/>
        <w:rPr>
          <w:b/>
          <w:bCs/>
        </w:rPr>
      </w:pPr>
    </w:p>
    <w:p w14:paraId="7ADD0626" w14:textId="0720EEC3" w:rsidR="009C75CA" w:rsidRDefault="009C75CA" w:rsidP="002B0DC1">
      <w:pPr>
        <w:jc w:val="both"/>
      </w:pPr>
      <w:r>
        <w:t>L’article 23 de l’arrêté susvisé est ainsi modifié :</w:t>
      </w:r>
    </w:p>
    <w:p w14:paraId="0C41E6C1" w14:textId="77777777" w:rsidR="009C75CA" w:rsidRPr="001137C3" w:rsidRDefault="009C75CA" w:rsidP="002B0DC1">
      <w:pPr>
        <w:jc w:val="both"/>
      </w:pPr>
    </w:p>
    <w:p w14:paraId="573E32D5" w14:textId="6AF1C940" w:rsidR="009C75CA" w:rsidRPr="009C75CA" w:rsidRDefault="0065073C" w:rsidP="002B0DC1">
      <w:pPr>
        <w:spacing w:after="240"/>
      </w:pPr>
      <w:r>
        <w:t>1°</w:t>
      </w:r>
      <w:r w:rsidR="009C75CA" w:rsidRPr="001137C3">
        <w:t xml:space="preserve"> </w:t>
      </w:r>
      <w:r w:rsidR="00F214B2">
        <w:t xml:space="preserve">Un </w:t>
      </w:r>
      <w:r w:rsidR="00F214B2" w:rsidRPr="009C75CA">
        <w:t xml:space="preserve">alinéa </w:t>
      </w:r>
      <w:r w:rsidR="009C75CA" w:rsidRPr="009C75CA">
        <w:t>« </w:t>
      </w:r>
      <w:r w:rsidR="009C75CA" w:rsidRPr="009C75CA">
        <w:rPr>
          <w:lang w:eastAsia="fr-FR"/>
        </w:rPr>
        <w:t xml:space="preserve">Dispositions générales concernant la surveillance des rejets à l’atmosphère </w:t>
      </w:r>
      <w:r w:rsidR="009C75CA" w:rsidRPr="009C75CA">
        <w:t>» est inséré avant le premier alinéa.</w:t>
      </w:r>
    </w:p>
    <w:p w14:paraId="5C28F604" w14:textId="7646EC8F" w:rsidR="009C75CA" w:rsidRPr="009C75CA" w:rsidRDefault="0065073C" w:rsidP="002B0DC1">
      <w:pPr>
        <w:spacing w:after="240"/>
        <w:rPr>
          <w:lang w:eastAsia="fr-FR"/>
        </w:rPr>
      </w:pPr>
      <w:r>
        <w:rPr>
          <w:lang w:eastAsia="fr-FR"/>
        </w:rPr>
        <w:t>2°</w:t>
      </w:r>
      <w:r w:rsidR="009C75CA" w:rsidRPr="009C75CA">
        <w:rPr>
          <w:lang w:eastAsia="fr-FR"/>
        </w:rPr>
        <w:t xml:space="preserve"> L’article 23 est complété par les dispositions suivantes :</w:t>
      </w:r>
    </w:p>
    <w:p w14:paraId="0F6367E6" w14:textId="466A4CDD" w:rsidR="009C75CA" w:rsidRPr="009C75CA" w:rsidRDefault="009C75CA" w:rsidP="002B0DC1">
      <w:pPr>
        <w:jc w:val="both"/>
        <w:rPr>
          <w:color w:val="000000"/>
          <w:lang w:eastAsia="fr-FR"/>
        </w:rPr>
      </w:pPr>
      <w:r w:rsidRPr="009C75CA">
        <w:rPr>
          <w:color w:val="000000"/>
          <w:lang w:eastAsia="fr-FR"/>
        </w:rPr>
        <w:t xml:space="preserve">« IV. - </w:t>
      </w:r>
      <w:r w:rsidRPr="0052232D">
        <w:rPr>
          <w:color w:val="000000"/>
          <w:highlight w:val="yellow"/>
          <w:lang w:eastAsia="fr-FR"/>
        </w:rPr>
        <w:t xml:space="preserve">La fréquence de surveillance ne s’applique pas lorsque </w:t>
      </w:r>
      <w:r w:rsidR="00F4144A" w:rsidRPr="0052232D">
        <w:rPr>
          <w:color w:val="000000"/>
          <w:highlight w:val="yellow"/>
          <w:lang w:eastAsia="fr-FR"/>
        </w:rPr>
        <w:t xml:space="preserve">l’appareil </w:t>
      </w:r>
      <w:r w:rsidRPr="0052232D">
        <w:rPr>
          <w:color w:val="000000"/>
          <w:highlight w:val="yellow"/>
          <w:lang w:eastAsia="fr-FR"/>
        </w:rPr>
        <w:t>n’est mis en service qu’aux fins de mesurer les émissions.</w:t>
      </w:r>
    </w:p>
    <w:p w14:paraId="7395ABAF" w14:textId="77777777" w:rsidR="009C75CA" w:rsidRPr="009C75CA" w:rsidRDefault="009C75CA" w:rsidP="002B0DC1">
      <w:pPr>
        <w:jc w:val="both"/>
        <w:rPr>
          <w:color w:val="000000"/>
          <w:lang w:eastAsia="fr-FR"/>
        </w:rPr>
      </w:pPr>
    </w:p>
    <w:p w14:paraId="4FE83D34" w14:textId="771385E3" w:rsidR="009C75CA" w:rsidRPr="009C75CA" w:rsidRDefault="009C75CA" w:rsidP="002B0DC1">
      <w:pPr>
        <w:jc w:val="both"/>
        <w:rPr>
          <w:color w:val="000000"/>
          <w:lang w:eastAsia="fr-FR"/>
        </w:rPr>
      </w:pPr>
      <w:r w:rsidRPr="009C75CA">
        <w:rPr>
          <w:color w:val="000000"/>
          <w:lang w:eastAsia="fr-FR"/>
        </w:rPr>
        <w:t>« V. - Dans le cas des turbines à gaz, la surveillance est effectuée pour une charge de l'installation de combustion supérieure à 70 % pour la mesure des polluants suivants : NH</w:t>
      </w:r>
      <w:r w:rsidRPr="009C75CA">
        <w:rPr>
          <w:color w:val="000000"/>
          <w:vertAlign w:val="subscript"/>
          <w:lang w:eastAsia="fr-FR"/>
        </w:rPr>
        <w:t>3</w:t>
      </w:r>
      <w:r w:rsidRPr="009C75CA">
        <w:rPr>
          <w:color w:val="000000"/>
          <w:lang w:eastAsia="fr-FR"/>
        </w:rPr>
        <w:t>, NOx, CO, SO</w:t>
      </w:r>
      <w:r w:rsidRPr="009C75CA">
        <w:rPr>
          <w:color w:val="000000"/>
          <w:vertAlign w:val="subscript"/>
          <w:lang w:eastAsia="fr-FR"/>
        </w:rPr>
        <w:t>2</w:t>
      </w:r>
      <w:r w:rsidRPr="009C75CA">
        <w:rPr>
          <w:color w:val="000000"/>
          <w:lang w:eastAsia="fr-FR"/>
        </w:rPr>
        <w:t xml:space="preserve">, poussières. » </w:t>
      </w:r>
    </w:p>
    <w:p w14:paraId="7D3BD165" w14:textId="77777777" w:rsidR="009C75CA" w:rsidRPr="00384282" w:rsidRDefault="009C75CA" w:rsidP="002B0DC1">
      <w:pPr>
        <w:jc w:val="center"/>
        <w:rPr>
          <w:b/>
          <w:bCs/>
        </w:rPr>
      </w:pPr>
    </w:p>
    <w:p w14:paraId="25750ACF" w14:textId="3171A0EF"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28</w:t>
      </w:r>
      <w:r w:rsidRPr="00384282">
        <w:rPr>
          <w:b/>
          <w:bCs/>
        </w:rPr>
        <w:fldChar w:fldCharType="end"/>
      </w:r>
    </w:p>
    <w:p w14:paraId="26DF7C80" w14:textId="5DE01171" w:rsidR="00424C89" w:rsidRDefault="00424C89" w:rsidP="002B0DC1">
      <w:pPr>
        <w:jc w:val="both"/>
        <w:rPr>
          <w:b/>
          <w:bCs/>
        </w:rPr>
      </w:pPr>
    </w:p>
    <w:p w14:paraId="6C715DCB" w14:textId="6592623A" w:rsidR="009C75CA" w:rsidRDefault="009C75CA" w:rsidP="002B0DC1">
      <w:pPr>
        <w:jc w:val="both"/>
      </w:pPr>
      <w:r w:rsidRPr="00971CD4">
        <w:t>L’article 24 de l’arrêté susvisé est ainsi modifié :</w:t>
      </w:r>
    </w:p>
    <w:p w14:paraId="54281D0C" w14:textId="77777777" w:rsidR="009C75CA" w:rsidRPr="001137C3" w:rsidRDefault="009C75CA" w:rsidP="002B0DC1">
      <w:pPr>
        <w:jc w:val="both"/>
      </w:pPr>
    </w:p>
    <w:p w14:paraId="21EF2935" w14:textId="3FAFE312" w:rsidR="009C75CA" w:rsidRPr="009C75CA" w:rsidRDefault="0065073C" w:rsidP="002B0DC1">
      <w:pPr>
        <w:spacing w:after="240"/>
        <w:rPr>
          <w:lang w:eastAsia="fr-FR"/>
        </w:rPr>
      </w:pPr>
      <w:r>
        <w:t>1°</w:t>
      </w:r>
      <w:r w:rsidR="009C75CA" w:rsidRPr="009C75CA">
        <w:t xml:space="preserve"> </w:t>
      </w:r>
      <w:r w:rsidR="00F214B2">
        <w:t xml:space="preserve">Un </w:t>
      </w:r>
      <w:r w:rsidR="00F214B2" w:rsidRPr="009C75CA">
        <w:t xml:space="preserve">alinéa </w:t>
      </w:r>
      <w:r w:rsidR="009C75CA" w:rsidRPr="009C75CA">
        <w:t>« </w:t>
      </w:r>
      <w:r w:rsidR="009C75CA" w:rsidRPr="009C75CA">
        <w:rPr>
          <w:lang w:eastAsia="fr-FR"/>
        </w:rPr>
        <w:t>Surveillance du SO</w:t>
      </w:r>
      <w:r w:rsidR="009C75CA" w:rsidRPr="009C75CA">
        <w:rPr>
          <w:vertAlign w:val="subscript"/>
          <w:lang w:eastAsia="fr-FR"/>
        </w:rPr>
        <w:t>2</w:t>
      </w:r>
      <w:r w:rsidR="009C75CA" w:rsidRPr="009C75CA">
        <w:rPr>
          <w:lang w:eastAsia="fr-FR"/>
        </w:rPr>
        <w:t xml:space="preserve"> </w:t>
      </w:r>
      <w:r w:rsidR="009C75CA" w:rsidRPr="009C75CA">
        <w:t>» est inséré avant le premier alinéa.</w:t>
      </w:r>
    </w:p>
    <w:p w14:paraId="780A0CAA" w14:textId="43C6838E" w:rsidR="009C75CA" w:rsidRPr="009C75CA" w:rsidRDefault="0065073C" w:rsidP="002B0DC1">
      <w:pPr>
        <w:spacing w:after="240"/>
        <w:jc w:val="both"/>
        <w:rPr>
          <w:lang w:eastAsia="fr-FR"/>
        </w:rPr>
      </w:pPr>
      <w:r>
        <w:t>2°</w:t>
      </w:r>
      <w:r w:rsidR="009C75CA" w:rsidRPr="009C75CA">
        <w:t xml:space="preserve"> Le I est complété </w:t>
      </w:r>
      <w:r w:rsidR="00AF318E">
        <w:t>par les mots</w:t>
      </w:r>
      <w:r w:rsidR="009C75CA" w:rsidRPr="009C75CA">
        <w:t> : «</w:t>
      </w:r>
      <w:r w:rsidR="009C75CA" w:rsidRPr="009C75CA">
        <w:rPr>
          <w:lang w:eastAsia="fr-FR"/>
        </w:rPr>
        <w:t>, sauf dans les cas mentionnés aux II et III du présent article. »</w:t>
      </w:r>
    </w:p>
    <w:p w14:paraId="22FA74B0" w14:textId="21F46BE5" w:rsidR="00F214B2" w:rsidRPr="009E5796" w:rsidRDefault="0065073C" w:rsidP="002B0DC1">
      <w:pPr>
        <w:spacing w:after="240"/>
        <w:jc w:val="both"/>
        <w:rPr>
          <w:lang w:eastAsia="fr-FR"/>
        </w:rPr>
      </w:pPr>
      <w:r>
        <w:rPr>
          <w:lang w:eastAsia="fr-FR"/>
        </w:rPr>
        <w:t>3°</w:t>
      </w:r>
      <w:r w:rsidR="009C75CA" w:rsidRPr="009C75CA">
        <w:rPr>
          <w:lang w:eastAsia="fr-FR"/>
        </w:rPr>
        <w:t xml:space="preserve"> </w:t>
      </w:r>
      <w:r w:rsidR="00C45145">
        <w:rPr>
          <w:lang w:eastAsia="fr-FR"/>
        </w:rPr>
        <w:t xml:space="preserve">Le </w:t>
      </w:r>
      <w:r w:rsidR="00F214B2">
        <w:rPr>
          <w:lang w:eastAsia="fr-FR"/>
        </w:rPr>
        <w:t xml:space="preserve">mot : « Cependant » </w:t>
      </w:r>
      <w:r w:rsidR="00C45145">
        <w:rPr>
          <w:lang w:eastAsia="fr-FR"/>
        </w:rPr>
        <w:t xml:space="preserve">au début </w:t>
      </w:r>
      <w:r w:rsidR="00F214B2">
        <w:rPr>
          <w:lang w:eastAsia="fr-FR"/>
        </w:rPr>
        <w:t xml:space="preserve">du II est </w:t>
      </w:r>
      <w:r w:rsidR="00AF318E">
        <w:rPr>
          <w:lang w:eastAsia="fr-FR"/>
        </w:rPr>
        <w:t>remplacé par les alinéas suivants</w:t>
      </w:r>
      <w:r w:rsidR="00F214B2">
        <w:rPr>
          <w:lang w:eastAsia="fr-FR"/>
        </w:rPr>
        <w:t xml:space="preserve"> : </w:t>
      </w:r>
    </w:p>
    <w:p w14:paraId="45F5B947" w14:textId="77777777" w:rsidR="00355A61" w:rsidRPr="00355A61" w:rsidRDefault="00355A61" w:rsidP="002B0DC1">
      <w:pPr>
        <w:ind w:left="357"/>
        <w:jc w:val="both"/>
      </w:pPr>
      <w:r w:rsidRPr="00355A61">
        <w:t>« Pour les installations suivantes :</w:t>
      </w:r>
    </w:p>
    <w:p w14:paraId="7ED1B088" w14:textId="77777777" w:rsidR="00355A61" w:rsidRPr="00355A61" w:rsidRDefault="00355A61" w:rsidP="002B0DC1">
      <w:pPr>
        <w:pStyle w:val="Paragraphedeliste"/>
        <w:spacing w:after="240"/>
        <w:jc w:val="both"/>
        <w:rPr>
          <w:rFonts w:ascii="Times New Roman" w:eastAsia="Times New Roman" w:hAnsi="Times New Roman"/>
          <w:sz w:val="24"/>
          <w:szCs w:val="24"/>
          <w:lang w:eastAsia="zh-CN"/>
        </w:rPr>
      </w:pPr>
      <w:r w:rsidRPr="00355A61">
        <w:rPr>
          <w:rFonts w:ascii="Times New Roman" w:eastAsia="Times New Roman" w:hAnsi="Times New Roman"/>
          <w:sz w:val="24"/>
          <w:szCs w:val="24"/>
          <w:lang w:eastAsia="zh-CN"/>
        </w:rPr>
        <w:t>« - appareils de puissance thermique nominale inférieure à 15 MW ;</w:t>
      </w:r>
    </w:p>
    <w:p w14:paraId="4D6E4625" w14:textId="77777777" w:rsidR="00355A61" w:rsidRPr="00355A61" w:rsidRDefault="00355A61" w:rsidP="002B0DC1">
      <w:pPr>
        <w:pStyle w:val="Paragraphedeliste"/>
        <w:spacing w:after="240"/>
        <w:jc w:val="both"/>
        <w:rPr>
          <w:rFonts w:ascii="Times New Roman" w:eastAsia="Times New Roman" w:hAnsi="Times New Roman"/>
          <w:sz w:val="24"/>
          <w:szCs w:val="24"/>
          <w:lang w:eastAsia="zh-CN"/>
        </w:rPr>
      </w:pPr>
      <w:r w:rsidRPr="00355A61">
        <w:rPr>
          <w:rFonts w:ascii="Times New Roman" w:eastAsia="Times New Roman" w:hAnsi="Times New Roman"/>
          <w:sz w:val="24"/>
          <w:szCs w:val="24"/>
          <w:lang w:eastAsia="zh-CN"/>
        </w:rPr>
        <w:t xml:space="preserve">« - fours ou réchauffeurs industriels indirects ; </w:t>
      </w:r>
    </w:p>
    <w:p w14:paraId="1A85D348" w14:textId="0FC65F23" w:rsidR="00355A61" w:rsidRPr="00355A61" w:rsidRDefault="00355A61" w:rsidP="002B0DC1">
      <w:pPr>
        <w:pStyle w:val="Paragraphedeliste"/>
        <w:spacing w:after="240"/>
        <w:jc w:val="both"/>
        <w:rPr>
          <w:rFonts w:ascii="Times New Roman" w:eastAsia="Times New Roman" w:hAnsi="Times New Roman"/>
          <w:sz w:val="24"/>
          <w:szCs w:val="24"/>
          <w:lang w:eastAsia="zh-CN"/>
        </w:rPr>
      </w:pPr>
      <w:r w:rsidRPr="00355A61">
        <w:rPr>
          <w:rFonts w:ascii="Times New Roman" w:eastAsia="Times New Roman" w:hAnsi="Times New Roman"/>
          <w:sz w:val="24"/>
          <w:szCs w:val="24"/>
          <w:lang w:eastAsia="zh-CN"/>
        </w:rPr>
        <w:t xml:space="preserve">« - installations pour lesquelles les délais mentionnés </w:t>
      </w:r>
      <w:r w:rsidR="00D9011B">
        <w:rPr>
          <w:rFonts w:ascii="Times New Roman" w:eastAsia="Times New Roman" w:hAnsi="Times New Roman"/>
          <w:sz w:val="24"/>
          <w:szCs w:val="24"/>
          <w:lang w:eastAsia="zh-CN"/>
        </w:rPr>
        <w:t>au VII de l’article 3</w:t>
      </w:r>
      <w:r w:rsidRPr="00355A61">
        <w:rPr>
          <w:rFonts w:ascii="Times New Roman" w:eastAsia="Times New Roman" w:hAnsi="Times New Roman"/>
          <w:sz w:val="24"/>
          <w:szCs w:val="24"/>
          <w:lang w:eastAsia="zh-CN"/>
        </w:rPr>
        <w:t xml:space="preserve"> du présent arrêté ne sont pas encore échus ;</w:t>
      </w:r>
    </w:p>
    <w:p w14:paraId="238A68EC" w14:textId="60D5306F" w:rsidR="00355A61" w:rsidRPr="00BF69B8" w:rsidRDefault="00355A61" w:rsidP="002B0DC1">
      <w:pPr>
        <w:pStyle w:val="Paragraphedeliste"/>
        <w:spacing w:after="240"/>
        <w:jc w:val="both"/>
        <w:rPr>
          <w:rFonts w:ascii="Times New Roman" w:hAnsi="Times New Roman"/>
          <w:sz w:val="24"/>
          <w:szCs w:val="24"/>
        </w:rPr>
      </w:pPr>
      <w:r w:rsidRPr="00355A61">
        <w:rPr>
          <w:rFonts w:ascii="Times New Roman" w:eastAsia="Times New Roman" w:hAnsi="Times New Roman"/>
          <w:sz w:val="24"/>
          <w:szCs w:val="24"/>
          <w:lang w:eastAsia="zh-CN"/>
        </w:rPr>
        <w:t>« - appareils pour lesquels le combustible ne fait pas l’objet de la surveillance décrite au III du présent article ;</w:t>
      </w:r>
    </w:p>
    <w:p w14:paraId="017F7D25" w14:textId="5E4848F9" w:rsidR="009E5796" w:rsidRPr="00AF318E" w:rsidRDefault="00AF318E" w:rsidP="00AF318E">
      <w:pPr>
        <w:spacing w:after="240"/>
        <w:jc w:val="both"/>
      </w:pPr>
      <w:r>
        <w:t>4° A</w:t>
      </w:r>
      <w:r w:rsidR="009E5796" w:rsidRPr="00AF318E">
        <w:t xml:space="preserve">u </w:t>
      </w:r>
      <w:r w:rsidR="00971CD4" w:rsidRPr="00AF318E">
        <w:t xml:space="preserve">sixième </w:t>
      </w:r>
      <w:r w:rsidR="009E5796" w:rsidRPr="00AF318E">
        <w:t>alinéa, le mot</w:t>
      </w:r>
      <w:r w:rsidR="00C45145" w:rsidRPr="00AF318E">
        <w:t xml:space="preserve"> : </w:t>
      </w:r>
      <w:r w:rsidR="009E5796" w:rsidRPr="00AF318E">
        <w:t>« exclusivement » est inséré entre les mots</w:t>
      </w:r>
      <w:r w:rsidR="00C45145" w:rsidRPr="00AF318E">
        <w:t xml:space="preserve"> : </w:t>
      </w:r>
      <w:r w:rsidR="009E5796" w:rsidRPr="00AF318E">
        <w:t>« utilisant » et « du fioul domestique »</w:t>
      </w:r>
      <w:r w:rsidR="00D551B9" w:rsidRPr="00AF318E">
        <w:t>.</w:t>
      </w:r>
    </w:p>
    <w:p w14:paraId="5E8CCF10" w14:textId="7BA86BB1" w:rsidR="00D551B9" w:rsidRPr="00D551B9" w:rsidRDefault="0065073C" w:rsidP="002B0DC1">
      <w:pPr>
        <w:spacing w:after="240"/>
        <w:jc w:val="both"/>
      </w:pPr>
      <w:r>
        <w:t>4°</w:t>
      </w:r>
      <w:r w:rsidR="00D551B9" w:rsidRPr="00D551B9">
        <w:t xml:space="preserve"> L’article 24 est complété </w:t>
      </w:r>
      <w:r w:rsidR="00AF318E">
        <w:t>par les alinéas suivants</w:t>
      </w:r>
      <w:r w:rsidR="00D551B9" w:rsidRPr="00D551B9">
        <w:t> :</w:t>
      </w:r>
    </w:p>
    <w:p w14:paraId="0A100934" w14:textId="77502AB4" w:rsidR="00D551B9" w:rsidRPr="00D551B9" w:rsidRDefault="00D551B9" w:rsidP="002B0DC1">
      <w:pPr>
        <w:jc w:val="both"/>
        <w:rPr>
          <w:color w:val="000000"/>
          <w:lang w:eastAsia="fr-FR"/>
        </w:rPr>
      </w:pPr>
      <w:r w:rsidRPr="00D551B9">
        <w:rPr>
          <w:color w:val="000000"/>
          <w:lang w:eastAsia="fr-FR"/>
        </w:rPr>
        <w:t xml:space="preserve">« III. </w:t>
      </w:r>
      <w:bookmarkStart w:id="31" w:name="_Hlk166859752"/>
      <w:r w:rsidRPr="00D551B9">
        <w:rPr>
          <w:color w:val="000000"/>
          <w:lang w:eastAsia="fr-FR"/>
        </w:rPr>
        <w:t xml:space="preserve">Pour les chaudières, turbines et moteurs de puissance thermique nominale supérieure ou égale à 15 </w:t>
      </w:r>
      <w:r w:rsidRPr="00FB33D1">
        <w:rPr>
          <w:color w:val="000000"/>
          <w:lang w:eastAsia="fr-FR"/>
        </w:rPr>
        <w:t>MW, dans les délais mentionnés</w:t>
      </w:r>
      <w:r w:rsidR="00D9011B">
        <w:rPr>
          <w:color w:val="000000"/>
          <w:lang w:eastAsia="fr-FR"/>
        </w:rPr>
        <w:t xml:space="preserve"> au VII de l</w:t>
      </w:r>
      <w:r w:rsidRPr="00FB33D1">
        <w:rPr>
          <w:color w:val="000000"/>
          <w:lang w:eastAsia="fr-FR"/>
        </w:rPr>
        <w:t xml:space="preserve">’article 3 du présent arrêté, </w:t>
      </w:r>
      <w:bookmarkEnd w:id="31"/>
      <w:r w:rsidRPr="00FB33D1">
        <w:rPr>
          <w:color w:val="000000"/>
          <w:lang w:eastAsia="fr-FR"/>
        </w:rPr>
        <w:t>la mesure en continu n’est pas obligatoire dans les cas suivants :</w:t>
      </w:r>
    </w:p>
    <w:p w14:paraId="243DBC1A" w14:textId="58CF0403" w:rsidR="00D551B9" w:rsidRPr="00D551B9" w:rsidRDefault="00D551B9" w:rsidP="002B0DC1">
      <w:pPr>
        <w:pStyle w:val="Paragraphedeliste"/>
        <w:spacing w:after="0" w:line="240" w:lineRule="auto"/>
        <w:jc w:val="both"/>
        <w:rPr>
          <w:rFonts w:ascii="Times New Roman" w:eastAsia="Times New Roman" w:hAnsi="Times New Roman"/>
          <w:color w:val="000000"/>
          <w:sz w:val="24"/>
          <w:szCs w:val="24"/>
        </w:rPr>
      </w:pPr>
      <w:r w:rsidRPr="00D551B9">
        <w:rPr>
          <w:rFonts w:ascii="Times New Roman" w:eastAsia="Times New Roman" w:hAnsi="Times New Roman"/>
          <w:color w:val="000000"/>
          <w:sz w:val="24"/>
          <w:szCs w:val="24"/>
        </w:rPr>
        <w:t>« - pour les installations de combustion utilisant exclusivement du gaz naturel ;</w:t>
      </w:r>
    </w:p>
    <w:p w14:paraId="6F65EB5D" w14:textId="057BDE86" w:rsidR="00D551B9" w:rsidRPr="00D551B9" w:rsidRDefault="00D551B9" w:rsidP="002B0DC1">
      <w:pPr>
        <w:pStyle w:val="Paragraphedeliste"/>
        <w:spacing w:after="0" w:line="240" w:lineRule="auto"/>
        <w:jc w:val="both"/>
        <w:rPr>
          <w:rFonts w:ascii="Times New Roman" w:eastAsia="Times New Roman" w:hAnsi="Times New Roman"/>
          <w:color w:val="000000"/>
          <w:sz w:val="24"/>
          <w:szCs w:val="24"/>
        </w:rPr>
      </w:pPr>
      <w:r w:rsidRPr="00D551B9">
        <w:rPr>
          <w:rFonts w:ascii="Times New Roman" w:eastAsia="Times New Roman" w:hAnsi="Times New Roman"/>
          <w:color w:val="000000"/>
          <w:sz w:val="24"/>
          <w:szCs w:val="24"/>
        </w:rPr>
        <w:t xml:space="preserve">« - </w:t>
      </w:r>
      <w:r w:rsidR="00AF318E">
        <w:rPr>
          <w:rFonts w:ascii="Times New Roman" w:eastAsia="Times New Roman" w:hAnsi="Times New Roman"/>
          <w:color w:val="000000"/>
          <w:sz w:val="24"/>
          <w:szCs w:val="24"/>
        </w:rPr>
        <w:t xml:space="preserve">pour les </w:t>
      </w:r>
      <w:r w:rsidRPr="00D551B9">
        <w:rPr>
          <w:rFonts w:ascii="Times New Roman" w:eastAsia="Times New Roman" w:hAnsi="Times New Roman"/>
          <w:color w:val="000000"/>
          <w:sz w:val="24"/>
          <w:szCs w:val="24"/>
        </w:rPr>
        <w:t>installations utilisant un combustible à teneur en soufre connue et qui ne sont pas équipées d’un système de désulfuration des fumées ;</w:t>
      </w:r>
    </w:p>
    <w:p w14:paraId="34033849" w14:textId="70610CD5" w:rsidR="00D551B9" w:rsidRPr="00D551B9" w:rsidRDefault="00D551B9" w:rsidP="002B0DC1">
      <w:pPr>
        <w:pStyle w:val="Paragraphedeliste"/>
        <w:spacing w:after="0" w:line="240" w:lineRule="auto"/>
        <w:jc w:val="both"/>
        <w:rPr>
          <w:rFonts w:ascii="Times New Roman" w:eastAsia="Times New Roman" w:hAnsi="Times New Roman"/>
          <w:color w:val="000000"/>
          <w:sz w:val="24"/>
          <w:szCs w:val="24"/>
        </w:rPr>
      </w:pPr>
      <w:r w:rsidRPr="00D551B9">
        <w:rPr>
          <w:rFonts w:ascii="Times New Roman" w:eastAsia="Times New Roman" w:hAnsi="Times New Roman"/>
          <w:color w:val="000000"/>
          <w:sz w:val="24"/>
          <w:szCs w:val="24"/>
        </w:rPr>
        <w:t xml:space="preserve">« - </w:t>
      </w:r>
      <w:r w:rsidR="00AF318E">
        <w:rPr>
          <w:rFonts w:ascii="Times New Roman" w:eastAsia="Times New Roman" w:hAnsi="Times New Roman"/>
          <w:color w:val="000000"/>
          <w:sz w:val="24"/>
          <w:szCs w:val="24"/>
        </w:rPr>
        <w:t xml:space="preserve">pour les </w:t>
      </w:r>
      <w:r w:rsidRPr="00D551B9">
        <w:rPr>
          <w:rFonts w:ascii="Times New Roman" w:eastAsia="Times New Roman" w:hAnsi="Times New Roman"/>
          <w:color w:val="000000"/>
          <w:sz w:val="24"/>
          <w:szCs w:val="24"/>
        </w:rPr>
        <w:t xml:space="preserve">installations utilisant des combustibles issus de l’industrie chimique pour les installations de puissance totale inférieure à 100 </w:t>
      </w:r>
      <w:proofErr w:type="spellStart"/>
      <w:r w:rsidRPr="00D551B9">
        <w:rPr>
          <w:rFonts w:ascii="Times New Roman" w:eastAsia="Times New Roman" w:hAnsi="Times New Roman"/>
          <w:color w:val="000000"/>
          <w:sz w:val="24"/>
          <w:szCs w:val="24"/>
        </w:rPr>
        <w:t>MW</w:t>
      </w:r>
      <w:r w:rsidRPr="00D551B9">
        <w:rPr>
          <w:rFonts w:ascii="Times New Roman" w:eastAsia="Times New Roman" w:hAnsi="Times New Roman"/>
          <w:color w:val="000000"/>
          <w:sz w:val="24"/>
          <w:szCs w:val="24"/>
          <w:vertAlign w:val="subscript"/>
        </w:rPr>
        <w:t>th</w:t>
      </w:r>
      <w:proofErr w:type="spellEnd"/>
      <w:r w:rsidRPr="00D551B9">
        <w:rPr>
          <w:rFonts w:ascii="Times New Roman" w:eastAsia="Times New Roman" w:hAnsi="Times New Roman"/>
          <w:color w:val="000000"/>
          <w:sz w:val="24"/>
          <w:szCs w:val="24"/>
          <w:vertAlign w:val="subscript"/>
        </w:rPr>
        <w:t> </w:t>
      </w:r>
      <w:r w:rsidRPr="00D551B9">
        <w:rPr>
          <w:rFonts w:ascii="Times New Roman" w:eastAsia="Times New Roman" w:hAnsi="Times New Roman"/>
          <w:color w:val="000000"/>
          <w:sz w:val="24"/>
          <w:szCs w:val="24"/>
        </w:rPr>
        <w:t>;</w:t>
      </w:r>
    </w:p>
    <w:p w14:paraId="7A9318C4" w14:textId="1D4F91EE" w:rsidR="00D551B9" w:rsidRPr="00D551B9" w:rsidRDefault="00D551B9" w:rsidP="002B0DC1">
      <w:pPr>
        <w:pStyle w:val="Paragraphedeliste"/>
        <w:spacing w:after="0" w:line="240" w:lineRule="auto"/>
        <w:jc w:val="both"/>
        <w:rPr>
          <w:rFonts w:ascii="Times New Roman" w:eastAsia="Times New Roman" w:hAnsi="Times New Roman"/>
          <w:color w:val="000000"/>
          <w:sz w:val="24"/>
          <w:szCs w:val="24"/>
        </w:rPr>
      </w:pPr>
      <w:r w:rsidRPr="00D551B9">
        <w:rPr>
          <w:rFonts w:ascii="Times New Roman" w:eastAsia="Times New Roman" w:hAnsi="Times New Roman"/>
          <w:color w:val="000000"/>
          <w:sz w:val="24"/>
          <w:szCs w:val="24"/>
        </w:rPr>
        <w:t xml:space="preserve">« - pour tout appareil </w:t>
      </w:r>
      <w:r w:rsidR="009952AB">
        <w:rPr>
          <w:rFonts w:ascii="Times New Roman" w:eastAsia="Times New Roman" w:hAnsi="Times New Roman"/>
          <w:color w:val="000000"/>
          <w:sz w:val="24"/>
          <w:szCs w:val="24"/>
        </w:rPr>
        <w:t>mentionné</w:t>
      </w:r>
      <w:r w:rsidR="009952AB" w:rsidRPr="00D551B9">
        <w:rPr>
          <w:rFonts w:ascii="Times New Roman" w:eastAsia="Times New Roman" w:hAnsi="Times New Roman"/>
          <w:color w:val="000000"/>
          <w:sz w:val="24"/>
          <w:szCs w:val="24"/>
        </w:rPr>
        <w:t xml:space="preserve"> </w:t>
      </w:r>
      <w:r w:rsidRPr="00D551B9">
        <w:rPr>
          <w:rFonts w:ascii="Times New Roman" w:eastAsia="Times New Roman" w:hAnsi="Times New Roman"/>
          <w:color w:val="000000"/>
          <w:sz w:val="24"/>
          <w:szCs w:val="24"/>
        </w:rPr>
        <w:t>au a</w:t>
      </w:r>
      <w:r w:rsidR="009952AB">
        <w:rPr>
          <w:rFonts w:ascii="Times New Roman" w:eastAsia="Times New Roman" w:hAnsi="Times New Roman"/>
          <w:color w:val="000000"/>
          <w:sz w:val="24"/>
          <w:szCs w:val="24"/>
        </w:rPr>
        <w:t>)</w:t>
      </w:r>
      <w:r w:rsidRPr="00D551B9">
        <w:rPr>
          <w:rFonts w:ascii="Times New Roman" w:eastAsia="Times New Roman" w:hAnsi="Times New Roman"/>
          <w:color w:val="000000"/>
          <w:sz w:val="24"/>
          <w:szCs w:val="24"/>
        </w:rPr>
        <w:t xml:space="preserve"> de la définition des appareils destinés aux situations d’urgence, fonctionnant moins de 500 heures d’exploitation par an et qui fait partie d’une installation de combustion d’une puissance thermique nominale totale inférieure à 100 MW.</w:t>
      </w:r>
    </w:p>
    <w:p w14:paraId="782A05A5" w14:textId="77777777" w:rsidR="00D551B9" w:rsidRPr="00D551B9" w:rsidRDefault="00D551B9" w:rsidP="002B0DC1">
      <w:pPr>
        <w:jc w:val="both"/>
        <w:rPr>
          <w:color w:val="000000"/>
          <w:lang w:eastAsia="fr-FR"/>
        </w:rPr>
      </w:pPr>
    </w:p>
    <w:p w14:paraId="7F278140" w14:textId="05803AAE" w:rsidR="00D551B9" w:rsidRPr="00D551B9" w:rsidRDefault="00D551B9" w:rsidP="002B0DC1">
      <w:pPr>
        <w:jc w:val="both"/>
        <w:rPr>
          <w:color w:val="000000"/>
          <w:lang w:eastAsia="fr-FR"/>
        </w:rPr>
      </w:pPr>
      <w:r w:rsidRPr="00D551B9">
        <w:rPr>
          <w:color w:val="000000"/>
          <w:lang w:eastAsia="fr-FR"/>
        </w:rPr>
        <w:t>« Dans ces cas :</w:t>
      </w:r>
    </w:p>
    <w:p w14:paraId="29966D43" w14:textId="6AC62013" w:rsidR="00D551B9" w:rsidRPr="00D551B9" w:rsidRDefault="00D551B9" w:rsidP="002B0DC1">
      <w:pPr>
        <w:pStyle w:val="Paragraphedeliste"/>
        <w:spacing w:after="0" w:line="240" w:lineRule="auto"/>
        <w:jc w:val="both"/>
        <w:rPr>
          <w:rFonts w:ascii="Times New Roman" w:eastAsia="Times New Roman" w:hAnsi="Times New Roman"/>
          <w:color w:val="000000"/>
          <w:sz w:val="24"/>
          <w:szCs w:val="24"/>
        </w:rPr>
      </w:pPr>
      <w:r w:rsidRPr="00D551B9">
        <w:rPr>
          <w:rFonts w:ascii="Times New Roman" w:eastAsia="Times New Roman" w:hAnsi="Times New Roman"/>
          <w:color w:val="000000"/>
          <w:sz w:val="24"/>
          <w:szCs w:val="24"/>
        </w:rPr>
        <w:t>« - pour les installations utilisant un combustible à teneur en soufre connue et qui ne sont pas équipées d’un système de désulfuration des fumées, une mesure trimestrielle est effectuée et l’exploitant réalise une estimation journalière des rejets basée sur la connaissance de la teneur en soufre des combustibles et des paramètres de fonctionnement de l’installation. Les conditions d’application du présent alinéa sont précisées dans le programme de surveillance, prévu à l’article 23 du présent arrêté.</w:t>
      </w:r>
    </w:p>
    <w:p w14:paraId="0AEA644E" w14:textId="3339BEC8" w:rsidR="00D551B9" w:rsidRPr="00D551B9" w:rsidRDefault="00D551B9" w:rsidP="002B0DC1">
      <w:pPr>
        <w:pStyle w:val="Paragraphedeliste"/>
        <w:jc w:val="both"/>
        <w:rPr>
          <w:rFonts w:ascii="Times New Roman" w:eastAsia="Times New Roman" w:hAnsi="Times New Roman"/>
          <w:color w:val="000000"/>
          <w:sz w:val="24"/>
          <w:szCs w:val="24"/>
        </w:rPr>
      </w:pPr>
      <w:r w:rsidRPr="00D551B9">
        <w:rPr>
          <w:rFonts w:ascii="Times New Roman" w:eastAsia="Times New Roman" w:hAnsi="Times New Roman"/>
          <w:color w:val="000000"/>
          <w:sz w:val="24"/>
          <w:szCs w:val="24"/>
        </w:rPr>
        <w:t>« Au lieu de la mesure trimestrielle prévue au présent alinéa, d’autres procédures peuvent, après accord du préfet, être utilisées pour déterminer les émissions de SO</w:t>
      </w:r>
      <w:r w:rsidRPr="00D551B9">
        <w:rPr>
          <w:rFonts w:ascii="Times New Roman" w:eastAsia="Times New Roman" w:hAnsi="Times New Roman"/>
          <w:color w:val="000000"/>
          <w:sz w:val="24"/>
          <w:szCs w:val="24"/>
          <w:vertAlign w:val="subscript"/>
        </w:rPr>
        <w:t>2</w:t>
      </w:r>
      <w:r w:rsidRPr="00D551B9">
        <w:rPr>
          <w:rFonts w:ascii="Times New Roman" w:eastAsia="Times New Roman" w:hAnsi="Times New Roman"/>
          <w:color w:val="000000"/>
          <w:sz w:val="24"/>
          <w:szCs w:val="24"/>
        </w:rPr>
        <w:t>. Ces procédures garantissent l’obtention de données de qualité scientifique équivalente ;</w:t>
      </w:r>
    </w:p>
    <w:p w14:paraId="5D16CA51" w14:textId="7BDEAE19" w:rsidR="00D551B9" w:rsidRPr="00D551B9" w:rsidRDefault="00D551B9" w:rsidP="002B0DC1">
      <w:pPr>
        <w:pStyle w:val="Paragraphedeliste"/>
        <w:spacing w:after="0" w:line="240" w:lineRule="auto"/>
        <w:jc w:val="both"/>
        <w:rPr>
          <w:rFonts w:ascii="Times New Roman" w:eastAsia="Times New Roman" w:hAnsi="Times New Roman"/>
          <w:color w:val="000000"/>
          <w:sz w:val="24"/>
          <w:szCs w:val="24"/>
        </w:rPr>
      </w:pPr>
      <w:r w:rsidRPr="00D551B9">
        <w:rPr>
          <w:rFonts w:ascii="Times New Roman" w:eastAsia="Times New Roman" w:hAnsi="Times New Roman"/>
          <w:color w:val="000000"/>
          <w:sz w:val="24"/>
          <w:szCs w:val="24"/>
        </w:rPr>
        <w:t xml:space="preserve">« - pour les installations utilisant des combustibles issus de l’industrie chimique pour les installations de puissance totale inférieure à 100 </w:t>
      </w:r>
      <w:proofErr w:type="spellStart"/>
      <w:r w:rsidRPr="00D551B9">
        <w:rPr>
          <w:rFonts w:ascii="Times New Roman" w:eastAsia="Times New Roman" w:hAnsi="Times New Roman"/>
          <w:color w:val="000000"/>
          <w:sz w:val="24"/>
          <w:szCs w:val="24"/>
        </w:rPr>
        <w:t>MW</w:t>
      </w:r>
      <w:r w:rsidRPr="00D551B9">
        <w:rPr>
          <w:rFonts w:ascii="Times New Roman" w:eastAsia="Times New Roman" w:hAnsi="Times New Roman"/>
          <w:color w:val="000000"/>
          <w:sz w:val="24"/>
          <w:szCs w:val="24"/>
          <w:vertAlign w:val="subscript"/>
        </w:rPr>
        <w:t>th</w:t>
      </w:r>
      <w:proofErr w:type="spellEnd"/>
      <w:r w:rsidRPr="00D551B9">
        <w:rPr>
          <w:rFonts w:ascii="Times New Roman" w:eastAsia="Times New Roman" w:hAnsi="Times New Roman"/>
          <w:color w:val="000000"/>
          <w:sz w:val="24"/>
          <w:szCs w:val="24"/>
        </w:rPr>
        <w:t xml:space="preserve">, il est possible d’adapter la fréquence de surveillance après une première caractérisation du combustible, tel que précisé </w:t>
      </w:r>
      <w:r w:rsidR="000125F2">
        <w:rPr>
          <w:rFonts w:ascii="Times New Roman" w:eastAsia="Times New Roman" w:hAnsi="Times New Roman"/>
          <w:color w:val="000000"/>
          <w:sz w:val="24"/>
          <w:szCs w:val="24"/>
        </w:rPr>
        <w:t xml:space="preserve">au II de </w:t>
      </w:r>
      <w:r w:rsidRPr="00D551B9">
        <w:rPr>
          <w:rFonts w:ascii="Times New Roman" w:eastAsia="Times New Roman" w:hAnsi="Times New Roman"/>
          <w:color w:val="000000"/>
          <w:sz w:val="24"/>
          <w:szCs w:val="24"/>
        </w:rPr>
        <w:t xml:space="preserve">l’article 5-2 du présent arrêté, basée sur une évaluation de la pertinence des polluants (par exemple, concentration dans le combustible, traitement des fumées appliqué) pour les émissions dans l’air, mais en tout état de cause, des mesures devront être effectuées au moins à chaque modification des caractéristiques du combustible susceptible d’avoir une incidence sur les émissions ;pour tout appareil </w:t>
      </w:r>
      <w:r w:rsidR="00C45145">
        <w:rPr>
          <w:rFonts w:ascii="Times New Roman" w:eastAsia="Times New Roman" w:hAnsi="Times New Roman"/>
          <w:color w:val="000000"/>
          <w:sz w:val="24"/>
          <w:szCs w:val="24"/>
        </w:rPr>
        <w:t>mentionné</w:t>
      </w:r>
      <w:r w:rsidR="00C45145" w:rsidRPr="00D551B9">
        <w:rPr>
          <w:rFonts w:ascii="Times New Roman" w:eastAsia="Times New Roman" w:hAnsi="Times New Roman"/>
          <w:color w:val="000000"/>
          <w:sz w:val="24"/>
          <w:szCs w:val="24"/>
        </w:rPr>
        <w:t xml:space="preserve"> </w:t>
      </w:r>
      <w:r w:rsidRPr="00D551B9">
        <w:rPr>
          <w:rFonts w:ascii="Times New Roman" w:eastAsia="Times New Roman" w:hAnsi="Times New Roman"/>
          <w:color w:val="000000"/>
          <w:sz w:val="24"/>
          <w:szCs w:val="24"/>
        </w:rPr>
        <w:t>au a</w:t>
      </w:r>
      <w:r w:rsidR="00C45145">
        <w:rPr>
          <w:rFonts w:ascii="Times New Roman" w:eastAsia="Times New Roman" w:hAnsi="Times New Roman"/>
          <w:color w:val="000000"/>
          <w:sz w:val="24"/>
          <w:szCs w:val="24"/>
        </w:rPr>
        <w:t>)</w:t>
      </w:r>
      <w:r w:rsidRPr="00D551B9">
        <w:rPr>
          <w:rFonts w:ascii="Times New Roman" w:eastAsia="Times New Roman" w:hAnsi="Times New Roman"/>
          <w:color w:val="000000"/>
          <w:sz w:val="24"/>
          <w:szCs w:val="24"/>
        </w:rPr>
        <w:t xml:space="preserve"> de la définition des appareils destinés aux situations d’urgence, fonctionnant moins de 500 heures d’exploitation par an et qui fait partie d’une installation de combustion d’une puissance thermique nominale totale inférieure à 100 MW, une mesure semestrielle est effectuée. »</w:t>
      </w:r>
      <w:r w:rsidR="00880D1D">
        <w:rPr>
          <w:rFonts w:ascii="Times New Roman" w:eastAsia="Times New Roman" w:hAnsi="Times New Roman"/>
          <w:color w:val="000000"/>
          <w:sz w:val="24"/>
          <w:szCs w:val="24"/>
        </w:rPr>
        <w:t>.</w:t>
      </w:r>
    </w:p>
    <w:p w14:paraId="5227D9EC" w14:textId="77777777" w:rsidR="009C75CA" w:rsidRPr="00384282" w:rsidRDefault="009C75CA" w:rsidP="002B0DC1">
      <w:pPr>
        <w:jc w:val="center"/>
        <w:rPr>
          <w:b/>
          <w:bCs/>
        </w:rPr>
      </w:pPr>
    </w:p>
    <w:p w14:paraId="6106D360" w14:textId="0A678872" w:rsidR="00914E79" w:rsidRPr="00384282" w:rsidRDefault="00914E7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29</w:t>
      </w:r>
      <w:r w:rsidRPr="00384282">
        <w:rPr>
          <w:b/>
          <w:bCs/>
        </w:rPr>
        <w:fldChar w:fldCharType="end"/>
      </w:r>
    </w:p>
    <w:p w14:paraId="5DE7EA9B" w14:textId="0F05ADF5" w:rsidR="00914E79" w:rsidRDefault="00914E79" w:rsidP="002B0DC1"/>
    <w:p w14:paraId="4A6D58E7" w14:textId="4927F493" w:rsidR="009D0A0A" w:rsidRDefault="009D0A0A" w:rsidP="002B0DC1">
      <w:pPr>
        <w:jc w:val="both"/>
      </w:pPr>
      <w:r>
        <w:t>L’article 25 de l’arrêté susvisé est ainsi modifié :</w:t>
      </w:r>
    </w:p>
    <w:p w14:paraId="5FF885A2" w14:textId="77777777" w:rsidR="009D0A0A" w:rsidRPr="001137C3" w:rsidRDefault="009D0A0A" w:rsidP="002B0DC1">
      <w:pPr>
        <w:jc w:val="both"/>
      </w:pPr>
    </w:p>
    <w:p w14:paraId="5C2B9162" w14:textId="62FE9F8A" w:rsidR="009D0A0A" w:rsidRPr="009C75CA" w:rsidRDefault="0065073C" w:rsidP="002B0DC1">
      <w:pPr>
        <w:spacing w:after="240"/>
        <w:rPr>
          <w:lang w:eastAsia="fr-FR"/>
        </w:rPr>
      </w:pPr>
      <w:r>
        <w:t>1°</w:t>
      </w:r>
      <w:r w:rsidR="009D0A0A" w:rsidRPr="009C75CA">
        <w:t xml:space="preserve"> </w:t>
      </w:r>
      <w:r w:rsidR="00C45145">
        <w:t xml:space="preserve">Un </w:t>
      </w:r>
      <w:r w:rsidR="00C45145" w:rsidRPr="009C75CA">
        <w:t xml:space="preserve">alinéa </w:t>
      </w:r>
      <w:r w:rsidR="009D0A0A" w:rsidRPr="009C75CA">
        <w:t>« </w:t>
      </w:r>
      <w:r w:rsidR="009D0A0A" w:rsidRPr="009C75CA">
        <w:rPr>
          <w:lang w:eastAsia="fr-FR"/>
        </w:rPr>
        <w:t>Surveillance d</w:t>
      </w:r>
      <w:r w:rsidR="009D0A0A">
        <w:rPr>
          <w:lang w:eastAsia="fr-FR"/>
        </w:rPr>
        <w:t>es</w:t>
      </w:r>
      <w:r w:rsidR="009D0A0A" w:rsidRPr="009C75CA">
        <w:rPr>
          <w:lang w:eastAsia="fr-FR"/>
        </w:rPr>
        <w:t xml:space="preserve"> </w:t>
      </w:r>
      <w:r w:rsidR="009D0A0A">
        <w:rPr>
          <w:lang w:eastAsia="fr-FR"/>
        </w:rPr>
        <w:t>NOx</w:t>
      </w:r>
      <w:r w:rsidR="009D0A0A" w:rsidRPr="009C75CA">
        <w:rPr>
          <w:lang w:eastAsia="fr-FR"/>
        </w:rPr>
        <w:t xml:space="preserve"> </w:t>
      </w:r>
      <w:r w:rsidR="009D0A0A" w:rsidRPr="009C75CA">
        <w:t>» est inséré avant le premier alinéa.</w:t>
      </w:r>
    </w:p>
    <w:p w14:paraId="0E754E45" w14:textId="26DB2E48" w:rsidR="009D0A0A" w:rsidRPr="009C75CA" w:rsidRDefault="0065073C" w:rsidP="002B0DC1">
      <w:pPr>
        <w:spacing w:after="240"/>
        <w:jc w:val="both"/>
        <w:rPr>
          <w:lang w:eastAsia="fr-FR"/>
        </w:rPr>
      </w:pPr>
      <w:r>
        <w:t>2°</w:t>
      </w:r>
      <w:r w:rsidR="009D0A0A" w:rsidRPr="009C75CA">
        <w:t xml:space="preserve"> Le I est complété </w:t>
      </w:r>
      <w:r w:rsidR="00AF318E">
        <w:t>par les mots</w:t>
      </w:r>
      <w:r w:rsidR="009D0A0A" w:rsidRPr="009C75CA">
        <w:t> : «</w:t>
      </w:r>
      <w:r w:rsidR="009D0A0A" w:rsidRPr="009C75CA">
        <w:rPr>
          <w:lang w:eastAsia="fr-FR"/>
        </w:rPr>
        <w:t>, sauf dans les cas mentionnés aux II et III du présent article. »</w:t>
      </w:r>
    </w:p>
    <w:p w14:paraId="1A976E59" w14:textId="28016D09" w:rsidR="00C45145" w:rsidRDefault="0065073C" w:rsidP="00C45145">
      <w:pPr>
        <w:jc w:val="both"/>
        <w:rPr>
          <w:lang w:eastAsia="fr-FR"/>
        </w:rPr>
      </w:pPr>
      <w:r>
        <w:rPr>
          <w:lang w:eastAsia="fr-FR"/>
        </w:rPr>
        <w:t>3°</w:t>
      </w:r>
      <w:r w:rsidR="009D0A0A" w:rsidRPr="009C75CA">
        <w:rPr>
          <w:lang w:eastAsia="fr-FR"/>
        </w:rPr>
        <w:t xml:space="preserve"> </w:t>
      </w:r>
      <w:bookmarkStart w:id="32" w:name="_Hlk180139529"/>
      <w:r w:rsidR="00C45145" w:rsidRPr="00C45145">
        <w:rPr>
          <w:lang w:eastAsia="fr-FR"/>
        </w:rPr>
        <w:t xml:space="preserve">Le mot : « Cependant » au début du II est </w:t>
      </w:r>
      <w:r w:rsidR="00AF318E">
        <w:rPr>
          <w:lang w:eastAsia="fr-FR"/>
        </w:rPr>
        <w:t>remplacé par les alinéas suivants</w:t>
      </w:r>
      <w:r w:rsidR="00C45145" w:rsidRPr="00C45145">
        <w:rPr>
          <w:lang w:eastAsia="fr-FR"/>
        </w:rPr>
        <w:t xml:space="preserve"> : </w:t>
      </w:r>
    </w:p>
    <w:bookmarkEnd w:id="32"/>
    <w:p w14:paraId="14BE4413" w14:textId="77777777" w:rsidR="00C45145" w:rsidRDefault="00C45145" w:rsidP="002B0DC1">
      <w:pPr>
        <w:ind w:left="357"/>
        <w:jc w:val="both"/>
      </w:pPr>
    </w:p>
    <w:p w14:paraId="12406076" w14:textId="3E711EFA" w:rsidR="00355A61" w:rsidRPr="00355A61" w:rsidRDefault="00355A61" w:rsidP="002B0DC1">
      <w:pPr>
        <w:ind w:left="357"/>
        <w:jc w:val="both"/>
      </w:pPr>
      <w:r>
        <w:t>« </w:t>
      </w:r>
      <w:r w:rsidRPr="00355A61">
        <w:t>Pour les installations suivantes :</w:t>
      </w:r>
    </w:p>
    <w:p w14:paraId="4AC1573F" w14:textId="6CC8C988" w:rsidR="00355A61" w:rsidRPr="00355A61" w:rsidRDefault="00355A61" w:rsidP="002B0DC1">
      <w:pPr>
        <w:pStyle w:val="Paragraphedeliste"/>
        <w:spacing w:after="240"/>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Pr="00355A61">
        <w:rPr>
          <w:rFonts w:ascii="Times New Roman" w:eastAsia="Times New Roman" w:hAnsi="Times New Roman"/>
          <w:sz w:val="24"/>
          <w:szCs w:val="24"/>
        </w:rPr>
        <w:t>appareils de puissance thermique nominale inférieure à 15 MW ;</w:t>
      </w:r>
    </w:p>
    <w:p w14:paraId="763CF78E" w14:textId="2127FE47" w:rsidR="00355A61" w:rsidRPr="00355A61" w:rsidRDefault="00355A61" w:rsidP="002B0DC1">
      <w:pPr>
        <w:pStyle w:val="Paragraphedeliste"/>
        <w:spacing w:after="240"/>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Pr="00355A61">
        <w:rPr>
          <w:rFonts w:ascii="Times New Roman" w:eastAsia="Times New Roman" w:hAnsi="Times New Roman"/>
          <w:sz w:val="24"/>
          <w:szCs w:val="24"/>
        </w:rPr>
        <w:t xml:space="preserve">fours ou réchauffeurs industriels indirects ; </w:t>
      </w:r>
    </w:p>
    <w:p w14:paraId="44B124AE" w14:textId="5445D501" w:rsidR="00355A61" w:rsidRDefault="00355A61" w:rsidP="002B0DC1">
      <w:pPr>
        <w:pStyle w:val="Paragraphedeliste"/>
        <w:spacing w:after="240"/>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Pr="00355A61">
        <w:rPr>
          <w:rFonts w:ascii="Times New Roman" w:eastAsia="Times New Roman" w:hAnsi="Times New Roman"/>
          <w:sz w:val="24"/>
          <w:szCs w:val="24"/>
        </w:rPr>
        <w:t xml:space="preserve">installations pour lesquelles les délais mentionnés </w:t>
      </w:r>
      <w:r w:rsidR="00D9011B">
        <w:rPr>
          <w:rFonts w:ascii="Times New Roman" w:eastAsia="Times New Roman" w:hAnsi="Times New Roman"/>
          <w:sz w:val="24"/>
          <w:szCs w:val="24"/>
        </w:rPr>
        <w:t>au VII de l’article 3</w:t>
      </w:r>
      <w:r w:rsidRPr="00355A61">
        <w:rPr>
          <w:rFonts w:ascii="Times New Roman" w:eastAsia="Times New Roman" w:hAnsi="Times New Roman"/>
          <w:sz w:val="24"/>
          <w:szCs w:val="24"/>
        </w:rPr>
        <w:t xml:space="preserve"> du présent arrêté ne sont pas encore échus ;</w:t>
      </w:r>
    </w:p>
    <w:p w14:paraId="07D441D5" w14:textId="3DDB46FF" w:rsidR="009D0A0A" w:rsidRPr="00355A61" w:rsidRDefault="00355A61" w:rsidP="002B0DC1">
      <w:pPr>
        <w:pStyle w:val="Paragraphedeliste"/>
        <w:spacing w:after="240"/>
        <w:jc w:val="both"/>
        <w:rPr>
          <w:rFonts w:ascii="Times New Roman" w:eastAsia="Times New Roman" w:hAnsi="Times New Roman"/>
          <w:sz w:val="24"/>
          <w:szCs w:val="24"/>
        </w:rPr>
      </w:pPr>
      <w:r>
        <w:t xml:space="preserve">« - </w:t>
      </w:r>
      <w:r w:rsidRPr="00355A61">
        <w:rPr>
          <w:rFonts w:ascii="Times New Roman" w:eastAsia="Times New Roman" w:hAnsi="Times New Roman"/>
          <w:sz w:val="24"/>
          <w:szCs w:val="24"/>
        </w:rPr>
        <w:t>pour les appareils pour lesquels le combustible ne fait pas l’objet de la surveillance décrite au III du présent article</w:t>
      </w:r>
      <w:r w:rsidRPr="00355A61">
        <w:rPr>
          <w:rFonts w:ascii="Times New Roman" w:eastAsia="Times New Roman" w:hAnsi="Times New Roman"/>
          <w:bCs/>
          <w:sz w:val="24"/>
          <w:szCs w:val="24"/>
        </w:rPr>
        <w:t> ;</w:t>
      </w:r>
      <w:r>
        <w:rPr>
          <w:rFonts w:ascii="Times New Roman" w:eastAsia="Times New Roman" w:hAnsi="Times New Roman"/>
          <w:bCs/>
          <w:sz w:val="24"/>
          <w:szCs w:val="24"/>
        </w:rPr>
        <w:t> »</w:t>
      </w:r>
    </w:p>
    <w:p w14:paraId="7158BF4A" w14:textId="10C6C033" w:rsidR="009D0A0A" w:rsidRPr="009D0A0A" w:rsidRDefault="0065073C" w:rsidP="002B0DC1">
      <w:pPr>
        <w:spacing w:after="240"/>
        <w:jc w:val="both"/>
      </w:pPr>
      <w:r>
        <w:t>4°</w:t>
      </w:r>
      <w:r w:rsidR="009D0A0A" w:rsidRPr="009D0A0A">
        <w:t xml:space="preserve"> L’article 25 est complété </w:t>
      </w:r>
      <w:r w:rsidR="00AF318E">
        <w:t>par les alinéas suivants</w:t>
      </w:r>
      <w:r w:rsidR="009D0A0A" w:rsidRPr="009D0A0A">
        <w:t> :</w:t>
      </w:r>
    </w:p>
    <w:p w14:paraId="3BB384B9" w14:textId="77777777" w:rsidR="00C45145" w:rsidRDefault="009D0A0A" w:rsidP="002B0DC1">
      <w:pPr>
        <w:jc w:val="both"/>
        <w:rPr>
          <w:color w:val="000000"/>
        </w:rPr>
      </w:pPr>
      <w:r>
        <w:rPr>
          <w:color w:val="000000"/>
        </w:rPr>
        <w:t>« </w:t>
      </w:r>
      <w:r w:rsidRPr="009D0A0A">
        <w:rPr>
          <w:color w:val="000000"/>
        </w:rPr>
        <w:t xml:space="preserve">III. – Pour les chaudières, turbines et moteurs de puissance thermique nominale supérieure ou égale à 15 MW, dans les délais mentionnés </w:t>
      </w:r>
      <w:r w:rsidR="00D9011B">
        <w:rPr>
          <w:color w:val="000000"/>
        </w:rPr>
        <w:t>au VII de</w:t>
      </w:r>
      <w:r w:rsidRPr="009D0A0A">
        <w:rPr>
          <w:color w:val="000000"/>
        </w:rPr>
        <w:t xml:space="preserve"> l’article 3 du présent arrêté, la mesure en continu n’est pas obligatoire :</w:t>
      </w:r>
    </w:p>
    <w:p w14:paraId="582045CF" w14:textId="000E3071" w:rsidR="009D0A0A" w:rsidRPr="009D0A0A" w:rsidRDefault="00C45145" w:rsidP="00C45145">
      <w:pPr>
        <w:ind w:left="708"/>
        <w:jc w:val="both"/>
        <w:rPr>
          <w:color w:val="000000"/>
        </w:rPr>
      </w:pPr>
      <w:r>
        <w:rPr>
          <w:color w:val="000000"/>
        </w:rPr>
        <w:t xml:space="preserve">« - </w:t>
      </w:r>
      <w:r w:rsidR="009D0A0A" w:rsidRPr="00880D1D">
        <w:rPr>
          <w:color w:val="000000"/>
        </w:rPr>
        <w:t>pour toute chaudière autorisée avant le 31 juillet 2002 ou qui a fait l’objet d’une demande d’autorisation avant cette date pour autant qu’elle ait été mise en service au plus tard le 27 novembre 2003 et qui n’est pas équipée d’un dispositif de traitement des NO</w:t>
      </w:r>
      <w:r w:rsidR="009D0A0A" w:rsidRPr="00880D1D">
        <w:rPr>
          <w:color w:val="000000"/>
          <w:vertAlign w:val="subscript"/>
        </w:rPr>
        <w:t>X</w:t>
      </w:r>
      <w:r w:rsidR="009D0A0A" w:rsidRPr="00880D1D">
        <w:rPr>
          <w:color w:val="000000"/>
        </w:rPr>
        <w:t> dans les fumées</w:t>
      </w:r>
      <w:r w:rsidR="009D0A0A" w:rsidRPr="00880D1D">
        <w:rPr>
          <w:strike/>
          <w:color w:val="000000"/>
        </w:rPr>
        <w:t xml:space="preserve"> </w:t>
      </w:r>
      <w:r w:rsidR="009D0A0A" w:rsidRPr="00880D1D">
        <w:rPr>
          <w:color w:val="000000"/>
        </w:rPr>
        <w:t>et qui fait partie d’une installation de combustion d’une puissance thermique nominale totale inférieure à 100 MW et qui ne fonctionne pas plus de 1500 heures par an </w:t>
      </w:r>
      <w:r w:rsidR="009D0A0A" w:rsidRPr="009D0A0A">
        <w:rPr>
          <w:color w:val="000000"/>
        </w:rPr>
        <w:t>;</w:t>
      </w:r>
    </w:p>
    <w:p w14:paraId="6922ED6A" w14:textId="7E3D9130"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pour les turbines au gaz naturel d’une puissance thermique nominale &lt; 100 MW et exploitées moins de 1500 heures par an, ou dans le cas d’OCGT mises en service avant le 17 août 2017, la mesure en continu peut être remplacée, après accord du préfet, par une surveillance permanente d’un ou de plusieurs paramètres représentatifs du fonctionnement de l’installation et directement corrélés aux émissions considérées ;</w:t>
      </w:r>
    </w:p>
    <w:p w14:paraId="7BFAE5D4" w14:textId="77046F8F"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 xml:space="preserve">pour tout appareil </w:t>
      </w:r>
      <w:r w:rsidR="00C45145">
        <w:rPr>
          <w:rFonts w:ascii="Times New Roman" w:eastAsia="Times New Roman" w:hAnsi="Times New Roman"/>
          <w:color w:val="000000"/>
          <w:sz w:val="24"/>
          <w:szCs w:val="24"/>
        </w:rPr>
        <w:t>mentionné</w:t>
      </w:r>
      <w:r w:rsidR="00C45145" w:rsidRPr="009D0A0A">
        <w:rPr>
          <w:rFonts w:ascii="Times New Roman" w:eastAsia="Times New Roman" w:hAnsi="Times New Roman"/>
          <w:color w:val="000000"/>
          <w:sz w:val="24"/>
          <w:szCs w:val="24"/>
        </w:rPr>
        <w:t xml:space="preserve"> </w:t>
      </w:r>
      <w:r w:rsidRPr="009D0A0A">
        <w:rPr>
          <w:rFonts w:ascii="Times New Roman" w:eastAsia="Times New Roman" w:hAnsi="Times New Roman"/>
          <w:color w:val="000000"/>
          <w:sz w:val="24"/>
          <w:szCs w:val="24"/>
        </w:rPr>
        <w:t>au a</w:t>
      </w:r>
      <w:r w:rsidR="00C45145">
        <w:rPr>
          <w:rFonts w:ascii="Times New Roman" w:eastAsia="Times New Roman" w:hAnsi="Times New Roman"/>
          <w:color w:val="000000"/>
          <w:sz w:val="24"/>
          <w:szCs w:val="24"/>
        </w:rPr>
        <w:t>)</w:t>
      </w:r>
      <w:r w:rsidRPr="009D0A0A">
        <w:rPr>
          <w:rFonts w:ascii="Times New Roman" w:eastAsia="Times New Roman" w:hAnsi="Times New Roman"/>
          <w:color w:val="000000"/>
          <w:sz w:val="24"/>
          <w:szCs w:val="24"/>
        </w:rPr>
        <w:t xml:space="preserve"> de la définition des appareils destinés aux situations d’urgence, fonctionnant moins de 500 heures d’exploitation par an et qui fait partie d’une installation de combustion d’une puissance thermique nominale totale inférieure à 100 MW</w:t>
      </w:r>
      <w:r>
        <w:rPr>
          <w:rFonts w:ascii="Times New Roman" w:eastAsia="Times New Roman" w:hAnsi="Times New Roman"/>
          <w:color w:val="000000"/>
          <w:sz w:val="24"/>
          <w:szCs w:val="24"/>
        </w:rPr>
        <w:t>.</w:t>
      </w:r>
    </w:p>
    <w:p w14:paraId="0C32C4DA" w14:textId="77777777" w:rsidR="009D0A0A" w:rsidRPr="009D0A0A" w:rsidRDefault="009D0A0A" w:rsidP="002B0DC1">
      <w:pPr>
        <w:jc w:val="both"/>
        <w:rPr>
          <w:color w:val="000000"/>
          <w:lang w:eastAsia="fr-FR"/>
        </w:rPr>
      </w:pPr>
    </w:p>
    <w:p w14:paraId="12B69AB1" w14:textId="3301DD7E" w:rsidR="009D0A0A" w:rsidRPr="009D0A0A" w:rsidRDefault="009D0A0A" w:rsidP="002B0DC1">
      <w:pPr>
        <w:jc w:val="both"/>
        <w:rPr>
          <w:color w:val="000000"/>
          <w:lang w:eastAsia="fr-FR"/>
        </w:rPr>
      </w:pPr>
      <w:r>
        <w:rPr>
          <w:color w:val="000000"/>
          <w:lang w:eastAsia="fr-FR"/>
        </w:rPr>
        <w:t>« </w:t>
      </w:r>
      <w:r w:rsidRPr="009D0A0A">
        <w:rPr>
          <w:color w:val="000000"/>
          <w:lang w:eastAsia="fr-FR"/>
        </w:rPr>
        <w:t>Dans ces cas :</w:t>
      </w:r>
    </w:p>
    <w:p w14:paraId="02593453" w14:textId="0AF57071"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pour toute chaudière autorisée avant le 31 juillet 2002 ou qui a fait l’objet d’une demande d’autorisation avant cette date pour autant qu’elle ait été mise en service au plus tard le 27 novembre 2003 et qui n’est pas équipée d’un dispositif de traitement des NO</w:t>
      </w:r>
      <w:r w:rsidRPr="009D0A0A">
        <w:rPr>
          <w:rFonts w:ascii="Times New Roman" w:eastAsia="Times New Roman" w:hAnsi="Times New Roman"/>
          <w:color w:val="000000"/>
          <w:sz w:val="24"/>
          <w:szCs w:val="24"/>
          <w:vertAlign w:val="subscript"/>
        </w:rPr>
        <w:t>X</w:t>
      </w:r>
      <w:r w:rsidRPr="009D0A0A">
        <w:rPr>
          <w:rFonts w:ascii="Times New Roman" w:eastAsia="Times New Roman" w:hAnsi="Times New Roman"/>
          <w:color w:val="000000"/>
          <w:sz w:val="24"/>
          <w:szCs w:val="24"/>
        </w:rPr>
        <w:t> dans les fumées et qui fait partie d’une installation de combustion d’une puissance thermique nominale totale inférieure à 100 MW et qui ne fonctionne pas plus de 1500 heures par an, une mesure trimestrielle est effectuée ;</w:t>
      </w:r>
    </w:p>
    <w:p w14:paraId="3338F439" w14:textId="182B9EF3"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pour les turbines au gaz naturel d’une puissance thermique nominale &lt; 100 MW et exploitées moins de 1500 heures par an, ou dans le cas d’OCGT mises en service avant le 17 août 2017</w:t>
      </w:r>
      <w:r w:rsidR="00C45145">
        <w:rPr>
          <w:rFonts w:ascii="Times New Roman" w:eastAsia="Times New Roman" w:hAnsi="Times New Roman"/>
          <w:color w:val="000000"/>
          <w:sz w:val="24"/>
          <w:szCs w:val="24"/>
        </w:rPr>
        <w:t xml:space="preserve">, </w:t>
      </w:r>
      <w:r w:rsidRPr="009D0A0A">
        <w:rPr>
          <w:rFonts w:ascii="Times New Roman" w:eastAsia="Times New Roman" w:hAnsi="Times New Roman"/>
          <w:color w:val="000000"/>
          <w:sz w:val="24"/>
          <w:szCs w:val="24"/>
        </w:rPr>
        <w:t>un étalonnage des paramètres est réalisé au moins trimestriellement.</w:t>
      </w:r>
    </w:p>
    <w:p w14:paraId="2AFDFEA9" w14:textId="14184723" w:rsidR="009D0A0A" w:rsidRPr="009D0A0A" w:rsidRDefault="009D0A0A" w:rsidP="002B0DC1">
      <w:pPr>
        <w:pStyle w:val="Paragraphedeliste"/>
        <w:numPr>
          <w:ilvl w:val="0"/>
          <w:numId w:val="12"/>
        </w:numPr>
        <w:spacing w:after="0" w:line="240" w:lineRule="auto"/>
        <w:jc w:val="both"/>
        <w:rPr>
          <w:rFonts w:ascii="Times New Roman" w:eastAsia="Times New Roman" w:hAnsi="Times New Roman"/>
          <w:color w:val="000000"/>
          <w:sz w:val="24"/>
          <w:szCs w:val="24"/>
        </w:rPr>
      </w:pPr>
      <w:proofErr w:type="gramStart"/>
      <w:r w:rsidRPr="009D0A0A">
        <w:rPr>
          <w:rFonts w:ascii="Times New Roman" w:eastAsia="Times New Roman" w:hAnsi="Times New Roman"/>
          <w:color w:val="000000"/>
          <w:sz w:val="24"/>
          <w:szCs w:val="24"/>
        </w:rPr>
        <w:t>pour</w:t>
      </w:r>
      <w:proofErr w:type="gramEnd"/>
      <w:r w:rsidRPr="009D0A0A">
        <w:rPr>
          <w:rFonts w:ascii="Times New Roman" w:eastAsia="Times New Roman" w:hAnsi="Times New Roman"/>
          <w:color w:val="000000"/>
          <w:sz w:val="24"/>
          <w:szCs w:val="24"/>
        </w:rPr>
        <w:t xml:space="preserve"> tout appareil </w:t>
      </w:r>
      <w:r w:rsidR="00C45145">
        <w:rPr>
          <w:rFonts w:ascii="Times New Roman" w:eastAsia="Times New Roman" w:hAnsi="Times New Roman"/>
          <w:color w:val="000000"/>
          <w:sz w:val="24"/>
          <w:szCs w:val="24"/>
        </w:rPr>
        <w:t>mentionné</w:t>
      </w:r>
      <w:r w:rsidR="00C45145" w:rsidRPr="009D0A0A">
        <w:rPr>
          <w:rFonts w:ascii="Times New Roman" w:eastAsia="Times New Roman" w:hAnsi="Times New Roman"/>
          <w:color w:val="000000"/>
          <w:sz w:val="24"/>
          <w:szCs w:val="24"/>
        </w:rPr>
        <w:t xml:space="preserve"> </w:t>
      </w:r>
      <w:r w:rsidRPr="009D0A0A">
        <w:rPr>
          <w:rFonts w:ascii="Times New Roman" w:eastAsia="Times New Roman" w:hAnsi="Times New Roman"/>
          <w:color w:val="000000"/>
          <w:sz w:val="24"/>
          <w:szCs w:val="24"/>
        </w:rPr>
        <w:t>au a</w:t>
      </w:r>
      <w:r w:rsidR="00C45145">
        <w:rPr>
          <w:rFonts w:ascii="Times New Roman" w:eastAsia="Times New Roman" w:hAnsi="Times New Roman"/>
          <w:color w:val="000000"/>
          <w:sz w:val="24"/>
          <w:szCs w:val="24"/>
        </w:rPr>
        <w:t>)</w:t>
      </w:r>
      <w:r w:rsidRPr="009D0A0A">
        <w:rPr>
          <w:rFonts w:ascii="Times New Roman" w:eastAsia="Times New Roman" w:hAnsi="Times New Roman"/>
          <w:color w:val="000000"/>
          <w:sz w:val="24"/>
          <w:szCs w:val="24"/>
        </w:rPr>
        <w:t xml:space="preserve"> de la définition des appareils destinés aux situations d’urgence, fonctionnant moins de 500 heures d’exploitation par an et qui fait partie d’une installation de combustion d’une puissance thermique nominale totale inférieure à 100 MW, une mesure semestrielle est effectuée</w:t>
      </w:r>
      <w:r>
        <w:rPr>
          <w:rFonts w:ascii="Times New Roman" w:eastAsia="Times New Roman" w:hAnsi="Times New Roman"/>
          <w:color w:val="000000"/>
          <w:sz w:val="24"/>
          <w:szCs w:val="24"/>
        </w:rPr>
        <w:t>. »</w:t>
      </w:r>
    </w:p>
    <w:p w14:paraId="56D0AB44" w14:textId="77777777" w:rsidR="00D551B9" w:rsidRPr="00384282" w:rsidRDefault="00D551B9" w:rsidP="002B0DC1"/>
    <w:p w14:paraId="25202942" w14:textId="2F451AA3" w:rsidR="00914E79" w:rsidRPr="00384282" w:rsidRDefault="00914E7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30</w:t>
      </w:r>
      <w:r w:rsidRPr="00384282">
        <w:rPr>
          <w:b/>
          <w:bCs/>
        </w:rPr>
        <w:fldChar w:fldCharType="end"/>
      </w:r>
    </w:p>
    <w:p w14:paraId="017BFA8D" w14:textId="4AAE478D" w:rsidR="00914E79" w:rsidRDefault="00914E79" w:rsidP="002B0DC1"/>
    <w:p w14:paraId="31B54822" w14:textId="7B20F6DD" w:rsidR="009D0A0A" w:rsidRDefault="009D0A0A" w:rsidP="002B0DC1">
      <w:pPr>
        <w:jc w:val="both"/>
      </w:pPr>
      <w:r>
        <w:t>L’article 26 de l’arrêté susvisé est ainsi modifié :</w:t>
      </w:r>
    </w:p>
    <w:p w14:paraId="129D02AB" w14:textId="77777777" w:rsidR="009D0A0A" w:rsidRPr="001137C3" w:rsidRDefault="009D0A0A" w:rsidP="002B0DC1">
      <w:pPr>
        <w:jc w:val="both"/>
      </w:pPr>
    </w:p>
    <w:p w14:paraId="2C7C0415" w14:textId="22BA1B36" w:rsidR="009D0A0A" w:rsidRPr="009C75CA" w:rsidRDefault="0065073C" w:rsidP="002B0DC1">
      <w:pPr>
        <w:spacing w:after="240"/>
        <w:rPr>
          <w:lang w:eastAsia="fr-FR"/>
        </w:rPr>
      </w:pPr>
      <w:r>
        <w:t>1°</w:t>
      </w:r>
      <w:r w:rsidR="009D0A0A" w:rsidRPr="009C75CA">
        <w:t xml:space="preserve"> </w:t>
      </w:r>
      <w:r w:rsidR="00C45145">
        <w:t xml:space="preserve">Un </w:t>
      </w:r>
      <w:r w:rsidR="00C45145" w:rsidRPr="009C75CA">
        <w:t xml:space="preserve">alinéa </w:t>
      </w:r>
      <w:r w:rsidR="009D0A0A" w:rsidRPr="009C75CA">
        <w:t>« </w:t>
      </w:r>
      <w:r w:rsidR="009D0A0A" w:rsidRPr="009C75CA">
        <w:rPr>
          <w:lang w:eastAsia="fr-FR"/>
        </w:rPr>
        <w:t xml:space="preserve">Surveillance </w:t>
      </w:r>
      <w:r w:rsidR="009D0A0A">
        <w:rPr>
          <w:lang w:eastAsia="fr-FR"/>
        </w:rPr>
        <w:t>en poussières</w:t>
      </w:r>
      <w:r w:rsidR="009D0A0A" w:rsidRPr="009C75CA">
        <w:rPr>
          <w:lang w:eastAsia="fr-FR"/>
        </w:rPr>
        <w:t xml:space="preserve"> </w:t>
      </w:r>
      <w:r w:rsidR="009D0A0A" w:rsidRPr="009C75CA">
        <w:t>» est inséré avant le premier alinéa.</w:t>
      </w:r>
    </w:p>
    <w:p w14:paraId="2CB568AE" w14:textId="6743C175" w:rsidR="009D0A0A" w:rsidRPr="009C75CA" w:rsidRDefault="0065073C" w:rsidP="002B0DC1">
      <w:pPr>
        <w:spacing w:after="240"/>
        <w:jc w:val="both"/>
        <w:rPr>
          <w:lang w:eastAsia="fr-FR"/>
        </w:rPr>
      </w:pPr>
      <w:r>
        <w:t>2°</w:t>
      </w:r>
      <w:r w:rsidR="009D0A0A" w:rsidRPr="009C75CA">
        <w:t xml:space="preserve"> Le I est complété </w:t>
      </w:r>
      <w:r w:rsidR="00AF318E">
        <w:t>par les mots</w:t>
      </w:r>
      <w:r w:rsidR="009D0A0A" w:rsidRPr="009C75CA">
        <w:t> : «</w:t>
      </w:r>
      <w:r w:rsidR="009D0A0A" w:rsidRPr="009C75CA">
        <w:rPr>
          <w:lang w:eastAsia="fr-FR"/>
        </w:rPr>
        <w:t>, sauf dans les cas mentionnés aux II et III du présent article. »</w:t>
      </w:r>
    </w:p>
    <w:p w14:paraId="063269C9" w14:textId="2551744D" w:rsidR="00C45145" w:rsidRDefault="0065073C" w:rsidP="00C45145">
      <w:pPr>
        <w:jc w:val="both"/>
        <w:rPr>
          <w:lang w:eastAsia="fr-FR"/>
        </w:rPr>
      </w:pPr>
      <w:r>
        <w:rPr>
          <w:lang w:eastAsia="fr-FR"/>
        </w:rPr>
        <w:t>3°</w:t>
      </w:r>
      <w:r w:rsidR="009D0A0A" w:rsidRPr="009C75CA">
        <w:rPr>
          <w:lang w:eastAsia="fr-FR"/>
        </w:rPr>
        <w:t xml:space="preserve"> </w:t>
      </w:r>
      <w:r w:rsidR="00C45145" w:rsidRPr="00C45145">
        <w:rPr>
          <w:lang w:eastAsia="fr-FR"/>
        </w:rPr>
        <w:t xml:space="preserve">Le mot : « Cependant » au début du II est </w:t>
      </w:r>
      <w:r w:rsidR="00AF318E">
        <w:rPr>
          <w:lang w:eastAsia="fr-FR"/>
        </w:rPr>
        <w:t>remplacé par les alinéas suivants</w:t>
      </w:r>
      <w:r w:rsidR="00C45145" w:rsidRPr="00C45145">
        <w:rPr>
          <w:lang w:eastAsia="fr-FR"/>
        </w:rPr>
        <w:t xml:space="preserve"> : </w:t>
      </w:r>
    </w:p>
    <w:p w14:paraId="40626B57" w14:textId="77777777" w:rsidR="00C45145" w:rsidRDefault="00C45145" w:rsidP="002B0DC1">
      <w:pPr>
        <w:ind w:left="357"/>
        <w:jc w:val="both"/>
      </w:pPr>
    </w:p>
    <w:p w14:paraId="4A45519E" w14:textId="5710F3B6" w:rsidR="00BF69B8" w:rsidRPr="00355A61" w:rsidRDefault="00BF69B8" w:rsidP="002B0DC1">
      <w:pPr>
        <w:ind w:left="357"/>
        <w:jc w:val="both"/>
      </w:pPr>
      <w:r w:rsidRPr="00355A61">
        <w:t>« Pour les installations suivantes :</w:t>
      </w:r>
    </w:p>
    <w:p w14:paraId="6058EDCB" w14:textId="77777777" w:rsidR="00BF69B8" w:rsidRPr="00355A61" w:rsidRDefault="00BF69B8" w:rsidP="002B0DC1">
      <w:pPr>
        <w:pStyle w:val="Paragraphedeliste"/>
        <w:spacing w:after="240"/>
        <w:jc w:val="both"/>
        <w:rPr>
          <w:rFonts w:ascii="Times New Roman" w:eastAsia="Times New Roman" w:hAnsi="Times New Roman"/>
          <w:sz w:val="24"/>
          <w:szCs w:val="24"/>
          <w:lang w:eastAsia="zh-CN"/>
        </w:rPr>
      </w:pPr>
      <w:r w:rsidRPr="00355A61">
        <w:rPr>
          <w:rFonts w:ascii="Times New Roman" w:eastAsia="Times New Roman" w:hAnsi="Times New Roman"/>
          <w:sz w:val="24"/>
          <w:szCs w:val="24"/>
          <w:lang w:eastAsia="zh-CN"/>
        </w:rPr>
        <w:t>« - appareils de puissance thermique nominale inférieure à 15 MW ;</w:t>
      </w:r>
    </w:p>
    <w:p w14:paraId="4EA764F4" w14:textId="77777777" w:rsidR="00BF69B8" w:rsidRPr="00355A61" w:rsidRDefault="00BF69B8" w:rsidP="002B0DC1">
      <w:pPr>
        <w:pStyle w:val="Paragraphedeliste"/>
        <w:spacing w:after="240"/>
        <w:jc w:val="both"/>
        <w:rPr>
          <w:rFonts w:ascii="Times New Roman" w:eastAsia="Times New Roman" w:hAnsi="Times New Roman"/>
          <w:sz w:val="24"/>
          <w:szCs w:val="24"/>
          <w:lang w:eastAsia="zh-CN"/>
        </w:rPr>
      </w:pPr>
      <w:r w:rsidRPr="00355A61">
        <w:rPr>
          <w:rFonts w:ascii="Times New Roman" w:eastAsia="Times New Roman" w:hAnsi="Times New Roman"/>
          <w:sz w:val="24"/>
          <w:szCs w:val="24"/>
          <w:lang w:eastAsia="zh-CN"/>
        </w:rPr>
        <w:t xml:space="preserve">« - fours ou réchauffeurs industriels indirects ; </w:t>
      </w:r>
    </w:p>
    <w:p w14:paraId="06D8C72D" w14:textId="01C8CF38" w:rsidR="00BF69B8" w:rsidRPr="00355A61" w:rsidRDefault="00BF69B8" w:rsidP="002B0DC1">
      <w:pPr>
        <w:pStyle w:val="Paragraphedeliste"/>
        <w:spacing w:after="240"/>
        <w:jc w:val="both"/>
        <w:rPr>
          <w:rFonts w:ascii="Times New Roman" w:eastAsia="Times New Roman" w:hAnsi="Times New Roman"/>
          <w:sz w:val="24"/>
          <w:szCs w:val="24"/>
          <w:lang w:eastAsia="zh-CN"/>
        </w:rPr>
      </w:pPr>
      <w:r w:rsidRPr="00355A61">
        <w:rPr>
          <w:rFonts w:ascii="Times New Roman" w:eastAsia="Times New Roman" w:hAnsi="Times New Roman"/>
          <w:sz w:val="24"/>
          <w:szCs w:val="24"/>
          <w:lang w:eastAsia="zh-CN"/>
        </w:rPr>
        <w:t xml:space="preserve">« - installations pour lesquelles les délais mentionnés </w:t>
      </w:r>
      <w:r w:rsidR="00D9011B">
        <w:rPr>
          <w:rFonts w:ascii="Times New Roman" w:eastAsia="Times New Roman" w:hAnsi="Times New Roman"/>
          <w:sz w:val="24"/>
          <w:szCs w:val="24"/>
          <w:lang w:eastAsia="zh-CN"/>
        </w:rPr>
        <w:t>au VII de l’article 3</w:t>
      </w:r>
      <w:r w:rsidRPr="00355A61">
        <w:rPr>
          <w:rFonts w:ascii="Times New Roman" w:eastAsia="Times New Roman" w:hAnsi="Times New Roman"/>
          <w:sz w:val="24"/>
          <w:szCs w:val="24"/>
          <w:lang w:eastAsia="zh-CN"/>
        </w:rPr>
        <w:t xml:space="preserve"> du présent arrêté ne sont pas encore échus ;</w:t>
      </w:r>
    </w:p>
    <w:p w14:paraId="455DB75B" w14:textId="55FB06E8" w:rsidR="00BF69B8" w:rsidRPr="00BF69B8" w:rsidRDefault="00BF69B8" w:rsidP="002B0DC1">
      <w:pPr>
        <w:pStyle w:val="Paragraphedeliste"/>
        <w:spacing w:after="240"/>
        <w:jc w:val="both"/>
        <w:rPr>
          <w:rFonts w:ascii="Times New Roman" w:hAnsi="Times New Roman"/>
          <w:sz w:val="24"/>
          <w:szCs w:val="24"/>
        </w:rPr>
      </w:pPr>
      <w:r w:rsidRPr="00355A61">
        <w:rPr>
          <w:rFonts w:ascii="Times New Roman" w:eastAsia="Times New Roman" w:hAnsi="Times New Roman"/>
          <w:sz w:val="24"/>
          <w:szCs w:val="24"/>
          <w:lang w:eastAsia="zh-CN"/>
        </w:rPr>
        <w:t>« - pour les appareils pour lesquels le combustible ne fait pas l’objet de la surveillance décrite au III du présent article ;</w:t>
      </w:r>
      <w:r>
        <w:rPr>
          <w:rFonts w:ascii="Times New Roman" w:eastAsia="Times New Roman" w:hAnsi="Times New Roman"/>
          <w:sz w:val="24"/>
          <w:szCs w:val="24"/>
          <w:lang w:eastAsia="zh-CN"/>
        </w:rPr>
        <w:t> ».</w:t>
      </w:r>
    </w:p>
    <w:p w14:paraId="68E91FBE" w14:textId="4C8FF2B7" w:rsidR="009D0A0A" w:rsidRPr="009D0A0A" w:rsidRDefault="0065073C" w:rsidP="002B0DC1">
      <w:pPr>
        <w:spacing w:after="240"/>
        <w:jc w:val="both"/>
      </w:pPr>
      <w:r>
        <w:t>4°</w:t>
      </w:r>
      <w:r w:rsidR="009D0A0A" w:rsidRPr="009D0A0A">
        <w:t xml:space="preserve"> L’article 26 est complété </w:t>
      </w:r>
      <w:r w:rsidR="00AF318E">
        <w:rPr>
          <w:lang w:eastAsia="fr-FR"/>
        </w:rPr>
        <w:t>par les alinéas suivants</w:t>
      </w:r>
      <w:r w:rsidR="009D0A0A" w:rsidRPr="009D0A0A">
        <w:t> :</w:t>
      </w:r>
    </w:p>
    <w:p w14:paraId="6552CB6E" w14:textId="11110909" w:rsidR="009D0A0A" w:rsidRPr="009D0A0A" w:rsidRDefault="009D0A0A" w:rsidP="002B0DC1">
      <w:pPr>
        <w:tabs>
          <w:tab w:val="left" w:pos="4536"/>
        </w:tabs>
        <w:jc w:val="both"/>
        <w:rPr>
          <w:color w:val="000000"/>
          <w:lang w:eastAsia="fr-FR"/>
        </w:rPr>
      </w:pPr>
      <w:r>
        <w:rPr>
          <w:color w:val="000000"/>
          <w:lang w:eastAsia="fr-FR"/>
        </w:rPr>
        <w:t>« </w:t>
      </w:r>
      <w:r w:rsidRPr="009D0A0A">
        <w:rPr>
          <w:color w:val="000000"/>
          <w:lang w:eastAsia="fr-FR"/>
        </w:rPr>
        <w:t>III. – Pour les chaudières, turbines et moteurs de puissance thermique nominale supérieure ou égale à 15 MW, dans les délais mentionnés</w:t>
      </w:r>
      <w:r w:rsidR="00D9011B">
        <w:rPr>
          <w:color w:val="000000"/>
          <w:lang w:eastAsia="fr-FR"/>
        </w:rPr>
        <w:t xml:space="preserve"> au VII de l’article 3</w:t>
      </w:r>
      <w:r w:rsidRPr="009D0A0A">
        <w:rPr>
          <w:color w:val="000000"/>
          <w:lang w:eastAsia="fr-FR"/>
        </w:rPr>
        <w:t xml:space="preserve"> du présent arrêté, la mesure en continu n’est pas obligatoire dans les cas suivants :</w:t>
      </w:r>
    </w:p>
    <w:p w14:paraId="34532D87" w14:textId="4A92E156"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pour les appareils de combustion utilisant exclusivement du gaz naturel ;</w:t>
      </w:r>
    </w:p>
    <w:p w14:paraId="76066377" w14:textId="5BF5F423"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 xml:space="preserve">pour les appareils utilisant comme combustible des gaz sidérurgiques, s’il est établi que les niveaux d’émissions sont suffisamment stables ; </w:t>
      </w:r>
    </w:p>
    <w:p w14:paraId="6E22BABF" w14:textId="73A05A11"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 xml:space="preserve">pour tout appareil </w:t>
      </w:r>
      <w:r w:rsidR="00C45145">
        <w:rPr>
          <w:rFonts w:ascii="Times New Roman" w:eastAsia="Times New Roman" w:hAnsi="Times New Roman"/>
          <w:color w:val="000000"/>
          <w:sz w:val="24"/>
          <w:szCs w:val="24"/>
        </w:rPr>
        <w:t>mentionné</w:t>
      </w:r>
      <w:r w:rsidR="00C45145" w:rsidRPr="009D0A0A">
        <w:rPr>
          <w:rFonts w:ascii="Times New Roman" w:eastAsia="Times New Roman" w:hAnsi="Times New Roman"/>
          <w:color w:val="000000"/>
          <w:sz w:val="24"/>
          <w:szCs w:val="24"/>
        </w:rPr>
        <w:t xml:space="preserve"> </w:t>
      </w:r>
      <w:r w:rsidRPr="009D0A0A">
        <w:rPr>
          <w:rFonts w:ascii="Times New Roman" w:eastAsia="Times New Roman" w:hAnsi="Times New Roman"/>
          <w:color w:val="000000"/>
          <w:sz w:val="24"/>
          <w:szCs w:val="24"/>
        </w:rPr>
        <w:t>au a</w:t>
      </w:r>
      <w:r w:rsidR="00C45145">
        <w:rPr>
          <w:rFonts w:ascii="Times New Roman" w:eastAsia="Times New Roman" w:hAnsi="Times New Roman"/>
          <w:color w:val="000000"/>
          <w:sz w:val="24"/>
          <w:szCs w:val="24"/>
        </w:rPr>
        <w:t>)</w:t>
      </w:r>
      <w:r w:rsidRPr="009D0A0A">
        <w:rPr>
          <w:rFonts w:ascii="Times New Roman" w:eastAsia="Times New Roman" w:hAnsi="Times New Roman"/>
          <w:color w:val="000000"/>
          <w:sz w:val="24"/>
          <w:szCs w:val="24"/>
        </w:rPr>
        <w:t xml:space="preserve"> de la définition des appareils destinés aux situations d’urgence, fonctionnant moins de 500 heures d’exploitation par an et qui fait partie d’une installation de combustion d’une puissance thermique nominale totale inférieure à 100 MW ;</w:t>
      </w:r>
    </w:p>
    <w:p w14:paraId="57BC36FF" w14:textId="77777777" w:rsidR="009D0A0A" w:rsidRDefault="009D0A0A" w:rsidP="002B0DC1">
      <w:pPr>
        <w:ind w:left="360"/>
        <w:jc w:val="both"/>
        <w:rPr>
          <w:color w:val="000000"/>
          <w:lang w:eastAsia="fr-FR"/>
        </w:rPr>
      </w:pPr>
    </w:p>
    <w:p w14:paraId="08FF44C7" w14:textId="4FAF601B" w:rsidR="009D0A0A" w:rsidRPr="009D0A0A" w:rsidRDefault="009D0A0A" w:rsidP="002B0DC1">
      <w:pPr>
        <w:ind w:left="360"/>
        <w:jc w:val="both"/>
        <w:rPr>
          <w:color w:val="000000"/>
          <w:lang w:eastAsia="fr-FR"/>
        </w:rPr>
      </w:pPr>
      <w:r>
        <w:rPr>
          <w:color w:val="000000"/>
          <w:lang w:eastAsia="fr-FR"/>
        </w:rPr>
        <w:t>« </w:t>
      </w:r>
      <w:r w:rsidRPr="009D0A0A">
        <w:rPr>
          <w:color w:val="000000"/>
          <w:lang w:eastAsia="fr-FR"/>
        </w:rPr>
        <w:t>Dans ces cas :</w:t>
      </w:r>
    </w:p>
    <w:p w14:paraId="43FE4BAD" w14:textId="195AA109"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dans le cas des appareils utilisant comme combustible des gaz s’il est établi que les niveaux d’émissions sont suffisamment stables, la fréquence minimale de surveillance est semestrielle.</w:t>
      </w:r>
    </w:p>
    <w:p w14:paraId="0DAA0D55" w14:textId="408C54DB"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 xml:space="preserve">pour tout appareil </w:t>
      </w:r>
      <w:r w:rsidR="003C2D9C">
        <w:rPr>
          <w:rFonts w:ascii="Times New Roman" w:eastAsia="Times New Roman" w:hAnsi="Times New Roman"/>
          <w:color w:val="000000"/>
          <w:sz w:val="24"/>
          <w:szCs w:val="24"/>
        </w:rPr>
        <w:t>mentionné</w:t>
      </w:r>
      <w:r w:rsidR="003C2D9C" w:rsidRPr="009D0A0A">
        <w:rPr>
          <w:rFonts w:ascii="Times New Roman" w:eastAsia="Times New Roman" w:hAnsi="Times New Roman"/>
          <w:color w:val="000000"/>
          <w:sz w:val="24"/>
          <w:szCs w:val="24"/>
        </w:rPr>
        <w:t xml:space="preserve"> </w:t>
      </w:r>
      <w:r w:rsidRPr="009D0A0A">
        <w:rPr>
          <w:rFonts w:ascii="Times New Roman" w:eastAsia="Times New Roman" w:hAnsi="Times New Roman"/>
          <w:color w:val="000000"/>
          <w:sz w:val="24"/>
          <w:szCs w:val="24"/>
        </w:rPr>
        <w:t>au a</w:t>
      </w:r>
      <w:r w:rsidR="003C2D9C">
        <w:rPr>
          <w:rFonts w:ascii="Times New Roman" w:eastAsia="Times New Roman" w:hAnsi="Times New Roman"/>
          <w:color w:val="000000"/>
          <w:sz w:val="24"/>
          <w:szCs w:val="24"/>
        </w:rPr>
        <w:t>)</w:t>
      </w:r>
      <w:r w:rsidRPr="009D0A0A">
        <w:rPr>
          <w:rFonts w:ascii="Times New Roman" w:eastAsia="Times New Roman" w:hAnsi="Times New Roman"/>
          <w:color w:val="000000"/>
          <w:sz w:val="24"/>
          <w:szCs w:val="24"/>
        </w:rPr>
        <w:t xml:space="preserve"> de la définition des appareils destinés aux situations d’urgence, fonctionnant moins de 500 heures d’exploitation par an et qui fait partie d’une installation de combustion d’une puissance thermique nominale totale inférieure à 100 MW, une mesure semestrielle est effectuée.</w:t>
      </w:r>
      <w:r>
        <w:rPr>
          <w:rFonts w:ascii="Times New Roman" w:eastAsia="Times New Roman" w:hAnsi="Times New Roman"/>
          <w:color w:val="000000"/>
          <w:sz w:val="24"/>
          <w:szCs w:val="24"/>
        </w:rPr>
        <w:t> ».</w:t>
      </w:r>
    </w:p>
    <w:p w14:paraId="1E2ADEB4" w14:textId="77777777" w:rsidR="009D0A0A" w:rsidRPr="00384282" w:rsidRDefault="009D0A0A" w:rsidP="002B0DC1"/>
    <w:p w14:paraId="07871D39" w14:textId="5DAC19D5"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31</w:t>
      </w:r>
      <w:r w:rsidRPr="00384282">
        <w:rPr>
          <w:b/>
          <w:bCs/>
        </w:rPr>
        <w:fldChar w:fldCharType="end"/>
      </w:r>
    </w:p>
    <w:p w14:paraId="35378206" w14:textId="77777777" w:rsidR="009D0A0A" w:rsidRDefault="009D0A0A" w:rsidP="002B0DC1">
      <w:pPr>
        <w:jc w:val="both"/>
      </w:pPr>
    </w:p>
    <w:p w14:paraId="7A4E1C7A" w14:textId="3BC7DBBB" w:rsidR="009D0A0A" w:rsidRDefault="009D0A0A" w:rsidP="002B0DC1">
      <w:pPr>
        <w:jc w:val="both"/>
      </w:pPr>
      <w:r>
        <w:t>L’article 27 de l’arrêté susvisé est ainsi modifié :</w:t>
      </w:r>
    </w:p>
    <w:p w14:paraId="21A77340" w14:textId="77777777" w:rsidR="009D0A0A" w:rsidRPr="001137C3" w:rsidRDefault="009D0A0A" w:rsidP="002B0DC1">
      <w:pPr>
        <w:jc w:val="both"/>
      </w:pPr>
    </w:p>
    <w:p w14:paraId="2FFD2CB4" w14:textId="6B64F6FD" w:rsidR="009D0A0A" w:rsidRPr="009C75CA" w:rsidRDefault="0065073C" w:rsidP="002B0DC1">
      <w:pPr>
        <w:spacing w:after="240"/>
        <w:rPr>
          <w:lang w:eastAsia="fr-FR"/>
        </w:rPr>
      </w:pPr>
      <w:r>
        <w:t>1°</w:t>
      </w:r>
      <w:r w:rsidR="009D0A0A" w:rsidRPr="009C75CA">
        <w:t xml:space="preserve"> </w:t>
      </w:r>
      <w:r w:rsidR="003C2D9C">
        <w:t xml:space="preserve">Un </w:t>
      </w:r>
      <w:r w:rsidR="003C2D9C" w:rsidRPr="009C75CA">
        <w:t xml:space="preserve">alinéa </w:t>
      </w:r>
      <w:r w:rsidR="009D0A0A" w:rsidRPr="009C75CA">
        <w:t>« </w:t>
      </w:r>
      <w:r w:rsidR="009D0A0A" w:rsidRPr="009C75CA">
        <w:rPr>
          <w:lang w:eastAsia="fr-FR"/>
        </w:rPr>
        <w:t xml:space="preserve">Surveillance </w:t>
      </w:r>
      <w:r w:rsidR="009D0A0A">
        <w:rPr>
          <w:lang w:eastAsia="fr-FR"/>
        </w:rPr>
        <w:t>en CO</w:t>
      </w:r>
      <w:r w:rsidR="009D0A0A" w:rsidRPr="009C75CA">
        <w:rPr>
          <w:lang w:eastAsia="fr-FR"/>
        </w:rPr>
        <w:t xml:space="preserve"> </w:t>
      </w:r>
      <w:r w:rsidR="009D0A0A" w:rsidRPr="009C75CA">
        <w:t>» est inséré avant le premier alinéa.</w:t>
      </w:r>
    </w:p>
    <w:p w14:paraId="1EA8AFB0" w14:textId="5D91B1FC" w:rsidR="009D0A0A" w:rsidRPr="009C75CA" w:rsidRDefault="0065073C" w:rsidP="002B0DC1">
      <w:pPr>
        <w:spacing w:after="240"/>
        <w:jc w:val="both"/>
        <w:rPr>
          <w:lang w:eastAsia="fr-FR"/>
        </w:rPr>
      </w:pPr>
      <w:r>
        <w:t>2°</w:t>
      </w:r>
      <w:r w:rsidR="009D0A0A" w:rsidRPr="009C75CA">
        <w:t xml:space="preserve"> Le I est complété </w:t>
      </w:r>
      <w:r w:rsidR="00AF318E">
        <w:t>par les mots</w:t>
      </w:r>
      <w:r w:rsidR="009D0A0A" w:rsidRPr="009C75CA">
        <w:t> : «</w:t>
      </w:r>
      <w:r w:rsidR="009D0A0A" w:rsidRPr="009C75CA">
        <w:rPr>
          <w:lang w:eastAsia="fr-FR"/>
        </w:rPr>
        <w:t>, sauf dans les cas mentionnés aux II et III du présent article. »</w:t>
      </w:r>
    </w:p>
    <w:p w14:paraId="7A1492CA" w14:textId="3992E5F9" w:rsidR="003C2D9C" w:rsidRDefault="0065073C" w:rsidP="003C2D9C">
      <w:pPr>
        <w:jc w:val="both"/>
        <w:rPr>
          <w:lang w:eastAsia="fr-FR"/>
        </w:rPr>
      </w:pPr>
      <w:r>
        <w:rPr>
          <w:lang w:eastAsia="fr-FR"/>
        </w:rPr>
        <w:t>3°</w:t>
      </w:r>
      <w:r w:rsidR="009D0A0A" w:rsidRPr="009C75CA">
        <w:rPr>
          <w:lang w:eastAsia="fr-FR"/>
        </w:rPr>
        <w:t xml:space="preserve"> </w:t>
      </w:r>
      <w:r w:rsidR="003C2D9C" w:rsidRPr="003C2D9C">
        <w:rPr>
          <w:lang w:eastAsia="fr-FR"/>
        </w:rPr>
        <w:t xml:space="preserve">Le mot : « Cependant » au début du II </w:t>
      </w:r>
      <w:r w:rsidR="00AF318E" w:rsidRPr="00C45145">
        <w:rPr>
          <w:lang w:eastAsia="fr-FR"/>
        </w:rPr>
        <w:t xml:space="preserve">est </w:t>
      </w:r>
      <w:r w:rsidR="00AF318E">
        <w:rPr>
          <w:lang w:eastAsia="fr-FR"/>
        </w:rPr>
        <w:t xml:space="preserve">remplacé par les alinéas suivants </w:t>
      </w:r>
      <w:r w:rsidR="003C2D9C" w:rsidRPr="003C2D9C">
        <w:rPr>
          <w:lang w:eastAsia="fr-FR"/>
        </w:rPr>
        <w:t xml:space="preserve">: </w:t>
      </w:r>
    </w:p>
    <w:p w14:paraId="5CF60BA7" w14:textId="77777777" w:rsidR="003C2D9C" w:rsidRDefault="003C2D9C" w:rsidP="002B0DC1">
      <w:pPr>
        <w:ind w:left="357"/>
        <w:jc w:val="both"/>
      </w:pPr>
    </w:p>
    <w:p w14:paraId="1B0F14C4" w14:textId="02504865" w:rsidR="004E0511" w:rsidRPr="0043040E" w:rsidRDefault="004E0511" w:rsidP="002B0DC1">
      <w:pPr>
        <w:ind w:left="357"/>
        <w:jc w:val="both"/>
      </w:pPr>
      <w:r w:rsidRPr="0043040E">
        <w:t>« Pour les installations suivantes :</w:t>
      </w:r>
    </w:p>
    <w:p w14:paraId="2C9C6BA9" w14:textId="77777777" w:rsidR="004E0511" w:rsidRPr="004E0511" w:rsidRDefault="004E0511" w:rsidP="002B0DC1">
      <w:pPr>
        <w:pStyle w:val="Paragraphedeliste"/>
        <w:spacing w:after="240"/>
        <w:jc w:val="both"/>
        <w:rPr>
          <w:rFonts w:ascii="Times New Roman" w:hAnsi="Times New Roman"/>
          <w:sz w:val="24"/>
          <w:szCs w:val="24"/>
        </w:rPr>
      </w:pPr>
      <w:r w:rsidRPr="004E0511">
        <w:rPr>
          <w:rFonts w:ascii="Times New Roman" w:hAnsi="Times New Roman"/>
          <w:sz w:val="24"/>
          <w:szCs w:val="24"/>
        </w:rPr>
        <w:t>« - appareils de puissance thermique nominale inférieure à 15 MW ;</w:t>
      </w:r>
    </w:p>
    <w:p w14:paraId="07DAFEAD" w14:textId="77777777" w:rsidR="004E0511" w:rsidRPr="004E0511" w:rsidRDefault="004E0511" w:rsidP="002B0DC1">
      <w:pPr>
        <w:pStyle w:val="Paragraphedeliste"/>
        <w:spacing w:after="240"/>
        <w:jc w:val="both"/>
        <w:rPr>
          <w:rFonts w:ascii="Times New Roman" w:hAnsi="Times New Roman"/>
          <w:sz w:val="24"/>
          <w:szCs w:val="24"/>
        </w:rPr>
      </w:pPr>
      <w:r w:rsidRPr="004E0511">
        <w:rPr>
          <w:rFonts w:ascii="Times New Roman" w:hAnsi="Times New Roman"/>
          <w:sz w:val="24"/>
          <w:szCs w:val="24"/>
        </w:rPr>
        <w:t xml:space="preserve">« - fours ou réchauffeurs industriels indirects ; </w:t>
      </w:r>
    </w:p>
    <w:p w14:paraId="7768E2E0" w14:textId="2E01D1D7" w:rsidR="004E0511" w:rsidRPr="004E0511" w:rsidRDefault="004E0511" w:rsidP="002B0DC1">
      <w:pPr>
        <w:pStyle w:val="Paragraphedeliste"/>
        <w:spacing w:after="240"/>
        <w:jc w:val="both"/>
        <w:rPr>
          <w:rFonts w:ascii="Times New Roman" w:hAnsi="Times New Roman"/>
          <w:sz w:val="24"/>
          <w:szCs w:val="24"/>
        </w:rPr>
      </w:pPr>
      <w:r w:rsidRPr="004E0511">
        <w:rPr>
          <w:rFonts w:ascii="Times New Roman" w:hAnsi="Times New Roman"/>
          <w:sz w:val="24"/>
          <w:szCs w:val="24"/>
        </w:rPr>
        <w:t xml:space="preserve">« - installations pour lesquelles les délais mentionnés </w:t>
      </w:r>
      <w:r w:rsidR="00D9011B">
        <w:rPr>
          <w:rFonts w:ascii="Times New Roman" w:hAnsi="Times New Roman"/>
          <w:sz w:val="24"/>
          <w:szCs w:val="24"/>
        </w:rPr>
        <w:t>au VII de l’article 3</w:t>
      </w:r>
      <w:r w:rsidRPr="004E0511">
        <w:rPr>
          <w:rFonts w:ascii="Times New Roman" w:hAnsi="Times New Roman"/>
          <w:sz w:val="24"/>
          <w:szCs w:val="24"/>
        </w:rPr>
        <w:t xml:space="preserve"> du présent arrêté ne sont pas encore échus ;</w:t>
      </w:r>
    </w:p>
    <w:p w14:paraId="7396AD3A" w14:textId="723666F5" w:rsidR="009D0A0A" w:rsidRPr="009E5796" w:rsidRDefault="004E0511" w:rsidP="002B0DC1">
      <w:pPr>
        <w:pStyle w:val="Paragraphedeliste"/>
        <w:spacing w:after="240"/>
        <w:jc w:val="both"/>
        <w:rPr>
          <w:rFonts w:ascii="Times New Roman" w:hAnsi="Times New Roman"/>
          <w:sz w:val="24"/>
          <w:szCs w:val="24"/>
        </w:rPr>
      </w:pPr>
      <w:r w:rsidRPr="004E0511">
        <w:rPr>
          <w:rFonts w:ascii="Times New Roman" w:hAnsi="Times New Roman"/>
          <w:sz w:val="24"/>
          <w:szCs w:val="24"/>
        </w:rPr>
        <w:t>« - pour les appareils pour lesquels le combustible ne fait pas l’objet de la surveillance décrite au III du présent article ; ».</w:t>
      </w:r>
    </w:p>
    <w:p w14:paraId="76807A63" w14:textId="0A6FF756" w:rsidR="009D0A0A" w:rsidRPr="009D0A0A" w:rsidRDefault="0065073C" w:rsidP="002B0DC1">
      <w:pPr>
        <w:spacing w:after="240"/>
        <w:jc w:val="both"/>
      </w:pPr>
      <w:r>
        <w:t>4°</w:t>
      </w:r>
      <w:r w:rsidR="009D0A0A" w:rsidRPr="009D0A0A">
        <w:t xml:space="preserve"> L’article 2</w:t>
      </w:r>
      <w:r w:rsidR="002D7A2F">
        <w:t>7</w:t>
      </w:r>
      <w:r w:rsidR="009D0A0A" w:rsidRPr="009D0A0A">
        <w:t xml:space="preserve"> est complété par </w:t>
      </w:r>
      <w:r w:rsidR="00AF318E">
        <w:rPr>
          <w:lang w:eastAsia="fr-FR"/>
        </w:rPr>
        <w:t>les alinéas suivants</w:t>
      </w:r>
      <w:r w:rsidR="00AF318E" w:rsidRPr="009D0A0A">
        <w:t> </w:t>
      </w:r>
      <w:r w:rsidR="009D0A0A" w:rsidRPr="009D0A0A">
        <w:t>:</w:t>
      </w:r>
    </w:p>
    <w:p w14:paraId="71F553B9" w14:textId="0BFBA086" w:rsidR="009D0A0A" w:rsidRPr="009D0A0A" w:rsidRDefault="009D0A0A" w:rsidP="002B0DC1">
      <w:pPr>
        <w:jc w:val="both"/>
        <w:rPr>
          <w:color w:val="000000"/>
          <w:lang w:eastAsia="fr-FR"/>
        </w:rPr>
      </w:pPr>
      <w:r w:rsidRPr="009D0A0A">
        <w:rPr>
          <w:color w:val="000000"/>
          <w:lang w:eastAsia="fr-FR"/>
        </w:rPr>
        <w:t>« III. - Pour les chaudières, turbines et moteurs de puissance thermique nominale supérieure ou égale à 15 MW, dans les délais mentionnés</w:t>
      </w:r>
      <w:r w:rsidR="00D9011B">
        <w:rPr>
          <w:color w:val="000000"/>
          <w:lang w:eastAsia="fr-FR"/>
        </w:rPr>
        <w:t xml:space="preserve"> au VII de l’</w:t>
      </w:r>
      <w:r w:rsidRPr="009D0A0A">
        <w:rPr>
          <w:color w:val="000000"/>
          <w:lang w:eastAsia="fr-FR"/>
        </w:rPr>
        <w:t>article 3</w:t>
      </w:r>
      <w:r w:rsidR="00D9011B">
        <w:rPr>
          <w:color w:val="000000"/>
          <w:lang w:eastAsia="fr-FR"/>
        </w:rPr>
        <w:t xml:space="preserve"> </w:t>
      </w:r>
      <w:r w:rsidRPr="009D0A0A">
        <w:rPr>
          <w:color w:val="000000"/>
          <w:lang w:eastAsia="fr-FR"/>
        </w:rPr>
        <w:t>du présent arrêté, la mesure en continu n’est pas obligatoire dans les cas suivants :</w:t>
      </w:r>
    </w:p>
    <w:p w14:paraId="6B99E55A" w14:textId="1D1967CB"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pour les turbines au gaz naturel d’une puissance thermique nominale &lt; 100 MW et exploitées moins de 1500 heures par an, ou dans le cas d’OCGT mises en service avant le 17 août 2017, la mesure en continu peut être remplacée, après accord du préfet, par une surveillance permanente d'un ou de plusieurs paramètres représentatifs du fonctionnement de l'installation et directement corrélés aux émissions considérées ;</w:t>
      </w:r>
    </w:p>
    <w:p w14:paraId="0A00A55C" w14:textId="04EB3A3B"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 xml:space="preserve">pour tout appareil </w:t>
      </w:r>
      <w:r w:rsidR="003C2D9C">
        <w:rPr>
          <w:rFonts w:ascii="Times New Roman" w:eastAsia="Times New Roman" w:hAnsi="Times New Roman"/>
          <w:color w:val="000000"/>
          <w:sz w:val="24"/>
          <w:szCs w:val="24"/>
        </w:rPr>
        <w:t>mentionné</w:t>
      </w:r>
      <w:r w:rsidR="003C2D9C" w:rsidRPr="009D0A0A">
        <w:rPr>
          <w:rFonts w:ascii="Times New Roman" w:eastAsia="Times New Roman" w:hAnsi="Times New Roman"/>
          <w:color w:val="000000"/>
          <w:sz w:val="24"/>
          <w:szCs w:val="24"/>
        </w:rPr>
        <w:t xml:space="preserve"> </w:t>
      </w:r>
      <w:r w:rsidRPr="009D0A0A">
        <w:rPr>
          <w:rFonts w:ascii="Times New Roman" w:eastAsia="Times New Roman" w:hAnsi="Times New Roman"/>
          <w:color w:val="000000"/>
          <w:sz w:val="24"/>
          <w:szCs w:val="24"/>
        </w:rPr>
        <w:t>au a) de la définition des appareils destinés aux situations d'urgence, fonctionnant moins de 500 heures d'exploitation par an et qui fait partie d'une installation de combustion d'une puissance thermique nominale totale inférieure à 100 MW.</w:t>
      </w:r>
    </w:p>
    <w:p w14:paraId="55D4710B" w14:textId="77777777" w:rsidR="009D0A0A" w:rsidRPr="009D0A0A" w:rsidRDefault="009D0A0A" w:rsidP="002B0DC1">
      <w:pPr>
        <w:jc w:val="both"/>
        <w:rPr>
          <w:color w:val="000000"/>
          <w:lang w:eastAsia="fr-FR"/>
        </w:rPr>
      </w:pPr>
    </w:p>
    <w:p w14:paraId="52019CCB" w14:textId="2262439C" w:rsidR="009D0A0A" w:rsidRPr="009D0A0A" w:rsidRDefault="009D0A0A" w:rsidP="002B0DC1">
      <w:pPr>
        <w:jc w:val="both"/>
        <w:rPr>
          <w:color w:val="000000"/>
          <w:lang w:eastAsia="fr-FR"/>
        </w:rPr>
      </w:pPr>
      <w:r>
        <w:rPr>
          <w:color w:val="000000"/>
          <w:lang w:eastAsia="fr-FR"/>
        </w:rPr>
        <w:t>« </w:t>
      </w:r>
      <w:r w:rsidRPr="009D0A0A">
        <w:rPr>
          <w:color w:val="000000"/>
          <w:lang w:eastAsia="fr-FR"/>
        </w:rPr>
        <w:t>Dans ces cas :</w:t>
      </w:r>
    </w:p>
    <w:p w14:paraId="22E903DF" w14:textId="78D3FFC2"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pour les turbines au gaz naturel d’une puissance thermique nominale &lt; 100 MW et exploitées moins de 1500 heures par an, ou dans le cas d’OCGT mises en service avant le 17 août 2017, un étalonnage des paramètres est réalisé au moins trimestriellement ;</w:t>
      </w:r>
    </w:p>
    <w:p w14:paraId="6046399B" w14:textId="02DB0A9E" w:rsidR="009D0A0A" w:rsidRPr="009D0A0A" w:rsidRDefault="009D0A0A" w:rsidP="002B0DC1">
      <w:pPr>
        <w:pStyle w:val="Paragraphedeliste"/>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9D0A0A">
        <w:rPr>
          <w:rFonts w:ascii="Times New Roman" w:eastAsia="Times New Roman" w:hAnsi="Times New Roman"/>
          <w:color w:val="000000"/>
          <w:sz w:val="24"/>
          <w:szCs w:val="24"/>
        </w:rPr>
        <w:t xml:space="preserve">pour tout appareil </w:t>
      </w:r>
      <w:r w:rsidR="003C2D9C">
        <w:rPr>
          <w:rFonts w:ascii="Times New Roman" w:eastAsia="Times New Roman" w:hAnsi="Times New Roman"/>
          <w:color w:val="000000"/>
          <w:sz w:val="24"/>
          <w:szCs w:val="24"/>
        </w:rPr>
        <w:t>mentionné</w:t>
      </w:r>
      <w:r w:rsidR="003C2D9C" w:rsidRPr="009D0A0A">
        <w:rPr>
          <w:rFonts w:ascii="Times New Roman" w:eastAsia="Times New Roman" w:hAnsi="Times New Roman"/>
          <w:color w:val="000000"/>
          <w:sz w:val="24"/>
          <w:szCs w:val="24"/>
        </w:rPr>
        <w:t xml:space="preserve"> </w:t>
      </w:r>
      <w:r w:rsidRPr="009D0A0A">
        <w:rPr>
          <w:rFonts w:ascii="Times New Roman" w:eastAsia="Times New Roman" w:hAnsi="Times New Roman"/>
          <w:color w:val="000000"/>
          <w:sz w:val="24"/>
          <w:szCs w:val="24"/>
        </w:rPr>
        <w:t>au a</w:t>
      </w:r>
      <w:r w:rsidR="003C2D9C">
        <w:rPr>
          <w:rFonts w:ascii="Times New Roman" w:eastAsia="Times New Roman" w:hAnsi="Times New Roman"/>
          <w:color w:val="000000"/>
          <w:sz w:val="24"/>
          <w:szCs w:val="24"/>
        </w:rPr>
        <w:t>)</w:t>
      </w:r>
      <w:r w:rsidRPr="009D0A0A">
        <w:rPr>
          <w:rFonts w:ascii="Times New Roman" w:eastAsia="Times New Roman" w:hAnsi="Times New Roman"/>
          <w:color w:val="000000"/>
          <w:sz w:val="24"/>
          <w:szCs w:val="24"/>
        </w:rPr>
        <w:t xml:space="preserve"> de la définition des appareils destinés aux situations d'urgence, fonctionnant moins de 500 heures d'exploitation par an et qui fait partie d'une installation de combustion d'une puissance thermique nominale totale inférieure à 100 MW, une mesure semestrielle est effectuée.</w:t>
      </w:r>
    </w:p>
    <w:p w14:paraId="6578BA71" w14:textId="011CE6F9" w:rsidR="00424C89" w:rsidRPr="00384282" w:rsidRDefault="00424C89" w:rsidP="002B0DC1">
      <w:pPr>
        <w:jc w:val="both"/>
      </w:pPr>
    </w:p>
    <w:p w14:paraId="7905525C" w14:textId="661CF764" w:rsidR="00424C89" w:rsidRPr="00384282" w:rsidRDefault="00424C89" w:rsidP="002B0DC1">
      <w:pPr>
        <w:jc w:val="center"/>
        <w:rPr>
          <w:b/>
          <w:bCs/>
        </w:rPr>
      </w:pPr>
      <w:r w:rsidRPr="00384282">
        <w:rPr>
          <w:b/>
          <w:bCs/>
        </w:rPr>
        <w:t xml:space="preserve">Article </w:t>
      </w:r>
      <w:r w:rsidRPr="00384282">
        <w:rPr>
          <w:b/>
          <w:bCs/>
        </w:rPr>
        <w:fldChar w:fldCharType="begin"/>
      </w:r>
      <w:r w:rsidRPr="00384282">
        <w:rPr>
          <w:b/>
          <w:bCs/>
        </w:rPr>
        <w:instrText xml:space="preserve"> SEQ Article \* ARABIC </w:instrText>
      </w:r>
      <w:r w:rsidRPr="00384282">
        <w:rPr>
          <w:b/>
          <w:bCs/>
        </w:rPr>
        <w:fldChar w:fldCharType="separate"/>
      </w:r>
      <w:r w:rsidR="00871300">
        <w:rPr>
          <w:b/>
          <w:bCs/>
          <w:noProof/>
        </w:rPr>
        <w:t>32</w:t>
      </w:r>
      <w:r w:rsidRPr="00384282">
        <w:rPr>
          <w:b/>
          <w:bCs/>
        </w:rPr>
        <w:fldChar w:fldCharType="end"/>
      </w:r>
    </w:p>
    <w:p w14:paraId="30ED3364" w14:textId="77777777" w:rsidR="00570AFE" w:rsidRDefault="00570AFE" w:rsidP="002B0DC1">
      <w:pPr>
        <w:jc w:val="both"/>
      </w:pPr>
    </w:p>
    <w:p w14:paraId="0D4DE3A4" w14:textId="2914EC1C" w:rsidR="00570AFE" w:rsidRDefault="00570AFE" w:rsidP="002B0DC1">
      <w:pPr>
        <w:jc w:val="both"/>
      </w:pPr>
      <w:r>
        <w:t>L’article 28 de l’arrêté susvisé est ainsi modifié :</w:t>
      </w:r>
    </w:p>
    <w:p w14:paraId="0022BAFC" w14:textId="77777777" w:rsidR="00570AFE" w:rsidRPr="001137C3" w:rsidRDefault="00570AFE" w:rsidP="002B0DC1">
      <w:pPr>
        <w:jc w:val="both"/>
      </w:pPr>
    </w:p>
    <w:p w14:paraId="4F6C160F" w14:textId="037B98CC" w:rsidR="00570AFE" w:rsidRDefault="0065073C" w:rsidP="002B0DC1">
      <w:pPr>
        <w:spacing w:after="240"/>
      </w:pPr>
      <w:r>
        <w:t>1°</w:t>
      </w:r>
      <w:r w:rsidR="00570AFE" w:rsidRPr="00570AFE">
        <w:t xml:space="preserve"> </w:t>
      </w:r>
      <w:r w:rsidR="003C2D9C">
        <w:t xml:space="preserve">Un </w:t>
      </w:r>
      <w:r w:rsidR="003C2D9C" w:rsidRPr="00570AFE">
        <w:t xml:space="preserve">alinéa </w:t>
      </w:r>
      <w:r w:rsidR="00570AFE" w:rsidRPr="00570AFE">
        <w:t>« </w:t>
      </w:r>
      <w:r w:rsidR="00570AFE" w:rsidRPr="00570AFE">
        <w:rPr>
          <w:lang w:eastAsia="fr-FR"/>
        </w:rPr>
        <w:t>Surveillance des autres polluants (COV</w:t>
      </w:r>
      <w:r w:rsidR="006856F5">
        <w:rPr>
          <w:lang w:eastAsia="fr-FR"/>
        </w:rPr>
        <w:t>NM, COVT</w:t>
      </w:r>
      <w:r w:rsidR="00570AFE" w:rsidRPr="00570AFE">
        <w:rPr>
          <w:lang w:eastAsia="fr-FR"/>
        </w:rPr>
        <w:t xml:space="preserve">, formaldéhyde, HAP, métaux) </w:t>
      </w:r>
      <w:r w:rsidR="00570AFE" w:rsidRPr="00570AFE">
        <w:t>» est inséré avant le premier alinéa.</w:t>
      </w:r>
    </w:p>
    <w:p w14:paraId="649A8090" w14:textId="44A7247A" w:rsidR="00481275" w:rsidRDefault="0065073C" w:rsidP="002B0DC1">
      <w:pPr>
        <w:spacing w:after="240"/>
      </w:pPr>
      <w:r>
        <w:t>2°</w:t>
      </w:r>
      <w:r w:rsidR="00481275" w:rsidRPr="00481275">
        <w:t xml:space="preserve"> </w:t>
      </w:r>
      <w:r w:rsidR="002D6497">
        <w:t>Au début du premier alinéa</w:t>
      </w:r>
      <w:r w:rsidR="00AF318E">
        <w:t>,</w:t>
      </w:r>
      <w:r w:rsidR="002D6497">
        <w:t xml:space="preserve"> </w:t>
      </w:r>
      <w:r w:rsidR="00301AFE">
        <w:t>la référence</w:t>
      </w:r>
      <w:r w:rsidR="002D6497">
        <w:t> : «</w:t>
      </w:r>
      <w:r w:rsidR="00481275" w:rsidRPr="00481275">
        <w:t> I.- » est inséré</w:t>
      </w:r>
      <w:r w:rsidR="00301AFE">
        <w:t>e</w:t>
      </w:r>
      <w:r w:rsidR="00481275">
        <w:t>.</w:t>
      </w:r>
    </w:p>
    <w:p w14:paraId="5170377B" w14:textId="70ECB9F7" w:rsidR="00481275" w:rsidRPr="00481275" w:rsidRDefault="0065073C" w:rsidP="002B0DC1">
      <w:pPr>
        <w:spacing w:after="240"/>
      </w:pPr>
      <w:r>
        <w:t>3°</w:t>
      </w:r>
      <w:r w:rsidR="00481275" w:rsidRPr="00481275">
        <w:t xml:space="preserve"> L’article 28 est complété </w:t>
      </w:r>
      <w:r w:rsidR="00AF318E">
        <w:rPr>
          <w:lang w:eastAsia="fr-FR"/>
        </w:rPr>
        <w:t>par les alinéas suivants</w:t>
      </w:r>
      <w:r w:rsidR="00481275" w:rsidRPr="00481275">
        <w:t> :</w:t>
      </w:r>
    </w:p>
    <w:p w14:paraId="5659A487" w14:textId="4EA8E06E" w:rsidR="00074A48" w:rsidRPr="00074A48" w:rsidRDefault="00481275" w:rsidP="002B0DC1">
      <w:pPr>
        <w:jc w:val="both"/>
        <w:rPr>
          <w:color w:val="000000"/>
          <w:lang w:eastAsia="fr-FR"/>
        </w:rPr>
      </w:pPr>
      <w:r w:rsidRPr="00481275">
        <w:rPr>
          <w:color w:val="000000"/>
          <w:lang w:eastAsia="fr-FR"/>
        </w:rPr>
        <w:t>« II</w:t>
      </w:r>
      <w:r w:rsidRPr="00074A48">
        <w:rPr>
          <w:color w:val="000000"/>
          <w:lang w:eastAsia="fr-FR"/>
        </w:rPr>
        <w:t>.- Par dérogation au I</w:t>
      </w:r>
      <w:r w:rsidR="00074A48" w:rsidRPr="00074A48">
        <w:rPr>
          <w:color w:val="000000"/>
          <w:lang w:eastAsia="fr-FR"/>
        </w:rPr>
        <w:t> :</w:t>
      </w:r>
    </w:p>
    <w:p w14:paraId="0C895B3D" w14:textId="08282427" w:rsidR="00074A48" w:rsidRPr="00074A48" w:rsidRDefault="00074A48" w:rsidP="002B0DC1">
      <w:pPr>
        <w:pStyle w:val="Paragraphedeliste"/>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481275" w:rsidRPr="00074A48">
        <w:rPr>
          <w:rFonts w:ascii="Times New Roman" w:hAnsi="Times New Roman"/>
          <w:color w:val="000000"/>
          <w:sz w:val="24"/>
          <w:szCs w:val="24"/>
        </w:rPr>
        <w:t>pour les moteurs de puissance thermique nominale supérieure ou égale à 15 MW fonctionnant au fioul lourd ou au fioul domestique</w:t>
      </w:r>
      <w:r>
        <w:rPr>
          <w:rFonts w:ascii="Times New Roman" w:hAnsi="Times New Roman"/>
          <w:color w:val="000000"/>
          <w:sz w:val="24"/>
          <w:szCs w:val="24"/>
        </w:rPr>
        <w:t> ;</w:t>
      </w:r>
      <w:r w:rsidRPr="00074A48">
        <w:rPr>
          <w:rFonts w:ascii="Times New Roman" w:hAnsi="Times New Roman"/>
          <w:color w:val="000000"/>
          <w:sz w:val="24"/>
          <w:szCs w:val="24"/>
        </w:rPr>
        <w:t xml:space="preserve"> </w:t>
      </w:r>
    </w:p>
    <w:p w14:paraId="578CF3C0" w14:textId="3E68871E" w:rsidR="00074A48" w:rsidRPr="00074A48" w:rsidRDefault="00074A48" w:rsidP="002B0DC1">
      <w:pPr>
        <w:pStyle w:val="Paragraphedeliste"/>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481275" w:rsidRPr="00074A48">
        <w:rPr>
          <w:rFonts w:ascii="Times New Roman" w:hAnsi="Times New Roman"/>
          <w:color w:val="000000"/>
          <w:sz w:val="24"/>
          <w:szCs w:val="24"/>
        </w:rPr>
        <w:t>pour les chaudières de puissance thermique nominale supérieure ou égale à 15 MW utilisant des combustibles issus de procédés de l’industrie chimique</w:t>
      </w:r>
      <w:r w:rsidR="00AF318E">
        <w:rPr>
          <w:rFonts w:ascii="Times New Roman" w:hAnsi="Times New Roman"/>
          <w:color w:val="000000"/>
          <w:sz w:val="24"/>
          <w:szCs w:val="24"/>
        </w:rPr>
        <w:t>,</w:t>
      </w:r>
    </w:p>
    <w:p w14:paraId="4D770F44" w14:textId="3AC672B1" w:rsidR="00481275" w:rsidRPr="00074A48" w:rsidRDefault="00074A48" w:rsidP="002B0DC1">
      <w:pPr>
        <w:jc w:val="both"/>
        <w:rPr>
          <w:color w:val="000000"/>
        </w:rPr>
      </w:pPr>
      <w:r>
        <w:rPr>
          <w:color w:val="000000"/>
        </w:rPr>
        <w:t> « </w:t>
      </w:r>
      <w:proofErr w:type="gramStart"/>
      <w:r w:rsidR="00AF318E">
        <w:rPr>
          <w:color w:val="000000"/>
        </w:rPr>
        <w:t>l</w:t>
      </w:r>
      <w:r w:rsidR="00AF318E" w:rsidRPr="00074A48">
        <w:rPr>
          <w:color w:val="000000"/>
        </w:rPr>
        <w:t>a</w:t>
      </w:r>
      <w:proofErr w:type="gramEnd"/>
      <w:r w:rsidR="00AF318E" w:rsidRPr="00074A48">
        <w:rPr>
          <w:color w:val="000000"/>
        </w:rPr>
        <w:t xml:space="preserve"> </w:t>
      </w:r>
      <w:r w:rsidR="00481275" w:rsidRPr="00074A48">
        <w:rPr>
          <w:color w:val="000000"/>
        </w:rPr>
        <w:t xml:space="preserve">mesure des COVNM est remplacée par la mesure des </w:t>
      </w:r>
      <w:r w:rsidR="00481275" w:rsidRPr="00074A48">
        <w:rPr>
          <w:color w:val="000000"/>
          <w:highlight w:val="yellow"/>
        </w:rPr>
        <w:t>COVT</w:t>
      </w:r>
      <w:r w:rsidR="00481275" w:rsidRPr="00074A48">
        <w:rPr>
          <w:color w:val="000000"/>
        </w:rPr>
        <w:t xml:space="preserve">. La fréquence de mesure des COVT est semestrielle. </w:t>
      </w:r>
    </w:p>
    <w:p w14:paraId="6B917898" w14:textId="6C86B5C3" w:rsidR="00481275" w:rsidRPr="00481275" w:rsidRDefault="00481275" w:rsidP="002B0DC1">
      <w:pPr>
        <w:jc w:val="both"/>
        <w:rPr>
          <w:color w:val="000000"/>
          <w:lang w:eastAsia="fr-FR"/>
        </w:rPr>
      </w:pPr>
      <w:r w:rsidRPr="00481275">
        <w:rPr>
          <w:color w:val="000000"/>
          <w:lang w:eastAsia="fr-FR"/>
        </w:rPr>
        <w:t xml:space="preserve">« S’il est établi que les niveaux d’émission sont suffisamment stables, des mesures périodiques peuvent être effectuées à chaque modification des caractéristiques du combustible, mais en tout état de cause, au moins une fois par an. </w:t>
      </w:r>
    </w:p>
    <w:p w14:paraId="3DFD99EF" w14:textId="102C82F6" w:rsidR="00481275" w:rsidRPr="00481275" w:rsidRDefault="00481275" w:rsidP="002B0DC1">
      <w:pPr>
        <w:spacing w:after="240"/>
        <w:jc w:val="both"/>
        <w:rPr>
          <w:color w:val="000000"/>
          <w:lang w:eastAsia="fr-FR"/>
        </w:rPr>
      </w:pPr>
      <w:r w:rsidRPr="00481275">
        <w:rPr>
          <w:color w:val="000000"/>
          <w:lang w:eastAsia="fr-FR"/>
        </w:rPr>
        <w:t xml:space="preserve">« Ces dispositions s’appliquent dans les délais mentionnés </w:t>
      </w:r>
      <w:r w:rsidR="00D9011B">
        <w:rPr>
          <w:color w:val="000000"/>
          <w:lang w:eastAsia="fr-FR"/>
        </w:rPr>
        <w:t>au VII de l’article 3</w:t>
      </w:r>
      <w:r w:rsidRPr="00481275">
        <w:rPr>
          <w:color w:val="000000"/>
          <w:lang w:eastAsia="fr-FR"/>
        </w:rPr>
        <w:t xml:space="preserve"> du présent arrêté. ».</w:t>
      </w:r>
    </w:p>
    <w:p w14:paraId="0EA3D07E" w14:textId="77777777" w:rsidR="00424C89" w:rsidRDefault="00424C89" w:rsidP="002B0DC1"/>
    <w:p w14:paraId="3D82312A" w14:textId="3A98193B"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33</w:t>
      </w:r>
      <w:r w:rsidRPr="00481275">
        <w:rPr>
          <w:b/>
          <w:bCs/>
        </w:rPr>
        <w:fldChar w:fldCharType="end"/>
      </w:r>
    </w:p>
    <w:p w14:paraId="46A4E55C" w14:textId="08E4D863" w:rsidR="00424C89" w:rsidRDefault="00424C89" w:rsidP="002B0DC1"/>
    <w:p w14:paraId="02611C01" w14:textId="6407AF38" w:rsidR="00481275" w:rsidRDefault="002D6497" w:rsidP="002B0DC1">
      <w:pPr>
        <w:jc w:val="both"/>
      </w:pPr>
      <w:r>
        <w:t xml:space="preserve">Après l’article 28 de l’arrêté susvisé est inséré l’article suivant </w:t>
      </w:r>
      <w:r w:rsidR="00481275">
        <w:t>:</w:t>
      </w:r>
    </w:p>
    <w:p w14:paraId="627BFDBF" w14:textId="50EBCE53" w:rsidR="00481275" w:rsidRDefault="00481275" w:rsidP="002B0DC1">
      <w:pPr>
        <w:jc w:val="both"/>
      </w:pPr>
    </w:p>
    <w:p w14:paraId="6280AB6C" w14:textId="2D4566E1" w:rsidR="00481275" w:rsidRPr="00481275" w:rsidRDefault="00481275" w:rsidP="002D6497">
      <w:pPr>
        <w:suppressAutoHyphens w:val="0"/>
        <w:spacing w:after="240"/>
        <w:rPr>
          <w:lang w:eastAsia="fr-FR"/>
        </w:rPr>
      </w:pPr>
      <w:r w:rsidRPr="00481275">
        <w:rPr>
          <w:lang w:eastAsia="fr-FR"/>
        </w:rPr>
        <w:t>« </w:t>
      </w:r>
      <w:r w:rsidR="002D6497" w:rsidRPr="002D6497">
        <w:rPr>
          <w:i/>
          <w:iCs/>
          <w:lang w:eastAsia="fr-FR"/>
        </w:rPr>
        <w:t xml:space="preserve">Art. </w:t>
      </w:r>
      <w:r w:rsidRPr="002D6497">
        <w:rPr>
          <w:i/>
          <w:iCs/>
          <w:lang w:eastAsia="fr-FR"/>
        </w:rPr>
        <w:t>28-1</w:t>
      </w:r>
      <w:r w:rsidR="002D6497" w:rsidRPr="002D6497">
        <w:rPr>
          <w:i/>
          <w:iCs/>
          <w:lang w:eastAsia="fr-FR"/>
        </w:rPr>
        <w:t>. -</w:t>
      </w:r>
      <w:r w:rsidRPr="00481275">
        <w:rPr>
          <w:lang w:eastAsia="fr-FR"/>
        </w:rPr>
        <w:t> Surveillance du mercure</w:t>
      </w:r>
      <w:r w:rsidR="00074A48">
        <w:rPr>
          <w:lang w:eastAsia="fr-FR"/>
        </w:rPr>
        <w:t xml:space="preserve"> (Hg)</w:t>
      </w:r>
    </w:p>
    <w:p w14:paraId="7D3D3AC4" w14:textId="063CF4FB" w:rsidR="00481275" w:rsidRPr="00481275" w:rsidRDefault="00481275" w:rsidP="002B0DC1">
      <w:pPr>
        <w:jc w:val="both"/>
        <w:rPr>
          <w:lang w:eastAsia="fr-FR"/>
        </w:rPr>
      </w:pPr>
      <w:r w:rsidRPr="00481275">
        <w:rPr>
          <w:lang w:eastAsia="fr-FR"/>
        </w:rPr>
        <w:t>« I. – Combustible charbon</w:t>
      </w:r>
    </w:p>
    <w:p w14:paraId="31046259" w14:textId="2D15F73A" w:rsidR="00481275" w:rsidRPr="00481275" w:rsidRDefault="00481275" w:rsidP="002B0DC1">
      <w:pPr>
        <w:jc w:val="both"/>
        <w:rPr>
          <w:lang w:eastAsia="fr-FR"/>
        </w:rPr>
      </w:pPr>
      <w:r w:rsidRPr="00481275">
        <w:rPr>
          <w:lang w:eastAsia="fr-FR"/>
        </w:rPr>
        <w:t xml:space="preserve">Pour les appareils de combustion de puissance thermique nominale supérieure ou égale à 15 MW, </w:t>
      </w:r>
      <w:r w:rsidR="00074A48">
        <w:rPr>
          <w:lang w:eastAsia="fr-FR"/>
        </w:rPr>
        <w:t xml:space="preserve">utilisant comme combustible du charbon, </w:t>
      </w:r>
      <w:r w:rsidRPr="00481275">
        <w:rPr>
          <w:lang w:eastAsia="fr-FR"/>
        </w:rPr>
        <w:t xml:space="preserve">la fréquence de mesure du </w:t>
      </w:r>
      <w:r w:rsidRPr="00481275">
        <w:rPr>
          <w:highlight w:val="yellow"/>
          <w:lang w:eastAsia="fr-FR"/>
        </w:rPr>
        <w:t>Hg</w:t>
      </w:r>
      <w:r w:rsidRPr="00481275">
        <w:rPr>
          <w:lang w:eastAsia="fr-FR"/>
        </w:rPr>
        <w:t xml:space="preserve"> est la suivante, dans les délais mentionnés </w:t>
      </w:r>
      <w:r w:rsidR="00D9011B">
        <w:rPr>
          <w:lang w:eastAsia="fr-FR"/>
        </w:rPr>
        <w:t>au VII de l’article 3</w:t>
      </w:r>
      <w:r w:rsidRPr="00481275">
        <w:rPr>
          <w:lang w:eastAsia="fr-FR"/>
        </w:rPr>
        <w:t xml:space="preserve"> du présent arrêté :</w:t>
      </w:r>
    </w:p>
    <w:p w14:paraId="103DAE9A" w14:textId="36A395B8" w:rsidR="00481275" w:rsidRPr="00481275" w:rsidRDefault="00481275" w:rsidP="002B0DC1">
      <w:pPr>
        <w:pStyle w:val="Paragraphedeliste"/>
        <w:spacing w:after="240" w:line="240" w:lineRule="auto"/>
        <w:jc w:val="both"/>
        <w:rPr>
          <w:rFonts w:ascii="Times New Roman" w:eastAsia="Times New Roman" w:hAnsi="Times New Roman"/>
          <w:sz w:val="24"/>
          <w:szCs w:val="24"/>
        </w:rPr>
      </w:pPr>
      <w:r w:rsidRPr="00481275">
        <w:rPr>
          <w:rFonts w:ascii="Times New Roman" w:eastAsia="Times New Roman" w:hAnsi="Times New Roman"/>
          <w:sz w:val="24"/>
          <w:szCs w:val="24"/>
        </w:rPr>
        <w:t xml:space="preserve">« - pour les installations de puissance thermique nominale inférieure à 300 </w:t>
      </w:r>
      <w:proofErr w:type="spellStart"/>
      <w:r w:rsidRPr="00481275">
        <w:rPr>
          <w:rFonts w:ascii="Times New Roman" w:eastAsia="Times New Roman" w:hAnsi="Times New Roman"/>
          <w:sz w:val="24"/>
          <w:szCs w:val="24"/>
        </w:rPr>
        <w:t>MWth</w:t>
      </w:r>
      <w:proofErr w:type="spellEnd"/>
      <w:r w:rsidRPr="00481275">
        <w:rPr>
          <w:rFonts w:ascii="Times New Roman" w:eastAsia="Times New Roman" w:hAnsi="Times New Roman"/>
          <w:sz w:val="24"/>
          <w:szCs w:val="24"/>
        </w:rPr>
        <w:t> : mesure trimestrielle</w:t>
      </w:r>
      <w:r w:rsidR="002D6497">
        <w:rPr>
          <w:rFonts w:ascii="Times New Roman" w:eastAsia="Times New Roman" w:hAnsi="Times New Roman"/>
          <w:sz w:val="24"/>
          <w:szCs w:val="24"/>
        </w:rPr>
        <w:t>,</w:t>
      </w:r>
      <w:r w:rsidRPr="00481275">
        <w:rPr>
          <w:rFonts w:ascii="Times New Roman" w:eastAsia="Times New Roman" w:hAnsi="Times New Roman"/>
          <w:sz w:val="24"/>
          <w:szCs w:val="24"/>
        </w:rPr>
        <w:t xml:space="preserve"> sauf dans les cas suivants :</w:t>
      </w:r>
    </w:p>
    <w:p w14:paraId="295FFB40" w14:textId="44B4C4D8" w:rsidR="00481275" w:rsidRPr="00481275" w:rsidRDefault="00481275" w:rsidP="002B0DC1">
      <w:pPr>
        <w:pStyle w:val="Paragraphedeliste"/>
        <w:spacing w:after="240" w:line="240" w:lineRule="auto"/>
        <w:ind w:left="1440"/>
        <w:jc w:val="both"/>
        <w:rPr>
          <w:rFonts w:ascii="Times New Roman" w:eastAsia="Times New Roman" w:hAnsi="Times New Roman"/>
          <w:sz w:val="24"/>
          <w:szCs w:val="24"/>
        </w:rPr>
      </w:pPr>
      <w:r w:rsidRPr="00481275">
        <w:rPr>
          <w:rFonts w:ascii="Times New Roman" w:eastAsia="Times New Roman" w:hAnsi="Times New Roman"/>
          <w:sz w:val="24"/>
          <w:szCs w:val="24"/>
        </w:rPr>
        <w:t>« - s'il est établi que les niveaux d'émissions sont suffisamment stables, des mesures périodiques peuvent être effectuées à chaque modification des caractéristiques du combustible ou des déchets susceptibles d'avoir une incidence sur les émissions, mais en tout état de cause au moins une fois par an ;</w:t>
      </w:r>
    </w:p>
    <w:p w14:paraId="62368DA8" w14:textId="398A4498" w:rsidR="00481275" w:rsidRPr="00481275" w:rsidRDefault="00481275" w:rsidP="002B0DC1">
      <w:pPr>
        <w:pStyle w:val="Paragraphedeliste"/>
        <w:spacing w:after="240" w:line="240" w:lineRule="auto"/>
        <w:ind w:left="1440"/>
        <w:jc w:val="both"/>
        <w:rPr>
          <w:rFonts w:ascii="Times New Roman" w:eastAsia="Times New Roman" w:hAnsi="Times New Roman"/>
          <w:sz w:val="24"/>
          <w:szCs w:val="24"/>
        </w:rPr>
      </w:pPr>
      <w:r w:rsidRPr="00481275">
        <w:rPr>
          <w:rFonts w:ascii="Times New Roman" w:eastAsia="Times New Roman" w:hAnsi="Times New Roman"/>
          <w:sz w:val="24"/>
          <w:szCs w:val="24"/>
        </w:rPr>
        <w:t>« - pour les installations exploitées moins de 1500 heures par an, la fréquence est annuelle ;</w:t>
      </w:r>
    </w:p>
    <w:p w14:paraId="336878D5" w14:textId="7697BFBC" w:rsidR="00481275" w:rsidRPr="00481275" w:rsidRDefault="00481275" w:rsidP="002D6497">
      <w:pPr>
        <w:pStyle w:val="Paragraphedeliste"/>
        <w:spacing w:after="240" w:line="240" w:lineRule="auto"/>
        <w:jc w:val="both"/>
        <w:rPr>
          <w:rFonts w:ascii="Times New Roman" w:eastAsia="Times New Roman" w:hAnsi="Times New Roman"/>
          <w:sz w:val="24"/>
          <w:szCs w:val="24"/>
        </w:rPr>
      </w:pPr>
      <w:r w:rsidRPr="00481275">
        <w:rPr>
          <w:rFonts w:ascii="Times New Roman" w:eastAsia="Times New Roman" w:hAnsi="Times New Roman"/>
          <w:sz w:val="24"/>
          <w:szCs w:val="24"/>
        </w:rPr>
        <w:t xml:space="preserve">« - pour les installations de puissance thermique nominale supérieure ou égale à 300 </w:t>
      </w:r>
      <w:proofErr w:type="spellStart"/>
      <w:r w:rsidRPr="00481275">
        <w:rPr>
          <w:rFonts w:ascii="Times New Roman" w:eastAsia="Times New Roman" w:hAnsi="Times New Roman"/>
          <w:sz w:val="24"/>
          <w:szCs w:val="24"/>
        </w:rPr>
        <w:t>MWth</w:t>
      </w:r>
      <w:proofErr w:type="spellEnd"/>
      <w:r w:rsidRPr="00481275">
        <w:rPr>
          <w:rFonts w:ascii="Times New Roman" w:eastAsia="Times New Roman" w:hAnsi="Times New Roman"/>
          <w:sz w:val="24"/>
          <w:szCs w:val="24"/>
        </w:rPr>
        <w:t> : mesure en continu</w:t>
      </w:r>
      <w:r w:rsidR="002D6497">
        <w:rPr>
          <w:rFonts w:ascii="Times New Roman" w:eastAsia="Times New Roman" w:hAnsi="Times New Roman"/>
          <w:sz w:val="24"/>
          <w:szCs w:val="24"/>
        </w:rPr>
        <w:t xml:space="preserve">, </w:t>
      </w:r>
      <w:r w:rsidRPr="00481275">
        <w:rPr>
          <w:rFonts w:ascii="Times New Roman" w:eastAsia="Times New Roman" w:hAnsi="Times New Roman"/>
          <w:sz w:val="24"/>
          <w:szCs w:val="24"/>
        </w:rPr>
        <w:t>sauf dans les cas suivants :</w:t>
      </w:r>
    </w:p>
    <w:p w14:paraId="49F0422B" w14:textId="4124E567" w:rsidR="00481275" w:rsidRPr="00481275" w:rsidRDefault="00481275" w:rsidP="002B0DC1">
      <w:pPr>
        <w:pStyle w:val="Paragraphedeliste"/>
        <w:spacing w:after="240" w:line="240" w:lineRule="auto"/>
        <w:ind w:left="1440"/>
        <w:jc w:val="both"/>
        <w:rPr>
          <w:rFonts w:ascii="Times New Roman" w:eastAsia="Times New Roman" w:hAnsi="Times New Roman"/>
          <w:sz w:val="24"/>
          <w:szCs w:val="24"/>
        </w:rPr>
      </w:pPr>
      <w:r w:rsidRPr="00481275">
        <w:rPr>
          <w:rFonts w:ascii="Times New Roman" w:eastAsia="Times New Roman" w:hAnsi="Times New Roman"/>
          <w:sz w:val="24"/>
          <w:szCs w:val="24"/>
        </w:rPr>
        <w:t>« - s'il est établi que les niveaux d'émissions sont suffisamment stables, des mesures périodiques peuvent être effectuées à chaque modification des caractéristiques du combustible susceptible d'avoir une incidence sur les émissions, mais en tout état de cause au moins une fois tous les six mois ;</w:t>
      </w:r>
    </w:p>
    <w:p w14:paraId="21274DB4" w14:textId="478786BB" w:rsidR="00481275" w:rsidRPr="00481275" w:rsidRDefault="00481275" w:rsidP="002B0DC1">
      <w:pPr>
        <w:pStyle w:val="Paragraphedeliste"/>
        <w:spacing w:after="0" w:line="240" w:lineRule="auto"/>
        <w:ind w:left="1434"/>
        <w:jc w:val="both"/>
        <w:rPr>
          <w:rFonts w:ascii="Times New Roman" w:eastAsia="Times New Roman" w:hAnsi="Times New Roman"/>
          <w:sz w:val="24"/>
          <w:szCs w:val="24"/>
        </w:rPr>
      </w:pPr>
      <w:r w:rsidRPr="00481275">
        <w:rPr>
          <w:rFonts w:ascii="Times New Roman" w:eastAsia="Times New Roman" w:hAnsi="Times New Roman"/>
          <w:sz w:val="24"/>
          <w:szCs w:val="24"/>
        </w:rPr>
        <w:t xml:space="preserve">« - au lieu de mesures en continu, il est possible de recourir à un échantillonnage en continu, couplé à de fréquentes analyses d'échantillons intégrés dans le temps, par exemple à l'aide d'une méthode normalisée de piégeage par </w:t>
      </w:r>
      <w:proofErr w:type="spellStart"/>
      <w:r w:rsidRPr="00481275">
        <w:rPr>
          <w:rFonts w:ascii="Times New Roman" w:eastAsia="Times New Roman" w:hAnsi="Times New Roman"/>
          <w:sz w:val="24"/>
          <w:szCs w:val="24"/>
        </w:rPr>
        <w:t>sorbant</w:t>
      </w:r>
      <w:proofErr w:type="spellEnd"/>
      <w:r w:rsidRPr="00481275">
        <w:rPr>
          <w:rFonts w:ascii="Times New Roman" w:eastAsia="Times New Roman" w:hAnsi="Times New Roman"/>
          <w:sz w:val="24"/>
          <w:szCs w:val="24"/>
        </w:rPr>
        <w:t>.</w:t>
      </w:r>
    </w:p>
    <w:p w14:paraId="7BDCC34F" w14:textId="651E6AC4" w:rsidR="00481275" w:rsidRPr="00481275" w:rsidRDefault="00481275" w:rsidP="002B0DC1">
      <w:pPr>
        <w:spacing w:after="240"/>
        <w:jc w:val="both"/>
        <w:rPr>
          <w:lang w:eastAsia="fr-FR"/>
        </w:rPr>
      </w:pPr>
      <w:r w:rsidRPr="00481275">
        <w:rPr>
          <w:lang w:eastAsia="fr-FR"/>
        </w:rPr>
        <w:t xml:space="preserve">« Ces dispositions s’appliquent dans les délais mentionnés </w:t>
      </w:r>
      <w:r w:rsidR="00D9011B">
        <w:rPr>
          <w:lang w:eastAsia="fr-FR"/>
        </w:rPr>
        <w:t>au VII de l’article 3</w:t>
      </w:r>
      <w:r w:rsidRPr="00481275">
        <w:rPr>
          <w:lang w:eastAsia="fr-FR"/>
        </w:rPr>
        <w:t xml:space="preserve"> du présent arrêté.</w:t>
      </w:r>
    </w:p>
    <w:p w14:paraId="5F3DB47E" w14:textId="74E91ED6" w:rsidR="00481275" w:rsidRPr="00481275" w:rsidRDefault="00481275" w:rsidP="002B0DC1">
      <w:pPr>
        <w:jc w:val="both"/>
        <w:rPr>
          <w:lang w:eastAsia="fr-FR"/>
        </w:rPr>
      </w:pPr>
      <w:r w:rsidRPr="00481275">
        <w:rPr>
          <w:lang w:eastAsia="fr-FR"/>
        </w:rPr>
        <w:t>« II. – Combustible biomasse</w:t>
      </w:r>
      <w:r w:rsidR="00074A48">
        <w:rPr>
          <w:lang w:eastAsia="fr-FR"/>
        </w:rPr>
        <w:t xml:space="preserve"> solide</w:t>
      </w:r>
    </w:p>
    <w:p w14:paraId="5D423D48" w14:textId="0D6C47B8" w:rsidR="00481275" w:rsidRPr="00481275" w:rsidRDefault="00481275" w:rsidP="002B0DC1">
      <w:pPr>
        <w:jc w:val="both"/>
        <w:rPr>
          <w:lang w:eastAsia="fr-FR"/>
        </w:rPr>
      </w:pPr>
      <w:r w:rsidRPr="00481275">
        <w:rPr>
          <w:lang w:eastAsia="fr-FR"/>
        </w:rPr>
        <w:t xml:space="preserve">« Pour les appareils de combustion de puissance thermique nominale supérieure ou égale à 15 MW </w:t>
      </w:r>
      <w:r w:rsidR="00074A48">
        <w:rPr>
          <w:lang w:eastAsia="fr-FR"/>
        </w:rPr>
        <w:t xml:space="preserve">utilisant comme combustible de la biomasse solide, </w:t>
      </w:r>
      <w:r w:rsidRPr="00481275">
        <w:rPr>
          <w:lang w:eastAsia="fr-FR"/>
        </w:rPr>
        <w:t>la fréquence de mesure du Hg est annuelle.</w:t>
      </w:r>
    </w:p>
    <w:p w14:paraId="5135E87E" w14:textId="014F2841" w:rsidR="00481275" w:rsidRPr="00481275" w:rsidRDefault="00481275" w:rsidP="002B0DC1">
      <w:pPr>
        <w:jc w:val="both"/>
        <w:rPr>
          <w:lang w:eastAsia="fr-FR"/>
        </w:rPr>
      </w:pPr>
      <w:r w:rsidRPr="00481275">
        <w:rPr>
          <w:lang w:eastAsia="fr-FR"/>
        </w:rPr>
        <w:t>« S'il est établi que les niveaux d'émissions sont suffisamment stables du fait de la faible teneur en mercure du combustible, des mesures périodiques peuvent n'être effectuées qu'à chaque modification des caractéristiques du combustible susceptible d'avoir une incidence sur les émissions.</w:t>
      </w:r>
    </w:p>
    <w:p w14:paraId="1C2514D9" w14:textId="31F7CD61" w:rsidR="00481275" w:rsidRPr="00481275" w:rsidRDefault="00481275" w:rsidP="002B0DC1">
      <w:pPr>
        <w:jc w:val="both"/>
        <w:rPr>
          <w:lang w:eastAsia="fr-FR"/>
        </w:rPr>
      </w:pPr>
      <w:r w:rsidRPr="00481275">
        <w:rPr>
          <w:lang w:eastAsia="fr-FR"/>
        </w:rPr>
        <w:t xml:space="preserve">« Ces dispositions s’appliquent dans les délais mentionnés </w:t>
      </w:r>
      <w:r w:rsidR="00D9011B">
        <w:rPr>
          <w:lang w:eastAsia="fr-FR"/>
        </w:rPr>
        <w:t>au VII de l’article 3</w:t>
      </w:r>
      <w:r w:rsidRPr="00481275">
        <w:rPr>
          <w:lang w:eastAsia="fr-FR"/>
        </w:rPr>
        <w:t xml:space="preserve"> du présent arrêté. ».</w:t>
      </w:r>
    </w:p>
    <w:p w14:paraId="28F6A873" w14:textId="77777777" w:rsidR="00481275" w:rsidRPr="00481275" w:rsidRDefault="00481275" w:rsidP="002B0DC1"/>
    <w:p w14:paraId="3EFFD0BD" w14:textId="6718D41C"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34</w:t>
      </w:r>
      <w:r w:rsidRPr="00481275">
        <w:rPr>
          <w:b/>
          <w:bCs/>
        </w:rPr>
        <w:fldChar w:fldCharType="end"/>
      </w:r>
    </w:p>
    <w:p w14:paraId="76F7C616" w14:textId="7E2A6A4C" w:rsidR="00424C89" w:rsidRDefault="00424C89" w:rsidP="002B0DC1"/>
    <w:p w14:paraId="622C3911" w14:textId="22FBECEA" w:rsidR="00481275" w:rsidRDefault="00481275" w:rsidP="002B0DC1">
      <w:pPr>
        <w:jc w:val="both"/>
      </w:pPr>
      <w:r>
        <w:t>L’article 29 de l’arrêté susvisé est ainsi modifié :</w:t>
      </w:r>
    </w:p>
    <w:p w14:paraId="55961B50" w14:textId="77777777" w:rsidR="00481275" w:rsidRPr="001137C3" w:rsidRDefault="00481275" w:rsidP="002B0DC1">
      <w:pPr>
        <w:jc w:val="both"/>
      </w:pPr>
    </w:p>
    <w:p w14:paraId="7AA2B99B" w14:textId="7FB74FC2" w:rsidR="00481275" w:rsidRPr="00481275" w:rsidRDefault="0065073C" w:rsidP="002B0DC1">
      <w:pPr>
        <w:spacing w:after="240"/>
        <w:rPr>
          <w:lang w:eastAsia="fr-FR"/>
        </w:rPr>
      </w:pPr>
      <w:r>
        <w:t>1°</w:t>
      </w:r>
      <w:r w:rsidR="00481275" w:rsidRPr="00481275">
        <w:t xml:space="preserve"> </w:t>
      </w:r>
      <w:r w:rsidR="002D6497">
        <w:t xml:space="preserve">Un </w:t>
      </w:r>
      <w:r w:rsidR="002D6497" w:rsidRPr="00481275">
        <w:t xml:space="preserve">alinéa </w:t>
      </w:r>
      <w:r w:rsidR="00481275" w:rsidRPr="00481275">
        <w:t>« </w:t>
      </w:r>
      <w:r w:rsidR="00481275" w:rsidRPr="00481275">
        <w:rPr>
          <w:lang w:eastAsia="fr-FR"/>
        </w:rPr>
        <w:t xml:space="preserve">Surveillance des dioxines et furanes, </w:t>
      </w:r>
      <w:proofErr w:type="spellStart"/>
      <w:r w:rsidR="00481275" w:rsidRPr="00481275">
        <w:rPr>
          <w:lang w:eastAsia="fr-FR"/>
        </w:rPr>
        <w:t>HCl</w:t>
      </w:r>
      <w:proofErr w:type="spellEnd"/>
      <w:r w:rsidR="00481275" w:rsidRPr="00481275">
        <w:rPr>
          <w:lang w:eastAsia="fr-FR"/>
        </w:rPr>
        <w:t>, HF, NH</w:t>
      </w:r>
      <w:r w:rsidR="00481275" w:rsidRPr="00481275">
        <w:rPr>
          <w:vertAlign w:val="subscript"/>
          <w:lang w:eastAsia="fr-FR"/>
        </w:rPr>
        <w:t>3</w:t>
      </w:r>
      <w:r w:rsidR="00481275" w:rsidRPr="00481275">
        <w:rPr>
          <w:lang w:eastAsia="fr-FR"/>
        </w:rPr>
        <w:t>, SO</w:t>
      </w:r>
      <w:r w:rsidR="00481275" w:rsidRPr="00481275">
        <w:rPr>
          <w:vertAlign w:val="subscript"/>
          <w:lang w:eastAsia="fr-FR"/>
        </w:rPr>
        <w:t>3</w:t>
      </w:r>
      <w:r w:rsidR="00481275" w:rsidRPr="00481275">
        <w:rPr>
          <w:lang w:eastAsia="fr-FR"/>
        </w:rPr>
        <w:t>, CH</w:t>
      </w:r>
      <w:r w:rsidR="00481275" w:rsidRPr="00481275">
        <w:rPr>
          <w:vertAlign w:val="subscript"/>
          <w:lang w:eastAsia="fr-FR"/>
        </w:rPr>
        <w:t>4</w:t>
      </w:r>
      <w:r w:rsidR="00481275" w:rsidRPr="00481275">
        <w:rPr>
          <w:lang w:eastAsia="fr-FR"/>
        </w:rPr>
        <w:t>, N</w:t>
      </w:r>
      <w:r w:rsidR="00481275" w:rsidRPr="00481275">
        <w:rPr>
          <w:vertAlign w:val="subscript"/>
          <w:lang w:eastAsia="fr-FR"/>
        </w:rPr>
        <w:t>2</w:t>
      </w:r>
      <w:r w:rsidR="00481275" w:rsidRPr="00481275">
        <w:rPr>
          <w:lang w:eastAsia="fr-FR"/>
        </w:rPr>
        <w:t>O, PM</w:t>
      </w:r>
      <w:r w:rsidR="00481275" w:rsidRPr="00481275">
        <w:rPr>
          <w:vertAlign w:val="subscript"/>
          <w:lang w:eastAsia="fr-FR"/>
        </w:rPr>
        <w:t>10</w:t>
      </w:r>
      <w:r w:rsidR="00481275" w:rsidRPr="00481275">
        <w:rPr>
          <w:lang w:eastAsia="fr-FR"/>
        </w:rPr>
        <w:t xml:space="preserve"> </w:t>
      </w:r>
      <w:r w:rsidR="00481275" w:rsidRPr="00481275">
        <w:t>» est inséré avant le premier alinéa.</w:t>
      </w:r>
    </w:p>
    <w:p w14:paraId="3C3CE42A" w14:textId="049C7BC7" w:rsidR="00481275" w:rsidRPr="00481275" w:rsidRDefault="0065073C" w:rsidP="002B0DC1">
      <w:pPr>
        <w:jc w:val="both"/>
      </w:pPr>
      <w:r>
        <w:t>2°</w:t>
      </w:r>
      <w:r w:rsidR="00481275" w:rsidRPr="00481275">
        <w:t xml:space="preserve"> </w:t>
      </w:r>
      <w:r w:rsidR="002D6497">
        <w:t>Avant le premier alinéa du</w:t>
      </w:r>
      <w:r w:rsidR="00481275" w:rsidRPr="00481275">
        <w:t xml:space="preserve"> I</w:t>
      </w:r>
      <w:r w:rsidR="002D6497">
        <w:t xml:space="preserve"> sont insérés</w:t>
      </w:r>
      <w:r w:rsidR="00481275" w:rsidRPr="00481275">
        <w:t xml:space="preserve"> </w:t>
      </w:r>
      <w:r w:rsidR="00074A48" w:rsidRPr="00481275">
        <w:t>l</w:t>
      </w:r>
      <w:r w:rsidR="00074A48">
        <w:t xml:space="preserve">es </w:t>
      </w:r>
      <w:r w:rsidR="00074A48" w:rsidRPr="00481275">
        <w:t>alinéa</w:t>
      </w:r>
      <w:r w:rsidR="00074A48">
        <w:t>s</w:t>
      </w:r>
      <w:r w:rsidR="00074A48" w:rsidRPr="00481275">
        <w:t xml:space="preserve"> </w:t>
      </w:r>
      <w:r w:rsidR="00481275" w:rsidRPr="00481275">
        <w:t>suivant</w:t>
      </w:r>
      <w:r w:rsidR="002D6497">
        <w:t xml:space="preserve">s </w:t>
      </w:r>
      <w:r w:rsidR="00481275" w:rsidRPr="00481275">
        <w:t>:</w:t>
      </w:r>
    </w:p>
    <w:p w14:paraId="002A4007" w14:textId="06B236A3" w:rsidR="00074A48" w:rsidRDefault="00481275" w:rsidP="002B0DC1">
      <w:pPr>
        <w:jc w:val="both"/>
        <w:rPr>
          <w:lang w:eastAsia="fr-FR"/>
        </w:rPr>
      </w:pPr>
      <w:r w:rsidRPr="00481275">
        <w:rPr>
          <w:lang w:eastAsia="fr-FR"/>
        </w:rPr>
        <w:t>« </w:t>
      </w:r>
      <w:r w:rsidR="00074A48">
        <w:rPr>
          <w:lang w:eastAsia="fr-FR"/>
        </w:rPr>
        <w:t>Les dispositions du présent point s’appliquent aux installations suivantes :</w:t>
      </w:r>
    </w:p>
    <w:p w14:paraId="6FE708EF" w14:textId="068E89AA" w:rsidR="00074A48" w:rsidRDefault="00074A48" w:rsidP="002B0DC1">
      <w:pPr>
        <w:ind w:firstLine="708"/>
        <w:jc w:val="both"/>
        <w:rPr>
          <w:lang w:eastAsia="fr-FR"/>
        </w:rPr>
      </w:pPr>
      <w:r>
        <w:rPr>
          <w:lang w:eastAsia="fr-FR"/>
        </w:rPr>
        <w:t>« - appareils de puissance thermique nominale inférieure à 15 MW ;</w:t>
      </w:r>
    </w:p>
    <w:p w14:paraId="0D4EA21A" w14:textId="29FA1C16" w:rsidR="00074A48" w:rsidRDefault="00074A48" w:rsidP="002B0DC1">
      <w:pPr>
        <w:ind w:firstLine="708"/>
        <w:jc w:val="both"/>
        <w:rPr>
          <w:lang w:eastAsia="fr-FR"/>
        </w:rPr>
      </w:pPr>
      <w:r>
        <w:rPr>
          <w:lang w:eastAsia="fr-FR"/>
        </w:rPr>
        <w:t xml:space="preserve">« - les fours ou réchauffeurs industriels ; </w:t>
      </w:r>
    </w:p>
    <w:p w14:paraId="1CAD8941" w14:textId="222B44A5" w:rsidR="00074A48" w:rsidRDefault="00074A48" w:rsidP="002B0DC1">
      <w:pPr>
        <w:ind w:left="708"/>
        <w:jc w:val="both"/>
        <w:rPr>
          <w:lang w:eastAsia="fr-FR"/>
        </w:rPr>
      </w:pPr>
      <w:r>
        <w:rPr>
          <w:lang w:eastAsia="fr-FR"/>
        </w:rPr>
        <w:t xml:space="preserve">« - installations pour lesquelles les délais mentionnés </w:t>
      </w:r>
      <w:r w:rsidR="00D9011B">
        <w:rPr>
          <w:lang w:eastAsia="fr-FR"/>
        </w:rPr>
        <w:t>au VII de l’article 3</w:t>
      </w:r>
      <w:r>
        <w:rPr>
          <w:lang w:eastAsia="fr-FR"/>
        </w:rPr>
        <w:t xml:space="preserve"> ne sont pas encore échus ;</w:t>
      </w:r>
    </w:p>
    <w:p w14:paraId="422B73C5" w14:textId="773AB81A" w:rsidR="00481275" w:rsidRDefault="00074A48" w:rsidP="002B0DC1">
      <w:pPr>
        <w:ind w:left="708"/>
        <w:jc w:val="both"/>
        <w:rPr>
          <w:bCs/>
          <w:lang w:eastAsia="fr-FR"/>
        </w:rPr>
      </w:pPr>
      <w:r>
        <w:rPr>
          <w:lang w:eastAsia="fr-FR"/>
        </w:rPr>
        <w:t xml:space="preserve">« - appareils et combustibles ne faisant pas l’objet de la surveillance </w:t>
      </w:r>
      <w:r w:rsidR="00946139">
        <w:rPr>
          <w:lang w:eastAsia="fr-FR"/>
        </w:rPr>
        <w:t xml:space="preserve">mentionnée au </w:t>
      </w:r>
      <w:r>
        <w:rPr>
          <w:lang w:eastAsia="fr-FR"/>
        </w:rPr>
        <w:t>II du présent article. ».</w:t>
      </w:r>
    </w:p>
    <w:p w14:paraId="2C8FA4A0" w14:textId="1DAB55AF" w:rsidR="00481275" w:rsidRDefault="00481275" w:rsidP="002B0DC1">
      <w:pPr>
        <w:jc w:val="both"/>
        <w:rPr>
          <w:bCs/>
          <w:lang w:eastAsia="fr-FR"/>
        </w:rPr>
      </w:pPr>
    </w:p>
    <w:p w14:paraId="5102DFF5" w14:textId="16E65D03" w:rsidR="00481275" w:rsidRDefault="0065073C" w:rsidP="002B0DC1">
      <w:pPr>
        <w:jc w:val="both"/>
        <w:rPr>
          <w:bCs/>
          <w:lang w:eastAsia="fr-FR"/>
        </w:rPr>
      </w:pPr>
      <w:r>
        <w:rPr>
          <w:bCs/>
          <w:lang w:eastAsia="fr-FR"/>
        </w:rPr>
        <w:t>3°</w:t>
      </w:r>
      <w:r w:rsidR="00481275">
        <w:rPr>
          <w:bCs/>
          <w:lang w:eastAsia="fr-FR"/>
        </w:rPr>
        <w:t xml:space="preserve"> </w:t>
      </w:r>
      <w:r w:rsidR="00AF318E">
        <w:rPr>
          <w:bCs/>
          <w:lang w:eastAsia="fr-FR"/>
        </w:rPr>
        <w:t>Avant les mots : « Pour les chaudières » est inséré</w:t>
      </w:r>
      <w:r w:rsidR="002E0A91">
        <w:rPr>
          <w:bCs/>
          <w:lang w:eastAsia="fr-FR"/>
        </w:rPr>
        <w:t>e</w:t>
      </w:r>
      <w:r w:rsidR="00AF318E">
        <w:rPr>
          <w:bCs/>
          <w:lang w:eastAsia="fr-FR"/>
        </w:rPr>
        <w:t xml:space="preserve"> la référence</w:t>
      </w:r>
      <w:r w:rsidR="00481275">
        <w:rPr>
          <w:bCs/>
          <w:lang w:eastAsia="fr-FR"/>
        </w:rPr>
        <w:t> : « a) ».</w:t>
      </w:r>
    </w:p>
    <w:p w14:paraId="440C995C" w14:textId="77777777" w:rsidR="00624A16" w:rsidRDefault="00624A16" w:rsidP="002B0DC1">
      <w:pPr>
        <w:jc w:val="both"/>
        <w:rPr>
          <w:bCs/>
          <w:lang w:eastAsia="fr-FR"/>
        </w:rPr>
      </w:pPr>
    </w:p>
    <w:p w14:paraId="0B7F3C10" w14:textId="1E8AF078" w:rsidR="00481275" w:rsidRDefault="0065073C" w:rsidP="002B0DC1">
      <w:pPr>
        <w:jc w:val="both"/>
        <w:rPr>
          <w:bCs/>
          <w:lang w:eastAsia="fr-FR"/>
        </w:rPr>
      </w:pPr>
      <w:r>
        <w:rPr>
          <w:bCs/>
          <w:lang w:eastAsia="fr-FR"/>
        </w:rPr>
        <w:t>4°</w:t>
      </w:r>
      <w:r w:rsidR="00481275">
        <w:rPr>
          <w:bCs/>
          <w:lang w:eastAsia="fr-FR"/>
        </w:rPr>
        <w:t xml:space="preserve"> </w:t>
      </w:r>
      <w:r w:rsidR="00301AFE">
        <w:rPr>
          <w:bCs/>
          <w:lang w:eastAsia="fr-FR"/>
        </w:rPr>
        <w:t xml:space="preserve">La référence : </w:t>
      </w:r>
      <w:r w:rsidR="00481275">
        <w:rPr>
          <w:bCs/>
          <w:lang w:eastAsia="fr-FR"/>
        </w:rPr>
        <w:t>« II. – » est remplacé</w:t>
      </w:r>
      <w:r w:rsidR="00301AFE">
        <w:rPr>
          <w:bCs/>
          <w:lang w:eastAsia="fr-FR"/>
        </w:rPr>
        <w:t>e</w:t>
      </w:r>
      <w:r w:rsidR="00481275">
        <w:rPr>
          <w:bCs/>
          <w:lang w:eastAsia="fr-FR"/>
        </w:rPr>
        <w:t xml:space="preserve"> par </w:t>
      </w:r>
      <w:r w:rsidR="002E0A91">
        <w:rPr>
          <w:bCs/>
          <w:lang w:eastAsia="fr-FR"/>
        </w:rPr>
        <w:t>la référence</w:t>
      </w:r>
      <w:r w:rsidR="00481275">
        <w:rPr>
          <w:bCs/>
          <w:lang w:eastAsia="fr-FR"/>
        </w:rPr>
        <w:t> : « b) ».</w:t>
      </w:r>
    </w:p>
    <w:p w14:paraId="4B772004" w14:textId="34141A69" w:rsidR="00481275" w:rsidRDefault="00481275" w:rsidP="002B0DC1">
      <w:pPr>
        <w:jc w:val="both"/>
        <w:rPr>
          <w:bCs/>
          <w:lang w:eastAsia="fr-FR"/>
        </w:rPr>
      </w:pPr>
    </w:p>
    <w:p w14:paraId="00F741A6" w14:textId="75E618E3" w:rsidR="00481275" w:rsidRDefault="0065073C" w:rsidP="002B0DC1">
      <w:pPr>
        <w:jc w:val="both"/>
        <w:rPr>
          <w:bCs/>
          <w:lang w:eastAsia="fr-FR"/>
        </w:rPr>
      </w:pPr>
      <w:r>
        <w:rPr>
          <w:bCs/>
          <w:lang w:eastAsia="fr-FR"/>
        </w:rPr>
        <w:t>5°</w:t>
      </w:r>
      <w:r w:rsidR="00481275">
        <w:rPr>
          <w:bCs/>
          <w:lang w:eastAsia="fr-FR"/>
        </w:rPr>
        <w:t xml:space="preserve"> </w:t>
      </w:r>
      <w:r w:rsidR="00301AFE">
        <w:rPr>
          <w:bCs/>
          <w:lang w:eastAsia="fr-FR"/>
        </w:rPr>
        <w:t>La référence :</w:t>
      </w:r>
      <w:r w:rsidR="00481275">
        <w:rPr>
          <w:bCs/>
          <w:lang w:eastAsia="fr-FR"/>
        </w:rPr>
        <w:t xml:space="preserve"> « III. – » est remplacé</w:t>
      </w:r>
      <w:r w:rsidR="00301AFE">
        <w:rPr>
          <w:bCs/>
          <w:lang w:eastAsia="fr-FR"/>
        </w:rPr>
        <w:t>e</w:t>
      </w:r>
      <w:r w:rsidR="00481275">
        <w:rPr>
          <w:bCs/>
          <w:lang w:eastAsia="fr-FR"/>
        </w:rPr>
        <w:t xml:space="preserve"> par </w:t>
      </w:r>
      <w:r w:rsidR="002E0A91">
        <w:rPr>
          <w:bCs/>
          <w:lang w:eastAsia="fr-FR"/>
        </w:rPr>
        <w:t>la référence</w:t>
      </w:r>
      <w:r w:rsidR="00481275">
        <w:rPr>
          <w:bCs/>
          <w:lang w:eastAsia="fr-FR"/>
        </w:rPr>
        <w:t> : « c) ».</w:t>
      </w:r>
    </w:p>
    <w:p w14:paraId="521BACC6" w14:textId="0AC01986" w:rsidR="00481275" w:rsidRPr="00481275" w:rsidRDefault="00481275" w:rsidP="002B0DC1">
      <w:pPr>
        <w:jc w:val="both"/>
        <w:rPr>
          <w:bCs/>
          <w:lang w:eastAsia="fr-FR"/>
        </w:rPr>
      </w:pPr>
    </w:p>
    <w:p w14:paraId="069FEB3F" w14:textId="0739A228" w:rsidR="00481275" w:rsidRPr="00481275" w:rsidRDefault="0065073C" w:rsidP="002B0DC1">
      <w:pPr>
        <w:jc w:val="both"/>
        <w:rPr>
          <w:bCs/>
          <w:lang w:eastAsia="fr-FR"/>
        </w:rPr>
      </w:pPr>
      <w:r>
        <w:rPr>
          <w:bCs/>
          <w:lang w:eastAsia="fr-FR"/>
        </w:rPr>
        <w:t>6°</w:t>
      </w:r>
      <w:r w:rsidR="00481275" w:rsidRPr="00481275">
        <w:rPr>
          <w:bCs/>
          <w:lang w:eastAsia="fr-FR"/>
        </w:rPr>
        <w:t xml:space="preserve"> L’article 29 est complété </w:t>
      </w:r>
      <w:r w:rsidR="002E0A91">
        <w:rPr>
          <w:bCs/>
          <w:lang w:eastAsia="fr-FR"/>
        </w:rPr>
        <w:t>par les alinéas suivants</w:t>
      </w:r>
      <w:r w:rsidR="00481275" w:rsidRPr="00481275">
        <w:rPr>
          <w:bCs/>
          <w:lang w:eastAsia="fr-FR"/>
        </w:rPr>
        <w:t> :</w:t>
      </w:r>
    </w:p>
    <w:p w14:paraId="50B6343D" w14:textId="78FEEE49" w:rsidR="00481275" w:rsidRPr="00481275" w:rsidRDefault="00481275" w:rsidP="002B0DC1">
      <w:pPr>
        <w:jc w:val="both"/>
        <w:rPr>
          <w:bCs/>
          <w:lang w:eastAsia="fr-FR"/>
        </w:rPr>
      </w:pPr>
    </w:p>
    <w:p w14:paraId="35816EDB" w14:textId="2D23D96F" w:rsidR="00481275" w:rsidRPr="00481275" w:rsidRDefault="00481275" w:rsidP="002B0DC1">
      <w:pPr>
        <w:jc w:val="both"/>
        <w:rPr>
          <w:lang w:eastAsia="fr-FR"/>
        </w:rPr>
      </w:pPr>
      <w:r w:rsidRPr="00481275">
        <w:rPr>
          <w:lang w:eastAsia="fr-FR"/>
        </w:rPr>
        <w:t xml:space="preserve">« II. – Les dispositions du présent point s’appliquent aux chaudières, turbines et moteurs de puissance thermique nominale supérieure ou égale à 15 MW, dans les délais mentionnés </w:t>
      </w:r>
      <w:r w:rsidR="00D9011B">
        <w:rPr>
          <w:lang w:eastAsia="fr-FR"/>
        </w:rPr>
        <w:t>au VII de l’article 3</w:t>
      </w:r>
      <w:r w:rsidRPr="00481275">
        <w:rPr>
          <w:lang w:eastAsia="fr-FR"/>
        </w:rPr>
        <w:t xml:space="preserve"> du présent arrêté pour les polluants et combustibles listés ci-dessous. En l’absence de dispositions concernant un appareil ou un combustible dans le point II, les dispositions du I du présent article s’appliquent.</w:t>
      </w:r>
    </w:p>
    <w:p w14:paraId="4186A4EB" w14:textId="77777777" w:rsidR="00481275" w:rsidRPr="00481275" w:rsidRDefault="00481275" w:rsidP="002B0DC1">
      <w:pPr>
        <w:rPr>
          <w:lang w:eastAsia="fr-FR"/>
        </w:rPr>
      </w:pPr>
    </w:p>
    <w:p w14:paraId="6571B1A5" w14:textId="13DFC75C" w:rsidR="00481275" w:rsidRPr="00481275" w:rsidRDefault="00481275" w:rsidP="002B0DC1">
      <w:pPr>
        <w:jc w:val="both"/>
        <w:rPr>
          <w:lang w:eastAsia="fr-FR"/>
        </w:rPr>
      </w:pPr>
      <w:r w:rsidRPr="00481275">
        <w:rPr>
          <w:lang w:eastAsia="fr-FR"/>
        </w:rPr>
        <w:t>« </w:t>
      </w:r>
      <w:proofErr w:type="gramStart"/>
      <w:r w:rsidRPr="00481275">
        <w:rPr>
          <w:lang w:eastAsia="fr-FR"/>
        </w:rPr>
        <w:t>a</w:t>
      </w:r>
      <w:proofErr w:type="gramEnd"/>
      <w:r w:rsidRPr="00481275">
        <w:rPr>
          <w:lang w:eastAsia="fr-FR"/>
        </w:rPr>
        <w:t>) Dioxine et furanes : pour combustibles gazeux ou liquides issus de procédés de l’industrie chimique</w:t>
      </w:r>
    </w:p>
    <w:p w14:paraId="55B904D2" w14:textId="4C3BD7BF" w:rsidR="00481275" w:rsidRPr="00481275" w:rsidRDefault="00481275" w:rsidP="002B0DC1">
      <w:pPr>
        <w:jc w:val="both"/>
        <w:rPr>
          <w:lang w:eastAsia="fr-FR"/>
        </w:rPr>
      </w:pPr>
      <w:r w:rsidRPr="00481275">
        <w:rPr>
          <w:lang w:eastAsia="fr-FR"/>
        </w:rPr>
        <w:t xml:space="preserve">« Les concentrations en dioxines et furanes dans les gaz résiduaires sont mesurées semestriellement si les combustibles contiennent des substances chlorées. </w:t>
      </w:r>
    </w:p>
    <w:p w14:paraId="35FACC20" w14:textId="0CF61389" w:rsidR="00481275" w:rsidRPr="00481275" w:rsidRDefault="00481275" w:rsidP="002B0DC1">
      <w:pPr>
        <w:jc w:val="both"/>
        <w:rPr>
          <w:lang w:eastAsia="fr-FR"/>
        </w:rPr>
      </w:pPr>
      <w:r w:rsidRPr="00481275">
        <w:rPr>
          <w:lang w:eastAsia="fr-FR"/>
        </w:rPr>
        <w:t xml:space="preserve">« S'il est établi que les niveaux d'émissions de ces chaudières sont suffisamment stables, des mesures périodiques </w:t>
      </w:r>
      <w:r w:rsidR="00624A16">
        <w:rPr>
          <w:lang w:eastAsia="fr-FR"/>
        </w:rPr>
        <w:t>sont</w:t>
      </w:r>
      <w:r w:rsidRPr="00481275">
        <w:rPr>
          <w:lang w:eastAsia="fr-FR"/>
        </w:rPr>
        <w:t xml:space="preserve"> effectuées à chaque modification des caractéristiques du combustible susceptible d'avoir une incidence sur les émissions, mais en tout état de cause au moins une fois par an.</w:t>
      </w:r>
    </w:p>
    <w:p w14:paraId="7175A750" w14:textId="77777777" w:rsidR="00481275" w:rsidRPr="00481275" w:rsidRDefault="00481275" w:rsidP="002B0DC1">
      <w:pPr>
        <w:jc w:val="both"/>
        <w:rPr>
          <w:lang w:eastAsia="fr-FR"/>
        </w:rPr>
      </w:pPr>
    </w:p>
    <w:p w14:paraId="49A09109" w14:textId="4C078442" w:rsidR="00481275" w:rsidRPr="00481275" w:rsidRDefault="00481275" w:rsidP="002B0DC1">
      <w:pPr>
        <w:jc w:val="both"/>
        <w:rPr>
          <w:lang w:eastAsia="fr-FR"/>
        </w:rPr>
      </w:pPr>
      <w:r w:rsidRPr="00481275">
        <w:rPr>
          <w:lang w:eastAsia="fr-FR"/>
        </w:rPr>
        <w:t>« </w:t>
      </w:r>
      <w:proofErr w:type="gramStart"/>
      <w:r w:rsidRPr="00481275">
        <w:rPr>
          <w:lang w:eastAsia="fr-FR"/>
        </w:rPr>
        <w:t>b</w:t>
      </w:r>
      <w:proofErr w:type="gramEnd"/>
      <w:r w:rsidRPr="00481275">
        <w:rPr>
          <w:lang w:eastAsia="fr-FR"/>
        </w:rPr>
        <w:t xml:space="preserve">) </w:t>
      </w:r>
      <w:proofErr w:type="spellStart"/>
      <w:r w:rsidRPr="00481275">
        <w:rPr>
          <w:lang w:eastAsia="fr-FR"/>
        </w:rPr>
        <w:t>HCl</w:t>
      </w:r>
      <w:proofErr w:type="spellEnd"/>
      <w:r w:rsidRPr="00481275">
        <w:rPr>
          <w:lang w:eastAsia="fr-FR"/>
        </w:rPr>
        <w:t> : charbon, lignite, combustibles liquides ou gazeux issus de procédés de l’industrie chimique</w:t>
      </w:r>
    </w:p>
    <w:p w14:paraId="2FE8F28B" w14:textId="12380AB0" w:rsidR="00481275" w:rsidRPr="00481275" w:rsidRDefault="00481275" w:rsidP="002B0DC1">
      <w:pPr>
        <w:jc w:val="both"/>
        <w:rPr>
          <w:lang w:eastAsia="fr-FR"/>
        </w:rPr>
      </w:pPr>
      <w:r w:rsidRPr="00481275">
        <w:rPr>
          <w:lang w:eastAsia="fr-FR"/>
        </w:rPr>
        <w:t xml:space="preserve">« Pour les chaudières utilisant comme combustible du charbon, du lignite ou des combustibles liquides ou gazeux issus de procédés de l’industrie chimique, la fréquence de mesure pour le </w:t>
      </w:r>
      <w:proofErr w:type="spellStart"/>
      <w:r w:rsidRPr="00481275">
        <w:rPr>
          <w:highlight w:val="yellow"/>
          <w:lang w:eastAsia="fr-FR"/>
        </w:rPr>
        <w:t>HCl</w:t>
      </w:r>
      <w:proofErr w:type="spellEnd"/>
      <w:r w:rsidRPr="00481275">
        <w:rPr>
          <w:lang w:eastAsia="fr-FR"/>
        </w:rPr>
        <w:t xml:space="preserve"> est trimestrielle. </w:t>
      </w:r>
    </w:p>
    <w:p w14:paraId="16AD8408" w14:textId="7AA897BD" w:rsidR="00481275" w:rsidRPr="00481275" w:rsidRDefault="00481275" w:rsidP="002B0DC1">
      <w:pPr>
        <w:jc w:val="both"/>
        <w:rPr>
          <w:lang w:eastAsia="fr-FR"/>
        </w:rPr>
      </w:pPr>
      <w:r w:rsidRPr="00481275">
        <w:rPr>
          <w:lang w:eastAsia="fr-FR"/>
        </w:rPr>
        <w:t xml:space="preserve">« S'il est établi que les niveaux d'émissions sont suffisamment stables, des mesures périodiques </w:t>
      </w:r>
      <w:r w:rsidR="00624A16">
        <w:rPr>
          <w:lang w:eastAsia="fr-FR"/>
        </w:rPr>
        <w:t>sont</w:t>
      </w:r>
      <w:r w:rsidRPr="00481275">
        <w:rPr>
          <w:lang w:eastAsia="fr-FR"/>
        </w:rPr>
        <w:t xml:space="preserve"> effectuées à chaque modification des caractéristiques du combustible susceptible d'avoir une incidence sur les émissions, mais en tout état de cause au moins une fois par an.</w:t>
      </w:r>
    </w:p>
    <w:p w14:paraId="19AEEFF7" w14:textId="77777777" w:rsidR="00481275" w:rsidRPr="00481275" w:rsidRDefault="00481275" w:rsidP="002B0DC1">
      <w:pPr>
        <w:jc w:val="both"/>
        <w:rPr>
          <w:lang w:eastAsia="fr-FR"/>
        </w:rPr>
      </w:pPr>
    </w:p>
    <w:p w14:paraId="67388E07" w14:textId="000EF2D9" w:rsidR="00481275" w:rsidRPr="00481275" w:rsidRDefault="00481275" w:rsidP="002B0DC1">
      <w:pPr>
        <w:jc w:val="both"/>
        <w:rPr>
          <w:lang w:eastAsia="fr-FR"/>
        </w:rPr>
      </w:pPr>
      <w:r w:rsidRPr="00481275">
        <w:rPr>
          <w:lang w:eastAsia="fr-FR"/>
        </w:rPr>
        <w:t xml:space="preserve">« Dans le cas des combustibles liquides ou gazeux issus de procédés de l'industrie chimique, il est possible d'adapter la fréquence de la surveillance après une première caractérisation du combustible, tel que précisé </w:t>
      </w:r>
      <w:r w:rsidR="000125F2" w:rsidRPr="000125F2">
        <w:rPr>
          <w:lang w:eastAsia="fr-FR"/>
        </w:rPr>
        <w:t xml:space="preserve">au II de l’article 5-2 </w:t>
      </w:r>
      <w:r w:rsidRPr="00481275">
        <w:rPr>
          <w:lang w:eastAsia="fr-FR"/>
        </w:rPr>
        <w:t xml:space="preserve">du présent arrêté, basée sur une évaluation de la pertinence des polluants pour les émissions dans l'air, mais en tout état de cause des mesures devront être effectuées au moins à chaque modification des caractéristiques du combustible susceptible d'avoir une incidence sur les émissions, et </w:t>
      </w:r>
      <w:r w:rsidR="002E0A91">
        <w:rPr>
          <w:lang w:eastAsia="fr-FR"/>
        </w:rPr>
        <w:t>au moins</w:t>
      </w:r>
      <w:r w:rsidRPr="00481275">
        <w:rPr>
          <w:lang w:eastAsia="fr-FR"/>
        </w:rPr>
        <w:t>, une fois par an.</w:t>
      </w:r>
    </w:p>
    <w:p w14:paraId="7FAD7E54" w14:textId="77777777" w:rsidR="00481275" w:rsidRPr="00481275" w:rsidRDefault="00481275" w:rsidP="002B0DC1">
      <w:pPr>
        <w:jc w:val="both"/>
        <w:rPr>
          <w:lang w:eastAsia="fr-FR"/>
        </w:rPr>
      </w:pPr>
    </w:p>
    <w:p w14:paraId="3DD449E9" w14:textId="0A53D1B4" w:rsidR="00481275" w:rsidRPr="00481275" w:rsidRDefault="00481275" w:rsidP="002B0DC1">
      <w:pPr>
        <w:jc w:val="both"/>
        <w:rPr>
          <w:lang w:eastAsia="fr-FR"/>
        </w:rPr>
      </w:pPr>
      <w:r w:rsidRPr="00481275">
        <w:rPr>
          <w:lang w:eastAsia="fr-FR"/>
        </w:rPr>
        <w:t>« </w:t>
      </w:r>
      <w:proofErr w:type="gramStart"/>
      <w:r w:rsidRPr="00481275">
        <w:rPr>
          <w:lang w:eastAsia="fr-FR"/>
        </w:rPr>
        <w:t>c</w:t>
      </w:r>
      <w:proofErr w:type="gramEnd"/>
      <w:r w:rsidRPr="00481275">
        <w:rPr>
          <w:lang w:eastAsia="fr-FR"/>
        </w:rPr>
        <w:t xml:space="preserve">) </w:t>
      </w:r>
      <w:proofErr w:type="spellStart"/>
      <w:r w:rsidRPr="00481275">
        <w:rPr>
          <w:lang w:eastAsia="fr-FR"/>
        </w:rPr>
        <w:t>HCl</w:t>
      </w:r>
      <w:proofErr w:type="spellEnd"/>
      <w:r w:rsidRPr="00481275">
        <w:rPr>
          <w:lang w:eastAsia="fr-FR"/>
        </w:rPr>
        <w:t> : biomasse</w:t>
      </w:r>
      <w:r w:rsidR="00624A16">
        <w:rPr>
          <w:lang w:eastAsia="fr-FR"/>
        </w:rPr>
        <w:t xml:space="preserve"> solide</w:t>
      </w:r>
    </w:p>
    <w:p w14:paraId="142450FB" w14:textId="32421826" w:rsidR="00481275" w:rsidRPr="00481275" w:rsidRDefault="00481275" w:rsidP="002B0DC1">
      <w:pPr>
        <w:jc w:val="both"/>
        <w:rPr>
          <w:lang w:eastAsia="fr-FR"/>
        </w:rPr>
      </w:pPr>
      <w:r w:rsidRPr="00481275">
        <w:rPr>
          <w:lang w:eastAsia="fr-FR"/>
        </w:rPr>
        <w:t xml:space="preserve">« Une mesure en continu du </w:t>
      </w:r>
      <w:proofErr w:type="spellStart"/>
      <w:r w:rsidRPr="00481275">
        <w:rPr>
          <w:highlight w:val="yellow"/>
          <w:lang w:eastAsia="fr-FR"/>
        </w:rPr>
        <w:t>HCl</w:t>
      </w:r>
      <w:proofErr w:type="spellEnd"/>
      <w:r w:rsidRPr="00481275">
        <w:rPr>
          <w:lang w:eastAsia="fr-FR"/>
        </w:rPr>
        <w:t xml:space="preserve"> est réalisée. </w:t>
      </w:r>
    </w:p>
    <w:p w14:paraId="50435EC9" w14:textId="77777777" w:rsidR="00481275" w:rsidRPr="00481275" w:rsidRDefault="00481275" w:rsidP="002B0DC1">
      <w:pPr>
        <w:jc w:val="both"/>
        <w:rPr>
          <w:lang w:eastAsia="fr-FR"/>
        </w:rPr>
      </w:pPr>
    </w:p>
    <w:p w14:paraId="4398284D" w14:textId="31F089A5" w:rsidR="00481275" w:rsidRPr="00481275" w:rsidRDefault="00481275" w:rsidP="002B0DC1">
      <w:pPr>
        <w:jc w:val="both"/>
        <w:rPr>
          <w:lang w:eastAsia="fr-FR"/>
        </w:rPr>
      </w:pPr>
      <w:r w:rsidRPr="00481275">
        <w:rPr>
          <w:lang w:eastAsia="fr-FR"/>
        </w:rPr>
        <w:t xml:space="preserve">« Dans les cas suivants, la mesure en continu du </w:t>
      </w:r>
      <w:proofErr w:type="spellStart"/>
      <w:r w:rsidRPr="00481275">
        <w:rPr>
          <w:lang w:eastAsia="fr-FR"/>
        </w:rPr>
        <w:t>HCl</w:t>
      </w:r>
      <w:proofErr w:type="spellEnd"/>
      <w:r w:rsidRPr="00481275">
        <w:rPr>
          <w:lang w:eastAsia="fr-FR"/>
        </w:rPr>
        <w:t xml:space="preserve"> peut être remplacée par :</w:t>
      </w:r>
    </w:p>
    <w:p w14:paraId="3F4EDF4D" w14:textId="1555D0B7" w:rsidR="00481275" w:rsidRPr="00481275" w:rsidRDefault="00481275" w:rsidP="002B0DC1">
      <w:pPr>
        <w:pStyle w:val="Paragraphedeliste"/>
        <w:spacing w:after="0" w:line="240" w:lineRule="auto"/>
        <w:jc w:val="both"/>
        <w:rPr>
          <w:rFonts w:ascii="Times New Roman" w:eastAsia="Times New Roman" w:hAnsi="Times New Roman"/>
          <w:sz w:val="24"/>
          <w:szCs w:val="24"/>
        </w:rPr>
      </w:pPr>
      <w:r w:rsidRPr="00481275">
        <w:rPr>
          <w:rFonts w:ascii="Times New Roman" w:eastAsia="Times New Roman" w:hAnsi="Times New Roman"/>
          <w:sz w:val="24"/>
          <w:szCs w:val="24"/>
        </w:rPr>
        <w:t>« - pour les installations d'une puissance thermique nominale &lt; 100 MW exploitées moins de 500 h/an, la fréquence minimale de surveillance est annuelle ;</w:t>
      </w:r>
    </w:p>
    <w:p w14:paraId="4FD951D5" w14:textId="4E334107" w:rsidR="00481275" w:rsidRPr="00481275" w:rsidRDefault="00481275" w:rsidP="002B0DC1">
      <w:pPr>
        <w:pStyle w:val="Paragraphedeliste"/>
        <w:spacing w:after="0" w:line="240" w:lineRule="auto"/>
        <w:jc w:val="both"/>
        <w:rPr>
          <w:rFonts w:ascii="Times New Roman" w:eastAsia="Times New Roman" w:hAnsi="Times New Roman"/>
          <w:sz w:val="24"/>
          <w:szCs w:val="24"/>
        </w:rPr>
      </w:pPr>
      <w:r w:rsidRPr="00481275">
        <w:rPr>
          <w:rFonts w:ascii="Times New Roman" w:eastAsia="Times New Roman" w:hAnsi="Times New Roman"/>
          <w:sz w:val="24"/>
          <w:szCs w:val="24"/>
        </w:rPr>
        <w:t xml:space="preserve">« - dans le cas des installations d'une puissance thermique nominale &lt; 100 MW exploitées entre 500 et 1 500 h/an, la fréquence </w:t>
      </w:r>
      <w:r w:rsidR="002E0A91">
        <w:rPr>
          <w:rFonts w:ascii="Times New Roman" w:eastAsia="Times New Roman" w:hAnsi="Times New Roman"/>
          <w:sz w:val="24"/>
          <w:szCs w:val="24"/>
        </w:rPr>
        <w:t xml:space="preserve">minimale </w:t>
      </w:r>
      <w:r w:rsidRPr="00481275">
        <w:rPr>
          <w:rFonts w:ascii="Times New Roman" w:eastAsia="Times New Roman" w:hAnsi="Times New Roman"/>
          <w:sz w:val="24"/>
          <w:szCs w:val="24"/>
        </w:rPr>
        <w:t xml:space="preserve">de surveillance </w:t>
      </w:r>
      <w:r w:rsidR="002E0A91">
        <w:rPr>
          <w:rFonts w:ascii="Times New Roman" w:eastAsia="Times New Roman" w:hAnsi="Times New Roman"/>
          <w:sz w:val="24"/>
          <w:szCs w:val="24"/>
        </w:rPr>
        <w:t xml:space="preserve">est </w:t>
      </w:r>
      <w:r w:rsidRPr="00481275">
        <w:rPr>
          <w:rFonts w:ascii="Times New Roman" w:eastAsia="Times New Roman" w:hAnsi="Times New Roman"/>
          <w:sz w:val="24"/>
          <w:szCs w:val="24"/>
        </w:rPr>
        <w:t>semestrielle.</w:t>
      </w:r>
    </w:p>
    <w:p w14:paraId="5F252F72" w14:textId="77777777" w:rsidR="00481275" w:rsidRPr="00481275" w:rsidRDefault="00481275" w:rsidP="002B0DC1">
      <w:pPr>
        <w:jc w:val="both"/>
        <w:rPr>
          <w:lang w:eastAsia="fr-FR"/>
        </w:rPr>
      </w:pPr>
    </w:p>
    <w:p w14:paraId="309A04CD" w14:textId="104BCF7D" w:rsidR="00481275" w:rsidRPr="00481275" w:rsidRDefault="00481275" w:rsidP="002B0DC1">
      <w:pPr>
        <w:jc w:val="both"/>
        <w:rPr>
          <w:lang w:eastAsia="fr-FR"/>
        </w:rPr>
      </w:pPr>
      <w:r w:rsidRPr="00481275">
        <w:rPr>
          <w:lang w:eastAsia="fr-FR"/>
        </w:rPr>
        <w:t xml:space="preserve">« S'il est établi que les niveaux d'émissions sont suffisamment stables, des mesures périodiques </w:t>
      </w:r>
      <w:r w:rsidR="00624A16">
        <w:rPr>
          <w:lang w:eastAsia="fr-FR"/>
        </w:rPr>
        <w:t>sont</w:t>
      </w:r>
      <w:r w:rsidRPr="00481275">
        <w:rPr>
          <w:lang w:eastAsia="fr-FR"/>
        </w:rPr>
        <w:t xml:space="preserve"> effectuées à chaque modification des caractéristiques du combustible ou des déchets susceptibles d'avoir une incidence sur les émissions, mais en tout état de cause au moins une fois tous les six mois.</w:t>
      </w:r>
    </w:p>
    <w:p w14:paraId="46FBAD5D" w14:textId="77777777" w:rsidR="00481275" w:rsidRPr="00481275" w:rsidRDefault="00481275" w:rsidP="002B0DC1">
      <w:pPr>
        <w:jc w:val="both"/>
        <w:rPr>
          <w:lang w:eastAsia="fr-FR"/>
        </w:rPr>
      </w:pPr>
    </w:p>
    <w:p w14:paraId="1FB704E4" w14:textId="14942672" w:rsidR="00481275" w:rsidRPr="00481275" w:rsidRDefault="00481275" w:rsidP="002B0DC1">
      <w:pPr>
        <w:jc w:val="both"/>
        <w:rPr>
          <w:lang w:eastAsia="fr-FR"/>
        </w:rPr>
      </w:pPr>
      <w:r w:rsidRPr="00481275">
        <w:rPr>
          <w:lang w:eastAsia="fr-FR"/>
        </w:rPr>
        <w:t>« </w:t>
      </w:r>
      <w:proofErr w:type="gramStart"/>
      <w:r w:rsidRPr="00481275">
        <w:rPr>
          <w:lang w:eastAsia="fr-FR"/>
        </w:rPr>
        <w:t>d</w:t>
      </w:r>
      <w:proofErr w:type="gramEnd"/>
      <w:r w:rsidRPr="00481275">
        <w:rPr>
          <w:lang w:eastAsia="fr-FR"/>
        </w:rPr>
        <w:t>) HF : charbon, lignite, combustibles liquides ou gazeux issus de procédés de l’industrie chimique</w:t>
      </w:r>
    </w:p>
    <w:p w14:paraId="4B435F31" w14:textId="644DD69E" w:rsidR="00481275" w:rsidRPr="00481275" w:rsidRDefault="00481275" w:rsidP="002B0DC1">
      <w:pPr>
        <w:jc w:val="both"/>
        <w:rPr>
          <w:lang w:eastAsia="fr-FR"/>
        </w:rPr>
      </w:pPr>
      <w:r w:rsidRPr="00481275">
        <w:rPr>
          <w:lang w:eastAsia="fr-FR"/>
        </w:rPr>
        <w:t xml:space="preserve">« La fréquence de mesure pour le </w:t>
      </w:r>
      <w:r w:rsidRPr="00481275">
        <w:rPr>
          <w:highlight w:val="yellow"/>
          <w:lang w:eastAsia="fr-FR"/>
        </w:rPr>
        <w:t>HF</w:t>
      </w:r>
      <w:r w:rsidRPr="00481275">
        <w:rPr>
          <w:lang w:eastAsia="fr-FR"/>
        </w:rPr>
        <w:t xml:space="preserve"> est trimestrielle. </w:t>
      </w:r>
    </w:p>
    <w:p w14:paraId="72A7B5C3" w14:textId="31F0B0BB" w:rsidR="00481275" w:rsidRPr="00481275" w:rsidRDefault="00481275" w:rsidP="002B0DC1">
      <w:pPr>
        <w:jc w:val="both"/>
        <w:rPr>
          <w:lang w:eastAsia="fr-FR"/>
        </w:rPr>
      </w:pPr>
      <w:r w:rsidRPr="00481275">
        <w:rPr>
          <w:lang w:eastAsia="fr-FR"/>
        </w:rPr>
        <w:t xml:space="preserve">« S'il est établi que les niveaux d'émissions sont suffisamment stables, des mesures périodiques </w:t>
      </w:r>
      <w:r w:rsidR="00624A16">
        <w:rPr>
          <w:lang w:eastAsia="fr-FR"/>
        </w:rPr>
        <w:t>sont</w:t>
      </w:r>
      <w:r w:rsidRPr="00481275">
        <w:rPr>
          <w:lang w:eastAsia="fr-FR"/>
        </w:rPr>
        <w:t xml:space="preserve"> effectuées à chaque modification des caractéristiques du combustible susceptible d'avoir une incidence sur les émissions, mais en tout état de cause au moins une fois par an.</w:t>
      </w:r>
    </w:p>
    <w:p w14:paraId="26F4E750" w14:textId="77777777" w:rsidR="00481275" w:rsidRPr="00481275" w:rsidRDefault="00481275" w:rsidP="002B0DC1">
      <w:pPr>
        <w:jc w:val="both"/>
        <w:rPr>
          <w:lang w:eastAsia="fr-FR"/>
        </w:rPr>
      </w:pPr>
    </w:p>
    <w:p w14:paraId="1C5AAA14" w14:textId="769A755B" w:rsidR="00481275" w:rsidRPr="00481275" w:rsidRDefault="00481275" w:rsidP="002B0DC1">
      <w:pPr>
        <w:jc w:val="both"/>
        <w:rPr>
          <w:lang w:eastAsia="fr-FR"/>
        </w:rPr>
      </w:pPr>
      <w:r w:rsidRPr="00481275">
        <w:rPr>
          <w:lang w:eastAsia="fr-FR"/>
        </w:rPr>
        <w:t>« Dans le cas des combustibles liquides ou gazeux issus de procédés de l'industrie chimique, il est possible d'adapter la fréquence de la surveillance après une première caractérisation du combustible, tel que précisé</w:t>
      </w:r>
      <w:r w:rsidR="000125F2">
        <w:rPr>
          <w:lang w:eastAsia="fr-FR"/>
        </w:rPr>
        <w:t xml:space="preserve"> au point II de </w:t>
      </w:r>
      <w:r w:rsidRPr="00481275">
        <w:rPr>
          <w:lang w:eastAsia="fr-FR"/>
        </w:rPr>
        <w:t>l’article 5-2 du présent arrêté, basée sur une évaluation de la pertinence des polluants pour les émissions dans l'air, mais</w:t>
      </w:r>
      <w:r w:rsidR="002E0A91">
        <w:rPr>
          <w:lang w:eastAsia="fr-FR"/>
        </w:rPr>
        <w:t>,</w:t>
      </w:r>
      <w:r w:rsidRPr="00481275">
        <w:rPr>
          <w:lang w:eastAsia="fr-FR"/>
        </w:rPr>
        <w:t xml:space="preserve"> en tout état de cause</w:t>
      </w:r>
      <w:r w:rsidR="00301AFE">
        <w:rPr>
          <w:lang w:eastAsia="fr-FR"/>
        </w:rPr>
        <w:t>,</w:t>
      </w:r>
      <w:r w:rsidRPr="00481275">
        <w:rPr>
          <w:lang w:eastAsia="fr-FR"/>
        </w:rPr>
        <w:t xml:space="preserve"> des mesures </w:t>
      </w:r>
      <w:r w:rsidR="00624A16">
        <w:rPr>
          <w:lang w:eastAsia="fr-FR"/>
        </w:rPr>
        <w:t>sont</w:t>
      </w:r>
      <w:r w:rsidRPr="00481275">
        <w:rPr>
          <w:lang w:eastAsia="fr-FR"/>
        </w:rPr>
        <w:t xml:space="preserve"> effectuées au moins à chaque modification des caractéristiques du combustible susceptible d'avoir une incidence sur les émissions, et </w:t>
      </w:r>
      <w:r w:rsidR="002E0A91">
        <w:rPr>
          <w:lang w:eastAsia="fr-FR"/>
        </w:rPr>
        <w:t>au moins</w:t>
      </w:r>
      <w:r w:rsidRPr="00481275">
        <w:rPr>
          <w:lang w:eastAsia="fr-FR"/>
        </w:rPr>
        <w:t>, une fois par an.</w:t>
      </w:r>
    </w:p>
    <w:p w14:paraId="5D3B75B7" w14:textId="77777777" w:rsidR="00481275" w:rsidRPr="00481275" w:rsidRDefault="00481275" w:rsidP="002B0DC1">
      <w:pPr>
        <w:jc w:val="both"/>
        <w:rPr>
          <w:lang w:eastAsia="fr-FR"/>
        </w:rPr>
      </w:pPr>
    </w:p>
    <w:p w14:paraId="4D1FCD03" w14:textId="42884495" w:rsidR="00481275" w:rsidRPr="00481275" w:rsidRDefault="00481275" w:rsidP="002B0DC1">
      <w:pPr>
        <w:jc w:val="both"/>
        <w:rPr>
          <w:lang w:eastAsia="fr-FR"/>
        </w:rPr>
      </w:pPr>
      <w:r w:rsidRPr="00481275">
        <w:rPr>
          <w:lang w:eastAsia="fr-FR"/>
        </w:rPr>
        <w:t>« </w:t>
      </w:r>
      <w:proofErr w:type="gramStart"/>
      <w:r w:rsidRPr="00481275">
        <w:rPr>
          <w:lang w:eastAsia="fr-FR"/>
        </w:rPr>
        <w:t>e</w:t>
      </w:r>
      <w:proofErr w:type="gramEnd"/>
      <w:r w:rsidRPr="00481275">
        <w:rPr>
          <w:lang w:eastAsia="fr-FR"/>
        </w:rPr>
        <w:t>) NH</w:t>
      </w:r>
      <w:r w:rsidRPr="00481275">
        <w:rPr>
          <w:vertAlign w:val="subscript"/>
          <w:lang w:eastAsia="fr-FR"/>
        </w:rPr>
        <w:t>3</w:t>
      </w:r>
      <w:r w:rsidRPr="00481275">
        <w:rPr>
          <w:lang w:eastAsia="fr-FR"/>
        </w:rPr>
        <w:t> et SO</w:t>
      </w:r>
      <w:r w:rsidRPr="00481275">
        <w:rPr>
          <w:vertAlign w:val="subscript"/>
          <w:lang w:eastAsia="fr-FR"/>
        </w:rPr>
        <w:t>3</w:t>
      </w:r>
      <w:r w:rsidRPr="00481275">
        <w:rPr>
          <w:lang w:eastAsia="fr-FR"/>
        </w:rPr>
        <w:t xml:space="preserve"> : </w:t>
      </w:r>
    </w:p>
    <w:p w14:paraId="5808DCA2" w14:textId="71B4CAC7" w:rsidR="00481275" w:rsidRPr="00481275" w:rsidRDefault="00481275" w:rsidP="002B0DC1">
      <w:pPr>
        <w:jc w:val="both"/>
        <w:rPr>
          <w:lang w:eastAsia="fr-FR"/>
        </w:rPr>
      </w:pPr>
      <w:r w:rsidRPr="00481275">
        <w:rPr>
          <w:lang w:eastAsia="fr-FR"/>
        </w:rPr>
        <w:t>« En cas de recours à la SCR ou à la SNCR, le NH</w:t>
      </w:r>
      <w:r w:rsidRPr="00481275">
        <w:rPr>
          <w:vertAlign w:val="subscript"/>
          <w:lang w:eastAsia="fr-FR"/>
        </w:rPr>
        <w:t>3</w:t>
      </w:r>
      <w:r w:rsidRPr="00481275">
        <w:rPr>
          <w:lang w:eastAsia="fr-FR"/>
        </w:rPr>
        <w:t xml:space="preserve"> est mesuré en continu sauf dans les cas suivants :</w:t>
      </w:r>
    </w:p>
    <w:p w14:paraId="670505F2" w14:textId="3448C3F3" w:rsidR="00481275" w:rsidRPr="00481275" w:rsidRDefault="00481275" w:rsidP="002B0DC1">
      <w:pPr>
        <w:pStyle w:val="Paragraphedeliste"/>
        <w:spacing w:after="0" w:line="240" w:lineRule="auto"/>
        <w:jc w:val="both"/>
        <w:rPr>
          <w:rFonts w:ascii="Times New Roman" w:eastAsia="Times New Roman" w:hAnsi="Times New Roman"/>
          <w:sz w:val="24"/>
          <w:szCs w:val="24"/>
        </w:rPr>
      </w:pPr>
      <w:r w:rsidRPr="00481275">
        <w:rPr>
          <w:rFonts w:ascii="Times New Roman" w:eastAsia="Times New Roman" w:hAnsi="Times New Roman"/>
          <w:sz w:val="24"/>
          <w:szCs w:val="24"/>
        </w:rPr>
        <w:t>« - dans le cas des installations d'une puissance thermique nominale inférieure à 100 MW exploitées moins de 1 500 h/an, la fréquence minimale de surveillance peut être ramenée à au moins une fois tous les six mois ;</w:t>
      </w:r>
    </w:p>
    <w:p w14:paraId="46C1FF9D" w14:textId="53050EC5" w:rsidR="00481275" w:rsidRPr="00481275" w:rsidRDefault="00481275" w:rsidP="002B0DC1">
      <w:pPr>
        <w:pStyle w:val="Paragraphedeliste"/>
        <w:spacing w:after="0" w:line="240" w:lineRule="auto"/>
        <w:jc w:val="both"/>
        <w:rPr>
          <w:rFonts w:ascii="Times New Roman" w:eastAsia="Times New Roman" w:hAnsi="Times New Roman"/>
          <w:sz w:val="24"/>
          <w:szCs w:val="24"/>
        </w:rPr>
      </w:pPr>
      <w:r w:rsidRPr="00481275">
        <w:rPr>
          <w:rFonts w:ascii="Times New Roman" w:eastAsia="Times New Roman" w:hAnsi="Times New Roman"/>
          <w:sz w:val="24"/>
          <w:szCs w:val="24"/>
        </w:rPr>
        <w:t>« - en cas de recours à la SCR, la fréquence minimale de surveillance est d'au moins une fois par an s'il est établi que les niveaux d'émissions sont suffisamment stables</w:t>
      </w:r>
      <w:r w:rsidR="00301AFE">
        <w:rPr>
          <w:rFonts w:ascii="Times New Roman" w:eastAsia="Times New Roman" w:hAnsi="Times New Roman"/>
          <w:sz w:val="24"/>
          <w:szCs w:val="24"/>
        </w:rPr>
        <w:t>.</w:t>
      </w:r>
    </w:p>
    <w:p w14:paraId="1B77F6B0" w14:textId="7059A53D" w:rsidR="00481275" w:rsidRPr="00481275" w:rsidRDefault="00481275" w:rsidP="002B0DC1">
      <w:pPr>
        <w:jc w:val="both"/>
        <w:rPr>
          <w:lang w:eastAsia="fr-FR"/>
        </w:rPr>
      </w:pPr>
      <w:r w:rsidRPr="00481275">
        <w:rPr>
          <w:lang w:eastAsia="fr-FR"/>
        </w:rPr>
        <w:t xml:space="preserve">« En cas de recours à la SCR, une mesure du </w:t>
      </w:r>
      <w:r w:rsidRPr="00481275">
        <w:rPr>
          <w:highlight w:val="yellow"/>
          <w:lang w:eastAsia="fr-FR"/>
        </w:rPr>
        <w:t>SO</w:t>
      </w:r>
      <w:r w:rsidRPr="00481275">
        <w:rPr>
          <w:highlight w:val="yellow"/>
          <w:vertAlign w:val="subscript"/>
          <w:lang w:eastAsia="fr-FR"/>
        </w:rPr>
        <w:t>3</w:t>
      </w:r>
      <w:r w:rsidRPr="00481275">
        <w:rPr>
          <w:highlight w:val="yellow"/>
          <w:lang w:eastAsia="fr-FR"/>
        </w:rPr>
        <w:t xml:space="preserve"> </w:t>
      </w:r>
      <w:r w:rsidRPr="00481275">
        <w:rPr>
          <w:lang w:eastAsia="fr-FR"/>
        </w:rPr>
        <w:t>est réalisée une fois par an.</w:t>
      </w:r>
    </w:p>
    <w:p w14:paraId="643F90CE" w14:textId="3D1A9601" w:rsidR="00481275" w:rsidRPr="00481275" w:rsidRDefault="00481275" w:rsidP="002B0DC1">
      <w:pPr>
        <w:jc w:val="both"/>
        <w:rPr>
          <w:lang w:eastAsia="fr-FR"/>
        </w:rPr>
      </w:pPr>
      <w:r w:rsidRPr="00481275">
        <w:rPr>
          <w:lang w:eastAsia="fr-FR"/>
        </w:rPr>
        <w:br/>
        <w:t>« </w:t>
      </w:r>
      <w:proofErr w:type="gramStart"/>
      <w:r w:rsidRPr="00481275">
        <w:rPr>
          <w:lang w:eastAsia="fr-FR"/>
        </w:rPr>
        <w:t>f</w:t>
      </w:r>
      <w:proofErr w:type="gramEnd"/>
      <w:r w:rsidRPr="00481275">
        <w:rPr>
          <w:lang w:eastAsia="fr-FR"/>
        </w:rPr>
        <w:t>) CH</w:t>
      </w:r>
      <w:r w:rsidRPr="00624A16">
        <w:rPr>
          <w:vertAlign w:val="subscript"/>
          <w:lang w:eastAsia="fr-FR"/>
        </w:rPr>
        <w:t>4</w:t>
      </w:r>
      <w:r w:rsidRPr="00481275">
        <w:rPr>
          <w:lang w:eastAsia="fr-FR"/>
        </w:rPr>
        <w:t> : moteurs fonctionnant au gaz naturel</w:t>
      </w:r>
    </w:p>
    <w:p w14:paraId="75A32AFD" w14:textId="04147B54" w:rsidR="00481275" w:rsidRPr="00481275" w:rsidRDefault="00481275" w:rsidP="002B0DC1">
      <w:pPr>
        <w:jc w:val="both"/>
        <w:rPr>
          <w:lang w:eastAsia="fr-FR"/>
        </w:rPr>
      </w:pPr>
      <w:r w:rsidRPr="00481275">
        <w:rPr>
          <w:lang w:eastAsia="fr-FR"/>
        </w:rPr>
        <w:t xml:space="preserve">« Une mesure annuelle des émissions de </w:t>
      </w:r>
      <w:r w:rsidRPr="00481275">
        <w:rPr>
          <w:highlight w:val="yellow"/>
          <w:lang w:eastAsia="fr-FR"/>
        </w:rPr>
        <w:t>CH</w:t>
      </w:r>
      <w:r w:rsidRPr="00481275">
        <w:rPr>
          <w:highlight w:val="yellow"/>
          <w:vertAlign w:val="subscript"/>
          <w:lang w:eastAsia="fr-FR"/>
        </w:rPr>
        <w:t>4</w:t>
      </w:r>
      <w:r w:rsidRPr="00481275">
        <w:rPr>
          <w:lang w:eastAsia="fr-FR"/>
        </w:rPr>
        <w:t xml:space="preserve"> est réalisée. Les mesures sont effectuées lorsque l’installation est exploitée à plus de 70</w:t>
      </w:r>
      <w:r w:rsidR="00301AFE">
        <w:rPr>
          <w:lang w:eastAsia="fr-FR"/>
        </w:rPr>
        <w:t xml:space="preserve"> </w:t>
      </w:r>
      <w:r w:rsidRPr="00481275">
        <w:rPr>
          <w:lang w:eastAsia="fr-FR"/>
        </w:rPr>
        <w:t xml:space="preserve">% de la charge. </w:t>
      </w:r>
    </w:p>
    <w:p w14:paraId="0FB52B4B" w14:textId="77777777" w:rsidR="00481275" w:rsidRPr="00481275" w:rsidRDefault="00481275" w:rsidP="002B0DC1">
      <w:pPr>
        <w:jc w:val="both"/>
        <w:rPr>
          <w:lang w:eastAsia="fr-FR"/>
        </w:rPr>
      </w:pPr>
    </w:p>
    <w:p w14:paraId="344A87A1" w14:textId="6DB0E95B" w:rsidR="00481275" w:rsidRPr="00481275" w:rsidRDefault="00481275" w:rsidP="002B0DC1">
      <w:pPr>
        <w:jc w:val="both"/>
        <w:rPr>
          <w:lang w:eastAsia="fr-FR"/>
        </w:rPr>
      </w:pPr>
      <w:r w:rsidRPr="00481275">
        <w:rPr>
          <w:lang w:eastAsia="fr-FR"/>
        </w:rPr>
        <w:t>« </w:t>
      </w:r>
      <w:proofErr w:type="gramStart"/>
      <w:r w:rsidRPr="00481275">
        <w:rPr>
          <w:lang w:eastAsia="fr-FR"/>
        </w:rPr>
        <w:t>g</w:t>
      </w:r>
      <w:proofErr w:type="gramEnd"/>
      <w:r w:rsidRPr="00481275">
        <w:rPr>
          <w:lang w:eastAsia="fr-FR"/>
        </w:rPr>
        <w:t xml:space="preserve">) </w:t>
      </w:r>
      <w:r w:rsidRPr="00481275">
        <w:rPr>
          <w:highlight w:val="yellow"/>
          <w:lang w:eastAsia="fr-FR"/>
        </w:rPr>
        <w:t>N</w:t>
      </w:r>
      <w:r w:rsidRPr="00481275">
        <w:rPr>
          <w:highlight w:val="yellow"/>
          <w:vertAlign w:val="subscript"/>
          <w:lang w:eastAsia="fr-FR"/>
        </w:rPr>
        <w:t>2</w:t>
      </w:r>
      <w:r w:rsidRPr="00481275">
        <w:rPr>
          <w:highlight w:val="yellow"/>
          <w:lang w:eastAsia="fr-FR"/>
        </w:rPr>
        <w:t>O</w:t>
      </w:r>
      <w:r w:rsidRPr="00481275">
        <w:rPr>
          <w:lang w:eastAsia="fr-FR"/>
        </w:rPr>
        <w:t> : appareils à lit fluidisé circulant utilisant un combustible solide de type charbon, lignite, tourbe, biomasse</w:t>
      </w:r>
    </w:p>
    <w:p w14:paraId="2A420BD9" w14:textId="563EFD86" w:rsidR="00481275" w:rsidRPr="00481275" w:rsidRDefault="00481275" w:rsidP="002B0DC1">
      <w:pPr>
        <w:jc w:val="both"/>
        <w:rPr>
          <w:lang w:eastAsia="fr-FR"/>
        </w:rPr>
      </w:pPr>
      <w:r w:rsidRPr="00481275">
        <w:rPr>
          <w:lang w:eastAsia="fr-FR"/>
        </w:rPr>
        <w:t xml:space="preserve">« Les concentrations en </w:t>
      </w:r>
      <w:r w:rsidRPr="00481275">
        <w:rPr>
          <w:highlight w:val="yellow"/>
          <w:lang w:eastAsia="fr-FR"/>
        </w:rPr>
        <w:t>N</w:t>
      </w:r>
      <w:r w:rsidRPr="00481275">
        <w:rPr>
          <w:highlight w:val="yellow"/>
          <w:vertAlign w:val="subscript"/>
          <w:lang w:eastAsia="fr-FR"/>
        </w:rPr>
        <w:t>2</w:t>
      </w:r>
      <w:r w:rsidRPr="00481275">
        <w:rPr>
          <w:highlight w:val="yellow"/>
          <w:lang w:eastAsia="fr-FR"/>
        </w:rPr>
        <w:t>O</w:t>
      </w:r>
      <w:r w:rsidRPr="00481275">
        <w:rPr>
          <w:lang w:eastAsia="fr-FR"/>
        </w:rPr>
        <w:t xml:space="preserve"> sont mesurées une fois par an.</w:t>
      </w:r>
    </w:p>
    <w:p w14:paraId="024609A3" w14:textId="4CE530E4" w:rsidR="00481275" w:rsidRPr="00481275" w:rsidRDefault="00481275" w:rsidP="002B0DC1">
      <w:pPr>
        <w:jc w:val="both"/>
        <w:rPr>
          <w:lang w:eastAsia="fr-FR"/>
        </w:rPr>
      </w:pPr>
      <w:r w:rsidRPr="00481275">
        <w:rPr>
          <w:lang w:eastAsia="fr-FR"/>
        </w:rPr>
        <w:t>« A cet effet, deux séries de mesure sont effectuées, l’une lorsque l’installation est exploitée à plus de 70</w:t>
      </w:r>
      <w:r w:rsidR="00301AFE">
        <w:rPr>
          <w:lang w:eastAsia="fr-FR"/>
        </w:rPr>
        <w:t xml:space="preserve"> </w:t>
      </w:r>
      <w:r w:rsidRPr="00481275">
        <w:rPr>
          <w:lang w:eastAsia="fr-FR"/>
        </w:rPr>
        <w:t>% de la charge, et l’autre lorsqu’elle est exploitée à moins de 70</w:t>
      </w:r>
      <w:r w:rsidR="00301AFE">
        <w:rPr>
          <w:lang w:eastAsia="fr-FR"/>
        </w:rPr>
        <w:t xml:space="preserve"> </w:t>
      </w:r>
      <w:r w:rsidRPr="00481275">
        <w:rPr>
          <w:lang w:eastAsia="fr-FR"/>
        </w:rPr>
        <w:t>% de la charge. ».</w:t>
      </w:r>
    </w:p>
    <w:p w14:paraId="23755377" w14:textId="77777777" w:rsidR="00481275" w:rsidRPr="00481275" w:rsidRDefault="00481275" w:rsidP="002B0DC1"/>
    <w:p w14:paraId="1A773B9F" w14:textId="44E049D1"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35</w:t>
      </w:r>
      <w:r w:rsidRPr="00481275">
        <w:rPr>
          <w:b/>
          <w:bCs/>
        </w:rPr>
        <w:fldChar w:fldCharType="end"/>
      </w:r>
    </w:p>
    <w:p w14:paraId="6B36FF87" w14:textId="65C0FC65" w:rsidR="00424C89" w:rsidRDefault="00424C89" w:rsidP="002B0DC1">
      <w:pPr>
        <w:rPr>
          <w:b/>
          <w:bCs/>
        </w:rPr>
      </w:pPr>
    </w:p>
    <w:p w14:paraId="01E6114F" w14:textId="267C9FB8" w:rsidR="00481275" w:rsidRDefault="00481275" w:rsidP="002B0DC1">
      <w:pPr>
        <w:jc w:val="both"/>
      </w:pPr>
      <w:r>
        <w:t>L’article 30 de l’arrêté susvisé est ainsi modifié :</w:t>
      </w:r>
    </w:p>
    <w:p w14:paraId="7232C256" w14:textId="77777777" w:rsidR="00481275" w:rsidRPr="001137C3" w:rsidRDefault="00481275" w:rsidP="002B0DC1">
      <w:pPr>
        <w:jc w:val="both"/>
      </w:pPr>
    </w:p>
    <w:p w14:paraId="3F2A7189" w14:textId="77777777" w:rsidR="002E0A91" w:rsidRDefault="0065073C" w:rsidP="002E0A91">
      <w:pPr>
        <w:jc w:val="both"/>
      </w:pPr>
      <w:r>
        <w:t>1°</w:t>
      </w:r>
      <w:r w:rsidR="00481275" w:rsidRPr="00213122">
        <w:t xml:space="preserve"> </w:t>
      </w:r>
      <w:r w:rsidR="00301AFE">
        <w:t xml:space="preserve">Un </w:t>
      </w:r>
      <w:r w:rsidR="00301AFE" w:rsidRPr="00213122">
        <w:t xml:space="preserve">alinéa </w:t>
      </w:r>
      <w:r w:rsidR="00481275" w:rsidRPr="00213122">
        <w:t>« </w:t>
      </w:r>
      <w:r w:rsidR="00213122" w:rsidRPr="00213122">
        <w:rPr>
          <w:color w:val="000000"/>
          <w:lang w:eastAsia="fr-FR"/>
        </w:rPr>
        <w:t>Surveillance en oxygène, de la température, de la pression, de la vapeur d’eau</w:t>
      </w:r>
      <w:r w:rsidR="00481275" w:rsidRPr="00213122">
        <w:rPr>
          <w:lang w:eastAsia="fr-FR"/>
        </w:rPr>
        <w:t xml:space="preserve"> </w:t>
      </w:r>
      <w:r w:rsidR="00481275" w:rsidRPr="00213122">
        <w:t>» est inséré avant le premier alinéa.</w:t>
      </w:r>
    </w:p>
    <w:p w14:paraId="242B6DB9" w14:textId="77777777" w:rsidR="002E0A91" w:rsidRDefault="002E0A91" w:rsidP="002E0A91">
      <w:pPr>
        <w:jc w:val="both"/>
      </w:pPr>
    </w:p>
    <w:p w14:paraId="2B7150EB" w14:textId="137D6378" w:rsidR="00481275" w:rsidRPr="00213122" w:rsidRDefault="0065073C" w:rsidP="002E0A91">
      <w:pPr>
        <w:jc w:val="both"/>
      </w:pPr>
      <w:r>
        <w:t>2°</w:t>
      </w:r>
      <w:r w:rsidR="00213122" w:rsidRPr="00213122">
        <w:t xml:space="preserve"> </w:t>
      </w:r>
      <w:r w:rsidR="002E0A91">
        <w:t>A</w:t>
      </w:r>
      <w:r w:rsidR="00301AFE" w:rsidRPr="00301AFE">
        <w:t>u début du premier alinéa</w:t>
      </w:r>
      <w:r w:rsidR="00301AFE">
        <w:t>,</w:t>
      </w:r>
      <w:r w:rsidR="00301AFE" w:rsidRPr="00301AFE">
        <w:t xml:space="preserve"> la référence : « I.- » est insérée</w:t>
      </w:r>
      <w:r w:rsidR="002E0A91">
        <w:t>.</w:t>
      </w:r>
    </w:p>
    <w:p w14:paraId="41A0BA0C" w14:textId="77777777" w:rsidR="002E0A91" w:rsidRDefault="002E0A91" w:rsidP="002E0A91">
      <w:pPr>
        <w:jc w:val="both"/>
      </w:pPr>
    </w:p>
    <w:p w14:paraId="707BA998" w14:textId="311D06F5" w:rsidR="00213122" w:rsidRPr="002E0A91" w:rsidRDefault="002E0A91" w:rsidP="002E0A91">
      <w:pPr>
        <w:jc w:val="both"/>
      </w:pPr>
      <w:r>
        <w:t>3° Après le premier</w:t>
      </w:r>
      <w:r w:rsidR="00213122" w:rsidRPr="002E0A91">
        <w:t xml:space="preserve"> alinéa est </w:t>
      </w:r>
      <w:r>
        <w:t>inséré un alinéa ainsi rédigé</w:t>
      </w:r>
      <w:r w:rsidR="00213122" w:rsidRPr="002E0A91">
        <w:t xml:space="preserve"> : </w:t>
      </w:r>
    </w:p>
    <w:p w14:paraId="52B3416C" w14:textId="401905A8" w:rsidR="00213122" w:rsidRPr="002E0A91" w:rsidRDefault="00213122" w:rsidP="002E0A91">
      <w:pPr>
        <w:jc w:val="both"/>
      </w:pPr>
      <w:r w:rsidRPr="002E0A91">
        <w:t>« </w:t>
      </w:r>
      <w:r w:rsidRPr="002E0A91">
        <w:rPr>
          <w:color w:val="000000"/>
        </w:rPr>
        <w:t>La mesure de la teneur en vapeur d'eau des gaz résiduaires n’est pas exigée lorsque les gaz résiduaires échantillonnés sont séchés avant analyse des émissions.</w:t>
      </w:r>
      <w:r w:rsidR="00152359" w:rsidRPr="002E0A91">
        <w:rPr>
          <w:color w:val="000000"/>
        </w:rPr>
        <w:t> ».</w:t>
      </w:r>
    </w:p>
    <w:p w14:paraId="2140A5B8" w14:textId="77777777" w:rsidR="002E0A91" w:rsidRDefault="002E0A91" w:rsidP="002B0DC1">
      <w:pPr>
        <w:jc w:val="both"/>
      </w:pPr>
    </w:p>
    <w:p w14:paraId="3E5E5B71" w14:textId="5337DDCB" w:rsidR="00213122" w:rsidRDefault="002E0A91" w:rsidP="002B0DC1">
      <w:pPr>
        <w:jc w:val="both"/>
      </w:pPr>
      <w:r>
        <w:t>4</w:t>
      </w:r>
      <w:r w:rsidR="0065073C">
        <w:t>°</w:t>
      </w:r>
      <w:r w:rsidR="00213122">
        <w:t xml:space="preserve"> </w:t>
      </w:r>
      <w:r w:rsidR="00301AFE" w:rsidRPr="00301AFE">
        <w:t xml:space="preserve">Au début du </w:t>
      </w:r>
      <w:r w:rsidR="00301AFE">
        <w:t>deuxième</w:t>
      </w:r>
      <w:r w:rsidR="00301AFE" w:rsidRPr="00301AFE">
        <w:t xml:space="preserve"> alinéa</w:t>
      </w:r>
      <w:r w:rsidR="00301AFE">
        <w:t>,</w:t>
      </w:r>
      <w:r w:rsidR="00301AFE" w:rsidRPr="00301AFE">
        <w:t xml:space="preserve"> la référence : « I</w:t>
      </w:r>
      <w:r w:rsidR="00301AFE">
        <w:t>I</w:t>
      </w:r>
      <w:r w:rsidR="00301AFE" w:rsidRPr="00301AFE">
        <w:t>.</w:t>
      </w:r>
      <w:r w:rsidR="00240E2D">
        <w:t xml:space="preserve"> </w:t>
      </w:r>
      <w:r w:rsidR="00301AFE" w:rsidRPr="00301AFE">
        <w:t>- » est insérée</w:t>
      </w:r>
      <w:r w:rsidR="00213122">
        <w:t>.</w:t>
      </w:r>
    </w:p>
    <w:p w14:paraId="63743FD9" w14:textId="77777777" w:rsidR="00213122" w:rsidRDefault="00213122" w:rsidP="002B0DC1">
      <w:pPr>
        <w:jc w:val="both"/>
      </w:pPr>
    </w:p>
    <w:p w14:paraId="65F69436" w14:textId="36CB5B73" w:rsidR="00213122" w:rsidRDefault="002E0A91" w:rsidP="002B0DC1">
      <w:pPr>
        <w:jc w:val="both"/>
      </w:pPr>
      <w:r>
        <w:t>5</w:t>
      </w:r>
      <w:r w:rsidR="0065073C">
        <w:t>°</w:t>
      </w:r>
      <w:r w:rsidR="00213122">
        <w:t xml:space="preserve"> Le troisième alinéa est supprimé.</w:t>
      </w:r>
    </w:p>
    <w:p w14:paraId="73250417" w14:textId="77777777" w:rsidR="00213122" w:rsidRPr="00481275" w:rsidRDefault="00213122" w:rsidP="002B0DC1">
      <w:pPr>
        <w:jc w:val="both"/>
      </w:pPr>
    </w:p>
    <w:p w14:paraId="5A73B4F9" w14:textId="32CF926B" w:rsidR="00481275" w:rsidRPr="001004AB" w:rsidRDefault="002E0A91" w:rsidP="002B0DC1">
      <w:pPr>
        <w:jc w:val="both"/>
        <w:rPr>
          <w:bCs/>
          <w:lang w:eastAsia="fr-FR"/>
        </w:rPr>
      </w:pPr>
      <w:r>
        <w:rPr>
          <w:bCs/>
          <w:lang w:eastAsia="fr-FR"/>
        </w:rPr>
        <w:t>6</w:t>
      </w:r>
      <w:r w:rsidR="0065073C">
        <w:rPr>
          <w:bCs/>
          <w:lang w:eastAsia="fr-FR"/>
        </w:rPr>
        <w:t>°</w:t>
      </w:r>
      <w:r w:rsidR="00481275" w:rsidRPr="001004AB">
        <w:rPr>
          <w:bCs/>
          <w:lang w:eastAsia="fr-FR"/>
        </w:rPr>
        <w:t xml:space="preserve"> </w:t>
      </w:r>
      <w:r w:rsidR="00213122" w:rsidRPr="001004AB">
        <w:rPr>
          <w:bCs/>
          <w:lang w:eastAsia="fr-FR"/>
        </w:rPr>
        <w:t xml:space="preserve">L’article 30 est complété </w:t>
      </w:r>
      <w:r>
        <w:rPr>
          <w:bCs/>
          <w:lang w:eastAsia="fr-FR"/>
        </w:rPr>
        <w:t>par les alinéas suivants</w:t>
      </w:r>
      <w:r w:rsidR="00213122" w:rsidRPr="001004AB">
        <w:rPr>
          <w:bCs/>
          <w:lang w:eastAsia="fr-FR"/>
        </w:rPr>
        <w:t> :</w:t>
      </w:r>
    </w:p>
    <w:p w14:paraId="5C136687" w14:textId="4F54DB08" w:rsidR="00213122" w:rsidRPr="001004AB" w:rsidRDefault="00213122" w:rsidP="002B0DC1">
      <w:pPr>
        <w:jc w:val="both"/>
        <w:rPr>
          <w:color w:val="000000"/>
          <w:lang w:eastAsia="fr-FR"/>
        </w:rPr>
      </w:pPr>
      <w:r w:rsidRPr="001004AB">
        <w:rPr>
          <w:color w:val="000000"/>
          <w:lang w:eastAsia="fr-FR"/>
        </w:rPr>
        <w:t>« III.</w:t>
      </w:r>
      <w:r w:rsidR="002E0A91">
        <w:rPr>
          <w:color w:val="000000"/>
          <w:lang w:eastAsia="fr-FR"/>
        </w:rPr>
        <w:t xml:space="preserve"> -</w:t>
      </w:r>
      <w:r w:rsidRPr="001004AB">
        <w:rPr>
          <w:color w:val="000000"/>
          <w:lang w:eastAsia="fr-FR"/>
        </w:rPr>
        <w:t xml:space="preserve"> Les dispositions du présent point s’appliquent aux chaudières, turbines et moteurs dont la puissance thermique est supérieure ou égale à 15 MW, dans les délais mentionnés </w:t>
      </w:r>
      <w:r w:rsidR="00D9011B">
        <w:rPr>
          <w:color w:val="000000"/>
          <w:lang w:eastAsia="fr-FR"/>
        </w:rPr>
        <w:t>au VII de l’article 3</w:t>
      </w:r>
      <w:r w:rsidRPr="001004AB">
        <w:rPr>
          <w:color w:val="000000"/>
          <w:lang w:eastAsia="fr-FR"/>
        </w:rPr>
        <w:t xml:space="preserve"> du présent arrêté :</w:t>
      </w:r>
    </w:p>
    <w:p w14:paraId="5E1A44D8" w14:textId="25B126E7" w:rsidR="00213122" w:rsidRPr="001004AB" w:rsidRDefault="001004AB" w:rsidP="002B0DC1">
      <w:pPr>
        <w:jc w:val="both"/>
        <w:rPr>
          <w:color w:val="000000"/>
          <w:lang w:eastAsia="fr-FR"/>
        </w:rPr>
      </w:pPr>
      <w:r w:rsidRPr="001004AB">
        <w:rPr>
          <w:color w:val="000000"/>
          <w:lang w:eastAsia="fr-FR"/>
        </w:rPr>
        <w:t>« </w:t>
      </w:r>
      <w:r w:rsidR="00213122" w:rsidRPr="001004AB">
        <w:rPr>
          <w:color w:val="000000"/>
          <w:lang w:eastAsia="fr-FR"/>
        </w:rPr>
        <w:t>L’exploitant détermine périodiquement le débit des fumées ou le mesure en continu.</w:t>
      </w:r>
      <w:r w:rsidRPr="001004AB">
        <w:rPr>
          <w:rStyle w:val="Marquedecommentaire"/>
          <w:sz w:val="24"/>
          <w:szCs w:val="24"/>
        </w:rPr>
        <w:t> ».</w:t>
      </w:r>
      <w:r w:rsidR="00213122" w:rsidRPr="001004AB">
        <w:rPr>
          <w:color w:val="000000"/>
          <w:lang w:eastAsia="fr-FR"/>
        </w:rPr>
        <w:t xml:space="preserve"> </w:t>
      </w:r>
    </w:p>
    <w:p w14:paraId="7F2F8BFC" w14:textId="77777777" w:rsidR="00213122" w:rsidRPr="001004AB" w:rsidRDefault="00213122" w:rsidP="002B0DC1">
      <w:pPr>
        <w:jc w:val="both"/>
        <w:rPr>
          <w:color w:val="000000"/>
          <w:lang w:eastAsia="fr-FR"/>
        </w:rPr>
      </w:pPr>
    </w:p>
    <w:p w14:paraId="37F5C3CC" w14:textId="21826596"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36</w:t>
      </w:r>
      <w:r w:rsidRPr="00481275">
        <w:rPr>
          <w:b/>
          <w:bCs/>
        </w:rPr>
        <w:fldChar w:fldCharType="end"/>
      </w:r>
    </w:p>
    <w:p w14:paraId="6A65365C" w14:textId="7EDEA664" w:rsidR="00424C89" w:rsidRDefault="00424C89" w:rsidP="002B0DC1"/>
    <w:p w14:paraId="170C7BDA" w14:textId="39BF6A2A" w:rsidR="001004AB" w:rsidRPr="001004AB" w:rsidRDefault="00301AFE" w:rsidP="002B0DC1">
      <w:r w:rsidRPr="00301AFE">
        <w:t xml:space="preserve">Après l’article </w:t>
      </w:r>
      <w:r>
        <w:t>30</w:t>
      </w:r>
      <w:r w:rsidRPr="00301AFE">
        <w:t xml:space="preserve"> de l’arrêté susvisé est inséré l’article suivant :</w:t>
      </w:r>
    </w:p>
    <w:p w14:paraId="32D5CA70" w14:textId="5A490D93" w:rsidR="001004AB" w:rsidRPr="001004AB" w:rsidRDefault="001004AB" w:rsidP="00301AFE">
      <w:pPr>
        <w:spacing w:after="240"/>
        <w:rPr>
          <w:color w:val="000000"/>
          <w:lang w:eastAsia="fr-FR"/>
        </w:rPr>
      </w:pPr>
      <w:r w:rsidRPr="001004AB">
        <w:rPr>
          <w:color w:val="000000"/>
          <w:lang w:eastAsia="fr-FR"/>
        </w:rPr>
        <w:t>« </w:t>
      </w:r>
      <w:r w:rsidR="00301AFE" w:rsidRPr="00301AFE">
        <w:rPr>
          <w:i/>
          <w:iCs/>
          <w:color w:val="000000"/>
          <w:lang w:eastAsia="fr-FR"/>
        </w:rPr>
        <w:t xml:space="preserve">Art. </w:t>
      </w:r>
      <w:r w:rsidRPr="00301AFE">
        <w:rPr>
          <w:i/>
          <w:iCs/>
          <w:color w:val="000000"/>
          <w:lang w:eastAsia="fr-FR"/>
        </w:rPr>
        <w:t>30-1</w:t>
      </w:r>
      <w:r w:rsidR="00301AFE" w:rsidRPr="00301AFE">
        <w:rPr>
          <w:i/>
          <w:iCs/>
          <w:color w:val="000000"/>
          <w:lang w:eastAsia="fr-FR"/>
        </w:rPr>
        <w:t>. -</w:t>
      </w:r>
      <w:r w:rsidR="00301AFE">
        <w:rPr>
          <w:color w:val="000000"/>
          <w:lang w:eastAsia="fr-FR"/>
        </w:rPr>
        <w:t xml:space="preserve"> </w:t>
      </w:r>
      <w:r w:rsidRPr="001004AB">
        <w:rPr>
          <w:color w:val="000000"/>
          <w:lang w:eastAsia="fr-FR"/>
        </w:rPr>
        <w:t xml:space="preserve">Surveillance des périodes </w:t>
      </w:r>
      <w:r w:rsidR="00301AFE">
        <w:rPr>
          <w:color w:val="000000"/>
          <w:lang w:eastAsia="fr-FR"/>
        </w:rPr>
        <w:t>« autres que normales » de fonctionnement (</w:t>
      </w:r>
      <w:r w:rsidRPr="001004AB">
        <w:rPr>
          <w:color w:val="000000"/>
          <w:lang w:eastAsia="fr-FR"/>
        </w:rPr>
        <w:t>OTNOC</w:t>
      </w:r>
      <w:r w:rsidR="00301AFE">
        <w:rPr>
          <w:color w:val="000000"/>
          <w:lang w:eastAsia="fr-FR"/>
        </w:rPr>
        <w:t>)</w:t>
      </w:r>
      <w:r w:rsidRPr="001004AB">
        <w:rPr>
          <w:color w:val="000000"/>
          <w:lang w:eastAsia="fr-FR"/>
        </w:rPr>
        <w:t xml:space="preserve"> et des périodes de démarrage et arrêt</w:t>
      </w:r>
    </w:p>
    <w:p w14:paraId="4EC4055A" w14:textId="0B1257DC" w:rsidR="001004AB" w:rsidRPr="001004AB" w:rsidRDefault="001004AB" w:rsidP="002B0DC1">
      <w:pPr>
        <w:spacing w:after="240"/>
        <w:jc w:val="both"/>
      </w:pPr>
      <w:r w:rsidRPr="001004AB">
        <w:t xml:space="preserve">« Dans les délais mentionnés </w:t>
      </w:r>
      <w:r w:rsidR="00D9011B">
        <w:t>au VII de l’article 3</w:t>
      </w:r>
      <w:r w:rsidRPr="001004AB">
        <w:t xml:space="preserve"> du présent arrêté, pour les chaudières, turbines ou moteurs dont la puissance est supérieure ou égale à 15 MW, la surveillance des émissions dans l’air lors des phases OTNOC peut s'effectuer par des mesures directes des émissions, ou par le contrôle de paramètres de substitution s'il en résulte une qualité scientifique égale ou supérieure à la mesure directe des émissions. </w:t>
      </w:r>
    </w:p>
    <w:p w14:paraId="510E1F4B" w14:textId="3F13C84D" w:rsidR="001004AB" w:rsidRPr="001004AB" w:rsidRDefault="001004AB" w:rsidP="002B0DC1">
      <w:pPr>
        <w:spacing w:after="240"/>
        <w:jc w:val="both"/>
        <w:rPr>
          <w:color w:val="000000"/>
          <w:lang w:eastAsia="fr-FR"/>
        </w:rPr>
      </w:pPr>
      <w:r w:rsidRPr="001004AB">
        <w:t>« Les émissions au démarrage et à l'arrêt (DEM/ARR) peuvent être évaluées sur la base d'une mesure précise des émissions effectuée au moins une fois par an pour une procédure DEM/ARR typique, les résultats de cette mesure étant utilisés pour estimer les émissions lors de chaque DEM/ARR tout au long de l'année. ».</w:t>
      </w:r>
    </w:p>
    <w:p w14:paraId="681056BB" w14:textId="4B035D02"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37</w:t>
      </w:r>
      <w:r w:rsidRPr="00481275">
        <w:rPr>
          <w:b/>
          <w:bCs/>
        </w:rPr>
        <w:fldChar w:fldCharType="end"/>
      </w:r>
    </w:p>
    <w:p w14:paraId="55DC4136" w14:textId="54F82725" w:rsidR="00424C89" w:rsidRDefault="00424C89" w:rsidP="002B0DC1">
      <w:pPr>
        <w:jc w:val="both"/>
        <w:rPr>
          <w:b/>
          <w:bCs/>
        </w:rPr>
      </w:pPr>
    </w:p>
    <w:p w14:paraId="06C9B05D" w14:textId="56564474" w:rsidR="001004AB" w:rsidRDefault="001004AB" w:rsidP="002B0DC1">
      <w:pPr>
        <w:jc w:val="both"/>
      </w:pPr>
      <w:r>
        <w:t xml:space="preserve">L’article 31 de l’arrêté susvisé est </w:t>
      </w:r>
      <w:r w:rsidR="002E0A91">
        <w:t>remplacé par les dispositions suivantes :</w:t>
      </w:r>
    </w:p>
    <w:p w14:paraId="027F91EB" w14:textId="77777777" w:rsidR="001004AB" w:rsidRPr="001137C3" w:rsidRDefault="001004AB" w:rsidP="002B0DC1">
      <w:pPr>
        <w:jc w:val="both"/>
      </w:pPr>
    </w:p>
    <w:p w14:paraId="272FE9BF" w14:textId="0AB21C4A" w:rsidR="002E0A91" w:rsidRDefault="00484178" w:rsidP="00484178">
      <w:pPr>
        <w:jc w:val="both"/>
      </w:pPr>
      <w:r>
        <w:t>« </w:t>
      </w:r>
      <w:r w:rsidR="002E0A91" w:rsidRPr="002E0A91">
        <w:rPr>
          <w:i/>
          <w:iCs/>
        </w:rPr>
        <w:t>Art. 31. –</w:t>
      </w:r>
      <w:r w:rsidR="002E0A91">
        <w:t xml:space="preserve"> Dispositions relatives aux appareils de mesure en continu</w:t>
      </w:r>
    </w:p>
    <w:p w14:paraId="191BE723" w14:textId="77777777" w:rsidR="002E0A91" w:rsidRDefault="002E0A91" w:rsidP="00484178">
      <w:pPr>
        <w:jc w:val="both"/>
      </w:pPr>
    </w:p>
    <w:p w14:paraId="63650B5A" w14:textId="3EB1F541" w:rsidR="00484178" w:rsidRDefault="002E0A91" w:rsidP="00484178">
      <w:pPr>
        <w:jc w:val="both"/>
      </w:pPr>
      <w:r>
        <w:t>« </w:t>
      </w:r>
      <w:r w:rsidR="00484178">
        <w:t>I. - L’exploitant veille à l’application des procédures d’assurance qualité et à la réalisation d’une vérification annuelle (AST) pour les appareils de mesure en continu. Les performances des appareils de mesure sont évaluées selon la procédure QAL 1 et les appareils sont choisis pour leur aptitude au mesurage dans les étendues et incertitudes fixées. Ils sont étalonnés sur site selon la procédure QAL 2 et leur dérive et leur aptitude au mesurage sont contrôlés périodiquement par les procédures QAL 3 et AST. La validité de la fonction d’étalonnage déterminée lors de la procédure QAL 2 et la variabilité du système automatique de mesure sont vérifiées annuellement lors de l’AST. La procédure QAL 3 est mise en place dès l’installation de l’appareil de mesure en continu.</w:t>
      </w:r>
    </w:p>
    <w:p w14:paraId="367179F3" w14:textId="77777777" w:rsidR="00484178" w:rsidRDefault="00484178" w:rsidP="00484178">
      <w:pPr>
        <w:jc w:val="both"/>
      </w:pPr>
      <w:r>
        <w:t>En ce qui concerne les appareils déjà installés sur site, pour lesquels une évaluation selon la procédure QAL 1 n’a pas été faite, l’incertitude sur les valeurs mesurées peut être considérée comme satisfaisante si les étapes QAL 2 et QAL 3 conduisent à des résultats satisfaisants.</w:t>
      </w:r>
    </w:p>
    <w:p w14:paraId="3A603B97" w14:textId="77777777" w:rsidR="00484178" w:rsidRDefault="00484178" w:rsidP="00484178">
      <w:pPr>
        <w:jc w:val="both"/>
      </w:pPr>
    </w:p>
    <w:p w14:paraId="6E698D45" w14:textId="3C5026BD" w:rsidR="00484178" w:rsidRDefault="00471A22" w:rsidP="00484178">
      <w:pPr>
        <w:jc w:val="both"/>
      </w:pPr>
      <w:r>
        <w:t>« </w:t>
      </w:r>
      <w:r w:rsidR="00484178">
        <w:t>II. - Les procédures d’assurance qualité des systèmes automatiques de mesurage mentionnées dans la norme NF EN 14181, ainsi que l’utilisation d’appareils de mesure en continu conçus selon la norme NF EN 15267-3, sont réputées satisfaire aux exigences du I.</w:t>
      </w:r>
    </w:p>
    <w:p w14:paraId="4596DF82" w14:textId="5A6C866C" w:rsidR="00484178" w:rsidRDefault="00484178" w:rsidP="00484178">
      <w:pPr>
        <w:jc w:val="both"/>
      </w:pPr>
    </w:p>
    <w:p w14:paraId="2829D5F8" w14:textId="6B92B0F7" w:rsidR="00F23109" w:rsidRDefault="00471A22" w:rsidP="002B0DC1">
      <w:pPr>
        <w:jc w:val="both"/>
      </w:pPr>
      <w:r>
        <w:t>« </w:t>
      </w:r>
      <w:r w:rsidR="00484178" w:rsidRPr="00484178">
        <w:t xml:space="preserve">III. </w:t>
      </w:r>
      <w:r w:rsidR="002E0A91">
        <w:t xml:space="preserve">- </w:t>
      </w:r>
      <w:r w:rsidR="00484178" w:rsidRPr="00484178">
        <w:t xml:space="preserve">Le traitement des données acquises dans le cadre de la mesure en continu et le traitement des périodes avec des conditions d'exploitation autres que normales (périodes OTNOC) sont réalisés conformément aux articles 33 à 35 du présent arrêté. Les normes mentionnées dans l’avis sur les méthodes normalisées de référence pour les mesures dans l'air, l'eau et les sols dans les installations classées pour la protection de l'environnement publié au </w:t>
      </w:r>
      <w:r w:rsidR="00484178" w:rsidRPr="00DE637B">
        <w:rPr>
          <w:i/>
          <w:iCs/>
        </w:rPr>
        <w:t>Journal officiel</w:t>
      </w:r>
      <w:r w:rsidR="00484178" w:rsidRPr="00484178">
        <w:t xml:space="preserve"> sont réputées satisfaire </w:t>
      </w:r>
      <w:r w:rsidR="002E0A91">
        <w:t xml:space="preserve">à ces </w:t>
      </w:r>
      <w:r w:rsidR="00484178" w:rsidRPr="00484178">
        <w:t>exigences.</w:t>
      </w:r>
      <w:r>
        <w:t> </w:t>
      </w:r>
    </w:p>
    <w:p w14:paraId="759BF521" w14:textId="77777777" w:rsidR="00F23109" w:rsidRDefault="00F23109" w:rsidP="002B0DC1">
      <w:pPr>
        <w:jc w:val="both"/>
      </w:pPr>
    </w:p>
    <w:p w14:paraId="40BD7195" w14:textId="77777777" w:rsidR="00F23109" w:rsidRPr="004817AA" w:rsidRDefault="00F23109" w:rsidP="00F23109">
      <w:pPr>
        <w:jc w:val="both"/>
        <w:rPr>
          <w:color w:val="000000"/>
        </w:rPr>
      </w:pPr>
      <w:r>
        <w:rPr>
          <w:color w:val="000000"/>
        </w:rPr>
        <w:t>« </w:t>
      </w:r>
      <w:r w:rsidRPr="004817AA">
        <w:rPr>
          <w:color w:val="000000"/>
        </w:rPr>
        <w:t>IV. – L’exploitant informe le préfet des résultats du contrôle des systèmes de mesure automatisés mentionnés au point I du présent article sans retard injustifié.</w:t>
      </w:r>
      <w:r>
        <w:rPr>
          <w:color w:val="000000"/>
        </w:rPr>
        <w:t> ».</w:t>
      </w:r>
    </w:p>
    <w:p w14:paraId="7FD264E6" w14:textId="77777777" w:rsidR="001004AB" w:rsidRPr="00481275" w:rsidRDefault="001004AB" w:rsidP="002B0DC1">
      <w:pPr>
        <w:jc w:val="both"/>
        <w:rPr>
          <w:b/>
          <w:bCs/>
        </w:rPr>
      </w:pPr>
    </w:p>
    <w:p w14:paraId="7DBEA96D" w14:textId="618B10FD"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38</w:t>
      </w:r>
      <w:r w:rsidRPr="00481275">
        <w:rPr>
          <w:b/>
          <w:bCs/>
        </w:rPr>
        <w:fldChar w:fldCharType="end"/>
      </w:r>
    </w:p>
    <w:p w14:paraId="1676C19F" w14:textId="40EC434D" w:rsidR="00424C89" w:rsidRDefault="00424C89" w:rsidP="002B0DC1">
      <w:pPr>
        <w:jc w:val="both"/>
        <w:rPr>
          <w:b/>
          <w:bCs/>
        </w:rPr>
      </w:pPr>
    </w:p>
    <w:p w14:paraId="746F9DB7" w14:textId="23F7768B" w:rsidR="00152359" w:rsidRPr="00F5227C" w:rsidRDefault="00152359" w:rsidP="002B0DC1">
      <w:pPr>
        <w:jc w:val="both"/>
      </w:pPr>
      <w:r w:rsidRPr="00F5227C">
        <w:t>L’article 32 de l’arrêté susvisé est ainsi modifié :</w:t>
      </w:r>
    </w:p>
    <w:p w14:paraId="7902766E" w14:textId="77777777" w:rsidR="00152359" w:rsidRPr="00F5227C" w:rsidRDefault="00152359" w:rsidP="002B0DC1">
      <w:pPr>
        <w:jc w:val="both"/>
      </w:pPr>
    </w:p>
    <w:p w14:paraId="6E864B06" w14:textId="3B9377F4" w:rsidR="00152359" w:rsidRPr="00F5227C" w:rsidRDefault="0065073C" w:rsidP="002B0DC1">
      <w:pPr>
        <w:spacing w:after="240"/>
        <w:jc w:val="both"/>
        <w:rPr>
          <w:rFonts w:ascii="Arial" w:hAnsi="Arial" w:cs="Arial"/>
          <w:b/>
          <w:bCs/>
          <w:color w:val="4A5E81"/>
          <w:sz w:val="21"/>
          <w:szCs w:val="21"/>
          <w:lang w:eastAsia="fr-FR"/>
        </w:rPr>
      </w:pPr>
      <w:r>
        <w:t>1°</w:t>
      </w:r>
      <w:r w:rsidR="00152359" w:rsidRPr="00F5227C">
        <w:t xml:space="preserve"> </w:t>
      </w:r>
      <w:r w:rsidR="00301AFE">
        <w:t xml:space="preserve">Un </w:t>
      </w:r>
      <w:r w:rsidR="00301AFE" w:rsidRPr="00F5227C">
        <w:t xml:space="preserve">alinéa </w:t>
      </w:r>
      <w:r w:rsidR="00152359" w:rsidRPr="00F5227C">
        <w:t>« </w:t>
      </w:r>
      <w:r w:rsidR="00F5227C" w:rsidRPr="00F5227C">
        <w:rPr>
          <w:lang w:eastAsia="fr-FR"/>
        </w:rPr>
        <w:t xml:space="preserve">Dispositions relatives aux </w:t>
      </w:r>
      <w:r w:rsidR="005B02E2">
        <w:rPr>
          <w:lang w:eastAsia="fr-FR"/>
        </w:rPr>
        <w:t>mesures</w:t>
      </w:r>
      <w:r w:rsidR="005B02E2" w:rsidRPr="00F5227C">
        <w:rPr>
          <w:lang w:eastAsia="fr-FR"/>
        </w:rPr>
        <w:t xml:space="preserve"> </w:t>
      </w:r>
      <w:r w:rsidR="00F5227C" w:rsidRPr="00F5227C">
        <w:rPr>
          <w:lang w:eastAsia="fr-FR"/>
        </w:rPr>
        <w:t>périodiques</w:t>
      </w:r>
      <w:r w:rsidR="00152359" w:rsidRPr="00F5227C">
        <w:rPr>
          <w:lang w:eastAsia="fr-FR"/>
        </w:rPr>
        <w:t xml:space="preserve"> </w:t>
      </w:r>
      <w:r w:rsidR="00152359" w:rsidRPr="00F5227C">
        <w:t>» est inséré avant le premier alinéa.</w:t>
      </w:r>
    </w:p>
    <w:p w14:paraId="41FA926C" w14:textId="42906A03" w:rsidR="005253DD" w:rsidRPr="00F5227C" w:rsidRDefault="0065073C" w:rsidP="002B0DC1">
      <w:pPr>
        <w:jc w:val="both"/>
      </w:pPr>
      <w:r>
        <w:t>2°</w:t>
      </w:r>
      <w:r w:rsidR="005253DD" w:rsidRPr="00F5227C">
        <w:t xml:space="preserve"> Après le </w:t>
      </w:r>
      <w:r w:rsidR="00152359" w:rsidRPr="00F5227C">
        <w:t>premier alinéa</w:t>
      </w:r>
      <w:r w:rsidR="005253DD" w:rsidRPr="00F5227C">
        <w:t>, l’alinéa suivant est inséré :</w:t>
      </w:r>
      <w:r w:rsidR="00152359" w:rsidRPr="00F5227C">
        <w:t xml:space="preserve"> </w:t>
      </w:r>
    </w:p>
    <w:p w14:paraId="4E6944D8" w14:textId="1F214C8A" w:rsidR="005253DD" w:rsidRPr="00F5227C" w:rsidRDefault="00152359" w:rsidP="002B0DC1">
      <w:pPr>
        <w:jc w:val="both"/>
        <w:rPr>
          <w:color w:val="000000"/>
        </w:rPr>
      </w:pPr>
      <w:r w:rsidRPr="00F5227C">
        <w:t>« </w:t>
      </w:r>
      <w:bookmarkStart w:id="33" w:name="_Hlk167812203"/>
      <w:r w:rsidR="005253DD" w:rsidRPr="00F5227C">
        <w:rPr>
          <w:color w:val="000000"/>
        </w:rPr>
        <w:t>Les dispositions</w:t>
      </w:r>
      <w:r w:rsidR="004817AA">
        <w:rPr>
          <w:color w:val="000000"/>
        </w:rPr>
        <w:t xml:space="preserve"> des I et II</w:t>
      </w:r>
      <w:r w:rsidR="005253DD" w:rsidRPr="00F5227C">
        <w:rPr>
          <w:color w:val="000000"/>
        </w:rPr>
        <w:t xml:space="preserve"> de l’article 58</w:t>
      </w:r>
      <w:r w:rsidR="00283A55" w:rsidRPr="00283A55">
        <w:rPr>
          <w:color w:val="000000"/>
        </w:rPr>
        <w:t xml:space="preserve"> </w:t>
      </w:r>
      <w:r w:rsidR="00283A55" w:rsidRPr="00F5227C">
        <w:rPr>
          <w:color w:val="000000"/>
        </w:rPr>
        <w:t>de l’arrêté du 2 février 1998 susvisé</w:t>
      </w:r>
      <w:r w:rsidR="005253DD" w:rsidRPr="00F5227C">
        <w:rPr>
          <w:color w:val="000000"/>
        </w:rPr>
        <w:t>, concernant le programme de surveillance de l’exploitant</w:t>
      </w:r>
      <w:r w:rsidR="002C726F">
        <w:rPr>
          <w:color w:val="000000"/>
        </w:rPr>
        <w:t xml:space="preserve"> et sa mise en œuvre</w:t>
      </w:r>
      <w:r w:rsidR="005253DD" w:rsidRPr="00F5227C">
        <w:rPr>
          <w:color w:val="000000"/>
        </w:rPr>
        <w:t>, s’appliquent</w:t>
      </w:r>
      <w:r w:rsidR="00F23109">
        <w:rPr>
          <w:color w:val="000000"/>
        </w:rPr>
        <w:t>, en plus des dispositions précisées à l’article 23</w:t>
      </w:r>
      <w:r w:rsidR="005253DD" w:rsidRPr="00F5227C">
        <w:rPr>
          <w:color w:val="000000"/>
        </w:rPr>
        <w:t>. ».</w:t>
      </w:r>
    </w:p>
    <w:p w14:paraId="2BA444B4" w14:textId="77777777" w:rsidR="00F5227C" w:rsidRPr="00F5227C" w:rsidRDefault="00F5227C" w:rsidP="002B0DC1">
      <w:pPr>
        <w:jc w:val="both"/>
      </w:pPr>
    </w:p>
    <w:p w14:paraId="5154BEEC" w14:textId="1F284184" w:rsidR="00F5227C" w:rsidRPr="00F5227C" w:rsidRDefault="0065073C" w:rsidP="002B0DC1">
      <w:pPr>
        <w:jc w:val="both"/>
      </w:pPr>
      <w:r>
        <w:t>3°</w:t>
      </w:r>
      <w:r w:rsidR="00F5227C" w:rsidRPr="00F5227C">
        <w:t xml:space="preserve"> Après le deuxième alinéa, </w:t>
      </w:r>
      <w:r w:rsidR="00880D1D">
        <w:t>l’alinéa suivant est ajouté</w:t>
      </w:r>
      <w:r w:rsidR="00F5227C" w:rsidRPr="00F5227C">
        <w:t> :</w:t>
      </w:r>
    </w:p>
    <w:p w14:paraId="645ADB69" w14:textId="50A45425" w:rsidR="00F5227C" w:rsidRPr="00F5227C" w:rsidRDefault="00F5227C" w:rsidP="002B0DC1">
      <w:pPr>
        <w:jc w:val="both"/>
        <w:rPr>
          <w:color w:val="000000"/>
        </w:rPr>
      </w:pPr>
    </w:p>
    <w:p w14:paraId="4B3CEF6D" w14:textId="042CB2F0" w:rsidR="00F5227C" w:rsidRPr="00F5227C" w:rsidRDefault="00F5227C" w:rsidP="002B0DC1">
      <w:pPr>
        <w:jc w:val="both"/>
        <w:rPr>
          <w:color w:val="000000"/>
        </w:rPr>
      </w:pPr>
      <w:r w:rsidRPr="00F5227C">
        <w:rPr>
          <w:color w:val="000000"/>
        </w:rPr>
        <w:t>« II. - L'exploitant fait effectuer, au moins une fois par an, les mesures prévues à la section 1 du chapitre VI du présent titre par un organisme agréé par le ministre chargé des installations classées, ou, s'il n'en existe pas, accrédité par le Comité français d'accréditation (COFRAC) ou par un organisme signataire de l'accord multilatéral pris dans le cadre de la Coordination européenne des organismes d'accréditation (</w:t>
      </w:r>
      <w:proofErr w:type="spellStart"/>
      <w:r w:rsidRPr="00301AFE">
        <w:rPr>
          <w:i/>
          <w:iCs/>
          <w:color w:val="000000"/>
        </w:rPr>
        <w:t>European</w:t>
      </w:r>
      <w:proofErr w:type="spellEnd"/>
      <w:r w:rsidRPr="00301AFE">
        <w:rPr>
          <w:i/>
          <w:iCs/>
          <w:color w:val="000000"/>
        </w:rPr>
        <w:t xml:space="preserve"> </w:t>
      </w:r>
      <w:proofErr w:type="spellStart"/>
      <w:r w:rsidRPr="00301AFE">
        <w:rPr>
          <w:i/>
          <w:iCs/>
          <w:color w:val="000000"/>
        </w:rPr>
        <w:t>Cooperation</w:t>
      </w:r>
      <w:proofErr w:type="spellEnd"/>
      <w:r w:rsidRPr="00301AFE">
        <w:rPr>
          <w:i/>
          <w:iCs/>
          <w:color w:val="000000"/>
        </w:rPr>
        <w:t xml:space="preserve"> for </w:t>
      </w:r>
      <w:proofErr w:type="spellStart"/>
      <w:r w:rsidRPr="00301AFE">
        <w:rPr>
          <w:i/>
          <w:iCs/>
          <w:color w:val="000000"/>
        </w:rPr>
        <w:t>Accreditation</w:t>
      </w:r>
      <w:proofErr w:type="spellEnd"/>
      <w:r w:rsidRPr="00F5227C">
        <w:rPr>
          <w:color w:val="000000"/>
        </w:rPr>
        <w:t xml:space="preserve"> ou EA). Ce contrôle périodique réglementaire des émissions peut être fait en même temps que le test annuel de surveillance ou le contrôle QAL</w:t>
      </w:r>
      <w:r w:rsidR="00301AFE">
        <w:rPr>
          <w:color w:val="000000"/>
        </w:rPr>
        <w:t xml:space="preserve"> </w:t>
      </w:r>
      <w:r w:rsidRPr="00F5227C">
        <w:rPr>
          <w:color w:val="000000"/>
        </w:rPr>
        <w:t>2 des appareils de mesure en continu. »</w:t>
      </w:r>
    </w:p>
    <w:p w14:paraId="221D7422" w14:textId="6E96E0EF" w:rsidR="005253DD" w:rsidRPr="00F5227C" w:rsidRDefault="005253DD" w:rsidP="002B0DC1">
      <w:pPr>
        <w:jc w:val="both"/>
        <w:rPr>
          <w:color w:val="000000"/>
        </w:rPr>
      </w:pPr>
    </w:p>
    <w:p w14:paraId="2D401F32" w14:textId="1F0FA909" w:rsidR="00F5227C" w:rsidRDefault="0065073C" w:rsidP="002B0DC1">
      <w:pPr>
        <w:jc w:val="both"/>
        <w:rPr>
          <w:color w:val="000000"/>
        </w:rPr>
      </w:pPr>
      <w:r>
        <w:rPr>
          <w:color w:val="000000"/>
        </w:rPr>
        <w:t>4°</w:t>
      </w:r>
      <w:r w:rsidR="00F5227C" w:rsidRPr="00F5227C">
        <w:rPr>
          <w:color w:val="000000"/>
        </w:rPr>
        <w:t xml:space="preserve"> </w:t>
      </w:r>
      <w:r w:rsidR="00301AFE">
        <w:rPr>
          <w:color w:val="000000"/>
        </w:rPr>
        <w:t>La référence :</w:t>
      </w:r>
      <w:r w:rsidR="00F5227C" w:rsidRPr="00F5227C">
        <w:rPr>
          <w:color w:val="000000"/>
        </w:rPr>
        <w:t xml:space="preserve"> « II.- » est remplacé par </w:t>
      </w:r>
      <w:r w:rsidR="00301AFE">
        <w:rPr>
          <w:color w:val="000000"/>
        </w:rPr>
        <w:t>la référence :</w:t>
      </w:r>
      <w:r w:rsidR="00F5227C" w:rsidRPr="00F5227C">
        <w:rPr>
          <w:color w:val="000000"/>
        </w:rPr>
        <w:t xml:space="preserve"> « III.- ».</w:t>
      </w:r>
    </w:p>
    <w:p w14:paraId="44B3B194" w14:textId="3BB3624C" w:rsidR="00A851CE" w:rsidRDefault="00A851CE" w:rsidP="002B0DC1">
      <w:pPr>
        <w:jc w:val="both"/>
        <w:rPr>
          <w:color w:val="000000"/>
        </w:rPr>
      </w:pPr>
    </w:p>
    <w:p w14:paraId="6BCEC9F5" w14:textId="11EB3299" w:rsidR="00A851CE" w:rsidRDefault="0065073C" w:rsidP="002B0DC1">
      <w:pPr>
        <w:jc w:val="both"/>
        <w:rPr>
          <w:color w:val="000000"/>
        </w:rPr>
      </w:pPr>
      <w:r>
        <w:rPr>
          <w:color w:val="000000"/>
        </w:rPr>
        <w:t>5°</w:t>
      </w:r>
      <w:r w:rsidR="00A851CE">
        <w:rPr>
          <w:color w:val="000000"/>
        </w:rPr>
        <w:t xml:space="preserve"> Le troisième alinéa est modifié comme suit :</w:t>
      </w:r>
    </w:p>
    <w:p w14:paraId="435562C0" w14:textId="1E3ADA19" w:rsidR="00A851CE" w:rsidRPr="00A851CE" w:rsidRDefault="00A851CE" w:rsidP="002B0DC1">
      <w:pPr>
        <w:pStyle w:val="Paragraphedeliste"/>
        <w:numPr>
          <w:ilvl w:val="0"/>
          <w:numId w:val="3"/>
        </w:numPr>
        <w:jc w:val="both"/>
        <w:rPr>
          <w:rFonts w:ascii="Times New Roman" w:hAnsi="Times New Roman"/>
          <w:color w:val="000000"/>
          <w:sz w:val="24"/>
          <w:szCs w:val="24"/>
        </w:rPr>
      </w:pPr>
      <w:proofErr w:type="gramStart"/>
      <w:r w:rsidRPr="00A851CE">
        <w:rPr>
          <w:rFonts w:ascii="Times New Roman" w:hAnsi="Times New Roman"/>
          <w:color w:val="000000"/>
          <w:sz w:val="24"/>
          <w:szCs w:val="24"/>
        </w:rPr>
        <w:t>après</w:t>
      </w:r>
      <w:proofErr w:type="gramEnd"/>
      <w:r w:rsidRPr="00A851CE">
        <w:rPr>
          <w:rFonts w:ascii="Times New Roman" w:hAnsi="Times New Roman"/>
          <w:color w:val="000000"/>
          <w:sz w:val="24"/>
          <w:szCs w:val="24"/>
        </w:rPr>
        <w:t xml:space="preserve"> les mots : « Les résultats de mesures prévues » sont insérés les mots : « au présent article</w:t>
      </w:r>
      <w:r w:rsidR="008B1E1E">
        <w:rPr>
          <w:rFonts w:ascii="Times New Roman" w:hAnsi="Times New Roman"/>
          <w:color w:val="000000"/>
          <w:sz w:val="24"/>
          <w:szCs w:val="24"/>
        </w:rPr>
        <w:t>,</w:t>
      </w:r>
      <w:r w:rsidRPr="00A851CE">
        <w:rPr>
          <w:rFonts w:ascii="Times New Roman" w:hAnsi="Times New Roman"/>
          <w:color w:val="000000"/>
          <w:sz w:val="24"/>
          <w:szCs w:val="24"/>
        </w:rPr>
        <w:t> » ;</w:t>
      </w:r>
    </w:p>
    <w:p w14:paraId="25DA01AD" w14:textId="306EC479" w:rsidR="004817AA" w:rsidRDefault="00A851CE" w:rsidP="004817AA">
      <w:pPr>
        <w:pStyle w:val="Paragraphedeliste"/>
        <w:numPr>
          <w:ilvl w:val="0"/>
          <w:numId w:val="3"/>
        </w:numPr>
        <w:jc w:val="both"/>
        <w:rPr>
          <w:rFonts w:ascii="Times New Roman" w:hAnsi="Times New Roman"/>
          <w:color w:val="000000"/>
          <w:sz w:val="24"/>
          <w:szCs w:val="24"/>
        </w:rPr>
      </w:pPr>
      <w:proofErr w:type="gramStart"/>
      <w:r w:rsidRPr="00A851CE">
        <w:rPr>
          <w:rFonts w:ascii="Times New Roman" w:hAnsi="Times New Roman"/>
          <w:color w:val="000000"/>
          <w:sz w:val="24"/>
          <w:szCs w:val="24"/>
        </w:rPr>
        <w:t>les</w:t>
      </w:r>
      <w:proofErr w:type="gramEnd"/>
      <w:r w:rsidRPr="00A851CE">
        <w:rPr>
          <w:rFonts w:ascii="Times New Roman" w:hAnsi="Times New Roman"/>
          <w:color w:val="000000"/>
          <w:sz w:val="24"/>
          <w:szCs w:val="24"/>
        </w:rPr>
        <w:t xml:space="preserve"> mots : « aux articles 7 et 31 » sont remplacés par les mots : « à l’article 7 ».</w:t>
      </w:r>
    </w:p>
    <w:bookmarkEnd w:id="33"/>
    <w:p w14:paraId="64EEB086" w14:textId="11347F9B"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39</w:t>
      </w:r>
      <w:r w:rsidRPr="00481275">
        <w:rPr>
          <w:b/>
          <w:bCs/>
        </w:rPr>
        <w:fldChar w:fldCharType="end"/>
      </w:r>
    </w:p>
    <w:p w14:paraId="33F6F4A0" w14:textId="2E476747" w:rsidR="00424C89" w:rsidRDefault="00424C89" w:rsidP="002B0DC1">
      <w:pPr>
        <w:jc w:val="both"/>
        <w:rPr>
          <w:b/>
          <w:bCs/>
        </w:rPr>
      </w:pPr>
    </w:p>
    <w:p w14:paraId="4CDDA66B" w14:textId="63AD561D" w:rsidR="005253DD" w:rsidRDefault="005253DD" w:rsidP="002B0DC1">
      <w:pPr>
        <w:jc w:val="both"/>
      </w:pPr>
      <w:r>
        <w:t>L’article 33 de l’arrêté susvisé est ainsi modifié :</w:t>
      </w:r>
    </w:p>
    <w:p w14:paraId="6E464038" w14:textId="77777777" w:rsidR="005253DD" w:rsidRPr="001137C3" w:rsidRDefault="005253DD" w:rsidP="002B0DC1">
      <w:pPr>
        <w:jc w:val="both"/>
      </w:pPr>
    </w:p>
    <w:p w14:paraId="181A8D05" w14:textId="7EAAFEE6" w:rsidR="005253DD" w:rsidRPr="005253DD" w:rsidRDefault="0065073C" w:rsidP="002B0DC1">
      <w:pPr>
        <w:spacing w:after="240"/>
      </w:pPr>
      <w:r>
        <w:t>1°</w:t>
      </w:r>
      <w:r w:rsidR="005253DD" w:rsidRPr="00152359">
        <w:t xml:space="preserve"> </w:t>
      </w:r>
      <w:r w:rsidR="00A51140">
        <w:t xml:space="preserve">Un </w:t>
      </w:r>
      <w:r w:rsidR="00A51140" w:rsidRPr="005253DD">
        <w:t xml:space="preserve">alinéa </w:t>
      </w:r>
      <w:r w:rsidR="005253DD" w:rsidRPr="005253DD">
        <w:t>« </w:t>
      </w:r>
      <w:r w:rsidR="005253DD" w:rsidRPr="005253DD">
        <w:rPr>
          <w:lang w:eastAsia="fr-FR"/>
        </w:rPr>
        <w:t xml:space="preserve">Intervalles de confiance pour la mesure en continu </w:t>
      </w:r>
      <w:r w:rsidR="005253DD" w:rsidRPr="005253DD">
        <w:t>»</w:t>
      </w:r>
      <w:r w:rsidR="005253DD" w:rsidRPr="005253DD">
        <w:rPr>
          <w:sz w:val="28"/>
          <w:szCs w:val="28"/>
        </w:rPr>
        <w:t xml:space="preserve"> </w:t>
      </w:r>
      <w:r w:rsidR="005253DD" w:rsidRPr="00152359">
        <w:t xml:space="preserve">est inséré avant le premier </w:t>
      </w:r>
      <w:r w:rsidR="005253DD" w:rsidRPr="005253DD">
        <w:t>alinéa.</w:t>
      </w:r>
    </w:p>
    <w:p w14:paraId="4F27E2DB" w14:textId="3B47D43C" w:rsidR="005253DD" w:rsidRPr="005253DD" w:rsidRDefault="0065073C" w:rsidP="002B0DC1">
      <w:pPr>
        <w:jc w:val="both"/>
        <w:rPr>
          <w:lang w:eastAsia="fr-FR"/>
        </w:rPr>
      </w:pPr>
      <w:r>
        <w:rPr>
          <w:lang w:eastAsia="fr-FR"/>
        </w:rPr>
        <w:t>2°</w:t>
      </w:r>
      <w:r w:rsidR="005253DD" w:rsidRPr="005253DD">
        <w:rPr>
          <w:lang w:eastAsia="fr-FR"/>
        </w:rPr>
        <w:t xml:space="preserve"> L’article 33 est complété par les alinéas suivants : </w:t>
      </w:r>
    </w:p>
    <w:p w14:paraId="4CEB65F1" w14:textId="083BBEEF" w:rsidR="005253DD" w:rsidRPr="005253DD" w:rsidRDefault="005253DD" w:rsidP="002B0DC1">
      <w:pPr>
        <w:jc w:val="both"/>
        <w:rPr>
          <w:color w:val="000000"/>
          <w:lang w:eastAsia="fr-FR"/>
        </w:rPr>
      </w:pPr>
      <w:r w:rsidRPr="005253DD">
        <w:rPr>
          <w:lang w:eastAsia="fr-FR"/>
        </w:rPr>
        <w:t>« </w:t>
      </w:r>
      <w:r w:rsidRPr="005253DD">
        <w:rPr>
          <w:color w:val="000000"/>
          <w:lang w:eastAsia="fr-FR"/>
        </w:rPr>
        <w:t>- NH</w:t>
      </w:r>
      <w:r w:rsidRPr="005253DD">
        <w:rPr>
          <w:color w:val="000000"/>
          <w:vertAlign w:val="subscript"/>
          <w:lang w:eastAsia="fr-FR"/>
        </w:rPr>
        <w:t>3</w:t>
      </w:r>
      <w:r w:rsidRPr="005253DD">
        <w:rPr>
          <w:color w:val="000000"/>
          <w:lang w:eastAsia="fr-FR"/>
        </w:rPr>
        <w:t> : 40</w:t>
      </w:r>
      <w:r w:rsidR="000F02B5">
        <w:rPr>
          <w:color w:val="000000"/>
          <w:lang w:eastAsia="fr-FR"/>
        </w:rPr>
        <w:t xml:space="preserve"> </w:t>
      </w:r>
      <w:r w:rsidRPr="005253DD">
        <w:rPr>
          <w:color w:val="000000"/>
          <w:lang w:eastAsia="fr-FR"/>
        </w:rPr>
        <w:t>%</w:t>
      </w:r>
      <w:r w:rsidR="00A51140">
        <w:rPr>
          <w:color w:val="000000"/>
          <w:lang w:eastAsia="fr-FR"/>
        </w:rPr>
        <w:t> ;</w:t>
      </w:r>
    </w:p>
    <w:p w14:paraId="7DB29EB8" w14:textId="04DD44DD" w:rsidR="005253DD" w:rsidRPr="005253DD" w:rsidRDefault="005253DD" w:rsidP="002B0DC1">
      <w:pPr>
        <w:jc w:val="both"/>
        <w:rPr>
          <w:color w:val="000000"/>
          <w:lang w:eastAsia="fr-FR"/>
        </w:rPr>
      </w:pPr>
      <w:r w:rsidRPr="005253DD">
        <w:rPr>
          <w:color w:val="000000"/>
          <w:lang w:eastAsia="fr-FR"/>
        </w:rPr>
        <w:t xml:space="preserve">« - Chlorures gazeux (exprimés en </w:t>
      </w:r>
      <w:proofErr w:type="spellStart"/>
      <w:r w:rsidRPr="005253DD">
        <w:rPr>
          <w:color w:val="000000"/>
          <w:lang w:eastAsia="fr-FR"/>
        </w:rPr>
        <w:t>HCl</w:t>
      </w:r>
      <w:proofErr w:type="spellEnd"/>
      <w:r w:rsidRPr="005253DD">
        <w:rPr>
          <w:color w:val="000000"/>
          <w:lang w:eastAsia="fr-FR"/>
        </w:rPr>
        <w:t>) : 40</w:t>
      </w:r>
      <w:r w:rsidR="000F02B5">
        <w:rPr>
          <w:color w:val="000000"/>
          <w:lang w:eastAsia="fr-FR"/>
        </w:rPr>
        <w:t xml:space="preserve"> </w:t>
      </w:r>
      <w:r w:rsidRPr="005253DD">
        <w:rPr>
          <w:color w:val="000000"/>
          <w:lang w:eastAsia="fr-FR"/>
        </w:rPr>
        <w:t>%</w:t>
      </w:r>
      <w:r w:rsidR="00A51140">
        <w:rPr>
          <w:color w:val="000000"/>
          <w:lang w:eastAsia="fr-FR"/>
        </w:rPr>
        <w:t> ;</w:t>
      </w:r>
    </w:p>
    <w:p w14:paraId="3A0A1AB2" w14:textId="77189371" w:rsidR="005253DD" w:rsidRPr="005253DD" w:rsidRDefault="005253DD" w:rsidP="002B0DC1">
      <w:pPr>
        <w:jc w:val="both"/>
        <w:rPr>
          <w:b/>
          <w:bCs/>
        </w:rPr>
      </w:pPr>
      <w:r w:rsidRPr="005253DD">
        <w:rPr>
          <w:color w:val="000000"/>
          <w:lang w:eastAsia="fr-FR"/>
        </w:rPr>
        <w:t>« - Mercure (Hg) : 40</w:t>
      </w:r>
      <w:r w:rsidR="000F02B5">
        <w:rPr>
          <w:color w:val="000000"/>
          <w:lang w:eastAsia="fr-FR"/>
        </w:rPr>
        <w:t xml:space="preserve"> </w:t>
      </w:r>
      <w:r w:rsidRPr="005253DD">
        <w:rPr>
          <w:color w:val="000000"/>
          <w:lang w:eastAsia="fr-FR"/>
        </w:rPr>
        <w:t>% ».</w:t>
      </w:r>
    </w:p>
    <w:p w14:paraId="44327684" w14:textId="77777777" w:rsidR="005253DD" w:rsidRPr="00481275" w:rsidRDefault="005253DD" w:rsidP="002B0DC1">
      <w:pPr>
        <w:jc w:val="both"/>
        <w:rPr>
          <w:b/>
          <w:bCs/>
        </w:rPr>
      </w:pPr>
    </w:p>
    <w:p w14:paraId="24135FD7" w14:textId="3382538C"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40</w:t>
      </w:r>
      <w:r w:rsidRPr="00481275">
        <w:rPr>
          <w:b/>
          <w:bCs/>
        </w:rPr>
        <w:fldChar w:fldCharType="end"/>
      </w:r>
    </w:p>
    <w:p w14:paraId="72361D74" w14:textId="77777777" w:rsidR="005253DD" w:rsidRDefault="005253DD" w:rsidP="002B0DC1">
      <w:pPr>
        <w:jc w:val="both"/>
      </w:pPr>
    </w:p>
    <w:p w14:paraId="694179A5" w14:textId="43CEDE62" w:rsidR="005253DD" w:rsidRDefault="005253DD" w:rsidP="002B0DC1">
      <w:pPr>
        <w:jc w:val="both"/>
      </w:pPr>
      <w:r>
        <w:t>L’article 34 de l’arrêté susvisé est ainsi modifié :</w:t>
      </w:r>
    </w:p>
    <w:p w14:paraId="0FE4A601" w14:textId="77777777" w:rsidR="005253DD" w:rsidRPr="001137C3" w:rsidRDefault="005253DD" w:rsidP="002B0DC1">
      <w:pPr>
        <w:jc w:val="both"/>
      </w:pPr>
    </w:p>
    <w:p w14:paraId="51C13FE4" w14:textId="54229494" w:rsidR="005253DD" w:rsidRDefault="0065073C" w:rsidP="002B0DC1">
      <w:pPr>
        <w:spacing w:after="240"/>
        <w:jc w:val="both"/>
      </w:pPr>
      <w:r>
        <w:t>1°</w:t>
      </w:r>
      <w:r w:rsidR="005253DD" w:rsidRPr="005253DD">
        <w:t xml:space="preserve"> </w:t>
      </w:r>
      <w:r w:rsidR="00A51140">
        <w:t xml:space="preserve">Un </w:t>
      </w:r>
      <w:r w:rsidR="00A51140" w:rsidRPr="005253DD">
        <w:t xml:space="preserve">alinéa </w:t>
      </w:r>
      <w:r w:rsidR="005253DD" w:rsidRPr="005253DD">
        <w:t>« </w:t>
      </w:r>
      <w:r w:rsidR="005253DD" w:rsidRPr="005253DD">
        <w:rPr>
          <w:lang w:eastAsia="fr-FR"/>
        </w:rPr>
        <w:t xml:space="preserve">Conditions de respect des valeurs limites d’émission en cas de mesure en continu </w:t>
      </w:r>
      <w:r w:rsidR="005253DD" w:rsidRPr="005253DD">
        <w:t xml:space="preserve">» </w:t>
      </w:r>
      <w:r w:rsidR="005253DD" w:rsidRPr="002517E9">
        <w:t>est inséré avant le premier alinéa.</w:t>
      </w:r>
    </w:p>
    <w:p w14:paraId="453F75EE" w14:textId="7A53A380" w:rsidR="00757902" w:rsidRDefault="00F23109" w:rsidP="002B0DC1">
      <w:pPr>
        <w:spacing w:after="240"/>
        <w:jc w:val="both"/>
      </w:pPr>
      <w:r>
        <w:t>2°</w:t>
      </w:r>
      <w:r w:rsidR="00757902">
        <w:t xml:space="preserve"> </w:t>
      </w:r>
      <w:r w:rsidR="00A51140">
        <w:t>L’alinéa suivant est inséré</w:t>
      </w:r>
      <w:r w:rsidR="00757902">
        <w:t> après le premier alinéa :</w:t>
      </w:r>
    </w:p>
    <w:p w14:paraId="444074AD" w14:textId="7384AABA" w:rsidR="00757902" w:rsidRPr="002517E9" w:rsidRDefault="00757902" w:rsidP="002B0DC1">
      <w:pPr>
        <w:spacing w:after="240"/>
        <w:jc w:val="both"/>
      </w:pPr>
      <w:r>
        <w:t>« </w:t>
      </w:r>
      <w:r w:rsidRPr="00757902">
        <w:t>- aucune valeur moyenne annuelle</w:t>
      </w:r>
      <w:r w:rsidR="00F2357C">
        <w:t xml:space="preserve"> validée</w:t>
      </w:r>
      <w:r w:rsidRPr="00757902">
        <w:t xml:space="preserve"> ne dépasse les valeurs limites indiquées </w:t>
      </w:r>
      <w:r w:rsidR="008A6D4F">
        <w:t>aux II des</w:t>
      </w:r>
      <w:r w:rsidRPr="00757902">
        <w:t xml:space="preserve"> articles 10, 11, 12, et à l’article 13 ;</w:t>
      </w:r>
      <w:r>
        <w:t> ».</w:t>
      </w:r>
    </w:p>
    <w:p w14:paraId="558D09A7" w14:textId="08537524" w:rsidR="002517E9" w:rsidRDefault="00F23109" w:rsidP="00A51140">
      <w:pPr>
        <w:jc w:val="both"/>
      </w:pPr>
      <w:r>
        <w:t>3°</w:t>
      </w:r>
      <w:r w:rsidR="002517E9" w:rsidRPr="002517E9">
        <w:t xml:space="preserve"> </w:t>
      </w:r>
      <w:r w:rsidR="00A51140">
        <w:t xml:space="preserve">Au troisième alinéa, après les mots : </w:t>
      </w:r>
      <w:r w:rsidR="00A51140" w:rsidRPr="00757902">
        <w:t>« </w:t>
      </w:r>
      <w:r>
        <w:t xml:space="preserve">des valeurs limite d’émission fixées » </w:t>
      </w:r>
      <w:r w:rsidR="00A51140">
        <w:t>sont insérés les mots :</w:t>
      </w:r>
      <w:r w:rsidR="00A51140" w:rsidRPr="00757902">
        <w:t xml:space="preserve"> « </w:t>
      </w:r>
      <w:r>
        <w:t>aux I des articles 10, 11 et 12 du ».</w:t>
      </w:r>
      <w:r w:rsidRPr="00757902" w:rsidDel="00A51140">
        <w:t xml:space="preserve"> </w:t>
      </w:r>
      <w:r w:rsidR="00A51140" w:rsidRPr="00757902" w:rsidDel="00A51140">
        <w:t xml:space="preserve"> </w:t>
      </w:r>
    </w:p>
    <w:p w14:paraId="63D97971" w14:textId="77777777" w:rsidR="00757902" w:rsidRPr="00757902" w:rsidRDefault="00757902" w:rsidP="002B0DC1">
      <w:pPr>
        <w:jc w:val="both"/>
      </w:pPr>
    </w:p>
    <w:p w14:paraId="10949156" w14:textId="4CDBB105" w:rsidR="002517E9" w:rsidRPr="002517E9" w:rsidRDefault="00F23109" w:rsidP="002B0DC1">
      <w:pPr>
        <w:jc w:val="both"/>
      </w:pPr>
      <w:r>
        <w:t>4°</w:t>
      </w:r>
      <w:r w:rsidR="002517E9" w:rsidRPr="002517E9">
        <w:t xml:space="preserve"> Après le </w:t>
      </w:r>
      <w:r w:rsidR="00757902">
        <w:t>troisième</w:t>
      </w:r>
      <w:r w:rsidR="002517E9" w:rsidRPr="002517E9">
        <w:t xml:space="preserve"> alinéa, l’alinéa suivant est inséré :</w:t>
      </w:r>
    </w:p>
    <w:p w14:paraId="638ED337" w14:textId="25D96A86" w:rsidR="00757902" w:rsidRDefault="00757902" w:rsidP="002B0DC1">
      <w:pPr>
        <w:spacing w:after="240"/>
        <w:jc w:val="both"/>
      </w:pPr>
      <w:r>
        <w:t>« </w:t>
      </w:r>
      <w:r w:rsidRPr="00757902">
        <w:t xml:space="preserve">- aucune valeur journalière moyenne validée ne dépasse les valeurs limites d’émission fixées aux </w:t>
      </w:r>
      <w:r w:rsidR="008A6D4F">
        <w:t xml:space="preserve">II des </w:t>
      </w:r>
      <w:r w:rsidRPr="00757902">
        <w:t>articles 10, 11</w:t>
      </w:r>
      <w:r w:rsidR="00D97F47">
        <w:t xml:space="preserve">, </w:t>
      </w:r>
      <w:r w:rsidRPr="00757902">
        <w:t xml:space="preserve">12 </w:t>
      </w:r>
      <w:r w:rsidR="00D97F47">
        <w:t xml:space="preserve">et </w:t>
      </w:r>
      <w:r w:rsidR="00F23109">
        <w:t xml:space="preserve">à l’article </w:t>
      </w:r>
      <w:r w:rsidR="00D97F47">
        <w:t xml:space="preserve">13 </w:t>
      </w:r>
      <w:r w:rsidRPr="00757902">
        <w:t>du chapitre II du présent titre ;</w:t>
      </w:r>
      <w:r>
        <w:t> ».</w:t>
      </w:r>
    </w:p>
    <w:p w14:paraId="2866E804" w14:textId="77777777" w:rsidR="00424C89" w:rsidRPr="00481275" w:rsidRDefault="00424C89" w:rsidP="002B0DC1"/>
    <w:p w14:paraId="0EDFAA23" w14:textId="4E0F8622" w:rsidR="00424C89" w:rsidRPr="00481275" w:rsidRDefault="00424C89" w:rsidP="002B0DC1">
      <w:pPr>
        <w:jc w:val="center"/>
        <w:rPr>
          <w:b/>
          <w:bCs/>
        </w:rPr>
      </w:pPr>
      <w:r w:rsidRPr="00481275">
        <w:rPr>
          <w:b/>
          <w:bCs/>
        </w:rPr>
        <w:t xml:space="preserve">Article </w:t>
      </w:r>
      <w:r w:rsidRPr="00481275">
        <w:rPr>
          <w:b/>
          <w:bCs/>
        </w:rPr>
        <w:fldChar w:fldCharType="begin"/>
      </w:r>
      <w:r w:rsidRPr="00481275">
        <w:rPr>
          <w:b/>
          <w:bCs/>
        </w:rPr>
        <w:instrText xml:space="preserve"> SEQ Article \* ARABIC </w:instrText>
      </w:r>
      <w:r w:rsidRPr="00481275">
        <w:rPr>
          <w:b/>
          <w:bCs/>
        </w:rPr>
        <w:fldChar w:fldCharType="separate"/>
      </w:r>
      <w:r w:rsidR="00871300">
        <w:rPr>
          <w:b/>
          <w:bCs/>
          <w:noProof/>
        </w:rPr>
        <w:t>41</w:t>
      </w:r>
      <w:r w:rsidRPr="00481275">
        <w:rPr>
          <w:b/>
          <w:bCs/>
        </w:rPr>
        <w:fldChar w:fldCharType="end"/>
      </w:r>
    </w:p>
    <w:p w14:paraId="358EBB89" w14:textId="77777777" w:rsidR="00424C89" w:rsidRPr="00481275" w:rsidRDefault="00424C89" w:rsidP="002B0DC1">
      <w:pPr>
        <w:jc w:val="both"/>
      </w:pPr>
    </w:p>
    <w:p w14:paraId="531C676F" w14:textId="666AC729" w:rsidR="002517E9" w:rsidRDefault="002517E9" w:rsidP="002B0DC1">
      <w:pPr>
        <w:jc w:val="both"/>
      </w:pPr>
      <w:r>
        <w:t>L’article 35 de l’arrêté susvisé est ainsi modifié :</w:t>
      </w:r>
    </w:p>
    <w:p w14:paraId="03B8DD34" w14:textId="77777777" w:rsidR="002517E9" w:rsidRPr="002517E9" w:rsidRDefault="002517E9" w:rsidP="002B0DC1">
      <w:pPr>
        <w:jc w:val="both"/>
      </w:pPr>
    </w:p>
    <w:p w14:paraId="660AD022" w14:textId="200EA8BE" w:rsidR="002517E9" w:rsidRDefault="00F23109" w:rsidP="002B0DC1">
      <w:pPr>
        <w:spacing w:after="240"/>
        <w:jc w:val="both"/>
      </w:pPr>
      <w:r>
        <w:t>1°</w:t>
      </w:r>
      <w:r w:rsidR="002517E9" w:rsidRPr="002517E9">
        <w:t xml:space="preserve"> </w:t>
      </w:r>
      <w:r w:rsidR="00A51140">
        <w:t xml:space="preserve">Un </w:t>
      </w:r>
      <w:r w:rsidR="00A51140" w:rsidRPr="002517E9">
        <w:t xml:space="preserve">alinéa </w:t>
      </w:r>
      <w:r w:rsidR="002517E9" w:rsidRPr="002517E9">
        <w:t>« </w:t>
      </w:r>
      <w:r w:rsidR="002517E9" w:rsidRPr="002517E9">
        <w:rPr>
          <w:lang w:eastAsia="fr-FR"/>
        </w:rPr>
        <w:t xml:space="preserve">Détermination des valeurs moyennes validées, invalidation des mesures </w:t>
      </w:r>
      <w:r w:rsidR="002517E9" w:rsidRPr="002517E9">
        <w:t>» est inséré avant le premier alinéa.</w:t>
      </w:r>
    </w:p>
    <w:p w14:paraId="10CE240B" w14:textId="6B03FCFA" w:rsidR="00F2357C" w:rsidRPr="002517E9" w:rsidRDefault="00F23109" w:rsidP="00F23109">
      <w:pPr>
        <w:spacing w:after="240"/>
        <w:jc w:val="both"/>
        <w:rPr>
          <w:color w:val="000000"/>
          <w:lang w:eastAsia="fr-FR"/>
        </w:rPr>
      </w:pPr>
      <w:r>
        <w:rPr>
          <w:color w:val="000000"/>
          <w:lang w:eastAsia="fr-FR"/>
        </w:rPr>
        <w:t>2°</w:t>
      </w:r>
      <w:r w:rsidR="00F2357C" w:rsidRPr="002517E9">
        <w:rPr>
          <w:color w:val="000000"/>
          <w:lang w:eastAsia="fr-FR"/>
        </w:rPr>
        <w:t xml:space="preserve"> </w:t>
      </w:r>
      <w:r w:rsidR="00F2357C">
        <w:rPr>
          <w:color w:val="000000"/>
          <w:lang w:eastAsia="fr-FR"/>
        </w:rPr>
        <w:t xml:space="preserve">Le deuxième alinéa est </w:t>
      </w:r>
      <w:r>
        <w:rPr>
          <w:color w:val="000000"/>
          <w:lang w:eastAsia="fr-FR"/>
        </w:rPr>
        <w:t>remplacé par les alinéas suivants :</w:t>
      </w:r>
    </w:p>
    <w:p w14:paraId="4F4971D1" w14:textId="6CAE3757" w:rsidR="00F2357C" w:rsidRDefault="00F2357C" w:rsidP="00F2357C">
      <w:pPr>
        <w:jc w:val="both"/>
        <w:rPr>
          <w:color w:val="000000"/>
          <w:lang w:eastAsia="fr-FR"/>
        </w:rPr>
      </w:pPr>
      <w:r>
        <w:t>« </w:t>
      </w:r>
      <w:r w:rsidRPr="002517E9">
        <w:rPr>
          <w:color w:val="000000"/>
          <w:lang w:eastAsia="fr-FR"/>
        </w:rPr>
        <w:t>Les « </w:t>
      </w:r>
      <w:r>
        <w:rPr>
          <w:color w:val="000000"/>
          <w:lang w:eastAsia="fr-FR"/>
        </w:rPr>
        <w:t>v</w:t>
      </w:r>
      <w:r w:rsidRPr="002517E9">
        <w:rPr>
          <w:color w:val="000000"/>
          <w:lang w:eastAsia="fr-FR"/>
        </w:rPr>
        <w:t xml:space="preserve">aleurs limites d’émission en moyenne journalière » correspondent à la moyenne sur une période de 24 heures des moyennes horaires validées obtenues par </w:t>
      </w:r>
      <w:r>
        <w:rPr>
          <w:color w:val="000000"/>
          <w:lang w:eastAsia="fr-FR"/>
        </w:rPr>
        <w:t xml:space="preserve">la </w:t>
      </w:r>
      <w:r w:rsidRPr="002517E9">
        <w:rPr>
          <w:color w:val="000000"/>
          <w:lang w:eastAsia="fr-FR"/>
        </w:rPr>
        <w:t>mesure en continu.</w:t>
      </w:r>
    </w:p>
    <w:p w14:paraId="69C8965C" w14:textId="77777777" w:rsidR="00F2357C" w:rsidRDefault="00F2357C" w:rsidP="00F2357C">
      <w:pPr>
        <w:jc w:val="both"/>
        <w:rPr>
          <w:color w:val="000000"/>
          <w:lang w:eastAsia="fr-FR"/>
        </w:rPr>
      </w:pPr>
    </w:p>
    <w:p w14:paraId="728DE543" w14:textId="3148D4DE" w:rsidR="00F2357C" w:rsidRDefault="00F2357C" w:rsidP="00F2357C">
      <w:pPr>
        <w:jc w:val="both"/>
        <w:rPr>
          <w:color w:val="000000"/>
          <w:lang w:eastAsia="fr-FR"/>
        </w:rPr>
      </w:pPr>
      <w:r>
        <w:rPr>
          <w:color w:val="000000"/>
          <w:lang w:eastAsia="fr-FR"/>
        </w:rPr>
        <w:t>« </w:t>
      </w:r>
      <w:r w:rsidRPr="00F2357C">
        <w:rPr>
          <w:color w:val="000000"/>
          <w:lang w:eastAsia="fr-FR"/>
        </w:rPr>
        <w:t>Les « valeurs limites d’émission en moyenne mensuelles » correspondent à la moyenne des moyennes horaires validées obtenues par la mesure en continu.</w:t>
      </w:r>
    </w:p>
    <w:p w14:paraId="521B07E3" w14:textId="77777777" w:rsidR="00F620F0" w:rsidRPr="002517E9" w:rsidRDefault="00F620F0" w:rsidP="00F2357C">
      <w:pPr>
        <w:jc w:val="both"/>
        <w:rPr>
          <w:color w:val="000000"/>
          <w:lang w:eastAsia="fr-FR"/>
        </w:rPr>
      </w:pPr>
    </w:p>
    <w:p w14:paraId="095FBADF" w14:textId="720A74FD" w:rsidR="00F2357C" w:rsidRDefault="00F2357C" w:rsidP="002B0DC1">
      <w:pPr>
        <w:spacing w:after="240"/>
        <w:jc w:val="both"/>
        <w:rPr>
          <w:color w:val="000000"/>
          <w:lang w:eastAsia="fr-FR"/>
        </w:rPr>
      </w:pPr>
      <w:r w:rsidRPr="002517E9">
        <w:rPr>
          <w:color w:val="000000"/>
          <w:lang w:eastAsia="fr-FR"/>
        </w:rPr>
        <w:t>« Les « </w:t>
      </w:r>
      <w:r>
        <w:rPr>
          <w:color w:val="000000"/>
          <w:lang w:eastAsia="fr-FR"/>
        </w:rPr>
        <w:t>v</w:t>
      </w:r>
      <w:r w:rsidRPr="002517E9">
        <w:rPr>
          <w:color w:val="000000"/>
          <w:lang w:eastAsia="fr-FR"/>
        </w:rPr>
        <w:t xml:space="preserve">aleurs limites d’émission en moyenne annuelle » correspondent à la moyenne sur une année des moyennes horaires validées obtenues par </w:t>
      </w:r>
      <w:r>
        <w:rPr>
          <w:color w:val="000000"/>
          <w:lang w:eastAsia="fr-FR"/>
        </w:rPr>
        <w:t xml:space="preserve">la </w:t>
      </w:r>
      <w:r w:rsidRPr="002517E9">
        <w:rPr>
          <w:color w:val="000000"/>
          <w:lang w:eastAsia="fr-FR"/>
        </w:rPr>
        <w:t>mesure en continu. ».</w:t>
      </w:r>
    </w:p>
    <w:p w14:paraId="071CCBD4" w14:textId="77777777" w:rsidR="00F23109" w:rsidRDefault="00F23109" w:rsidP="002B0DC1">
      <w:pPr>
        <w:spacing w:after="240"/>
        <w:jc w:val="both"/>
        <w:rPr>
          <w:color w:val="000000"/>
          <w:lang w:eastAsia="fr-FR"/>
        </w:rPr>
      </w:pPr>
      <w:r>
        <w:rPr>
          <w:color w:val="000000"/>
          <w:lang w:eastAsia="fr-FR"/>
        </w:rPr>
        <w:t>3°</w:t>
      </w:r>
      <w:r w:rsidR="00F620F0">
        <w:rPr>
          <w:color w:val="000000"/>
          <w:lang w:eastAsia="fr-FR"/>
        </w:rPr>
        <w:t xml:space="preserve"> Le quatrième alinéa est</w:t>
      </w:r>
      <w:r w:rsidR="00976B8F">
        <w:rPr>
          <w:color w:val="000000"/>
          <w:lang w:eastAsia="fr-FR"/>
        </w:rPr>
        <w:t xml:space="preserve"> remplacé </w:t>
      </w:r>
      <w:r>
        <w:rPr>
          <w:color w:val="000000"/>
          <w:lang w:eastAsia="fr-FR"/>
        </w:rPr>
        <w:t xml:space="preserve">ainsi </w:t>
      </w:r>
      <w:proofErr w:type="gramStart"/>
      <w:r>
        <w:rPr>
          <w:color w:val="000000"/>
          <w:lang w:eastAsia="fr-FR"/>
        </w:rPr>
        <w:t>rédigé</w:t>
      </w:r>
      <w:proofErr w:type="gramEnd"/>
      <w:r w:rsidR="00A51140">
        <w:rPr>
          <w:color w:val="000000"/>
          <w:lang w:eastAsia="fr-FR"/>
        </w:rPr>
        <w:t> </w:t>
      </w:r>
      <w:r w:rsidR="00976B8F">
        <w:rPr>
          <w:color w:val="000000"/>
          <w:lang w:eastAsia="fr-FR"/>
        </w:rPr>
        <w:t>: </w:t>
      </w:r>
    </w:p>
    <w:p w14:paraId="163712D6" w14:textId="1CABD526" w:rsidR="00F620F0" w:rsidRPr="002517E9" w:rsidRDefault="00976B8F" w:rsidP="002B0DC1">
      <w:pPr>
        <w:spacing w:after="240"/>
        <w:jc w:val="both"/>
      </w:pPr>
      <w:r>
        <w:rPr>
          <w:color w:val="000000"/>
          <w:lang w:eastAsia="fr-FR"/>
        </w:rPr>
        <w:t>« </w:t>
      </w:r>
      <w:r w:rsidRPr="00976B8F">
        <w:rPr>
          <w:color w:val="000000"/>
          <w:lang w:eastAsia="fr-FR"/>
        </w:rPr>
        <w:t>L'exploitant prend toutes les mesures adéquates nécessaires à cet effet pour améliorer la fiabilité de son système de mesure en continu, sans retard injustifié.</w:t>
      </w:r>
      <w:r>
        <w:rPr>
          <w:color w:val="000000"/>
          <w:lang w:eastAsia="fr-FR"/>
        </w:rPr>
        <w:t> »</w:t>
      </w:r>
    </w:p>
    <w:p w14:paraId="3FBD40CD" w14:textId="77777777" w:rsidR="00424C89" w:rsidRDefault="00424C89" w:rsidP="002B0DC1"/>
    <w:p w14:paraId="5A6BBDA1" w14:textId="51F1A150" w:rsidR="00424C89" w:rsidRPr="002517E9" w:rsidRDefault="00424C89" w:rsidP="002B0DC1">
      <w:pPr>
        <w:jc w:val="center"/>
        <w:rPr>
          <w:b/>
          <w:bCs/>
        </w:rPr>
      </w:pPr>
      <w:r w:rsidRPr="002517E9">
        <w:rPr>
          <w:b/>
          <w:bCs/>
        </w:rPr>
        <w:t xml:space="preserve">Article </w:t>
      </w:r>
      <w:r w:rsidRPr="002517E9">
        <w:rPr>
          <w:b/>
          <w:bCs/>
        </w:rPr>
        <w:fldChar w:fldCharType="begin"/>
      </w:r>
      <w:r w:rsidRPr="002517E9">
        <w:rPr>
          <w:b/>
          <w:bCs/>
        </w:rPr>
        <w:instrText xml:space="preserve"> SEQ Article \* ARABIC </w:instrText>
      </w:r>
      <w:r w:rsidRPr="002517E9">
        <w:rPr>
          <w:b/>
          <w:bCs/>
        </w:rPr>
        <w:fldChar w:fldCharType="separate"/>
      </w:r>
      <w:r w:rsidR="00871300">
        <w:rPr>
          <w:b/>
          <w:bCs/>
          <w:noProof/>
        </w:rPr>
        <w:t>42</w:t>
      </w:r>
      <w:r w:rsidRPr="002517E9">
        <w:rPr>
          <w:b/>
          <w:bCs/>
        </w:rPr>
        <w:fldChar w:fldCharType="end"/>
      </w:r>
    </w:p>
    <w:p w14:paraId="7256BC6D" w14:textId="77777777" w:rsidR="00424C89" w:rsidRDefault="00424C89" w:rsidP="002B0DC1"/>
    <w:p w14:paraId="5501C804" w14:textId="55EECF3C" w:rsidR="002517E9" w:rsidRPr="00C60E1F" w:rsidRDefault="00A51140" w:rsidP="00A51140">
      <w:pPr>
        <w:jc w:val="both"/>
        <w:rPr>
          <w:lang w:eastAsia="fr-FR"/>
        </w:rPr>
      </w:pPr>
      <w:r>
        <w:t xml:space="preserve">Au début de l’article </w:t>
      </w:r>
      <w:r w:rsidR="002517E9" w:rsidRPr="00C60E1F">
        <w:t>36</w:t>
      </w:r>
      <w:r w:rsidR="00C60E1F">
        <w:t xml:space="preserve"> </w:t>
      </w:r>
      <w:r w:rsidR="002517E9" w:rsidRPr="00C60E1F">
        <w:t xml:space="preserve">de l’arrêté susvisé est </w:t>
      </w:r>
      <w:r>
        <w:t>inséré un alinéa ainsi rédigé :</w:t>
      </w:r>
      <w:r w:rsidR="002517E9" w:rsidRPr="00C60E1F">
        <w:t xml:space="preserve"> « </w:t>
      </w:r>
      <w:r w:rsidR="00C60E1F" w:rsidRPr="00C60E1F">
        <w:rPr>
          <w:lang w:eastAsia="fr-FR"/>
        </w:rPr>
        <w:t>Conditions de respect des valeurs limites d’émission en cas de mesure périodique</w:t>
      </w:r>
      <w:r>
        <w:rPr>
          <w:lang w:eastAsia="fr-FR"/>
        </w:rPr>
        <w:t> »</w:t>
      </w:r>
      <w:r w:rsidR="002517E9" w:rsidRPr="00C60E1F">
        <w:t>.</w:t>
      </w:r>
    </w:p>
    <w:p w14:paraId="048793DE" w14:textId="77777777" w:rsidR="00424C89" w:rsidRDefault="00424C89" w:rsidP="002B0DC1"/>
    <w:p w14:paraId="60405F46" w14:textId="237EA1BC" w:rsidR="00424C89" w:rsidRPr="001E47C8" w:rsidRDefault="00424C89"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43</w:t>
      </w:r>
      <w:r w:rsidRPr="001E47C8">
        <w:rPr>
          <w:b/>
          <w:bCs/>
          <w:i/>
          <w:iCs/>
        </w:rPr>
        <w:fldChar w:fldCharType="end"/>
      </w:r>
    </w:p>
    <w:p w14:paraId="2093E00A" w14:textId="1C213B5F" w:rsidR="00424C89" w:rsidRDefault="00424C89" w:rsidP="002B0DC1"/>
    <w:p w14:paraId="496906F3" w14:textId="1AEF317D" w:rsidR="00DE6AC5" w:rsidRPr="00C60E1F" w:rsidRDefault="00DE6AC5" w:rsidP="002B0DC1">
      <w:pPr>
        <w:jc w:val="both"/>
      </w:pPr>
      <w:r>
        <w:t xml:space="preserve">L’article </w:t>
      </w:r>
      <w:r w:rsidRPr="00C60E1F">
        <w:t>3</w:t>
      </w:r>
      <w:r>
        <w:t xml:space="preserve">7 </w:t>
      </w:r>
      <w:r w:rsidRPr="00C60E1F">
        <w:t xml:space="preserve">de l’arrêté susvisé est </w:t>
      </w:r>
      <w:r w:rsidR="00A51140">
        <w:t>remplacé</w:t>
      </w:r>
      <w:r w:rsidR="00A51140" w:rsidRPr="00C60E1F">
        <w:t> </w:t>
      </w:r>
      <w:r w:rsidR="0043180C">
        <w:t xml:space="preserve">par les dispositions suivantes </w:t>
      </w:r>
      <w:r w:rsidRPr="00C60E1F">
        <w:t>:</w:t>
      </w:r>
    </w:p>
    <w:p w14:paraId="5D3C6826" w14:textId="77777777" w:rsidR="00DE6AC5" w:rsidRPr="00C60E1F" w:rsidRDefault="00DE6AC5" w:rsidP="002B0DC1">
      <w:pPr>
        <w:jc w:val="both"/>
      </w:pPr>
    </w:p>
    <w:p w14:paraId="71746BC5" w14:textId="5B6F3B08" w:rsidR="00DE6AC5" w:rsidRDefault="00DE6AC5" w:rsidP="002B0DC1">
      <w:pPr>
        <w:spacing w:after="240"/>
        <w:jc w:val="both"/>
      </w:pPr>
      <w:r w:rsidRPr="00C60E1F">
        <w:t>« </w:t>
      </w:r>
      <w:r w:rsidR="00F23109" w:rsidRPr="00F23109">
        <w:rPr>
          <w:i/>
          <w:iCs/>
        </w:rPr>
        <w:t>Art. 37. -</w:t>
      </w:r>
      <w:r w:rsidR="00F23109">
        <w:t xml:space="preserve"> </w:t>
      </w:r>
      <w:r>
        <w:rPr>
          <w:lang w:eastAsia="fr-FR"/>
        </w:rPr>
        <w:t xml:space="preserve">Surveillance dans l’environnement </w:t>
      </w:r>
    </w:p>
    <w:p w14:paraId="770C2D72" w14:textId="1A851615" w:rsidR="00C60E1F" w:rsidRPr="00C60E1F" w:rsidRDefault="00C60E1F" w:rsidP="002B0DC1">
      <w:pPr>
        <w:jc w:val="both"/>
        <w:rPr>
          <w:color w:val="000000"/>
          <w:lang w:eastAsia="fr-FR"/>
        </w:rPr>
      </w:pPr>
      <w:r w:rsidRPr="00C60E1F">
        <w:rPr>
          <w:color w:val="000000"/>
          <w:lang w:eastAsia="fr-FR"/>
        </w:rPr>
        <w:t>« Une surveillance de la qualité de l’air ou des retombées de polluants au voisinage de l’installation peut être imposée par l’arrêté préfectoral pour chacun des polluants mentionnés au chapitre II du présent titre, en fonction de l’impact potentiel des émissions sur l’environnement et la santé publique.</w:t>
      </w:r>
    </w:p>
    <w:p w14:paraId="293873A3" w14:textId="77777777" w:rsidR="00C60E1F" w:rsidRPr="00C60E1F" w:rsidRDefault="00C60E1F" w:rsidP="002B0DC1">
      <w:pPr>
        <w:jc w:val="both"/>
        <w:rPr>
          <w:color w:val="000000"/>
          <w:lang w:eastAsia="fr-FR"/>
        </w:rPr>
      </w:pPr>
    </w:p>
    <w:p w14:paraId="75B90C8D" w14:textId="73F6322B" w:rsidR="00C60E1F" w:rsidRPr="00C60E1F" w:rsidRDefault="00C60E1F" w:rsidP="002B0DC1">
      <w:pPr>
        <w:jc w:val="both"/>
        <w:rPr>
          <w:color w:val="000000"/>
          <w:lang w:eastAsia="fr-FR"/>
        </w:rPr>
      </w:pPr>
      <w:r w:rsidRPr="00C60E1F">
        <w:rPr>
          <w:color w:val="000000"/>
          <w:lang w:eastAsia="fr-FR"/>
        </w:rPr>
        <w:t>« Les dispositions de l’article 63</w:t>
      </w:r>
      <w:r w:rsidR="00283A55" w:rsidRPr="00283A55">
        <w:rPr>
          <w:color w:val="000000"/>
          <w:lang w:eastAsia="fr-FR"/>
        </w:rPr>
        <w:t xml:space="preserve"> </w:t>
      </w:r>
      <w:r w:rsidR="00283A55" w:rsidRPr="00C60E1F">
        <w:rPr>
          <w:color w:val="000000"/>
          <w:lang w:eastAsia="fr-FR"/>
        </w:rPr>
        <w:t>de l’arrêté du 2 février 1998</w:t>
      </w:r>
      <w:r w:rsidR="00283A55">
        <w:rPr>
          <w:color w:val="000000"/>
          <w:lang w:eastAsia="fr-FR"/>
        </w:rPr>
        <w:t xml:space="preserve"> susvisé</w:t>
      </w:r>
      <w:r w:rsidRPr="00C60E1F">
        <w:rPr>
          <w:color w:val="000000"/>
          <w:lang w:eastAsia="fr-FR"/>
        </w:rPr>
        <w:t xml:space="preserve">, </w:t>
      </w:r>
      <w:r w:rsidR="00DE6AC5">
        <w:rPr>
          <w:color w:val="000000"/>
          <w:lang w:eastAsia="fr-FR"/>
        </w:rPr>
        <w:t>relatives à</w:t>
      </w:r>
      <w:r w:rsidRPr="00C60E1F">
        <w:rPr>
          <w:color w:val="000000"/>
          <w:lang w:eastAsia="fr-FR"/>
        </w:rPr>
        <w:t xml:space="preserve"> la surveillance </w:t>
      </w:r>
      <w:r w:rsidR="00DE6AC5">
        <w:rPr>
          <w:color w:val="000000"/>
          <w:lang w:eastAsia="fr-FR"/>
        </w:rPr>
        <w:t>dans l’environnement</w:t>
      </w:r>
      <w:r w:rsidRPr="00C60E1F">
        <w:rPr>
          <w:color w:val="000000"/>
          <w:lang w:eastAsia="fr-FR"/>
        </w:rPr>
        <w:t>, s’appliquent.</w:t>
      </w:r>
    </w:p>
    <w:p w14:paraId="57238358" w14:textId="77777777" w:rsidR="00C60E1F" w:rsidRPr="00C60E1F" w:rsidRDefault="00C60E1F" w:rsidP="002B0DC1">
      <w:pPr>
        <w:jc w:val="both"/>
        <w:rPr>
          <w:color w:val="000000"/>
          <w:lang w:eastAsia="fr-FR"/>
        </w:rPr>
      </w:pPr>
    </w:p>
    <w:p w14:paraId="0872A635" w14:textId="13F0A3F6" w:rsidR="00C60E1F" w:rsidRPr="00C60E1F" w:rsidRDefault="00C60E1F" w:rsidP="002B0DC1">
      <w:pPr>
        <w:jc w:val="both"/>
        <w:rPr>
          <w:color w:val="000000"/>
          <w:lang w:eastAsia="fr-FR"/>
        </w:rPr>
      </w:pPr>
      <w:r w:rsidRPr="00C60E1F">
        <w:rPr>
          <w:color w:val="000000"/>
          <w:lang w:eastAsia="fr-FR"/>
        </w:rPr>
        <w:t>« Le programme de surveillance est mis en œuvre sous la responsabilité de l’exploitant et à ses frais.</w:t>
      </w:r>
      <w:r w:rsidRPr="00C60E1F">
        <w:rPr>
          <w:color w:val="000000"/>
          <w:lang w:eastAsia="fr-FR"/>
        </w:rPr>
        <w:br/>
      </w:r>
    </w:p>
    <w:p w14:paraId="315EED90" w14:textId="735A465B" w:rsidR="00C60E1F" w:rsidRPr="00C60E1F" w:rsidRDefault="00C60E1F" w:rsidP="002B0DC1">
      <w:pPr>
        <w:jc w:val="both"/>
        <w:rPr>
          <w:color w:val="000000"/>
          <w:lang w:eastAsia="fr-FR"/>
        </w:rPr>
      </w:pPr>
      <w:r w:rsidRPr="00C60E1F">
        <w:rPr>
          <w:color w:val="000000"/>
          <w:lang w:eastAsia="fr-FR"/>
        </w:rPr>
        <w:t>« Cette surveillance est mise en place dans les six mois suivant la mise en service de l’installation. »</w:t>
      </w:r>
    </w:p>
    <w:p w14:paraId="6626E94B" w14:textId="77777777" w:rsidR="00C60E1F" w:rsidRDefault="00C60E1F" w:rsidP="002B0DC1"/>
    <w:p w14:paraId="6406B0C7" w14:textId="57694FB9" w:rsidR="00424C89" w:rsidRPr="00914E79" w:rsidRDefault="00424C89"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44</w:t>
      </w:r>
      <w:r w:rsidRPr="00914E79">
        <w:rPr>
          <w:b/>
          <w:bCs/>
          <w:i/>
          <w:iCs/>
        </w:rPr>
        <w:fldChar w:fldCharType="end"/>
      </w:r>
    </w:p>
    <w:p w14:paraId="0825DBE7" w14:textId="77777777" w:rsidR="00C60E1F" w:rsidRDefault="00C60E1F" w:rsidP="002B0DC1">
      <w:pPr>
        <w:jc w:val="both"/>
      </w:pPr>
    </w:p>
    <w:p w14:paraId="4C3A5217" w14:textId="6029DB97" w:rsidR="00C60E1F" w:rsidRDefault="00A51140" w:rsidP="00A51140">
      <w:pPr>
        <w:jc w:val="both"/>
      </w:pPr>
      <w:r>
        <w:t xml:space="preserve">Au début de l’article </w:t>
      </w:r>
      <w:r w:rsidR="00C60E1F" w:rsidRPr="00C60E1F">
        <w:t>3</w:t>
      </w:r>
      <w:r w:rsidR="00C60E1F">
        <w:t xml:space="preserve">8 </w:t>
      </w:r>
      <w:r w:rsidR="00C60E1F" w:rsidRPr="00C60E1F">
        <w:t xml:space="preserve">de l’arrêté susvisé est </w:t>
      </w:r>
      <w:r>
        <w:t xml:space="preserve">inséré un alinéa </w:t>
      </w:r>
      <w:r w:rsidR="00C60E1F" w:rsidRPr="00C60E1F">
        <w:t xml:space="preserve">ainsi </w:t>
      </w:r>
      <w:r>
        <w:t>rédigé</w:t>
      </w:r>
      <w:r w:rsidRPr="00C60E1F">
        <w:t> </w:t>
      </w:r>
      <w:r w:rsidR="00C60E1F" w:rsidRPr="00C60E1F">
        <w:t>:</w:t>
      </w:r>
      <w:r>
        <w:t xml:space="preserve"> « </w:t>
      </w:r>
      <w:r w:rsidR="00C60E1F">
        <w:rPr>
          <w:lang w:eastAsia="fr-FR"/>
        </w:rPr>
        <w:t xml:space="preserve">Efficacité énergétique </w:t>
      </w:r>
      <w:r w:rsidR="00C60E1F" w:rsidRPr="00C60E1F">
        <w:rPr>
          <w:lang w:eastAsia="fr-FR"/>
        </w:rPr>
        <w:t>»</w:t>
      </w:r>
      <w:r w:rsidR="00C60E1F" w:rsidRPr="00C60E1F">
        <w:t>.</w:t>
      </w:r>
    </w:p>
    <w:p w14:paraId="7487AC35" w14:textId="77777777" w:rsidR="00C60E1F" w:rsidRDefault="00C60E1F" w:rsidP="002B0DC1"/>
    <w:p w14:paraId="1C698690" w14:textId="161FF2E8" w:rsidR="00424C89" w:rsidRPr="00914E79" w:rsidRDefault="00424C89"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45</w:t>
      </w:r>
      <w:r w:rsidRPr="00914E79">
        <w:rPr>
          <w:b/>
          <w:bCs/>
          <w:i/>
          <w:iCs/>
        </w:rPr>
        <w:fldChar w:fldCharType="end"/>
      </w:r>
    </w:p>
    <w:p w14:paraId="175C0B85" w14:textId="072743B7" w:rsidR="00424C89" w:rsidRDefault="00424C89" w:rsidP="002B0DC1"/>
    <w:p w14:paraId="32EF0BA5" w14:textId="210793E5" w:rsidR="00A51140" w:rsidRDefault="00A51140" w:rsidP="00A51140">
      <w:pPr>
        <w:jc w:val="both"/>
      </w:pPr>
      <w:r>
        <w:t xml:space="preserve">Au début de l’article </w:t>
      </w:r>
      <w:r w:rsidRPr="00C60E1F">
        <w:t>3</w:t>
      </w:r>
      <w:r>
        <w:t xml:space="preserve">9 </w:t>
      </w:r>
      <w:r w:rsidRPr="00C60E1F">
        <w:t xml:space="preserve">de l’arrêté susvisé est </w:t>
      </w:r>
      <w:r>
        <w:t xml:space="preserve">inséré un alinéa </w:t>
      </w:r>
      <w:r w:rsidRPr="00C60E1F">
        <w:t xml:space="preserve">ainsi </w:t>
      </w:r>
      <w:r>
        <w:t>rédigé</w:t>
      </w:r>
      <w:r w:rsidRPr="00C60E1F">
        <w:t> :</w:t>
      </w:r>
      <w:r>
        <w:t xml:space="preserve"> « </w:t>
      </w:r>
      <w:r w:rsidRPr="00C60E1F">
        <w:rPr>
          <w:lang w:eastAsia="fr-FR"/>
        </w:rPr>
        <w:t>Prescriptions complémentaires concernant l’efficacité énergétique</w:t>
      </w:r>
      <w:r>
        <w:rPr>
          <w:lang w:eastAsia="fr-FR"/>
        </w:rPr>
        <w:t xml:space="preserve"> </w:t>
      </w:r>
      <w:r w:rsidRPr="00C60E1F">
        <w:rPr>
          <w:lang w:eastAsia="fr-FR"/>
        </w:rPr>
        <w:t>»</w:t>
      </w:r>
      <w:r w:rsidRPr="00C60E1F">
        <w:t>.</w:t>
      </w:r>
    </w:p>
    <w:p w14:paraId="48A9BE1C" w14:textId="77777777" w:rsidR="00A51140" w:rsidRPr="00914E79" w:rsidRDefault="00A51140" w:rsidP="002B0DC1">
      <w:pPr>
        <w:spacing w:after="240"/>
        <w:jc w:val="both"/>
      </w:pPr>
    </w:p>
    <w:p w14:paraId="4132B28D" w14:textId="7808BC89" w:rsidR="00424C89" w:rsidRPr="00914E79" w:rsidRDefault="00424C89"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46</w:t>
      </w:r>
      <w:r w:rsidRPr="00914E79">
        <w:rPr>
          <w:b/>
          <w:bCs/>
          <w:i/>
          <w:iCs/>
        </w:rPr>
        <w:fldChar w:fldCharType="end"/>
      </w:r>
    </w:p>
    <w:p w14:paraId="4FCA5088" w14:textId="77777777" w:rsidR="00C60E1F" w:rsidRDefault="00C60E1F" w:rsidP="002B0DC1">
      <w:pPr>
        <w:jc w:val="both"/>
      </w:pPr>
    </w:p>
    <w:p w14:paraId="609EEB91" w14:textId="05DB2F36" w:rsidR="0043180C" w:rsidRDefault="0043180C" w:rsidP="0043180C">
      <w:pPr>
        <w:jc w:val="both"/>
      </w:pPr>
      <w:r>
        <w:t xml:space="preserve">Au début de l’article 40 </w:t>
      </w:r>
      <w:r w:rsidRPr="00C60E1F">
        <w:t xml:space="preserve">de l’arrêté susvisé est </w:t>
      </w:r>
      <w:r>
        <w:t xml:space="preserve">inséré un alinéa </w:t>
      </w:r>
      <w:r w:rsidRPr="00C60E1F">
        <w:t xml:space="preserve">ainsi </w:t>
      </w:r>
      <w:r>
        <w:t>rédigé</w:t>
      </w:r>
      <w:r w:rsidRPr="00C60E1F">
        <w:t> :</w:t>
      </w:r>
      <w:r>
        <w:t xml:space="preserve"> « </w:t>
      </w:r>
      <w:r w:rsidRPr="00C60E1F">
        <w:t>Dispositions spécifiques concernant le captage et le stockage de CO</w:t>
      </w:r>
      <w:r w:rsidRPr="0043180C">
        <w:rPr>
          <w:vertAlign w:val="subscript"/>
        </w:rPr>
        <w:t>2</w:t>
      </w:r>
      <w:r>
        <w:rPr>
          <w:lang w:eastAsia="fr-FR"/>
        </w:rPr>
        <w:t xml:space="preserve"> </w:t>
      </w:r>
      <w:r w:rsidRPr="00C60E1F">
        <w:rPr>
          <w:lang w:eastAsia="fr-FR"/>
        </w:rPr>
        <w:t>»</w:t>
      </w:r>
      <w:r w:rsidRPr="00C60E1F">
        <w:t>.</w:t>
      </w:r>
    </w:p>
    <w:p w14:paraId="44AECD62" w14:textId="77777777" w:rsidR="0043180C" w:rsidRDefault="0043180C" w:rsidP="0043180C">
      <w:pPr>
        <w:jc w:val="both"/>
      </w:pPr>
    </w:p>
    <w:p w14:paraId="50F89EC4" w14:textId="77777777" w:rsidR="00424C89" w:rsidRDefault="00424C89" w:rsidP="002B0DC1"/>
    <w:p w14:paraId="6CEFB358" w14:textId="00D30328" w:rsidR="00424C89" w:rsidRPr="001E47C8" w:rsidRDefault="00424C89"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47</w:t>
      </w:r>
      <w:r w:rsidRPr="001E47C8">
        <w:rPr>
          <w:b/>
          <w:bCs/>
          <w:i/>
          <w:iCs/>
        </w:rPr>
        <w:fldChar w:fldCharType="end"/>
      </w:r>
    </w:p>
    <w:p w14:paraId="27139DF0" w14:textId="77777777" w:rsidR="00C60E1F" w:rsidRDefault="00C60E1F" w:rsidP="002B0DC1">
      <w:pPr>
        <w:jc w:val="both"/>
      </w:pPr>
    </w:p>
    <w:p w14:paraId="6FA8C087" w14:textId="5976F6F6" w:rsidR="00C60E1F" w:rsidRPr="00C60E1F" w:rsidRDefault="00C60E1F" w:rsidP="002B0DC1">
      <w:pPr>
        <w:jc w:val="both"/>
      </w:pPr>
      <w:r>
        <w:t xml:space="preserve">L’article 41 </w:t>
      </w:r>
      <w:r w:rsidRPr="00C60E1F">
        <w:t xml:space="preserve">de l’arrêté susvisé </w:t>
      </w:r>
      <w:r w:rsidR="0043180C">
        <w:t>est remplacé par les dispositions suivantes :</w:t>
      </w:r>
    </w:p>
    <w:p w14:paraId="37EEDFF9" w14:textId="77777777" w:rsidR="00C60E1F" w:rsidRPr="00C60E1F" w:rsidRDefault="00C60E1F" w:rsidP="002B0DC1">
      <w:pPr>
        <w:jc w:val="both"/>
      </w:pPr>
    </w:p>
    <w:p w14:paraId="621320B5" w14:textId="38382E4F" w:rsidR="00C60E1F" w:rsidRPr="00C60E1F" w:rsidRDefault="00C60E1F" w:rsidP="002B0DC1">
      <w:pPr>
        <w:spacing w:after="240"/>
        <w:jc w:val="both"/>
      </w:pPr>
      <w:r w:rsidRPr="00C60E1F">
        <w:t>« </w:t>
      </w:r>
      <w:r w:rsidR="00F23109" w:rsidRPr="00F23109">
        <w:rPr>
          <w:i/>
          <w:iCs/>
        </w:rPr>
        <w:t xml:space="preserve">Art. </w:t>
      </w:r>
      <w:r w:rsidR="00F23109">
        <w:rPr>
          <w:i/>
          <w:iCs/>
        </w:rPr>
        <w:t>41</w:t>
      </w:r>
      <w:r w:rsidR="00F23109" w:rsidRPr="00F23109">
        <w:rPr>
          <w:i/>
          <w:iCs/>
        </w:rPr>
        <w:t>. -</w:t>
      </w:r>
      <w:r w:rsidR="00F23109">
        <w:t xml:space="preserve"> </w:t>
      </w:r>
      <w:r w:rsidRPr="00C60E1F">
        <w:t xml:space="preserve">Système d’échange de quotas de gaz à effet de serre </w:t>
      </w:r>
    </w:p>
    <w:p w14:paraId="37772FB0" w14:textId="77777777" w:rsidR="00C60E1F" w:rsidRPr="00C60E1F" w:rsidRDefault="00C60E1F" w:rsidP="002B0DC1">
      <w:pPr>
        <w:jc w:val="both"/>
        <w:rPr>
          <w:color w:val="000000"/>
          <w:lang w:eastAsia="fr-FR"/>
        </w:rPr>
      </w:pPr>
      <w:r w:rsidRPr="00C60E1F">
        <w:t>« </w:t>
      </w:r>
      <w:r w:rsidRPr="00C60E1F">
        <w:rPr>
          <w:color w:val="000000"/>
          <w:lang w:eastAsia="fr-FR"/>
        </w:rPr>
        <w:t>Les installations soumises à l’article L. 229-6 du code de l’environnement respectent les dispositions du présent article.</w:t>
      </w:r>
    </w:p>
    <w:p w14:paraId="726D3BD7" w14:textId="76423A1B" w:rsidR="00C60E1F" w:rsidRPr="00C60E1F" w:rsidRDefault="00C60E1F" w:rsidP="002B0DC1">
      <w:pPr>
        <w:jc w:val="both"/>
        <w:rPr>
          <w:color w:val="000000"/>
          <w:lang w:eastAsia="fr-FR"/>
        </w:rPr>
      </w:pPr>
      <w:r w:rsidRPr="00C60E1F">
        <w:rPr>
          <w:color w:val="000000"/>
          <w:lang w:eastAsia="fr-FR"/>
        </w:rPr>
        <w:t>« L’exploitant surveille ses émissions de gaz à effet de serre selon les dispositions de l’article L. 229-7 du code de l’environnement.</w:t>
      </w:r>
    </w:p>
    <w:p w14:paraId="639D9D31" w14:textId="6F05FBFF" w:rsidR="00C60E1F" w:rsidRPr="00C60E1F" w:rsidRDefault="00C60E1F" w:rsidP="002B0DC1">
      <w:pPr>
        <w:jc w:val="both"/>
        <w:rPr>
          <w:color w:val="000000"/>
          <w:lang w:eastAsia="fr-FR"/>
        </w:rPr>
      </w:pPr>
      <w:r w:rsidRPr="00C60E1F">
        <w:rPr>
          <w:color w:val="000000"/>
          <w:lang w:eastAsia="fr-FR"/>
        </w:rPr>
        <w:t>« L’exploitant informe le préfet de tout changement, selon les dispositions de l’article R. 229-6-1 du code de l’environnement. ».</w:t>
      </w:r>
    </w:p>
    <w:p w14:paraId="6322A3F4" w14:textId="77777777" w:rsidR="00424C89" w:rsidRDefault="00424C89" w:rsidP="002B0DC1"/>
    <w:p w14:paraId="42F8B5A3" w14:textId="796909A4" w:rsidR="00424C89" w:rsidRPr="001E47C8" w:rsidRDefault="00424C89"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48</w:t>
      </w:r>
      <w:r w:rsidRPr="001E47C8">
        <w:rPr>
          <w:b/>
          <w:bCs/>
          <w:i/>
          <w:iCs/>
        </w:rPr>
        <w:fldChar w:fldCharType="end"/>
      </w:r>
    </w:p>
    <w:p w14:paraId="5A5CFA91" w14:textId="77777777" w:rsidR="00424C89" w:rsidRDefault="00424C89" w:rsidP="002B0DC1"/>
    <w:p w14:paraId="3C056A09" w14:textId="41B9134E" w:rsidR="00424C89" w:rsidRPr="00C60E1F" w:rsidRDefault="0043180C" w:rsidP="002B0DC1">
      <w:r>
        <w:t xml:space="preserve">Après l’article 41 de l’arrêté susvisé sont </w:t>
      </w:r>
      <w:r w:rsidR="00C60E1F" w:rsidRPr="00C60E1F">
        <w:t xml:space="preserve">insérés </w:t>
      </w:r>
      <w:r>
        <w:t xml:space="preserve">les articles suivants </w:t>
      </w:r>
      <w:r w:rsidR="00C60E1F" w:rsidRPr="00C60E1F">
        <w:t>:</w:t>
      </w:r>
    </w:p>
    <w:p w14:paraId="6032A8C2" w14:textId="77777777" w:rsidR="00C60E1F" w:rsidRDefault="00C60E1F" w:rsidP="002B0DC1"/>
    <w:p w14:paraId="0433A9F9" w14:textId="78984FCE" w:rsidR="00C60E1F" w:rsidRPr="00C60E1F" w:rsidRDefault="00C60E1F" w:rsidP="002B0DC1">
      <w:pPr>
        <w:spacing w:after="240"/>
        <w:rPr>
          <w:lang w:eastAsia="fr-FR"/>
        </w:rPr>
      </w:pPr>
      <w:r>
        <w:t>« </w:t>
      </w:r>
      <w:r w:rsidR="0043180C" w:rsidRPr="0043180C">
        <w:rPr>
          <w:i/>
          <w:iCs/>
        </w:rPr>
        <w:t xml:space="preserve">Art. </w:t>
      </w:r>
      <w:r w:rsidRPr="0043180C">
        <w:rPr>
          <w:i/>
          <w:iCs/>
        </w:rPr>
        <w:t>41-1</w:t>
      </w:r>
      <w:r w:rsidR="0043180C" w:rsidRPr="0043180C">
        <w:rPr>
          <w:i/>
          <w:iCs/>
        </w:rPr>
        <w:t>. -</w:t>
      </w:r>
      <w:r>
        <w:rPr>
          <w:lang w:eastAsia="fr-FR"/>
        </w:rPr>
        <w:t> </w:t>
      </w:r>
      <w:r w:rsidRPr="00C60E1F">
        <w:rPr>
          <w:lang w:eastAsia="fr-FR"/>
        </w:rPr>
        <w:t xml:space="preserve">Dispositions complémentaires concernant l’efficacité énergétique des installations </w:t>
      </w:r>
      <w:r w:rsidR="00575D2D">
        <w:rPr>
          <w:lang w:eastAsia="fr-FR"/>
        </w:rPr>
        <w:t>qui appliquent la décision d’exécution 2021/2326 du 30 novembre 2021</w:t>
      </w:r>
      <w:r w:rsidR="0043180C">
        <w:rPr>
          <w:lang w:eastAsia="fr-FR"/>
        </w:rPr>
        <w:t xml:space="preserve"> susmentionnée</w:t>
      </w:r>
    </w:p>
    <w:p w14:paraId="4D0C71A0" w14:textId="6837B765" w:rsidR="00C60E1F" w:rsidRPr="00C60E1F" w:rsidRDefault="00C60E1F" w:rsidP="002B0DC1">
      <w:pPr>
        <w:jc w:val="both"/>
        <w:rPr>
          <w:color w:val="000000"/>
          <w:lang w:eastAsia="fr-FR"/>
        </w:rPr>
      </w:pPr>
      <w:r>
        <w:rPr>
          <w:color w:val="000000"/>
          <w:lang w:eastAsia="fr-FR"/>
        </w:rPr>
        <w:t>« </w:t>
      </w:r>
      <w:r w:rsidR="00E2298C" w:rsidRPr="00E2298C">
        <w:rPr>
          <w:color w:val="000000"/>
          <w:lang w:eastAsia="fr-FR"/>
        </w:rPr>
        <w:t xml:space="preserve">Les chaudières, turbines et moteurs dont la puissance thermique nominale est supérieure ou égale à 15 MW respectent les dispositions suivantes concernant l’efficacité énergétique, dans les délais mentionnés </w:t>
      </w:r>
      <w:r w:rsidR="00D9011B">
        <w:rPr>
          <w:color w:val="000000"/>
          <w:lang w:eastAsia="fr-FR"/>
        </w:rPr>
        <w:t>au VII de l’article 3</w:t>
      </w:r>
      <w:r w:rsidR="00E2298C" w:rsidRPr="00E2298C">
        <w:rPr>
          <w:color w:val="000000"/>
          <w:lang w:eastAsia="fr-FR"/>
        </w:rPr>
        <w:t xml:space="preserve"> du présent arrêté :</w:t>
      </w:r>
    </w:p>
    <w:p w14:paraId="716FDB7E" w14:textId="77777777" w:rsidR="00C60E1F" w:rsidRPr="00C60E1F" w:rsidRDefault="00C60E1F" w:rsidP="002B0DC1">
      <w:pPr>
        <w:jc w:val="both"/>
        <w:rPr>
          <w:color w:val="000000"/>
          <w:lang w:eastAsia="fr-FR"/>
        </w:rPr>
      </w:pPr>
    </w:p>
    <w:p w14:paraId="6B445ED7" w14:textId="78EA066D" w:rsidR="00C60E1F" w:rsidRPr="00C60E1F" w:rsidRDefault="00C60E1F" w:rsidP="002B0DC1">
      <w:pPr>
        <w:jc w:val="both"/>
        <w:rPr>
          <w:color w:val="000000"/>
          <w:lang w:eastAsia="fr-FR"/>
        </w:rPr>
      </w:pPr>
      <w:r>
        <w:rPr>
          <w:color w:val="000000"/>
          <w:lang w:eastAsia="fr-FR"/>
        </w:rPr>
        <w:t>« </w:t>
      </w:r>
      <w:r w:rsidRPr="00C60E1F">
        <w:rPr>
          <w:color w:val="000000"/>
          <w:lang w:eastAsia="fr-FR"/>
        </w:rPr>
        <w:t>Un niveau d'efficacité énergétique correspond au rapport entre l'énergie nette produite par l'</w:t>
      </w:r>
      <w:r w:rsidR="004D32D4">
        <w:rPr>
          <w:color w:val="000000"/>
          <w:lang w:eastAsia="fr-FR"/>
        </w:rPr>
        <w:t>appareil</w:t>
      </w:r>
      <w:r w:rsidRPr="00C60E1F">
        <w:rPr>
          <w:color w:val="000000"/>
          <w:lang w:eastAsia="fr-FR"/>
        </w:rPr>
        <w:t xml:space="preserve"> de combustion et l'énergie qui lui est fournie par le combustible/la charge, dans la configuration considérée de l'</w:t>
      </w:r>
      <w:r w:rsidR="004D32D4">
        <w:rPr>
          <w:color w:val="000000"/>
          <w:lang w:eastAsia="fr-FR"/>
        </w:rPr>
        <w:t>appareil</w:t>
      </w:r>
      <w:r w:rsidRPr="00C60E1F">
        <w:rPr>
          <w:color w:val="000000"/>
          <w:lang w:eastAsia="fr-FR"/>
        </w:rPr>
        <w:t xml:space="preserve">. </w:t>
      </w:r>
    </w:p>
    <w:p w14:paraId="38F757DD" w14:textId="11742AA0" w:rsidR="00C60E1F" w:rsidRPr="00C60E1F" w:rsidRDefault="00C60E1F" w:rsidP="002B0DC1">
      <w:pPr>
        <w:jc w:val="both"/>
        <w:rPr>
          <w:color w:val="000000"/>
          <w:lang w:eastAsia="fr-FR"/>
        </w:rPr>
      </w:pPr>
      <w:r>
        <w:rPr>
          <w:color w:val="000000"/>
          <w:lang w:eastAsia="fr-FR"/>
        </w:rPr>
        <w:t>« </w:t>
      </w:r>
      <w:r w:rsidRPr="00C60E1F">
        <w:rPr>
          <w:color w:val="000000"/>
          <w:lang w:eastAsia="fr-FR"/>
        </w:rPr>
        <w:t>L'énergie nette produite est déterminée au niveau de l'</w:t>
      </w:r>
      <w:r w:rsidR="004D32D4">
        <w:rPr>
          <w:color w:val="000000"/>
          <w:lang w:eastAsia="fr-FR"/>
        </w:rPr>
        <w:t>appareil</w:t>
      </w:r>
      <w:r w:rsidRPr="00C60E1F">
        <w:rPr>
          <w:color w:val="000000"/>
          <w:lang w:eastAsia="fr-FR"/>
        </w:rPr>
        <w:t xml:space="preserve"> de combustion, y compris les systèmes auxiliaires, et pour l'</w:t>
      </w:r>
      <w:r w:rsidR="004D32D4">
        <w:rPr>
          <w:color w:val="000000"/>
          <w:lang w:eastAsia="fr-FR"/>
        </w:rPr>
        <w:t>appareil</w:t>
      </w:r>
      <w:r w:rsidRPr="00C60E1F">
        <w:rPr>
          <w:color w:val="000000"/>
          <w:lang w:eastAsia="fr-FR"/>
        </w:rPr>
        <w:t xml:space="preserve"> exploité à pleine charge. </w:t>
      </w:r>
    </w:p>
    <w:p w14:paraId="03F29992" w14:textId="77777777" w:rsidR="00C60E1F" w:rsidRPr="00C60E1F" w:rsidRDefault="00C60E1F" w:rsidP="002B0DC1">
      <w:pPr>
        <w:jc w:val="both"/>
        <w:rPr>
          <w:color w:val="000000"/>
          <w:lang w:eastAsia="fr-FR"/>
        </w:rPr>
      </w:pPr>
    </w:p>
    <w:p w14:paraId="0CFA392E" w14:textId="472A4CD0" w:rsidR="00C60E1F" w:rsidRPr="00C60E1F" w:rsidRDefault="00C60E1F" w:rsidP="002B0DC1">
      <w:pPr>
        <w:jc w:val="both"/>
        <w:rPr>
          <w:color w:val="000000"/>
          <w:lang w:eastAsia="fr-FR"/>
        </w:rPr>
      </w:pPr>
      <w:r>
        <w:rPr>
          <w:color w:val="000000"/>
          <w:lang w:eastAsia="fr-FR"/>
        </w:rPr>
        <w:t>« </w:t>
      </w:r>
      <w:r w:rsidRPr="00C60E1F">
        <w:rPr>
          <w:color w:val="000000"/>
          <w:lang w:eastAsia="fr-FR"/>
        </w:rPr>
        <w:t>Dans le cas des installations de cogénération</w:t>
      </w:r>
      <w:r w:rsidR="00E71663">
        <w:rPr>
          <w:color w:val="000000"/>
          <w:lang w:eastAsia="fr-FR"/>
        </w:rPr>
        <w:t xml:space="preserve"> </w:t>
      </w:r>
      <w:r w:rsidRPr="00C60E1F">
        <w:rPr>
          <w:color w:val="000000"/>
          <w:lang w:eastAsia="fr-FR"/>
        </w:rPr>
        <w:t xml:space="preserve">: </w:t>
      </w:r>
    </w:p>
    <w:p w14:paraId="76704398" w14:textId="5E556D6E" w:rsidR="00C60E1F" w:rsidRPr="00C60E1F" w:rsidRDefault="00C60E1F" w:rsidP="002B0DC1">
      <w:pPr>
        <w:pStyle w:val="Paragraphedeliste"/>
        <w:spacing w:after="0" w:line="240" w:lineRule="auto"/>
        <w:ind w:left="76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009B784E">
        <w:rPr>
          <w:rFonts w:ascii="Times New Roman" w:eastAsia="Times New Roman" w:hAnsi="Times New Roman"/>
          <w:color w:val="000000"/>
          <w:sz w:val="24"/>
          <w:szCs w:val="24"/>
        </w:rPr>
        <w:t>l’utilisation</w:t>
      </w:r>
      <w:r w:rsidRPr="00C60E1F">
        <w:rPr>
          <w:rFonts w:ascii="Times New Roman" w:eastAsia="Times New Roman" w:hAnsi="Times New Roman"/>
          <w:color w:val="000000"/>
          <w:sz w:val="24"/>
          <w:szCs w:val="24"/>
        </w:rPr>
        <w:t xml:space="preserve"> totale nette de combustible concerne l'</w:t>
      </w:r>
      <w:r w:rsidR="004D32D4">
        <w:rPr>
          <w:rFonts w:ascii="Times New Roman" w:eastAsia="Times New Roman" w:hAnsi="Times New Roman"/>
          <w:color w:val="000000"/>
          <w:sz w:val="24"/>
          <w:szCs w:val="24"/>
        </w:rPr>
        <w:t>appareil</w:t>
      </w:r>
      <w:r w:rsidRPr="00C60E1F">
        <w:rPr>
          <w:rFonts w:ascii="Times New Roman" w:eastAsia="Times New Roman" w:hAnsi="Times New Roman"/>
          <w:color w:val="000000"/>
          <w:sz w:val="24"/>
          <w:szCs w:val="24"/>
        </w:rPr>
        <w:t xml:space="preserve"> de combustion exploité à pleine charge et configuré pour privilégier en première intention la production de chaleur et</w:t>
      </w:r>
      <w:r w:rsidR="00F23109">
        <w:rPr>
          <w:rFonts w:ascii="Times New Roman" w:eastAsia="Times New Roman" w:hAnsi="Times New Roman"/>
          <w:color w:val="000000"/>
          <w:sz w:val="24"/>
          <w:szCs w:val="24"/>
        </w:rPr>
        <w:t>,</w:t>
      </w:r>
      <w:r w:rsidRPr="00C60E1F">
        <w:rPr>
          <w:rFonts w:ascii="Times New Roman" w:eastAsia="Times New Roman" w:hAnsi="Times New Roman"/>
          <w:color w:val="000000"/>
          <w:sz w:val="24"/>
          <w:szCs w:val="24"/>
        </w:rPr>
        <w:t xml:space="preserve"> ensuite seulement, la production d'électricité</w:t>
      </w:r>
      <w:r w:rsidR="0043180C">
        <w:rPr>
          <w:rFonts w:ascii="Times New Roman" w:eastAsia="Times New Roman" w:hAnsi="Times New Roman"/>
          <w:color w:val="000000"/>
          <w:sz w:val="24"/>
          <w:szCs w:val="24"/>
        </w:rPr>
        <w:t> ;</w:t>
      </w:r>
      <w:r w:rsidRPr="00C60E1F">
        <w:rPr>
          <w:rFonts w:ascii="Times New Roman" w:eastAsia="Times New Roman" w:hAnsi="Times New Roman"/>
          <w:color w:val="000000"/>
          <w:sz w:val="24"/>
          <w:szCs w:val="24"/>
        </w:rPr>
        <w:t xml:space="preserve"> </w:t>
      </w:r>
    </w:p>
    <w:p w14:paraId="4BDE0CAA" w14:textId="02EA9E37" w:rsidR="00C60E1F" w:rsidRPr="00C60E1F" w:rsidRDefault="00C60E1F" w:rsidP="002B0DC1">
      <w:pPr>
        <w:pStyle w:val="Paragraphedeliste"/>
        <w:spacing w:after="0" w:line="240" w:lineRule="auto"/>
        <w:ind w:left="76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C60E1F">
        <w:rPr>
          <w:rFonts w:ascii="Times New Roman" w:eastAsia="Times New Roman" w:hAnsi="Times New Roman"/>
          <w:color w:val="000000"/>
          <w:sz w:val="24"/>
          <w:szCs w:val="24"/>
        </w:rPr>
        <w:t>le rendement électrique net concerne l'</w:t>
      </w:r>
      <w:r w:rsidR="004D32D4">
        <w:rPr>
          <w:rFonts w:ascii="Times New Roman" w:eastAsia="Times New Roman" w:hAnsi="Times New Roman"/>
          <w:color w:val="000000"/>
          <w:sz w:val="24"/>
          <w:szCs w:val="24"/>
        </w:rPr>
        <w:t>appareil</w:t>
      </w:r>
      <w:r w:rsidRPr="00C60E1F">
        <w:rPr>
          <w:rFonts w:ascii="Times New Roman" w:eastAsia="Times New Roman" w:hAnsi="Times New Roman"/>
          <w:color w:val="000000"/>
          <w:sz w:val="24"/>
          <w:szCs w:val="24"/>
        </w:rPr>
        <w:t xml:space="preserve"> de combustion produisant uniquement de l'électricité et fonctionnant à pleine charge. </w:t>
      </w:r>
    </w:p>
    <w:p w14:paraId="2098A5B5" w14:textId="77777777" w:rsidR="00C60E1F" w:rsidRPr="00C60E1F" w:rsidRDefault="00C60E1F" w:rsidP="002B0DC1">
      <w:pPr>
        <w:jc w:val="both"/>
        <w:rPr>
          <w:color w:val="000000"/>
          <w:lang w:eastAsia="fr-FR"/>
        </w:rPr>
      </w:pPr>
    </w:p>
    <w:p w14:paraId="1B19E354" w14:textId="16FFD211" w:rsidR="00C60E1F" w:rsidRPr="00C60E1F" w:rsidRDefault="00C60E1F" w:rsidP="002B0DC1">
      <w:pPr>
        <w:jc w:val="both"/>
        <w:rPr>
          <w:color w:val="000000"/>
          <w:lang w:eastAsia="fr-FR"/>
        </w:rPr>
      </w:pPr>
      <w:r>
        <w:rPr>
          <w:color w:val="000000"/>
          <w:lang w:eastAsia="fr-FR"/>
        </w:rPr>
        <w:t>« </w:t>
      </w:r>
      <w:r w:rsidRPr="00C60E1F">
        <w:rPr>
          <w:color w:val="000000"/>
          <w:lang w:eastAsia="fr-FR"/>
        </w:rPr>
        <w:t xml:space="preserve">Ces données sont exprimées en pourcentage. </w:t>
      </w:r>
    </w:p>
    <w:p w14:paraId="4B32C76F" w14:textId="7011AAE7" w:rsidR="00C60E1F" w:rsidRPr="00C60E1F" w:rsidRDefault="00C60E1F" w:rsidP="002B0DC1">
      <w:pPr>
        <w:jc w:val="both"/>
        <w:rPr>
          <w:color w:val="000000"/>
          <w:lang w:eastAsia="fr-FR"/>
        </w:rPr>
      </w:pPr>
      <w:r>
        <w:rPr>
          <w:color w:val="000000"/>
          <w:lang w:eastAsia="fr-FR"/>
        </w:rPr>
        <w:t>« </w:t>
      </w:r>
      <w:r w:rsidRPr="00C60E1F">
        <w:rPr>
          <w:color w:val="000000"/>
          <w:lang w:eastAsia="fr-FR"/>
        </w:rPr>
        <w:t xml:space="preserve">L'énergie fournie par le combustible/la charge est exprimée sous la forme du pouvoir calorifique inférieur (PCI). </w:t>
      </w:r>
    </w:p>
    <w:p w14:paraId="7619D6D2" w14:textId="77777777" w:rsidR="00C60E1F" w:rsidRPr="00C60E1F" w:rsidRDefault="00C60E1F" w:rsidP="002B0DC1">
      <w:pPr>
        <w:jc w:val="both"/>
        <w:rPr>
          <w:color w:val="000000"/>
          <w:lang w:eastAsia="fr-FR"/>
        </w:rPr>
      </w:pPr>
    </w:p>
    <w:p w14:paraId="58532CE6" w14:textId="61B56174" w:rsidR="00C60E1F" w:rsidRPr="00C60E1F" w:rsidRDefault="00C60E1F" w:rsidP="002B0DC1">
      <w:pPr>
        <w:jc w:val="both"/>
        <w:rPr>
          <w:color w:val="000000"/>
          <w:lang w:eastAsia="fr-FR"/>
        </w:rPr>
      </w:pPr>
      <w:r>
        <w:rPr>
          <w:color w:val="000000"/>
          <w:lang w:eastAsia="fr-FR"/>
        </w:rPr>
        <w:t>« </w:t>
      </w:r>
      <w:r w:rsidR="00575D2D">
        <w:rPr>
          <w:color w:val="000000"/>
          <w:lang w:eastAsia="fr-FR"/>
        </w:rPr>
        <w:t xml:space="preserve">L’exploitant </w:t>
      </w:r>
      <w:r w:rsidRPr="00C60E1F">
        <w:rPr>
          <w:color w:val="000000"/>
          <w:lang w:eastAsia="fr-FR"/>
        </w:rPr>
        <w:t>surveille le niveau d’efficacité énergétique</w:t>
      </w:r>
      <w:r w:rsidR="00575D2D">
        <w:rPr>
          <w:color w:val="000000"/>
          <w:lang w:eastAsia="fr-FR"/>
        </w:rPr>
        <w:t xml:space="preserve"> en </w:t>
      </w:r>
      <w:r w:rsidR="00575D2D" w:rsidRPr="00C60E1F">
        <w:rPr>
          <w:color w:val="000000"/>
          <w:lang w:eastAsia="fr-FR"/>
        </w:rPr>
        <w:t>détermin</w:t>
      </w:r>
      <w:r w:rsidR="00575D2D">
        <w:rPr>
          <w:color w:val="000000"/>
          <w:lang w:eastAsia="fr-FR"/>
        </w:rPr>
        <w:t>ant</w:t>
      </w:r>
      <w:r w:rsidR="00575D2D" w:rsidRPr="00C60E1F">
        <w:rPr>
          <w:color w:val="000000"/>
          <w:lang w:eastAsia="fr-FR"/>
        </w:rPr>
        <w:t xml:space="preserve"> </w:t>
      </w:r>
      <w:r w:rsidRPr="00C60E1F">
        <w:rPr>
          <w:color w:val="000000"/>
          <w:lang w:eastAsia="fr-FR"/>
        </w:rPr>
        <w:t xml:space="preserve">le rendement électrique net ou </w:t>
      </w:r>
      <w:r w:rsidR="009B784E">
        <w:rPr>
          <w:color w:val="000000"/>
          <w:lang w:eastAsia="fr-FR"/>
        </w:rPr>
        <w:t>l’utilisation</w:t>
      </w:r>
      <w:r w:rsidRPr="00C60E1F">
        <w:rPr>
          <w:color w:val="000000"/>
          <w:lang w:eastAsia="fr-FR"/>
        </w:rPr>
        <w:t xml:space="preserve"> totale nette de combustible ou le rendement mécanique net des appareils de combustion en réalisant un test de performance à pleine charge. Dans le cas des appareils de cogénération, s'il n'est pas possible, pour des raisons techniques, de réaliser le test de performance à pleine charge pour la production de chaleur, le test </w:t>
      </w:r>
      <w:r w:rsidR="00575D2D">
        <w:rPr>
          <w:color w:val="000000"/>
          <w:lang w:eastAsia="fr-FR"/>
        </w:rPr>
        <w:t>est</w:t>
      </w:r>
      <w:r w:rsidRPr="00C60E1F">
        <w:rPr>
          <w:color w:val="000000"/>
          <w:lang w:eastAsia="fr-FR"/>
        </w:rPr>
        <w:t xml:space="preserve"> complété ou remplacé par un calcul à l'aide des paramètres de pleine charge.</w:t>
      </w:r>
    </w:p>
    <w:p w14:paraId="09EE6214" w14:textId="77777777" w:rsidR="00C60E1F" w:rsidRPr="00C60E1F" w:rsidRDefault="00C60E1F" w:rsidP="002B0DC1">
      <w:pPr>
        <w:jc w:val="both"/>
        <w:rPr>
          <w:color w:val="000000"/>
          <w:lang w:eastAsia="fr-FR"/>
        </w:rPr>
      </w:pPr>
    </w:p>
    <w:p w14:paraId="193549AC" w14:textId="06689861" w:rsidR="00C60E1F" w:rsidRPr="00C60E1F" w:rsidRDefault="00C60E1F" w:rsidP="002B0DC1">
      <w:pPr>
        <w:jc w:val="both"/>
        <w:rPr>
          <w:color w:val="000000"/>
          <w:lang w:eastAsia="fr-FR"/>
        </w:rPr>
      </w:pPr>
      <w:r>
        <w:rPr>
          <w:color w:val="000000"/>
          <w:lang w:eastAsia="fr-FR"/>
        </w:rPr>
        <w:t>« </w:t>
      </w:r>
      <w:r w:rsidRPr="00C60E1F">
        <w:rPr>
          <w:color w:val="000000"/>
          <w:lang w:eastAsia="fr-FR"/>
        </w:rPr>
        <w:t>Ces éléments sont déterminés conformément aux normes EN, après la mise en service de l'</w:t>
      </w:r>
      <w:r w:rsidR="004D32D4">
        <w:rPr>
          <w:color w:val="000000"/>
          <w:lang w:eastAsia="fr-FR"/>
        </w:rPr>
        <w:t>appareil</w:t>
      </w:r>
      <w:r w:rsidRPr="00C60E1F">
        <w:rPr>
          <w:color w:val="000000"/>
          <w:lang w:eastAsia="fr-FR"/>
        </w:rPr>
        <w:t xml:space="preserve"> et après chaque modification susceptible d'avoir une incidence sur le rendement électrique net, </w:t>
      </w:r>
      <w:r w:rsidR="009B784E">
        <w:rPr>
          <w:color w:val="000000"/>
          <w:lang w:eastAsia="fr-FR"/>
        </w:rPr>
        <w:t>l’utilisation</w:t>
      </w:r>
      <w:r w:rsidRPr="00C60E1F">
        <w:rPr>
          <w:color w:val="000000"/>
          <w:lang w:eastAsia="fr-FR"/>
        </w:rPr>
        <w:t xml:space="preserve"> totale nette de combustible ou le rendement mécanique net de l'</w:t>
      </w:r>
      <w:r w:rsidR="004D32D4">
        <w:rPr>
          <w:color w:val="000000"/>
          <w:lang w:eastAsia="fr-FR"/>
        </w:rPr>
        <w:t>appareil</w:t>
      </w:r>
      <w:r w:rsidRPr="00C60E1F">
        <w:rPr>
          <w:color w:val="000000"/>
          <w:lang w:eastAsia="fr-FR"/>
        </w:rPr>
        <w:t>. En l'absence de normes EN, il est possible de recourir aux normes ISO, aux normes nationales ou à d'autres normes internationales garantissant l'obtention de données de qualité scientifique équivalente.</w:t>
      </w:r>
    </w:p>
    <w:p w14:paraId="2C580C00" w14:textId="77777777" w:rsidR="00C60E1F" w:rsidRPr="00C60E1F" w:rsidRDefault="00C60E1F" w:rsidP="002B0DC1">
      <w:pPr>
        <w:jc w:val="both"/>
      </w:pPr>
    </w:p>
    <w:p w14:paraId="198D5300" w14:textId="54DBB558" w:rsidR="00C60E1F" w:rsidRPr="00C60E1F" w:rsidRDefault="00C60E1F" w:rsidP="0043180C">
      <w:pPr>
        <w:suppressAutoHyphens w:val="0"/>
        <w:spacing w:after="240"/>
        <w:jc w:val="both"/>
        <w:rPr>
          <w:lang w:eastAsia="fr-FR"/>
        </w:rPr>
      </w:pPr>
      <w:r w:rsidRPr="00C60E1F">
        <w:rPr>
          <w:lang w:eastAsia="fr-FR"/>
        </w:rPr>
        <w:t>« </w:t>
      </w:r>
      <w:r w:rsidR="0043180C" w:rsidRPr="00240E2D">
        <w:rPr>
          <w:i/>
          <w:iCs/>
          <w:lang w:eastAsia="fr-FR"/>
        </w:rPr>
        <w:t xml:space="preserve">Art. </w:t>
      </w:r>
      <w:r w:rsidRPr="00240E2D">
        <w:rPr>
          <w:i/>
          <w:iCs/>
          <w:lang w:eastAsia="fr-FR"/>
        </w:rPr>
        <w:t>41-2</w:t>
      </w:r>
      <w:r w:rsidR="0043180C" w:rsidRPr="00240E2D">
        <w:rPr>
          <w:i/>
          <w:iCs/>
          <w:lang w:eastAsia="fr-FR"/>
        </w:rPr>
        <w:t>. -</w:t>
      </w:r>
      <w:r w:rsidRPr="00C60E1F">
        <w:rPr>
          <w:lang w:eastAsia="fr-FR"/>
        </w:rPr>
        <w:t> Meilleures techniques disponibles concernant l’efficacité énergétique des installations</w:t>
      </w:r>
    </w:p>
    <w:p w14:paraId="5DB5E9AF" w14:textId="1DF746C4" w:rsidR="00C60E1F" w:rsidRPr="00C60E1F" w:rsidRDefault="00C60E1F" w:rsidP="002B0DC1">
      <w:pPr>
        <w:jc w:val="both"/>
        <w:rPr>
          <w:lang w:eastAsia="fr-FR"/>
        </w:rPr>
      </w:pPr>
      <w:r w:rsidRPr="00C60E1F">
        <w:rPr>
          <w:lang w:eastAsia="fr-FR"/>
        </w:rPr>
        <w:t>« </w:t>
      </w:r>
      <w:r w:rsidR="00FA6E72">
        <w:rPr>
          <w:lang w:eastAsia="fr-FR"/>
        </w:rPr>
        <w:t xml:space="preserve">I. - </w:t>
      </w:r>
      <w:r w:rsidRPr="00C60E1F">
        <w:rPr>
          <w:lang w:eastAsia="fr-FR"/>
        </w:rPr>
        <w:t xml:space="preserve">Les chaudières, turbines et moteurs dont la puissance thermique nominale est supérieure ou égale à 15 MW respectent les dispositions </w:t>
      </w:r>
      <w:r w:rsidR="00FA6E72">
        <w:rPr>
          <w:lang w:eastAsia="fr-FR"/>
        </w:rPr>
        <w:t>du présent article</w:t>
      </w:r>
      <w:r w:rsidR="00FA6E72" w:rsidRPr="00C60E1F">
        <w:rPr>
          <w:lang w:eastAsia="fr-FR"/>
        </w:rPr>
        <w:t xml:space="preserve"> </w:t>
      </w:r>
      <w:r w:rsidRPr="00C60E1F">
        <w:rPr>
          <w:lang w:eastAsia="fr-FR"/>
        </w:rPr>
        <w:t xml:space="preserve">concernant l’efficacité énergétique, dans les délais mentionnés </w:t>
      </w:r>
      <w:r w:rsidR="00D9011B">
        <w:rPr>
          <w:lang w:eastAsia="fr-FR"/>
        </w:rPr>
        <w:t>au VII de l’article 3</w:t>
      </w:r>
      <w:r w:rsidRPr="00C60E1F">
        <w:rPr>
          <w:lang w:eastAsia="fr-FR"/>
        </w:rPr>
        <w:t xml:space="preserve"> du présent arrêté</w:t>
      </w:r>
      <w:r w:rsidR="00FA6E72">
        <w:rPr>
          <w:lang w:eastAsia="fr-FR"/>
        </w:rPr>
        <w:t>.</w:t>
      </w:r>
    </w:p>
    <w:p w14:paraId="26D2D1BE" w14:textId="77777777" w:rsidR="00C60E1F" w:rsidRPr="0043180C" w:rsidRDefault="00C60E1F" w:rsidP="0043180C">
      <w:pPr>
        <w:jc w:val="both"/>
      </w:pPr>
    </w:p>
    <w:p w14:paraId="00C52079" w14:textId="62A7634C" w:rsidR="00C60E1F" w:rsidRPr="00C60E1F" w:rsidRDefault="00C60E1F" w:rsidP="002B0DC1">
      <w:pPr>
        <w:jc w:val="both"/>
        <w:rPr>
          <w:lang w:eastAsia="fr-FR"/>
        </w:rPr>
      </w:pPr>
      <w:r w:rsidRPr="00C60E1F">
        <w:rPr>
          <w:lang w:eastAsia="fr-FR"/>
        </w:rPr>
        <w:t>« </w:t>
      </w:r>
      <w:r w:rsidR="00FA6E72">
        <w:rPr>
          <w:lang w:eastAsia="fr-FR"/>
        </w:rPr>
        <w:t xml:space="preserve">II. - </w:t>
      </w:r>
      <w:r w:rsidRPr="00C60E1F">
        <w:rPr>
          <w:lang w:eastAsia="fr-FR"/>
        </w:rPr>
        <w:t>Afin d'accroître l'efficacité énergétique des appareils de combustion, exploités 1 500 h/an ou davantage, l’exploitant applique une combinaison appropriée des techniques énumérées ci-dessous :</w:t>
      </w:r>
    </w:p>
    <w:p w14:paraId="257B6925" w14:textId="77777777" w:rsidR="00C60E1F" w:rsidRPr="00C60E1F" w:rsidRDefault="00C60E1F" w:rsidP="002B0DC1">
      <w:pPr>
        <w:jc w:val="both"/>
        <w:rPr>
          <w:color w:val="000000"/>
          <w:lang w:eastAsia="fr-FR"/>
        </w:rPr>
      </w:pPr>
    </w:p>
    <w:tbl>
      <w:tblPr>
        <w:tblW w:w="9086" w:type="dxa"/>
        <w:jc w:val="center"/>
        <w:tblLayout w:type="fixed"/>
        <w:tblLook w:val="0000" w:firstRow="0" w:lastRow="0" w:firstColumn="0" w:lastColumn="0" w:noHBand="0" w:noVBand="0"/>
      </w:tblPr>
      <w:tblGrid>
        <w:gridCol w:w="373"/>
        <w:gridCol w:w="1607"/>
        <w:gridCol w:w="4252"/>
        <w:gridCol w:w="2854"/>
      </w:tblGrid>
      <w:tr w:rsidR="00C60E1F" w:rsidRPr="00C60E1F" w14:paraId="13ED5D06" w14:textId="77777777" w:rsidTr="005D385E">
        <w:trPr>
          <w:cantSplit/>
          <w:jc w:val="center"/>
        </w:trPr>
        <w:tc>
          <w:tcPr>
            <w:tcW w:w="1980" w:type="dxa"/>
            <w:gridSpan w:val="2"/>
            <w:tcBorders>
              <w:top w:val="single" w:sz="4" w:space="0" w:color="000000"/>
              <w:left w:val="single" w:sz="4" w:space="0" w:color="000000"/>
              <w:bottom w:val="single" w:sz="4" w:space="0" w:color="000000"/>
            </w:tcBorders>
            <w:shd w:val="clear" w:color="auto" w:fill="auto"/>
          </w:tcPr>
          <w:p w14:paraId="0A7D8A36" w14:textId="77777777" w:rsidR="00C60E1F" w:rsidRPr="00C60E1F" w:rsidRDefault="00C60E1F" w:rsidP="002B0DC1">
            <w:pPr>
              <w:widowControl w:val="0"/>
              <w:jc w:val="center"/>
              <w:rPr>
                <w:color w:val="000000"/>
                <w:sz w:val="22"/>
                <w:szCs w:val="22"/>
                <w:lang w:eastAsia="fr-FR"/>
              </w:rPr>
            </w:pPr>
            <w:r w:rsidRPr="00C60E1F">
              <w:rPr>
                <w:color w:val="000000"/>
                <w:sz w:val="22"/>
                <w:szCs w:val="22"/>
                <w:lang w:eastAsia="fr-FR"/>
              </w:rPr>
              <w:t>Technique</w:t>
            </w:r>
          </w:p>
        </w:tc>
        <w:tc>
          <w:tcPr>
            <w:tcW w:w="4252" w:type="dxa"/>
            <w:tcBorders>
              <w:top w:val="single" w:sz="4" w:space="0" w:color="000000"/>
              <w:left w:val="single" w:sz="4" w:space="0" w:color="000000"/>
              <w:bottom w:val="single" w:sz="4" w:space="0" w:color="000000"/>
            </w:tcBorders>
            <w:shd w:val="clear" w:color="auto" w:fill="auto"/>
            <w:vAlign w:val="center"/>
          </w:tcPr>
          <w:p w14:paraId="0D2BE976" w14:textId="77777777" w:rsidR="00C60E1F" w:rsidRPr="00C60E1F" w:rsidRDefault="00C60E1F" w:rsidP="002B0DC1">
            <w:pPr>
              <w:widowControl w:val="0"/>
              <w:jc w:val="center"/>
              <w:rPr>
                <w:color w:val="000000"/>
                <w:sz w:val="22"/>
                <w:szCs w:val="22"/>
                <w:lang w:eastAsia="fr-FR"/>
              </w:rPr>
            </w:pPr>
            <w:r w:rsidRPr="00C60E1F">
              <w:rPr>
                <w:color w:val="000000"/>
                <w:sz w:val="22"/>
                <w:szCs w:val="22"/>
                <w:lang w:eastAsia="fr-FR"/>
              </w:rPr>
              <w:t>Description</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19A9" w14:textId="77777777" w:rsidR="00C60E1F" w:rsidRPr="00C60E1F" w:rsidRDefault="00C60E1F" w:rsidP="002B0DC1">
            <w:pPr>
              <w:widowControl w:val="0"/>
              <w:jc w:val="center"/>
              <w:rPr>
                <w:color w:val="000000"/>
                <w:sz w:val="22"/>
                <w:szCs w:val="22"/>
                <w:lang w:eastAsia="fr-FR"/>
              </w:rPr>
            </w:pPr>
            <w:r w:rsidRPr="00C60E1F">
              <w:rPr>
                <w:color w:val="000000"/>
                <w:sz w:val="22"/>
                <w:szCs w:val="22"/>
                <w:lang w:eastAsia="fr-FR"/>
              </w:rPr>
              <w:t>Applicabilité</w:t>
            </w:r>
          </w:p>
        </w:tc>
      </w:tr>
      <w:tr w:rsidR="00C60E1F" w:rsidRPr="00C60E1F" w14:paraId="22A8B8C7"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14166B46"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a</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3B1E29D5" w14:textId="77777777" w:rsidR="00C60E1F" w:rsidRPr="00C60E1F" w:rsidRDefault="00C60E1F" w:rsidP="002B0DC1">
            <w:pPr>
              <w:widowControl w:val="0"/>
              <w:jc w:val="both"/>
              <w:rPr>
                <w:color w:val="000000"/>
                <w:sz w:val="22"/>
                <w:szCs w:val="22"/>
                <w:lang w:eastAsia="fr-FR"/>
              </w:rPr>
            </w:pPr>
            <w:r w:rsidRPr="00C60E1F">
              <w:rPr>
                <w:sz w:val="22"/>
                <w:szCs w:val="22"/>
              </w:rPr>
              <w:t>Optimisation de la combustion</w:t>
            </w:r>
          </w:p>
        </w:tc>
        <w:tc>
          <w:tcPr>
            <w:tcW w:w="4252" w:type="dxa"/>
            <w:tcBorders>
              <w:top w:val="single" w:sz="4" w:space="0" w:color="000000"/>
              <w:left w:val="single" w:sz="4" w:space="0" w:color="000000"/>
              <w:bottom w:val="single" w:sz="4" w:space="0" w:color="000000"/>
            </w:tcBorders>
            <w:shd w:val="clear" w:color="auto" w:fill="auto"/>
            <w:vAlign w:val="center"/>
          </w:tcPr>
          <w:p w14:paraId="0F379C36" w14:textId="77777777" w:rsidR="00C60E1F" w:rsidRPr="00C60E1F" w:rsidRDefault="00C60E1F" w:rsidP="002B0DC1">
            <w:pPr>
              <w:widowControl w:val="0"/>
              <w:jc w:val="both"/>
              <w:rPr>
                <w:sz w:val="22"/>
                <w:szCs w:val="22"/>
              </w:rPr>
            </w:pPr>
            <w:r w:rsidRPr="00C60E1F">
              <w:rPr>
                <w:sz w:val="22"/>
                <w:szCs w:val="22"/>
              </w:rPr>
              <w:t xml:space="preserve">Mesures prises pour maximiser l'efficacité de la conversion d'énergie, notamment dans le four ou la chaudière, tout en réduisant au minimum les émissions (de CO en particulier). On applique à cet effet une combinaison de techniques telles que la bonne conception des équipements de combustion, l'optimisation de la température (mélange efficace du combustible et de l'air de combustion) et du temps de séjour dans la zone de combustion et l'utilisation d'un système de contrôle avancé. </w:t>
            </w:r>
          </w:p>
          <w:p w14:paraId="63707033" w14:textId="77777777" w:rsidR="00C60E1F" w:rsidRPr="00C60E1F" w:rsidRDefault="00C60E1F" w:rsidP="002B0DC1">
            <w:pPr>
              <w:widowControl w:val="0"/>
              <w:jc w:val="both"/>
              <w:rPr>
                <w:color w:val="000000"/>
                <w:sz w:val="22"/>
                <w:szCs w:val="22"/>
                <w:lang w:eastAsia="fr-FR"/>
              </w:rPr>
            </w:pPr>
            <w:r w:rsidRPr="00C60E1F">
              <w:rPr>
                <w:sz w:val="22"/>
                <w:szCs w:val="22"/>
              </w:rPr>
              <w:t>L'optimisation de la combustion réduit au minimum la teneur en substances imbrûlées des fumées et des résidus de combustion solides.</w:t>
            </w:r>
          </w:p>
        </w:tc>
        <w:tc>
          <w:tcPr>
            <w:tcW w:w="2854" w:type="dxa"/>
            <w:vMerge w:val="restart"/>
            <w:tcBorders>
              <w:top w:val="single" w:sz="4" w:space="0" w:color="000000"/>
              <w:left w:val="single" w:sz="4" w:space="0" w:color="000000"/>
              <w:right w:val="single" w:sz="4" w:space="0" w:color="000000"/>
            </w:tcBorders>
            <w:shd w:val="clear" w:color="auto" w:fill="auto"/>
            <w:vAlign w:val="center"/>
          </w:tcPr>
          <w:p w14:paraId="6B8D3149" w14:textId="77777777" w:rsidR="00C60E1F" w:rsidRPr="00C60E1F" w:rsidRDefault="00C60E1F" w:rsidP="002B0DC1">
            <w:pPr>
              <w:widowControl w:val="0"/>
              <w:jc w:val="both"/>
              <w:rPr>
                <w:color w:val="000000"/>
                <w:sz w:val="22"/>
                <w:szCs w:val="22"/>
                <w:lang w:eastAsia="fr-FR"/>
              </w:rPr>
            </w:pPr>
            <w:r w:rsidRPr="00C60E1F">
              <w:rPr>
                <w:sz w:val="22"/>
                <w:szCs w:val="22"/>
              </w:rPr>
              <w:t>Applicable d'une manière générale.</w:t>
            </w:r>
          </w:p>
        </w:tc>
      </w:tr>
      <w:tr w:rsidR="00C60E1F" w:rsidRPr="00C60E1F" w14:paraId="27E90CF8" w14:textId="77777777" w:rsidTr="005D385E">
        <w:trPr>
          <w:cantSplit/>
          <w:trHeight w:val="558"/>
          <w:jc w:val="center"/>
        </w:trPr>
        <w:tc>
          <w:tcPr>
            <w:tcW w:w="373" w:type="dxa"/>
            <w:tcBorders>
              <w:top w:val="single" w:sz="4" w:space="0" w:color="000000"/>
              <w:left w:val="single" w:sz="4" w:space="0" w:color="000000"/>
              <w:bottom w:val="single" w:sz="4" w:space="0" w:color="000000"/>
            </w:tcBorders>
            <w:shd w:val="clear" w:color="auto" w:fill="auto"/>
            <w:vAlign w:val="center"/>
          </w:tcPr>
          <w:p w14:paraId="3DC57C7D"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b</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5C45AB37" w14:textId="77777777" w:rsidR="00C60E1F" w:rsidRPr="00C60E1F" w:rsidRDefault="00C60E1F" w:rsidP="002B0DC1">
            <w:pPr>
              <w:widowControl w:val="0"/>
              <w:jc w:val="both"/>
              <w:rPr>
                <w:color w:val="000000"/>
                <w:sz w:val="22"/>
                <w:szCs w:val="22"/>
                <w:lang w:eastAsia="fr-FR"/>
              </w:rPr>
            </w:pPr>
            <w:r w:rsidRPr="00C60E1F">
              <w:rPr>
                <w:sz w:val="22"/>
                <w:szCs w:val="22"/>
              </w:rPr>
              <w:t>Optimisation des paramètres du fluide moteur</w:t>
            </w:r>
          </w:p>
        </w:tc>
        <w:tc>
          <w:tcPr>
            <w:tcW w:w="4252" w:type="dxa"/>
            <w:tcBorders>
              <w:top w:val="single" w:sz="4" w:space="0" w:color="000000"/>
              <w:left w:val="single" w:sz="4" w:space="0" w:color="000000"/>
              <w:bottom w:val="single" w:sz="4" w:space="0" w:color="000000"/>
            </w:tcBorders>
            <w:shd w:val="clear" w:color="auto" w:fill="auto"/>
            <w:vAlign w:val="center"/>
          </w:tcPr>
          <w:p w14:paraId="77C634B8" w14:textId="25156267" w:rsidR="00C60E1F" w:rsidRPr="00C60E1F" w:rsidRDefault="00C60E1F" w:rsidP="002B0DC1">
            <w:pPr>
              <w:widowControl w:val="0"/>
              <w:jc w:val="both"/>
              <w:rPr>
                <w:color w:val="000000"/>
                <w:sz w:val="22"/>
                <w:szCs w:val="22"/>
                <w:lang w:eastAsia="fr-FR"/>
              </w:rPr>
            </w:pPr>
            <w:r w:rsidRPr="00C60E1F">
              <w:rPr>
                <w:sz w:val="22"/>
                <w:szCs w:val="22"/>
              </w:rPr>
              <w:t xml:space="preserve">Opérer aux plus hautes valeurs possibles de pression et de température du gaz ou de la vapeur servant de fluide moteur, dans les limites des contraintes associées, par exemple, à la maîtrise des émissions de </w:t>
            </w:r>
            <w:r w:rsidR="00591FA0">
              <w:rPr>
                <w:sz w:val="22"/>
                <w:szCs w:val="22"/>
              </w:rPr>
              <w:t>NOx</w:t>
            </w:r>
            <w:r w:rsidR="00591FA0" w:rsidRPr="00C60E1F">
              <w:rPr>
                <w:sz w:val="22"/>
                <w:szCs w:val="22"/>
              </w:rPr>
              <w:t xml:space="preserve"> </w:t>
            </w:r>
            <w:r w:rsidRPr="00C60E1F">
              <w:rPr>
                <w:sz w:val="22"/>
                <w:szCs w:val="22"/>
              </w:rPr>
              <w:t>ou aux caractéristiques requises de l'énergie</w:t>
            </w:r>
          </w:p>
        </w:tc>
        <w:tc>
          <w:tcPr>
            <w:tcW w:w="2854" w:type="dxa"/>
            <w:vMerge/>
            <w:tcBorders>
              <w:left w:val="single" w:sz="4" w:space="0" w:color="000000"/>
              <w:right w:val="single" w:sz="4" w:space="0" w:color="000000"/>
            </w:tcBorders>
            <w:shd w:val="clear" w:color="auto" w:fill="auto"/>
            <w:vAlign w:val="center"/>
          </w:tcPr>
          <w:p w14:paraId="09E16B96" w14:textId="77777777" w:rsidR="00C60E1F" w:rsidRPr="00C60E1F" w:rsidRDefault="00C60E1F" w:rsidP="002B0DC1">
            <w:pPr>
              <w:widowControl w:val="0"/>
              <w:rPr>
                <w:color w:val="000000"/>
                <w:sz w:val="22"/>
                <w:szCs w:val="22"/>
                <w:lang w:eastAsia="fr-FR"/>
              </w:rPr>
            </w:pPr>
          </w:p>
        </w:tc>
      </w:tr>
      <w:tr w:rsidR="00C60E1F" w:rsidRPr="00C60E1F" w14:paraId="3E33169A"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32A357C4"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c</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3F6AD398" w14:textId="77777777" w:rsidR="00C60E1F" w:rsidRPr="00C60E1F" w:rsidRDefault="00C60E1F" w:rsidP="002B0DC1">
            <w:pPr>
              <w:widowControl w:val="0"/>
              <w:jc w:val="both"/>
              <w:rPr>
                <w:color w:val="000000"/>
                <w:sz w:val="22"/>
                <w:szCs w:val="22"/>
                <w:lang w:eastAsia="fr-FR"/>
              </w:rPr>
            </w:pPr>
            <w:r w:rsidRPr="00C60E1F">
              <w:rPr>
                <w:sz w:val="22"/>
                <w:szCs w:val="22"/>
              </w:rPr>
              <w:t>Optimisation du cycle de vapeur</w:t>
            </w:r>
          </w:p>
        </w:tc>
        <w:tc>
          <w:tcPr>
            <w:tcW w:w="4252" w:type="dxa"/>
            <w:tcBorders>
              <w:top w:val="single" w:sz="4" w:space="0" w:color="000000"/>
              <w:left w:val="single" w:sz="4" w:space="0" w:color="000000"/>
              <w:bottom w:val="single" w:sz="4" w:space="0" w:color="000000"/>
            </w:tcBorders>
            <w:shd w:val="clear" w:color="auto" w:fill="auto"/>
            <w:vAlign w:val="center"/>
          </w:tcPr>
          <w:p w14:paraId="00443C73" w14:textId="77777777" w:rsidR="00C60E1F" w:rsidRPr="00C60E1F" w:rsidRDefault="00C60E1F" w:rsidP="002B0DC1">
            <w:pPr>
              <w:widowControl w:val="0"/>
              <w:jc w:val="both"/>
              <w:rPr>
                <w:color w:val="000000"/>
                <w:sz w:val="22"/>
                <w:szCs w:val="22"/>
                <w:lang w:eastAsia="fr-FR"/>
              </w:rPr>
            </w:pPr>
            <w:r w:rsidRPr="00C60E1F">
              <w:rPr>
                <w:sz w:val="22"/>
                <w:szCs w:val="22"/>
              </w:rPr>
              <w:t>Opérer à plus faible pression d'échappement de la turbine en utilisant la plus faible valeur possible de température de l'eau de refroidissement du condenseur, dans les limites imposées par la conception</w:t>
            </w:r>
          </w:p>
        </w:tc>
        <w:tc>
          <w:tcPr>
            <w:tcW w:w="2854" w:type="dxa"/>
            <w:vMerge/>
            <w:tcBorders>
              <w:left w:val="single" w:sz="4" w:space="0" w:color="000000"/>
              <w:right w:val="single" w:sz="4" w:space="0" w:color="000000"/>
            </w:tcBorders>
            <w:shd w:val="clear" w:color="auto" w:fill="auto"/>
            <w:vAlign w:val="center"/>
          </w:tcPr>
          <w:p w14:paraId="54CFAD2A" w14:textId="77777777" w:rsidR="00C60E1F" w:rsidRPr="00C60E1F" w:rsidRDefault="00C60E1F" w:rsidP="002B0DC1">
            <w:pPr>
              <w:widowControl w:val="0"/>
              <w:rPr>
                <w:color w:val="000000"/>
                <w:sz w:val="22"/>
                <w:szCs w:val="22"/>
                <w:lang w:eastAsia="fr-FR"/>
              </w:rPr>
            </w:pPr>
          </w:p>
        </w:tc>
      </w:tr>
      <w:tr w:rsidR="00C60E1F" w:rsidRPr="00C60E1F" w14:paraId="666A8B67"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48F6DADA"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d</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4136ACEB" w14:textId="77777777" w:rsidR="00C60E1F" w:rsidRPr="00C60E1F" w:rsidRDefault="00C60E1F" w:rsidP="002B0DC1">
            <w:pPr>
              <w:widowControl w:val="0"/>
              <w:jc w:val="both"/>
              <w:rPr>
                <w:color w:val="000000"/>
                <w:sz w:val="22"/>
                <w:szCs w:val="22"/>
                <w:lang w:eastAsia="fr-FR"/>
              </w:rPr>
            </w:pPr>
            <w:r w:rsidRPr="00C60E1F">
              <w:rPr>
                <w:sz w:val="22"/>
                <w:szCs w:val="22"/>
              </w:rPr>
              <w:t>Réduction de la consommation d'énergie</w:t>
            </w:r>
          </w:p>
        </w:tc>
        <w:tc>
          <w:tcPr>
            <w:tcW w:w="4252" w:type="dxa"/>
            <w:tcBorders>
              <w:top w:val="single" w:sz="4" w:space="0" w:color="000000"/>
              <w:left w:val="single" w:sz="4" w:space="0" w:color="000000"/>
              <w:bottom w:val="single" w:sz="4" w:space="0" w:color="000000"/>
            </w:tcBorders>
            <w:shd w:val="clear" w:color="auto" w:fill="auto"/>
            <w:vAlign w:val="center"/>
          </w:tcPr>
          <w:p w14:paraId="69949766" w14:textId="47758CF8" w:rsidR="00C60E1F" w:rsidRPr="00C60E1F" w:rsidRDefault="00C60E1F" w:rsidP="002B0DC1">
            <w:pPr>
              <w:widowControl w:val="0"/>
              <w:jc w:val="both"/>
              <w:rPr>
                <w:color w:val="000000"/>
                <w:sz w:val="22"/>
                <w:szCs w:val="22"/>
                <w:lang w:eastAsia="fr-FR"/>
              </w:rPr>
            </w:pPr>
            <w:r w:rsidRPr="00C60E1F">
              <w:rPr>
                <w:sz w:val="22"/>
                <w:szCs w:val="22"/>
              </w:rPr>
              <w:t xml:space="preserve">Réduction de la consommation d'énergie interne </w:t>
            </w:r>
          </w:p>
        </w:tc>
        <w:tc>
          <w:tcPr>
            <w:tcW w:w="2854" w:type="dxa"/>
            <w:vMerge/>
            <w:tcBorders>
              <w:left w:val="single" w:sz="4" w:space="0" w:color="000000"/>
              <w:bottom w:val="single" w:sz="4" w:space="0" w:color="000000"/>
              <w:right w:val="single" w:sz="4" w:space="0" w:color="000000"/>
            </w:tcBorders>
            <w:shd w:val="clear" w:color="auto" w:fill="auto"/>
            <w:vAlign w:val="center"/>
          </w:tcPr>
          <w:p w14:paraId="048110B4" w14:textId="77777777" w:rsidR="00C60E1F" w:rsidRPr="00C60E1F" w:rsidRDefault="00C60E1F" w:rsidP="002B0DC1">
            <w:pPr>
              <w:widowControl w:val="0"/>
              <w:rPr>
                <w:color w:val="000000"/>
                <w:sz w:val="22"/>
                <w:szCs w:val="22"/>
                <w:lang w:eastAsia="fr-FR"/>
              </w:rPr>
            </w:pPr>
          </w:p>
        </w:tc>
      </w:tr>
      <w:tr w:rsidR="00C60E1F" w:rsidRPr="00C60E1F" w14:paraId="7C0D0A1E"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2072C93C"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e</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6E9EBBF7" w14:textId="77777777" w:rsidR="00C60E1F" w:rsidRPr="00C60E1F" w:rsidRDefault="00C60E1F" w:rsidP="002B0DC1">
            <w:pPr>
              <w:widowControl w:val="0"/>
              <w:jc w:val="both"/>
              <w:rPr>
                <w:color w:val="000000"/>
                <w:sz w:val="22"/>
                <w:szCs w:val="22"/>
                <w:lang w:eastAsia="fr-FR"/>
              </w:rPr>
            </w:pPr>
            <w:r w:rsidRPr="00C60E1F">
              <w:rPr>
                <w:sz w:val="22"/>
                <w:szCs w:val="22"/>
              </w:rPr>
              <w:t>Préchauffage de l'air de combustion</w:t>
            </w:r>
          </w:p>
        </w:tc>
        <w:tc>
          <w:tcPr>
            <w:tcW w:w="4252" w:type="dxa"/>
            <w:tcBorders>
              <w:top w:val="single" w:sz="4" w:space="0" w:color="000000"/>
              <w:left w:val="single" w:sz="4" w:space="0" w:color="000000"/>
              <w:bottom w:val="single" w:sz="4" w:space="0" w:color="000000"/>
            </w:tcBorders>
            <w:shd w:val="clear" w:color="auto" w:fill="auto"/>
            <w:vAlign w:val="center"/>
          </w:tcPr>
          <w:p w14:paraId="5A9DE345" w14:textId="77777777" w:rsidR="00C60E1F" w:rsidRPr="00C60E1F" w:rsidRDefault="00C60E1F" w:rsidP="002B0DC1">
            <w:pPr>
              <w:widowControl w:val="0"/>
              <w:jc w:val="both"/>
              <w:rPr>
                <w:color w:val="000000"/>
                <w:sz w:val="22"/>
                <w:szCs w:val="22"/>
                <w:lang w:eastAsia="fr-FR"/>
              </w:rPr>
            </w:pPr>
            <w:r w:rsidRPr="00C60E1F">
              <w:rPr>
                <w:sz w:val="22"/>
                <w:szCs w:val="22"/>
              </w:rPr>
              <w:t>Réutilisation d'une partie de la chaleur des gaz de combustion pour préchauffer l'air utilisé pour la combustion</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C7AC" w14:textId="406CD5FF" w:rsidR="00C60E1F" w:rsidRPr="00C60E1F" w:rsidRDefault="00C60E1F" w:rsidP="002B0DC1">
            <w:pPr>
              <w:widowControl w:val="0"/>
              <w:rPr>
                <w:color w:val="000000"/>
                <w:sz w:val="22"/>
                <w:szCs w:val="22"/>
                <w:lang w:eastAsia="fr-FR"/>
              </w:rPr>
            </w:pPr>
            <w:r w:rsidRPr="00C60E1F">
              <w:rPr>
                <w:sz w:val="22"/>
                <w:szCs w:val="22"/>
              </w:rPr>
              <w:t xml:space="preserve">Applicable d'une manière générale, dans les limites des contraintes de maîtrise des émissions de </w:t>
            </w:r>
            <w:r w:rsidR="00591FA0">
              <w:rPr>
                <w:sz w:val="22"/>
                <w:szCs w:val="22"/>
              </w:rPr>
              <w:t>NOx</w:t>
            </w:r>
          </w:p>
        </w:tc>
      </w:tr>
      <w:tr w:rsidR="00C60E1F" w:rsidRPr="00C60E1F" w14:paraId="04484557"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1B4A0BD3"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f</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02B458ED" w14:textId="77777777" w:rsidR="00C60E1F" w:rsidRPr="00C60E1F" w:rsidRDefault="00C60E1F" w:rsidP="002B0DC1">
            <w:pPr>
              <w:widowControl w:val="0"/>
              <w:jc w:val="both"/>
              <w:rPr>
                <w:color w:val="000000"/>
                <w:sz w:val="22"/>
                <w:szCs w:val="22"/>
                <w:lang w:eastAsia="fr-FR"/>
              </w:rPr>
            </w:pPr>
            <w:r w:rsidRPr="00C60E1F">
              <w:rPr>
                <w:sz w:val="22"/>
                <w:szCs w:val="22"/>
              </w:rPr>
              <w:t>Préchauffage du combustible</w:t>
            </w:r>
          </w:p>
        </w:tc>
        <w:tc>
          <w:tcPr>
            <w:tcW w:w="4252" w:type="dxa"/>
            <w:tcBorders>
              <w:top w:val="single" w:sz="4" w:space="0" w:color="000000"/>
              <w:left w:val="single" w:sz="4" w:space="0" w:color="000000"/>
              <w:bottom w:val="single" w:sz="4" w:space="0" w:color="000000"/>
            </w:tcBorders>
            <w:shd w:val="clear" w:color="auto" w:fill="auto"/>
            <w:vAlign w:val="center"/>
          </w:tcPr>
          <w:p w14:paraId="5BC42335" w14:textId="77777777" w:rsidR="00C60E1F" w:rsidRPr="00C60E1F" w:rsidRDefault="00C60E1F" w:rsidP="002B0DC1">
            <w:pPr>
              <w:widowControl w:val="0"/>
              <w:jc w:val="both"/>
              <w:rPr>
                <w:color w:val="000000"/>
                <w:sz w:val="22"/>
                <w:szCs w:val="22"/>
                <w:lang w:eastAsia="fr-FR"/>
              </w:rPr>
            </w:pPr>
            <w:r w:rsidRPr="00C60E1F">
              <w:rPr>
                <w:sz w:val="22"/>
                <w:szCs w:val="22"/>
              </w:rPr>
              <w:t>Préchauffage du combustible à l'aide de chaleur récupérée</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A16B" w14:textId="15FA06DD" w:rsidR="00C60E1F" w:rsidRPr="00C60E1F" w:rsidRDefault="00C60E1F" w:rsidP="002B0DC1">
            <w:pPr>
              <w:widowControl w:val="0"/>
              <w:rPr>
                <w:color w:val="000000"/>
                <w:sz w:val="22"/>
                <w:szCs w:val="22"/>
                <w:lang w:eastAsia="fr-FR"/>
              </w:rPr>
            </w:pPr>
            <w:r w:rsidRPr="00C60E1F">
              <w:rPr>
                <w:sz w:val="22"/>
                <w:szCs w:val="22"/>
              </w:rPr>
              <w:t xml:space="preserve">Applicable d'une manière générale, dans les limites des contraintes liées à la conception de la chaudière et </w:t>
            </w:r>
            <w:proofErr w:type="gramStart"/>
            <w:r w:rsidRPr="00C60E1F">
              <w:rPr>
                <w:sz w:val="22"/>
                <w:szCs w:val="22"/>
              </w:rPr>
              <w:t>à</w:t>
            </w:r>
            <w:proofErr w:type="gramEnd"/>
            <w:r w:rsidRPr="00C60E1F">
              <w:rPr>
                <w:sz w:val="22"/>
                <w:szCs w:val="22"/>
              </w:rPr>
              <w:t xml:space="preserve"> la nécessité de maîtriser les émissions de </w:t>
            </w:r>
            <w:r w:rsidR="0043180C" w:rsidRPr="00C60E1F">
              <w:rPr>
                <w:sz w:val="22"/>
                <w:szCs w:val="22"/>
              </w:rPr>
              <w:t>NO</w:t>
            </w:r>
            <w:r w:rsidR="0043180C">
              <w:rPr>
                <w:sz w:val="22"/>
                <w:szCs w:val="22"/>
              </w:rPr>
              <w:t>x</w:t>
            </w:r>
          </w:p>
        </w:tc>
      </w:tr>
      <w:tr w:rsidR="00C60E1F" w:rsidRPr="00C60E1F" w14:paraId="69AE0AA6"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6398C84F"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g</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77497741" w14:textId="77777777" w:rsidR="00C60E1F" w:rsidRPr="00C60E1F" w:rsidRDefault="00C60E1F" w:rsidP="002B0DC1">
            <w:pPr>
              <w:widowControl w:val="0"/>
              <w:jc w:val="both"/>
              <w:rPr>
                <w:sz w:val="22"/>
                <w:szCs w:val="22"/>
              </w:rPr>
            </w:pPr>
            <w:r w:rsidRPr="00C60E1F">
              <w:rPr>
                <w:sz w:val="22"/>
                <w:szCs w:val="22"/>
              </w:rPr>
              <w:t>Système de contrôle avancé</w:t>
            </w:r>
          </w:p>
        </w:tc>
        <w:tc>
          <w:tcPr>
            <w:tcW w:w="4252" w:type="dxa"/>
            <w:tcBorders>
              <w:top w:val="single" w:sz="4" w:space="0" w:color="000000"/>
              <w:left w:val="single" w:sz="4" w:space="0" w:color="000000"/>
              <w:bottom w:val="single" w:sz="4" w:space="0" w:color="000000"/>
            </w:tcBorders>
            <w:shd w:val="clear" w:color="auto" w:fill="auto"/>
            <w:vAlign w:val="center"/>
          </w:tcPr>
          <w:p w14:paraId="587102C8" w14:textId="77777777" w:rsidR="00C60E1F" w:rsidRPr="00C60E1F" w:rsidRDefault="00C60E1F" w:rsidP="002B0DC1">
            <w:pPr>
              <w:widowControl w:val="0"/>
              <w:jc w:val="both"/>
              <w:rPr>
                <w:sz w:val="22"/>
                <w:szCs w:val="22"/>
              </w:rPr>
            </w:pPr>
            <w:r w:rsidRPr="00C60E1F">
              <w:rPr>
                <w:sz w:val="22"/>
                <w:szCs w:val="22"/>
              </w:rPr>
              <w:t>Utilisation d'un système informatisé de contrôle automatique de l'efficacité de la combustion contribuant à la prévention ou à la réduction des émissions. Inclut également une surveillance très performante.</w:t>
            </w:r>
          </w:p>
          <w:p w14:paraId="02848A67" w14:textId="77777777" w:rsidR="00C60E1F" w:rsidRPr="00C60E1F" w:rsidRDefault="00C60E1F" w:rsidP="002B0DC1">
            <w:pPr>
              <w:widowControl w:val="0"/>
              <w:jc w:val="both"/>
              <w:rPr>
                <w:sz w:val="22"/>
                <w:szCs w:val="22"/>
              </w:rPr>
            </w:pPr>
            <w:r w:rsidRPr="00C60E1F">
              <w:rPr>
                <w:sz w:val="22"/>
                <w:szCs w:val="22"/>
              </w:rPr>
              <w:t>Le contrôle informatisé des principaux paramètres de combustion permet d'améliorer l'efficacité de la combustion</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396E" w14:textId="33E608AE" w:rsidR="00C60E1F" w:rsidRPr="00C60E1F" w:rsidRDefault="00C60E1F" w:rsidP="002B0DC1">
            <w:pPr>
              <w:widowControl w:val="0"/>
              <w:rPr>
                <w:color w:val="000000"/>
                <w:sz w:val="22"/>
                <w:szCs w:val="22"/>
                <w:lang w:eastAsia="fr-FR"/>
              </w:rPr>
            </w:pPr>
            <w:r w:rsidRPr="00C60E1F">
              <w:rPr>
                <w:sz w:val="22"/>
                <w:szCs w:val="22"/>
              </w:rPr>
              <w:t xml:space="preserve">Applicable d'une manière générale aux </w:t>
            </w:r>
            <w:r w:rsidR="004D32D4">
              <w:rPr>
                <w:sz w:val="22"/>
                <w:szCs w:val="22"/>
              </w:rPr>
              <w:t>appareil</w:t>
            </w:r>
            <w:r w:rsidRPr="00C60E1F">
              <w:rPr>
                <w:sz w:val="22"/>
                <w:szCs w:val="22"/>
              </w:rPr>
              <w:t xml:space="preserve">s </w:t>
            </w:r>
            <w:r w:rsidR="00130C80">
              <w:rPr>
                <w:sz w:val="22"/>
                <w:szCs w:val="22"/>
              </w:rPr>
              <w:t xml:space="preserve">autorisés </w:t>
            </w:r>
            <w:r w:rsidR="006B21BB">
              <w:rPr>
                <w:sz w:val="22"/>
                <w:szCs w:val="22"/>
              </w:rPr>
              <w:t>à compter du</w:t>
            </w:r>
            <w:r w:rsidR="00130C80">
              <w:rPr>
                <w:sz w:val="22"/>
                <w:szCs w:val="22"/>
              </w:rPr>
              <w:t xml:space="preserve"> 17 août 2017</w:t>
            </w:r>
            <w:r w:rsidRPr="00C60E1F">
              <w:rPr>
                <w:sz w:val="22"/>
                <w:szCs w:val="22"/>
              </w:rPr>
              <w:t xml:space="preserve">. L'applicabilité aux anciens </w:t>
            </w:r>
            <w:r w:rsidR="004D32D4">
              <w:rPr>
                <w:sz w:val="22"/>
                <w:szCs w:val="22"/>
              </w:rPr>
              <w:t>appareil</w:t>
            </w:r>
            <w:r w:rsidRPr="00C60E1F">
              <w:rPr>
                <w:sz w:val="22"/>
                <w:szCs w:val="22"/>
              </w:rPr>
              <w:t>s peut être limitée car cela suppose la rénovation du système de combustion ou du système de contrôle/commande</w:t>
            </w:r>
          </w:p>
        </w:tc>
      </w:tr>
      <w:tr w:rsidR="00C60E1F" w:rsidRPr="00C60E1F" w14:paraId="49D64142"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54DB8368"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h</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044D055A" w14:textId="77777777" w:rsidR="00C60E1F" w:rsidRPr="00C60E1F" w:rsidRDefault="00C60E1F" w:rsidP="002B0DC1">
            <w:pPr>
              <w:widowControl w:val="0"/>
              <w:jc w:val="both"/>
              <w:rPr>
                <w:color w:val="000000"/>
                <w:sz w:val="22"/>
                <w:szCs w:val="22"/>
                <w:lang w:eastAsia="fr-FR"/>
              </w:rPr>
            </w:pPr>
            <w:r w:rsidRPr="00C60E1F">
              <w:rPr>
                <w:sz w:val="22"/>
                <w:szCs w:val="22"/>
              </w:rPr>
              <w:t>Préchauffage de l'eau d'alimentation à l'aide de chaleur récupérée</w:t>
            </w:r>
          </w:p>
        </w:tc>
        <w:tc>
          <w:tcPr>
            <w:tcW w:w="4252" w:type="dxa"/>
            <w:tcBorders>
              <w:top w:val="single" w:sz="4" w:space="0" w:color="000000"/>
              <w:left w:val="single" w:sz="4" w:space="0" w:color="000000"/>
              <w:bottom w:val="single" w:sz="4" w:space="0" w:color="000000"/>
            </w:tcBorders>
            <w:shd w:val="clear" w:color="auto" w:fill="auto"/>
            <w:vAlign w:val="center"/>
          </w:tcPr>
          <w:p w14:paraId="19D2F5A2" w14:textId="77777777" w:rsidR="00C60E1F" w:rsidRPr="00C60E1F" w:rsidRDefault="00C60E1F" w:rsidP="002B0DC1">
            <w:pPr>
              <w:widowControl w:val="0"/>
              <w:jc w:val="both"/>
              <w:rPr>
                <w:color w:val="000000"/>
                <w:sz w:val="22"/>
                <w:szCs w:val="22"/>
                <w:lang w:eastAsia="fr-FR"/>
              </w:rPr>
            </w:pPr>
            <w:r w:rsidRPr="00C60E1F">
              <w:rPr>
                <w:sz w:val="22"/>
                <w:szCs w:val="22"/>
              </w:rPr>
              <w:t>Préchauffage de l'eau provenant du condenseur au moyen de chaleur de récupération avant de la réutiliser dans la chaudière</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1A92" w14:textId="03ADDA8B" w:rsidR="00C60E1F" w:rsidRPr="00C60E1F" w:rsidRDefault="00C60E1F" w:rsidP="002B0DC1">
            <w:pPr>
              <w:widowControl w:val="0"/>
              <w:rPr>
                <w:color w:val="000000"/>
                <w:sz w:val="22"/>
                <w:szCs w:val="22"/>
                <w:lang w:eastAsia="fr-FR"/>
              </w:rPr>
            </w:pPr>
            <w:r w:rsidRPr="00C60E1F">
              <w:rPr>
                <w:sz w:val="22"/>
                <w:szCs w:val="22"/>
              </w:rPr>
              <w:t xml:space="preserve">Uniquement applicable aux circuits de vapeur et non aux générateurs d'eau surchauffée. L'applicabilité aux </w:t>
            </w:r>
            <w:r w:rsidR="004D32D4">
              <w:rPr>
                <w:sz w:val="22"/>
                <w:szCs w:val="22"/>
              </w:rPr>
              <w:t>appareil</w:t>
            </w:r>
            <w:r w:rsidRPr="00C60E1F">
              <w:rPr>
                <w:sz w:val="22"/>
                <w:szCs w:val="22"/>
              </w:rPr>
              <w:t xml:space="preserve">s </w:t>
            </w:r>
            <w:r w:rsidR="00847B04" w:rsidRPr="00847B04">
              <w:rPr>
                <w:sz w:val="22"/>
                <w:szCs w:val="22"/>
              </w:rPr>
              <w:t>dont l’autorisation a été délivré</w:t>
            </w:r>
            <w:r w:rsidR="00C40620">
              <w:rPr>
                <w:sz w:val="22"/>
                <w:szCs w:val="22"/>
              </w:rPr>
              <w:t>e</w:t>
            </w:r>
            <w:r w:rsidR="00847B04" w:rsidRPr="00847B04">
              <w:rPr>
                <w:sz w:val="22"/>
                <w:szCs w:val="22"/>
              </w:rPr>
              <w:t xml:space="preserve"> </w:t>
            </w:r>
            <w:r w:rsidR="006B21BB">
              <w:rPr>
                <w:sz w:val="22"/>
                <w:szCs w:val="22"/>
              </w:rPr>
              <w:t>avant le</w:t>
            </w:r>
            <w:r w:rsidR="00847B04" w:rsidRPr="00847B04">
              <w:rPr>
                <w:sz w:val="22"/>
                <w:szCs w:val="22"/>
              </w:rPr>
              <w:t xml:space="preserve"> 17 août 2017</w:t>
            </w:r>
            <w:r w:rsidRPr="00C60E1F">
              <w:rPr>
                <w:sz w:val="22"/>
                <w:szCs w:val="22"/>
              </w:rPr>
              <w:t xml:space="preserve"> peut être limitée par les contraintes liées à la configuration de l'installation et à la quantité de chaleur récupérable</w:t>
            </w:r>
          </w:p>
        </w:tc>
      </w:tr>
      <w:tr w:rsidR="00C60E1F" w:rsidRPr="00C60E1F" w14:paraId="102DD3DC"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3B92623C"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i</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79CF68CB" w14:textId="77777777" w:rsidR="00C60E1F" w:rsidRPr="00C60E1F" w:rsidRDefault="00C60E1F" w:rsidP="002B0DC1">
            <w:pPr>
              <w:widowControl w:val="0"/>
              <w:jc w:val="both"/>
              <w:rPr>
                <w:color w:val="000000"/>
                <w:sz w:val="22"/>
                <w:szCs w:val="22"/>
                <w:lang w:eastAsia="fr-FR"/>
              </w:rPr>
            </w:pPr>
            <w:r w:rsidRPr="00C60E1F">
              <w:rPr>
                <w:sz w:val="22"/>
                <w:szCs w:val="22"/>
              </w:rPr>
              <w:t>Récupération de chaleur par cogénération (CHP)</w:t>
            </w:r>
          </w:p>
        </w:tc>
        <w:tc>
          <w:tcPr>
            <w:tcW w:w="4252" w:type="dxa"/>
            <w:tcBorders>
              <w:top w:val="single" w:sz="4" w:space="0" w:color="000000"/>
              <w:left w:val="single" w:sz="4" w:space="0" w:color="000000"/>
              <w:bottom w:val="single" w:sz="4" w:space="0" w:color="000000"/>
            </w:tcBorders>
            <w:shd w:val="clear" w:color="auto" w:fill="auto"/>
            <w:vAlign w:val="center"/>
          </w:tcPr>
          <w:p w14:paraId="6E1C758B" w14:textId="233351AB" w:rsidR="0043180C" w:rsidRDefault="00C60E1F" w:rsidP="002B0DC1">
            <w:pPr>
              <w:widowControl w:val="0"/>
              <w:jc w:val="both"/>
              <w:rPr>
                <w:sz w:val="22"/>
                <w:szCs w:val="22"/>
              </w:rPr>
            </w:pPr>
            <w:r w:rsidRPr="00C60E1F">
              <w:rPr>
                <w:sz w:val="22"/>
                <w:szCs w:val="22"/>
              </w:rPr>
              <w:t xml:space="preserve">Récupération de chaleur (provenant principalement du circuit </w:t>
            </w:r>
            <w:r w:rsidR="00A05F1E">
              <w:rPr>
                <w:sz w:val="22"/>
                <w:szCs w:val="22"/>
              </w:rPr>
              <w:t xml:space="preserve">de </w:t>
            </w:r>
            <w:r w:rsidRPr="00C60E1F">
              <w:rPr>
                <w:sz w:val="22"/>
                <w:szCs w:val="22"/>
              </w:rPr>
              <w:t>vapeur) pour la production d'eau chaude ou de vapeur destinée à être utilisée dans des activités ou procédés industriels ou dans un réseau public de chauffage urbain. Une récupération de chaleur supplémentaire est possible à partir</w:t>
            </w:r>
            <w:r w:rsidR="0043180C">
              <w:rPr>
                <w:sz w:val="22"/>
                <w:szCs w:val="22"/>
              </w:rPr>
              <w:t xml:space="preserve"> </w:t>
            </w:r>
            <w:r w:rsidRPr="00C60E1F">
              <w:rPr>
                <w:sz w:val="22"/>
                <w:szCs w:val="22"/>
              </w:rPr>
              <w:t xml:space="preserve">: </w:t>
            </w:r>
          </w:p>
          <w:p w14:paraId="6208128E" w14:textId="184F5382" w:rsidR="0043180C" w:rsidRDefault="0043180C" w:rsidP="002B0DC1">
            <w:pPr>
              <w:widowControl w:val="0"/>
              <w:jc w:val="both"/>
              <w:rPr>
                <w:sz w:val="22"/>
                <w:szCs w:val="22"/>
              </w:rPr>
            </w:pPr>
            <w:r>
              <w:rPr>
                <w:sz w:val="22"/>
                <w:szCs w:val="22"/>
              </w:rPr>
              <w:t>-</w:t>
            </w:r>
            <w:r w:rsidRPr="00C60E1F">
              <w:rPr>
                <w:sz w:val="22"/>
                <w:szCs w:val="22"/>
              </w:rPr>
              <w:t xml:space="preserve"> </w:t>
            </w:r>
            <w:r w:rsidR="00C60E1F" w:rsidRPr="00C60E1F">
              <w:rPr>
                <w:sz w:val="22"/>
                <w:szCs w:val="22"/>
              </w:rPr>
              <w:t>des fumées</w:t>
            </w:r>
            <w:r w:rsidR="00240E2D">
              <w:rPr>
                <w:sz w:val="22"/>
                <w:szCs w:val="22"/>
              </w:rPr>
              <w:t> ;</w:t>
            </w:r>
          </w:p>
          <w:p w14:paraId="0C637196" w14:textId="417FAE61" w:rsidR="006A04ED" w:rsidRDefault="0043180C" w:rsidP="002B0DC1">
            <w:pPr>
              <w:widowControl w:val="0"/>
              <w:jc w:val="both"/>
              <w:rPr>
                <w:sz w:val="22"/>
                <w:szCs w:val="22"/>
              </w:rPr>
            </w:pPr>
            <w:r>
              <w:rPr>
                <w:sz w:val="22"/>
                <w:szCs w:val="22"/>
              </w:rPr>
              <w:t>-</w:t>
            </w:r>
            <w:r w:rsidRPr="00C60E1F">
              <w:rPr>
                <w:sz w:val="22"/>
                <w:szCs w:val="22"/>
              </w:rPr>
              <w:t xml:space="preserve"> </w:t>
            </w:r>
            <w:r w:rsidR="00C60E1F" w:rsidRPr="00C60E1F">
              <w:rPr>
                <w:sz w:val="22"/>
                <w:szCs w:val="22"/>
              </w:rPr>
              <w:t>du refroidissement de grille</w:t>
            </w:r>
            <w:r w:rsidR="00240E2D">
              <w:rPr>
                <w:sz w:val="22"/>
                <w:szCs w:val="22"/>
              </w:rPr>
              <w:t> ;</w:t>
            </w:r>
          </w:p>
          <w:p w14:paraId="24F41B26" w14:textId="5A518C30" w:rsidR="00C60E1F" w:rsidRPr="00C60E1F" w:rsidRDefault="006A04ED" w:rsidP="002B0DC1">
            <w:pPr>
              <w:widowControl w:val="0"/>
              <w:jc w:val="both"/>
              <w:rPr>
                <w:color w:val="000000"/>
                <w:sz w:val="22"/>
                <w:szCs w:val="22"/>
                <w:lang w:eastAsia="fr-FR"/>
              </w:rPr>
            </w:pPr>
            <w:r>
              <w:rPr>
                <w:sz w:val="22"/>
                <w:szCs w:val="22"/>
              </w:rPr>
              <w:t>-</w:t>
            </w:r>
            <w:r w:rsidR="00C60E1F" w:rsidRPr="00C60E1F">
              <w:rPr>
                <w:sz w:val="22"/>
                <w:szCs w:val="22"/>
              </w:rPr>
              <w:t xml:space="preserve"> d'un lit fluidisé circulant</w:t>
            </w:r>
            <w:r w:rsidR="00240E2D">
              <w:rPr>
                <w:sz w:val="22"/>
                <w:szCs w:val="22"/>
              </w:rPr>
              <w:t>.</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4DC2" w14:textId="02D0C360" w:rsidR="00C60E1F" w:rsidRPr="00C60E1F" w:rsidRDefault="00C60E1F" w:rsidP="002B0DC1">
            <w:pPr>
              <w:widowControl w:val="0"/>
              <w:rPr>
                <w:color w:val="000000"/>
                <w:sz w:val="22"/>
                <w:szCs w:val="22"/>
                <w:lang w:eastAsia="fr-FR"/>
              </w:rPr>
            </w:pPr>
            <w:r w:rsidRPr="00C60E1F">
              <w:rPr>
                <w:sz w:val="22"/>
                <w:szCs w:val="22"/>
              </w:rPr>
              <w:t>Applicable dans les limites des contraintes liées à la demande locale de chaleur et d'électricité</w:t>
            </w:r>
            <w:r w:rsidR="00A05F1E">
              <w:rPr>
                <w:sz w:val="22"/>
                <w:szCs w:val="22"/>
              </w:rPr>
              <w:t>.</w:t>
            </w:r>
            <w:r w:rsidRPr="00C60E1F">
              <w:rPr>
                <w:sz w:val="22"/>
                <w:szCs w:val="22"/>
              </w:rPr>
              <w:t xml:space="preserve"> L'applicabilité peut être limitée dans le cas des compresseurs utilisés dans des situations où la demande de chaleur est imprévisible.</w:t>
            </w:r>
          </w:p>
        </w:tc>
      </w:tr>
      <w:tr w:rsidR="00C60E1F" w:rsidRPr="00C60E1F" w14:paraId="153BD7CC"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4925643B"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j</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3A8305F3" w14:textId="77777777" w:rsidR="00C60E1F" w:rsidRPr="00C60E1F" w:rsidRDefault="00C60E1F" w:rsidP="002B0DC1">
            <w:pPr>
              <w:widowControl w:val="0"/>
              <w:jc w:val="both"/>
              <w:rPr>
                <w:color w:val="000000"/>
                <w:sz w:val="22"/>
                <w:szCs w:val="22"/>
                <w:lang w:eastAsia="fr-FR"/>
              </w:rPr>
            </w:pPr>
            <w:r w:rsidRPr="00C60E1F">
              <w:rPr>
                <w:sz w:val="22"/>
                <w:szCs w:val="22"/>
              </w:rPr>
              <w:t>Disponibilité de la cogénération</w:t>
            </w:r>
          </w:p>
        </w:tc>
        <w:tc>
          <w:tcPr>
            <w:tcW w:w="4252" w:type="dxa"/>
            <w:tcBorders>
              <w:top w:val="single" w:sz="4" w:space="0" w:color="000000"/>
              <w:left w:val="single" w:sz="4" w:space="0" w:color="000000"/>
              <w:bottom w:val="single" w:sz="4" w:space="0" w:color="000000"/>
            </w:tcBorders>
            <w:shd w:val="clear" w:color="auto" w:fill="auto"/>
            <w:vAlign w:val="center"/>
          </w:tcPr>
          <w:p w14:paraId="4F87FEF0" w14:textId="3732D322" w:rsidR="00C60E1F" w:rsidRPr="00C60E1F" w:rsidRDefault="00C60E1F" w:rsidP="002B0DC1">
            <w:pPr>
              <w:widowControl w:val="0"/>
              <w:jc w:val="both"/>
              <w:rPr>
                <w:color w:val="000000"/>
                <w:sz w:val="22"/>
                <w:szCs w:val="22"/>
                <w:lang w:eastAsia="fr-FR"/>
              </w:rPr>
            </w:pPr>
            <w:r w:rsidRPr="00C60E1F">
              <w:rPr>
                <w:sz w:val="22"/>
                <w:szCs w:val="22"/>
              </w:rPr>
              <w:t>Mesures prises pour permettre l'exportation ultérieure d'une quantité utile de chaleur vers une demande de chaleur hors site, de façon à réduire d'au moins 10 % la consommation d'énergie primaire par rapport à celle requise pour produire séparément la chaleur et l'électricité. Consiste notamment à repérer et garantir l'accès aux points précis du circuit de vapeur d'où la vapeur peut être extraite, ainsi qu'à prévoir suffisamment d'espace pour permettre la mise en place ultérieure d'éléments tels que tuyauterie, échangeurs thermiques, système de production de vapeur, capacité supplémentaire de déminéralisation de l'eau, chaudière de secours et turbines à contre pression. Les systèmes de production d'énergie et les systèmes de contrôle</w:t>
            </w:r>
            <w:r w:rsidR="006A04ED">
              <w:rPr>
                <w:sz w:val="22"/>
                <w:szCs w:val="22"/>
              </w:rPr>
              <w:t xml:space="preserve"> </w:t>
            </w:r>
            <w:r w:rsidRPr="00C60E1F">
              <w:rPr>
                <w:sz w:val="22"/>
                <w:szCs w:val="22"/>
              </w:rPr>
              <w:t>/</w:t>
            </w:r>
            <w:r w:rsidR="006A04ED">
              <w:rPr>
                <w:sz w:val="22"/>
                <w:szCs w:val="22"/>
              </w:rPr>
              <w:t xml:space="preserve"> </w:t>
            </w:r>
            <w:r w:rsidRPr="00C60E1F">
              <w:rPr>
                <w:sz w:val="22"/>
                <w:szCs w:val="22"/>
              </w:rPr>
              <w:t>commande se prêtent à une mise à niveau. Le raccordement d'une ou plusieurs turbines à contre-pression est également possible.</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17DA" w14:textId="4E322CB7" w:rsidR="00C60E1F" w:rsidRPr="00C60E1F" w:rsidRDefault="00C60E1F" w:rsidP="002B0DC1">
            <w:pPr>
              <w:widowControl w:val="0"/>
              <w:rPr>
                <w:color w:val="000000"/>
                <w:sz w:val="22"/>
                <w:szCs w:val="22"/>
                <w:lang w:eastAsia="fr-FR"/>
              </w:rPr>
            </w:pPr>
            <w:r w:rsidRPr="00C60E1F">
              <w:rPr>
                <w:sz w:val="22"/>
                <w:szCs w:val="22"/>
              </w:rPr>
              <w:t xml:space="preserve">Uniquement applicable aux </w:t>
            </w:r>
            <w:r w:rsidR="004D32D4">
              <w:rPr>
                <w:sz w:val="22"/>
                <w:szCs w:val="22"/>
              </w:rPr>
              <w:t>appareil</w:t>
            </w:r>
            <w:r w:rsidRPr="00C60E1F">
              <w:rPr>
                <w:sz w:val="22"/>
                <w:szCs w:val="22"/>
              </w:rPr>
              <w:t xml:space="preserve">s </w:t>
            </w:r>
            <w:r w:rsidR="00130C80">
              <w:rPr>
                <w:sz w:val="22"/>
                <w:szCs w:val="22"/>
              </w:rPr>
              <w:t xml:space="preserve">autorisés </w:t>
            </w:r>
            <w:r w:rsidR="006B21BB">
              <w:rPr>
                <w:sz w:val="22"/>
                <w:szCs w:val="22"/>
              </w:rPr>
              <w:t>à compter du 17</w:t>
            </w:r>
            <w:r w:rsidR="00130C80">
              <w:rPr>
                <w:sz w:val="22"/>
                <w:szCs w:val="22"/>
              </w:rPr>
              <w:t xml:space="preserve"> août 2017</w:t>
            </w:r>
            <w:r w:rsidR="00130C80" w:rsidRPr="00C60E1F">
              <w:rPr>
                <w:sz w:val="22"/>
                <w:szCs w:val="22"/>
              </w:rPr>
              <w:t xml:space="preserve"> </w:t>
            </w:r>
            <w:r w:rsidRPr="00C60E1F">
              <w:rPr>
                <w:sz w:val="22"/>
                <w:szCs w:val="22"/>
              </w:rPr>
              <w:t>lorsqu'il existe des perspectives réalistes d'utilisation de chaleur à proximité de l'</w:t>
            </w:r>
            <w:r w:rsidR="004D32D4">
              <w:rPr>
                <w:sz w:val="22"/>
                <w:szCs w:val="22"/>
              </w:rPr>
              <w:t>appareil.</w:t>
            </w:r>
          </w:p>
        </w:tc>
      </w:tr>
      <w:tr w:rsidR="00C60E1F" w:rsidRPr="00C60E1F" w14:paraId="717E39A0"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33D2592B"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k</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27B398F8" w14:textId="77777777" w:rsidR="00C60E1F" w:rsidRPr="00C60E1F" w:rsidRDefault="00C60E1F" w:rsidP="002B0DC1">
            <w:pPr>
              <w:widowControl w:val="0"/>
              <w:jc w:val="both"/>
              <w:rPr>
                <w:color w:val="000000"/>
                <w:sz w:val="22"/>
                <w:szCs w:val="22"/>
                <w:lang w:eastAsia="fr-FR"/>
              </w:rPr>
            </w:pPr>
            <w:r w:rsidRPr="00C60E1F">
              <w:rPr>
                <w:sz w:val="22"/>
                <w:szCs w:val="22"/>
              </w:rPr>
              <w:t>Condenseur de fumées</w:t>
            </w:r>
          </w:p>
        </w:tc>
        <w:tc>
          <w:tcPr>
            <w:tcW w:w="4252" w:type="dxa"/>
            <w:tcBorders>
              <w:top w:val="single" w:sz="4" w:space="0" w:color="000000"/>
              <w:left w:val="single" w:sz="4" w:space="0" w:color="000000"/>
              <w:bottom w:val="single" w:sz="4" w:space="0" w:color="000000"/>
            </w:tcBorders>
            <w:shd w:val="clear" w:color="auto" w:fill="auto"/>
            <w:vAlign w:val="center"/>
          </w:tcPr>
          <w:p w14:paraId="30002D79" w14:textId="3FD29649" w:rsidR="00C60E1F" w:rsidRPr="00C60E1F" w:rsidRDefault="00C60E1F" w:rsidP="002B0DC1">
            <w:pPr>
              <w:widowControl w:val="0"/>
              <w:jc w:val="both"/>
              <w:rPr>
                <w:color w:val="000000"/>
                <w:sz w:val="22"/>
                <w:szCs w:val="22"/>
                <w:lang w:eastAsia="fr-FR"/>
              </w:rPr>
            </w:pPr>
            <w:r w:rsidRPr="00C60E1F">
              <w:rPr>
                <w:sz w:val="22"/>
                <w:szCs w:val="22"/>
              </w:rPr>
              <w:t>Échangeur de chaleur dans lequel l'eau est préchauffée par les fumées avant d'être chauffée dans le condenseur. La vapeur des fumées condense lors de son refroidissement par l'eau de chauffage. Le condenseur de fumées sert à la fois à accroître l'efficacité énergétique de l'</w:t>
            </w:r>
            <w:r w:rsidR="004D32D4">
              <w:rPr>
                <w:sz w:val="22"/>
                <w:szCs w:val="22"/>
              </w:rPr>
              <w:t>appareil</w:t>
            </w:r>
            <w:r w:rsidRPr="00C60E1F">
              <w:rPr>
                <w:sz w:val="22"/>
                <w:szCs w:val="22"/>
              </w:rPr>
              <w:t xml:space="preserve"> de combustion et à éliminer les polluants tels que les poussières, les </w:t>
            </w:r>
            <w:proofErr w:type="spellStart"/>
            <w:r w:rsidRPr="00C60E1F">
              <w:rPr>
                <w:sz w:val="22"/>
                <w:szCs w:val="22"/>
              </w:rPr>
              <w:t>SO</w:t>
            </w:r>
            <w:r w:rsidR="006A04ED">
              <w:rPr>
                <w:sz w:val="22"/>
                <w:szCs w:val="22"/>
              </w:rPr>
              <w:t>x</w:t>
            </w:r>
            <w:proofErr w:type="spellEnd"/>
            <w:r w:rsidRPr="00C60E1F">
              <w:rPr>
                <w:sz w:val="22"/>
                <w:szCs w:val="22"/>
              </w:rPr>
              <w:t xml:space="preserve">, le </w:t>
            </w:r>
            <w:proofErr w:type="spellStart"/>
            <w:r w:rsidRPr="00C60E1F">
              <w:rPr>
                <w:sz w:val="22"/>
                <w:szCs w:val="22"/>
              </w:rPr>
              <w:t>HCl</w:t>
            </w:r>
            <w:proofErr w:type="spellEnd"/>
            <w:r w:rsidRPr="00C60E1F">
              <w:rPr>
                <w:sz w:val="22"/>
                <w:szCs w:val="22"/>
              </w:rPr>
              <w:t xml:space="preserve"> et le HF contenus dans les fumées.</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4A76" w14:textId="0E814165" w:rsidR="00C60E1F" w:rsidRPr="00C60E1F" w:rsidRDefault="00C60E1F" w:rsidP="002B0DC1">
            <w:pPr>
              <w:widowControl w:val="0"/>
              <w:rPr>
                <w:color w:val="000000"/>
                <w:sz w:val="22"/>
                <w:szCs w:val="22"/>
                <w:lang w:eastAsia="fr-FR"/>
              </w:rPr>
            </w:pPr>
            <w:r w:rsidRPr="00C60E1F">
              <w:rPr>
                <w:sz w:val="22"/>
                <w:szCs w:val="22"/>
              </w:rPr>
              <w:t xml:space="preserve">Applicable d'une manière générale aux </w:t>
            </w:r>
            <w:r w:rsidR="004D32D4">
              <w:rPr>
                <w:sz w:val="22"/>
                <w:szCs w:val="22"/>
              </w:rPr>
              <w:t>appareil</w:t>
            </w:r>
            <w:r w:rsidRPr="00C60E1F">
              <w:rPr>
                <w:sz w:val="22"/>
                <w:szCs w:val="22"/>
              </w:rPr>
              <w:t>s de cogénération à condition qu'il existe une demande de chaleur basse température</w:t>
            </w:r>
          </w:p>
        </w:tc>
      </w:tr>
      <w:tr w:rsidR="00C60E1F" w:rsidRPr="00C60E1F" w14:paraId="076ECB0F"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1275A823"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l</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46C007AD" w14:textId="77777777" w:rsidR="00C60E1F" w:rsidRPr="00C60E1F" w:rsidRDefault="00C60E1F" w:rsidP="002B0DC1">
            <w:pPr>
              <w:widowControl w:val="0"/>
              <w:jc w:val="both"/>
              <w:rPr>
                <w:color w:val="000000"/>
                <w:sz w:val="22"/>
                <w:szCs w:val="22"/>
                <w:lang w:eastAsia="fr-FR"/>
              </w:rPr>
            </w:pPr>
            <w:r w:rsidRPr="00C60E1F">
              <w:rPr>
                <w:sz w:val="22"/>
                <w:szCs w:val="22"/>
              </w:rPr>
              <w:t>Accumulation de chaleur</w:t>
            </w:r>
          </w:p>
        </w:tc>
        <w:tc>
          <w:tcPr>
            <w:tcW w:w="4252" w:type="dxa"/>
            <w:tcBorders>
              <w:top w:val="single" w:sz="4" w:space="0" w:color="000000"/>
              <w:left w:val="single" w:sz="4" w:space="0" w:color="000000"/>
              <w:bottom w:val="single" w:sz="4" w:space="0" w:color="000000"/>
            </w:tcBorders>
            <w:shd w:val="clear" w:color="auto" w:fill="auto"/>
            <w:vAlign w:val="center"/>
          </w:tcPr>
          <w:p w14:paraId="4FF36431" w14:textId="77777777" w:rsidR="00C60E1F" w:rsidRPr="00C60E1F" w:rsidRDefault="00C60E1F" w:rsidP="002B0DC1">
            <w:pPr>
              <w:widowControl w:val="0"/>
              <w:jc w:val="both"/>
              <w:rPr>
                <w:color w:val="000000"/>
                <w:sz w:val="22"/>
                <w:szCs w:val="22"/>
                <w:lang w:eastAsia="fr-FR"/>
              </w:rPr>
            </w:pPr>
            <w:r w:rsidRPr="00C60E1F">
              <w:rPr>
                <w:sz w:val="22"/>
                <w:szCs w:val="22"/>
              </w:rPr>
              <w:t>Stockage de chaleur par accumulation en mode cogénération</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9EAA" w14:textId="77777777" w:rsidR="00C60E1F" w:rsidRPr="00C60E1F" w:rsidRDefault="00C60E1F" w:rsidP="002B0DC1">
            <w:pPr>
              <w:widowControl w:val="0"/>
              <w:rPr>
                <w:color w:val="000000"/>
                <w:sz w:val="22"/>
                <w:szCs w:val="22"/>
                <w:lang w:eastAsia="fr-FR"/>
              </w:rPr>
            </w:pPr>
            <w:r w:rsidRPr="00C60E1F">
              <w:rPr>
                <w:sz w:val="22"/>
                <w:szCs w:val="22"/>
              </w:rPr>
              <w:t>Uniquement applicable aux installations de cogénération. L'applicabilité peut être limitée en cas de faible charge calorifique</w:t>
            </w:r>
          </w:p>
        </w:tc>
      </w:tr>
      <w:tr w:rsidR="00C60E1F" w:rsidRPr="00C60E1F" w14:paraId="733B08D9"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4070B61F"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m</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3F079B87" w14:textId="4F60B2A7" w:rsidR="00C60E1F" w:rsidRPr="00C60E1F" w:rsidRDefault="00C60E1F" w:rsidP="002B0DC1">
            <w:pPr>
              <w:widowControl w:val="0"/>
              <w:jc w:val="both"/>
              <w:rPr>
                <w:color w:val="000000"/>
                <w:sz w:val="22"/>
                <w:szCs w:val="22"/>
                <w:lang w:eastAsia="fr-FR"/>
              </w:rPr>
            </w:pPr>
            <w:r w:rsidRPr="00C60E1F">
              <w:rPr>
                <w:sz w:val="22"/>
                <w:szCs w:val="22"/>
              </w:rPr>
              <w:t>«</w:t>
            </w:r>
            <w:r w:rsidR="00E71663">
              <w:rPr>
                <w:sz w:val="22"/>
                <w:szCs w:val="22"/>
              </w:rPr>
              <w:t xml:space="preserve"> </w:t>
            </w:r>
            <w:r w:rsidRPr="00C60E1F">
              <w:rPr>
                <w:sz w:val="22"/>
                <w:szCs w:val="22"/>
              </w:rPr>
              <w:t>Cheminée humide</w:t>
            </w:r>
            <w:r w:rsidR="00E71663">
              <w:rPr>
                <w:sz w:val="22"/>
                <w:szCs w:val="22"/>
              </w:rPr>
              <w:t xml:space="preserve"> </w:t>
            </w:r>
            <w:r w:rsidRPr="00C60E1F">
              <w:rPr>
                <w:sz w:val="22"/>
                <w:szCs w:val="22"/>
              </w:rPr>
              <w:t>»</w:t>
            </w:r>
          </w:p>
        </w:tc>
        <w:tc>
          <w:tcPr>
            <w:tcW w:w="4252" w:type="dxa"/>
            <w:tcBorders>
              <w:top w:val="single" w:sz="4" w:space="0" w:color="000000"/>
              <w:left w:val="single" w:sz="4" w:space="0" w:color="000000"/>
              <w:bottom w:val="single" w:sz="4" w:space="0" w:color="000000"/>
            </w:tcBorders>
            <w:shd w:val="clear" w:color="auto" w:fill="auto"/>
            <w:vAlign w:val="center"/>
          </w:tcPr>
          <w:p w14:paraId="21E662D6" w14:textId="5CA4C564" w:rsidR="00C60E1F" w:rsidRPr="00C60E1F" w:rsidRDefault="00C60E1F" w:rsidP="002B0DC1">
            <w:pPr>
              <w:widowControl w:val="0"/>
              <w:jc w:val="both"/>
              <w:rPr>
                <w:color w:val="000000"/>
                <w:sz w:val="22"/>
                <w:szCs w:val="22"/>
                <w:lang w:eastAsia="fr-FR"/>
              </w:rPr>
            </w:pPr>
            <w:r w:rsidRPr="00C60E1F">
              <w:rPr>
                <w:sz w:val="22"/>
                <w:szCs w:val="22"/>
              </w:rPr>
              <w:t>Cheminée conçue pour permettre la condensation de la vapeur d'eau contenue dans les fumées saturées et éviter ainsi le recours à un réchauffeur de fumées en aval de l'</w:t>
            </w:r>
            <w:r w:rsidR="004D32D4">
              <w:rPr>
                <w:sz w:val="22"/>
                <w:szCs w:val="22"/>
              </w:rPr>
              <w:t>appareil</w:t>
            </w:r>
            <w:r w:rsidRPr="00C60E1F">
              <w:rPr>
                <w:sz w:val="22"/>
                <w:szCs w:val="22"/>
              </w:rPr>
              <w:t xml:space="preserve"> de FGD par voie humide.</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6896" w14:textId="62B914BF" w:rsidR="00C60E1F" w:rsidRPr="00C60E1F" w:rsidRDefault="00C60E1F" w:rsidP="002B0DC1">
            <w:pPr>
              <w:widowControl w:val="0"/>
              <w:rPr>
                <w:color w:val="000000"/>
                <w:sz w:val="22"/>
                <w:szCs w:val="22"/>
                <w:lang w:eastAsia="fr-FR"/>
              </w:rPr>
            </w:pPr>
            <w:r w:rsidRPr="00C60E1F">
              <w:rPr>
                <w:sz w:val="22"/>
                <w:szCs w:val="22"/>
              </w:rPr>
              <w:t xml:space="preserve">Applicable d'une manière générale aux </w:t>
            </w:r>
            <w:r w:rsidR="004D32D4">
              <w:rPr>
                <w:sz w:val="22"/>
                <w:szCs w:val="22"/>
              </w:rPr>
              <w:t>appareil</w:t>
            </w:r>
            <w:r w:rsidRPr="00C60E1F">
              <w:rPr>
                <w:sz w:val="22"/>
                <w:szCs w:val="22"/>
              </w:rPr>
              <w:t>s équipés d'un système de désulfuration des fumées (FGD) par voie humide</w:t>
            </w:r>
          </w:p>
        </w:tc>
      </w:tr>
      <w:tr w:rsidR="00C60E1F" w:rsidRPr="00C60E1F" w14:paraId="4966486D"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3ACF5C2D"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n</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40100131" w14:textId="77777777" w:rsidR="00C60E1F" w:rsidRPr="00C60E1F" w:rsidRDefault="00C60E1F" w:rsidP="002B0DC1">
            <w:pPr>
              <w:widowControl w:val="0"/>
              <w:jc w:val="both"/>
              <w:rPr>
                <w:color w:val="000000"/>
                <w:sz w:val="22"/>
                <w:szCs w:val="22"/>
                <w:lang w:eastAsia="fr-FR"/>
              </w:rPr>
            </w:pPr>
            <w:r w:rsidRPr="00C60E1F">
              <w:rPr>
                <w:sz w:val="22"/>
                <w:szCs w:val="22"/>
              </w:rPr>
              <w:t>Rejets par la tour de refroidissement</w:t>
            </w:r>
          </w:p>
        </w:tc>
        <w:tc>
          <w:tcPr>
            <w:tcW w:w="4252" w:type="dxa"/>
            <w:tcBorders>
              <w:top w:val="single" w:sz="4" w:space="0" w:color="000000"/>
              <w:left w:val="single" w:sz="4" w:space="0" w:color="000000"/>
              <w:bottom w:val="single" w:sz="4" w:space="0" w:color="000000"/>
            </w:tcBorders>
            <w:shd w:val="clear" w:color="auto" w:fill="auto"/>
            <w:vAlign w:val="center"/>
          </w:tcPr>
          <w:p w14:paraId="410A7C48" w14:textId="77777777" w:rsidR="00C60E1F" w:rsidRPr="00C60E1F" w:rsidRDefault="00C60E1F" w:rsidP="002B0DC1">
            <w:pPr>
              <w:widowControl w:val="0"/>
              <w:jc w:val="both"/>
              <w:rPr>
                <w:color w:val="000000"/>
                <w:sz w:val="22"/>
                <w:szCs w:val="22"/>
                <w:lang w:eastAsia="fr-FR"/>
              </w:rPr>
            </w:pPr>
            <w:r w:rsidRPr="00C60E1F">
              <w:rPr>
                <w:sz w:val="22"/>
                <w:szCs w:val="22"/>
              </w:rPr>
              <w:t>Les émissions dans l'air sont évacuées par la tour de refroidissement et non par une cheminée réservée à cet effet</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EBAEF" w14:textId="51E8E729" w:rsidR="00C60E1F" w:rsidRPr="00C60E1F" w:rsidRDefault="00C60E1F" w:rsidP="002B0DC1">
            <w:pPr>
              <w:widowControl w:val="0"/>
              <w:rPr>
                <w:color w:val="000000"/>
                <w:sz w:val="22"/>
                <w:szCs w:val="22"/>
                <w:lang w:eastAsia="fr-FR"/>
              </w:rPr>
            </w:pPr>
            <w:r w:rsidRPr="00C60E1F">
              <w:rPr>
                <w:sz w:val="22"/>
                <w:szCs w:val="22"/>
              </w:rPr>
              <w:t xml:space="preserve">Uniquement applicable aux </w:t>
            </w:r>
            <w:r w:rsidR="004D32D4">
              <w:rPr>
                <w:sz w:val="22"/>
                <w:szCs w:val="22"/>
              </w:rPr>
              <w:t>appareil</w:t>
            </w:r>
            <w:r w:rsidRPr="00C60E1F">
              <w:rPr>
                <w:sz w:val="22"/>
                <w:szCs w:val="22"/>
              </w:rPr>
              <w:t>s équipés d'un système FGD par voie humide lorsque le réchauffage des fumées est nécessaire avant évacuation, et lorsque le système de refroidissement de l'</w:t>
            </w:r>
            <w:r w:rsidR="004D32D4">
              <w:rPr>
                <w:sz w:val="22"/>
                <w:szCs w:val="22"/>
              </w:rPr>
              <w:t>appareil</w:t>
            </w:r>
            <w:r w:rsidRPr="00C60E1F">
              <w:rPr>
                <w:sz w:val="22"/>
                <w:szCs w:val="22"/>
              </w:rPr>
              <w:t xml:space="preserve"> est une tour de refroidissement</w:t>
            </w:r>
          </w:p>
        </w:tc>
      </w:tr>
      <w:tr w:rsidR="00C60E1F" w:rsidRPr="00C60E1F" w14:paraId="0E5ED27C"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73F5631F"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o</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27E8A130" w14:textId="77777777" w:rsidR="00C60E1F" w:rsidRPr="00C60E1F" w:rsidRDefault="00C60E1F" w:rsidP="002B0DC1">
            <w:pPr>
              <w:widowControl w:val="0"/>
              <w:jc w:val="both"/>
              <w:rPr>
                <w:color w:val="000000"/>
                <w:sz w:val="22"/>
                <w:szCs w:val="22"/>
                <w:lang w:eastAsia="fr-FR"/>
              </w:rPr>
            </w:pPr>
            <w:r w:rsidRPr="00C60E1F">
              <w:rPr>
                <w:sz w:val="22"/>
                <w:szCs w:val="22"/>
              </w:rPr>
              <w:t>Pré-séchage du combustible</w:t>
            </w:r>
          </w:p>
        </w:tc>
        <w:tc>
          <w:tcPr>
            <w:tcW w:w="4252" w:type="dxa"/>
            <w:tcBorders>
              <w:top w:val="single" w:sz="4" w:space="0" w:color="000000"/>
              <w:left w:val="single" w:sz="4" w:space="0" w:color="000000"/>
              <w:bottom w:val="single" w:sz="4" w:space="0" w:color="000000"/>
            </w:tcBorders>
            <w:shd w:val="clear" w:color="auto" w:fill="auto"/>
            <w:vAlign w:val="center"/>
          </w:tcPr>
          <w:p w14:paraId="227C6AE8" w14:textId="77777777" w:rsidR="00C60E1F" w:rsidRPr="00C60E1F" w:rsidRDefault="00C60E1F" w:rsidP="002B0DC1">
            <w:pPr>
              <w:widowControl w:val="0"/>
              <w:jc w:val="both"/>
              <w:rPr>
                <w:color w:val="000000"/>
                <w:sz w:val="22"/>
                <w:szCs w:val="22"/>
                <w:lang w:eastAsia="fr-FR"/>
              </w:rPr>
            </w:pPr>
            <w:r w:rsidRPr="00C60E1F">
              <w:rPr>
                <w:sz w:val="22"/>
                <w:szCs w:val="22"/>
              </w:rPr>
              <w:t>Réduction de la teneur en eau du combustible avant combustion afin d'améliorer les conditions de combustion</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E102A" w14:textId="5135F523" w:rsidR="00C60E1F" w:rsidRPr="00C60E1F" w:rsidRDefault="00C60E1F" w:rsidP="002B0DC1">
            <w:pPr>
              <w:widowControl w:val="0"/>
              <w:rPr>
                <w:color w:val="000000"/>
                <w:sz w:val="22"/>
                <w:szCs w:val="22"/>
                <w:lang w:eastAsia="fr-FR"/>
              </w:rPr>
            </w:pPr>
            <w:r w:rsidRPr="00C60E1F">
              <w:rPr>
                <w:sz w:val="22"/>
                <w:szCs w:val="22"/>
              </w:rPr>
              <w:t xml:space="preserve">Applicable à la combustion de biomasse ou de tourbe dans les limites des contraintes liées aux risques de combustion spontanée L'applicabilité aux installations </w:t>
            </w:r>
            <w:r w:rsidR="00A56882" w:rsidRPr="00A56882">
              <w:rPr>
                <w:sz w:val="22"/>
                <w:szCs w:val="22"/>
              </w:rPr>
              <w:t>dont l’autorisation a été délivré</w:t>
            </w:r>
            <w:r w:rsidR="00C40620">
              <w:rPr>
                <w:sz w:val="22"/>
                <w:szCs w:val="22"/>
              </w:rPr>
              <w:t>e</w:t>
            </w:r>
            <w:r w:rsidR="00A56882" w:rsidRPr="00A56882">
              <w:rPr>
                <w:sz w:val="22"/>
                <w:szCs w:val="22"/>
              </w:rPr>
              <w:t xml:space="preserve"> </w:t>
            </w:r>
            <w:r w:rsidR="006B21BB">
              <w:rPr>
                <w:sz w:val="22"/>
                <w:szCs w:val="22"/>
              </w:rPr>
              <w:t>avant le</w:t>
            </w:r>
            <w:r w:rsidR="00A56882" w:rsidRPr="00A56882">
              <w:rPr>
                <w:sz w:val="22"/>
                <w:szCs w:val="22"/>
              </w:rPr>
              <w:t xml:space="preserve"> 17 août 2017</w:t>
            </w:r>
            <w:r w:rsidRPr="00C60E1F">
              <w:rPr>
                <w:sz w:val="22"/>
                <w:szCs w:val="22"/>
              </w:rPr>
              <w:t xml:space="preserve"> peut être limitée par la capacité calorifique supplémentaire pouvant être obtenue par le séchage et par les contraintes liées à certains modèles de chaudières ou à certaines configurations d'installations</w:t>
            </w:r>
          </w:p>
        </w:tc>
      </w:tr>
      <w:tr w:rsidR="00C60E1F" w:rsidRPr="00C60E1F" w14:paraId="2EB47A60"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66BD8D80"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p</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10EA5905" w14:textId="77777777" w:rsidR="00C60E1F" w:rsidRPr="00C60E1F" w:rsidRDefault="00C60E1F" w:rsidP="002B0DC1">
            <w:pPr>
              <w:widowControl w:val="0"/>
              <w:jc w:val="both"/>
              <w:rPr>
                <w:color w:val="000000"/>
                <w:sz w:val="22"/>
                <w:szCs w:val="22"/>
                <w:lang w:eastAsia="fr-FR"/>
              </w:rPr>
            </w:pPr>
            <w:r w:rsidRPr="00C60E1F">
              <w:rPr>
                <w:sz w:val="22"/>
                <w:szCs w:val="22"/>
              </w:rPr>
              <w:t>Réduction au minimum des pertes de chaleur</w:t>
            </w:r>
          </w:p>
        </w:tc>
        <w:tc>
          <w:tcPr>
            <w:tcW w:w="4252" w:type="dxa"/>
            <w:tcBorders>
              <w:top w:val="single" w:sz="4" w:space="0" w:color="000000"/>
              <w:left w:val="single" w:sz="4" w:space="0" w:color="000000"/>
              <w:bottom w:val="single" w:sz="4" w:space="0" w:color="000000"/>
            </w:tcBorders>
            <w:shd w:val="clear" w:color="auto" w:fill="auto"/>
            <w:vAlign w:val="center"/>
          </w:tcPr>
          <w:p w14:paraId="0965CF6A" w14:textId="77777777" w:rsidR="00C60E1F" w:rsidRPr="00C60E1F" w:rsidRDefault="00C60E1F" w:rsidP="002B0DC1">
            <w:pPr>
              <w:widowControl w:val="0"/>
              <w:jc w:val="both"/>
              <w:rPr>
                <w:color w:val="000000"/>
                <w:sz w:val="22"/>
                <w:szCs w:val="22"/>
                <w:lang w:eastAsia="fr-FR"/>
              </w:rPr>
            </w:pPr>
            <w:r w:rsidRPr="00C60E1F">
              <w:rPr>
                <w:sz w:val="22"/>
                <w:szCs w:val="22"/>
              </w:rPr>
              <w:t>Réduction au minimum des pertes de chaleur résiduelle, notamment de celles qui se produisent par l'intermédiaire du mâchefer, ou de celles que l'on peut limiter en isolant les sources de rayonnement</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CAA2" w14:textId="50509FD2" w:rsidR="00C60E1F" w:rsidRPr="00C60E1F" w:rsidRDefault="00C60E1F" w:rsidP="002B0DC1">
            <w:pPr>
              <w:widowControl w:val="0"/>
              <w:rPr>
                <w:color w:val="000000"/>
                <w:sz w:val="22"/>
                <w:szCs w:val="22"/>
                <w:lang w:eastAsia="fr-FR"/>
              </w:rPr>
            </w:pPr>
            <w:r w:rsidRPr="00C60E1F">
              <w:rPr>
                <w:sz w:val="22"/>
                <w:szCs w:val="22"/>
              </w:rPr>
              <w:t xml:space="preserve">Uniquement applicable aux </w:t>
            </w:r>
            <w:r w:rsidR="004D32D4">
              <w:rPr>
                <w:sz w:val="22"/>
                <w:szCs w:val="22"/>
              </w:rPr>
              <w:t>appareil</w:t>
            </w:r>
            <w:r w:rsidRPr="00C60E1F">
              <w:rPr>
                <w:sz w:val="22"/>
                <w:szCs w:val="22"/>
              </w:rPr>
              <w:t>s de combustion alimentés en combustible solide</w:t>
            </w:r>
          </w:p>
        </w:tc>
      </w:tr>
      <w:tr w:rsidR="00C60E1F" w:rsidRPr="00C60E1F" w14:paraId="0B6CCC21"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5CC78054"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q</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6C92ECFB" w14:textId="77777777" w:rsidR="00C60E1F" w:rsidRPr="00C60E1F" w:rsidRDefault="00C60E1F" w:rsidP="002B0DC1">
            <w:pPr>
              <w:widowControl w:val="0"/>
              <w:jc w:val="both"/>
              <w:rPr>
                <w:color w:val="000000"/>
                <w:sz w:val="22"/>
                <w:szCs w:val="22"/>
                <w:lang w:eastAsia="fr-FR"/>
              </w:rPr>
            </w:pPr>
            <w:r w:rsidRPr="00C60E1F">
              <w:rPr>
                <w:sz w:val="22"/>
                <w:szCs w:val="22"/>
              </w:rPr>
              <w:t>Matériaux avancés</w:t>
            </w:r>
          </w:p>
        </w:tc>
        <w:tc>
          <w:tcPr>
            <w:tcW w:w="4252" w:type="dxa"/>
            <w:tcBorders>
              <w:top w:val="single" w:sz="4" w:space="0" w:color="000000"/>
              <w:left w:val="single" w:sz="4" w:space="0" w:color="000000"/>
              <w:bottom w:val="single" w:sz="4" w:space="0" w:color="000000"/>
            </w:tcBorders>
            <w:shd w:val="clear" w:color="auto" w:fill="auto"/>
            <w:vAlign w:val="center"/>
          </w:tcPr>
          <w:p w14:paraId="5B9A4A8C" w14:textId="77777777" w:rsidR="00C60E1F" w:rsidRPr="00C60E1F" w:rsidRDefault="00C60E1F" w:rsidP="002B0DC1">
            <w:pPr>
              <w:widowControl w:val="0"/>
              <w:jc w:val="both"/>
              <w:rPr>
                <w:color w:val="000000"/>
                <w:sz w:val="22"/>
                <w:szCs w:val="22"/>
                <w:lang w:eastAsia="fr-FR"/>
              </w:rPr>
            </w:pPr>
            <w:r w:rsidRPr="00C60E1F">
              <w:rPr>
                <w:sz w:val="22"/>
                <w:szCs w:val="22"/>
              </w:rPr>
              <w:t>Utilisation de matériaux avancés aux propriétés avérées de résistance à des températures et pressions élevées de fonctionnement, et pouvant donc améliorer l'efficacité des procédés vapeur/de combustion</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AD651" w14:textId="1E0A24CC" w:rsidR="00C60E1F" w:rsidRPr="00C60E1F" w:rsidRDefault="00C60E1F" w:rsidP="002B0DC1">
            <w:pPr>
              <w:widowControl w:val="0"/>
              <w:rPr>
                <w:color w:val="000000"/>
                <w:sz w:val="22"/>
                <w:szCs w:val="22"/>
                <w:lang w:eastAsia="fr-FR"/>
              </w:rPr>
            </w:pPr>
            <w:r w:rsidRPr="00C60E1F">
              <w:rPr>
                <w:sz w:val="22"/>
                <w:szCs w:val="22"/>
              </w:rPr>
              <w:t xml:space="preserve">Uniquement applicable aux </w:t>
            </w:r>
            <w:r w:rsidR="004D32D4">
              <w:rPr>
                <w:sz w:val="22"/>
                <w:szCs w:val="22"/>
              </w:rPr>
              <w:t>appareils</w:t>
            </w:r>
            <w:r w:rsidR="00130C80">
              <w:rPr>
                <w:sz w:val="22"/>
                <w:szCs w:val="22"/>
              </w:rPr>
              <w:t xml:space="preserve"> autorisés </w:t>
            </w:r>
            <w:r w:rsidR="006B21BB">
              <w:rPr>
                <w:sz w:val="22"/>
                <w:szCs w:val="22"/>
              </w:rPr>
              <w:t>à compter du</w:t>
            </w:r>
            <w:r w:rsidR="00130C80">
              <w:rPr>
                <w:sz w:val="22"/>
                <w:szCs w:val="22"/>
              </w:rPr>
              <w:t xml:space="preserve"> 17 août 2017.</w:t>
            </w:r>
          </w:p>
        </w:tc>
      </w:tr>
      <w:tr w:rsidR="00C60E1F" w:rsidRPr="00C60E1F" w14:paraId="78A410E7"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67DFB446"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r</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0C13DAAB" w14:textId="77777777" w:rsidR="00C60E1F" w:rsidRPr="00C60E1F" w:rsidRDefault="00C60E1F" w:rsidP="002B0DC1">
            <w:pPr>
              <w:widowControl w:val="0"/>
              <w:jc w:val="both"/>
              <w:rPr>
                <w:color w:val="000000"/>
                <w:sz w:val="22"/>
                <w:szCs w:val="22"/>
                <w:lang w:eastAsia="fr-FR"/>
              </w:rPr>
            </w:pPr>
            <w:r w:rsidRPr="00C60E1F">
              <w:rPr>
                <w:sz w:val="22"/>
                <w:szCs w:val="22"/>
              </w:rPr>
              <w:t>Améliorations des turbines à vapeur</w:t>
            </w:r>
          </w:p>
        </w:tc>
        <w:tc>
          <w:tcPr>
            <w:tcW w:w="4252" w:type="dxa"/>
            <w:tcBorders>
              <w:top w:val="single" w:sz="4" w:space="0" w:color="000000"/>
              <w:left w:val="single" w:sz="4" w:space="0" w:color="000000"/>
              <w:bottom w:val="single" w:sz="4" w:space="0" w:color="000000"/>
            </w:tcBorders>
            <w:shd w:val="clear" w:color="auto" w:fill="auto"/>
            <w:vAlign w:val="center"/>
          </w:tcPr>
          <w:p w14:paraId="70B8818C" w14:textId="77777777" w:rsidR="00C60E1F" w:rsidRPr="00C60E1F" w:rsidRDefault="00C60E1F" w:rsidP="002B0DC1">
            <w:pPr>
              <w:widowControl w:val="0"/>
              <w:jc w:val="both"/>
              <w:rPr>
                <w:color w:val="000000"/>
                <w:sz w:val="22"/>
                <w:szCs w:val="22"/>
                <w:lang w:eastAsia="fr-FR"/>
              </w:rPr>
            </w:pPr>
            <w:r w:rsidRPr="00C60E1F">
              <w:rPr>
                <w:sz w:val="22"/>
                <w:szCs w:val="22"/>
              </w:rPr>
              <w:t>Inclut des techniques telles que l'augmentation de la température et de la pression de la vapeur moyenne pression, l'ajout d'une turbine basse pression et des modifications de la géométrie des pales des turbines</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D73C" w14:textId="77777777" w:rsidR="00C60E1F" w:rsidRPr="00C60E1F" w:rsidRDefault="00C60E1F" w:rsidP="002B0DC1">
            <w:pPr>
              <w:widowControl w:val="0"/>
              <w:rPr>
                <w:color w:val="000000"/>
                <w:sz w:val="22"/>
                <w:szCs w:val="22"/>
                <w:lang w:eastAsia="fr-FR"/>
              </w:rPr>
            </w:pPr>
            <w:r w:rsidRPr="00C60E1F">
              <w:rPr>
                <w:sz w:val="22"/>
                <w:szCs w:val="22"/>
              </w:rPr>
              <w:t>L'applicabilité peut être limitée par la demande, les conditions de vapeur ou la durée de vie limitée de l'installation</w:t>
            </w:r>
          </w:p>
        </w:tc>
      </w:tr>
      <w:tr w:rsidR="00C60E1F" w:rsidRPr="00C60E1F" w14:paraId="0C6C07AF"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492974B7" w14:textId="77777777" w:rsidR="00C60E1F" w:rsidRPr="00C60E1F" w:rsidRDefault="00C60E1F" w:rsidP="002B0DC1">
            <w:pPr>
              <w:widowControl w:val="0"/>
              <w:jc w:val="center"/>
              <w:rPr>
                <w:color w:val="000000"/>
                <w:sz w:val="22"/>
                <w:szCs w:val="22"/>
                <w:lang w:eastAsia="fr-FR"/>
              </w:rPr>
            </w:pPr>
            <w:proofErr w:type="gramStart"/>
            <w:r w:rsidRPr="00C60E1F">
              <w:rPr>
                <w:color w:val="000000"/>
                <w:sz w:val="22"/>
                <w:szCs w:val="22"/>
                <w:lang w:eastAsia="fr-FR"/>
              </w:rPr>
              <w:t>s</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566F61A0" w14:textId="77777777" w:rsidR="00C60E1F" w:rsidRPr="00C60E1F" w:rsidRDefault="00C60E1F" w:rsidP="002B0DC1">
            <w:pPr>
              <w:widowControl w:val="0"/>
              <w:jc w:val="both"/>
              <w:rPr>
                <w:color w:val="000000"/>
                <w:sz w:val="22"/>
                <w:szCs w:val="22"/>
                <w:lang w:eastAsia="fr-FR"/>
              </w:rPr>
            </w:pPr>
            <w:r w:rsidRPr="00C60E1F">
              <w:rPr>
                <w:sz w:val="22"/>
                <w:szCs w:val="22"/>
              </w:rPr>
              <w:t xml:space="preserve">Conditions de vapeur supercritique ou </w:t>
            </w:r>
            <w:proofErr w:type="spellStart"/>
            <w:r w:rsidRPr="00C60E1F">
              <w:rPr>
                <w:sz w:val="22"/>
                <w:szCs w:val="22"/>
              </w:rPr>
              <w:t>ultrasupercritique</w:t>
            </w:r>
            <w:proofErr w:type="spellEnd"/>
          </w:p>
        </w:tc>
        <w:tc>
          <w:tcPr>
            <w:tcW w:w="4252" w:type="dxa"/>
            <w:tcBorders>
              <w:top w:val="single" w:sz="4" w:space="0" w:color="000000"/>
              <w:left w:val="single" w:sz="4" w:space="0" w:color="000000"/>
              <w:bottom w:val="single" w:sz="4" w:space="0" w:color="000000"/>
            </w:tcBorders>
            <w:shd w:val="clear" w:color="auto" w:fill="auto"/>
            <w:vAlign w:val="center"/>
          </w:tcPr>
          <w:p w14:paraId="0A012C77" w14:textId="77777777" w:rsidR="00C60E1F" w:rsidRPr="00C60E1F" w:rsidRDefault="00C60E1F" w:rsidP="002B0DC1">
            <w:pPr>
              <w:widowControl w:val="0"/>
              <w:jc w:val="both"/>
              <w:rPr>
                <w:color w:val="000000"/>
                <w:sz w:val="22"/>
                <w:szCs w:val="22"/>
                <w:lang w:eastAsia="fr-FR"/>
              </w:rPr>
            </w:pPr>
            <w:r w:rsidRPr="00C60E1F">
              <w:rPr>
                <w:sz w:val="22"/>
                <w:szCs w:val="22"/>
              </w:rPr>
              <w:t>Utilisation d'un circuit de vapeur, y compris de systèmes de réchauffage de la vapeur, dans lequel la vapeur peut atteindre des pressions supérieures à 220,6 bars et des températures de plus de 374 °C en conditions supercritiques, et des pressions supérieures à 250-300 bars et des températures de plus de 580-600 °C en conditions ultra-supercritiques</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95F0" w14:textId="1DE3DA79" w:rsidR="00C60E1F" w:rsidRPr="00C60E1F" w:rsidRDefault="00C60E1F" w:rsidP="002B0DC1">
            <w:pPr>
              <w:widowControl w:val="0"/>
              <w:rPr>
                <w:color w:val="000000"/>
                <w:sz w:val="22"/>
                <w:szCs w:val="22"/>
                <w:lang w:eastAsia="fr-FR"/>
              </w:rPr>
            </w:pPr>
            <w:r w:rsidRPr="00C60E1F">
              <w:rPr>
                <w:sz w:val="22"/>
                <w:szCs w:val="22"/>
              </w:rPr>
              <w:t xml:space="preserve">Uniquement applicable aux </w:t>
            </w:r>
            <w:r w:rsidR="004D32D4">
              <w:rPr>
                <w:sz w:val="22"/>
                <w:szCs w:val="22"/>
              </w:rPr>
              <w:t>appareil</w:t>
            </w:r>
            <w:r w:rsidRPr="00C60E1F">
              <w:rPr>
                <w:sz w:val="22"/>
                <w:szCs w:val="22"/>
              </w:rPr>
              <w:t xml:space="preserve">s </w:t>
            </w:r>
            <w:r w:rsidR="00130C80">
              <w:rPr>
                <w:sz w:val="22"/>
                <w:szCs w:val="22"/>
              </w:rPr>
              <w:t xml:space="preserve">autorisés </w:t>
            </w:r>
            <w:r w:rsidR="006B21BB">
              <w:rPr>
                <w:sz w:val="22"/>
                <w:szCs w:val="22"/>
              </w:rPr>
              <w:t>à compter du</w:t>
            </w:r>
            <w:r w:rsidR="00130C80">
              <w:rPr>
                <w:sz w:val="22"/>
                <w:szCs w:val="22"/>
              </w:rPr>
              <w:t xml:space="preserve"> 17 août 2017</w:t>
            </w:r>
            <w:r w:rsidR="00130C80" w:rsidRPr="00C60E1F">
              <w:rPr>
                <w:sz w:val="22"/>
                <w:szCs w:val="22"/>
              </w:rPr>
              <w:t xml:space="preserve"> </w:t>
            </w:r>
            <w:r w:rsidRPr="00C60E1F">
              <w:rPr>
                <w:sz w:val="22"/>
                <w:szCs w:val="22"/>
              </w:rPr>
              <w:t xml:space="preserve">de puissance ≥ 600 </w:t>
            </w:r>
            <w:proofErr w:type="spellStart"/>
            <w:r w:rsidRPr="00C60E1F">
              <w:rPr>
                <w:sz w:val="22"/>
                <w:szCs w:val="22"/>
              </w:rPr>
              <w:t>MWth</w:t>
            </w:r>
            <w:proofErr w:type="spellEnd"/>
            <w:r w:rsidRPr="00C60E1F">
              <w:rPr>
                <w:sz w:val="22"/>
                <w:szCs w:val="22"/>
              </w:rPr>
              <w:t xml:space="preserve"> exploitées plus de 4 000 h/an. Non applicable lorsque </w:t>
            </w:r>
            <w:r w:rsidR="004D32D4">
              <w:rPr>
                <w:sz w:val="22"/>
                <w:szCs w:val="22"/>
              </w:rPr>
              <w:t>l’appareil</w:t>
            </w:r>
            <w:r w:rsidR="004D32D4" w:rsidRPr="00C60E1F">
              <w:rPr>
                <w:sz w:val="22"/>
                <w:szCs w:val="22"/>
              </w:rPr>
              <w:t xml:space="preserve"> </w:t>
            </w:r>
            <w:r w:rsidRPr="00C60E1F">
              <w:rPr>
                <w:sz w:val="22"/>
                <w:szCs w:val="22"/>
              </w:rPr>
              <w:t>est destiné à produire de la vapeur à basse température ou pression dans les industries de procédés</w:t>
            </w:r>
            <w:r w:rsidR="00A05F1E">
              <w:rPr>
                <w:sz w:val="22"/>
                <w:szCs w:val="22"/>
              </w:rPr>
              <w:t>.</w:t>
            </w:r>
            <w:r w:rsidRPr="00C60E1F">
              <w:rPr>
                <w:sz w:val="22"/>
                <w:szCs w:val="22"/>
              </w:rPr>
              <w:t xml:space="preserve"> Non applicable aux turbines et moteurs à gaz produisant de la vapeur en mode cogénération. Dans le cas des </w:t>
            </w:r>
            <w:r w:rsidR="004D32D4">
              <w:rPr>
                <w:sz w:val="22"/>
                <w:szCs w:val="22"/>
              </w:rPr>
              <w:t>appareils</w:t>
            </w:r>
            <w:r w:rsidR="004D32D4" w:rsidRPr="00C60E1F">
              <w:rPr>
                <w:sz w:val="22"/>
                <w:szCs w:val="22"/>
              </w:rPr>
              <w:t xml:space="preserve"> </w:t>
            </w:r>
            <w:r w:rsidRPr="00C60E1F">
              <w:rPr>
                <w:sz w:val="22"/>
                <w:szCs w:val="22"/>
              </w:rPr>
              <w:t>brûlant de la biomasse, l'applicabilité peut être limitée par la corrosion à haute température provoquée par certaines biomasses</w:t>
            </w:r>
          </w:p>
        </w:tc>
      </w:tr>
    </w:tbl>
    <w:p w14:paraId="276F82D7" w14:textId="52191BBC" w:rsidR="00C60E1F" w:rsidRDefault="00C60E1F" w:rsidP="002B0DC1">
      <w:pPr>
        <w:jc w:val="both"/>
        <w:rPr>
          <w:color w:val="000000"/>
          <w:lang w:eastAsia="fr-FR"/>
        </w:rPr>
      </w:pPr>
    </w:p>
    <w:p w14:paraId="3B7E5672" w14:textId="15060ECA" w:rsidR="00FA6E72" w:rsidRPr="00C60E1F" w:rsidRDefault="00FA6E72" w:rsidP="002B0DC1">
      <w:pPr>
        <w:jc w:val="both"/>
        <w:rPr>
          <w:color w:val="000000"/>
          <w:lang w:eastAsia="fr-FR"/>
        </w:rPr>
      </w:pPr>
      <w:r>
        <w:rPr>
          <w:color w:val="000000"/>
          <w:lang w:eastAsia="fr-FR"/>
        </w:rPr>
        <w:t>« I</w:t>
      </w:r>
      <w:r w:rsidRPr="00C60E1F">
        <w:rPr>
          <w:color w:val="000000"/>
          <w:lang w:eastAsia="fr-FR"/>
        </w:rPr>
        <w:t xml:space="preserve">II. - Pour les appareils utilisant comme combustible du charbon ou </w:t>
      </w:r>
      <w:r w:rsidR="001443A3">
        <w:rPr>
          <w:color w:val="000000"/>
          <w:lang w:eastAsia="fr-FR"/>
        </w:rPr>
        <w:t>du</w:t>
      </w:r>
      <w:r w:rsidRPr="00C60E1F">
        <w:rPr>
          <w:color w:val="000000"/>
          <w:lang w:eastAsia="fr-FR"/>
        </w:rPr>
        <w:t xml:space="preserve"> lignite, l’exploitant applique</w:t>
      </w:r>
      <w:r>
        <w:rPr>
          <w:color w:val="000000"/>
          <w:lang w:eastAsia="fr-FR"/>
        </w:rPr>
        <w:t>,</w:t>
      </w:r>
      <w:r w:rsidRPr="00C60E1F">
        <w:rPr>
          <w:color w:val="000000"/>
          <w:lang w:eastAsia="fr-FR"/>
        </w:rPr>
        <w:t xml:space="preserve"> </w:t>
      </w:r>
      <w:r>
        <w:rPr>
          <w:color w:val="000000"/>
          <w:lang w:eastAsia="fr-FR"/>
        </w:rPr>
        <w:t xml:space="preserve">en plus, </w:t>
      </w:r>
      <w:r w:rsidRPr="00C60E1F">
        <w:rPr>
          <w:color w:val="000000"/>
          <w:lang w:eastAsia="fr-FR"/>
        </w:rPr>
        <w:t>la technique ci-dessous :</w:t>
      </w:r>
    </w:p>
    <w:p w14:paraId="78C72D2D" w14:textId="77777777" w:rsidR="00FA6E72" w:rsidRPr="00C60E1F" w:rsidRDefault="00FA6E72" w:rsidP="002B0DC1">
      <w:pPr>
        <w:jc w:val="both"/>
        <w:rPr>
          <w:color w:val="000000"/>
          <w:lang w:eastAsia="fr-FR"/>
        </w:rPr>
      </w:pPr>
    </w:p>
    <w:tbl>
      <w:tblPr>
        <w:tblW w:w="9086" w:type="dxa"/>
        <w:jc w:val="center"/>
        <w:tblLayout w:type="fixed"/>
        <w:tblLook w:val="0000" w:firstRow="0" w:lastRow="0" w:firstColumn="0" w:lastColumn="0" w:noHBand="0" w:noVBand="0"/>
      </w:tblPr>
      <w:tblGrid>
        <w:gridCol w:w="373"/>
        <w:gridCol w:w="1607"/>
        <w:gridCol w:w="4252"/>
        <w:gridCol w:w="2854"/>
      </w:tblGrid>
      <w:tr w:rsidR="00FA6E72" w:rsidRPr="00C60E1F" w14:paraId="266AFA4A" w14:textId="77777777" w:rsidTr="00E0385F">
        <w:trPr>
          <w:cantSplit/>
          <w:jc w:val="center"/>
        </w:trPr>
        <w:tc>
          <w:tcPr>
            <w:tcW w:w="1980" w:type="dxa"/>
            <w:gridSpan w:val="2"/>
            <w:tcBorders>
              <w:top w:val="single" w:sz="4" w:space="0" w:color="000000"/>
              <w:left w:val="single" w:sz="4" w:space="0" w:color="000000"/>
              <w:bottom w:val="single" w:sz="4" w:space="0" w:color="000000"/>
            </w:tcBorders>
            <w:shd w:val="clear" w:color="auto" w:fill="auto"/>
          </w:tcPr>
          <w:p w14:paraId="0C1D086B" w14:textId="77777777" w:rsidR="00FA6E72" w:rsidRPr="00C60E1F" w:rsidRDefault="00FA6E72" w:rsidP="002B0DC1">
            <w:pPr>
              <w:widowControl w:val="0"/>
              <w:jc w:val="center"/>
              <w:rPr>
                <w:color w:val="000000"/>
                <w:sz w:val="22"/>
                <w:szCs w:val="22"/>
                <w:lang w:eastAsia="fr-FR"/>
              </w:rPr>
            </w:pPr>
            <w:r w:rsidRPr="00C60E1F">
              <w:rPr>
                <w:color w:val="000000"/>
                <w:sz w:val="22"/>
                <w:szCs w:val="22"/>
                <w:lang w:eastAsia="fr-FR"/>
              </w:rPr>
              <w:t>Technique</w:t>
            </w:r>
          </w:p>
        </w:tc>
        <w:tc>
          <w:tcPr>
            <w:tcW w:w="4252" w:type="dxa"/>
            <w:tcBorders>
              <w:top w:val="single" w:sz="4" w:space="0" w:color="000000"/>
              <w:left w:val="single" w:sz="4" w:space="0" w:color="000000"/>
              <w:bottom w:val="single" w:sz="4" w:space="0" w:color="000000"/>
            </w:tcBorders>
            <w:shd w:val="clear" w:color="auto" w:fill="auto"/>
            <w:vAlign w:val="center"/>
          </w:tcPr>
          <w:p w14:paraId="50D8A818" w14:textId="77777777" w:rsidR="00FA6E72" w:rsidRPr="00C60E1F" w:rsidRDefault="00FA6E72" w:rsidP="002B0DC1">
            <w:pPr>
              <w:widowControl w:val="0"/>
              <w:jc w:val="center"/>
              <w:rPr>
                <w:color w:val="000000"/>
                <w:sz w:val="22"/>
                <w:szCs w:val="22"/>
                <w:lang w:eastAsia="fr-FR"/>
              </w:rPr>
            </w:pPr>
            <w:r w:rsidRPr="00C60E1F">
              <w:rPr>
                <w:color w:val="000000"/>
                <w:sz w:val="22"/>
                <w:szCs w:val="22"/>
                <w:lang w:eastAsia="fr-FR"/>
              </w:rPr>
              <w:t>Description</w:t>
            </w:r>
          </w:p>
        </w:tc>
        <w:tc>
          <w:tcPr>
            <w:tcW w:w="2854" w:type="dxa"/>
            <w:tcBorders>
              <w:top w:val="single" w:sz="4" w:space="0" w:color="000000"/>
              <w:left w:val="single" w:sz="4" w:space="0" w:color="000000"/>
              <w:bottom w:val="single" w:sz="4" w:space="0" w:color="auto"/>
              <w:right w:val="single" w:sz="4" w:space="0" w:color="000000"/>
            </w:tcBorders>
            <w:shd w:val="clear" w:color="auto" w:fill="auto"/>
            <w:vAlign w:val="center"/>
          </w:tcPr>
          <w:p w14:paraId="22B5758A" w14:textId="77777777" w:rsidR="00FA6E72" w:rsidRPr="00C60E1F" w:rsidRDefault="00FA6E72" w:rsidP="002B0DC1">
            <w:pPr>
              <w:widowControl w:val="0"/>
              <w:jc w:val="center"/>
              <w:rPr>
                <w:color w:val="000000"/>
                <w:sz w:val="22"/>
                <w:szCs w:val="22"/>
                <w:lang w:eastAsia="fr-FR"/>
              </w:rPr>
            </w:pPr>
            <w:r w:rsidRPr="00C60E1F">
              <w:rPr>
                <w:color w:val="000000"/>
                <w:sz w:val="22"/>
                <w:szCs w:val="22"/>
                <w:lang w:eastAsia="fr-FR"/>
              </w:rPr>
              <w:t>Applicabilité</w:t>
            </w:r>
          </w:p>
        </w:tc>
      </w:tr>
      <w:tr w:rsidR="00FA6E72" w:rsidRPr="00C60E1F" w14:paraId="5B434FC0" w14:textId="77777777" w:rsidTr="00E0385F">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7110A379" w14:textId="77777777" w:rsidR="00FA6E72" w:rsidRPr="00C60E1F" w:rsidRDefault="00FA6E72" w:rsidP="002B0DC1">
            <w:pPr>
              <w:widowControl w:val="0"/>
              <w:jc w:val="center"/>
              <w:rPr>
                <w:color w:val="000000"/>
                <w:sz w:val="22"/>
                <w:szCs w:val="22"/>
                <w:lang w:eastAsia="fr-FR"/>
              </w:rPr>
            </w:pPr>
            <w:proofErr w:type="gramStart"/>
            <w:r w:rsidRPr="00C60E1F">
              <w:rPr>
                <w:color w:val="000000"/>
                <w:sz w:val="22"/>
                <w:szCs w:val="22"/>
                <w:lang w:eastAsia="fr-FR"/>
              </w:rPr>
              <w:t>a</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265C5ACF" w14:textId="77777777" w:rsidR="00FA6E72" w:rsidRPr="00C60E1F" w:rsidRDefault="00FA6E72" w:rsidP="002B0DC1">
            <w:pPr>
              <w:widowControl w:val="0"/>
              <w:jc w:val="both"/>
              <w:rPr>
                <w:color w:val="000000"/>
                <w:sz w:val="22"/>
                <w:szCs w:val="22"/>
                <w:lang w:eastAsia="fr-FR"/>
              </w:rPr>
            </w:pPr>
            <w:r w:rsidRPr="00C60E1F">
              <w:rPr>
                <w:sz w:val="22"/>
                <w:szCs w:val="22"/>
              </w:rPr>
              <w:t>Manutention des cendres résiduelles sèches</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401488CC" w14:textId="77777777" w:rsidR="00FA6E72" w:rsidRPr="00C60E1F" w:rsidRDefault="00FA6E72" w:rsidP="002B0DC1">
            <w:pPr>
              <w:widowControl w:val="0"/>
              <w:jc w:val="both"/>
              <w:rPr>
                <w:color w:val="000000"/>
                <w:sz w:val="22"/>
                <w:szCs w:val="22"/>
                <w:lang w:eastAsia="fr-FR"/>
              </w:rPr>
            </w:pPr>
            <w:r w:rsidRPr="00C60E1F">
              <w:rPr>
                <w:sz w:val="22"/>
                <w:szCs w:val="22"/>
              </w:rPr>
              <w:t xml:space="preserve">Les cendres résiduelles chaudes et sèches tombent du foyer sur un convoyeur mécanique et sont refroidies par l'air ambiant après avoir été redirigées vers le foyer pour être rebrûlées. Tant la </w:t>
            </w:r>
            <w:proofErr w:type="spellStart"/>
            <w:r w:rsidRPr="00C60E1F">
              <w:rPr>
                <w:sz w:val="22"/>
                <w:szCs w:val="22"/>
              </w:rPr>
              <w:t>recombustion</w:t>
            </w:r>
            <w:proofErr w:type="spellEnd"/>
            <w:r w:rsidRPr="00C60E1F">
              <w:rPr>
                <w:sz w:val="22"/>
                <w:szCs w:val="22"/>
              </w:rPr>
              <w:t xml:space="preserve"> des cendres que leur refroidissement </w:t>
            </w:r>
            <w:proofErr w:type="gramStart"/>
            <w:r w:rsidRPr="00C60E1F">
              <w:rPr>
                <w:sz w:val="22"/>
                <w:szCs w:val="22"/>
              </w:rPr>
              <w:t>génèrent</w:t>
            </w:r>
            <w:proofErr w:type="gramEnd"/>
            <w:r w:rsidRPr="00C60E1F">
              <w:rPr>
                <w:sz w:val="22"/>
                <w:szCs w:val="22"/>
              </w:rPr>
              <w:t xml:space="preserve"> une énergie utile.</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6ED0CC87" w14:textId="54D47EF7" w:rsidR="00FA6E72" w:rsidRPr="00C60E1F" w:rsidRDefault="00FA6E72" w:rsidP="002B0DC1">
            <w:pPr>
              <w:widowControl w:val="0"/>
              <w:jc w:val="both"/>
              <w:rPr>
                <w:color w:val="000000"/>
                <w:sz w:val="22"/>
                <w:szCs w:val="22"/>
                <w:lang w:eastAsia="fr-FR"/>
              </w:rPr>
            </w:pPr>
            <w:r w:rsidRPr="00C60E1F">
              <w:rPr>
                <w:sz w:val="22"/>
                <w:szCs w:val="22"/>
              </w:rPr>
              <w:t xml:space="preserve">Des restrictions techniques peuvent limiter l'applicabilité aux installations de combustion </w:t>
            </w:r>
            <w:r w:rsidR="00847B04">
              <w:rPr>
                <w:rFonts w:ascii="Arial" w:hAnsi="Arial" w:cs="Arial"/>
                <w:sz w:val="20"/>
                <w:szCs w:val="20"/>
              </w:rPr>
              <w:t>dont l’autorisation a été délivré</w:t>
            </w:r>
            <w:r w:rsidR="00C40620">
              <w:rPr>
                <w:rFonts w:ascii="Arial" w:hAnsi="Arial" w:cs="Arial"/>
                <w:sz w:val="20"/>
                <w:szCs w:val="20"/>
              </w:rPr>
              <w:t>e</w:t>
            </w:r>
            <w:r w:rsidR="00847B04">
              <w:rPr>
                <w:rFonts w:ascii="Arial" w:hAnsi="Arial" w:cs="Arial"/>
                <w:sz w:val="20"/>
                <w:szCs w:val="20"/>
              </w:rPr>
              <w:t xml:space="preserve"> </w:t>
            </w:r>
            <w:r w:rsidR="006B21BB">
              <w:rPr>
                <w:rFonts w:ascii="Arial" w:hAnsi="Arial" w:cs="Arial"/>
                <w:sz w:val="20"/>
                <w:szCs w:val="20"/>
              </w:rPr>
              <w:t>avant le</w:t>
            </w:r>
            <w:r w:rsidR="00847B04">
              <w:rPr>
                <w:rFonts w:ascii="Arial" w:hAnsi="Arial" w:cs="Arial"/>
                <w:sz w:val="20"/>
                <w:szCs w:val="20"/>
              </w:rPr>
              <w:t xml:space="preserve"> 17 août 2017</w:t>
            </w:r>
            <w:r w:rsidR="006B21BB">
              <w:rPr>
                <w:rFonts w:ascii="Arial" w:hAnsi="Arial" w:cs="Arial"/>
                <w:sz w:val="20"/>
                <w:szCs w:val="20"/>
              </w:rPr>
              <w:t xml:space="preserve"> </w:t>
            </w:r>
          </w:p>
        </w:tc>
      </w:tr>
    </w:tbl>
    <w:p w14:paraId="40576A91" w14:textId="77777777" w:rsidR="00FA6E72" w:rsidRDefault="00FA6E72" w:rsidP="002B0DC1">
      <w:pPr>
        <w:jc w:val="both"/>
        <w:rPr>
          <w:color w:val="000000"/>
          <w:lang w:eastAsia="fr-FR"/>
        </w:rPr>
      </w:pPr>
    </w:p>
    <w:p w14:paraId="74A01324" w14:textId="3F211251" w:rsidR="00FA6E72" w:rsidRPr="009C2514" w:rsidRDefault="00FA6E72" w:rsidP="002B0DC1">
      <w:pPr>
        <w:jc w:val="both"/>
        <w:rPr>
          <w:color w:val="000000"/>
          <w:lang w:eastAsia="fr-FR"/>
        </w:rPr>
      </w:pPr>
      <w:r>
        <w:rPr>
          <w:color w:val="000000"/>
          <w:lang w:eastAsia="fr-FR"/>
        </w:rPr>
        <w:t>« </w:t>
      </w:r>
      <w:r w:rsidRPr="009C2514">
        <w:rPr>
          <w:color w:val="000000"/>
          <w:lang w:eastAsia="fr-FR"/>
        </w:rPr>
        <w:t>I</w:t>
      </w:r>
      <w:r>
        <w:rPr>
          <w:color w:val="000000"/>
          <w:lang w:eastAsia="fr-FR"/>
        </w:rPr>
        <w:t>V</w:t>
      </w:r>
      <w:r w:rsidRPr="009C2514">
        <w:rPr>
          <w:color w:val="000000"/>
          <w:lang w:eastAsia="fr-FR"/>
        </w:rPr>
        <w:t>. - Pour les moteurs utilisant comme combustible du fioul lourd ou du fioul domestique,</w:t>
      </w:r>
      <w:r w:rsidRPr="00812C6F">
        <w:rPr>
          <w:color w:val="000000"/>
          <w:lang w:eastAsia="fr-FR"/>
        </w:rPr>
        <w:t xml:space="preserve"> et pour les turbines utilisant du fioul domestique,</w:t>
      </w:r>
      <w:r w:rsidRPr="009C2514">
        <w:rPr>
          <w:color w:val="000000"/>
          <w:lang w:eastAsia="fr-FR"/>
        </w:rPr>
        <w:t xml:space="preserve"> l’exploitant applique</w:t>
      </w:r>
      <w:r>
        <w:rPr>
          <w:color w:val="000000"/>
          <w:lang w:eastAsia="fr-FR"/>
        </w:rPr>
        <w:t>, en plus,</w:t>
      </w:r>
      <w:r w:rsidRPr="009C2514">
        <w:rPr>
          <w:color w:val="000000"/>
          <w:lang w:eastAsia="fr-FR"/>
        </w:rPr>
        <w:t xml:space="preserve"> la technique ci-dessous :</w:t>
      </w:r>
    </w:p>
    <w:p w14:paraId="3C0B3D72" w14:textId="77777777" w:rsidR="00FA6E72" w:rsidRPr="009C2514" w:rsidRDefault="00FA6E72" w:rsidP="002B0DC1">
      <w:pPr>
        <w:jc w:val="both"/>
        <w:rPr>
          <w:color w:val="000000"/>
          <w:lang w:eastAsia="fr-FR"/>
        </w:rPr>
      </w:pPr>
    </w:p>
    <w:tbl>
      <w:tblPr>
        <w:tblW w:w="9086" w:type="dxa"/>
        <w:jc w:val="center"/>
        <w:tblLayout w:type="fixed"/>
        <w:tblLook w:val="0000" w:firstRow="0" w:lastRow="0" w:firstColumn="0" w:lastColumn="0" w:noHBand="0" w:noVBand="0"/>
      </w:tblPr>
      <w:tblGrid>
        <w:gridCol w:w="373"/>
        <w:gridCol w:w="1607"/>
        <w:gridCol w:w="4252"/>
        <w:gridCol w:w="2854"/>
      </w:tblGrid>
      <w:tr w:rsidR="00FA6E72" w:rsidRPr="009C2514" w14:paraId="01244AA0" w14:textId="77777777" w:rsidTr="00E0385F">
        <w:trPr>
          <w:cantSplit/>
          <w:jc w:val="center"/>
        </w:trPr>
        <w:tc>
          <w:tcPr>
            <w:tcW w:w="1980" w:type="dxa"/>
            <w:gridSpan w:val="2"/>
            <w:tcBorders>
              <w:top w:val="single" w:sz="4" w:space="0" w:color="000000"/>
              <w:left w:val="single" w:sz="4" w:space="0" w:color="000000"/>
              <w:bottom w:val="single" w:sz="4" w:space="0" w:color="000000"/>
            </w:tcBorders>
            <w:shd w:val="clear" w:color="auto" w:fill="auto"/>
          </w:tcPr>
          <w:p w14:paraId="16411183" w14:textId="77777777" w:rsidR="00FA6E72" w:rsidRPr="009C2514" w:rsidRDefault="00FA6E72" w:rsidP="002B0DC1">
            <w:pPr>
              <w:widowControl w:val="0"/>
              <w:jc w:val="center"/>
              <w:rPr>
                <w:color w:val="000000"/>
                <w:sz w:val="22"/>
                <w:szCs w:val="22"/>
                <w:lang w:eastAsia="fr-FR"/>
              </w:rPr>
            </w:pPr>
            <w:r w:rsidRPr="009C2514">
              <w:rPr>
                <w:color w:val="000000"/>
                <w:sz w:val="22"/>
                <w:szCs w:val="22"/>
                <w:lang w:eastAsia="fr-FR"/>
              </w:rPr>
              <w:t>Technique</w:t>
            </w:r>
          </w:p>
        </w:tc>
        <w:tc>
          <w:tcPr>
            <w:tcW w:w="4252" w:type="dxa"/>
            <w:tcBorders>
              <w:top w:val="single" w:sz="4" w:space="0" w:color="000000"/>
              <w:left w:val="single" w:sz="4" w:space="0" w:color="000000"/>
              <w:bottom w:val="single" w:sz="4" w:space="0" w:color="000000"/>
            </w:tcBorders>
            <w:shd w:val="clear" w:color="auto" w:fill="auto"/>
            <w:vAlign w:val="center"/>
          </w:tcPr>
          <w:p w14:paraId="594992EC" w14:textId="77777777" w:rsidR="00FA6E72" w:rsidRPr="009C2514" w:rsidRDefault="00FA6E72" w:rsidP="002B0DC1">
            <w:pPr>
              <w:widowControl w:val="0"/>
              <w:jc w:val="center"/>
              <w:rPr>
                <w:color w:val="000000"/>
                <w:sz w:val="22"/>
                <w:szCs w:val="22"/>
                <w:lang w:eastAsia="fr-FR"/>
              </w:rPr>
            </w:pPr>
            <w:r w:rsidRPr="009C2514">
              <w:rPr>
                <w:color w:val="000000"/>
                <w:sz w:val="22"/>
                <w:szCs w:val="22"/>
                <w:lang w:eastAsia="fr-FR"/>
              </w:rPr>
              <w:t>Description</w:t>
            </w:r>
          </w:p>
        </w:tc>
        <w:tc>
          <w:tcPr>
            <w:tcW w:w="2854" w:type="dxa"/>
            <w:tcBorders>
              <w:top w:val="single" w:sz="4" w:space="0" w:color="000000"/>
              <w:left w:val="single" w:sz="4" w:space="0" w:color="000000"/>
              <w:bottom w:val="single" w:sz="4" w:space="0" w:color="auto"/>
              <w:right w:val="single" w:sz="4" w:space="0" w:color="000000"/>
            </w:tcBorders>
            <w:shd w:val="clear" w:color="auto" w:fill="auto"/>
            <w:vAlign w:val="center"/>
          </w:tcPr>
          <w:p w14:paraId="76965ABF" w14:textId="77777777" w:rsidR="00FA6E72" w:rsidRPr="009C2514" w:rsidRDefault="00FA6E72" w:rsidP="002B0DC1">
            <w:pPr>
              <w:widowControl w:val="0"/>
              <w:jc w:val="center"/>
              <w:rPr>
                <w:color w:val="000000"/>
                <w:sz w:val="22"/>
                <w:szCs w:val="22"/>
                <w:lang w:eastAsia="fr-FR"/>
              </w:rPr>
            </w:pPr>
            <w:r w:rsidRPr="009C2514">
              <w:rPr>
                <w:color w:val="000000"/>
                <w:sz w:val="22"/>
                <w:szCs w:val="22"/>
                <w:lang w:eastAsia="fr-FR"/>
              </w:rPr>
              <w:t>Applicabilité</w:t>
            </w:r>
          </w:p>
        </w:tc>
      </w:tr>
      <w:tr w:rsidR="00FA6E72" w:rsidRPr="009C2514" w14:paraId="4930DDB5" w14:textId="77777777" w:rsidTr="00E0385F">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684F8BB4" w14:textId="77777777" w:rsidR="00FA6E72" w:rsidRPr="009C2514" w:rsidRDefault="00FA6E72" w:rsidP="002B0DC1">
            <w:pPr>
              <w:widowControl w:val="0"/>
              <w:jc w:val="center"/>
              <w:rPr>
                <w:color w:val="000000"/>
                <w:sz w:val="22"/>
                <w:szCs w:val="22"/>
                <w:lang w:eastAsia="fr-FR"/>
              </w:rPr>
            </w:pPr>
            <w:proofErr w:type="gramStart"/>
            <w:r w:rsidRPr="009C2514">
              <w:rPr>
                <w:color w:val="000000"/>
                <w:sz w:val="22"/>
                <w:szCs w:val="22"/>
                <w:lang w:eastAsia="fr-FR"/>
              </w:rPr>
              <w:t>a</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4EAF5F58" w14:textId="77777777" w:rsidR="00FA6E72" w:rsidRPr="009C2514" w:rsidRDefault="00FA6E72" w:rsidP="002B0DC1">
            <w:pPr>
              <w:widowControl w:val="0"/>
              <w:jc w:val="both"/>
              <w:rPr>
                <w:color w:val="000000"/>
                <w:sz w:val="22"/>
                <w:szCs w:val="22"/>
                <w:lang w:eastAsia="fr-FR"/>
              </w:rPr>
            </w:pPr>
            <w:r w:rsidRPr="009C2514">
              <w:rPr>
                <w:sz w:val="22"/>
                <w:szCs w:val="22"/>
              </w:rPr>
              <w:t>Cycle combiné</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8E987F0" w14:textId="77777777" w:rsidR="00FA6E72" w:rsidRPr="009C2514" w:rsidRDefault="00FA6E72" w:rsidP="002B0DC1">
            <w:pPr>
              <w:widowControl w:val="0"/>
              <w:jc w:val="both"/>
              <w:rPr>
                <w:color w:val="000000"/>
                <w:sz w:val="22"/>
                <w:szCs w:val="22"/>
                <w:lang w:eastAsia="fr-FR"/>
              </w:rPr>
            </w:pPr>
            <w:r w:rsidRPr="009C2514">
              <w:rPr>
                <w:sz w:val="22"/>
                <w:szCs w:val="22"/>
              </w:rPr>
              <w:t xml:space="preserve">Combinaison d'au moins deux cycles thermodynamiques, par exemple un cycle </w:t>
            </w:r>
            <w:proofErr w:type="spellStart"/>
            <w:r w:rsidRPr="009C2514">
              <w:rPr>
                <w:sz w:val="22"/>
                <w:szCs w:val="22"/>
              </w:rPr>
              <w:t>Brayton</w:t>
            </w:r>
            <w:proofErr w:type="spellEnd"/>
            <w:r w:rsidRPr="009C2514">
              <w:rPr>
                <w:sz w:val="22"/>
                <w:szCs w:val="22"/>
              </w:rPr>
              <w:t xml:space="preserve"> (turbine à gaz/moteur à combustion) avec un cycle Rankine (turbine à vapeur/chaudière) pour transformer la chaleur perdue des fumées du premier cycle en énergie utile pour le ou les cycles suivants.</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7210DB46" w14:textId="4E65F6DA" w:rsidR="00FA6E72" w:rsidRPr="009C2514" w:rsidRDefault="00FA6E72" w:rsidP="002B0DC1">
            <w:pPr>
              <w:widowControl w:val="0"/>
              <w:jc w:val="both"/>
              <w:rPr>
                <w:sz w:val="22"/>
                <w:szCs w:val="22"/>
              </w:rPr>
            </w:pPr>
            <w:r w:rsidRPr="009C2514">
              <w:rPr>
                <w:sz w:val="22"/>
                <w:szCs w:val="22"/>
              </w:rPr>
              <w:t xml:space="preserve">Applicable d'une manière générale aux </w:t>
            </w:r>
            <w:r>
              <w:rPr>
                <w:sz w:val="22"/>
                <w:szCs w:val="22"/>
              </w:rPr>
              <w:t>appareil</w:t>
            </w:r>
            <w:r w:rsidRPr="009C2514">
              <w:rPr>
                <w:sz w:val="22"/>
                <w:szCs w:val="22"/>
              </w:rPr>
              <w:t xml:space="preserve">s </w:t>
            </w:r>
            <w:r>
              <w:rPr>
                <w:sz w:val="22"/>
                <w:szCs w:val="22"/>
              </w:rPr>
              <w:t xml:space="preserve">autorisés </w:t>
            </w:r>
            <w:r w:rsidR="006B21BB">
              <w:rPr>
                <w:sz w:val="22"/>
                <w:szCs w:val="22"/>
              </w:rPr>
              <w:t>à compter du</w:t>
            </w:r>
            <w:r>
              <w:rPr>
                <w:sz w:val="22"/>
                <w:szCs w:val="22"/>
              </w:rPr>
              <w:t xml:space="preserve"> 17 août 2017 </w:t>
            </w:r>
            <w:r w:rsidRPr="009C2514">
              <w:rPr>
                <w:sz w:val="22"/>
                <w:szCs w:val="22"/>
              </w:rPr>
              <w:t xml:space="preserve">exploités 1 500 h/an ou davantage. </w:t>
            </w:r>
          </w:p>
          <w:p w14:paraId="0BB90B83" w14:textId="16C7247E" w:rsidR="00FA6E72" w:rsidRPr="009C2514" w:rsidRDefault="00FA6E72" w:rsidP="002B0DC1">
            <w:pPr>
              <w:widowControl w:val="0"/>
              <w:jc w:val="both"/>
              <w:rPr>
                <w:sz w:val="22"/>
                <w:szCs w:val="22"/>
              </w:rPr>
            </w:pPr>
            <w:r w:rsidRPr="009C2514">
              <w:rPr>
                <w:sz w:val="22"/>
                <w:szCs w:val="22"/>
              </w:rPr>
              <w:t xml:space="preserve">Applicable aux </w:t>
            </w:r>
            <w:r>
              <w:rPr>
                <w:sz w:val="22"/>
                <w:szCs w:val="22"/>
              </w:rPr>
              <w:t>appareils</w:t>
            </w:r>
            <w:r w:rsidRPr="009C2514">
              <w:rPr>
                <w:sz w:val="22"/>
                <w:szCs w:val="22"/>
              </w:rPr>
              <w:t xml:space="preserve"> </w:t>
            </w:r>
            <w:r>
              <w:rPr>
                <w:sz w:val="22"/>
                <w:szCs w:val="22"/>
              </w:rPr>
              <w:t xml:space="preserve">autorisés </w:t>
            </w:r>
            <w:r w:rsidR="006B21BB">
              <w:rPr>
                <w:sz w:val="22"/>
                <w:szCs w:val="22"/>
              </w:rPr>
              <w:t xml:space="preserve">avant le </w:t>
            </w:r>
            <w:r>
              <w:rPr>
                <w:sz w:val="22"/>
                <w:szCs w:val="22"/>
              </w:rPr>
              <w:t>17 août 2017</w:t>
            </w:r>
            <w:r w:rsidRPr="009C2514">
              <w:rPr>
                <w:sz w:val="22"/>
                <w:szCs w:val="22"/>
              </w:rPr>
              <w:t xml:space="preserve"> dans les limites des contraintes liées à la conception du cycle vapeur et à l'espace disponible. </w:t>
            </w:r>
          </w:p>
          <w:p w14:paraId="54FB5676" w14:textId="34D627F1" w:rsidR="00FA6E72" w:rsidRPr="009C2514" w:rsidRDefault="00FA6E72" w:rsidP="002B0DC1">
            <w:pPr>
              <w:widowControl w:val="0"/>
              <w:jc w:val="both"/>
              <w:rPr>
                <w:color w:val="000000"/>
                <w:sz w:val="22"/>
                <w:szCs w:val="22"/>
                <w:lang w:eastAsia="fr-FR"/>
              </w:rPr>
            </w:pPr>
            <w:r w:rsidRPr="009C2514">
              <w:rPr>
                <w:sz w:val="22"/>
                <w:szCs w:val="22"/>
              </w:rPr>
              <w:t xml:space="preserve">Non applicable aux </w:t>
            </w:r>
            <w:r>
              <w:rPr>
                <w:sz w:val="22"/>
                <w:szCs w:val="22"/>
              </w:rPr>
              <w:t>appareils</w:t>
            </w:r>
            <w:r w:rsidRPr="009C2514">
              <w:rPr>
                <w:sz w:val="22"/>
                <w:szCs w:val="22"/>
              </w:rPr>
              <w:t xml:space="preserve"> </w:t>
            </w:r>
            <w:r>
              <w:rPr>
                <w:sz w:val="22"/>
                <w:szCs w:val="22"/>
              </w:rPr>
              <w:t xml:space="preserve">autorisés </w:t>
            </w:r>
            <w:r w:rsidR="006B21BB">
              <w:rPr>
                <w:sz w:val="22"/>
                <w:szCs w:val="22"/>
              </w:rPr>
              <w:t>avant le</w:t>
            </w:r>
            <w:r>
              <w:rPr>
                <w:sz w:val="22"/>
                <w:szCs w:val="22"/>
              </w:rPr>
              <w:t xml:space="preserve"> 17 août 2017</w:t>
            </w:r>
            <w:r w:rsidRPr="009C2514">
              <w:rPr>
                <w:sz w:val="22"/>
                <w:szCs w:val="22"/>
              </w:rPr>
              <w:t xml:space="preserve"> exploités moins de 1 500 h/an.</w:t>
            </w:r>
          </w:p>
        </w:tc>
      </w:tr>
    </w:tbl>
    <w:p w14:paraId="72B657B8" w14:textId="77777777" w:rsidR="00FA6E72" w:rsidRDefault="00FA6E72" w:rsidP="002B0DC1">
      <w:pPr>
        <w:jc w:val="both"/>
        <w:rPr>
          <w:rFonts w:ascii="Arial" w:hAnsi="Arial" w:cs="Arial"/>
          <w:color w:val="000000"/>
          <w:sz w:val="21"/>
          <w:szCs w:val="21"/>
          <w:lang w:eastAsia="fr-FR"/>
        </w:rPr>
      </w:pPr>
    </w:p>
    <w:p w14:paraId="58502E6B" w14:textId="72C88A1C" w:rsidR="00FA6E72" w:rsidRPr="00A05380" w:rsidRDefault="00FA6E72" w:rsidP="002B0DC1">
      <w:pPr>
        <w:suppressAutoHyphens w:val="0"/>
        <w:jc w:val="both"/>
        <w:rPr>
          <w:color w:val="000000"/>
          <w:lang w:eastAsia="fr-FR"/>
        </w:rPr>
      </w:pPr>
      <w:r>
        <w:rPr>
          <w:color w:val="000000"/>
          <w:lang w:eastAsia="fr-FR"/>
        </w:rPr>
        <w:t>« </w:t>
      </w:r>
      <w:r w:rsidRPr="00A05380">
        <w:rPr>
          <w:color w:val="000000"/>
          <w:lang w:eastAsia="fr-FR"/>
        </w:rPr>
        <w:t>V. – Pour les appareils de combustion au gaz naturel, l’exploitant applique, en plus, la technique ci-dessous :</w:t>
      </w:r>
    </w:p>
    <w:p w14:paraId="1711B363" w14:textId="77777777" w:rsidR="00FA6E72" w:rsidRPr="00A05380" w:rsidRDefault="00FA6E72" w:rsidP="002B0DC1">
      <w:pPr>
        <w:suppressAutoHyphens w:val="0"/>
        <w:jc w:val="both"/>
        <w:rPr>
          <w:color w:val="000000"/>
          <w:lang w:eastAsia="fr-FR"/>
        </w:rPr>
      </w:pPr>
    </w:p>
    <w:tbl>
      <w:tblPr>
        <w:tblW w:w="9086" w:type="dxa"/>
        <w:jc w:val="center"/>
        <w:tblLayout w:type="fixed"/>
        <w:tblLook w:val="0000" w:firstRow="0" w:lastRow="0" w:firstColumn="0" w:lastColumn="0" w:noHBand="0" w:noVBand="0"/>
      </w:tblPr>
      <w:tblGrid>
        <w:gridCol w:w="373"/>
        <w:gridCol w:w="1607"/>
        <w:gridCol w:w="4252"/>
        <w:gridCol w:w="2854"/>
      </w:tblGrid>
      <w:tr w:rsidR="00FA6E72" w:rsidRPr="00A05380" w14:paraId="438EB4A5" w14:textId="77777777" w:rsidTr="00E0385F">
        <w:trPr>
          <w:cantSplit/>
          <w:jc w:val="center"/>
        </w:trPr>
        <w:tc>
          <w:tcPr>
            <w:tcW w:w="1980" w:type="dxa"/>
            <w:gridSpan w:val="2"/>
            <w:tcBorders>
              <w:top w:val="single" w:sz="4" w:space="0" w:color="000000"/>
              <w:left w:val="single" w:sz="4" w:space="0" w:color="000000"/>
              <w:bottom w:val="single" w:sz="4" w:space="0" w:color="000000"/>
            </w:tcBorders>
            <w:shd w:val="clear" w:color="auto" w:fill="auto"/>
          </w:tcPr>
          <w:p w14:paraId="1D1BA1C0" w14:textId="77777777" w:rsidR="00FA6E72" w:rsidRPr="00A05380" w:rsidRDefault="00FA6E72" w:rsidP="002B0DC1">
            <w:pPr>
              <w:widowControl w:val="0"/>
              <w:suppressAutoHyphens w:val="0"/>
              <w:jc w:val="center"/>
              <w:rPr>
                <w:color w:val="000000"/>
                <w:sz w:val="22"/>
                <w:szCs w:val="22"/>
                <w:lang w:eastAsia="fr-FR"/>
              </w:rPr>
            </w:pPr>
            <w:r w:rsidRPr="00A05380">
              <w:rPr>
                <w:color w:val="000000"/>
                <w:sz w:val="22"/>
                <w:szCs w:val="22"/>
                <w:lang w:eastAsia="fr-FR"/>
              </w:rPr>
              <w:t>Technique</w:t>
            </w:r>
          </w:p>
        </w:tc>
        <w:tc>
          <w:tcPr>
            <w:tcW w:w="4252" w:type="dxa"/>
            <w:tcBorders>
              <w:top w:val="single" w:sz="4" w:space="0" w:color="000000"/>
              <w:left w:val="single" w:sz="4" w:space="0" w:color="000000"/>
              <w:bottom w:val="single" w:sz="4" w:space="0" w:color="000000"/>
            </w:tcBorders>
            <w:shd w:val="clear" w:color="auto" w:fill="auto"/>
            <w:vAlign w:val="center"/>
          </w:tcPr>
          <w:p w14:paraId="481912D9" w14:textId="77777777" w:rsidR="00FA6E72" w:rsidRPr="00A05380" w:rsidRDefault="00FA6E72" w:rsidP="002B0DC1">
            <w:pPr>
              <w:widowControl w:val="0"/>
              <w:suppressAutoHyphens w:val="0"/>
              <w:jc w:val="center"/>
              <w:rPr>
                <w:color w:val="000000"/>
                <w:sz w:val="22"/>
                <w:szCs w:val="22"/>
                <w:lang w:eastAsia="fr-FR"/>
              </w:rPr>
            </w:pPr>
            <w:r w:rsidRPr="00A05380">
              <w:rPr>
                <w:color w:val="000000"/>
                <w:sz w:val="22"/>
                <w:szCs w:val="22"/>
                <w:lang w:eastAsia="fr-FR"/>
              </w:rPr>
              <w:t>Description</w:t>
            </w:r>
          </w:p>
        </w:tc>
        <w:tc>
          <w:tcPr>
            <w:tcW w:w="2854" w:type="dxa"/>
            <w:tcBorders>
              <w:top w:val="single" w:sz="4" w:space="0" w:color="000000"/>
              <w:left w:val="single" w:sz="4" w:space="0" w:color="000000"/>
              <w:bottom w:val="single" w:sz="4" w:space="0" w:color="auto"/>
              <w:right w:val="single" w:sz="4" w:space="0" w:color="000000"/>
            </w:tcBorders>
            <w:shd w:val="clear" w:color="auto" w:fill="auto"/>
            <w:vAlign w:val="center"/>
          </w:tcPr>
          <w:p w14:paraId="04F4EF58" w14:textId="77777777" w:rsidR="00FA6E72" w:rsidRPr="00A05380" w:rsidRDefault="00FA6E72" w:rsidP="002B0DC1">
            <w:pPr>
              <w:widowControl w:val="0"/>
              <w:suppressAutoHyphens w:val="0"/>
              <w:jc w:val="center"/>
              <w:rPr>
                <w:color w:val="000000"/>
                <w:sz w:val="22"/>
                <w:szCs w:val="22"/>
                <w:lang w:eastAsia="fr-FR"/>
              </w:rPr>
            </w:pPr>
            <w:r w:rsidRPr="00A05380">
              <w:rPr>
                <w:color w:val="000000"/>
                <w:sz w:val="22"/>
                <w:szCs w:val="22"/>
                <w:lang w:eastAsia="fr-FR"/>
              </w:rPr>
              <w:t>Applicabilité</w:t>
            </w:r>
          </w:p>
        </w:tc>
      </w:tr>
      <w:tr w:rsidR="00FA6E72" w:rsidRPr="00A05380" w14:paraId="605C4ECA" w14:textId="77777777" w:rsidTr="00E0385F">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54B50830" w14:textId="77777777" w:rsidR="00FA6E72" w:rsidRPr="00A05380" w:rsidRDefault="00FA6E72" w:rsidP="002B0DC1">
            <w:pPr>
              <w:widowControl w:val="0"/>
              <w:suppressAutoHyphens w:val="0"/>
              <w:jc w:val="center"/>
              <w:rPr>
                <w:color w:val="000000"/>
                <w:sz w:val="22"/>
                <w:szCs w:val="22"/>
                <w:lang w:eastAsia="fr-FR"/>
              </w:rPr>
            </w:pPr>
            <w:proofErr w:type="gramStart"/>
            <w:r w:rsidRPr="00A05380">
              <w:rPr>
                <w:color w:val="000000"/>
                <w:sz w:val="22"/>
                <w:szCs w:val="22"/>
                <w:lang w:eastAsia="fr-FR"/>
              </w:rPr>
              <w:t>a</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40080902" w14:textId="77777777" w:rsidR="00FA6E72" w:rsidRPr="00A05380" w:rsidRDefault="00FA6E72" w:rsidP="002B0DC1">
            <w:pPr>
              <w:widowControl w:val="0"/>
              <w:suppressAutoHyphens w:val="0"/>
              <w:jc w:val="both"/>
              <w:rPr>
                <w:color w:val="000000"/>
                <w:sz w:val="22"/>
                <w:szCs w:val="22"/>
                <w:lang w:eastAsia="fr-FR"/>
              </w:rPr>
            </w:pPr>
            <w:r w:rsidRPr="00A05380">
              <w:rPr>
                <w:rFonts w:eastAsiaTheme="minorHAnsi"/>
                <w:sz w:val="22"/>
                <w:szCs w:val="22"/>
                <w:lang w:eastAsia="en-US"/>
              </w:rPr>
              <w:t>Cycle combiné</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0F4E56F7" w14:textId="77777777" w:rsidR="00FA6E72" w:rsidRPr="00A05380" w:rsidRDefault="00FA6E72" w:rsidP="002B0DC1">
            <w:pPr>
              <w:widowControl w:val="0"/>
              <w:suppressAutoHyphens w:val="0"/>
              <w:jc w:val="both"/>
              <w:rPr>
                <w:color w:val="000000"/>
                <w:sz w:val="22"/>
                <w:szCs w:val="22"/>
                <w:lang w:eastAsia="fr-FR"/>
              </w:rPr>
            </w:pPr>
            <w:r w:rsidRPr="00A05380">
              <w:rPr>
                <w:rFonts w:eastAsiaTheme="minorHAnsi"/>
                <w:sz w:val="22"/>
                <w:szCs w:val="22"/>
                <w:lang w:eastAsia="en-US"/>
              </w:rPr>
              <w:t xml:space="preserve">Combinaison d'au moins deux cycles thermodynamiques, par exemple un cycle </w:t>
            </w:r>
            <w:proofErr w:type="spellStart"/>
            <w:r w:rsidRPr="00A05380">
              <w:rPr>
                <w:rFonts w:eastAsiaTheme="minorHAnsi"/>
                <w:sz w:val="22"/>
                <w:szCs w:val="22"/>
                <w:lang w:eastAsia="en-US"/>
              </w:rPr>
              <w:t>Brayton</w:t>
            </w:r>
            <w:proofErr w:type="spellEnd"/>
            <w:r w:rsidRPr="00A05380">
              <w:rPr>
                <w:rFonts w:eastAsiaTheme="minorHAnsi"/>
                <w:sz w:val="22"/>
                <w:szCs w:val="22"/>
                <w:lang w:eastAsia="en-US"/>
              </w:rPr>
              <w:t xml:space="preserve"> (turbine à gaz/moteur à combustion) avec un cycle Rankine (turbine à vapeur/chaudière) pour transformer la chaleur perdue des fumées du premier cycle en énergie utile pour le ou les cycles suivants.</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4B6AEEE9" w14:textId="7717A9C9" w:rsidR="00FA6E72" w:rsidRPr="00A05380" w:rsidRDefault="00FA6E72" w:rsidP="002B0DC1">
            <w:pPr>
              <w:widowControl w:val="0"/>
              <w:suppressAutoHyphens w:val="0"/>
              <w:jc w:val="both"/>
              <w:rPr>
                <w:color w:val="000000"/>
                <w:sz w:val="22"/>
                <w:szCs w:val="22"/>
                <w:lang w:eastAsia="fr-FR"/>
              </w:rPr>
            </w:pPr>
            <w:r w:rsidRPr="00A05380">
              <w:rPr>
                <w:rFonts w:eastAsiaTheme="minorHAnsi"/>
                <w:sz w:val="22"/>
                <w:szCs w:val="22"/>
                <w:lang w:eastAsia="en-US"/>
              </w:rPr>
              <w:t>Applicable d'une manière générale aux turbines à gaz et aux moteurs à gaz</w:t>
            </w:r>
            <w:r>
              <w:rPr>
                <w:rFonts w:eastAsiaTheme="minorHAnsi"/>
                <w:sz w:val="22"/>
                <w:szCs w:val="22"/>
                <w:lang w:eastAsia="en-US"/>
              </w:rPr>
              <w:t xml:space="preserve"> autorisés </w:t>
            </w:r>
            <w:r w:rsidR="006B21BB">
              <w:rPr>
                <w:rFonts w:eastAsiaTheme="minorHAnsi"/>
                <w:sz w:val="22"/>
                <w:szCs w:val="22"/>
                <w:lang w:eastAsia="en-US"/>
              </w:rPr>
              <w:t>à compter du</w:t>
            </w:r>
            <w:r>
              <w:rPr>
                <w:rFonts w:eastAsiaTheme="minorHAnsi"/>
                <w:sz w:val="22"/>
                <w:szCs w:val="22"/>
                <w:lang w:eastAsia="en-US"/>
              </w:rPr>
              <w:t xml:space="preserve"> 17 août 2017</w:t>
            </w:r>
            <w:r w:rsidRPr="00A05380">
              <w:rPr>
                <w:rFonts w:eastAsiaTheme="minorHAnsi"/>
                <w:sz w:val="22"/>
                <w:szCs w:val="22"/>
                <w:lang w:eastAsia="en-US"/>
              </w:rPr>
              <w:t xml:space="preserve">, sauf lorsqu'ils sont exploités moins de &lt; 1 500 h/an. Applicable aux turbines et moteurs à gaz </w:t>
            </w:r>
            <w:bookmarkStart w:id="34" w:name="_Hlk170724747"/>
            <w:r>
              <w:rPr>
                <w:rFonts w:eastAsiaTheme="minorHAnsi"/>
                <w:sz w:val="22"/>
                <w:szCs w:val="22"/>
                <w:lang w:eastAsia="en-US"/>
              </w:rPr>
              <w:t xml:space="preserve">autorisés </w:t>
            </w:r>
            <w:r w:rsidR="006B21BB">
              <w:rPr>
                <w:rFonts w:eastAsiaTheme="minorHAnsi"/>
                <w:sz w:val="22"/>
                <w:szCs w:val="22"/>
                <w:lang w:eastAsia="en-US"/>
              </w:rPr>
              <w:t xml:space="preserve">avant le </w:t>
            </w:r>
            <w:r>
              <w:rPr>
                <w:rFonts w:eastAsiaTheme="minorHAnsi"/>
                <w:sz w:val="22"/>
                <w:szCs w:val="22"/>
                <w:lang w:eastAsia="en-US"/>
              </w:rPr>
              <w:t>17 août 2017</w:t>
            </w:r>
            <w:r w:rsidRPr="00A05380">
              <w:rPr>
                <w:rFonts w:eastAsiaTheme="minorHAnsi"/>
                <w:sz w:val="22"/>
                <w:szCs w:val="22"/>
                <w:lang w:eastAsia="en-US"/>
              </w:rPr>
              <w:t xml:space="preserve"> </w:t>
            </w:r>
            <w:bookmarkEnd w:id="34"/>
            <w:r w:rsidRPr="00A05380">
              <w:rPr>
                <w:rFonts w:eastAsiaTheme="minorHAnsi"/>
                <w:sz w:val="22"/>
                <w:szCs w:val="22"/>
                <w:lang w:eastAsia="en-US"/>
              </w:rPr>
              <w:t xml:space="preserve">dans les limites des contraintes liées à la conception du cycle vapeur et à l'espace disponible. Non applicable aux turbines et moteurs à gaz </w:t>
            </w:r>
            <w:r>
              <w:rPr>
                <w:rFonts w:eastAsiaTheme="minorHAnsi"/>
                <w:sz w:val="22"/>
                <w:szCs w:val="22"/>
                <w:lang w:eastAsia="en-US"/>
              </w:rPr>
              <w:t xml:space="preserve">autorisés </w:t>
            </w:r>
            <w:r w:rsidR="006B21BB">
              <w:rPr>
                <w:rFonts w:eastAsiaTheme="minorHAnsi"/>
                <w:sz w:val="22"/>
                <w:szCs w:val="22"/>
                <w:lang w:eastAsia="en-US"/>
              </w:rPr>
              <w:t xml:space="preserve">avant le </w:t>
            </w:r>
            <w:r>
              <w:rPr>
                <w:rFonts w:eastAsiaTheme="minorHAnsi"/>
                <w:sz w:val="22"/>
                <w:szCs w:val="22"/>
                <w:lang w:eastAsia="en-US"/>
              </w:rPr>
              <w:t>17 août 2017</w:t>
            </w:r>
            <w:r w:rsidRPr="00A05380">
              <w:rPr>
                <w:rFonts w:eastAsiaTheme="minorHAnsi"/>
                <w:sz w:val="22"/>
                <w:szCs w:val="22"/>
                <w:lang w:eastAsia="en-US"/>
              </w:rPr>
              <w:t xml:space="preserve"> exploités moins de &lt; 1 500 h/an. Non applicable aux turbines à gaz à entraînement mécanique exploitées de manière discontinue à charge variable et avec de fréquents arrêts et démarrages. Non applicable aux chaudières</w:t>
            </w:r>
          </w:p>
        </w:tc>
      </w:tr>
    </w:tbl>
    <w:p w14:paraId="504775AC" w14:textId="77777777" w:rsidR="00FA6E72" w:rsidRPr="00A05380" w:rsidRDefault="00FA6E72" w:rsidP="002B0DC1">
      <w:pPr>
        <w:suppressAutoHyphens w:val="0"/>
        <w:jc w:val="both"/>
        <w:rPr>
          <w:color w:val="000000"/>
          <w:lang w:eastAsia="fr-FR"/>
        </w:rPr>
      </w:pPr>
    </w:p>
    <w:p w14:paraId="607A1C9A" w14:textId="61D97EFA" w:rsidR="00FA6E72" w:rsidRPr="00A05380" w:rsidRDefault="00FA6E72" w:rsidP="002B0DC1">
      <w:pPr>
        <w:suppressAutoHyphens w:val="0"/>
        <w:jc w:val="both"/>
        <w:rPr>
          <w:color w:val="000000"/>
          <w:lang w:eastAsia="fr-FR"/>
        </w:rPr>
      </w:pPr>
      <w:r>
        <w:rPr>
          <w:color w:val="000000"/>
          <w:lang w:eastAsia="fr-FR"/>
        </w:rPr>
        <w:t>« </w:t>
      </w:r>
      <w:r w:rsidRPr="00A05380">
        <w:rPr>
          <w:color w:val="000000"/>
          <w:lang w:eastAsia="fr-FR"/>
        </w:rPr>
        <w:t>V</w:t>
      </w:r>
      <w:r>
        <w:rPr>
          <w:color w:val="000000"/>
          <w:lang w:eastAsia="fr-FR"/>
        </w:rPr>
        <w:t>I</w:t>
      </w:r>
      <w:r w:rsidRPr="00A05380">
        <w:rPr>
          <w:color w:val="000000"/>
          <w:lang w:eastAsia="fr-FR"/>
        </w:rPr>
        <w:t>.</w:t>
      </w:r>
      <w:r w:rsidR="006A04ED">
        <w:rPr>
          <w:color w:val="000000"/>
          <w:lang w:eastAsia="fr-FR"/>
        </w:rPr>
        <w:t xml:space="preserve"> </w:t>
      </w:r>
      <w:r w:rsidRPr="00A05380">
        <w:rPr>
          <w:color w:val="000000"/>
          <w:lang w:eastAsia="fr-FR"/>
        </w:rPr>
        <w:t>- Pour les appareils utilisant comme combustible des gaz sidérurgiques, l’exploitant applique, en plus, la technique ci-dessous :</w:t>
      </w:r>
    </w:p>
    <w:p w14:paraId="47A826F9" w14:textId="77777777" w:rsidR="00FA6E72" w:rsidRPr="00A05380" w:rsidRDefault="00FA6E72" w:rsidP="002B0DC1">
      <w:pPr>
        <w:suppressAutoHyphens w:val="0"/>
        <w:jc w:val="both"/>
        <w:rPr>
          <w:color w:val="000000"/>
          <w:lang w:eastAsia="fr-FR"/>
        </w:rPr>
      </w:pPr>
    </w:p>
    <w:tbl>
      <w:tblPr>
        <w:tblW w:w="9086" w:type="dxa"/>
        <w:jc w:val="center"/>
        <w:tblLayout w:type="fixed"/>
        <w:tblLook w:val="0000" w:firstRow="0" w:lastRow="0" w:firstColumn="0" w:lastColumn="0" w:noHBand="0" w:noVBand="0"/>
      </w:tblPr>
      <w:tblGrid>
        <w:gridCol w:w="373"/>
        <w:gridCol w:w="1607"/>
        <w:gridCol w:w="4252"/>
        <w:gridCol w:w="2854"/>
      </w:tblGrid>
      <w:tr w:rsidR="00FA6E72" w:rsidRPr="00A05380" w14:paraId="47254BBD" w14:textId="77777777" w:rsidTr="00E0385F">
        <w:trPr>
          <w:cantSplit/>
          <w:jc w:val="center"/>
        </w:trPr>
        <w:tc>
          <w:tcPr>
            <w:tcW w:w="1980" w:type="dxa"/>
            <w:gridSpan w:val="2"/>
            <w:tcBorders>
              <w:top w:val="single" w:sz="4" w:space="0" w:color="000000"/>
              <w:left w:val="single" w:sz="4" w:space="0" w:color="000000"/>
              <w:bottom w:val="single" w:sz="4" w:space="0" w:color="000000"/>
            </w:tcBorders>
            <w:shd w:val="clear" w:color="auto" w:fill="auto"/>
          </w:tcPr>
          <w:p w14:paraId="18EBEEEF" w14:textId="77777777" w:rsidR="00FA6E72" w:rsidRPr="00A05380" w:rsidRDefault="00FA6E72" w:rsidP="002B0DC1">
            <w:pPr>
              <w:widowControl w:val="0"/>
              <w:suppressAutoHyphens w:val="0"/>
              <w:jc w:val="center"/>
              <w:rPr>
                <w:color w:val="000000"/>
                <w:sz w:val="22"/>
                <w:szCs w:val="22"/>
                <w:lang w:eastAsia="fr-FR"/>
              </w:rPr>
            </w:pPr>
            <w:r w:rsidRPr="00A05380">
              <w:rPr>
                <w:color w:val="000000"/>
                <w:sz w:val="22"/>
                <w:szCs w:val="22"/>
                <w:lang w:eastAsia="fr-FR"/>
              </w:rPr>
              <w:t>Technique</w:t>
            </w:r>
          </w:p>
        </w:tc>
        <w:tc>
          <w:tcPr>
            <w:tcW w:w="4252" w:type="dxa"/>
            <w:tcBorders>
              <w:top w:val="single" w:sz="4" w:space="0" w:color="000000"/>
              <w:left w:val="single" w:sz="4" w:space="0" w:color="000000"/>
              <w:bottom w:val="single" w:sz="4" w:space="0" w:color="000000"/>
            </w:tcBorders>
            <w:shd w:val="clear" w:color="auto" w:fill="auto"/>
            <w:vAlign w:val="center"/>
          </w:tcPr>
          <w:p w14:paraId="2E39FD73" w14:textId="77777777" w:rsidR="00FA6E72" w:rsidRPr="00A05380" w:rsidRDefault="00FA6E72" w:rsidP="002B0DC1">
            <w:pPr>
              <w:widowControl w:val="0"/>
              <w:suppressAutoHyphens w:val="0"/>
              <w:jc w:val="center"/>
              <w:rPr>
                <w:color w:val="000000"/>
                <w:sz w:val="22"/>
                <w:szCs w:val="22"/>
                <w:lang w:eastAsia="fr-FR"/>
              </w:rPr>
            </w:pPr>
            <w:r w:rsidRPr="00A05380">
              <w:rPr>
                <w:color w:val="000000"/>
                <w:sz w:val="22"/>
                <w:szCs w:val="22"/>
                <w:lang w:eastAsia="fr-FR"/>
              </w:rPr>
              <w:t>Description</w:t>
            </w:r>
          </w:p>
        </w:tc>
        <w:tc>
          <w:tcPr>
            <w:tcW w:w="2854" w:type="dxa"/>
            <w:tcBorders>
              <w:top w:val="single" w:sz="4" w:space="0" w:color="000000"/>
              <w:left w:val="single" w:sz="4" w:space="0" w:color="000000"/>
              <w:bottom w:val="single" w:sz="4" w:space="0" w:color="auto"/>
              <w:right w:val="single" w:sz="4" w:space="0" w:color="000000"/>
            </w:tcBorders>
            <w:shd w:val="clear" w:color="auto" w:fill="auto"/>
            <w:vAlign w:val="center"/>
          </w:tcPr>
          <w:p w14:paraId="01BCE838" w14:textId="77777777" w:rsidR="00FA6E72" w:rsidRPr="00A05380" w:rsidRDefault="00FA6E72" w:rsidP="002B0DC1">
            <w:pPr>
              <w:widowControl w:val="0"/>
              <w:suppressAutoHyphens w:val="0"/>
              <w:jc w:val="center"/>
              <w:rPr>
                <w:color w:val="000000"/>
                <w:sz w:val="22"/>
                <w:szCs w:val="22"/>
                <w:lang w:eastAsia="fr-FR"/>
              </w:rPr>
            </w:pPr>
            <w:r w:rsidRPr="00A05380">
              <w:rPr>
                <w:color w:val="000000"/>
                <w:sz w:val="22"/>
                <w:szCs w:val="22"/>
                <w:lang w:eastAsia="fr-FR"/>
              </w:rPr>
              <w:t>Applicabilité</w:t>
            </w:r>
          </w:p>
        </w:tc>
      </w:tr>
      <w:tr w:rsidR="00FA6E72" w:rsidRPr="00A05380" w14:paraId="4988E59D" w14:textId="77777777" w:rsidTr="00E0385F">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7CD76F9F" w14:textId="77777777" w:rsidR="00FA6E72" w:rsidRPr="00A05380" w:rsidRDefault="00FA6E72" w:rsidP="002B0DC1">
            <w:pPr>
              <w:widowControl w:val="0"/>
              <w:suppressAutoHyphens w:val="0"/>
              <w:jc w:val="center"/>
              <w:rPr>
                <w:color w:val="000000"/>
                <w:sz w:val="22"/>
                <w:szCs w:val="22"/>
                <w:lang w:eastAsia="fr-FR"/>
              </w:rPr>
            </w:pPr>
            <w:proofErr w:type="gramStart"/>
            <w:r w:rsidRPr="00A05380">
              <w:rPr>
                <w:color w:val="000000"/>
                <w:sz w:val="22"/>
                <w:szCs w:val="22"/>
                <w:lang w:eastAsia="fr-FR"/>
              </w:rPr>
              <w:t>a</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6FE20F0F" w14:textId="77777777" w:rsidR="00FA6E72" w:rsidRPr="00A05380" w:rsidRDefault="00FA6E72" w:rsidP="002B0DC1">
            <w:pPr>
              <w:widowControl w:val="0"/>
              <w:suppressAutoHyphens w:val="0"/>
              <w:jc w:val="both"/>
              <w:rPr>
                <w:color w:val="000000"/>
                <w:sz w:val="22"/>
                <w:szCs w:val="22"/>
                <w:lang w:eastAsia="fr-FR"/>
              </w:rPr>
            </w:pPr>
            <w:r w:rsidRPr="00A05380">
              <w:rPr>
                <w:rFonts w:eastAsiaTheme="minorHAnsi"/>
                <w:sz w:val="22"/>
                <w:szCs w:val="22"/>
                <w:lang w:eastAsia="en-US"/>
              </w:rPr>
              <w:t>Système de gestion des gaz procédés</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68ACA8" w14:textId="77777777" w:rsidR="00FA6E72" w:rsidRPr="00A05380" w:rsidRDefault="00FA6E72" w:rsidP="002B0DC1">
            <w:pPr>
              <w:widowControl w:val="0"/>
              <w:suppressAutoHyphens w:val="0"/>
              <w:jc w:val="both"/>
              <w:rPr>
                <w:color w:val="000000"/>
                <w:sz w:val="22"/>
                <w:szCs w:val="22"/>
                <w:lang w:eastAsia="fr-FR"/>
              </w:rPr>
            </w:pPr>
            <w:r w:rsidRPr="00A05380">
              <w:rPr>
                <w:rFonts w:eastAsiaTheme="minorHAnsi"/>
                <w:sz w:val="22"/>
                <w:szCs w:val="22"/>
                <w:lang w:eastAsia="en-US"/>
              </w:rPr>
              <w:t>Système qui permet de diriger vers les installations de combustion les gaz sidérurgiques qui sont utilisables comme combustibles (gaz de haut fourneau, gaz de cokerie, gaz de convertisseur à l'oxygène), en fonction de la disponibilité de ces combustibles et du type d'installations de combustion présentes dans un site sidérurgique intégré.</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20B48CC3" w14:textId="77777777" w:rsidR="00FA6E72" w:rsidRPr="00A05380" w:rsidRDefault="00FA6E72" w:rsidP="002B0DC1">
            <w:pPr>
              <w:widowControl w:val="0"/>
              <w:suppressAutoHyphens w:val="0"/>
              <w:jc w:val="both"/>
              <w:rPr>
                <w:color w:val="000000"/>
                <w:sz w:val="22"/>
                <w:szCs w:val="22"/>
                <w:lang w:eastAsia="fr-FR"/>
              </w:rPr>
            </w:pPr>
            <w:r w:rsidRPr="00A05380">
              <w:rPr>
                <w:rFonts w:eastAsiaTheme="minorHAnsi"/>
                <w:sz w:val="22"/>
                <w:szCs w:val="22"/>
                <w:lang w:eastAsia="en-US"/>
              </w:rPr>
              <w:t>Uniquement applicable aux aciéries intégrées</w:t>
            </w:r>
          </w:p>
        </w:tc>
      </w:tr>
    </w:tbl>
    <w:p w14:paraId="201AB429" w14:textId="77777777" w:rsidR="00FA6E72" w:rsidRPr="00C60E1F" w:rsidRDefault="00FA6E72" w:rsidP="002B0DC1">
      <w:pPr>
        <w:jc w:val="both"/>
        <w:rPr>
          <w:color w:val="000000"/>
          <w:lang w:eastAsia="fr-FR"/>
        </w:rPr>
      </w:pPr>
    </w:p>
    <w:p w14:paraId="7249F855" w14:textId="7611A7A6" w:rsidR="00C60E1F" w:rsidRPr="00C60E1F" w:rsidRDefault="00C60E1F" w:rsidP="006A04ED">
      <w:pPr>
        <w:suppressAutoHyphens w:val="0"/>
        <w:spacing w:after="240"/>
        <w:rPr>
          <w:lang w:eastAsia="fr-FR"/>
        </w:rPr>
      </w:pPr>
      <w:r w:rsidRPr="00C60E1F">
        <w:rPr>
          <w:lang w:eastAsia="fr-FR"/>
        </w:rPr>
        <w:t>« </w:t>
      </w:r>
      <w:r w:rsidR="006A04ED" w:rsidRPr="006A04ED">
        <w:rPr>
          <w:i/>
          <w:iCs/>
          <w:lang w:eastAsia="fr-FR"/>
        </w:rPr>
        <w:t xml:space="preserve">Art. </w:t>
      </w:r>
      <w:r w:rsidRPr="006A04ED">
        <w:rPr>
          <w:i/>
          <w:iCs/>
          <w:lang w:eastAsia="fr-FR"/>
        </w:rPr>
        <w:t>41-3</w:t>
      </w:r>
      <w:r w:rsidR="006A04ED" w:rsidRPr="006A04ED">
        <w:rPr>
          <w:i/>
          <w:iCs/>
          <w:lang w:eastAsia="fr-FR"/>
        </w:rPr>
        <w:t>. -</w:t>
      </w:r>
      <w:r w:rsidRPr="00C60E1F">
        <w:rPr>
          <w:lang w:eastAsia="fr-FR"/>
        </w:rPr>
        <w:t> Niveaux d’efficacité énergétique</w:t>
      </w:r>
    </w:p>
    <w:p w14:paraId="1AC8D921" w14:textId="09D80EE7" w:rsidR="00C60E1F" w:rsidRPr="00C60E1F" w:rsidRDefault="00C60E1F" w:rsidP="002B0DC1">
      <w:pPr>
        <w:jc w:val="both"/>
        <w:rPr>
          <w:color w:val="000000"/>
          <w:lang w:eastAsia="fr-FR"/>
        </w:rPr>
      </w:pPr>
      <w:r>
        <w:rPr>
          <w:color w:val="000000"/>
          <w:lang w:eastAsia="fr-FR"/>
        </w:rPr>
        <w:t>« </w:t>
      </w:r>
      <w:r w:rsidRPr="00C60E1F">
        <w:rPr>
          <w:color w:val="000000"/>
          <w:lang w:eastAsia="fr-FR"/>
        </w:rPr>
        <w:t xml:space="preserve">Les chaudières, turbines et moteurs dont la puissance thermique nominale est supérieure ou égale à 15 MW respectent les niveaux d’efficacité énergétique </w:t>
      </w:r>
      <w:r w:rsidR="008F7E26">
        <w:rPr>
          <w:color w:val="000000"/>
          <w:lang w:eastAsia="fr-FR"/>
        </w:rPr>
        <w:t xml:space="preserve">du tableau </w:t>
      </w:r>
      <w:r w:rsidRPr="00C60E1F">
        <w:rPr>
          <w:color w:val="000000"/>
          <w:lang w:eastAsia="fr-FR"/>
        </w:rPr>
        <w:t xml:space="preserve">ci-dessous, dans les délais mentionnés </w:t>
      </w:r>
      <w:r w:rsidR="00D9011B">
        <w:rPr>
          <w:color w:val="000000"/>
          <w:lang w:eastAsia="fr-FR"/>
        </w:rPr>
        <w:t>au VII de l’article 3</w:t>
      </w:r>
      <w:r w:rsidRPr="00C60E1F">
        <w:rPr>
          <w:color w:val="000000"/>
          <w:lang w:eastAsia="fr-FR"/>
        </w:rPr>
        <w:t xml:space="preserve"> du présent arrêté.</w:t>
      </w:r>
    </w:p>
    <w:p w14:paraId="263E9165" w14:textId="77777777" w:rsidR="00C60E1F" w:rsidRPr="00C60E1F" w:rsidRDefault="00C60E1F" w:rsidP="002B0DC1">
      <w:pPr>
        <w:jc w:val="both"/>
        <w:rPr>
          <w:color w:val="000000"/>
          <w:lang w:eastAsia="fr-FR"/>
        </w:rPr>
      </w:pPr>
    </w:p>
    <w:p w14:paraId="495C9154" w14:textId="7F6C1B04" w:rsidR="00C60E1F" w:rsidRPr="00C60E1F" w:rsidRDefault="00C60E1F" w:rsidP="002B0DC1">
      <w:pPr>
        <w:jc w:val="both"/>
        <w:rPr>
          <w:color w:val="000000"/>
          <w:lang w:eastAsia="fr-FR"/>
        </w:rPr>
      </w:pPr>
      <w:r>
        <w:rPr>
          <w:color w:val="000000"/>
          <w:lang w:eastAsia="fr-FR"/>
        </w:rPr>
        <w:t>« </w:t>
      </w:r>
      <w:r w:rsidRPr="00C60E1F">
        <w:rPr>
          <w:color w:val="000000"/>
          <w:lang w:eastAsia="fr-FR"/>
        </w:rPr>
        <w:t>Les appareils exploités moins de 1500 heures par an ne sont pas concernées par ces dispositions.</w:t>
      </w:r>
    </w:p>
    <w:p w14:paraId="7F4021D9" w14:textId="77777777" w:rsidR="00C60E1F" w:rsidRPr="00C60E1F" w:rsidRDefault="00C60E1F" w:rsidP="002B0DC1">
      <w:pPr>
        <w:jc w:val="both"/>
        <w:rPr>
          <w:color w:val="000000"/>
          <w:lang w:eastAsia="fr-FR"/>
        </w:rPr>
      </w:pPr>
    </w:p>
    <w:p w14:paraId="5A5F75F8" w14:textId="1E59922E" w:rsidR="00C60E1F" w:rsidRPr="00C60E1F" w:rsidRDefault="00C60E1F" w:rsidP="002B0DC1">
      <w:pPr>
        <w:jc w:val="both"/>
        <w:rPr>
          <w:color w:val="000000"/>
          <w:lang w:eastAsia="fr-FR"/>
        </w:rPr>
      </w:pPr>
      <w:r>
        <w:rPr>
          <w:color w:val="000000"/>
          <w:lang w:eastAsia="fr-FR"/>
        </w:rPr>
        <w:t>« </w:t>
      </w:r>
      <w:r w:rsidRPr="00C60E1F">
        <w:rPr>
          <w:color w:val="000000"/>
          <w:lang w:eastAsia="fr-FR"/>
        </w:rPr>
        <w:t xml:space="preserve">Dans les cas des appareils de cogénération, </w:t>
      </w:r>
      <w:r w:rsidR="008F7E26">
        <w:rPr>
          <w:color w:val="000000"/>
          <w:lang w:eastAsia="fr-FR"/>
        </w:rPr>
        <w:t xml:space="preserve">l’exploitant respecte </w:t>
      </w:r>
      <w:r w:rsidRPr="00C60E1F">
        <w:rPr>
          <w:color w:val="000000"/>
          <w:lang w:eastAsia="fr-FR"/>
        </w:rPr>
        <w:t>une seule des deux valeurs</w:t>
      </w:r>
      <w:r w:rsidR="008F7E26" w:rsidRPr="008F7E26">
        <w:rPr>
          <w:color w:val="000000"/>
          <w:lang w:eastAsia="fr-FR"/>
        </w:rPr>
        <w:t xml:space="preserve">– rendement électrique net (%) ou </w:t>
      </w:r>
      <w:r w:rsidR="009B784E">
        <w:rPr>
          <w:color w:val="000000"/>
          <w:lang w:eastAsia="fr-FR"/>
        </w:rPr>
        <w:t>l’utilisation</w:t>
      </w:r>
      <w:r w:rsidR="009B784E" w:rsidRPr="008F7E26">
        <w:rPr>
          <w:color w:val="000000"/>
          <w:lang w:eastAsia="fr-FR"/>
        </w:rPr>
        <w:t xml:space="preserve"> </w:t>
      </w:r>
      <w:r w:rsidR="008F7E26" w:rsidRPr="008F7E26">
        <w:rPr>
          <w:color w:val="000000"/>
          <w:lang w:eastAsia="fr-FR"/>
        </w:rPr>
        <w:t>total</w:t>
      </w:r>
      <w:r w:rsidR="008F7E26">
        <w:rPr>
          <w:color w:val="000000"/>
          <w:lang w:eastAsia="fr-FR"/>
        </w:rPr>
        <w:t>e</w:t>
      </w:r>
      <w:r w:rsidR="008F7E26" w:rsidRPr="008F7E26">
        <w:rPr>
          <w:color w:val="000000"/>
          <w:lang w:eastAsia="fr-FR"/>
        </w:rPr>
        <w:t xml:space="preserve"> nette de combustible (%)</w:t>
      </w:r>
      <w:r w:rsidRPr="00C60E1F">
        <w:rPr>
          <w:color w:val="000000"/>
          <w:lang w:eastAsia="fr-FR"/>
        </w:rPr>
        <w:t>, en fonction de la conception de l’</w:t>
      </w:r>
      <w:r w:rsidR="004D32D4">
        <w:rPr>
          <w:color w:val="000000"/>
          <w:lang w:eastAsia="fr-FR"/>
        </w:rPr>
        <w:t>appareil</w:t>
      </w:r>
      <w:r w:rsidRPr="00C60E1F">
        <w:rPr>
          <w:color w:val="000000"/>
          <w:lang w:eastAsia="fr-FR"/>
        </w:rPr>
        <w:t xml:space="preserve"> de cogénération (c’est-à-dire privilégiant plutôt la production d’électricité ou plutôt la production de chaleur).</w:t>
      </w:r>
    </w:p>
    <w:p w14:paraId="1B3D99EA" w14:textId="77777777" w:rsidR="00C60E1F" w:rsidRPr="00C60E1F" w:rsidRDefault="00C60E1F" w:rsidP="002B0DC1">
      <w:pPr>
        <w:jc w:val="both"/>
        <w:rPr>
          <w:color w:val="000000"/>
          <w:lang w:eastAsia="fr-FR"/>
        </w:rPr>
      </w:pPr>
    </w:p>
    <w:p w14:paraId="25467249" w14:textId="527147CD" w:rsidR="00C60E1F" w:rsidRPr="00C60E1F" w:rsidRDefault="00C60E1F" w:rsidP="002B0DC1">
      <w:pPr>
        <w:jc w:val="both"/>
        <w:rPr>
          <w:color w:val="000000"/>
          <w:lang w:eastAsia="fr-FR"/>
        </w:rPr>
      </w:pPr>
      <w:r>
        <w:rPr>
          <w:color w:val="000000"/>
          <w:lang w:eastAsia="fr-FR"/>
        </w:rPr>
        <w:t>« </w:t>
      </w:r>
      <w:r w:rsidRPr="00C60E1F">
        <w:rPr>
          <w:color w:val="000000"/>
          <w:lang w:eastAsia="fr-FR"/>
        </w:rPr>
        <w:t xml:space="preserve">Le préfet peut fixer une valeur différente par arrêté préfectoral, sous réserve du respect </w:t>
      </w:r>
      <w:r w:rsidR="006A04ED" w:rsidRPr="00C60E1F">
        <w:rPr>
          <w:color w:val="000000"/>
          <w:lang w:eastAsia="fr-FR"/>
        </w:rPr>
        <w:t>d</w:t>
      </w:r>
      <w:r w:rsidR="006A04ED">
        <w:rPr>
          <w:color w:val="000000"/>
          <w:lang w:eastAsia="fr-FR"/>
        </w:rPr>
        <w:t>u II de</w:t>
      </w:r>
      <w:r w:rsidRPr="00C60E1F">
        <w:rPr>
          <w:color w:val="000000"/>
          <w:lang w:eastAsia="fr-FR"/>
        </w:rPr>
        <w:t> </w:t>
      </w:r>
      <w:hyperlink r:id="rId15" w:anchor="Article_R_515_62" w:tooltip="Livre V : Prévention des pollutions, des risques et des nuisances - Titre I : Installations Classées pour la Protection de l’Environnement (partie réglementaire)" w:history="1">
        <w:r w:rsidRPr="00C60E1F">
          <w:rPr>
            <w:color w:val="000000"/>
            <w:lang w:eastAsia="fr-FR"/>
          </w:rPr>
          <w:t>l'article R. 515-62</w:t>
        </w:r>
      </w:hyperlink>
      <w:r w:rsidRPr="00C60E1F">
        <w:rPr>
          <w:color w:val="000000"/>
          <w:lang w:eastAsia="fr-FR"/>
        </w:rPr>
        <w:t>, au vu d'une justification fournie par l'exploitant comprenant notamment une étude technico-économique.</w:t>
      </w:r>
    </w:p>
    <w:p w14:paraId="1A9B30EA" w14:textId="77777777" w:rsidR="00C60E1F" w:rsidRPr="00C60E1F" w:rsidRDefault="00C60E1F" w:rsidP="002B0DC1">
      <w:pPr>
        <w:jc w:val="both"/>
        <w:rPr>
          <w:color w:val="000000"/>
          <w:lang w:eastAsia="fr-FR"/>
        </w:rPr>
      </w:pPr>
    </w:p>
    <w:tbl>
      <w:tblPr>
        <w:tblStyle w:val="Grilledutableau"/>
        <w:tblW w:w="9356" w:type="dxa"/>
        <w:tblInd w:w="-289" w:type="dxa"/>
        <w:tblLook w:val="04A0" w:firstRow="1" w:lastRow="0" w:firstColumn="1" w:lastColumn="0" w:noHBand="0" w:noVBand="1"/>
      </w:tblPr>
      <w:tblGrid>
        <w:gridCol w:w="2411"/>
        <w:gridCol w:w="1842"/>
        <w:gridCol w:w="1843"/>
        <w:gridCol w:w="1559"/>
        <w:gridCol w:w="1701"/>
      </w:tblGrid>
      <w:tr w:rsidR="00C60E1F" w:rsidRPr="00C60E1F" w14:paraId="73B45ED5" w14:textId="77777777" w:rsidTr="00C60E1F">
        <w:tc>
          <w:tcPr>
            <w:tcW w:w="2411" w:type="dxa"/>
            <w:vMerge w:val="restart"/>
            <w:shd w:val="clear" w:color="auto" w:fill="5C75A2"/>
            <w:vAlign w:val="center"/>
          </w:tcPr>
          <w:p w14:paraId="4EB0450B" w14:textId="034D3CD4" w:rsidR="00C60E1F" w:rsidRPr="00C60E1F" w:rsidRDefault="00C60E1F" w:rsidP="002B0DC1">
            <w:pPr>
              <w:jc w:val="center"/>
              <w:rPr>
                <w:rFonts w:ascii="Times New Roman" w:eastAsia="Times New Roman" w:hAnsi="Times New Roman" w:cs="Times New Roman"/>
                <w:b/>
                <w:color w:val="FFFFFF" w:themeColor="background1"/>
                <w:sz w:val="22"/>
                <w:szCs w:val="22"/>
                <w:lang w:eastAsia="fr-FR"/>
              </w:rPr>
            </w:pPr>
            <w:r w:rsidRPr="00C60E1F">
              <w:rPr>
                <w:rFonts w:ascii="Times New Roman" w:eastAsia="Times New Roman" w:hAnsi="Times New Roman" w:cs="Times New Roman"/>
                <w:b/>
                <w:color w:val="FFFFFF" w:themeColor="background1"/>
                <w:sz w:val="22"/>
                <w:szCs w:val="22"/>
                <w:lang w:eastAsia="fr-FR"/>
              </w:rPr>
              <w:t>Type d’</w:t>
            </w:r>
            <w:r w:rsidR="004D32D4">
              <w:rPr>
                <w:rFonts w:ascii="Times New Roman" w:eastAsia="Times New Roman" w:hAnsi="Times New Roman" w:cs="Times New Roman"/>
                <w:b/>
                <w:color w:val="FFFFFF" w:themeColor="background1"/>
                <w:sz w:val="22"/>
                <w:szCs w:val="22"/>
                <w:lang w:eastAsia="fr-FR"/>
              </w:rPr>
              <w:t>appareil</w:t>
            </w:r>
            <w:r w:rsidRPr="00C60E1F">
              <w:rPr>
                <w:rFonts w:ascii="Times New Roman" w:eastAsia="Times New Roman" w:hAnsi="Times New Roman" w:cs="Times New Roman"/>
                <w:b/>
                <w:color w:val="FFFFFF" w:themeColor="background1"/>
                <w:sz w:val="22"/>
                <w:szCs w:val="22"/>
                <w:lang w:eastAsia="fr-FR"/>
              </w:rPr>
              <w:t xml:space="preserve"> de combustion</w:t>
            </w:r>
          </w:p>
        </w:tc>
        <w:tc>
          <w:tcPr>
            <w:tcW w:w="3685" w:type="dxa"/>
            <w:gridSpan w:val="2"/>
            <w:shd w:val="clear" w:color="auto" w:fill="5C75A2"/>
            <w:vAlign w:val="center"/>
          </w:tcPr>
          <w:p w14:paraId="5B558E23" w14:textId="77777777" w:rsidR="00C60E1F" w:rsidRPr="00C60E1F" w:rsidRDefault="00C60E1F" w:rsidP="002B0DC1">
            <w:pPr>
              <w:jc w:val="center"/>
              <w:rPr>
                <w:rFonts w:ascii="Times New Roman" w:eastAsia="Times New Roman" w:hAnsi="Times New Roman" w:cs="Times New Roman"/>
                <w:b/>
                <w:color w:val="FFFFFF" w:themeColor="background1"/>
                <w:sz w:val="22"/>
                <w:szCs w:val="22"/>
                <w:lang w:eastAsia="fr-FR"/>
              </w:rPr>
            </w:pPr>
            <w:r w:rsidRPr="00C60E1F">
              <w:rPr>
                <w:rFonts w:ascii="Times New Roman" w:eastAsia="Times New Roman" w:hAnsi="Times New Roman" w:cs="Times New Roman"/>
                <w:b/>
                <w:color w:val="FFFFFF" w:themeColor="background1"/>
                <w:sz w:val="22"/>
                <w:szCs w:val="22"/>
                <w:lang w:eastAsia="fr-FR"/>
              </w:rPr>
              <w:t>Rendement électrique net (%)</w:t>
            </w:r>
          </w:p>
        </w:tc>
        <w:tc>
          <w:tcPr>
            <w:tcW w:w="3260" w:type="dxa"/>
            <w:gridSpan w:val="2"/>
            <w:shd w:val="clear" w:color="auto" w:fill="5C75A2"/>
            <w:vAlign w:val="center"/>
          </w:tcPr>
          <w:p w14:paraId="7C3AB811" w14:textId="633B6555" w:rsidR="00C60E1F" w:rsidRPr="00C60E1F" w:rsidRDefault="009B784E"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Utilisation</w:t>
            </w:r>
            <w:r w:rsidRPr="00C60E1F">
              <w:rPr>
                <w:rFonts w:ascii="Times New Roman" w:eastAsia="Times New Roman" w:hAnsi="Times New Roman" w:cs="Times New Roman"/>
                <w:b/>
                <w:color w:val="FFFFFF" w:themeColor="background1"/>
                <w:sz w:val="22"/>
                <w:szCs w:val="22"/>
                <w:lang w:eastAsia="fr-FR"/>
              </w:rPr>
              <w:t xml:space="preserve"> </w:t>
            </w:r>
            <w:r w:rsidR="00C60E1F" w:rsidRPr="00C60E1F">
              <w:rPr>
                <w:rFonts w:ascii="Times New Roman" w:eastAsia="Times New Roman" w:hAnsi="Times New Roman" w:cs="Times New Roman"/>
                <w:b/>
                <w:color w:val="FFFFFF" w:themeColor="background1"/>
                <w:sz w:val="22"/>
                <w:szCs w:val="22"/>
                <w:lang w:eastAsia="fr-FR"/>
              </w:rPr>
              <w:t>totale nette de combustible (%)</w:t>
            </w:r>
          </w:p>
        </w:tc>
      </w:tr>
      <w:tr w:rsidR="00C60E1F" w:rsidRPr="00C60E1F" w14:paraId="376C3491" w14:textId="77777777" w:rsidTr="00C60E1F">
        <w:tc>
          <w:tcPr>
            <w:tcW w:w="2411" w:type="dxa"/>
            <w:vMerge/>
            <w:shd w:val="clear" w:color="auto" w:fill="5C75A2"/>
            <w:vAlign w:val="center"/>
          </w:tcPr>
          <w:p w14:paraId="69A6F88E" w14:textId="77777777" w:rsidR="00C60E1F" w:rsidRPr="00C60E1F" w:rsidRDefault="00C60E1F" w:rsidP="002B0DC1">
            <w:pPr>
              <w:jc w:val="center"/>
              <w:rPr>
                <w:rFonts w:ascii="Times New Roman" w:eastAsia="Times New Roman" w:hAnsi="Times New Roman" w:cs="Times New Roman"/>
                <w:b/>
                <w:color w:val="FFFFFF" w:themeColor="background1"/>
                <w:sz w:val="22"/>
                <w:szCs w:val="22"/>
                <w:lang w:eastAsia="fr-FR"/>
              </w:rPr>
            </w:pPr>
          </w:p>
        </w:tc>
        <w:tc>
          <w:tcPr>
            <w:tcW w:w="1842" w:type="dxa"/>
            <w:shd w:val="clear" w:color="auto" w:fill="5C75A2"/>
            <w:vAlign w:val="center"/>
          </w:tcPr>
          <w:p w14:paraId="459A3E12" w14:textId="3C87BAA3" w:rsidR="00C60E1F" w:rsidRPr="00C60E1F" w:rsidRDefault="004D32D4"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Appareil</w:t>
            </w:r>
            <w:r w:rsidR="00C60E1F" w:rsidRPr="00C60E1F">
              <w:rPr>
                <w:rFonts w:ascii="Times New Roman" w:eastAsia="Times New Roman" w:hAnsi="Times New Roman" w:cs="Times New Roman"/>
                <w:b/>
                <w:color w:val="FFFFFF" w:themeColor="background1"/>
                <w:sz w:val="22"/>
                <w:szCs w:val="22"/>
                <w:lang w:eastAsia="fr-FR"/>
              </w:rPr>
              <w:t xml:space="preserve"> </w:t>
            </w:r>
            <w:r>
              <w:rPr>
                <w:rFonts w:ascii="Times New Roman" w:eastAsia="Times New Roman" w:hAnsi="Times New Roman" w:cs="Times New Roman"/>
                <w:b/>
                <w:color w:val="FFFFFF" w:themeColor="background1"/>
                <w:sz w:val="22"/>
                <w:szCs w:val="22"/>
                <w:lang w:eastAsia="fr-FR"/>
              </w:rPr>
              <w:t xml:space="preserve">autorisé </w:t>
            </w:r>
            <w:r w:rsidR="006B21BB">
              <w:rPr>
                <w:rFonts w:ascii="Times New Roman" w:eastAsia="Times New Roman" w:hAnsi="Times New Roman" w:cs="Times New Roman"/>
                <w:b/>
                <w:color w:val="FFFFFF" w:themeColor="background1"/>
                <w:sz w:val="22"/>
                <w:szCs w:val="22"/>
                <w:lang w:eastAsia="fr-FR"/>
              </w:rPr>
              <w:t>à compter du</w:t>
            </w:r>
            <w:r>
              <w:rPr>
                <w:rFonts w:ascii="Times New Roman" w:eastAsia="Times New Roman" w:hAnsi="Times New Roman" w:cs="Times New Roman"/>
                <w:b/>
                <w:color w:val="FFFFFF" w:themeColor="background1"/>
                <w:sz w:val="22"/>
                <w:szCs w:val="22"/>
                <w:lang w:eastAsia="fr-FR"/>
              </w:rPr>
              <w:t xml:space="preserve"> 17/08/2017</w:t>
            </w:r>
          </w:p>
        </w:tc>
        <w:tc>
          <w:tcPr>
            <w:tcW w:w="1843" w:type="dxa"/>
            <w:shd w:val="clear" w:color="auto" w:fill="5C75A2"/>
            <w:vAlign w:val="center"/>
          </w:tcPr>
          <w:p w14:paraId="494C1440" w14:textId="3E0FC593" w:rsidR="00C60E1F" w:rsidRPr="00C60E1F" w:rsidRDefault="004D32D4"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 xml:space="preserve">Appareil autorisé </w:t>
            </w:r>
            <w:r w:rsidR="006B21BB">
              <w:rPr>
                <w:rFonts w:ascii="Times New Roman" w:eastAsia="Times New Roman" w:hAnsi="Times New Roman" w:cs="Times New Roman"/>
                <w:b/>
                <w:color w:val="FFFFFF" w:themeColor="background1"/>
                <w:sz w:val="22"/>
                <w:szCs w:val="22"/>
                <w:lang w:eastAsia="fr-FR"/>
              </w:rPr>
              <w:t xml:space="preserve">avant le </w:t>
            </w:r>
            <w:r>
              <w:rPr>
                <w:rFonts w:ascii="Times New Roman" w:eastAsia="Times New Roman" w:hAnsi="Times New Roman" w:cs="Times New Roman"/>
                <w:b/>
                <w:color w:val="FFFFFF" w:themeColor="background1"/>
                <w:sz w:val="22"/>
                <w:szCs w:val="22"/>
                <w:lang w:eastAsia="fr-FR"/>
              </w:rPr>
              <w:t>17/08/2017</w:t>
            </w:r>
            <w:r w:rsidRPr="00C60E1F">
              <w:rPr>
                <w:rFonts w:ascii="Times New Roman" w:eastAsia="Times New Roman" w:hAnsi="Times New Roman" w:cs="Times New Roman"/>
                <w:b/>
                <w:color w:val="FFFFFF" w:themeColor="background1"/>
                <w:sz w:val="22"/>
                <w:szCs w:val="22"/>
                <w:lang w:eastAsia="fr-FR"/>
              </w:rPr>
              <w:t xml:space="preserve"> </w:t>
            </w:r>
          </w:p>
        </w:tc>
        <w:tc>
          <w:tcPr>
            <w:tcW w:w="1559" w:type="dxa"/>
            <w:shd w:val="clear" w:color="auto" w:fill="5C75A2"/>
            <w:vAlign w:val="center"/>
          </w:tcPr>
          <w:p w14:paraId="06B1C1AE" w14:textId="5556D0A1" w:rsidR="00C60E1F" w:rsidRPr="00C60E1F" w:rsidRDefault="004D32D4"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 xml:space="preserve">Appareil autorisé </w:t>
            </w:r>
            <w:r w:rsidR="006B21BB">
              <w:rPr>
                <w:rFonts w:ascii="Times New Roman" w:eastAsia="Times New Roman" w:hAnsi="Times New Roman" w:cs="Times New Roman"/>
                <w:b/>
                <w:color w:val="FFFFFF" w:themeColor="background1"/>
                <w:sz w:val="22"/>
                <w:szCs w:val="22"/>
                <w:lang w:eastAsia="fr-FR"/>
              </w:rPr>
              <w:t>à compter du</w:t>
            </w:r>
            <w:r>
              <w:rPr>
                <w:rFonts w:ascii="Times New Roman" w:eastAsia="Times New Roman" w:hAnsi="Times New Roman" w:cs="Times New Roman"/>
                <w:b/>
                <w:color w:val="FFFFFF" w:themeColor="background1"/>
                <w:sz w:val="22"/>
                <w:szCs w:val="22"/>
                <w:lang w:eastAsia="fr-FR"/>
              </w:rPr>
              <w:t xml:space="preserve"> 17/08/2017</w:t>
            </w:r>
          </w:p>
        </w:tc>
        <w:tc>
          <w:tcPr>
            <w:tcW w:w="1701" w:type="dxa"/>
            <w:shd w:val="clear" w:color="auto" w:fill="5C75A2"/>
          </w:tcPr>
          <w:p w14:paraId="6C5FEF4C" w14:textId="5D81637E" w:rsidR="00C60E1F" w:rsidRPr="00C60E1F" w:rsidRDefault="004D32D4"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Appareil</w:t>
            </w:r>
            <w:r w:rsidRPr="00C60E1F">
              <w:rPr>
                <w:rFonts w:ascii="Times New Roman" w:eastAsia="Times New Roman" w:hAnsi="Times New Roman" w:cs="Times New Roman"/>
                <w:b/>
                <w:color w:val="FFFFFF" w:themeColor="background1"/>
                <w:sz w:val="22"/>
                <w:szCs w:val="22"/>
                <w:lang w:eastAsia="fr-FR"/>
              </w:rPr>
              <w:t xml:space="preserve"> </w:t>
            </w:r>
            <w:r w:rsidR="006B21BB">
              <w:rPr>
                <w:rFonts w:ascii="Times New Roman" w:eastAsia="Times New Roman" w:hAnsi="Times New Roman" w:cs="Times New Roman"/>
                <w:b/>
                <w:color w:val="FFFFFF" w:themeColor="background1"/>
                <w:sz w:val="22"/>
                <w:szCs w:val="22"/>
                <w:lang w:eastAsia="fr-FR"/>
              </w:rPr>
              <w:t>autorisé avant le 17/08/2017</w:t>
            </w:r>
          </w:p>
        </w:tc>
      </w:tr>
      <w:tr w:rsidR="00C60E1F" w:rsidRPr="00C60E1F" w14:paraId="17FAE093" w14:textId="77777777" w:rsidTr="005D385E">
        <w:tc>
          <w:tcPr>
            <w:tcW w:w="2411" w:type="dxa"/>
            <w:vAlign w:val="center"/>
          </w:tcPr>
          <w:p w14:paraId="4D295F30" w14:textId="77777777" w:rsidR="00C60E1F" w:rsidRPr="00C60E1F" w:rsidRDefault="00C60E1F" w:rsidP="002B0DC1">
            <w:pPr>
              <w:jc w:val="center"/>
              <w:rPr>
                <w:rFonts w:ascii="Times New Roman" w:eastAsia="Times New Roman" w:hAnsi="Times New Roman" w:cs="Times New Roman"/>
                <w:sz w:val="22"/>
                <w:szCs w:val="22"/>
                <w:lang w:eastAsia="fr-FR"/>
              </w:rPr>
            </w:pPr>
            <w:proofErr w:type="gramStart"/>
            <w:r w:rsidRPr="00C60E1F">
              <w:rPr>
                <w:rFonts w:ascii="Times New Roman" w:eastAsia="Times New Roman" w:hAnsi="Times New Roman" w:cs="Times New Roman"/>
                <w:sz w:val="22"/>
                <w:szCs w:val="22"/>
                <w:lang w:eastAsia="fr-FR"/>
              </w:rPr>
              <w:t>au</w:t>
            </w:r>
            <w:proofErr w:type="gramEnd"/>
            <w:r w:rsidRPr="00C60E1F">
              <w:rPr>
                <w:rFonts w:ascii="Times New Roman" w:eastAsia="Times New Roman" w:hAnsi="Times New Roman" w:cs="Times New Roman"/>
                <w:sz w:val="22"/>
                <w:szCs w:val="22"/>
                <w:lang w:eastAsia="fr-FR"/>
              </w:rPr>
              <w:t xml:space="preserve"> charbon ≥ 1000 </w:t>
            </w:r>
            <w:proofErr w:type="spellStart"/>
            <w:r w:rsidRPr="00C60E1F">
              <w:rPr>
                <w:rFonts w:ascii="Times New Roman" w:eastAsia="Times New Roman" w:hAnsi="Times New Roman" w:cs="Times New Roman"/>
                <w:sz w:val="22"/>
                <w:szCs w:val="22"/>
                <w:lang w:eastAsia="fr-FR"/>
              </w:rPr>
              <w:t>MW</w:t>
            </w:r>
            <w:r w:rsidRPr="00C60E1F">
              <w:rPr>
                <w:rFonts w:ascii="Times New Roman" w:eastAsia="Times New Roman" w:hAnsi="Times New Roman" w:cs="Times New Roman"/>
                <w:sz w:val="22"/>
                <w:szCs w:val="22"/>
                <w:vertAlign w:val="subscript"/>
                <w:lang w:eastAsia="fr-FR"/>
              </w:rPr>
              <w:t>th</w:t>
            </w:r>
            <w:proofErr w:type="spellEnd"/>
          </w:p>
        </w:tc>
        <w:tc>
          <w:tcPr>
            <w:tcW w:w="1842" w:type="dxa"/>
            <w:vAlign w:val="center"/>
          </w:tcPr>
          <w:p w14:paraId="47359D5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45</w:t>
            </w:r>
          </w:p>
        </w:tc>
        <w:tc>
          <w:tcPr>
            <w:tcW w:w="1843" w:type="dxa"/>
            <w:vAlign w:val="center"/>
          </w:tcPr>
          <w:p w14:paraId="6EE1D178"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33,5 </w:t>
            </w:r>
          </w:p>
        </w:tc>
        <w:tc>
          <w:tcPr>
            <w:tcW w:w="3260" w:type="dxa"/>
            <w:gridSpan w:val="2"/>
            <w:vAlign w:val="center"/>
          </w:tcPr>
          <w:p w14:paraId="682DD1A4"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75</w:t>
            </w:r>
          </w:p>
          <w:p w14:paraId="40D073E5" w14:textId="0AC0CE06"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3CF21CFB" w14:textId="77777777" w:rsidTr="005D385E">
        <w:tc>
          <w:tcPr>
            <w:tcW w:w="2411" w:type="dxa"/>
            <w:vAlign w:val="center"/>
          </w:tcPr>
          <w:p w14:paraId="0E862CB7" w14:textId="77777777" w:rsidR="00C60E1F" w:rsidRPr="00C60E1F" w:rsidRDefault="00C60E1F" w:rsidP="002B0DC1">
            <w:pPr>
              <w:jc w:val="center"/>
              <w:rPr>
                <w:rFonts w:ascii="Times New Roman" w:eastAsia="Times New Roman" w:hAnsi="Times New Roman" w:cs="Times New Roman"/>
                <w:sz w:val="22"/>
                <w:szCs w:val="22"/>
                <w:lang w:eastAsia="fr-FR"/>
              </w:rPr>
            </w:pPr>
            <w:proofErr w:type="gramStart"/>
            <w:r w:rsidRPr="00C60E1F">
              <w:rPr>
                <w:rFonts w:ascii="Times New Roman" w:eastAsia="Times New Roman" w:hAnsi="Times New Roman" w:cs="Times New Roman"/>
                <w:sz w:val="22"/>
                <w:szCs w:val="22"/>
                <w:lang w:eastAsia="fr-FR"/>
              </w:rPr>
              <w:t>au</w:t>
            </w:r>
            <w:proofErr w:type="gramEnd"/>
            <w:r w:rsidRPr="00C60E1F">
              <w:rPr>
                <w:rFonts w:ascii="Times New Roman" w:eastAsia="Times New Roman" w:hAnsi="Times New Roman" w:cs="Times New Roman"/>
                <w:sz w:val="22"/>
                <w:szCs w:val="22"/>
                <w:lang w:eastAsia="fr-FR"/>
              </w:rPr>
              <w:t xml:space="preserve"> lignite ≥ 1000 </w:t>
            </w:r>
            <w:proofErr w:type="spellStart"/>
            <w:r w:rsidRPr="00C60E1F">
              <w:rPr>
                <w:rFonts w:ascii="Times New Roman" w:eastAsia="Times New Roman" w:hAnsi="Times New Roman" w:cs="Times New Roman"/>
                <w:sz w:val="22"/>
                <w:szCs w:val="22"/>
                <w:lang w:eastAsia="fr-FR"/>
              </w:rPr>
              <w:t>MW</w:t>
            </w:r>
            <w:r w:rsidRPr="00C60E1F">
              <w:rPr>
                <w:rFonts w:ascii="Times New Roman" w:eastAsia="Times New Roman" w:hAnsi="Times New Roman" w:cs="Times New Roman"/>
                <w:sz w:val="22"/>
                <w:szCs w:val="22"/>
                <w:vertAlign w:val="subscript"/>
                <w:lang w:eastAsia="fr-FR"/>
              </w:rPr>
              <w:t>th</w:t>
            </w:r>
            <w:proofErr w:type="spellEnd"/>
          </w:p>
        </w:tc>
        <w:tc>
          <w:tcPr>
            <w:tcW w:w="1842" w:type="dxa"/>
            <w:vAlign w:val="center"/>
          </w:tcPr>
          <w:p w14:paraId="4C6E1CA1"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42 </w:t>
            </w:r>
          </w:p>
          <w:p w14:paraId="374D3683" w14:textId="6E45F98B"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2</w:t>
            </w:r>
            <w:r w:rsidRPr="00C60E1F">
              <w:rPr>
                <w:rFonts w:ascii="Times New Roman" w:eastAsia="Times New Roman" w:hAnsi="Times New Roman" w:cs="Times New Roman"/>
                <w:color w:val="000000"/>
                <w:sz w:val="22"/>
                <w:szCs w:val="22"/>
                <w:lang w:eastAsia="fr-FR"/>
              </w:rPr>
              <w:t>)</w:t>
            </w:r>
          </w:p>
        </w:tc>
        <w:tc>
          <w:tcPr>
            <w:tcW w:w="1843" w:type="dxa"/>
            <w:vAlign w:val="center"/>
          </w:tcPr>
          <w:p w14:paraId="28311A41"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33,5</w:t>
            </w:r>
          </w:p>
        </w:tc>
        <w:tc>
          <w:tcPr>
            <w:tcW w:w="3260" w:type="dxa"/>
            <w:gridSpan w:val="2"/>
            <w:vAlign w:val="center"/>
          </w:tcPr>
          <w:p w14:paraId="7EC90135"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75</w:t>
            </w:r>
          </w:p>
          <w:p w14:paraId="0040470B" w14:textId="21AC821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 (</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207E5F77" w14:textId="77777777" w:rsidTr="005D385E">
        <w:tc>
          <w:tcPr>
            <w:tcW w:w="2411" w:type="dxa"/>
            <w:vAlign w:val="center"/>
          </w:tcPr>
          <w:p w14:paraId="2F4E9490" w14:textId="77777777" w:rsidR="00C60E1F" w:rsidRPr="00C60E1F" w:rsidRDefault="00C60E1F" w:rsidP="002B0DC1">
            <w:pPr>
              <w:jc w:val="center"/>
              <w:rPr>
                <w:rFonts w:ascii="Times New Roman" w:eastAsia="Times New Roman" w:hAnsi="Times New Roman" w:cs="Times New Roman"/>
                <w:sz w:val="22"/>
                <w:szCs w:val="22"/>
                <w:lang w:eastAsia="fr-FR"/>
              </w:rPr>
            </w:pPr>
            <w:proofErr w:type="gramStart"/>
            <w:r w:rsidRPr="00C60E1F">
              <w:rPr>
                <w:rFonts w:ascii="Times New Roman" w:eastAsia="Times New Roman" w:hAnsi="Times New Roman" w:cs="Times New Roman"/>
                <w:sz w:val="22"/>
                <w:szCs w:val="22"/>
                <w:lang w:eastAsia="fr-FR"/>
              </w:rPr>
              <w:t>au</w:t>
            </w:r>
            <w:proofErr w:type="gramEnd"/>
            <w:r w:rsidRPr="00C60E1F">
              <w:rPr>
                <w:rFonts w:ascii="Times New Roman" w:eastAsia="Times New Roman" w:hAnsi="Times New Roman" w:cs="Times New Roman"/>
                <w:sz w:val="22"/>
                <w:szCs w:val="22"/>
                <w:lang w:eastAsia="fr-FR"/>
              </w:rPr>
              <w:t xml:space="preserve"> charbon &lt; 1000 </w:t>
            </w:r>
            <w:proofErr w:type="spellStart"/>
            <w:r w:rsidRPr="00C60E1F">
              <w:rPr>
                <w:rFonts w:ascii="Times New Roman" w:eastAsia="Times New Roman" w:hAnsi="Times New Roman" w:cs="Times New Roman"/>
                <w:sz w:val="22"/>
                <w:szCs w:val="22"/>
                <w:lang w:eastAsia="fr-FR"/>
              </w:rPr>
              <w:t>MW</w:t>
            </w:r>
            <w:r w:rsidRPr="00C60E1F">
              <w:rPr>
                <w:rFonts w:ascii="Times New Roman" w:eastAsia="Times New Roman" w:hAnsi="Times New Roman" w:cs="Times New Roman"/>
                <w:sz w:val="22"/>
                <w:szCs w:val="22"/>
                <w:vertAlign w:val="subscript"/>
                <w:lang w:eastAsia="fr-FR"/>
              </w:rPr>
              <w:t>th</w:t>
            </w:r>
            <w:proofErr w:type="spellEnd"/>
          </w:p>
        </w:tc>
        <w:tc>
          <w:tcPr>
            <w:tcW w:w="1842" w:type="dxa"/>
            <w:vAlign w:val="center"/>
          </w:tcPr>
          <w:p w14:paraId="74A63632"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36,5</w:t>
            </w:r>
          </w:p>
        </w:tc>
        <w:tc>
          <w:tcPr>
            <w:tcW w:w="1843" w:type="dxa"/>
            <w:vAlign w:val="center"/>
          </w:tcPr>
          <w:p w14:paraId="277A0CDC"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32,5</w:t>
            </w:r>
          </w:p>
        </w:tc>
        <w:tc>
          <w:tcPr>
            <w:tcW w:w="3260" w:type="dxa"/>
            <w:gridSpan w:val="2"/>
            <w:vAlign w:val="center"/>
          </w:tcPr>
          <w:p w14:paraId="104C0E98"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75</w:t>
            </w:r>
          </w:p>
          <w:p w14:paraId="50D8994F" w14:textId="720771E3"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6365A82A" w14:textId="77777777" w:rsidTr="005D385E">
        <w:tc>
          <w:tcPr>
            <w:tcW w:w="2411" w:type="dxa"/>
            <w:vAlign w:val="center"/>
          </w:tcPr>
          <w:p w14:paraId="2B21240F" w14:textId="77777777" w:rsidR="00C60E1F" w:rsidRPr="00C60E1F" w:rsidRDefault="00C60E1F" w:rsidP="002B0DC1">
            <w:pPr>
              <w:jc w:val="center"/>
              <w:rPr>
                <w:rFonts w:ascii="Times New Roman" w:eastAsia="Times New Roman" w:hAnsi="Times New Roman" w:cs="Times New Roman"/>
                <w:sz w:val="22"/>
                <w:szCs w:val="22"/>
                <w:lang w:eastAsia="fr-FR"/>
              </w:rPr>
            </w:pPr>
            <w:proofErr w:type="gramStart"/>
            <w:r w:rsidRPr="00C60E1F">
              <w:rPr>
                <w:rFonts w:ascii="Times New Roman" w:eastAsia="Times New Roman" w:hAnsi="Times New Roman" w:cs="Times New Roman"/>
                <w:sz w:val="22"/>
                <w:szCs w:val="22"/>
                <w:lang w:eastAsia="fr-FR"/>
              </w:rPr>
              <w:t>au</w:t>
            </w:r>
            <w:proofErr w:type="gramEnd"/>
            <w:r w:rsidRPr="00C60E1F">
              <w:rPr>
                <w:rFonts w:ascii="Times New Roman" w:eastAsia="Times New Roman" w:hAnsi="Times New Roman" w:cs="Times New Roman"/>
                <w:sz w:val="22"/>
                <w:szCs w:val="22"/>
                <w:lang w:eastAsia="fr-FR"/>
              </w:rPr>
              <w:t xml:space="preserve"> lignite &lt; 1000 </w:t>
            </w:r>
            <w:proofErr w:type="spellStart"/>
            <w:r w:rsidRPr="00C60E1F">
              <w:rPr>
                <w:rFonts w:ascii="Times New Roman" w:eastAsia="Times New Roman" w:hAnsi="Times New Roman" w:cs="Times New Roman"/>
                <w:sz w:val="22"/>
                <w:szCs w:val="22"/>
                <w:lang w:eastAsia="fr-FR"/>
              </w:rPr>
              <w:t>MW</w:t>
            </w:r>
            <w:r w:rsidRPr="00C60E1F">
              <w:rPr>
                <w:rFonts w:ascii="Times New Roman" w:eastAsia="Times New Roman" w:hAnsi="Times New Roman" w:cs="Times New Roman"/>
                <w:sz w:val="22"/>
                <w:szCs w:val="22"/>
                <w:vertAlign w:val="subscript"/>
                <w:lang w:eastAsia="fr-FR"/>
              </w:rPr>
              <w:t>th</w:t>
            </w:r>
            <w:proofErr w:type="spellEnd"/>
          </w:p>
        </w:tc>
        <w:tc>
          <w:tcPr>
            <w:tcW w:w="1842" w:type="dxa"/>
            <w:vAlign w:val="center"/>
          </w:tcPr>
          <w:p w14:paraId="31712665"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36,4</w:t>
            </w:r>
          </w:p>
        </w:tc>
        <w:tc>
          <w:tcPr>
            <w:tcW w:w="1843" w:type="dxa"/>
            <w:vAlign w:val="center"/>
          </w:tcPr>
          <w:p w14:paraId="5CDACD74"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31,5</w:t>
            </w:r>
          </w:p>
        </w:tc>
        <w:tc>
          <w:tcPr>
            <w:tcW w:w="3260" w:type="dxa"/>
            <w:gridSpan w:val="2"/>
            <w:vAlign w:val="center"/>
          </w:tcPr>
          <w:p w14:paraId="5108B009"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75 </w:t>
            </w:r>
          </w:p>
          <w:p w14:paraId="55561B64" w14:textId="22A900E3"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1237C39A" w14:textId="77777777" w:rsidTr="005D385E">
        <w:tc>
          <w:tcPr>
            <w:tcW w:w="2411" w:type="dxa"/>
            <w:vAlign w:val="center"/>
          </w:tcPr>
          <w:p w14:paraId="4DF12F1F" w14:textId="77777777" w:rsidR="00C60E1F" w:rsidRPr="00C60E1F" w:rsidRDefault="00C60E1F" w:rsidP="002B0DC1">
            <w:pPr>
              <w:jc w:val="center"/>
              <w:rPr>
                <w:rFonts w:ascii="Times New Roman" w:eastAsia="Times New Roman" w:hAnsi="Times New Roman" w:cs="Times New Roman"/>
                <w:sz w:val="22"/>
                <w:szCs w:val="22"/>
                <w:lang w:eastAsia="fr-FR"/>
              </w:rPr>
            </w:pPr>
            <w:r w:rsidRPr="00C60E1F">
              <w:rPr>
                <w:rFonts w:ascii="Times New Roman" w:eastAsia="Times New Roman" w:hAnsi="Times New Roman" w:cs="Times New Roman"/>
                <w:sz w:val="22"/>
                <w:szCs w:val="22"/>
                <w:lang w:eastAsia="fr-FR"/>
              </w:rPr>
              <w:t>Chaudière brûlant de la biomasse solide ou de la tourbe</w:t>
            </w:r>
          </w:p>
        </w:tc>
        <w:tc>
          <w:tcPr>
            <w:tcW w:w="1842" w:type="dxa"/>
            <w:vAlign w:val="center"/>
          </w:tcPr>
          <w:p w14:paraId="38A98643"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33,5 </w:t>
            </w:r>
          </w:p>
          <w:p w14:paraId="5A90958D" w14:textId="0730980E"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3</w:t>
            </w:r>
            <w:r w:rsidRPr="00C60E1F">
              <w:rPr>
                <w:rFonts w:ascii="Times New Roman" w:eastAsia="Times New Roman" w:hAnsi="Times New Roman" w:cs="Times New Roman"/>
                <w:color w:val="000000"/>
                <w:sz w:val="22"/>
                <w:szCs w:val="22"/>
                <w:lang w:eastAsia="fr-FR"/>
              </w:rPr>
              <w:t>)</w:t>
            </w:r>
          </w:p>
        </w:tc>
        <w:tc>
          <w:tcPr>
            <w:tcW w:w="1843" w:type="dxa"/>
            <w:vAlign w:val="center"/>
          </w:tcPr>
          <w:p w14:paraId="77C61A8F"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28</w:t>
            </w:r>
          </w:p>
        </w:tc>
        <w:tc>
          <w:tcPr>
            <w:tcW w:w="3260" w:type="dxa"/>
            <w:gridSpan w:val="2"/>
            <w:vAlign w:val="center"/>
          </w:tcPr>
          <w:p w14:paraId="05F5E613"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73 </w:t>
            </w:r>
          </w:p>
          <w:p w14:paraId="45881FC6" w14:textId="4893BBD6"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2BEF5E03" w14:textId="77777777" w:rsidTr="005D385E">
        <w:tc>
          <w:tcPr>
            <w:tcW w:w="2411" w:type="dxa"/>
            <w:vAlign w:val="center"/>
          </w:tcPr>
          <w:p w14:paraId="0057A82A" w14:textId="77777777" w:rsidR="00C60E1F" w:rsidRPr="00C60E1F" w:rsidRDefault="00C60E1F" w:rsidP="002B0DC1">
            <w:pPr>
              <w:jc w:val="center"/>
              <w:rPr>
                <w:rFonts w:ascii="Times New Roman" w:eastAsia="Times New Roman" w:hAnsi="Times New Roman" w:cs="Times New Roman"/>
                <w:sz w:val="22"/>
                <w:szCs w:val="22"/>
                <w:lang w:eastAsia="fr-FR"/>
              </w:rPr>
            </w:pPr>
            <w:r w:rsidRPr="00C60E1F">
              <w:rPr>
                <w:rFonts w:ascii="Times New Roman" w:eastAsia="Times New Roman" w:hAnsi="Times New Roman" w:cs="Times New Roman"/>
                <w:sz w:val="22"/>
                <w:szCs w:val="22"/>
                <w:lang w:eastAsia="fr-FR"/>
              </w:rPr>
              <w:t>Chaudière au fioul lourd ou au fioul domestique</w:t>
            </w:r>
          </w:p>
        </w:tc>
        <w:tc>
          <w:tcPr>
            <w:tcW w:w="1842" w:type="dxa"/>
            <w:vAlign w:val="center"/>
          </w:tcPr>
          <w:p w14:paraId="3DDB1618"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&gt; 36,4</w:t>
            </w:r>
          </w:p>
        </w:tc>
        <w:tc>
          <w:tcPr>
            <w:tcW w:w="1843" w:type="dxa"/>
            <w:vAlign w:val="center"/>
          </w:tcPr>
          <w:p w14:paraId="18EB717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35,6</w:t>
            </w:r>
          </w:p>
        </w:tc>
        <w:tc>
          <w:tcPr>
            <w:tcW w:w="3260" w:type="dxa"/>
            <w:gridSpan w:val="2"/>
            <w:vAlign w:val="center"/>
          </w:tcPr>
          <w:p w14:paraId="1B6C7C75"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80</w:t>
            </w:r>
          </w:p>
        </w:tc>
      </w:tr>
      <w:tr w:rsidR="00C60E1F" w:rsidRPr="00C60E1F" w14:paraId="30482164" w14:textId="77777777" w:rsidTr="005D385E">
        <w:tc>
          <w:tcPr>
            <w:tcW w:w="2411" w:type="dxa"/>
            <w:vAlign w:val="center"/>
          </w:tcPr>
          <w:p w14:paraId="18F653D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Moteur alternatif au fioul lourd ou au fioul domestique – cycle unique</w:t>
            </w:r>
          </w:p>
        </w:tc>
        <w:tc>
          <w:tcPr>
            <w:tcW w:w="1842" w:type="dxa"/>
            <w:vAlign w:val="center"/>
          </w:tcPr>
          <w:p w14:paraId="3CFAFBCE"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41,5</w:t>
            </w:r>
          </w:p>
          <w:p w14:paraId="039AD71F" w14:textId="373B30A4"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4</w:t>
            </w:r>
            <w:r w:rsidRPr="00C60E1F">
              <w:rPr>
                <w:rFonts w:ascii="Times New Roman" w:eastAsia="Times New Roman" w:hAnsi="Times New Roman" w:cs="Times New Roman"/>
                <w:color w:val="000000"/>
                <w:sz w:val="22"/>
                <w:szCs w:val="22"/>
                <w:lang w:eastAsia="fr-FR"/>
              </w:rPr>
              <w:t>) (</w:t>
            </w:r>
            <w:r w:rsidR="00EC3C6E">
              <w:rPr>
                <w:rFonts w:ascii="Times New Roman" w:eastAsia="Times New Roman" w:hAnsi="Times New Roman" w:cs="Times New Roman"/>
                <w:color w:val="000000"/>
                <w:sz w:val="22"/>
                <w:szCs w:val="22"/>
                <w:lang w:eastAsia="fr-FR"/>
              </w:rPr>
              <w:t>5</w:t>
            </w:r>
            <w:r w:rsidRPr="00C60E1F">
              <w:rPr>
                <w:rFonts w:ascii="Times New Roman" w:eastAsia="Times New Roman" w:hAnsi="Times New Roman" w:cs="Times New Roman"/>
                <w:color w:val="000000"/>
                <w:sz w:val="22"/>
                <w:szCs w:val="22"/>
                <w:lang w:eastAsia="fr-FR"/>
              </w:rPr>
              <w:t>)</w:t>
            </w:r>
          </w:p>
        </w:tc>
        <w:tc>
          <w:tcPr>
            <w:tcW w:w="1843" w:type="dxa"/>
            <w:vAlign w:val="center"/>
          </w:tcPr>
          <w:p w14:paraId="663B6619"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38,3</w:t>
            </w:r>
          </w:p>
          <w:p w14:paraId="0FC8C2DF" w14:textId="38B96869"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4</w:t>
            </w:r>
            <w:r w:rsidRPr="00C60E1F">
              <w:rPr>
                <w:rFonts w:ascii="Times New Roman" w:eastAsia="Times New Roman" w:hAnsi="Times New Roman" w:cs="Times New Roman"/>
                <w:color w:val="000000"/>
                <w:sz w:val="22"/>
                <w:szCs w:val="22"/>
                <w:lang w:eastAsia="fr-FR"/>
              </w:rPr>
              <w:t>) (</w:t>
            </w:r>
            <w:r w:rsidR="00EC3C6E">
              <w:rPr>
                <w:rFonts w:ascii="Times New Roman" w:eastAsia="Times New Roman" w:hAnsi="Times New Roman" w:cs="Times New Roman"/>
                <w:color w:val="000000"/>
                <w:sz w:val="22"/>
                <w:szCs w:val="22"/>
                <w:lang w:eastAsia="fr-FR"/>
              </w:rPr>
              <w:t>5</w:t>
            </w:r>
            <w:r w:rsidRPr="00C60E1F">
              <w:rPr>
                <w:rFonts w:ascii="Times New Roman" w:eastAsia="Times New Roman" w:hAnsi="Times New Roman" w:cs="Times New Roman"/>
                <w:color w:val="000000"/>
                <w:sz w:val="22"/>
                <w:szCs w:val="22"/>
                <w:lang w:eastAsia="fr-FR"/>
              </w:rPr>
              <w:t>)</w:t>
            </w:r>
          </w:p>
        </w:tc>
        <w:tc>
          <w:tcPr>
            <w:tcW w:w="3260" w:type="dxa"/>
            <w:gridSpan w:val="2"/>
            <w:vAlign w:val="center"/>
          </w:tcPr>
          <w:p w14:paraId="23E8AD2B"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p>
        </w:tc>
      </w:tr>
      <w:tr w:rsidR="00C60E1F" w:rsidRPr="00C60E1F" w14:paraId="4379B170" w14:textId="77777777" w:rsidTr="005D385E">
        <w:tc>
          <w:tcPr>
            <w:tcW w:w="2411" w:type="dxa"/>
            <w:vAlign w:val="center"/>
          </w:tcPr>
          <w:p w14:paraId="5A35B9D7"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Moteur alternatif au fioul lourd ou au fioul domestique – cycle combiné</w:t>
            </w:r>
          </w:p>
        </w:tc>
        <w:tc>
          <w:tcPr>
            <w:tcW w:w="1842" w:type="dxa"/>
            <w:vAlign w:val="center"/>
          </w:tcPr>
          <w:p w14:paraId="5A275601"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&gt; 48</w:t>
            </w:r>
          </w:p>
          <w:p w14:paraId="321B4998" w14:textId="50A5E435"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4</w:t>
            </w:r>
            <w:r w:rsidRPr="00C60E1F">
              <w:rPr>
                <w:rFonts w:ascii="Times New Roman" w:eastAsia="Times New Roman" w:hAnsi="Times New Roman" w:cs="Times New Roman"/>
                <w:color w:val="000000"/>
                <w:sz w:val="22"/>
                <w:szCs w:val="22"/>
                <w:lang w:eastAsia="fr-FR"/>
              </w:rPr>
              <w:t>) (</w:t>
            </w:r>
            <w:r w:rsidR="00EC3C6E">
              <w:rPr>
                <w:rFonts w:ascii="Times New Roman" w:eastAsia="Times New Roman" w:hAnsi="Times New Roman" w:cs="Times New Roman"/>
                <w:color w:val="000000"/>
                <w:sz w:val="22"/>
                <w:szCs w:val="22"/>
                <w:lang w:eastAsia="fr-FR"/>
              </w:rPr>
              <w:t>6</w:t>
            </w:r>
            <w:r w:rsidRPr="00C60E1F">
              <w:rPr>
                <w:rFonts w:ascii="Times New Roman" w:eastAsia="Times New Roman" w:hAnsi="Times New Roman" w:cs="Times New Roman"/>
                <w:color w:val="000000"/>
                <w:sz w:val="22"/>
                <w:szCs w:val="22"/>
                <w:lang w:eastAsia="fr-FR"/>
              </w:rPr>
              <w:t>)</w:t>
            </w:r>
          </w:p>
        </w:tc>
        <w:tc>
          <w:tcPr>
            <w:tcW w:w="1843" w:type="dxa"/>
            <w:vAlign w:val="center"/>
          </w:tcPr>
          <w:p w14:paraId="5BE30EE7"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p>
        </w:tc>
        <w:tc>
          <w:tcPr>
            <w:tcW w:w="3260" w:type="dxa"/>
            <w:gridSpan w:val="2"/>
            <w:vAlign w:val="center"/>
          </w:tcPr>
          <w:p w14:paraId="30BFA71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p>
        </w:tc>
      </w:tr>
      <w:tr w:rsidR="00C60E1F" w:rsidRPr="00C60E1F" w14:paraId="2738031A" w14:textId="77777777" w:rsidTr="005D385E">
        <w:tc>
          <w:tcPr>
            <w:tcW w:w="2411" w:type="dxa"/>
            <w:vAlign w:val="center"/>
          </w:tcPr>
          <w:p w14:paraId="2E98E33D"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Turbine à gaz à cycle ouvert alimentée au fioul domestique</w:t>
            </w:r>
          </w:p>
        </w:tc>
        <w:tc>
          <w:tcPr>
            <w:tcW w:w="1842" w:type="dxa"/>
            <w:vAlign w:val="center"/>
          </w:tcPr>
          <w:p w14:paraId="3A5274ED"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&gt; 33</w:t>
            </w:r>
          </w:p>
          <w:p w14:paraId="085C72CE" w14:textId="0D834D00"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4</w:t>
            </w:r>
            <w:r w:rsidRPr="00C60E1F">
              <w:rPr>
                <w:rFonts w:ascii="Times New Roman" w:eastAsia="Times New Roman" w:hAnsi="Times New Roman" w:cs="Times New Roman"/>
                <w:color w:val="000000"/>
                <w:sz w:val="22"/>
                <w:szCs w:val="22"/>
                <w:lang w:eastAsia="fr-FR"/>
              </w:rPr>
              <w:t>)</w:t>
            </w:r>
          </w:p>
        </w:tc>
        <w:tc>
          <w:tcPr>
            <w:tcW w:w="1843" w:type="dxa"/>
            <w:vAlign w:val="center"/>
          </w:tcPr>
          <w:p w14:paraId="5DACFFFB"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25</w:t>
            </w:r>
          </w:p>
          <w:p w14:paraId="50E53466" w14:textId="4EFCA47A"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4</w:t>
            </w:r>
            <w:r w:rsidRPr="00C60E1F">
              <w:rPr>
                <w:rFonts w:ascii="Times New Roman" w:eastAsia="Times New Roman" w:hAnsi="Times New Roman" w:cs="Times New Roman"/>
                <w:color w:val="000000"/>
                <w:sz w:val="22"/>
                <w:szCs w:val="22"/>
                <w:lang w:eastAsia="fr-FR"/>
              </w:rPr>
              <w:t>)</w:t>
            </w:r>
          </w:p>
        </w:tc>
        <w:tc>
          <w:tcPr>
            <w:tcW w:w="3260" w:type="dxa"/>
            <w:gridSpan w:val="2"/>
            <w:vAlign w:val="center"/>
          </w:tcPr>
          <w:p w14:paraId="0417FC55"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p>
        </w:tc>
      </w:tr>
      <w:tr w:rsidR="00C60E1F" w:rsidRPr="00C60E1F" w14:paraId="7C6AC0F2" w14:textId="77777777" w:rsidTr="005D385E">
        <w:tc>
          <w:tcPr>
            <w:tcW w:w="2411" w:type="dxa"/>
            <w:vAlign w:val="center"/>
          </w:tcPr>
          <w:p w14:paraId="2ADBB518"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Turbine à gaz à cycle combiné alimentée au fioul domestique</w:t>
            </w:r>
          </w:p>
        </w:tc>
        <w:tc>
          <w:tcPr>
            <w:tcW w:w="1842" w:type="dxa"/>
            <w:vAlign w:val="center"/>
          </w:tcPr>
          <w:p w14:paraId="49BF197C"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&gt; 40</w:t>
            </w:r>
          </w:p>
          <w:p w14:paraId="434173A0" w14:textId="012DA41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4</w:t>
            </w:r>
            <w:r w:rsidRPr="00C60E1F">
              <w:rPr>
                <w:rFonts w:ascii="Times New Roman" w:eastAsia="Times New Roman" w:hAnsi="Times New Roman" w:cs="Times New Roman"/>
                <w:color w:val="000000"/>
                <w:sz w:val="22"/>
                <w:szCs w:val="22"/>
                <w:lang w:eastAsia="fr-FR"/>
              </w:rPr>
              <w:t>)</w:t>
            </w:r>
          </w:p>
        </w:tc>
        <w:tc>
          <w:tcPr>
            <w:tcW w:w="1843" w:type="dxa"/>
            <w:vAlign w:val="center"/>
          </w:tcPr>
          <w:p w14:paraId="40FDA933"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33</w:t>
            </w:r>
          </w:p>
          <w:p w14:paraId="5E50EED4" w14:textId="4D3EB6E9"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4</w:t>
            </w:r>
            <w:r w:rsidRPr="00C60E1F">
              <w:rPr>
                <w:rFonts w:ascii="Times New Roman" w:eastAsia="Times New Roman" w:hAnsi="Times New Roman" w:cs="Times New Roman"/>
                <w:color w:val="000000"/>
                <w:sz w:val="22"/>
                <w:szCs w:val="22"/>
                <w:lang w:eastAsia="fr-FR"/>
              </w:rPr>
              <w:t>)</w:t>
            </w:r>
          </w:p>
        </w:tc>
        <w:tc>
          <w:tcPr>
            <w:tcW w:w="3260" w:type="dxa"/>
            <w:gridSpan w:val="2"/>
            <w:vAlign w:val="center"/>
          </w:tcPr>
          <w:p w14:paraId="61E72B08"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p>
        </w:tc>
      </w:tr>
      <w:tr w:rsidR="00C60E1F" w:rsidRPr="00C60E1F" w14:paraId="6E37B87C" w14:textId="77777777" w:rsidTr="005D385E">
        <w:tc>
          <w:tcPr>
            <w:tcW w:w="2411" w:type="dxa"/>
            <w:vAlign w:val="center"/>
          </w:tcPr>
          <w:p w14:paraId="26790B7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Moteur à gaz</w:t>
            </w:r>
          </w:p>
        </w:tc>
        <w:tc>
          <w:tcPr>
            <w:tcW w:w="1842" w:type="dxa"/>
            <w:vAlign w:val="center"/>
          </w:tcPr>
          <w:p w14:paraId="0CB977FA"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39,5</w:t>
            </w:r>
          </w:p>
          <w:p w14:paraId="423C5796" w14:textId="4E9CC72F"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7</w:t>
            </w:r>
            <w:r w:rsidRPr="00C60E1F">
              <w:rPr>
                <w:rFonts w:ascii="Times New Roman" w:eastAsia="Times New Roman" w:hAnsi="Times New Roman" w:cs="Times New Roman"/>
                <w:color w:val="000000"/>
                <w:sz w:val="22"/>
                <w:szCs w:val="22"/>
                <w:lang w:eastAsia="fr-FR"/>
              </w:rPr>
              <w:t>)</w:t>
            </w:r>
          </w:p>
        </w:tc>
        <w:tc>
          <w:tcPr>
            <w:tcW w:w="1843" w:type="dxa"/>
            <w:vAlign w:val="center"/>
          </w:tcPr>
          <w:p w14:paraId="1FF8DDF3"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35</w:t>
            </w:r>
          </w:p>
          <w:p w14:paraId="29677F8E" w14:textId="79FBDEBC"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7</w:t>
            </w:r>
            <w:r w:rsidRPr="00C60E1F">
              <w:rPr>
                <w:rFonts w:ascii="Times New Roman" w:eastAsia="Times New Roman" w:hAnsi="Times New Roman" w:cs="Times New Roman"/>
                <w:color w:val="000000"/>
                <w:sz w:val="22"/>
                <w:szCs w:val="22"/>
                <w:lang w:eastAsia="fr-FR"/>
              </w:rPr>
              <w:t>)</w:t>
            </w:r>
          </w:p>
        </w:tc>
        <w:tc>
          <w:tcPr>
            <w:tcW w:w="3260" w:type="dxa"/>
            <w:gridSpan w:val="2"/>
            <w:vAlign w:val="center"/>
          </w:tcPr>
          <w:p w14:paraId="029540FB"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56</w:t>
            </w:r>
          </w:p>
          <w:p w14:paraId="32EAA138" w14:textId="5855DDE2"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 (</w:t>
            </w:r>
            <w:r w:rsidR="00EC3C6E">
              <w:rPr>
                <w:rFonts w:ascii="Times New Roman" w:eastAsia="Times New Roman" w:hAnsi="Times New Roman" w:cs="Times New Roman"/>
                <w:color w:val="000000"/>
                <w:sz w:val="22"/>
                <w:szCs w:val="22"/>
                <w:lang w:eastAsia="fr-FR"/>
              </w:rPr>
              <w:t>7</w:t>
            </w:r>
            <w:r w:rsidRPr="00C60E1F">
              <w:rPr>
                <w:rFonts w:ascii="Times New Roman" w:eastAsia="Times New Roman" w:hAnsi="Times New Roman" w:cs="Times New Roman"/>
                <w:color w:val="000000"/>
                <w:sz w:val="22"/>
                <w:szCs w:val="22"/>
                <w:lang w:eastAsia="fr-FR"/>
              </w:rPr>
              <w:t>)</w:t>
            </w:r>
          </w:p>
        </w:tc>
      </w:tr>
      <w:tr w:rsidR="00C60E1F" w:rsidRPr="00C60E1F" w14:paraId="751D8DEB" w14:textId="77777777" w:rsidTr="005D385E">
        <w:tc>
          <w:tcPr>
            <w:tcW w:w="2411" w:type="dxa"/>
            <w:vAlign w:val="center"/>
          </w:tcPr>
          <w:p w14:paraId="6AAD6767"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Chaudière à gaz</w:t>
            </w:r>
          </w:p>
        </w:tc>
        <w:tc>
          <w:tcPr>
            <w:tcW w:w="1842" w:type="dxa"/>
            <w:vAlign w:val="center"/>
          </w:tcPr>
          <w:p w14:paraId="1964CC1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39</w:t>
            </w:r>
          </w:p>
        </w:tc>
        <w:tc>
          <w:tcPr>
            <w:tcW w:w="1843" w:type="dxa"/>
            <w:vAlign w:val="center"/>
          </w:tcPr>
          <w:p w14:paraId="4AF6308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38</w:t>
            </w:r>
          </w:p>
        </w:tc>
        <w:tc>
          <w:tcPr>
            <w:tcW w:w="3260" w:type="dxa"/>
            <w:gridSpan w:val="2"/>
            <w:vAlign w:val="center"/>
          </w:tcPr>
          <w:p w14:paraId="61B057EC"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78 </w:t>
            </w:r>
          </w:p>
          <w:p w14:paraId="4529F15E" w14:textId="712E09A1"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1B2EF3D0" w14:textId="77777777" w:rsidTr="005D385E">
        <w:trPr>
          <w:trHeight w:val="503"/>
        </w:trPr>
        <w:tc>
          <w:tcPr>
            <w:tcW w:w="9356" w:type="dxa"/>
            <w:gridSpan w:val="5"/>
            <w:vAlign w:val="center"/>
          </w:tcPr>
          <w:p w14:paraId="09DA6A5C" w14:textId="77777777" w:rsidR="00C60E1F" w:rsidRPr="00C60E1F" w:rsidRDefault="00C60E1F" w:rsidP="002B0DC1">
            <w:pPr>
              <w:rPr>
                <w:rFonts w:ascii="Times New Roman" w:eastAsia="Times New Roman" w:hAnsi="Times New Roman" w:cs="Times New Roman"/>
                <w:b/>
                <w:color w:val="000000"/>
                <w:sz w:val="22"/>
                <w:szCs w:val="22"/>
                <w:lang w:eastAsia="fr-FR"/>
              </w:rPr>
            </w:pPr>
            <w:r w:rsidRPr="00C60E1F">
              <w:rPr>
                <w:rFonts w:ascii="Times New Roman" w:eastAsia="Times New Roman" w:hAnsi="Times New Roman" w:cs="Times New Roman"/>
                <w:b/>
                <w:color w:val="000000"/>
                <w:sz w:val="22"/>
                <w:szCs w:val="22"/>
                <w:lang w:eastAsia="fr-FR"/>
              </w:rPr>
              <w:t>Turbines à gaz à cycle combiné (CCGT)</w:t>
            </w:r>
          </w:p>
        </w:tc>
      </w:tr>
      <w:tr w:rsidR="00C60E1F" w:rsidRPr="00C60E1F" w14:paraId="448A93AC" w14:textId="77777777" w:rsidTr="005D385E">
        <w:tc>
          <w:tcPr>
            <w:tcW w:w="2411" w:type="dxa"/>
            <w:vAlign w:val="center"/>
          </w:tcPr>
          <w:p w14:paraId="734C225D"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CCGT 50-600 </w:t>
            </w:r>
            <w:proofErr w:type="spellStart"/>
            <w:r w:rsidRPr="00C60E1F">
              <w:rPr>
                <w:rFonts w:ascii="Times New Roman" w:eastAsia="Times New Roman" w:hAnsi="Times New Roman" w:cs="Times New Roman"/>
                <w:color w:val="000000"/>
                <w:sz w:val="22"/>
                <w:szCs w:val="22"/>
                <w:lang w:eastAsia="fr-FR"/>
              </w:rPr>
              <w:t>MW</w:t>
            </w:r>
            <w:r w:rsidRPr="00C60E1F">
              <w:rPr>
                <w:rFonts w:ascii="Times New Roman" w:eastAsia="Times New Roman" w:hAnsi="Times New Roman" w:cs="Times New Roman"/>
                <w:color w:val="000000"/>
                <w:sz w:val="22"/>
                <w:szCs w:val="22"/>
                <w:vertAlign w:val="subscript"/>
                <w:lang w:eastAsia="fr-FR"/>
              </w:rPr>
              <w:t>th</w:t>
            </w:r>
            <w:proofErr w:type="spellEnd"/>
          </w:p>
        </w:tc>
        <w:tc>
          <w:tcPr>
            <w:tcW w:w="1842" w:type="dxa"/>
            <w:vAlign w:val="center"/>
          </w:tcPr>
          <w:p w14:paraId="4ACF45A4"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53</w:t>
            </w:r>
          </w:p>
        </w:tc>
        <w:tc>
          <w:tcPr>
            <w:tcW w:w="1843" w:type="dxa"/>
            <w:vAlign w:val="center"/>
          </w:tcPr>
          <w:p w14:paraId="0CAF8829"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46</w:t>
            </w:r>
          </w:p>
        </w:tc>
        <w:tc>
          <w:tcPr>
            <w:tcW w:w="3260" w:type="dxa"/>
            <w:gridSpan w:val="2"/>
            <w:vAlign w:val="center"/>
          </w:tcPr>
          <w:p w14:paraId="45074FBB"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p>
        </w:tc>
      </w:tr>
      <w:tr w:rsidR="00C60E1F" w:rsidRPr="00C60E1F" w14:paraId="02CE6F0D" w14:textId="77777777" w:rsidTr="005D385E">
        <w:tc>
          <w:tcPr>
            <w:tcW w:w="2411" w:type="dxa"/>
            <w:vAlign w:val="center"/>
          </w:tcPr>
          <w:p w14:paraId="1350060D"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CCGT ≥ 600 </w:t>
            </w:r>
            <w:proofErr w:type="spellStart"/>
            <w:r w:rsidRPr="00C60E1F">
              <w:rPr>
                <w:rFonts w:ascii="Times New Roman" w:eastAsia="Times New Roman" w:hAnsi="Times New Roman" w:cs="Times New Roman"/>
                <w:color w:val="000000"/>
                <w:sz w:val="22"/>
                <w:szCs w:val="22"/>
                <w:lang w:eastAsia="fr-FR"/>
              </w:rPr>
              <w:t>MW</w:t>
            </w:r>
            <w:r w:rsidRPr="00C60E1F">
              <w:rPr>
                <w:rFonts w:ascii="Times New Roman" w:eastAsia="Times New Roman" w:hAnsi="Times New Roman" w:cs="Times New Roman"/>
                <w:color w:val="000000"/>
                <w:sz w:val="22"/>
                <w:szCs w:val="22"/>
                <w:vertAlign w:val="subscript"/>
                <w:lang w:eastAsia="fr-FR"/>
              </w:rPr>
              <w:t>th</w:t>
            </w:r>
            <w:proofErr w:type="spellEnd"/>
          </w:p>
        </w:tc>
        <w:tc>
          <w:tcPr>
            <w:tcW w:w="1842" w:type="dxa"/>
            <w:vAlign w:val="center"/>
          </w:tcPr>
          <w:p w14:paraId="0004EF07"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57</w:t>
            </w:r>
          </w:p>
        </w:tc>
        <w:tc>
          <w:tcPr>
            <w:tcW w:w="1843" w:type="dxa"/>
            <w:vAlign w:val="center"/>
          </w:tcPr>
          <w:p w14:paraId="58528BE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50</w:t>
            </w:r>
          </w:p>
        </w:tc>
        <w:tc>
          <w:tcPr>
            <w:tcW w:w="3260" w:type="dxa"/>
            <w:gridSpan w:val="2"/>
            <w:vAlign w:val="center"/>
          </w:tcPr>
          <w:p w14:paraId="71CDE4C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p>
        </w:tc>
      </w:tr>
      <w:tr w:rsidR="00C60E1F" w:rsidRPr="00C60E1F" w14:paraId="02327982" w14:textId="77777777" w:rsidTr="005D385E">
        <w:tc>
          <w:tcPr>
            <w:tcW w:w="2411" w:type="dxa"/>
            <w:vAlign w:val="center"/>
          </w:tcPr>
          <w:p w14:paraId="4487079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CHP CCGT 50-600 </w:t>
            </w:r>
            <w:proofErr w:type="spellStart"/>
            <w:r w:rsidRPr="00C60E1F">
              <w:rPr>
                <w:rFonts w:ascii="Times New Roman" w:eastAsia="Times New Roman" w:hAnsi="Times New Roman" w:cs="Times New Roman"/>
                <w:color w:val="000000"/>
                <w:sz w:val="22"/>
                <w:szCs w:val="22"/>
                <w:lang w:eastAsia="fr-FR"/>
              </w:rPr>
              <w:t>MW</w:t>
            </w:r>
            <w:r w:rsidRPr="00C60E1F">
              <w:rPr>
                <w:rFonts w:ascii="Times New Roman" w:eastAsia="Times New Roman" w:hAnsi="Times New Roman" w:cs="Times New Roman"/>
                <w:color w:val="000000"/>
                <w:sz w:val="22"/>
                <w:szCs w:val="22"/>
                <w:vertAlign w:val="subscript"/>
                <w:lang w:eastAsia="fr-FR"/>
              </w:rPr>
              <w:t>th</w:t>
            </w:r>
            <w:proofErr w:type="spellEnd"/>
          </w:p>
        </w:tc>
        <w:tc>
          <w:tcPr>
            <w:tcW w:w="1842" w:type="dxa"/>
            <w:vAlign w:val="center"/>
          </w:tcPr>
          <w:p w14:paraId="0B3AD260"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53</w:t>
            </w:r>
          </w:p>
        </w:tc>
        <w:tc>
          <w:tcPr>
            <w:tcW w:w="1843" w:type="dxa"/>
            <w:vAlign w:val="center"/>
          </w:tcPr>
          <w:p w14:paraId="6AA55EED"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46</w:t>
            </w:r>
          </w:p>
        </w:tc>
        <w:tc>
          <w:tcPr>
            <w:tcW w:w="3260" w:type="dxa"/>
            <w:gridSpan w:val="2"/>
            <w:vAlign w:val="center"/>
          </w:tcPr>
          <w:p w14:paraId="653790D3"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65</w:t>
            </w:r>
          </w:p>
          <w:p w14:paraId="1FBBC99E" w14:textId="0E346039"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32184A23" w14:textId="77777777" w:rsidTr="005D385E">
        <w:tc>
          <w:tcPr>
            <w:tcW w:w="2411" w:type="dxa"/>
            <w:vAlign w:val="center"/>
          </w:tcPr>
          <w:p w14:paraId="656C3229"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CHP CCGT ≥ 600 </w:t>
            </w:r>
            <w:proofErr w:type="spellStart"/>
            <w:r w:rsidRPr="00C60E1F">
              <w:rPr>
                <w:rFonts w:ascii="Times New Roman" w:eastAsia="Times New Roman" w:hAnsi="Times New Roman" w:cs="Times New Roman"/>
                <w:color w:val="000000"/>
                <w:sz w:val="22"/>
                <w:szCs w:val="22"/>
                <w:lang w:eastAsia="fr-FR"/>
              </w:rPr>
              <w:t>MW</w:t>
            </w:r>
            <w:r w:rsidRPr="00C60E1F">
              <w:rPr>
                <w:rFonts w:ascii="Times New Roman" w:eastAsia="Times New Roman" w:hAnsi="Times New Roman" w:cs="Times New Roman"/>
                <w:color w:val="000000"/>
                <w:sz w:val="22"/>
                <w:szCs w:val="22"/>
                <w:vertAlign w:val="subscript"/>
                <w:lang w:eastAsia="fr-FR"/>
              </w:rPr>
              <w:t>th</w:t>
            </w:r>
            <w:proofErr w:type="spellEnd"/>
          </w:p>
        </w:tc>
        <w:tc>
          <w:tcPr>
            <w:tcW w:w="1842" w:type="dxa"/>
            <w:vAlign w:val="center"/>
          </w:tcPr>
          <w:p w14:paraId="02CD491C"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57</w:t>
            </w:r>
          </w:p>
        </w:tc>
        <w:tc>
          <w:tcPr>
            <w:tcW w:w="1843" w:type="dxa"/>
            <w:vAlign w:val="center"/>
          </w:tcPr>
          <w:p w14:paraId="187A651B"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50</w:t>
            </w:r>
          </w:p>
        </w:tc>
        <w:tc>
          <w:tcPr>
            <w:tcW w:w="3260" w:type="dxa"/>
            <w:gridSpan w:val="2"/>
            <w:vAlign w:val="center"/>
          </w:tcPr>
          <w:p w14:paraId="2A857D8D"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65 </w:t>
            </w:r>
          </w:p>
          <w:p w14:paraId="5E2E524D" w14:textId="0A5C3291"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7F1C3BF0" w14:textId="77777777" w:rsidTr="005D385E">
        <w:tc>
          <w:tcPr>
            <w:tcW w:w="2411" w:type="dxa"/>
            <w:vAlign w:val="center"/>
          </w:tcPr>
          <w:p w14:paraId="68E0E559"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 xml:space="preserve">Chaudière à gaz sidérurgiques </w:t>
            </w:r>
            <w:proofErr w:type="spellStart"/>
            <w:r w:rsidRPr="00C60E1F">
              <w:rPr>
                <w:rFonts w:ascii="Times New Roman" w:eastAsia="Times New Roman" w:hAnsi="Times New Roman" w:cs="Times New Roman"/>
                <w:color w:val="000000"/>
                <w:sz w:val="22"/>
                <w:szCs w:val="22"/>
                <w:lang w:eastAsia="fr-FR"/>
              </w:rPr>
              <w:t>multicombustible</w:t>
            </w:r>
            <w:proofErr w:type="spellEnd"/>
          </w:p>
        </w:tc>
        <w:tc>
          <w:tcPr>
            <w:tcW w:w="1842" w:type="dxa"/>
            <w:vAlign w:val="center"/>
          </w:tcPr>
          <w:p w14:paraId="16CB6FDC"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30</w:t>
            </w:r>
          </w:p>
        </w:tc>
        <w:tc>
          <w:tcPr>
            <w:tcW w:w="1843" w:type="dxa"/>
            <w:vAlign w:val="center"/>
          </w:tcPr>
          <w:p w14:paraId="158F0D50"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36</w:t>
            </w:r>
          </w:p>
        </w:tc>
        <w:tc>
          <w:tcPr>
            <w:tcW w:w="3260" w:type="dxa"/>
            <w:gridSpan w:val="2"/>
            <w:vAlign w:val="center"/>
          </w:tcPr>
          <w:p w14:paraId="2BFE66FE"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50</w:t>
            </w:r>
          </w:p>
          <w:p w14:paraId="59C1E933" w14:textId="0E0C9F93"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6B8F7811" w14:textId="77777777" w:rsidTr="005D385E">
        <w:tc>
          <w:tcPr>
            <w:tcW w:w="2411" w:type="dxa"/>
            <w:vAlign w:val="center"/>
          </w:tcPr>
          <w:p w14:paraId="79347466"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CHP CCGT à gaz sidérurgiques</w:t>
            </w:r>
          </w:p>
        </w:tc>
        <w:tc>
          <w:tcPr>
            <w:tcW w:w="1842" w:type="dxa"/>
            <w:vAlign w:val="center"/>
          </w:tcPr>
          <w:p w14:paraId="6C6263F7"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&gt; 47</w:t>
            </w:r>
          </w:p>
        </w:tc>
        <w:tc>
          <w:tcPr>
            <w:tcW w:w="1843" w:type="dxa"/>
            <w:vAlign w:val="center"/>
          </w:tcPr>
          <w:p w14:paraId="15A1DEC3"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40</w:t>
            </w:r>
          </w:p>
        </w:tc>
        <w:tc>
          <w:tcPr>
            <w:tcW w:w="3260" w:type="dxa"/>
            <w:gridSpan w:val="2"/>
            <w:vAlign w:val="center"/>
          </w:tcPr>
          <w:p w14:paraId="7DEBA532"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60</w:t>
            </w:r>
          </w:p>
          <w:p w14:paraId="542D5E82" w14:textId="1552750A"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r>
      <w:tr w:rsidR="00C60E1F" w:rsidRPr="00C60E1F" w14:paraId="6B03F5C7" w14:textId="77777777" w:rsidTr="005D385E">
        <w:tc>
          <w:tcPr>
            <w:tcW w:w="2411" w:type="dxa"/>
            <w:vAlign w:val="center"/>
          </w:tcPr>
          <w:p w14:paraId="79FE1204"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CCGT à gaz sidérurgiques</w:t>
            </w:r>
          </w:p>
        </w:tc>
        <w:tc>
          <w:tcPr>
            <w:tcW w:w="1842" w:type="dxa"/>
            <w:vAlign w:val="center"/>
          </w:tcPr>
          <w:p w14:paraId="23062EBF"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&gt; 47</w:t>
            </w:r>
          </w:p>
        </w:tc>
        <w:tc>
          <w:tcPr>
            <w:tcW w:w="1843" w:type="dxa"/>
            <w:vAlign w:val="center"/>
          </w:tcPr>
          <w:p w14:paraId="3F3C22A3"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40</w:t>
            </w:r>
          </w:p>
        </w:tc>
        <w:tc>
          <w:tcPr>
            <w:tcW w:w="3260" w:type="dxa"/>
            <w:gridSpan w:val="2"/>
            <w:vAlign w:val="center"/>
          </w:tcPr>
          <w:p w14:paraId="0109AB79" w14:textId="77777777"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p>
        </w:tc>
      </w:tr>
      <w:tr w:rsidR="00C60E1F" w:rsidRPr="00C60E1F" w14:paraId="6CCD0980" w14:textId="77777777" w:rsidTr="00BF13B7">
        <w:tc>
          <w:tcPr>
            <w:tcW w:w="2411" w:type="dxa"/>
            <w:shd w:val="clear" w:color="auto" w:fill="5C75A2"/>
            <w:vAlign w:val="center"/>
          </w:tcPr>
          <w:p w14:paraId="11F8D5AC" w14:textId="77777777" w:rsidR="00C60E1F" w:rsidRPr="00C60E1F" w:rsidRDefault="00C60E1F" w:rsidP="002B0DC1">
            <w:pPr>
              <w:jc w:val="center"/>
              <w:rPr>
                <w:rFonts w:ascii="Times New Roman" w:eastAsia="Times New Roman" w:hAnsi="Times New Roman" w:cs="Times New Roman"/>
                <w:b/>
                <w:bCs/>
                <w:color w:val="FFFFFF"/>
                <w:sz w:val="22"/>
                <w:szCs w:val="22"/>
                <w:lang w:eastAsia="fr-FR"/>
              </w:rPr>
            </w:pPr>
            <w:r w:rsidRPr="00C60E1F">
              <w:rPr>
                <w:rFonts w:ascii="Times New Roman" w:eastAsia="Times New Roman" w:hAnsi="Times New Roman" w:cs="Times New Roman"/>
                <w:b/>
                <w:bCs/>
                <w:color w:val="FFFFFF"/>
                <w:sz w:val="22"/>
                <w:szCs w:val="22"/>
                <w:lang w:eastAsia="fr-FR"/>
              </w:rPr>
              <w:t>Renvois</w:t>
            </w:r>
          </w:p>
        </w:tc>
        <w:tc>
          <w:tcPr>
            <w:tcW w:w="6945" w:type="dxa"/>
            <w:gridSpan w:val="4"/>
            <w:shd w:val="clear" w:color="auto" w:fill="5C75A2"/>
            <w:vAlign w:val="center"/>
          </w:tcPr>
          <w:p w14:paraId="1229E89A" w14:textId="77777777" w:rsidR="00C60E1F" w:rsidRPr="00C60E1F" w:rsidRDefault="00C60E1F" w:rsidP="002B0DC1">
            <w:pPr>
              <w:jc w:val="center"/>
              <w:rPr>
                <w:rFonts w:ascii="Times New Roman" w:eastAsia="Times New Roman" w:hAnsi="Times New Roman" w:cs="Times New Roman"/>
                <w:b/>
                <w:bCs/>
                <w:color w:val="FFFFFF"/>
                <w:sz w:val="22"/>
                <w:szCs w:val="22"/>
                <w:lang w:eastAsia="fr-FR"/>
              </w:rPr>
            </w:pPr>
            <w:r w:rsidRPr="00C60E1F">
              <w:rPr>
                <w:rFonts w:ascii="Times New Roman" w:eastAsia="Times New Roman" w:hAnsi="Times New Roman" w:cs="Times New Roman"/>
                <w:b/>
                <w:bCs/>
                <w:color w:val="FFFFFF"/>
                <w:sz w:val="22"/>
                <w:szCs w:val="22"/>
                <w:lang w:eastAsia="fr-FR"/>
              </w:rPr>
              <w:t>Conditions</w:t>
            </w:r>
          </w:p>
        </w:tc>
      </w:tr>
      <w:tr w:rsidR="00C60E1F" w:rsidRPr="00C60E1F" w14:paraId="6BB5088F" w14:textId="77777777" w:rsidTr="005D385E">
        <w:tc>
          <w:tcPr>
            <w:tcW w:w="2411" w:type="dxa"/>
            <w:vAlign w:val="center"/>
          </w:tcPr>
          <w:p w14:paraId="10F25E20" w14:textId="7A678111"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1</w:t>
            </w:r>
            <w:r w:rsidRPr="00C60E1F">
              <w:rPr>
                <w:rFonts w:ascii="Times New Roman" w:eastAsia="Times New Roman" w:hAnsi="Times New Roman" w:cs="Times New Roman"/>
                <w:color w:val="000000"/>
                <w:sz w:val="22"/>
                <w:szCs w:val="22"/>
                <w:lang w:eastAsia="fr-FR"/>
              </w:rPr>
              <w:t>)</w:t>
            </w:r>
          </w:p>
        </w:tc>
        <w:tc>
          <w:tcPr>
            <w:tcW w:w="6945" w:type="dxa"/>
            <w:gridSpan w:val="4"/>
            <w:vAlign w:val="center"/>
          </w:tcPr>
          <w:p w14:paraId="3D11B762" w14:textId="77777777" w:rsidR="00C60E1F" w:rsidRPr="00C60E1F" w:rsidRDefault="00C60E1F" w:rsidP="002B0DC1">
            <w:pPr>
              <w:jc w:val="both"/>
              <w:rPr>
                <w:rFonts w:ascii="Times New Roman" w:hAnsi="Times New Roman" w:cs="Times New Roman"/>
                <w:sz w:val="22"/>
                <w:szCs w:val="22"/>
              </w:rPr>
            </w:pPr>
            <w:r w:rsidRPr="00C60E1F">
              <w:rPr>
                <w:rFonts w:ascii="Times New Roman" w:hAnsi="Times New Roman" w:cs="Times New Roman"/>
                <w:sz w:val="22"/>
                <w:szCs w:val="22"/>
              </w:rPr>
              <w:t>Cette valeur ne s’applique pas aux appareils produisant exclusivement de l’électricité</w:t>
            </w:r>
          </w:p>
        </w:tc>
      </w:tr>
      <w:tr w:rsidR="00C60E1F" w:rsidRPr="00C60E1F" w14:paraId="06B9B4D5" w14:textId="77777777" w:rsidTr="005D385E">
        <w:tc>
          <w:tcPr>
            <w:tcW w:w="2411" w:type="dxa"/>
            <w:vAlign w:val="center"/>
          </w:tcPr>
          <w:p w14:paraId="1B164D9D" w14:textId="6FCF54FF"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2</w:t>
            </w:r>
            <w:r w:rsidRPr="00C60E1F">
              <w:rPr>
                <w:rFonts w:ascii="Times New Roman" w:eastAsia="Times New Roman" w:hAnsi="Times New Roman" w:cs="Times New Roman"/>
                <w:color w:val="000000"/>
                <w:sz w:val="22"/>
                <w:szCs w:val="22"/>
                <w:lang w:eastAsia="fr-FR"/>
              </w:rPr>
              <w:t>)</w:t>
            </w:r>
          </w:p>
        </w:tc>
        <w:tc>
          <w:tcPr>
            <w:tcW w:w="6945" w:type="dxa"/>
            <w:gridSpan w:val="4"/>
            <w:vAlign w:val="center"/>
          </w:tcPr>
          <w:p w14:paraId="41AC36A8" w14:textId="77777777" w:rsidR="00C60E1F" w:rsidRPr="00C60E1F" w:rsidRDefault="00C60E1F" w:rsidP="002B0DC1">
            <w:pPr>
              <w:jc w:val="both"/>
              <w:rPr>
                <w:rFonts w:ascii="Times New Roman" w:eastAsia="Times New Roman" w:hAnsi="Times New Roman" w:cs="Times New Roman"/>
                <w:color w:val="000000"/>
                <w:sz w:val="22"/>
                <w:szCs w:val="22"/>
                <w:lang w:eastAsia="fr-FR"/>
              </w:rPr>
            </w:pPr>
            <w:r w:rsidRPr="00C60E1F">
              <w:rPr>
                <w:rFonts w:ascii="Times New Roman" w:hAnsi="Times New Roman" w:cs="Times New Roman"/>
                <w:sz w:val="22"/>
                <w:szCs w:val="22"/>
              </w:rPr>
              <w:t>Dans le cas des appareils qui brûlent du lignite dont le pouvoir calorifique inférieur est inférieur à 6 MJ/kg, la valeur est 41,5 %</w:t>
            </w:r>
          </w:p>
        </w:tc>
      </w:tr>
      <w:tr w:rsidR="00C60E1F" w:rsidRPr="00C60E1F" w14:paraId="16E76726" w14:textId="77777777" w:rsidTr="005D385E">
        <w:tc>
          <w:tcPr>
            <w:tcW w:w="2411" w:type="dxa"/>
            <w:vAlign w:val="center"/>
          </w:tcPr>
          <w:p w14:paraId="1D5B1524" w14:textId="7FFCA328"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3</w:t>
            </w:r>
            <w:r w:rsidRPr="00C60E1F">
              <w:rPr>
                <w:rFonts w:ascii="Times New Roman" w:eastAsia="Times New Roman" w:hAnsi="Times New Roman" w:cs="Times New Roman"/>
                <w:color w:val="000000"/>
                <w:sz w:val="22"/>
                <w:szCs w:val="22"/>
                <w:lang w:eastAsia="fr-FR"/>
              </w:rPr>
              <w:t>)</w:t>
            </w:r>
          </w:p>
        </w:tc>
        <w:tc>
          <w:tcPr>
            <w:tcW w:w="6945" w:type="dxa"/>
            <w:gridSpan w:val="4"/>
            <w:vAlign w:val="center"/>
          </w:tcPr>
          <w:p w14:paraId="4A46BDAD" w14:textId="616F6531" w:rsidR="00C60E1F" w:rsidRPr="00C60E1F" w:rsidRDefault="00C60E1F" w:rsidP="002B0DC1">
            <w:pPr>
              <w:jc w:val="both"/>
              <w:rPr>
                <w:rFonts w:ascii="Times New Roman" w:eastAsia="Times New Roman" w:hAnsi="Times New Roman" w:cs="Times New Roman"/>
                <w:color w:val="000000"/>
                <w:sz w:val="22"/>
                <w:szCs w:val="22"/>
                <w:lang w:eastAsia="fr-FR"/>
              </w:rPr>
            </w:pPr>
            <w:r w:rsidRPr="00C60E1F">
              <w:rPr>
                <w:rFonts w:ascii="Times New Roman" w:hAnsi="Times New Roman" w:cs="Times New Roman"/>
                <w:sz w:val="22"/>
                <w:szCs w:val="22"/>
              </w:rPr>
              <w:t xml:space="preserve">La valeur </w:t>
            </w:r>
            <w:r w:rsidR="00804ACE">
              <w:rPr>
                <w:rFonts w:ascii="Times New Roman" w:hAnsi="Times New Roman" w:cs="Times New Roman"/>
                <w:sz w:val="22"/>
                <w:szCs w:val="22"/>
              </w:rPr>
              <w:t>est de</w:t>
            </w:r>
            <w:r w:rsidRPr="00C60E1F">
              <w:rPr>
                <w:rFonts w:ascii="Times New Roman" w:hAnsi="Times New Roman" w:cs="Times New Roman"/>
                <w:sz w:val="22"/>
                <w:szCs w:val="22"/>
              </w:rPr>
              <w:t xml:space="preserve"> 32 % dans le cas des appareils de puissance &lt; 150 </w:t>
            </w:r>
            <w:proofErr w:type="spellStart"/>
            <w:r w:rsidRPr="00C60E1F">
              <w:rPr>
                <w:rFonts w:ascii="Times New Roman" w:hAnsi="Times New Roman" w:cs="Times New Roman"/>
                <w:sz w:val="22"/>
                <w:szCs w:val="22"/>
              </w:rPr>
              <w:t>MWth</w:t>
            </w:r>
            <w:proofErr w:type="spellEnd"/>
            <w:r w:rsidRPr="00C60E1F">
              <w:rPr>
                <w:rFonts w:ascii="Times New Roman" w:hAnsi="Times New Roman" w:cs="Times New Roman"/>
                <w:sz w:val="22"/>
                <w:szCs w:val="22"/>
              </w:rPr>
              <w:t xml:space="preserve"> utilisant des combustibles à base de biomasse à forte teneur en eau.</w:t>
            </w:r>
          </w:p>
        </w:tc>
      </w:tr>
      <w:tr w:rsidR="00C60E1F" w:rsidRPr="00C60E1F" w14:paraId="6E0832EB" w14:textId="77777777" w:rsidTr="005D385E">
        <w:tc>
          <w:tcPr>
            <w:tcW w:w="2411" w:type="dxa"/>
            <w:vAlign w:val="center"/>
          </w:tcPr>
          <w:p w14:paraId="466CD35A" w14:textId="1A0C44B9"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4</w:t>
            </w:r>
            <w:r w:rsidRPr="00C60E1F">
              <w:rPr>
                <w:rFonts w:ascii="Times New Roman" w:eastAsia="Times New Roman" w:hAnsi="Times New Roman" w:cs="Times New Roman"/>
                <w:color w:val="000000"/>
                <w:sz w:val="22"/>
                <w:szCs w:val="22"/>
                <w:lang w:eastAsia="fr-FR"/>
              </w:rPr>
              <w:t>)</w:t>
            </w:r>
          </w:p>
        </w:tc>
        <w:tc>
          <w:tcPr>
            <w:tcW w:w="6945" w:type="dxa"/>
            <w:gridSpan w:val="4"/>
            <w:vAlign w:val="center"/>
          </w:tcPr>
          <w:p w14:paraId="57F50686" w14:textId="19ABFE99" w:rsidR="00C60E1F" w:rsidRPr="00C60E1F" w:rsidRDefault="00C60E1F" w:rsidP="002B0DC1">
            <w:pPr>
              <w:jc w:val="both"/>
              <w:rPr>
                <w:rFonts w:ascii="Times New Roman" w:eastAsia="Times New Roman" w:hAnsi="Times New Roman" w:cs="Times New Roman"/>
                <w:color w:val="000000"/>
                <w:sz w:val="22"/>
                <w:szCs w:val="22"/>
                <w:lang w:eastAsia="fr-FR"/>
              </w:rPr>
            </w:pPr>
            <w:r w:rsidRPr="00C60E1F">
              <w:rPr>
                <w:rFonts w:ascii="Times New Roman" w:hAnsi="Times New Roman" w:cs="Times New Roman"/>
                <w:sz w:val="22"/>
                <w:szCs w:val="22"/>
              </w:rPr>
              <w:t xml:space="preserve">Les valeurs de rendement électrique net s'appliquent aux appareils de cogénération conçus pour privilégier la production d'électricité, ainsi qu'aux </w:t>
            </w:r>
            <w:r w:rsidR="004D32D4">
              <w:rPr>
                <w:rFonts w:ascii="Times New Roman" w:hAnsi="Times New Roman" w:cs="Times New Roman"/>
                <w:sz w:val="22"/>
                <w:szCs w:val="22"/>
              </w:rPr>
              <w:t>appareil</w:t>
            </w:r>
            <w:r w:rsidRPr="00C60E1F">
              <w:rPr>
                <w:rFonts w:ascii="Times New Roman" w:hAnsi="Times New Roman" w:cs="Times New Roman"/>
                <w:sz w:val="22"/>
                <w:szCs w:val="22"/>
              </w:rPr>
              <w:t>s produisant uniquement de l'électricité.</w:t>
            </w:r>
          </w:p>
        </w:tc>
      </w:tr>
      <w:tr w:rsidR="00C60E1F" w:rsidRPr="00C60E1F" w14:paraId="6A613EB2" w14:textId="77777777" w:rsidTr="005D385E">
        <w:tc>
          <w:tcPr>
            <w:tcW w:w="2411" w:type="dxa"/>
            <w:vAlign w:val="center"/>
          </w:tcPr>
          <w:p w14:paraId="4B966552" w14:textId="63B5252D"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5</w:t>
            </w:r>
            <w:r w:rsidRPr="00C60E1F">
              <w:rPr>
                <w:rFonts w:ascii="Times New Roman" w:eastAsia="Times New Roman" w:hAnsi="Times New Roman" w:cs="Times New Roman"/>
                <w:color w:val="000000"/>
                <w:sz w:val="22"/>
                <w:szCs w:val="22"/>
                <w:lang w:eastAsia="fr-FR"/>
              </w:rPr>
              <w:t>)</w:t>
            </w:r>
          </w:p>
        </w:tc>
        <w:tc>
          <w:tcPr>
            <w:tcW w:w="6945" w:type="dxa"/>
            <w:gridSpan w:val="4"/>
            <w:vAlign w:val="center"/>
          </w:tcPr>
          <w:p w14:paraId="63B9CFAE" w14:textId="30F68B49" w:rsidR="00C60E1F" w:rsidRPr="00C60E1F" w:rsidRDefault="00C60E1F" w:rsidP="002B0DC1">
            <w:pPr>
              <w:jc w:val="both"/>
              <w:rPr>
                <w:rFonts w:ascii="Times New Roman" w:eastAsia="Times New Roman" w:hAnsi="Times New Roman" w:cs="Times New Roman"/>
                <w:color w:val="000000"/>
                <w:sz w:val="22"/>
                <w:szCs w:val="22"/>
                <w:lang w:eastAsia="fr-FR"/>
              </w:rPr>
            </w:pPr>
            <w:r w:rsidRPr="00C60E1F">
              <w:rPr>
                <w:rFonts w:ascii="Times New Roman" w:hAnsi="Times New Roman" w:cs="Times New Roman"/>
                <w:sz w:val="22"/>
                <w:szCs w:val="22"/>
              </w:rPr>
              <w:t>Cette valeur peut être difficile à atteindre dans le cas des moteurs équipés de techniques secondaires énergivores de réduction des émissions.</w:t>
            </w:r>
          </w:p>
        </w:tc>
      </w:tr>
      <w:tr w:rsidR="00C60E1F" w:rsidRPr="00C60E1F" w14:paraId="16C026CA" w14:textId="77777777" w:rsidTr="005D385E">
        <w:tc>
          <w:tcPr>
            <w:tcW w:w="2411" w:type="dxa"/>
            <w:vAlign w:val="center"/>
          </w:tcPr>
          <w:p w14:paraId="2FAF0F80" w14:textId="3760237D"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6</w:t>
            </w:r>
            <w:r w:rsidRPr="00C60E1F">
              <w:rPr>
                <w:rFonts w:ascii="Times New Roman" w:eastAsia="Times New Roman" w:hAnsi="Times New Roman" w:cs="Times New Roman"/>
                <w:color w:val="000000"/>
                <w:sz w:val="22"/>
                <w:szCs w:val="22"/>
                <w:lang w:eastAsia="fr-FR"/>
              </w:rPr>
              <w:t>)</w:t>
            </w:r>
          </w:p>
        </w:tc>
        <w:tc>
          <w:tcPr>
            <w:tcW w:w="6945" w:type="dxa"/>
            <w:gridSpan w:val="4"/>
            <w:vAlign w:val="center"/>
          </w:tcPr>
          <w:p w14:paraId="69F27D5C" w14:textId="77777777" w:rsidR="00C60E1F" w:rsidRPr="00C60E1F" w:rsidRDefault="00C60E1F" w:rsidP="002B0DC1">
            <w:pPr>
              <w:jc w:val="both"/>
              <w:rPr>
                <w:rFonts w:ascii="Times New Roman" w:eastAsia="Times New Roman" w:hAnsi="Times New Roman" w:cs="Times New Roman"/>
                <w:color w:val="000000"/>
                <w:sz w:val="22"/>
                <w:szCs w:val="22"/>
                <w:lang w:eastAsia="fr-FR"/>
              </w:rPr>
            </w:pPr>
            <w:r w:rsidRPr="00C60E1F">
              <w:rPr>
                <w:rFonts w:ascii="Times New Roman" w:hAnsi="Times New Roman" w:cs="Times New Roman"/>
                <w:sz w:val="22"/>
                <w:szCs w:val="22"/>
              </w:rPr>
              <w:t>Cette valeur peut être difficile à atteindre dans le cas des moteurs utilisant un radiateur comme système de refroidissement, dans les climats secs et chauds.</w:t>
            </w:r>
          </w:p>
        </w:tc>
      </w:tr>
      <w:tr w:rsidR="00C60E1F" w:rsidRPr="00C60E1F" w14:paraId="2041B8B1" w14:textId="77777777" w:rsidTr="005D385E">
        <w:tc>
          <w:tcPr>
            <w:tcW w:w="2411" w:type="dxa"/>
            <w:vAlign w:val="center"/>
          </w:tcPr>
          <w:p w14:paraId="649CCA3A" w14:textId="7E3E3AB6" w:rsidR="00C60E1F" w:rsidRPr="00C60E1F" w:rsidRDefault="00C60E1F" w:rsidP="002B0DC1">
            <w:pPr>
              <w:jc w:val="center"/>
              <w:rPr>
                <w:rFonts w:ascii="Times New Roman" w:eastAsia="Times New Roman" w:hAnsi="Times New Roman" w:cs="Times New Roman"/>
                <w:color w:val="000000"/>
                <w:sz w:val="22"/>
                <w:szCs w:val="22"/>
                <w:lang w:eastAsia="fr-FR"/>
              </w:rPr>
            </w:pPr>
            <w:r w:rsidRPr="00C60E1F">
              <w:rPr>
                <w:rFonts w:ascii="Times New Roman" w:eastAsia="Times New Roman" w:hAnsi="Times New Roman" w:cs="Times New Roman"/>
                <w:color w:val="000000"/>
                <w:sz w:val="22"/>
                <w:szCs w:val="22"/>
                <w:lang w:eastAsia="fr-FR"/>
              </w:rPr>
              <w:t>(</w:t>
            </w:r>
            <w:r w:rsidR="00EC3C6E">
              <w:rPr>
                <w:rFonts w:ascii="Times New Roman" w:eastAsia="Times New Roman" w:hAnsi="Times New Roman" w:cs="Times New Roman"/>
                <w:color w:val="000000"/>
                <w:sz w:val="22"/>
                <w:szCs w:val="22"/>
                <w:lang w:eastAsia="fr-FR"/>
              </w:rPr>
              <w:t>7</w:t>
            </w:r>
            <w:r w:rsidRPr="00C60E1F">
              <w:rPr>
                <w:rFonts w:ascii="Times New Roman" w:eastAsia="Times New Roman" w:hAnsi="Times New Roman" w:cs="Times New Roman"/>
                <w:color w:val="000000"/>
                <w:sz w:val="22"/>
                <w:szCs w:val="22"/>
                <w:lang w:eastAsia="fr-FR"/>
              </w:rPr>
              <w:t>)</w:t>
            </w:r>
          </w:p>
        </w:tc>
        <w:tc>
          <w:tcPr>
            <w:tcW w:w="6945" w:type="dxa"/>
            <w:gridSpan w:val="4"/>
            <w:vAlign w:val="center"/>
          </w:tcPr>
          <w:p w14:paraId="6E0711C6" w14:textId="7F7E6484" w:rsidR="00C60E1F" w:rsidRPr="00C60E1F" w:rsidRDefault="00C60E1F" w:rsidP="002B0DC1">
            <w:pPr>
              <w:jc w:val="both"/>
              <w:rPr>
                <w:rFonts w:ascii="Times New Roman" w:eastAsia="Times New Roman" w:hAnsi="Times New Roman" w:cs="Times New Roman"/>
                <w:color w:val="000000"/>
                <w:sz w:val="22"/>
                <w:szCs w:val="22"/>
                <w:lang w:eastAsia="fr-FR"/>
              </w:rPr>
            </w:pPr>
            <w:r w:rsidRPr="00C60E1F">
              <w:rPr>
                <w:rFonts w:ascii="Times New Roman" w:hAnsi="Times New Roman" w:cs="Times New Roman"/>
                <w:sz w:val="22"/>
                <w:szCs w:val="22"/>
              </w:rPr>
              <w:t>Cette valeur peut</w:t>
            </w:r>
            <w:r w:rsidR="00804ACE">
              <w:rPr>
                <w:rFonts w:ascii="Times New Roman" w:hAnsi="Times New Roman" w:cs="Times New Roman"/>
                <w:sz w:val="22"/>
                <w:szCs w:val="22"/>
              </w:rPr>
              <w:t xml:space="preserve"> </w:t>
            </w:r>
            <w:r w:rsidRPr="00C60E1F">
              <w:rPr>
                <w:rFonts w:ascii="Times New Roman" w:hAnsi="Times New Roman" w:cs="Times New Roman"/>
                <w:sz w:val="22"/>
                <w:szCs w:val="22"/>
              </w:rPr>
              <w:t xml:space="preserve">être difficile à atteindre dans le cas des moteurs réglés pour un niveau d'émissions de </w:t>
            </w:r>
            <w:r w:rsidR="00804ACE" w:rsidRPr="00C60E1F">
              <w:rPr>
                <w:rFonts w:ascii="Times New Roman" w:hAnsi="Times New Roman" w:cs="Times New Roman"/>
                <w:sz w:val="22"/>
                <w:szCs w:val="22"/>
              </w:rPr>
              <w:t>NO</w:t>
            </w:r>
            <w:r w:rsidR="00804ACE">
              <w:rPr>
                <w:rFonts w:ascii="Times New Roman" w:hAnsi="Times New Roman" w:cs="Times New Roman"/>
                <w:sz w:val="22"/>
                <w:szCs w:val="22"/>
              </w:rPr>
              <w:t>x</w:t>
            </w:r>
            <w:r w:rsidR="00804ACE" w:rsidRPr="00C60E1F">
              <w:rPr>
                <w:rFonts w:ascii="Times New Roman" w:hAnsi="Times New Roman" w:cs="Times New Roman"/>
                <w:sz w:val="22"/>
                <w:szCs w:val="22"/>
              </w:rPr>
              <w:t xml:space="preserve"> </w:t>
            </w:r>
            <w:r w:rsidRPr="00C60E1F">
              <w:rPr>
                <w:rFonts w:ascii="Times New Roman" w:hAnsi="Times New Roman" w:cs="Times New Roman"/>
                <w:sz w:val="22"/>
                <w:szCs w:val="22"/>
              </w:rPr>
              <w:t>inférieur à 190 mg/Nm</w:t>
            </w:r>
            <w:r w:rsidRPr="00804ACE">
              <w:rPr>
                <w:rFonts w:ascii="Times New Roman" w:hAnsi="Times New Roman" w:cs="Times New Roman"/>
                <w:sz w:val="22"/>
                <w:szCs w:val="22"/>
                <w:vertAlign w:val="superscript"/>
              </w:rPr>
              <w:t>3</w:t>
            </w:r>
            <w:r w:rsidRPr="00C60E1F">
              <w:rPr>
                <w:rFonts w:ascii="Times New Roman" w:hAnsi="Times New Roman" w:cs="Times New Roman"/>
                <w:sz w:val="22"/>
                <w:szCs w:val="22"/>
              </w:rPr>
              <w:t>.</w:t>
            </w:r>
          </w:p>
        </w:tc>
      </w:tr>
    </w:tbl>
    <w:p w14:paraId="1457172D" w14:textId="77777777" w:rsidR="00C60E1F" w:rsidRPr="00C60E1F" w:rsidRDefault="00C60E1F" w:rsidP="002B0DC1">
      <w:pPr>
        <w:jc w:val="both"/>
        <w:rPr>
          <w:color w:val="000000"/>
          <w:lang w:eastAsia="fr-FR"/>
        </w:rPr>
      </w:pPr>
    </w:p>
    <w:p w14:paraId="6C20C7A7" w14:textId="77777777" w:rsidR="00C60E1F" w:rsidRPr="00C60E1F" w:rsidRDefault="00C60E1F" w:rsidP="002B0DC1">
      <w:pPr>
        <w:jc w:val="both"/>
        <w:rPr>
          <w:color w:val="000000"/>
          <w:lang w:eastAsia="fr-FR"/>
        </w:rPr>
      </w:pPr>
    </w:p>
    <w:tbl>
      <w:tblPr>
        <w:tblStyle w:val="Grilledutableau"/>
        <w:tblW w:w="9356" w:type="dxa"/>
        <w:tblInd w:w="-289" w:type="dxa"/>
        <w:tblLook w:val="04A0" w:firstRow="1" w:lastRow="0" w:firstColumn="1" w:lastColumn="0" w:noHBand="0" w:noVBand="1"/>
      </w:tblPr>
      <w:tblGrid>
        <w:gridCol w:w="2552"/>
        <w:gridCol w:w="1701"/>
        <w:gridCol w:w="1701"/>
        <w:gridCol w:w="1701"/>
        <w:gridCol w:w="1701"/>
      </w:tblGrid>
      <w:tr w:rsidR="00C60E1F" w:rsidRPr="00BF13B7" w14:paraId="0A50C965" w14:textId="77777777" w:rsidTr="00BF13B7">
        <w:trPr>
          <w:trHeight w:val="426"/>
        </w:trPr>
        <w:tc>
          <w:tcPr>
            <w:tcW w:w="2552" w:type="dxa"/>
            <w:vMerge w:val="restart"/>
            <w:shd w:val="clear" w:color="auto" w:fill="5C75A2"/>
            <w:vAlign w:val="center"/>
          </w:tcPr>
          <w:p w14:paraId="4098353F" w14:textId="179B1065" w:rsidR="00C60E1F" w:rsidRPr="00BF13B7" w:rsidRDefault="00C60E1F" w:rsidP="002B0DC1">
            <w:pPr>
              <w:jc w:val="center"/>
              <w:rPr>
                <w:rFonts w:ascii="Times New Roman" w:eastAsia="Times New Roman" w:hAnsi="Times New Roman" w:cs="Times New Roman"/>
                <w:b/>
                <w:color w:val="FFFFFF" w:themeColor="background1"/>
                <w:sz w:val="22"/>
                <w:szCs w:val="22"/>
                <w:lang w:eastAsia="fr-FR"/>
              </w:rPr>
            </w:pPr>
            <w:r w:rsidRPr="00BF13B7">
              <w:rPr>
                <w:rFonts w:ascii="Times New Roman" w:eastAsia="Times New Roman" w:hAnsi="Times New Roman" w:cs="Times New Roman"/>
                <w:b/>
                <w:color w:val="FFFFFF" w:themeColor="background1"/>
                <w:sz w:val="22"/>
                <w:szCs w:val="22"/>
                <w:lang w:eastAsia="fr-FR"/>
              </w:rPr>
              <w:t>Type d’</w:t>
            </w:r>
            <w:r w:rsidR="004D32D4">
              <w:rPr>
                <w:rFonts w:ascii="Times New Roman" w:eastAsia="Times New Roman" w:hAnsi="Times New Roman" w:cs="Times New Roman"/>
                <w:b/>
                <w:color w:val="FFFFFF" w:themeColor="background1"/>
                <w:sz w:val="22"/>
                <w:szCs w:val="22"/>
                <w:lang w:eastAsia="fr-FR"/>
              </w:rPr>
              <w:t>appareil</w:t>
            </w:r>
            <w:r w:rsidRPr="00BF13B7">
              <w:rPr>
                <w:rFonts w:ascii="Times New Roman" w:eastAsia="Times New Roman" w:hAnsi="Times New Roman" w:cs="Times New Roman"/>
                <w:b/>
                <w:color w:val="FFFFFF" w:themeColor="background1"/>
                <w:sz w:val="22"/>
                <w:szCs w:val="22"/>
                <w:lang w:eastAsia="fr-FR"/>
              </w:rPr>
              <w:t xml:space="preserve"> de combustion</w:t>
            </w:r>
          </w:p>
        </w:tc>
        <w:tc>
          <w:tcPr>
            <w:tcW w:w="3402" w:type="dxa"/>
            <w:gridSpan w:val="2"/>
            <w:shd w:val="clear" w:color="auto" w:fill="5C75A2"/>
            <w:vAlign w:val="center"/>
          </w:tcPr>
          <w:p w14:paraId="2A3F9B2A" w14:textId="77777777" w:rsidR="00C60E1F" w:rsidRPr="00BF13B7" w:rsidRDefault="00C60E1F" w:rsidP="002B0DC1">
            <w:pPr>
              <w:jc w:val="center"/>
              <w:rPr>
                <w:rFonts w:ascii="Times New Roman" w:eastAsia="Times New Roman" w:hAnsi="Times New Roman" w:cs="Times New Roman"/>
                <w:b/>
                <w:color w:val="FFFFFF" w:themeColor="background1"/>
                <w:sz w:val="22"/>
                <w:szCs w:val="22"/>
                <w:lang w:eastAsia="fr-FR"/>
              </w:rPr>
            </w:pPr>
            <w:r w:rsidRPr="00BF13B7">
              <w:rPr>
                <w:rFonts w:ascii="Times New Roman" w:eastAsia="Times New Roman" w:hAnsi="Times New Roman" w:cs="Times New Roman"/>
                <w:b/>
                <w:color w:val="FFFFFF" w:themeColor="background1"/>
                <w:sz w:val="22"/>
                <w:szCs w:val="22"/>
                <w:lang w:eastAsia="fr-FR"/>
              </w:rPr>
              <w:t>Rendement électrique net (%)</w:t>
            </w:r>
          </w:p>
        </w:tc>
        <w:tc>
          <w:tcPr>
            <w:tcW w:w="3402" w:type="dxa"/>
            <w:gridSpan w:val="2"/>
            <w:shd w:val="clear" w:color="auto" w:fill="5C75A2"/>
            <w:vAlign w:val="center"/>
          </w:tcPr>
          <w:p w14:paraId="65305599" w14:textId="77777777" w:rsidR="00C60E1F" w:rsidRPr="00BF13B7" w:rsidRDefault="00C60E1F" w:rsidP="002B0DC1">
            <w:pPr>
              <w:jc w:val="center"/>
              <w:rPr>
                <w:rFonts w:ascii="Times New Roman" w:eastAsia="Times New Roman" w:hAnsi="Times New Roman" w:cs="Times New Roman"/>
                <w:b/>
                <w:color w:val="FFFFFF" w:themeColor="background1"/>
                <w:sz w:val="22"/>
                <w:szCs w:val="22"/>
                <w:lang w:eastAsia="fr-FR"/>
              </w:rPr>
            </w:pPr>
            <w:r w:rsidRPr="00BF13B7">
              <w:rPr>
                <w:rFonts w:ascii="Times New Roman" w:eastAsia="Times New Roman" w:hAnsi="Times New Roman" w:cs="Times New Roman"/>
                <w:b/>
                <w:color w:val="FFFFFF" w:themeColor="background1"/>
                <w:sz w:val="22"/>
                <w:szCs w:val="22"/>
                <w:lang w:eastAsia="fr-FR"/>
              </w:rPr>
              <w:t>Rendement mécanique net (%)</w:t>
            </w:r>
          </w:p>
        </w:tc>
      </w:tr>
      <w:tr w:rsidR="004D32D4" w:rsidRPr="00BF13B7" w14:paraId="52517EC1" w14:textId="77777777" w:rsidTr="00BF13B7">
        <w:trPr>
          <w:trHeight w:val="471"/>
        </w:trPr>
        <w:tc>
          <w:tcPr>
            <w:tcW w:w="2552" w:type="dxa"/>
            <w:vMerge/>
            <w:shd w:val="clear" w:color="auto" w:fill="5C75A2"/>
            <w:vAlign w:val="center"/>
          </w:tcPr>
          <w:p w14:paraId="584AD000" w14:textId="77777777" w:rsidR="004D32D4" w:rsidRPr="00BF13B7" w:rsidRDefault="004D32D4" w:rsidP="002B0DC1">
            <w:pPr>
              <w:jc w:val="center"/>
              <w:rPr>
                <w:rFonts w:ascii="Times New Roman" w:eastAsia="Times New Roman" w:hAnsi="Times New Roman" w:cs="Times New Roman"/>
                <w:b/>
                <w:color w:val="FFFFFF" w:themeColor="background1"/>
                <w:sz w:val="22"/>
                <w:szCs w:val="22"/>
                <w:lang w:eastAsia="fr-FR"/>
              </w:rPr>
            </w:pPr>
          </w:p>
        </w:tc>
        <w:tc>
          <w:tcPr>
            <w:tcW w:w="1701" w:type="dxa"/>
            <w:shd w:val="clear" w:color="auto" w:fill="5C75A2"/>
            <w:vAlign w:val="center"/>
          </w:tcPr>
          <w:p w14:paraId="491A8590" w14:textId="2F67A968" w:rsidR="004D32D4" w:rsidRPr="00BF13B7" w:rsidRDefault="004D32D4"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Appareil</w:t>
            </w:r>
            <w:r w:rsidRPr="00BF13B7">
              <w:rPr>
                <w:rFonts w:ascii="Times New Roman" w:eastAsia="Times New Roman" w:hAnsi="Times New Roman" w:cs="Times New Roman"/>
                <w:b/>
                <w:color w:val="FFFFFF" w:themeColor="background1"/>
                <w:sz w:val="22"/>
                <w:szCs w:val="22"/>
                <w:lang w:eastAsia="fr-FR"/>
              </w:rPr>
              <w:t xml:space="preserve"> </w:t>
            </w:r>
            <w:r>
              <w:rPr>
                <w:rFonts w:ascii="Times New Roman" w:eastAsia="Times New Roman" w:hAnsi="Times New Roman" w:cs="Times New Roman"/>
                <w:b/>
                <w:color w:val="FFFFFF" w:themeColor="background1"/>
                <w:sz w:val="22"/>
                <w:szCs w:val="22"/>
                <w:lang w:eastAsia="fr-FR"/>
              </w:rPr>
              <w:t xml:space="preserve">autorisé </w:t>
            </w:r>
            <w:r w:rsidR="006B21BB">
              <w:rPr>
                <w:rFonts w:ascii="Times New Roman" w:eastAsia="Times New Roman" w:hAnsi="Times New Roman" w:cs="Times New Roman"/>
                <w:b/>
                <w:color w:val="FFFFFF" w:themeColor="background1"/>
                <w:sz w:val="22"/>
                <w:szCs w:val="22"/>
                <w:lang w:eastAsia="fr-FR"/>
              </w:rPr>
              <w:t>à compter du</w:t>
            </w:r>
            <w:r>
              <w:rPr>
                <w:rFonts w:ascii="Times New Roman" w:eastAsia="Times New Roman" w:hAnsi="Times New Roman" w:cs="Times New Roman"/>
                <w:b/>
                <w:color w:val="FFFFFF" w:themeColor="background1"/>
                <w:sz w:val="22"/>
                <w:szCs w:val="22"/>
                <w:lang w:eastAsia="fr-FR"/>
              </w:rPr>
              <w:t xml:space="preserve"> 17/08/2017</w:t>
            </w:r>
          </w:p>
        </w:tc>
        <w:tc>
          <w:tcPr>
            <w:tcW w:w="1701" w:type="dxa"/>
            <w:shd w:val="clear" w:color="auto" w:fill="5C75A2"/>
            <w:vAlign w:val="center"/>
          </w:tcPr>
          <w:p w14:paraId="1982BEEE" w14:textId="5F92BFA8" w:rsidR="004D32D4" w:rsidRPr="00BF13B7" w:rsidRDefault="004D32D4"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 xml:space="preserve">Appareil autorisé </w:t>
            </w:r>
            <w:r w:rsidR="006B21BB">
              <w:rPr>
                <w:rFonts w:ascii="Times New Roman" w:eastAsia="Times New Roman" w:hAnsi="Times New Roman" w:cs="Times New Roman"/>
                <w:b/>
                <w:color w:val="FFFFFF" w:themeColor="background1"/>
                <w:sz w:val="22"/>
                <w:szCs w:val="22"/>
                <w:lang w:eastAsia="fr-FR"/>
              </w:rPr>
              <w:t xml:space="preserve">avant le </w:t>
            </w:r>
            <w:r>
              <w:rPr>
                <w:rFonts w:ascii="Times New Roman" w:eastAsia="Times New Roman" w:hAnsi="Times New Roman" w:cs="Times New Roman"/>
                <w:b/>
                <w:color w:val="FFFFFF" w:themeColor="background1"/>
                <w:sz w:val="22"/>
                <w:szCs w:val="22"/>
                <w:lang w:eastAsia="fr-FR"/>
              </w:rPr>
              <w:t>17/08/2017</w:t>
            </w:r>
            <w:r w:rsidRPr="00BF13B7">
              <w:rPr>
                <w:rFonts w:ascii="Times New Roman" w:eastAsia="Times New Roman" w:hAnsi="Times New Roman" w:cs="Times New Roman"/>
                <w:b/>
                <w:color w:val="FFFFFF" w:themeColor="background1"/>
                <w:sz w:val="22"/>
                <w:szCs w:val="22"/>
                <w:lang w:eastAsia="fr-FR"/>
              </w:rPr>
              <w:t xml:space="preserve"> </w:t>
            </w:r>
          </w:p>
        </w:tc>
        <w:tc>
          <w:tcPr>
            <w:tcW w:w="1701" w:type="dxa"/>
            <w:shd w:val="clear" w:color="auto" w:fill="5C75A2"/>
            <w:vAlign w:val="center"/>
          </w:tcPr>
          <w:p w14:paraId="47E36D3A" w14:textId="412D390C" w:rsidR="004D32D4" w:rsidRPr="00BF13B7" w:rsidRDefault="004D32D4"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Appareil</w:t>
            </w:r>
            <w:r w:rsidRPr="00BF13B7">
              <w:rPr>
                <w:rFonts w:ascii="Times New Roman" w:eastAsia="Times New Roman" w:hAnsi="Times New Roman" w:cs="Times New Roman"/>
                <w:b/>
                <w:color w:val="FFFFFF" w:themeColor="background1"/>
                <w:sz w:val="22"/>
                <w:szCs w:val="22"/>
                <w:lang w:eastAsia="fr-FR"/>
              </w:rPr>
              <w:t xml:space="preserve"> </w:t>
            </w:r>
            <w:r>
              <w:rPr>
                <w:rFonts w:ascii="Times New Roman" w:eastAsia="Times New Roman" w:hAnsi="Times New Roman" w:cs="Times New Roman"/>
                <w:b/>
                <w:color w:val="FFFFFF" w:themeColor="background1"/>
                <w:sz w:val="22"/>
                <w:szCs w:val="22"/>
                <w:lang w:eastAsia="fr-FR"/>
              </w:rPr>
              <w:t xml:space="preserve">autorisé </w:t>
            </w:r>
            <w:r w:rsidR="006B21BB">
              <w:rPr>
                <w:rFonts w:ascii="Times New Roman" w:eastAsia="Times New Roman" w:hAnsi="Times New Roman" w:cs="Times New Roman"/>
                <w:b/>
                <w:color w:val="FFFFFF" w:themeColor="background1"/>
                <w:sz w:val="22"/>
                <w:szCs w:val="22"/>
                <w:lang w:eastAsia="fr-FR"/>
              </w:rPr>
              <w:t>à compter du</w:t>
            </w:r>
            <w:r>
              <w:rPr>
                <w:rFonts w:ascii="Times New Roman" w:eastAsia="Times New Roman" w:hAnsi="Times New Roman" w:cs="Times New Roman"/>
                <w:b/>
                <w:color w:val="FFFFFF" w:themeColor="background1"/>
                <w:sz w:val="22"/>
                <w:szCs w:val="22"/>
                <w:lang w:eastAsia="fr-FR"/>
              </w:rPr>
              <w:t xml:space="preserve"> 17/08/2017</w:t>
            </w:r>
          </w:p>
        </w:tc>
        <w:tc>
          <w:tcPr>
            <w:tcW w:w="1701" w:type="dxa"/>
            <w:shd w:val="clear" w:color="auto" w:fill="5C75A2"/>
            <w:vAlign w:val="center"/>
          </w:tcPr>
          <w:p w14:paraId="7AE22FD2" w14:textId="10C874AC" w:rsidR="004D32D4" w:rsidRPr="00BF13B7" w:rsidRDefault="004D32D4" w:rsidP="002B0DC1">
            <w:pPr>
              <w:jc w:val="center"/>
              <w:rPr>
                <w:rFonts w:ascii="Times New Roman" w:eastAsia="Times New Roman" w:hAnsi="Times New Roman" w:cs="Times New Roman"/>
                <w:b/>
                <w:color w:val="FFFFFF" w:themeColor="background1"/>
                <w:sz w:val="22"/>
                <w:szCs w:val="22"/>
                <w:lang w:eastAsia="fr-FR"/>
              </w:rPr>
            </w:pPr>
            <w:r>
              <w:rPr>
                <w:rFonts w:ascii="Times New Roman" w:eastAsia="Times New Roman" w:hAnsi="Times New Roman" w:cs="Times New Roman"/>
                <w:b/>
                <w:color w:val="FFFFFF" w:themeColor="background1"/>
                <w:sz w:val="22"/>
                <w:szCs w:val="22"/>
                <w:lang w:eastAsia="fr-FR"/>
              </w:rPr>
              <w:t xml:space="preserve">Appareil autorisé </w:t>
            </w:r>
            <w:r w:rsidR="006B21BB">
              <w:rPr>
                <w:rFonts w:ascii="Times New Roman" w:eastAsia="Times New Roman" w:hAnsi="Times New Roman" w:cs="Times New Roman"/>
                <w:b/>
                <w:color w:val="FFFFFF" w:themeColor="background1"/>
                <w:sz w:val="22"/>
                <w:szCs w:val="22"/>
                <w:lang w:eastAsia="fr-FR"/>
              </w:rPr>
              <w:t xml:space="preserve">avant le </w:t>
            </w:r>
            <w:r>
              <w:rPr>
                <w:rFonts w:ascii="Times New Roman" w:eastAsia="Times New Roman" w:hAnsi="Times New Roman" w:cs="Times New Roman"/>
                <w:b/>
                <w:color w:val="FFFFFF" w:themeColor="background1"/>
                <w:sz w:val="22"/>
                <w:szCs w:val="22"/>
                <w:lang w:eastAsia="fr-FR"/>
              </w:rPr>
              <w:t>17/08/2017</w:t>
            </w:r>
            <w:r w:rsidRPr="00BF13B7">
              <w:rPr>
                <w:rFonts w:ascii="Times New Roman" w:eastAsia="Times New Roman" w:hAnsi="Times New Roman" w:cs="Times New Roman"/>
                <w:b/>
                <w:color w:val="FFFFFF" w:themeColor="background1"/>
                <w:sz w:val="22"/>
                <w:szCs w:val="22"/>
                <w:lang w:eastAsia="fr-FR"/>
              </w:rPr>
              <w:t xml:space="preserve"> </w:t>
            </w:r>
          </w:p>
        </w:tc>
      </w:tr>
      <w:tr w:rsidR="00C60E1F" w:rsidRPr="00BF13B7" w14:paraId="65D3B953" w14:textId="77777777" w:rsidTr="005D385E">
        <w:tc>
          <w:tcPr>
            <w:tcW w:w="2552" w:type="dxa"/>
            <w:vAlign w:val="center"/>
          </w:tcPr>
          <w:p w14:paraId="1B788882"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 xml:space="preserve">Turbine à gaz à circuit ouvert ≥ 50 </w:t>
            </w:r>
            <w:proofErr w:type="spellStart"/>
            <w:r w:rsidRPr="00BF13B7">
              <w:rPr>
                <w:rFonts w:ascii="Times New Roman" w:eastAsia="Times New Roman" w:hAnsi="Times New Roman" w:cs="Times New Roman"/>
                <w:color w:val="000000"/>
                <w:sz w:val="22"/>
                <w:szCs w:val="22"/>
                <w:lang w:eastAsia="fr-FR"/>
              </w:rPr>
              <w:t>MW</w:t>
            </w:r>
            <w:r w:rsidRPr="00BF13B7">
              <w:rPr>
                <w:rFonts w:ascii="Times New Roman" w:eastAsia="Times New Roman" w:hAnsi="Times New Roman" w:cs="Times New Roman"/>
                <w:color w:val="000000"/>
                <w:sz w:val="22"/>
                <w:szCs w:val="22"/>
                <w:vertAlign w:val="subscript"/>
                <w:lang w:eastAsia="fr-FR"/>
              </w:rPr>
              <w:t>th</w:t>
            </w:r>
            <w:proofErr w:type="spellEnd"/>
          </w:p>
        </w:tc>
        <w:tc>
          <w:tcPr>
            <w:tcW w:w="1701" w:type="dxa"/>
            <w:vAlign w:val="center"/>
          </w:tcPr>
          <w:p w14:paraId="7A19A742"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36</w:t>
            </w:r>
          </w:p>
        </w:tc>
        <w:tc>
          <w:tcPr>
            <w:tcW w:w="1701" w:type="dxa"/>
            <w:vAlign w:val="center"/>
          </w:tcPr>
          <w:p w14:paraId="45328C7B"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33</w:t>
            </w:r>
          </w:p>
        </w:tc>
        <w:tc>
          <w:tcPr>
            <w:tcW w:w="1701" w:type="dxa"/>
            <w:vAlign w:val="center"/>
          </w:tcPr>
          <w:p w14:paraId="3F442E1D"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36,5</w:t>
            </w:r>
          </w:p>
          <w:p w14:paraId="35A9E9CC"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(1) (2)</w:t>
            </w:r>
          </w:p>
        </w:tc>
        <w:tc>
          <w:tcPr>
            <w:tcW w:w="1701" w:type="dxa"/>
            <w:vAlign w:val="center"/>
          </w:tcPr>
          <w:p w14:paraId="527B1A17"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33,5</w:t>
            </w:r>
          </w:p>
          <w:p w14:paraId="57A4BC2C"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(1) (2)</w:t>
            </w:r>
          </w:p>
        </w:tc>
      </w:tr>
      <w:tr w:rsidR="00C60E1F" w:rsidRPr="00BF13B7" w14:paraId="52A2FC8E" w14:textId="77777777" w:rsidTr="00BF13B7">
        <w:trPr>
          <w:trHeight w:val="610"/>
        </w:trPr>
        <w:tc>
          <w:tcPr>
            <w:tcW w:w="2552" w:type="dxa"/>
            <w:shd w:val="clear" w:color="auto" w:fill="5C75A2"/>
            <w:vAlign w:val="center"/>
          </w:tcPr>
          <w:p w14:paraId="0679A116" w14:textId="77777777" w:rsidR="00C60E1F" w:rsidRPr="00BF13B7" w:rsidRDefault="00C60E1F" w:rsidP="002B0DC1">
            <w:pPr>
              <w:jc w:val="center"/>
              <w:rPr>
                <w:rFonts w:ascii="Times New Roman" w:eastAsia="Times New Roman" w:hAnsi="Times New Roman" w:cs="Times New Roman"/>
                <w:b/>
                <w:color w:val="FFFFFF" w:themeColor="background1"/>
                <w:sz w:val="22"/>
                <w:szCs w:val="22"/>
                <w:lang w:eastAsia="fr-FR"/>
              </w:rPr>
            </w:pPr>
            <w:r w:rsidRPr="00BF13B7">
              <w:rPr>
                <w:rFonts w:ascii="Times New Roman" w:eastAsia="Times New Roman" w:hAnsi="Times New Roman" w:cs="Times New Roman"/>
                <w:b/>
                <w:color w:val="FFFFFF" w:themeColor="background1"/>
                <w:sz w:val="22"/>
                <w:szCs w:val="22"/>
                <w:lang w:eastAsia="fr-FR"/>
              </w:rPr>
              <w:t>Renvois</w:t>
            </w:r>
          </w:p>
        </w:tc>
        <w:tc>
          <w:tcPr>
            <w:tcW w:w="6804" w:type="dxa"/>
            <w:gridSpan w:val="4"/>
            <w:shd w:val="clear" w:color="auto" w:fill="5C75A2"/>
            <w:vAlign w:val="center"/>
          </w:tcPr>
          <w:p w14:paraId="03258D1B" w14:textId="77777777" w:rsidR="00C60E1F" w:rsidRPr="00BF13B7" w:rsidRDefault="00C60E1F" w:rsidP="002B0DC1">
            <w:pPr>
              <w:jc w:val="center"/>
              <w:rPr>
                <w:rFonts w:ascii="Times New Roman" w:eastAsia="Times New Roman" w:hAnsi="Times New Roman" w:cs="Times New Roman"/>
                <w:b/>
                <w:color w:val="FFFFFF" w:themeColor="background1"/>
                <w:sz w:val="22"/>
                <w:szCs w:val="22"/>
                <w:lang w:eastAsia="fr-FR"/>
              </w:rPr>
            </w:pPr>
            <w:r w:rsidRPr="00BF13B7">
              <w:rPr>
                <w:rFonts w:ascii="Times New Roman" w:eastAsia="Times New Roman" w:hAnsi="Times New Roman" w:cs="Times New Roman"/>
                <w:b/>
                <w:color w:val="FFFFFF" w:themeColor="background1"/>
                <w:sz w:val="22"/>
                <w:szCs w:val="22"/>
                <w:lang w:eastAsia="fr-FR"/>
              </w:rPr>
              <w:t>Conditions</w:t>
            </w:r>
          </w:p>
        </w:tc>
      </w:tr>
      <w:tr w:rsidR="00C60E1F" w:rsidRPr="00BF13B7" w14:paraId="14F070E2" w14:textId="77777777" w:rsidTr="005D385E">
        <w:tc>
          <w:tcPr>
            <w:tcW w:w="2552" w:type="dxa"/>
            <w:vAlign w:val="center"/>
          </w:tcPr>
          <w:p w14:paraId="51BFB2D2"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(1)</w:t>
            </w:r>
          </w:p>
        </w:tc>
        <w:tc>
          <w:tcPr>
            <w:tcW w:w="6804" w:type="dxa"/>
            <w:gridSpan w:val="4"/>
            <w:vAlign w:val="center"/>
          </w:tcPr>
          <w:p w14:paraId="423C0DF6" w14:textId="77777777" w:rsidR="00C60E1F" w:rsidRPr="00BF13B7" w:rsidRDefault="00C60E1F" w:rsidP="002B0DC1">
            <w:pPr>
              <w:jc w:val="both"/>
              <w:rPr>
                <w:rFonts w:ascii="Times New Roman" w:eastAsia="Times New Roman" w:hAnsi="Times New Roman" w:cs="Times New Roman"/>
                <w:color w:val="000000"/>
                <w:sz w:val="22"/>
                <w:szCs w:val="22"/>
                <w:lang w:eastAsia="fr-FR"/>
              </w:rPr>
            </w:pPr>
            <w:r w:rsidRPr="00BF13B7">
              <w:rPr>
                <w:rFonts w:ascii="Times New Roman" w:hAnsi="Times New Roman" w:cs="Times New Roman"/>
                <w:sz w:val="22"/>
                <w:szCs w:val="22"/>
              </w:rPr>
              <w:t>Cette valeur ne s’applique pas aux appareils produisant exclusivement de l’électricité</w:t>
            </w:r>
          </w:p>
        </w:tc>
      </w:tr>
      <w:tr w:rsidR="00C60E1F" w:rsidRPr="00BF13B7" w14:paraId="2BE6A676" w14:textId="77777777" w:rsidTr="005D385E">
        <w:tc>
          <w:tcPr>
            <w:tcW w:w="2552" w:type="dxa"/>
            <w:vAlign w:val="center"/>
          </w:tcPr>
          <w:p w14:paraId="672751C2" w14:textId="77777777" w:rsidR="00C60E1F" w:rsidRPr="00BF13B7" w:rsidRDefault="00C60E1F" w:rsidP="002B0DC1">
            <w:pPr>
              <w:jc w:val="center"/>
              <w:rPr>
                <w:rFonts w:ascii="Times New Roman" w:eastAsia="Times New Roman" w:hAnsi="Times New Roman" w:cs="Times New Roman"/>
                <w:color w:val="000000"/>
                <w:sz w:val="22"/>
                <w:szCs w:val="22"/>
                <w:lang w:eastAsia="fr-FR"/>
              </w:rPr>
            </w:pPr>
            <w:r w:rsidRPr="00BF13B7">
              <w:rPr>
                <w:rFonts w:ascii="Times New Roman" w:eastAsia="Times New Roman" w:hAnsi="Times New Roman" w:cs="Times New Roman"/>
                <w:color w:val="000000"/>
                <w:sz w:val="22"/>
                <w:szCs w:val="22"/>
                <w:lang w:eastAsia="fr-FR"/>
              </w:rPr>
              <w:t>(2)</w:t>
            </w:r>
          </w:p>
        </w:tc>
        <w:tc>
          <w:tcPr>
            <w:tcW w:w="6804" w:type="dxa"/>
            <w:gridSpan w:val="4"/>
            <w:vAlign w:val="center"/>
          </w:tcPr>
          <w:p w14:paraId="6A788080" w14:textId="77777777" w:rsidR="00C60E1F" w:rsidRPr="00BF13B7" w:rsidRDefault="00C60E1F" w:rsidP="002B0DC1">
            <w:pPr>
              <w:jc w:val="both"/>
              <w:rPr>
                <w:rFonts w:ascii="Times New Roman" w:eastAsia="Times New Roman" w:hAnsi="Times New Roman" w:cs="Times New Roman"/>
                <w:color w:val="000000"/>
                <w:sz w:val="22"/>
                <w:szCs w:val="22"/>
                <w:lang w:eastAsia="fr-FR"/>
              </w:rPr>
            </w:pPr>
            <w:r w:rsidRPr="00BF13B7">
              <w:rPr>
                <w:rFonts w:ascii="Times New Roman" w:hAnsi="Times New Roman" w:cs="Times New Roman"/>
                <w:sz w:val="22"/>
                <w:szCs w:val="22"/>
              </w:rPr>
              <w:t>Cette valeur s'applique aux appareils destinés aux applications d'entraînement mécanique.</w:t>
            </w:r>
          </w:p>
        </w:tc>
      </w:tr>
    </w:tbl>
    <w:p w14:paraId="4A8CCF4A" w14:textId="77777777" w:rsidR="00C60E1F" w:rsidRPr="00C60E1F" w:rsidRDefault="00C60E1F" w:rsidP="002B0DC1">
      <w:pPr>
        <w:jc w:val="both"/>
        <w:rPr>
          <w:color w:val="000000"/>
          <w:lang w:eastAsia="fr-FR"/>
        </w:rPr>
      </w:pPr>
    </w:p>
    <w:p w14:paraId="10377FBC" w14:textId="77777777" w:rsidR="009C2514" w:rsidRPr="00C60E1F" w:rsidRDefault="009C2514" w:rsidP="002B0DC1">
      <w:pPr>
        <w:jc w:val="both"/>
        <w:rPr>
          <w:color w:val="000000"/>
          <w:lang w:eastAsia="fr-FR"/>
        </w:rPr>
      </w:pPr>
    </w:p>
    <w:p w14:paraId="36C1C18C" w14:textId="6BE107B5" w:rsidR="00424C89" w:rsidRPr="001E47C8" w:rsidRDefault="00424C89"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49</w:t>
      </w:r>
      <w:r w:rsidRPr="001E47C8">
        <w:rPr>
          <w:b/>
          <w:bCs/>
          <w:i/>
          <w:iCs/>
        </w:rPr>
        <w:fldChar w:fldCharType="end"/>
      </w:r>
    </w:p>
    <w:p w14:paraId="422AEF60" w14:textId="3D256347" w:rsidR="00424C89" w:rsidRDefault="00424C89" w:rsidP="002B0DC1"/>
    <w:p w14:paraId="6ADF7B25" w14:textId="00B8FCC4" w:rsidR="00C60E1F" w:rsidRPr="00BF13B7" w:rsidRDefault="00C60E1F" w:rsidP="002B0DC1">
      <w:pPr>
        <w:jc w:val="both"/>
      </w:pPr>
      <w:r w:rsidRPr="00BF13B7">
        <w:t>L’article 42 de l’arrêté susvisé est ainsi modifié :</w:t>
      </w:r>
    </w:p>
    <w:p w14:paraId="1A841FBF" w14:textId="77777777" w:rsidR="00C60E1F" w:rsidRPr="00BF13B7" w:rsidRDefault="00C60E1F" w:rsidP="002B0DC1">
      <w:pPr>
        <w:jc w:val="both"/>
      </w:pPr>
    </w:p>
    <w:p w14:paraId="59C2AC0A" w14:textId="1323C137" w:rsidR="00C60E1F" w:rsidRPr="00BF13B7" w:rsidRDefault="00903C44" w:rsidP="002B0DC1">
      <w:pPr>
        <w:spacing w:after="240"/>
        <w:jc w:val="both"/>
      </w:pPr>
      <w:r>
        <w:t>1°</w:t>
      </w:r>
      <w:r w:rsidR="00C60E1F" w:rsidRPr="00BF13B7">
        <w:t xml:space="preserve"> </w:t>
      </w:r>
      <w:r w:rsidR="00804ACE">
        <w:t xml:space="preserve">Un </w:t>
      </w:r>
      <w:r w:rsidR="00804ACE" w:rsidRPr="00BF13B7">
        <w:t xml:space="preserve">alinéa </w:t>
      </w:r>
      <w:r w:rsidR="00C60E1F" w:rsidRPr="00BF13B7">
        <w:t xml:space="preserve">« Dispositions générales </w:t>
      </w:r>
      <w:r w:rsidR="00C60E1F" w:rsidRPr="00BF13B7">
        <w:rPr>
          <w:lang w:eastAsia="fr-FR"/>
        </w:rPr>
        <w:t>»</w:t>
      </w:r>
      <w:r w:rsidR="00C60E1F" w:rsidRPr="00BF13B7">
        <w:t xml:space="preserve"> est inséré avant le premier alinéa.</w:t>
      </w:r>
    </w:p>
    <w:p w14:paraId="5E5E657F" w14:textId="4AC7E980" w:rsidR="00C60E1F" w:rsidRPr="00BF13B7" w:rsidRDefault="00903C44" w:rsidP="002B0DC1">
      <w:pPr>
        <w:jc w:val="both"/>
      </w:pPr>
      <w:r>
        <w:t>2°</w:t>
      </w:r>
      <w:r w:rsidR="00BF13B7" w:rsidRPr="00BF13B7">
        <w:t xml:space="preserve"> Au premier alinéa, les mots : « décision d’exécution 2017/1442</w:t>
      </w:r>
      <w:r w:rsidR="00804ACE" w:rsidRPr="00804ACE">
        <w:t xml:space="preserve"> relative aux conclusions sur les meilleures techniques disponibles applicables aux grandes installations de combustion</w:t>
      </w:r>
      <w:r w:rsidR="00BF13B7" w:rsidRPr="00BF13B7">
        <w:t> » sont remplacés par les mots : « 2021/2326 du 30 novembre 2021 </w:t>
      </w:r>
      <w:r w:rsidR="00804ACE">
        <w:t xml:space="preserve">susmentionnée </w:t>
      </w:r>
      <w:r w:rsidR="00BF13B7" w:rsidRPr="00BF13B7">
        <w:t>».</w:t>
      </w:r>
    </w:p>
    <w:p w14:paraId="1B34FF56" w14:textId="77777777" w:rsidR="00BF13B7" w:rsidRPr="00BF13B7" w:rsidRDefault="00BF13B7" w:rsidP="002B0DC1">
      <w:pPr>
        <w:jc w:val="both"/>
      </w:pPr>
    </w:p>
    <w:p w14:paraId="55682C27" w14:textId="485331C8" w:rsidR="00C60E1F" w:rsidRPr="00BF13B7" w:rsidRDefault="00903C44" w:rsidP="002B0DC1">
      <w:pPr>
        <w:jc w:val="both"/>
      </w:pPr>
      <w:r>
        <w:t>3°</w:t>
      </w:r>
      <w:r w:rsidR="00BF13B7" w:rsidRPr="00BF13B7">
        <w:t xml:space="preserve"> </w:t>
      </w:r>
      <w:r w:rsidR="00804ACE">
        <w:t>Le</w:t>
      </w:r>
      <w:r w:rsidR="00BF13B7" w:rsidRPr="00BF13B7">
        <w:t> III</w:t>
      </w:r>
      <w:r w:rsidR="00804ACE">
        <w:t xml:space="preserve"> est</w:t>
      </w:r>
      <w:r w:rsidR="00BF13B7" w:rsidRPr="00BF13B7">
        <w:t xml:space="preserve"> </w:t>
      </w:r>
      <w:r w:rsidR="00804ACE">
        <w:t>remplacé</w:t>
      </w:r>
      <w:r w:rsidR="00BF13B7" w:rsidRPr="00BF13B7">
        <w:t xml:space="preserve"> </w:t>
      </w:r>
      <w:r w:rsidR="0052232D">
        <w:t>par l’alinéa suivant</w:t>
      </w:r>
      <w:r w:rsidR="00BF13B7" w:rsidRPr="00BF13B7">
        <w:t> :</w:t>
      </w:r>
    </w:p>
    <w:p w14:paraId="2E76E2EB" w14:textId="60C1F45B" w:rsidR="00BF13B7" w:rsidRPr="00BF13B7" w:rsidRDefault="00BF13B7" w:rsidP="002B0DC1">
      <w:pPr>
        <w:jc w:val="both"/>
        <w:rPr>
          <w:color w:val="000000"/>
          <w:lang w:eastAsia="fr-FR"/>
        </w:rPr>
      </w:pPr>
      <w:r w:rsidRPr="00BF13B7">
        <w:t>« </w:t>
      </w:r>
      <w:r w:rsidR="00903C44">
        <w:t xml:space="preserve">III. - </w:t>
      </w:r>
      <w:r w:rsidRPr="00BF13B7">
        <w:rPr>
          <w:color w:val="000000"/>
          <w:lang w:eastAsia="fr-FR"/>
        </w:rPr>
        <w:t>Les dispositions de l’article 16</w:t>
      </w:r>
      <w:r w:rsidR="00283A55" w:rsidRPr="00283A55">
        <w:rPr>
          <w:color w:val="000000"/>
          <w:lang w:eastAsia="fr-FR"/>
        </w:rPr>
        <w:t xml:space="preserve"> </w:t>
      </w:r>
      <w:r w:rsidR="00283A55" w:rsidRPr="008F7E26">
        <w:rPr>
          <w:color w:val="000000"/>
          <w:lang w:eastAsia="fr-FR"/>
        </w:rPr>
        <w:t>de l’arrêté du 2 février 1998 susvisé</w:t>
      </w:r>
      <w:r w:rsidRPr="00BF13B7">
        <w:rPr>
          <w:color w:val="000000"/>
          <w:lang w:eastAsia="fr-FR"/>
        </w:rPr>
        <w:t xml:space="preserve">, </w:t>
      </w:r>
      <w:bookmarkStart w:id="35" w:name="_Hlk167814324"/>
      <w:r w:rsidRPr="008F7E26">
        <w:rPr>
          <w:color w:val="000000"/>
          <w:lang w:eastAsia="fr-FR"/>
        </w:rPr>
        <w:t xml:space="preserve">concernant les ouvrages de prélèvement et les dispositifs de </w:t>
      </w:r>
      <w:proofErr w:type="spellStart"/>
      <w:r w:rsidRPr="008F7E26">
        <w:rPr>
          <w:color w:val="000000"/>
          <w:lang w:eastAsia="fr-FR"/>
        </w:rPr>
        <w:t>disconnexion</w:t>
      </w:r>
      <w:proofErr w:type="spellEnd"/>
      <w:r w:rsidRPr="008F7E26">
        <w:rPr>
          <w:color w:val="000000"/>
          <w:lang w:eastAsia="fr-FR"/>
        </w:rPr>
        <w:t xml:space="preserve">, </w:t>
      </w:r>
      <w:bookmarkEnd w:id="35"/>
      <w:r w:rsidRPr="008F7E26">
        <w:rPr>
          <w:color w:val="000000"/>
          <w:lang w:eastAsia="fr-FR"/>
        </w:rPr>
        <w:t xml:space="preserve">s’appliquent </w:t>
      </w:r>
      <w:r w:rsidR="008F7E26" w:rsidRPr="008F7E26">
        <w:rPr>
          <w:color w:val="000000"/>
          <w:lang w:eastAsia="fr-FR"/>
        </w:rPr>
        <w:t xml:space="preserve">à compter du </w:t>
      </w:r>
      <w:r w:rsidR="008F7E26" w:rsidRPr="002D7A2F">
        <w:rPr>
          <w:color w:val="000000"/>
          <w:lang w:eastAsia="fr-FR"/>
        </w:rPr>
        <w:t>1</w:t>
      </w:r>
      <w:r w:rsidR="008F7E26" w:rsidRPr="002D7A2F">
        <w:rPr>
          <w:color w:val="000000"/>
          <w:vertAlign w:val="superscript"/>
          <w:lang w:eastAsia="fr-FR"/>
        </w:rPr>
        <w:t>er</w:t>
      </w:r>
      <w:r w:rsidR="008F7E26" w:rsidRPr="002D7A2F">
        <w:rPr>
          <w:color w:val="000000"/>
          <w:lang w:eastAsia="fr-FR"/>
        </w:rPr>
        <w:t xml:space="preserve"> </w:t>
      </w:r>
      <w:r w:rsidR="002D7A2F" w:rsidRPr="002D7A2F">
        <w:rPr>
          <w:color w:val="000000"/>
          <w:lang w:eastAsia="fr-FR"/>
        </w:rPr>
        <w:t xml:space="preserve">juillet </w:t>
      </w:r>
      <w:r w:rsidR="008F7E26" w:rsidRPr="002D7A2F">
        <w:rPr>
          <w:color w:val="000000"/>
          <w:lang w:eastAsia="fr-FR"/>
        </w:rPr>
        <w:t>2025</w:t>
      </w:r>
      <w:r w:rsidRPr="002D7A2F">
        <w:rPr>
          <w:color w:val="000000"/>
          <w:lang w:eastAsia="fr-FR"/>
        </w:rPr>
        <w:t>.</w:t>
      </w:r>
    </w:p>
    <w:p w14:paraId="3CD38652" w14:textId="21EC0C1E" w:rsidR="00BF13B7" w:rsidRPr="00BF13B7" w:rsidRDefault="00BF13B7" w:rsidP="002B0DC1"/>
    <w:p w14:paraId="06B4C46C" w14:textId="341043BB" w:rsidR="00C60E1F" w:rsidRPr="00BF13B7" w:rsidRDefault="00BF13B7" w:rsidP="002B0DC1">
      <w:r w:rsidRPr="00BF13B7">
        <w:t xml:space="preserve">IV. – </w:t>
      </w:r>
      <w:r w:rsidR="00804ACE">
        <w:t>Le</w:t>
      </w:r>
      <w:r w:rsidRPr="00BF13B7">
        <w:t xml:space="preserve"> treizième alinéa </w:t>
      </w:r>
      <w:r w:rsidR="00804ACE">
        <w:t>est</w:t>
      </w:r>
      <w:r w:rsidR="00804ACE" w:rsidRPr="00BF13B7">
        <w:t xml:space="preserve"> </w:t>
      </w:r>
      <w:r w:rsidR="00903C44">
        <w:t>ainsi rédigé</w:t>
      </w:r>
      <w:r w:rsidRPr="00BF13B7">
        <w:t> :</w:t>
      </w:r>
    </w:p>
    <w:p w14:paraId="6CCFE265" w14:textId="5712F088" w:rsidR="00BF13B7" w:rsidRPr="00BF13B7" w:rsidRDefault="00BF13B7" w:rsidP="002B0DC1">
      <w:pPr>
        <w:jc w:val="both"/>
        <w:rPr>
          <w:color w:val="000000"/>
          <w:lang w:eastAsia="fr-FR"/>
        </w:rPr>
      </w:pPr>
      <w:r w:rsidRPr="006F7822">
        <w:t>« </w:t>
      </w:r>
      <w:r w:rsidRPr="006F7822">
        <w:rPr>
          <w:color w:val="000000"/>
          <w:lang w:eastAsia="fr-FR"/>
        </w:rPr>
        <w:t>Les dispositions du premier alinéa de l’article 14</w:t>
      </w:r>
      <w:r w:rsidR="00283A55" w:rsidRPr="00283A55">
        <w:rPr>
          <w:color w:val="000000"/>
          <w:lang w:eastAsia="fr-FR"/>
        </w:rPr>
        <w:t xml:space="preserve"> </w:t>
      </w:r>
      <w:r w:rsidR="00283A55" w:rsidRPr="006F7822">
        <w:rPr>
          <w:color w:val="000000"/>
          <w:lang w:eastAsia="fr-FR"/>
        </w:rPr>
        <w:t>de l’arrêté du 2 février 1998 susvisé</w:t>
      </w:r>
      <w:r w:rsidRPr="006F7822">
        <w:rPr>
          <w:color w:val="000000"/>
          <w:lang w:eastAsia="fr-FR"/>
        </w:rPr>
        <w:t>, concernant les prélèvements d’eau, s’appliquent. »</w:t>
      </w:r>
    </w:p>
    <w:p w14:paraId="04795589" w14:textId="3DD31E1E" w:rsidR="00BF13B7" w:rsidRPr="00BF13B7" w:rsidRDefault="00BF13B7" w:rsidP="002B0DC1">
      <w:pPr>
        <w:jc w:val="both"/>
        <w:rPr>
          <w:color w:val="000000"/>
          <w:lang w:eastAsia="fr-FR"/>
        </w:rPr>
      </w:pPr>
    </w:p>
    <w:p w14:paraId="67374B53" w14:textId="23D63747" w:rsidR="00BF13B7" w:rsidRPr="00BF13B7" w:rsidRDefault="00BF13B7" w:rsidP="002B0DC1">
      <w:pPr>
        <w:jc w:val="both"/>
        <w:rPr>
          <w:color w:val="000000"/>
          <w:lang w:eastAsia="fr-FR"/>
        </w:rPr>
      </w:pPr>
      <w:r w:rsidRPr="00BF13B7">
        <w:rPr>
          <w:color w:val="000000"/>
          <w:lang w:eastAsia="fr-FR"/>
        </w:rPr>
        <w:t xml:space="preserve">V. – L’article 42 est complété </w:t>
      </w:r>
      <w:r w:rsidR="00903C44">
        <w:rPr>
          <w:color w:val="000000"/>
          <w:lang w:eastAsia="fr-FR"/>
        </w:rPr>
        <w:t>par les alinéas suivants</w:t>
      </w:r>
      <w:r w:rsidRPr="00BF13B7">
        <w:rPr>
          <w:color w:val="000000"/>
          <w:lang w:eastAsia="fr-FR"/>
        </w:rPr>
        <w:t> :</w:t>
      </w:r>
    </w:p>
    <w:p w14:paraId="4C42A17C" w14:textId="77777777" w:rsidR="00BF13B7" w:rsidRPr="00BF13B7" w:rsidRDefault="00BF13B7" w:rsidP="002B0DC1">
      <w:pPr>
        <w:jc w:val="both"/>
        <w:rPr>
          <w:color w:val="000000"/>
          <w:lang w:eastAsia="fr-FR"/>
        </w:rPr>
      </w:pPr>
    </w:p>
    <w:p w14:paraId="51C4A1FF" w14:textId="2964C3D2" w:rsidR="00BF13B7" w:rsidRPr="00BF13B7" w:rsidRDefault="00BF13B7" w:rsidP="002B0DC1">
      <w:pPr>
        <w:jc w:val="both"/>
        <w:rPr>
          <w:color w:val="000000"/>
          <w:lang w:eastAsia="fr-FR"/>
        </w:rPr>
      </w:pPr>
      <w:r>
        <w:rPr>
          <w:color w:val="000000"/>
          <w:lang w:eastAsia="fr-FR"/>
        </w:rPr>
        <w:t>« </w:t>
      </w:r>
      <w:r w:rsidRPr="00BF13B7">
        <w:rPr>
          <w:color w:val="000000"/>
          <w:lang w:eastAsia="fr-FR"/>
        </w:rPr>
        <w:t>V. – Les dispositions des II et III l’article 4</w:t>
      </w:r>
      <w:r w:rsidR="00283A55" w:rsidRPr="00283A55">
        <w:rPr>
          <w:color w:val="000000"/>
          <w:lang w:eastAsia="fr-FR"/>
        </w:rPr>
        <w:t xml:space="preserve"> </w:t>
      </w:r>
      <w:bookmarkStart w:id="36" w:name="_Hlk179818732"/>
      <w:r w:rsidR="00283A55" w:rsidRPr="00BF13B7">
        <w:rPr>
          <w:color w:val="000000"/>
          <w:lang w:eastAsia="fr-FR"/>
        </w:rPr>
        <w:t xml:space="preserve">de l’arrêté du 2 février 1998 </w:t>
      </w:r>
      <w:r w:rsidR="00283A55">
        <w:rPr>
          <w:color w:val="000000"/>
          <w:lang w:eastAsia="fr-FR"/>
        </w:rPr>
        <w:t>susvisé</w:t>
      </w:r>
      <w:bookmarkEnd w:id="36"/>
      <w:r w:rsidR="00422276" w:rsidRPr="00422276">
        <w:rPr>
          <w:color w:val="000000"/>
          <w:lang w:eastAsia="fr-FR"/>
        </w:rPr>
        <w:t>, relatives aux réseaux de collecte des eaux,</w:t>
      </w:r>
      <w:r w:rsidRPr="00BF13B7">
        <w:rPr>
          <w:color w:val="000000"/>
          <w:lang w:eastAsia="fr-FR"/>
        </w:rPr>
        <w:t xml:space="preserve"> s’appliquent</w:t>
      </w:r>
      <w:r w:rsidR="00903C44">
        <w:rPr>
          <w:color w:val="000000"/>
          <w:lang w:eastAsia="fr-FR"/>
        </w:rPr>
        <w:t xml:space="preserve">, à l’exception des </w:t>
      </w:r>
      <w:r w:rsidRPr="00BF13B7">
        <w:rPr>
          <w:color w:val="000000"/>
          <w:lang w:eastAsia="fr-FR"/>
        </w:rPr>
        <w:t xml:space="preserve">dispositions </w:t>
      </w:r>
      <w:r w:rsidR="00422276">
        <w:rPr>
          <w:color w:val="000000"/>
          <w:lang w:eastAsia="fr-FR"/>
        </w:rPr>
        <w:t>de l’avant dernier alinéa du</w:t>
      </w:r>
      <w:r w:rsidR="00422276" w:rsidRPr="00BF13B7">
        <w:rPr>
          <w:color w:val="000000"/>
          <w:lang w:eastAsia="fr-FR"/>
        </w:rPr>
        <w:t xml:space="preserve"> </w:t>
      </w:r>
      <w:r w:rsidRPr="00BF13B7">
        <w:rPr>
          <w:color w:val="000000"/>
          <w:lang w:eastAsia="fr-FR"/>
        </w:rPr>
        <w:t xml:space="preserve">III de l’article 4 </w:t>
      </w:r>
      <w:r w:rsidR="00283A55" w:rsidRPr="00283A55">
        <w:rPr>
          <w:color w:val="000000"/>
          <w:lang w:eastAsia="fr-FR"/>
        </w:rPr>
        <w:t>de l’arrêté du 2 février 1998 susvisé</w:t>
      </w:r>
      <w:r w:rsidR="00903C44">
        <w:rPr>
          <w:color w:val="000000"/>
          <w:lang w:eastAsia="fr-FR"/>
        </w:rPr>
        <w:t xml:space="preserve">, </w:t>
      </w:r>
      <w:r w:rsidR="00903C44" w:rsidRPr="00903C44">
        <w:rPr>
          <w:color w:val="000000"/>
          <w:lang w:eastAsia="fr-FR"/>
        </w:rPr>
        <w:t>relatives à l’interdiction d’établir des liaisons directes entre les réseaux</w:t>
      </w:r>
      <w:r w:rsidR="00903C44">
        <w:rPr>
          <w:color w:val="000000"/>
          <w:lang w:eastAsia="fr-FR"/>
        </w:rPr>
        <w:t>, qui</w:t>
      </w:r>
      <w:r w:rsidR="00283A55" w:rsidRPr="00283A55">
        <w:rPr>
          <w:color w:val="000000"/>
          <w:lang w:eastAsia="fr-FR"/>
        </w:rPr>
        <w:t xml:space="preserve"> </w:t>
      </w:r>
      <w:r w:rsidRPr="00BF13B7">
        <w:rPr>
          <w:color w:val="000000"/>
          <w:lang w:eastAsia="fr-FR"/>
        </w:rPr>
        <w:t xml:space="preserve">s’appliquent aux installations classées dont le dépôt du dossier complet d’autorisation est postérieur au </w:t>
      </w:r>
      <w:r w:rsidR="00422276">
        <w:rPr>
          <w:color w:val="000000"/>
          <w:lang w:eastAsia="fr-FR"/>
        </w:rPr>
        <w:t>1</w:t>
      </w:r>
      <w:r w:rsidR="00422276" w:rsidRPr="00422276">
        <w:rPr>
          <w:color w:val="000000"/>
          <w:vertAlign w:val="superscript"/>
          <w:lang w:eastAsia="fr-FR"/>
        </w:rPr>
        <w:t>er</w:t>
      </w:r>
      <w:r w:rsidR="00422276">
        <w:rPr>
          <w:color w:val="000000"/>
          <w:lang w:eastAsia="fr-FR"/>
        </w:rPr>
        <w:t xml:space="preserve"> janvier 2025</w:t>
      </w:r>
      <w:r w:rsidRPr="00BF13B7">
        <w:rPr>
          <w:color w:val="000000"/>
          <w:lang w:eastAsia="fr-FR"/>
        </w:rPr>
        <w:t>.</w:t>
      </w:r>
      <w:r w:rsidR="00035F9C" w:rsidRPr="00035F9C">
        <w:t xml:space="preserve"> </w:t>
      </w:r>
      <w:r w:rsidR="00035F9C" w:rsidRPr="00035F9C">
        <w:rPr>
          <w:color w:val="000000"/>
          <w:lang w:eastAsia="fr-FR"/>
        </w:rPr>
        <w:t>Ces dispositions s’appliquent à compter du 1</w:t>
      </w:r>
      <w:r w:rsidR="00035F9C" w:rsidRPr="00296050">
        <w:rPr>
          <w:color w:val="000000"/>
          <w:vertAlign w:val="superscript"/>
          <w:lang w:eastAsia="fr-FR"/>
        </w:rPr>
        <w:t>er</w:t>
      </w:r>
      <w:r w:rsidR="00296050">
        <w:rPr>
          <w:color w:val="000000"/>
          <w:lang w:eastAsia="fr-FR"/>
        </w:rPr>
        <w:t xml:space="preserve"> </w:t>
      </w:r>
      <w:r w:rsidR="00035F9C" w:rsidRPr="00035F9C">
        <w:rPr>
          <w:color w:val="000000"/>
          <w:lang w:eastAsia="fr-FR"/>
        </w:rPr>
        <w:t>janvier 2026.</w:t>
      </w:r>
    </w:p>
    <w:p w14:paraId="0ECF8D0C" w14:textId="77777777" w:rsidR="00BF13B7" w:rsidRPr="00BF13B7" w:rsidRDefault="00BF13B7" w:rsidP="002B0DC1">
      <w:pPr>
        <w:jc w:val="both"/>
        <w:rPr>
          <w:color w:val="000000"/>
          <w:lang w:eastAsia="fr-FR"/>
        </w:rPr>
      </w:pPr>
    </w:p>
    <w:p w14:paraId="4B62BAA2" w14:textId="4867DBF0" w:rsidR="00BF13B7" w:rsidRPr="00035F9C" w:rsidRDefault="00BF13B7" w:rsidP="002B0DC1">
      <w:pPr>
        <w:jc w:val="both"/>
        <w:rPr>
          <w:color w:val="000000"/>
          <w:lang w:eastAsia="fr-FR"/>
        </w:rPr>
      </w:pPr>
      <w:r>
        <w:rPr>
          <w:color w:val="000000"/>
          <w:lang w:eastAsia="fr-FR"/>
        </w:rPr>
        <w:t>« </w:t>
      </w:r>
      <w:r w:rsidRPr="00BF13B7">
        <w:rPr>
          <w:color w:val="000000"/>
          <w:lang w:eastAsia="fr-FR"/>
        </w:rPr>
        <w:t xml:space="preserve">VI. – Les dispositions de </w:t>
      </w:r>
      <w:r w:rsidRPr="00422276">
        <w:rPr>
          <w:color w:val="000000"/>
          <w:lang w:eastAsia="fr-FR"/>
        </w:rPr>
        <w:t>l’article 19</w:t>
      </w:r>
      <w:r w:rsidR="00283A55" w:rsidRPr="00283A55">
        <w:rPr>
          <w:color w:val="000000"/>
          <w:lang w:eastAsia="fr-FR"/>
        </w:rPr>
        <w:t xml:space="preserve"> </w:t>
      </w:r>
      <w:r w:rsidR="00283A55" w:rsidRPr="00422276">
        <w:rPr>
          <w:color w:val="000000"/>
          <w:lang w:eastAsia="fr-FR"/>
        </w:rPr>
        <w:t xml:space="preserve">de l’arrêté du 2 février 1998 </w:t>
      </w:r>
      <w:r w:rsidR="00283A55" w:rsidRPr="00035F9C">
        <w:rPr>
          <w:color w:val="000000"/>
          <w:lang w:eastAsia="fr-FR"/>
        </w:rPr>
        <w:t>susvisé</w:t>
      </w:r>
      <w:r w:rsidR="00422276" w:rsidRPr="00422276">
        <w:rPr>
          <w:color w:val="000000"/>
          <w:lang w:eastAsia="fr-FR"/>
        </w:rPr>
        <w:t>, relatives aux installations de traitement des eaux,</w:t>
      </w:r>
      <w:r w:rsidRPr="00422276">
        <w:rPr>
          <w:color w:val="000000"/>
          <w:lang w:eastAsia="fr-FR"/>
        </w:rPr>
        <w:t xml:space="preserve"> </w:t>
      </w:r>
      <w:r w:rsidRPr="00035F9C">
        <w:rPr>
          <w:color w:val="000000"/>
          <w:lang w:eastAsia="fr-FR"/>
        </w:rPr>
        <w:t xml:space="preserve">s’appliquent. </w:t>
      </w:r>
    </w:p>
    <w:p w14:paraId="1F0B8CA6" w14:textId="77777777" w:rsidR="00BF13B7" w:rsidRPr="00BF13B7" w:rsidRDefault="00BF13B7" w:rsidP="002B0DC1">
      <w:pPr>
        <w:jc w:val="both"/>
        <w:rPr>
          <w:color w:val="000000"/>
          <w:lang w:eastAsia="fr-FR"/>
        </w:rPr>
      </w:pPr>
    </w:p>
    <w:p w14:paraId="191F8044" w14:textId="20E49613" w:rsidR="00BF13B7" w:rsidRPr="00BF13B7" w:rsidRDefault="00BF13B7" w:rsidP="002B0DC1">
      <w:pPr>
        <w:jc w:val="both"/>
        <w:rPr>
          <w:color w:val="000000"/>
          <w:lang w:eastAsia="fr-FR"/>
        </w:rPr>
      </w:pPr>
      <w:r>
        <w:rPr>
          <w:color w:val="000000"/>
          <w:lang w:eastAsia="fr-FR"/>
        </w:rPr>
        <w:t>« </w:t>
      </w:r>
      <w:r w:rsidRPr="00BF13B7">
        <w:rPr>
          <w:color w:val="000000"/>
          <w:lang w:eastAsia="fr-FR"/>
        </w:rPr>
        <w:t>VI</w:t>
      </w:r>
      <w:r w:rsidR="00903C44">
        <w:rPr>
          <w:color w:val="000000"/>
          <w:lang w:eastAsia="fr-FR"/>
        </w:rPr>
        <w:t>I</w:t>
      </w:r>
      <w:r w:rsidRPr="00BF13B7">
        <w:rPr>
          <w:color w:val="000000"/>
          <w:lang w:eastAsia="fr-FR"/>
        </w:rPr>
        <w:t xml:space="preserve">. - Pour les appareils (chaudières, turbines, moteurs) de puissance thermique nominale supérieure ou égale à 15 MW, et dans les délais mentionnés </w:t>
      </w:r>
      <w:r w:rsidR="00D9011B">
        <w:rPr>
          <w:color w:val="000000"/>
          <w:lang w:eastAsia="fr-FR"/>
        </w:rPr>
        <w:t>au VII de l’article 3</w:t>
      </w:r>
      <w:r w:rsidRPr="00BF13B7">
        <w:rPr>
          <w:color w:val="000000"/>
          <w:lang w:eastAsia="fr-FR"/>
        </w:rPr>
        <w:t xml:space="preserve"> du présent arrêté, l’exploitant réduit la consommation d’eau et le volume des rejets d’eaux usées contaminées en appliquant une des deux techniques ci-dessous, ou les deux :</w:t>
      </w:r>
    </w:p>
    <w:p w14:paraId="688880E0" w14:textId="77777777" w:rsidR="00BF13B7" w:rsidRPr="00BF13B7" w:rsidRDefault="00BF13B7" w:rsidP="002B0DC1">
      <w:pPr>
        <w:jc w:val="both"/>
        <w:rPr>
          <w:color w:val="000000"/>
          <w:lang w:eastAsia="fr-FR"/>
        </w:rPr>
      </w:pPr>
    </w:p>
    <w:tbl>
      <w:tblPr>
        <w:tblW w:w="9086" w:type="dxa"/>
        <w:jc w:val="center"/>
        <w:tblLayout w:type="fixed"/>
        <w:tblLook w:val="0000" w:firstRow="0" w:lastRow="0" w:firstColumn="0" w:lastColumn="0" w:noHBand="0" w:noVBand="0"/>
      </w:tblPr>
      <w:tblGrid>
        <w:gridCol w:w="373"/>
        <w:gridCol w:w="1607"/>
        <w:gridCol w:w="4252"/>
        <w:gridCol w:w="2854"/>
      </w:tblGrid>
      <w:tr w:rsidR="00BF13B7" w:rsidRPr="00BF13B7" w14:paraId="2F5ED094" w14:textId="77777777" w:rsidTr="005D385E">
        <w:trPr>
          <w:cantSplit/>
          <w:jc w:val="center"/>
        </w:trPr>
        <w:tc>
          <w:tcPr>
            <w:tcW w:w="1980" w:type="dxa"/>
            <w:gridSpan w:val="2"/>
            <w:tcBorders>
              <w:top w:val="single" w:sz="4" w:space="0" w:color="000000"/>
              <w:left w:val="single" w:sz="4" w:space="0" w:color="000000"/>
              <w:bottom w:val="single" w:sz="4" w:space="0" w:color="000000"/>
            </w:tcBorders>
            <w:shd w:val="clear" w:color="auto" w:fill="auto"/>
          </w:tcPr>
          <w:p w14:paraId="57C4F8DA" w14:textId="77777777" w:rsidR="00BF13B7" w:rsidRPr="00BF13B7" w:rsidRDefault="00BF13B7" w:rsidP="002B0DC1">
            <w:pPr>
              <w:widowControl w:val="0"/>
              <w:jc w:val="center"/>
              <w:rPr>
                <w:color w:val="000000"/>
                <w:sz w:val="22"/>
                <w:szCs w:val="22"/>
                <w:lang w:eastAsia="fr-FR"/>
              </w:rPr>
            </w:pPr>
            <w:r w:rsidRPr="00BF13B7">
              <w:rPr>
                <w:color w:val="000000"/>
                <w:sz w:val="22"/>
                <w:szCs w:val="22"/>
                <w:lang w:eastAsia="fr-FR"/>
              </w:rPr>
              <w:t>Technique</w:t>
            </w:r>
          </w:p>
        </w:tc>
        <w:tc>
          <w:tcPr>
            <w:tcW w:w="4252" w:type="dxa"/>
            <w:tcBorders>
              <w:top w:val="single" w:sz="4" w:space="0" w:color="000000"/>
              <w:left w:val="single" w:sz="4" w:space="0" w:color="000000"/>
              <w:bottom w:val="single" w:sz="4" w:space="0" w:color="000000"/>
            </w:tcBorders>
            <w:shd w:val="clear" w:color="auto" w:fill="auto"/>
            <w:vAlign w:val="center"/>
          </w:tcPr>
          <w:p w14:paraId="3A8B971E" w14:textId="77777777" w:rsidR="00BF13B7" w:rsidRPr="00BF13B7" w:rsidRDefault="00BF13B7" w:rsidP="002B0DC1">
            <w:pPr>
              <w:widowControl w:val="0"/>
              <w:jc w:val="center"/>
              <w:rPr>
                <w:color w:val="000000"/>
                <w:sz w:val="22"/>
                <w:szCs w:val="22"/>
                <w:lang w:eastAsia="fr-FR"/>
              </w:rPr>
            </w:pPr>
            <w:r w:rsidRPr="00BF13B7">
              <w:rPr>
                <w:color w:val="000000"/>
                <w:sz w:val="22"/>
                <w:szCs w:val="22"/>
                <w:lang w:eastAsia="fr-FR"/>
              </w:rPr>
              <w:t>Description</w:t>
            </w:r>
          </w:p>
        </w:tc>
        <w:tc>
          <w:tcPr>
            <w:tcW w:w="2854" w:type="dxa"/>
            <w:tcBorders>
              <w:top w:val="single" w:sz="4" w:space="0" w:color="000000"/>
              <w:left w:val="single" w:sz="4" w:space="0" w:color="000000"/>
              <w:bottom w:val="single" w:sz="4" w:space="0" w:color="auto"/>
              <w:right w:val="single" w:sz="4" w:space="0" w:color="000000"/>
            </w:tcBorders>
            <w:shd w:val="clear" w:color="auto" w:fill="auto"/>
            <w:vAlign w:val="center"/>
          </w:tcPr>
          <w:p w14:paraId="18311E29" w14:textId="77777777" w:rsidR="00BF13B7" w:rsidRPr="00BF13B7" w:rsidRDefault="00BF13B7" w:rsidP="002B0DC1">
            <w:pPr>
              <w:widowControl w:val="0"/>
              <w:jc w:val="center"/>
              <w:rPr>
                <w:color w:val="000000"/>
                <w:sz w:val="22"/>
                <w:szCs w:val="22"/>
                <w:lang w:eastAsia="fr-FR"/>
              </w:rPr>
            </w:pPr>
            <w:r w:rsidRPr="00BF13B7">
              <w:rPr>
                <w:color w:val="000000"/>
                <w:sz w:val="22"/>
                <w:szCs w:val="22"/>
                <w:lang w:eastAsia="fr-FR"/>
              </w:rPr>
              <w:t>Applicabilité</w:t>
            </w:r>
          </w:p>
        </w:tc>
      </w:tr>
      <w:tr w:rsidR="00BF13B7" w:rsidRPr="00BF13B7" w14:paraId="08837939"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637494C1" w14:textId="77777777" w:rsidR="00BF13B7" w:rsidRPr="00BF13B7" w:rsidRDefault="00BF13B7" w:rsidP="002B0DC1">
            <w:pPr>
              <w:widowControl w:val="0"/>
              <w:jc w:val="center"/>
              <w:rPr>
                <w:color w:val="000000"/>
                <w:sz w:val="22"/>
                <w:szCs w:val="22"/>
                <w:lang w:eastAsia="fr-FR"/>
              </w:rPr>
            </w:pPr>
            <w:proofErr w:type="gramStart"/>
            <w:r w:rsidRPr="00BF13B7">
              <w:rPr>
                <w:color w:val="000000"/>
                <w:sz w:val="22"/>
                <w:szCs w:val="22"/>
                <w:lang w:eastAsia="fr-FR"/>
              </w:rPr>
              <w:t>a</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0A7BABE6" w14:textId="77777777" w:rsidR="00BF13B7" w:rsidRPr="00BF13B7" w:rsidRDefault="00BF13B7" w:rsidP="002B0DC1">
            <w:pPr>
              <w:widowControl w:val="0"/>
              <w:jc w:val="both"/>
              <w:rPr>
                <w:color w:val="000000"/>
                <w:sz w:val="22"/>
                <w:szCs w:val="22"/>
                <w:lang w:eastAsia="fr-FR"/>
              </w:rPr>
            </w:pPr>
            <w:r w:rsidRPr="00BF13B7">
              <w:rPr>
                <w:sz w:val="22"/>
                <w:szCs w:val="22"/>
              </w:rPr>
              <w:t>Recyclage des eaux</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457E4CBA" w14:textId="77777777" w:rsidR="00BF13B7" w:rsidRPr="00BF13B7" w:rsidRDefault="00BF13B7" w:rsidP="002B0DC1">
            <w:pPr>
              <w:widowControl w:val="0"/>
              <w:jc w:val="both"/>
              <w:rPr>
                <w:color w:val="000000"/>
                <w:sz w:val="22"/>
                <w:szCs w:val="22"/>
                <w:lang w:eastAsia="fr-FR"/>
              </w:rPr>
            </w:pPr>
            <w:r w:rsidRPr="00BF13B7">
              <w:rPr>
                <w:sz w:val="22"/>
                <w:szCs w:val="22"/>
              </w:rPr>
              <w:t>Les flux d'eaux usées, y compris les eaux de ruissellement, provenant de l'installation sont réutilisés à d'autres fins. Le degré de recyclage est limité par les exigences relatives à la qualité du flux d'eaux réceptrices et par le bilan hydrique de l'installation</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195261ED" w14:textId="77777777" w:rsidR="00BF13B7" w:rsidRPr="00BF13B7" w:rsidRDefault="00BF13B7" w:rsidP="002B0DC1">
            <w:pPr>
              <w:widowControl w:val="0"/>
              <w:jc w:val="both"/>
              <w:rPr>
                <w:color w:val="000000"/>
                <w:sz w:val="22"/>
                <w:szCs w:val="22"/>
                <w:lang w:eastAsia="fr-FR"/>
              </w:rPr>
            </w:pPr>
            <w:r w:rsidRPr="00BF13B7">
              <w:rPr>
                <w:sz w:val="22"/>
                <w:szCs w:val="22"/>
              </w:rPr>
              <w:t>Non applicable aux eaux usées issues des systèmes de refroidissement lorsqu'elles contiennent des produits chimiques de traitement de l'eau ou des concentrations élevées de sels provenant de l'eau de mer</w:t>
            </w:r>
          </w:p>
        </w:tc>
      </w:tr>
      <w:tr w:rsidR="00BF13B7" w:rsidRPr="00BF13B7" w14:paraId="6059095E"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36CE350F" w14:textId="77777777" w:rsidR="00BF13B7" w:rsidRPr="00BF13B7" w:rsidRDefault="00BF13B7" w:rsidP="002B0DC1">
            <w:pPr>
              <w:widowControl w:val="0"/>
              <w:jc w:val="center"/>
              <w:rPr>
                <w:color w:val="000000"/>
                <w:sz w:val="22"/>
                <w:szCs w:val="22"/>
                <w:lang w:eastAsia="fr-FR"/>
              </w:rPr>
            </w:pPr>
            <w:proofErr w:type="gramStart"/>
            <w:r w:rsidRPr="00BF13B7">
              <w:rPr>
                <w:color w:val="000000"/>
                <w:sz w:val="22"/>
                <w:szCs w:val="22"/>
                <w:lang w:eastAsia="fr-FR"/>
              </w:rPr>
              <w:t>b</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1FD64084" w14:textId="77777777" w:rsidR="00BF13B7" w:rsidRPr="00BF13B7" w:rsidRDefault="00BF13B7" w:rsidP="002B0DC1">
            <w:pPr>
              <w:widowControl w:val="0"/>
              <w:jc w:val="both"/>
              <w:rPr>
                <w:sz w:val="22"/>
                <w:szCs w:val="22"/>
              </w:rPr>
            </w:pPr>
            <w:r w:rsidRPr="00BF13B7">
              <w:rPr>
                <w:sz w:val="22"/>
                <w:szCs w:val="22"/>
              </w:rPr>
              <w:t>Manutention des cendres résiduelles sèches</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975C70A" w14:textId="77777777" w:rsidR="00BF13B7" w:rsidRPr="00BF13B7" w:rsidRDefault="00BF13B7" w:rsidP="002B0DC1">
            <w:pPr>
              <w:widowControl w:val="0"/>
              <w:jc w:val="both"/>
              <w:rPr>
                <w:sz w:val="22"/>
                <w:szCs w:val="22"/>
              </w:rPr>
            </w:pPr>
            <w:r w:rsidRPr="00BF13B7">
              <w:rPr>
                <w:sz w:val="22"/>
                <w:szCs w:val="22"/>
              </w:rPr>
              <w:t>Les cendres résiduelles chaudes et sèches tombent du foyer sur un convoyeur mécanique et sont refroidies par l'air ambiant. Aucune eau n'est utilisée dans le processus.</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3661C897" w14:textId="0DBEC01D" w:rsidR="00BF13B7" w:rsidRPr="00BF13B7" w:rsidRDefault="00BF13B7" w:rsidP="002B0DC1">
            <w:pPr>
              <w:widowControl w:val="0"/>
              <w:jc w:val="both"/>
              <w:rPr>
                <w:sz w:val="22"/>
                <w:szCs w:val="22"/>
              </w:rPr>
            </w:pPr>
            <w:r w:rsidRPr="00BF13B7">
              <w:rPr>
                <w:sz w:val="22"/>
                <w:szCs w:val="22"/>
              </w:rPr>
              <w:t xml:space="preserve">Uniquement applicable aux installations qui brûlent des combustibles solides. Des restrictions techniques peuvent limiter l'applicabilité aux installations de combustion </w:t>
            </w:r>
            <w:r w:rsidR="00847B04" w:rsidRPr="00847B04">
              <w:rPr>
                <w:sz w:val="22"/>
                <w:szCs w:val="22"/>
              </w:rPr>
              <w:t>dont l’autorisation a été délivré</w:t>
            </w:r>
            <w:r w:rsidR="00C40620">
              <w:rPr>
                <w:sz w:val="22"/>
                <w:szCs w:val="22"/>
              </w:rPr>
              <w:t>e</w:t>
            </w:r>
            <w:r w:rsidR="00847B04" w:rsidRPr="00847B04">
              <w:rPr>
                <w:sz w:val="22"/>
                <w:szCs w:val="22"/>
              </w:rPr>
              <w:t xml:space="preserve"> </w:t>
            </w:r>
            <w:r w:rsidR="006B21BB">
              <w:rPr>
                <w:sz w:val="22"/>
                <w:szCs w:val="22"/>
              </w:rPr>
              <w:t>avant le</w:t>
            </w:r>
            <w:r w:rsidR="00847B04" w:rsidRPr="00847B04">
              <w:rPr>
                <w:sz w:val="22"/>
                <w:szCs w:val="22"/>
              </w:rPr>
              <w:t xml:space="preserve"> 17 août 2017</w:t>
            </w:r>
            <w:r w:rsidR="00880D1D">
              <w:rPr>
                <w:sz w:val="22"/>
                <w:szCs w:val="22"/>
              </w:rPr>
              <w:t xml:space="preserve">  </w:t>
            </w:r>
          </w:p>
        </w:tc>
      </w:tr>
    </w:tbl>
    <w:p w14:paraId="52C9440C" w14:textId="77777777" w:rsidR="00BF13B7" w:rsidRPr="00BF13B7" w:rsidRDefault="00BF13B7" w:rsidP="002B0DC1">
      <w:pPr>
        <w:jc w:val="both"/>
        <w:rPr>
          <w:color w:val="000000"/>
          <w:lang w:eastAsia="fr-FR"/>
        </w:rPr>
      </w:pPr>
    </w:p>
    <w:p w14:paraId="0E446597" w14:textId="40B24689" w:rsidR="00BF13B7" w:rsidRPr="00BF13B7" w:rsidRDefault="00BF13B7" w:rsidP="002B0DC1">
      <w:pPr>
        <w:jc w:val="both"/>
        <w:rPr>
          <w:color w:val="000000"/>
          <w:lang w:eastAsia="fr-FR"/>
        </w:rPr>
      </w:pPr>
      <w:r>
        <w:rPr>
          <w:color w:val="000000"/>
          <w:lang w:eastAsia="fr-FR"/>
        </w:rPr>
        <w:t>« </w:t>
      </w:r>
      <w:r w:rsidRPr="00BF13B7">
        <w:rPr>
          <w:color w:val="000000"/>
          <w:lang w:eastAsia="fr-FR"/>
        </w:rPr>
        <w:t>VII</w:t>
      </w:r>
      <w:r w:rsidR="00903C44">
        <w:rPr>
          <w:color w:val="000000"/>
          <w:lang w:eastAsia="fr-FR"/>
        </w:rPr>
        <w:t>I</w:t>
      </w:r>
      <w:r w:rsidRPr="00BF13B7">
        <w:rPr>
          <w:color w:val="000000"/>
          <w:lang w:eastAsia="fr-FR"/>
        </w:rPr>
        <w:t xml:space="preserve">. - Pour les appareils (chaudières, turbines, moteurs) de puissance thermique nominale supérieure ou égale à 15 MW, et dans les délais mentionnés </w:t>
      </w:r>
      <w:r w:rsidR="00D9011B">
        <w:rPr>
          <w:color w:val="000000"/>
          <w:lang w:eastAsia="fr-FR"/>
        </w:rPr>
        <w:t>au VII de l’article 3</w:t>
      </w:r>
      <w:r w:rsidRPr="00BF13B7">
        <w:rPr>
          <w:color w:val="000000"/>
          <w:lang w:eastAsia="fr-FR"/>
        </w:rPr>
        <w:t xml:space="preserve"> du présent arrêté, afin d'empêcher la contamination des eaux usées et de réduire les émissions dans l'eau, l’exploitant sépare les flux d'eaux usées et les traite séparément, en fonction des polluants qu'ils contiennent.</w:t>
      </w:r>
    </w:p>
    <w:p w14:paraId="70FA148A" w14:textId="74CAAE74" w:rsidR="00BF13B7" w:rsidRPr="00BF13B7" w:rsidRDefault="00BF13B7" w:rsidP="002B0DC1">
      <w:pPr>
        <w:jc w:val="both"/>
        <w:rPr>
          <w:color w:val="000000"/>
          <w:lang w:eastAsia="fr-FR"/>
        </w:rPr>
      </w:pPr>
      <w:r>
        <w:rPr>
          <w:color w:val="000000"/>
          <w:lang w:eastAsia="fr-FR"/>
        </w:rPr>
        <w:t>« </w:t>
      </w:r>
      <w:r w:rsidRPr="00BF13B7">
        <w:rPr>
          <w:color w:val="000000"/>
          <w:lang w:eastAsia="fr-FR"/>
        </w:rPr>
        <w:t>Les flux d'eaux usées classiquement séparés et traités comprennent les eaux de ruissellement, l'eau de refroidissement et les eaux usées provenant du traitement des fumées.</w:t>
      </w:r>
    </w:p>
    <w:p w14:paraId="0B222C99" w14:textId="5A09588A" w:rsidR="00BF13B7" w:rsidRDefault="00BF13B7" w:rsidP="002B0DC1">
      <w:pPr>
        <w:jc w:val="both"/>
        <w:rPr>
          <w:rFonts w:ascii="Arial" w:hAnsi="Arial" w:cs="Arial"/>
          <w:color w:val="000000"/>
          <w:sz w:val="21"/>
          <w:szCs w:val="21"/>
          <w:lang w:eastAsia="fr-FR"/>
        </w:rPr>
      </w:pPr>
      <w:r>
        <w:rPr>
          <w:color w:val="000000"/>
          <w:lang w:eastAsia="fr-FR"/>
        </w:rPr>
        <w:t>« </w:t>
      </w:r>
      <w:r w:rsidRPr="00BF13B7">
        <w:rPr>
          <w:color w:val="000000"/>
          <w:lang w:eastAsia="fr-FR"/>
        </w:rPr>
        <w:t xml:space="preserve">Dans le cas des installations </w:t>
      </w:r>
      <w:r w:rsidR="00847B04" w:rsidRPr="00847B04">
        <w:rPr>
          <w:color w:val="000000"/>
          <w:lang w:eastAsia="fr-FR"/>
        </w:rPr>
        <w:t>dont l’autorisation a été délivré</w:t>
      </w:r>
      <w:r w:rsidR="00C40620">
        <w:rPr>
          <w:color w:val="000000"/>
          <w:lang w:eastAsia="fr-FR"/>
        </w:rPr>
        <w:t>e</w:t>
      </w:r>
      <w:r w:rsidR="00847B04" w:rsidRPr="00847B04">
        <w:rPr>
          <w:color w:val="000000"/>
          <w:lang w:eastAsia="fr-FR"/>
        </w:rPr>
        <w:t xml:space="preserve"> </w:t>
      </w:r>
      <w:r w:rsidR="006B21BB">
        <w:rPr>
          <w:color w:val="000000"/>
          <w:lang w:eastAsia="fr-FR"/>
        </w:rPr>
        <w:t>avant le</w:t>
      </w:r>
      <w:r w:rsidR="00847B04" w:rsidRPr="00847B04">
        <w:rPr>
          <w:color w:val="000000"/>
          <w:lang w:eastAsia="fr-FR"/>
        </w:rPr>
        <w:t xml:space="preserve"> 17 août 2017</w:t>
      </w:r>
      <w:r w:rsidRPr="00BF13B7">
        <w:rPr>
          <w:color w:val="000000"/>
          <w:lang w:eastAsia="fr-FR"/>
        </w:rPr>
        <w:t>, l'applicabilité peut être limitée par la configuration des systèmes d'évacuation des eaux usées.</w:t>
      </w:r>
      <w:r>
        <w:rPr>
          <w:color w:val="000000"/>
          <w:lang w:eastAsia="fr-FR"/>
        </w:rPr>
        <w:t> ».</w:t>
      </w:r>
    </w:p>
    <w:p w14:paraId="0EDADE3D" w14:textId="77777777" w:rsidR="00BF13B7" w:rsidRPr="00BF13B7" w:rsidRDefault="00BF13B7" w:rsidP="002B0DC1">
      <w:pPr>
        <w:jc w:val="both"/>
        <w:rPr>
          <w:rFonts w:ascii="Arial" w:hAnsi="Arial" w:cs="Arial"/>
          <w:color w:val="000000"/>
          <w:sz w:val="21"/>
          <w:szCs w:val="21"/>
          <w:lang w:eastAsia="fr-FR"/>
        </w:rPr>
      </w:pPr>
    </w:p>
    <w:p w14:paraId="042E15B6" w14:textId="7F565AE2" w:rsidR="00424C89" w:rsidRPr="00914E79" w:rsidRDefault="00424C89"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50</w:t>
      </w:r>
      <w:r w:rsidRPr="00914E79">
        <w:rPr>
          <w:b/>
          <w:bCs/>
          <w:i/>
          <w:iCs/>
        </w:rPr>
        <w:fldChar w:fldCharType="end"/>
      </w:r>
    </w:p>
    <w:p w14:paraId="46EB3A09" w14:textId="77777777" w:rsidR="00BF13B7" w:rsidRDefault="00BF13B7" w:rsidP="002B0DC1">
      <w:pPr>
        <w:jc w:val="both"/>
      </w:pPr>
    </w:p>
    <w:p w14:paraId="4917A4F2" w14:textId="2981D284" w:rsidR="00BF13B7" w:rsidRPr="00BF13B7" w:rsidRDefault="00BF13B7" w:rsidP="002B0DC1">
      <w:pPr>
        <w:jc w:val="both"/>
      </w:pPr>
      <w:r w:rsidRPr="00BF13B7">
        <w:t>L’article 4</w:t>
      </w:r>
      <w:r>
        <w:t>3</w:t>
      </w:r>
      <w:r w:rsidRPr="00BF13B7">
        <w:t xml:space="preserve"> de l’arrêté susvisé est ainsi modifié :</w:t>
      </w:r>
    </w:p>
    <w:p w14:paraId="2B1FAB89" w14:textId="77777777" w:rsidR="00BF13B7" w:rsidRPr="00BF13B7" w:rsidRDefault="00BF13B7" w:rsidP="002B0DC1">
      <w:pPr>
        <w:jc w:val="both"/>
      </w:pPr>
    </w:p>
    <w:p w14:paraId="79047584" w14:textId="2F6053D3" w:rsidR="00BF13B7" w:rsidRPr="00BF13B7" w:rsidRDefault="00903C44" w:rsidP="002B0DC1">
      <w:pPr>
        <w:spacing w:after="240"/>
        <w:jc w:val="both"/>
      </w:pPr>
      <w:r>
        <w:t>1°</w:t>
      </w:r>
      <w:r w:rsidR="00BF13B7" w:rsidRPr="00BF13B7">
        <w:t xml:space="preserve"> </w:t>
      </w:r>
      <w:r w:rsidR="00804ACE">
        <w:t xml:space="preserve">Un </w:t>
      </w:r>
      <w:r w:rsidR="00804ACE" w:rsidRPr="00BF13B7">
        <w:t xml:space="preserve">alinéa </w:t>
      </w:r>
      <w:r w:rsidR="00BF13B7" w:rsidRPr="00BF13B7">
        <w:t>« Généralités concernant les valeurs limites d’émission</w:t>
      </w:r>
      <w:r w:rsidR="00BF13B7">
        <w:t xml:space="preserve"> </w:t>
      </w:r>
      <w:r w:rsidR="00AC1C6D">
        <w:t xml:space="preserve">dans l’eau </w:t>
      </w:r>
      <w:r w:rsidR="00BF13B7" w:rsidRPr="00BF13B7">
        <w:rPr>
          <w:lang w:eastAsia="fr-FR"/>
        </w:rPr>
        <w:t>»</w:t>
      </w:r>
      <w:r w:rsidR="00BF13B7" w:rsidRPr="00BF13B7">
        <w:t xml:space="preserve"> est inséré avant le premier alinéa.</w:t>
      </w:r>
    </w:p>
    <w:p w14:paraId="3B1D457C" w14:textId="4A862E9B" w:rsidR="00BF13B7" w:rsidRDefault="00903C44" w:rsidP="002B0DC1">
      <w:pPr>
        <w:jc w:val="both"/>
        <w:rPr>
          <w:rFonts w:cstheme="minorHAnsi"/>
        </w:rPr>
      </w:pPr>
      <w:r>
        <w:t>2°</w:t>
      </w:r>
      <w:r w:rsidR="00BF13B7" w:rsidRPr="00BF13B7">
        <w:t xml:space="preserve"> </w:t>
      </w:r>
      <w:r w:rsidR="00BF13B7">
        <w:t>Le quatrième</w:t>
      </w:r>
      <w:r w:rsidR="00BF13B7" w:rsidRPr="00BF13B7">
        <w:t xml:space="preserve"> alinéa</w:t>
      </w:r>
      <w:r w:rsidR="00BF13B7">
        <w:t xml:space="preserve"> est complété par </w:t>
      </w:r>
      <w:r w:rsidR="00804ACE">
        <w:t>la phrase</w:t>
      </w:r>
      <w:r w:rsidR="00BF13B7">
        <w:t> : « </w:t>
      </w:r>
      <w:r w:rsidR="00BF13B7">
        <w:rPr>
          <w:rFonts w:cstheme="minorHAnsi"/>
        </w:rPr>
        <w:t>Le débit maximal est fixé en prenant compte, le cas échéant, les dispositions du deuxième alinéa de l’article 31 de l’arrêté du 2 février 1998 susvisé. ».</w:t>
      </w:r>
    </w:p>
    <w:p w14:paraId="56472CAC" w14:textId="0389A026" w:rsidR="00BF13B7" w:rsidRDefault="00BF13B7" w:rsidP="002B0DC1">
      <w:pPr>
        <w:jc w:val="both"/>
        <w:rPr>
          <w:rFonts w:cstheme="minorHAnsi"/>
        </w:rPr>
      </w:pPr>
    </w:p>
    <w:p w14:paraId="51D1873A" w14:textId="1248837C" w:rsidR="00BF13B7" w:rsidRPr="00BF13B7" w:rsidRDefault="00903C44" w:rsidP="002B0DC1">
      <w:pPr>
        <w:jc w:val="both"/>
      </w:pPr>
      <w:r>
        <w:t>3°</w:t>
      </w:r>
      <w:r w:rsidR="00BF13B7" w:rsidRPr="00BF13B7">
        <w:t xml:space="preserve"> Le IV</w:t>
      </w:r>
      <w:r w:rsidR="00804ACE">
        <w:t xml:space="preserve"> </w:t>
      </w:r>
      <w:r w:rsidR="00BF13B7" w:rsidRPr="00BF13B7">
        <w:t xml:space="preserve">est remplacé </w:t>
      </w:r>
      <w:r w:rsidR="0052232D">
        <w:t>par l’alinéa suivant</w:t>
      </w:r>
      <w:r w:rsidR="00BF13B7" w:rsidRPr="00BF13B7">
        <w:t> :</w:t>
      </w:r>
    </w:p>
    <w:p w14:paraId="76D7EBD1" w14:textId="7CAA46E8" w:rsidR="00BF13B7" w:rsidRPr="00BF13B7" w:rsidRDefault="00BF13B7" w:rsidP="002B0DC1">
      <w:pPr>
        <w:jc w:val="both"/>
        <w:rPr>
          <w:color w:val="000000"/>
          <w:lang w:eastAsia="fr-FR"/>
        </w:rPr>
      </w:pPr>
      <w:r w:rsidRPr="00BF13B7">
        <w:t>« </w:t>
      </w:r>
      <w:r w:rsidRPr="00BF13B7">
        <w:rPr>
          <w:color w:val="000000"/>
          <w:lang w:eastAsia="fr-FR"/>
        </w:rPr>
        <w:t>IV. – Les dispositions du dernier alinéa de l’article 21</w:t>
      </w:r>
      <w:r w:rsidR="00283A55" w:rsidRPr="00283A55">
        <w:rPr>
          <w:color w:val="000000"/>
          <w:lang w:eastAsia="fr-FR"/>
        </w:rPr>
        <w:t xml:space="preserve"> </w:t>
      </w:r>
      <w:r w:rsidR="00283A55" w:rsidRPr="00BF13B7">
        <w:rPr>
          <w:color w:val="000000"/>
          <w:lang w:eastAsia="fr-FR"/>
        </w:rPr>
        <w:t xml:space="preserve">de l’arrêté du 2 février 1998 </w:t>
      </w:r>
      <w:r w:rsidR="00283A55">
        <w:rPr>
          <w:color w:val="000000"/>
          <w:lang w:eastAsia="fr-FR"/>
        </w:rPr>
        <w:t>susvisé</w:t>
      </w:r>
      <w:r w:rsidRPr="00BF13B7">
        <w:rPr>
          <w:color w:val="000000"/>
          <w:lang w:eastAsia="fr-FR"/>
        </w:rPr>
        <w:t>, concernant les rejets de l’installation, s’appliquent. »</w:t>
      </w:r>
    </w:p>
    <w:p w14:paraId="7703A6CE" w14:textId="77777777" w:rsidR="00424C89" w:rsidRDefault="00424C89" w:rsidP="002B0DC1"/>
    <w:p w14:paraId="622315CF" w14:textId="556F9418" w:rsidR="00424C89" w:rsidRPr="00914E79" w:rsidRDefault="00424C89"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51</w:t>
      </w:r>
      <w:r w:rsidRPr="00914E79">
        <w:rPr>
          <w:b/>
          <w:bCs/>
          <w:i/>
          <w:iCs/>
        </w:rPr>
        <w:fldChar w:fldCharType="end"/>
      </w:r>
    </w:p>
    <w:p w14:paraId="1EAC1020" w14:textId="77777777" w:rsidR="00BF13B7" w:rsidRDefault="00BF13B7" w:rsidP="002B0DC1">
      <w:pPr>
        <w:jc w:val="both"/>
      </w:pPr>
    </w:p>
    <w:p w14:paraId="3E2C4BA4" w14:textId="186A7062" w:rsidR="00BF13B7" w:rsidRPr="00BF13B7" w:rsidRDefault="00BF13B7" w:rsidP="002B0DC1">
      <w:pPr>
        <w:jc w:val="both"/>
      </w:pPr>
      <w:r w:rsidRPr="00BF13B7">
        <w:t>L’article 4</w:t>
      </w:r>
      <w:r>
        <w:t>4</w:t>
      </w:r>
      <w:r w:rsidRPr="00BF13B7">
        <w:t xml:space="preserve"> de l’arrêté susvisé est ainsi modifié :</w:t>
      </w:r>
    </w:p>
    <w:p w14:paraId="445EB077" w14:textId="77777777" w:rsidR="00BF13B7" w:rsidRPr="00BF13B7" w:rsidRDefault="00BF13B7" w:rsidP="002B0DC1">
      <w:pPr>
        <w:jc w:val="both"/>
      </w:pPr>
    </w:p>
    <w:p w14:paraId="7FA48F8E" w14:textId="5F278A61" w:rsidR="00BF13B7" w:rsidRPr="00457A2A" w:rsidRDefault="00903C44" w:rsidP="002B0DC1">
      <w:pPr>
        <w:spacing w:after="240"/>
        <w:jc w:val="both"/>
      </w:pPr>
      <w:r>
        <w:t>1°</w:t>
      </w:r>
      <w:r w:rsidR="00BF13B7" w:rsidRPr="00BF13B7">
        <w:t xml:space="preserve"> </w:t>
      </w:r>
      <w:r w:rsidR="00804ACE">
        <w:t xml:space="preserve">Un </w:t>
      </w:r>
      <w:r w:rsidR="00804ACE" w:rsidRPr="00BF13B7">
        <w:t xml:space="preserve">alinéa </w:t>
      </w:r>
      <w:r w:rsidR="00BF13B7" w:rsidRPr="00BF13B7">
        <w:t>« Température des effluents rejetés et du milieu récepteur</w:t>
      </w:r>
      <w:r w:rsidR="00BF13B7">
        <w:t xml:space="preserve"> </w:t>
      </w:r>
      <w:r w:rsidR="00BF13B7" w:rsidRPr="00BF13B7">
        <w:rPr>
          <w:lang w:eastAsia="fr-FR"/>
        </w:rPr>
        <w:t>»</w:t>
      </w:r>
      <w:r w:rsidR="00BF13B7" w:rsidRPr="00BF13B7">
        <w:t xml:space="preserve"> est inséré avant le premier alinéa.</w:t>
      </w:r>
    </w:p>
    <w:p w14:paraId="41911DE0" w14:textId="23FCCD94" w:rsidR="00BF13B7" w:rsidRPr="00457A2A" w:rsidRDefault="00903C44" w:rsidP="002B0DC1">
      <w:pPr>
        <w:spacing w:after="240"/>
        <w:jc w:val="both"/>
      </w:pPr>
      <w:r>
        <w:t>2°</w:t>
      </w:r>
      <w:r w:rsidR="00BF13B7" w:rsidRPr="00457A2A">
        <w:t xml:space="preserve"> </w:t>
      </w:r>
      <w:r w:rsidR="00457A2A" w:rsidRPr="00457A2A">
        <w:t>Le troisième alinéa est remplacé par les dispositions suivantes :</w:t>
      </w:r>
    </w:p>
    <w:p w14:paraId="491C1955" w14:textId="057BFC2F" w:rsidR="00457A2A" w:rsidRDefault="00457A2A" w:rsidP="002B0DC1">
      <w:pPr>
        <w:spacing w:after="240"/>
        <w:jc w:val="both"/>
      </w:pPr>
      <w:r w:rsidRPr="00457A2A">
        <w:t>« </w:t>
      </w:r>
      <w:r w:rsidRPr="00457A2A">
        <w:rPr>
          <w:lang w:eastAsia="fr-FR"/>
        </w:rPr>
        <w:t>Pour les eaux réceptrices auxquelles s'appliquent les dispositions des</w:t>
      </w:r>
      <w:r w:rsidR="00804ACE">
        <w:rPr>
          <w:lang w:eastAsia="fr-FR"/>
        </w:rPr>
        <w:t xml:space="preserve"> tableaux I et II de</w:t>
      </w:r>
      <w:r w:rsidRPr="00457A2A">
        <w:rPr>
          <w:lang w:eastAsia="fr-FR"/>
        </w:rPr>
        <w:t xml:space="preserve"> </w:t>
      </w:r>
      <w:r w:rsidR="008347B2">
        <w:rPr>
          <w:lang w:eastAsia="fr-FR"/>
        </w:rPr>
        <w:t>l’</w:t>
      </w:r>
      <w:r w:rsidRPr="00457A2A">
        <w:rPr>
          <w:lang w:eastAsia="fr-FR"/>
        </w:rPr>
        <w:t>article D.</w:t>
      </w:r>
      <w:r w:rsidR="00804ACE">
        <w:rPr>
          <w:lang w:eastAsia="fr-FR"/>
        </w:rPr>
        <w:t xml:space="preserve"> </w:t>
      </w:r>
      <w:r w:rsidRPr="00457A2A">
        <w:rPr>
          <w:lang w:eastAsia="fr-FR"/>
        </w:rPr>
        <w:t xml:space="preserve">211-10 et </w:t>
      </w:r>
      <w:r w:rsidR="008347B2">
        <w:rPr>
          <w:lang w:eastAsia="fr-FR"/>
        </w:rPr>
        <w:t xml:space="preserve">de l’article </w:t>
      </w:r>
      <w:r w:rsidRPr="00457A2A">
        <w:rPr>
          <w:lang w:eastAsia="fr-FR"/>
        </w:rPr>
        <w:t>D.</w:t>
      </w:r>
      <w:r w:rsidR="00804ACE">
        <w:rPr>
          <w:lang w:eastAsia="fr-FR"/>
        </w:rPr>
        <w:t xml:space="preserve"> </w:t>
      </w:r>
      <w:r w:rsidRPr="00457A2A">
        <w:rPr>
          <w:lang w:eastAsia="fr-FR"/>
        </w:rPr>
        <w:t>211-11 du </w:t>
      </w:r>
      <w:r w:rsidR="00804ACE" w:rsidRPr="00804ACE">
        <w:rPr>
          <w:lang w:eastAsia="fr-FR"/>
        </w:rPr>
        <w:t>code de l'environnement</w:t>
      </w:r>
      <w:r w:rsidRPr="00457A2A">
        <w:rPr>
          <w:lang w:eastAsia="fr-FR"/>
        </w:rPr>
        <w:t xml:space="preserve">, les effets du rejet </w:t>
      </w:r>
      <w:r w:rsidRPr="00457A2A">
        <w:t xml:space="preserve">doivent respecter les dispositions des </w:t>
      </w:r>
      <w:r w:rsidR="002918F0">
        <w:t>6</w:t>
      </w:r>
      <w:r w:rsidR="002918F0" w:rsidRPr="002918F0">
        <w:rPr>
          <w:vertAlign w:val="superscript"/>
        </w:rPr>
        <w:t>e</w:t>
      </w:r>
      <w:r w:rsidR="00804ACE">
        <w:t xml:space="preserve">, </w:t>
      </w:r>
      <w:r w:rsidR="002918F0">
        <w:t>7</w:t>
      </w:r>
      <w:r w:rsidR="002918F0" w:rsidRPr="002918F0">
        <w:rPr>
          <w:vertAlign w:val="superscript"/>
        </w:rPr>
        <w:t>e</w:t>
      </w:r>
      <w:r w:rsidR="008347B2">
        <w:t xml:space="preserve"> et </w:t>
      </w:r>
      <w:r w:rsidR="002918F0">
        <w:t>8</w:t>
      </w:r>
      <w:r w:rsidR="002918F0" w:rsidRPr="002918F0">
        <w:rPr>
          <w:vertAlign w:val="superscript"/>
        </w:rPr>
        <w:t>e</w:t>
      </w:r>
      <w:r w:rsidR="008347B2">
        <w:t xml:space="preserve"> alinéas</w:t>
      </w:r>
      <w:r w:rsidRPr="00457A2A">
        <w:t xml:space="preserve"> de l’article 31 de l’arrêté du 2 février 1998 susvisé. »</w:t>
      </w:r>
    </w:p>
    <w:p w14:paraId="7A12AACE" w14:textId="1B0DD886" w:rsidR="00380DD1" w:rsidRDefault="00903C44" w:rsidP="002B0DC1">
      <w:pPr>
        <w:spacing w:after="240"/>
        <w:jc w:val="both"/>
      </w:pPr>
      <w:r>
        <w:t>3°</w:t>
      </w:r>
      <w:r w:rsidR="00380DD1">
        <w:t xml:space="preserve"> Le septième alinéa est remplacé par les dispositions suivantes :</w:t>
      </w:r>
    </w:p>
    <w:p w14:paraId="33CAFA49" w14:textId="22EE6070" w:rsidR="00380DD1" w:rsidRPr="00457A2A" w:rsidRDefault="00380DD1" w:rsidP="002B0DC1">
      <w:pPr>
        <w:spacing w:after="240"/>
        <w:jc w:val="both"/>
      </w:pPr>
      <w:r>
        <w:t>« </w:t>
      </w:r>
      <w:r w:rsidRPr="00380DD1">
        <w:t>Les dispositions qui précèdent concernant les températures des effluents rejetés ne s'appliquent pas dans les départements d'outre-mer. Dans les départements d’outre-mer, le préfet peut autoriser des rejets aqueux avec une valeur plus élevée que 30</w:t>
      </w:r>
      <w:r w:rsidR="008347B2">
        <w:t xml:space="preserve"> </w:t>
      </w:r>
      <w:r w:rsidRPr="00380DD1">
        <w:t>°</w:t>
      </w:r>
      <w:r>
        <w:t>C</w:t>
      </w:r>
      <w:r w:rsidRPr="00380DD1">
        <w:t xml:space="preserve"> sur la base d’un dossier établi par l’exploitant évaluant l’impact potentiel et les mesures mises en place pour maîtriser cet impact et assurer son suivi. Toutefois la température des rejets aqueux ne peut en aucun cas dépasser 40 °C.</w:t>
      </w:r>
      <w:r>
        <w:t> »</w:t>
      </w:r>
    </w:p>
    <w:p w14:paraId="1730B1A8" w14:textId="54203E35" w:rsidR="00457A2A" w:rsidRPr="00457A2A" w:rsidRDefault="00903C44" w:rsidP="002B0DC1">
      <w:pPr>
        <w:spacing w:after="240"/>
        <w:jc w:val="both"/>
        <w:rPr>
          <w:color w:val="000000"/>
          <w:lang w:eastAsia="fr-FR"/>
        </w:rPr>
      </w:pPr>
      <w:r>
        <w:rPr>
          <w:color w:val="000000"/>
          <w:lang w:eastAsia="fr-FR"/>
        </w:rPr>
        <w:t>4°</w:t>
      </w:r>
      <w:r w:rsidR="00457A2A" w:rsidRPr="00457A2A">
        <w:rPr>
          <w:color w:val="000000"/>
          <w:lang w:eastAsia="fr-FR"/>
        </w:rPr>
        <w:t xml:space="preserve"> Au huitième alinéa, après les mots : « aux valeurs limites en température » sont insérés les mots : « du milieu récepteur ».</w:t>
      </w:r>
    </w:p>
    <w:p w14:paraId="54AB35DE" w14:textId="77777777" w:rsidR="00BF13B7" w:rsidRPr="00914E79" w:rsidRDefault="00BF13B7" w:rsidP="002B0DC1"/>
    <w:p w14:paraId="1EE7F17E" w14:textId="15424E1C" w:rsidR="00424C89" w:rsidRDefault="00424C89"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52</w:t>
      </w:r>
      <w:r w:rsidRPr="00914E79">
        <w:rPr>
          <w:b/>
          <w:bCs/>
          <w:i/>
          <w:iCs/>
        </w:rPr>
        <w:fldChar w:fldCharType="end"/>
      </w:r>
    </w:p>
    <w:p w14:paraId="4EEC3873" w14:textId="129114EA" w:rsidR="00936417" w:rsidRDefault="00936417" w:rsidP="002B0DC1"/>
    <w:p w14:paraId="2F4C8290" w14:textId="00865C63" w:rsidR="00457A2A" w:rsidRPr="00BF13B7" w:rsidRDefault="00457A2A" w:rsidP="002B0DC1">
      <w:pPr>
        <w:jc w:val="both"/>
      </w:pPr>
      <w:r w:rsidRPr="00BF13B7">
        <w:t>L’article 4</w:t>
      </w:r>
      <w:r>
        <w:t>5</w:t>
      </w:r>
      <w:r w:rsidRPr="00BF13B7">
        <w:t xml:space="preserve"> de l’arrêté susvisé est </w:t>
      </w:r>
      <w:r w:rsidR="008347B2">
        <w:t>remplacé par les dispositions suivantes :</w:t>
      </w:r>
    </w:p>
    <w:p w14:paraId="2539A3F5" w14:textId="77777777" w:rsidR="00457A2A" w:rsidRPr="00BF13B7" w:rsidRDefault="00457A2A" w:rsidP="002B0DC1">
      <w:pPr>
        <w:jc w:val="both"/>
      </w:pPr>
    </w:p>
    <w:p w14:paraId="2F53B915" w14:textId="3D92F61E" w:rsidR="00457A2A" w:rsidRPr="00457A2A" w:rsidRDefault="008347B2" w:rsidP="002B0DC1">
      <w:pPr>
        <w:spacing w:after="240"/>
        <w:jc w:val="both"/>
      </w:pPr>
      <w:r w:rsidRPr="00457A2A">
        <w:t xml:space="preserve"> </w:t>
      </w:r>
      <w:r w:rsidR="00457A2A" w:rsidRPr="00457A2A">
        <w:t>« </w:t>
      </w:r>
      <w:r w:rsidR="00903C44" w:rsidRPr="00903C44">
        <w:rPr>
          <w:i/>
          <w:iCs/>
        </w:rPr>
        <w:t>Art.</w:t>
      </w:r>
      <w:r w:rsidR="00240E2D">
        <w:rPr>
          <w:i/>
          <w:iCs/>
        </w:rPr>
        <w:t xml:space="preserve"> </w:t>
      </w:r>
      <w:r w:rsidR="00903C44" w:rsidRPr="00903C44">
        <w:rPr>
          <w:i/>
          <w:iCs/>
        </w:rPr>
        <w:t>45. -</w:t>
      </w:r>
      <w:r w:rsidR="00903C44">
        <w:t xml:space="preserve"> </w:t>
      </w:r>
      <w:r w:rsidR="00457A2A" w:rsidRPr="00457A2A">
        <w:t xml:space="preserve">Milieu récepteur (couleur, pH) </w:t>
      </w:r>
    </w:p>
    <w:p w14:paraId="7D89113D" w14:textId="01EC05D1" w:rsidR="00457A2A" w:rsidRPr="00457A2A" w:rsidRDefault="00457A2A" w:rsidP="002B0DC1">
      <w:pPr>
        <w:spacing w:after="240"/>
      </w:pPr>
      <w:r w:rsidRPr="00457A2A">
        <w:t>« </w:t>
      </w:r>
      <w:r w:rsidRPr="00457A2A">
        <w:rPr>
          <w:lang w:eastAsia="fr-FR"/>
        </w:rPr>
        <w:t xml:space="preserve">I. – </w:t>
      </w:r>
      <w:r w:rsidRPr="00457A2A">
        <w:t>Les dispositions des 4</w:t>
      </w:r>
      <w:r w:rsidRPr="00457A2A">
        <w:rPr>
          <w:vertAlign w:val="superscript"/>
        </w:rPr>
        <w:t>e</w:t>
      </w:r>
      <w:r w:rsidRPr="00457A2A">
        <w:t>, 5</w:t>
      </w:r>
      <w:r w:rsidRPr="00457A2A">
        <w:rPr>
          <w:vertAlign w:val="superscript"/>
        </w:rPr>
        <w:t>e</w:t>
      </w:r>
      <w:r w:rsidRPr="00457A2A">
        <w:t xml:space="preserve">, </w:t>
      </w:r>
      <w:r w:rsidR="00E2464C">
        <w:t>6</w:t>
      </w:r>
      <w:r w:rsidR="00E2464C" w:rsidRPr="00E2464C">
        <w:rPr>
          <w:vertAlign w:val="superscript"/>
        </w:rPr>
        <w:t>e</w:t>
      </w:r>
      <w:r w:rsidR="00E2464C">
        <w:t xml:space="preserve">, </w:t>
      </w:r>
      <w:r w:rsidRPr="00457A2A">
        <w:t>9</w:t>
      </w:r>
      <w:r w:rsidRPr="00457A2A">
        <w:rPr>
          <w:vertAlign w:val="superscript"/>
        </w:rPr>
        <w:t>e</w:t>
      </w:r>
      <w:r w:rsidRPr="00457A2A">
        <w:t>, 10</w:t>
      </w:r>
      <w:r w:rsidRPr="00457A2A">
        <w:rPr>
          <w:vertAlign w:val="superscript"/>
        </w:rPr>
        <w:t>e</w:t>
      </w:r>
      <w:r w:rsidRPr="00457A2A">
        <w:t xml:space="preserve"> et 11</w:t>
      </w:r>
      <w:r w:rsidRPr="00457A2A">
        <w:rPr>
          <w:vertAlign w:val="superscript"/>
        </w:rPr>
        <w:t>e</w:t>
      </w:r>
      <w:r w:rsidRPr="00457A2A">
        <w:t xml:space="preserve"> alinéas de l’article 31 de l’arrêté du 2 février 1998 susvisé s’appliquent.</w:t>
      </w:r>
    </w:p>
    <w:p w14:paraId="2B2ADFCF" w14:textId="152BA4FC" w:rsidR="00457A2A" w:rsidRDefault="00457A2A" w:rsidP="002B0DC1">
      <w:pPr>
        <w:spacing w:after="240"/>
        <w:rPr>
          <w:shd w:val="clear" w:color="auto" w:fill="FFFFFF"/>
        </w:rPr>
      </w:pPr>
      <w:r w:rsidRPr="00457A2A">
        <w:rPr>
          <w:lang w:eastAsia="fr-FR"/>
        </w:rPr>
        <w:t>« </w:t>
      </w:r>
      <w:r w:rsidRPr="002B0DC1">
        <w:rPr>
          <w:lang w:eastAsia="fr-FR"/>
        </w:rPr>
        <w:t xml:space="preserve">II. - </w:t>
      </w:r>
      <w:r w:rsidRPr="002B0DC1">
        <w:t>Dans le cas d'un refroidissement en circuit ouvert ou semi-ouvert, le préfet peut autoriser, pour le rejet de ces eaux, une limite supérieure de pH plus élevée, en fonction de la conception des circuits et des conditions locales, notamment du pH du milieu naturel. ».</w:t>
      </w:r>
    </w:p>
    <w:p w14:paraId="529F69A5" w14:textId="77777777" w:rsidR="00457A2A" w:rsidRDefault="00457A2A" w:rsidP="002B0DC1"/>
    <w:p w14:paraId="6D53A930" w14:textId="149627BA" w:rsidR="00936417" w:rsidRPr="001E47C8" w:rsidRDefault="00936417" w:rsidP="00936417">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53</w:t>
      </w:r>
      <w:r w:rsidRPr="001E47C8">
        <w:rPr>
          <w:b/>
          <w:bCs/>
          <w:i/>
          <w:iCs/>
        </w:rPr>
        <w:fldChar w:fldCharType="end"/>
      </w:r>
    </w:p>
    <w:p w14:paraId="1E8AD09E" w14:textId="77777777" w:rsidR="00457A2A" w:rsidRDefault="00457A2A" w:rsidP="00457A2A">
      <w:pPr>
        <w:jc w:val="both"/>
      </w:pPr>
    </w:p>
    <w:p w14:paraId="0C3C52A2" w14:textId="08FB1BF5" w:rsidR="00457A2A" w:rsidRPr="00BF13B7" w:rsidRDefault="00457A2A" w:rsidP="00457A2A">
      <w:pPr>
        <w:jc w:val="both"/>
      </w:pPr>
      <w:r w:rsidRPr="00BF13B7">
        <w:t>L’article 4</w:t>
      </w:r>
      <w:r>
        <w:t>6</w:t>
      </w:r>
      <w:r w:rsidRPr="00BF13B7">
        <w:t xml:space="preserve"> de l’arrêté susvisé est ainsi modifié :</w:t>
      </w:r>
    </w:p>
    <w:p w14:paraId="013AD2F1" w14:textId="77777777" w:rsidR="00457A2A" w:rsidRPr="00BF13B7" w:rsidRDefault="00457A2A" w:rsidP="00457A2A">
      <w:pPr>
        <w:jc w:val="both"/>
      </w:pPr>
    </w:p>
    <w:p w14:paraId="48BB22F8" w14:textId="52729AB0" w:rsidR="00457A2A" w:rsidRDefault="00E2464C" w:rsidP="00457A2A">
      <w:pPr>
        <w:shd w:val="clear" w:color="auto" w:fill="FFFFFF"/>
        <w:spacing w:after="240"/>
        <w:jc w:val="both"/>
      </w:pPr>
      <w:r>
        <w:t>1°</w:t>
      </w:r>
      <w:r w:rsidR="00457A2A" w:rsidRPr="00457A2A">
        <w:t xml:space="preserve"> </w:t>
      </w:r>
      <w:r w:rsidR="008347B2">
        <w:t xml:space="preserve">Un </w:t>
      </w:r>
      <w:r w:rsidR="008347B2" w:rsidRPr="00457A2A">
        <w:t xml:space="preserve">alinéa </w:t>
      </w:r>
      <w:r w:rsidR="00457A2A" w:rsidRPr="00457A2A">
        <w:t>« </w:t>
      </w:r>
      <w:r w:rsidR="00457A2A">
        <w:t>Valeurs limites d’émission dans l’eau</w:t>
      </w:r>
      <w:r w:rsidR="00457A2A" w:rsidRPr="00457A2A">
        <w:t xml:space="preserve"> </w:t>
      </w:r>
      <w:r w:rsidR="00457A2A" w:rsidRPr="00457A2A">
        <w:rPr>
          <w:lang w:eastAsia="fr-FR"/>
        </w:rPr>
        <w:t>»</w:t>
      </w:r>
      <w:r w:rsidR="00457A2A" w:rsidRPr="00457A2A">
        <w:t xml:space="preserve"> est inséré avant le premier alinéa.</w:t>
      </w:r>
    </w:p>
    <w:p w14:paraId="20AEFAA9" w14:textId="1B0E7D29" w:rsidR="00035F9C" w:rsidRDefault="00E2464C" w:rsidP="00457A2A">
      <w:pPr>
        <w:shd w:val="clear" w:color="auto" w:fill="FFFFFF"/>
        <w:spacing w:after="240"/>
        <w:jc w:val="both"/>
      </w:pPr>
      <w:r>
        <w:t>2°</w:t>
      </w:r>
      <w:r w:rsidR="00457A2A">
        <w:t xml:space="preserve"> </w:t>
      </w:r>
      <w:r w:rsidR="00035F9C">
        <w:t>Le</w:t>
      </w:r>
      <w:r w:rsidR="00457A2A">
        <w:t xml:space="preserve"> premier alinéa</w:t>
      </w:r>
      <w:r w:rsidR="00035F9C">
        <w:t xml:space="preserve"> est modifié comme suit :</w:t>
      </w:r>
    </w:p>
    <w:p w14:paraId="291625E2" w14:textId="6FEE2A6D" w:rsidR="00035F9C" w:rsidRPr="00035F9C" w:rsidRDefault="00457A2A" w:rsidP="00035F9C">
      <w:pPr>
        <w:pStyle w:val="Paragraphedeliste"/>
        <w:numPr>
          <w:ilvl w:val="0"/>
          <w:numId w:val="28"/>
        </w:numPr>
        <w:shd w:val="clear" w:color="auto" w:fill="FFFFFF"/>
        <w:spacing w:after="0" w:line="240" w:lineRule="auto"/>
        <w:ind w:left="714" w:hanging="357"/>
        <w:jc w:val="both"/>
        <w:rPr>
          <w:rFonts w:ascii="Times New Roman" w:hAnsi="Times New Roman"/>
          <w:sz w:val="24"/>
          <w:szCs w:val="24"/>
        </w:rPr>
      </w:pPr>
      <w:proofErr w:type="gramStart"/>
      <w:r w:rsidRPr="00035F9C">
        <w:rPr>
          <w:rFonts w:ascii="Times New Roman" w:hAnsi="Times New Roman"/>
          <w:sz w:val="24"/>
          <w:szCs w:val="24"/>
        </w:rPr>
        <w:t>les</w:t>
      </w:r>
      <w:proofErr w:type="gramEnd"/>
      <w:r w:rsidRPr="00035F9C">
        <w:rPr>
          <w:rFonts w:ascii="Times New Roman" w:hAnsi="Times New Roman"/>
          <w:sz w:val="24"/>
          <w:szCs w:val="24"/>
        </w:rPr>
        <w:t xml:space="preserve"> mots : « sans préjudice des dispositions de l’article 43-I » sont remplacés par les mots « Sans préjudice des dispositions du I de l’article 43 »</w:t>
      </w:r>
      <w:r w:rsidR="00035F9C" w:rsidRPr="00035F9C">
        <w:rPr>
          <w:rFonts w:ascii="Times New Roman" w:hAnsi="Times New Roman"/>
          <w:sz w:val="24"/>
          <w:szCs w:val="24"/>
        </w:rPr>
        <w:t> ;</w:t>
      </w:r>
    </w:p>
    <w:p w14:paraId="65EE68FD" w14:textId="6F735660" w:rsidR="00035F9C" w:rsidRDefault="00035F9C" w:rsidP="00035F9C">
      <w:pPr>
        <w:pStyle w:val="Paragraphedeliste"/>
        <w:numPr>
          <w:ilvl w:val="0"/>
          <w:numId w:val="28"/>
        </w:numPr>
        <w:shd w:val="clear" w:color="auto" w:fill="FFFFFF"/>
        <w:spacing w:after="0" w:line="240" w:lineRule="auto"/>
        <w:ind w:left="714" w:hanging="357"/>
        <w:jc w:val="both"/>
        <w:rPr>
          <w:rFonts w:ascii="Times New Roman" w:hAnsi="Times New Roman"/>
          <w:sz w:val="24"/>
          <w:szCs w:val="24"/>
        </w:rPr>
      </w:pPr>
      <w:proofErr w:type="gramStart"/>
      <w:r w:rsidRPr="00035F9C">
        <w:rPr>
          <w:rFonts w:ascii="Times New Roman" w:hAnsi="Times New Roman"/>
          <w:sz w:val="24"/>
          <w:szCs w:val="24"/>
        </w:rPr>
        <w:t>après</w:t>
      </w:r>
      <w:proofErr w:type="gramEnd"/>
      <w:r w:rsidRPr="00035F9C">
        <w:rPr>
          <w:rFonts w:ascii="Times New Roman" w:hAnsi="Times New Roman"/>
          <w:sz w:val="24"/>
          <w:szCs w:val="24"/>
        </w:rPr>
        <w:t xml:space="preserve"> les mots</w:t>
      </w:r>
      <w:r w:rsidR="00470DE5">
        <w:rPr>
          <w:rFonts w:ascii="Times New Roman" w:hAnsi="Times New Roman"/>
          <w:sz w:val="24"/>
          <w:szCs w:val="24"/>
        </w:rPr>
        <w:t xml:space="preserve"> : </w:t>
      </w:r>
      <w:r w:rsidRPr="00035F9C">
        <w:rPr>
          <w:rFonts w:ascii="Times New Roman" w:hAnsi="Times New Roman"/>
          <w:sz w:val="24"/>
          <w:szCs w:val="24"/>
        </w:rPr>
        <w:t>« ne peut être évitée, » sont insérés </w:t>
      </w:r>
      <w:r w:rsidR="008347B2">
        <w:rPr>
          <w:rFonts w:ascii="Times New Roman" w:hAnsi="Times New Roman"/>
          <w:sz w:val="24"/>
          <w:szCs w:val="24"/>
        </w:rPr>
        <w:t xml:space="preserve">les mots </w:t>
      </w:r>
      <w:r w:rsidRPr="00035F9C">
        <w:rPr>
          <w:rFonts w:ascii="Times New Roman" w:hAnsi="Times New Roman"/>
          <w:sz w:val="24"/>
          <w:szCs w:val="24"/>
        </w:rPr>
        <w:t>: « l’exploitant respecte »</w:t>
      </w:r>
      <w:r w:rsidR="00470DE5">
        <w:rPr>
          <w:rFonts w:ascii="Times New Roman" w:hAnsi="Times New Roman"/>
          <w:sz w:val="24"/>
          <w:szCs w:val="24"/>
        </w:rPr>
        <w:t> ;</w:t>
      </w:r>
    </w:p>
    <w:p w14:paraId="40838AF6" w14:textId="7AA3AE85" w:rsidR="00470DE5" w:rsidRDefault="00470DE5" w:rsidP="00035F9C">
      <w:pPr>
        <w:pStyle w:val="Paragraphedeliste"/>
        <w:numPr>
          <w:ilvl w:val="0"/>
          <w:numId w:val="28"/>
        </w:numPr>
        <w:shd w:val="clear" w:color="auto" w:fill="FFFFFF"/>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les</w:t>
      </w:r>
      <w:proofErr w:type="gramEnd"/>
      <w:r>
        <w:rPr>
          <w:rFonts w:ascii="Times New Roman" w:hAnsi="Times New Roman"/>
          <w:sz w:val="24"/>
          <w:szCs w:val="24"/>
        </w:rPr>
        <w:t xml:space="preserve"> mots : « sont respectées » sont supprimés.</w:t>
      </w:r>
    </w:p>
    <w:p w14:paraId="1871431D" w14:textId="77777777" w:rsidR="00035F9C" w:rsidRPr="00035F9C" w:rsidRDefault="00035F9C" w:rsidP="00035F9C">
      <w:pPr>
        <w:pStyle w:val="Paragraphedeliste"/>
        <w:shd w:val="clear" w:color="auto" w:fill="FFFFFF"/>
        <w:spacing w:after="0" w:line="240" w:lineRule="auto"/>
        <w:ind w:left="714"/>
        <w:jc w:val="both"/>
        <w:rPr>
          <w:rFonts w:ascii="Times New Roman" w:hAnsi="Times New Roman"/>
          <w:sz w:val="24"/>
          <w:szCs w:val="24"/>
        </w:rPr>
      </w:pPr>
    </w:p>
    <w:p w14:paraId="7BE6011E" w14:textId="49FB9BCE" w:rsidR="00457A2A" w:rsidRPr="00457A2A" w:rsidRDefault="00E2464C" w:rsidP="00457A2A">
      <w:pPr>
        <w:shd w:val="clear" w:color="auto" w:fill="FFFFFF"/>
        <w:spacing w:after="240"/>
        <w:jc w:val="both"/>
      </w:pPr>
      <w:r>
        <w:t>3°</w:t>
      </w:r>
      <w:r w:rsidR="00457A2A" w:rsidRPr="00457A2A">
        <w:t xml:space="preserve"> </w:t>
      </w:r>
      <w:r w:rsidR="008347B2">
        <w:t>Après le premier alinéa est inséré l</w:t>
      </w:r>
      <w:r w:rsidR="00457A2A" w:rsidRPr="00457A2A">
        <w:t>’alinéa suivant</w:t>
      </w:r>
      <w:r w:rsidR="008347B2">
        <w:t xml:space="preserve"> </w:t>
      </w:r>
      <w:r w:rsidR="00457A2A" w:rsidRPr="00457A2A">
        <w:t>:</w:t>
      </w:r>
    </w:p>
    <w:p w14:paraId="1BC0FF53" w14:textId="6F23429B" w:rsidR="00457A2A" w:rsidRDefault="00457A2A" w:rsidP="00457A2A">
      <w:pPr>
        <w:shd w:val="clear" w:color="auto" w:fill="FFFFFF"/>
        <w:spacing w:after="240"/>
        <w:jc w:val="both"/>
        <w:rPr>
          <w:color w:val="000000"/>
          <w:lang w:eastAsia="fr-FR"/>
        </w:rPr>
      </w:pPr>
      <w:r w:rsidRPr="00457A2A">
        <w:t>« </w:t>
      </w:r>
      <w:r w:rsidR="005E3A43" w:rsidRPr="005E3A43">
        <w:rPr>
          <w:color w:val="000000"/>
          <w:lang w:eastAsia="fr-FR"/>
        </w:rPr>
        <w:t xml:space="preserve">Pour les appareils (chaudières, turbines, moteurs) de puissance thermique nominale supérieure ou égale à 15 MW, rejetant des eaux issues du traitement des fumées, les valeurs limites ci-dessous de la colonne « Eaux issues du traitement des fumées pour les appareils de puissance thermique nominale supérieure ou égale à 15 MW » s’appliquent dans les délais mentionnés </w:t>
      </w:r>
      <w:r w:rsidR="00D9011B">
        <w:rPr>
          <w:color w:val="000000"/>
          <w:lang w:eastAsia="fr-FR"/>
        </w:rPr>
        <w:t>au VII de l’article 3</w:t>
      </w:r>
      <w:r w:rsidR="005E3A43" w:rsidRPr="005E3A43">
        <w:rPr>
          <w:color w:val="000000"/>
          <w:lang w:eastAsia="fr-FR"/>
        </w:rPr>
        <w:t xml:space="preserve"> du présent arrêté</w:t>
      </w:r>
      <w:r w:rsidRPr="00457A2A">
        <w:rPr>
          <w:color w:val="000000"/>
          <w:lang w:eastAsia="fr-FR"/>
        </w:rPr>
        <w:t>. ».</w:t>
      </w:r>
    </w:p>
    <w:p w14:paraId="1F2BC884" w14:textId="6BFEA516" w:rsidR="00457A2A" w:rsidRDefault="00E2464C" w:rsidP="00457A2A">
      <w:pPr>
        <w:shd w:val="clear" w:color="auto" w:fill="FFFFFF"/>
        <w:spacing w:after="240"/>
        <w:jc w:val="both"/>
        <w:rPr>
          <w:color w:val="000000"/>
          <w:lang w:eastAsia="fr-FR"/>
        </w:rPr>
      </w:pPr>
      <w:r>
        <w:rPr>
          <w:color w:val="000000"/>
          <w:lang w:eastAsia="fr-FR"/>
        </w:rPr>
        <w:t>4°</w:t>
      </w:r>
      <w:r w:rsidR="00457A2A">
        <w:rPr>
          <w:color w:val="000000"/>
          <w:lang w:eastAsia="fr-FR"/>
        </w:rPr>
        <w:t xml:space="preserve"> Le tableau et les notes de bas de </w:t>
      </w:r>
      <w:proofErr w:type="gramStart"/>
      <w:r w:rsidR="00457A2A">
        <w:rPr>
          <w:color w:val="000000"/>
          <w:lang w:eastAsia="fr-FR"/>
        </w:rPr>
        <w:t>tableau présents</w:t>
      </w:r>
      <w:proofErr w:type="gramEnd"/>
      <w:r w:rsidR="00457A2A">
        <w:rPr>
          <w:color w:val="000000"/>
          <w:lang w:eastAsia="fr-FR"/>
        </w:rPr>
        <w:t xml:space="preserve"> après le premier alinéa sont remplacés par le tableau et les notes suivants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6"/>
        <w:gridCol w:w="1937"/>
        <w:gridCol w:w="1431"/>
        <w:gridCol w:w="1134"/>
        <w:gridCol w:w="1445"/>
        <w:gridCol w:w="1793"/>
      </w:tblGrid>
      <w:tr w:rsidR="001C1505" w:rsidRPr="00953C45" w14:paraId="317705AC" w14:textId="77777777" w:rsidTr="00C93BF9">
        <w:trPr>
          <w:jc w:val="center"/>
        </w:trPr>
        <w:tc>
          <w:tcPr>
            <w:tcW w:w="3253" w:type="dxa"/>
            <w:gridSpan w:val="2"/>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tcPr>
          <w:p w14:paraId="2CA0F7DB" w14:textId="07B9CECC" w:rsidR="001C1505" w:rsidRPr="001C1505" w:rsidRDefault="001C1505" w:rsidP="00647AD3">
            <w:pPr>
              <w:rPr>
                <w:b/>
                <w:bCs/>
                <w:color w:val="FFFFFF" w:themeColor="background1"/>
                <w:sz w:val="22"/>
                <w:szCs w:val="22"/>
                <w:lang w:eastAsia="fr-FR"/>
              </w:rPr>
            </w:pPr>
            <w:bookmarkStart w:id="37" w:name="_Hlk167815167"/>
            <w:r w:rsidRPr="001C1505">
              <w:rPr>
                <w:b/>
                <w:bCs/>
                <w:color w:val="FFFFFF" w:themeColor="background1"/>
                <w:sz w:val="22"/>
                <w:szCs w:val="22"/>
                <w:lang w:eastAsia="fr-FR"/>
              </w:rPr>
              <w:t>Substances / paramètres</w:t>
            </w:r>
          </w:p>
        </w:tc>
        <w:tc>
          <w:tcPr>
            <w:tcW w:w="1431" w:type="dxa"/>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tcPr>
          <w:p w14:paraId="36515A8F" w14:textId="3EA600A0" w:rsidR="001C1505" w:rsidRPr="00953C45" w:rsidRDefault="001C1505" w:rsidP="00647AD3">
            <w:pPr>
              <w:jc w:val="center"/>
              <w:rPr>
                <w:b/>
                <w:bCs/>
                <w:color w:val="FFFFFF"/>
                <w:sz w:val="21"/>
                <w:szCs w:val="21"/>
                <w:lang w:eastAsia="fr-FR"/>
              </w:rPr>
            </w:pPr>
            <w:r w:rsidRPr="00953C45">
              <w:rPr>
                <w:b/>
                <w:bCs/>
                <w:color w:val="FFFFFF"/>
                <w:sz w:val="21"/>
                <w:szCs w:val="21"/>
                <w:lang w:eastAsia="fr-FR"/>
              </w:rPr>
              <w:t>N° CAS</w:t>
            </w:r>
          </w:p>
        </w:tc>
        <w:tc>
          <w:tcPr>
            <w:tcW w:w="1134" w:type="dxa"/>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tcPr>
          <w:p w14:paraId="6A0BFD28" w14:textId="011D6139" w:rsidR="001C1505" w:rsidRPr="00953C45" w:rsidRDefault="001C1505" w:rsidP="00647AD3">
            <w:pPr>
              <w:jc w:val="center"/>
              <w:rPr>
                <w:b/>
                <w:bCs/>
                <w:color w:val="FFFFFF"/>
                <w:sz w:val="21"/>
                <w:szCs w:val="21"/>
                <w:lang w:eastAsia="fr-FR"/>
              </w:rPr>
            </w:pPr>
            <w:r w:rsidRPr="00953C45">
              <w:rPr>
                <w:b/>
                <w:bCs/>
                <w:color w:val="FFFFFF"/>
                <w:sz w:val="21"/>
                <w:szCs w:val="21"/>
                <w:lang w:eastAsia="fr-FR"/>
              </w:rPr>
              <w:t>Code SANDRE</w:t>
            </w:r>
          </w:p>
        </w:tc>
        <w:tc>
          <w:tcPr>
            <w:tcW w:w="1445" w:type="dxa"/>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tcPr>
          <w:p w14:paraId="68FBE63C" w14:textId="77777777" w:rsidR="001C1505" w:rsidRPr="00953C45" w:rsidRDefault="001C1505" w:rsidP="00647AD3">
            <w:pPr>
              <w:jc w:val="center"/>
              <w:rPr>
                <w:b/>
                <w:bCs/>
                <w:color w:val="FFFFFF"/>
                <w:sz w:val="21"/>
                <w:szCs w:val="21"/>
                <w:lang w:eastAsia="fr-FR"/>
              </w:rPr>
            </w:pPr>
            <w:r>
              <w:rPr>
                <w:b/>
                <w:bCs/>
                <w:color w:val="FFFFFF"/>
                <w:sz w:val="21"/>
                <w:szCs w:val="21"/>
                <w:lang w:eastAsia="fr-FR"/>
              </w:rPr>
              <w:t>Toutes installations</w:t>
            </w:r>
          </w:p>
        </w:tc>
        <w:tc>
          <w:tcPr>
            <w:tcW w:w="1793" w:type="dxa"/>
            <w:tcBorders>
              <w:top w:val="outset" w:sz="6" w:space="0" w:color="auto"/>
              <w:left w:val="outset" w:sz="6" w:space="0" w:color="auto"/>
              <w:bottom w:val="single" w:sz="6" w:space="0" w:color="D8D8D8"/>
              <w:right w:val="single" w:sz="6" w:space="0" w:color="D8D8D8"/>
            </w:tcBorders>
            <w:shd w:val="clear" w:color="auto" w:fill="5C75A2"/>
          </w:tcPr>
          <w:p w14:paraId="22BC6B8F" w14:textId="77777777" w:rsidR="001C1505" w:rsidRPr="00953C45" w:rsidRDefault="001C1505" w:rsidP="00647AD3">
            <w:pPr>
              <w:jc w:val="center"/>
              <w:rPr>
                <w:b/>
                <w:bCs/>
                <w:color w:val="FFFFFF"/>
                <w:sz w:val="21"/>
                <w:szCs w:val="21"/>
                <w:lang w:eastAsia="fr-FR"/>
              </w:rPr>
            </w:pPr>
            <w:r>
              <w:rPr>
                <w:b/>
                <w:bCs/>
                <w:color w:val="FFFFFF"/>
                <w:sz w:val="21"/>
                <w:szCs w:val="21"/>
                <w:lang w:eastAsia="fr-FR"/>
              </w:rPr>
              <w:t>Eaux issues du traitement des fumées pour les appareils de puissance thermique nominale ≥ 15 MW</w:t>
            </w:r>
          </w:p>
        </w:tc>
      </w:tr>
      <w:tr w:rsidR="001C1505" w:rsidRPr="00953C45" w14:paraId="6D182DB3" w14:textId="77777777" w:rsidTr="00C93BF9">
        <w:trPr>
          <w:jc w:val="center"/>
        </w:trPr>
        <w:tc>
          <w:tcPr>
            <w:tcW w:w="3253" w:type="dxa"/>
            <w:gridSpan w:val="2"/>
            <w:vMerge/>
            <w:tcBorders>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3E215E38" w14:textId="77777777" w:rsidR="001C1505" w:rsidRPr="00953C45" w:rsidRDefault="001C1505" w:rsidP="00647AD3">
            <w:pPr>
              <w:rPr>
                <w:rFonts w:ascii="Arial" w:hAnsi="Arial" w:cs="Arial"/>
                <w:color w:val="000000"/>
                <w:sz w:val="21"/>
                <w:szCs w:val="21"/>
                <w:lang w:eastAsia="fr-FR"/>
              </w:rPr>
            </w:pPr>
          </w:p>
        </w:tc>
        <w:tc>
          <w:tcPr>
            <w:tcW w:w="1431" w:type="dxa"/>
            <w:vMerge/>
            <w:tcBorders>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21284FCE" w14:textId="75EA7561" w:rsidR="001C1505" w:rsidRPr="00953C45" w:rsidRDefault="001C1505" w:rsidP="00647AD3">
            <w:pPr>
              <w:jc w:val="center"/>
              <w:rPr>
                <w:b/>
                <w:bCs/>
                <w:color w:val="FFFFFF"/>
                <w:sz w:val="21"/>
                <w:szCs w:val="21"/>
                <w:lang w:eastAsia="fr-FR"/>
              </w:rPr>
            </w:pPr>
          </w:p>
        </w:tc>
        <w:tc>
          <w:tcPr>
            <w:tcW w:w="1134" w:type="dxa"/>
            <w:vMerge/>
            <w:tcBorders>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228A53ED" w14:textId="14A7B6D2" w:rsidR="001C1505" w:rsidRPr="00953C45" w:rsidRDefault="001C1505" w:rsidP="00647AD3">
            <w:pPr>
              <w:jc w:val="center"/>
              <w:rPr>
                <w:b/>
                <w:bCs/>
                <w:color w:val="FFFFFF"/>
                <w:sz w:val="21"/>
                <w:szCs w:val="21"/>
                <w:lang w:eastAsia="fr-FR"/>
              </w:rPr>
            </w:pPr>
          </w:p>
        </w:tc>
        <w:tc>
          <w:tcPr>
            <w:tcW w:w="1445" w:type="dxa"/>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2FC26684" w14:textId="3FEEC596" w:rsidR="001C1505" w:rsidRPr="00953C45" w:rsidRDefault="001C1505" w:rsidP="00647AD3">
            <w:pPr>
              <w:jc w:val="center"/>
              <w:rPr>
                <w:b/>
                <w:bCs/>
                <w:color w:val="FFFFFF"/>
                <w:sz w:val="21"/>
                <w:szCs w:val="21"/>
                <w:lang w:eastAsia="fr-FR"/>
              </w:rPr>
            </w:pPr>
            <w:r w:rsidRPr="00953C45">
              <w:rPr>
                <w:b/>
                <w:bCs/>
                <w:color w:val="FFFFFF"/>
                <w:sz w:val="21"/>
                <w:szCs w:val="21"/>
                <w:lang w:eastAsia="fr-FR"/>
              </w:rPr>
              <w:t>Concentration (mg/</w:t>
            </w:r>
            <w:r w:rsidR="00E2464C">
              <w:rPr>
                <w:b/>
                <w:bCs/>
                <w:color w:val="FFFFFF"/>
                <w:sz w:val="21"/>
                <w:szCs w:val="21"/>
                <w:lang w:eastAsia="fr-FR"/>
              </w:rPr>
              <w:t>L</w:t>
            </w:r>
            <w:r w:rsidRPr="00953C45">
              <w:rPr>
                <w:b/>
                <w:bCs/>
                <w:color w:val="FFFFFF"/>
                <w:sz w:val="21"/>
                <w:szCs w:val="21"/>
                <w:lang w:eastAsia="fr-FR"/>
              </w:rPr>
              <w:t>)</w:t>
            </w:r>
          </w:p>
        </w:tc>
        <w:tc>
          <w:tcPr>
            <w:tcW w:w="1793" w:type="dxa"/>
            <w:tcBorders>
              <w:top w:val="outset" w:sz="6" w:space="0" w:color="auto"/>
              <w:left w:val="outset" w:sz="6" w:space="0" w:color="auto"/>
              <w:bottom w:val="single" w:sz="6" w:space="0" w:color="D8D8D8"/>
              <w:right w:val="single" w:sz="6" w:space="0" w:color="D8D8D8"/>
            </w:tcBorders>
            <w:shd w:val="clear" w:color="auto" w:fill="5C75A2"/>
          </w:tcPr>
          <w:p w14:paraId="4FE3B15D" w14:textId="28933399" w:rsidR="001C1505" w:rsidRPr="00953C45" w:rsidRDefault="001C1505" w:rsidP="00647AD3">
            <w:pPr>
              <w:jc w:val="center"/>
              <w:rPr>
                <w:b/>
                <w:bCs/>
                <w:color w:val="FFFFFF"/>
                <w:sz w:val="21"/>
                <w:szCs w:val="21"/>
                <w:lang w:eastAsia="fr-FR"/>
              </w:rPr>
            </w:pPr>
            <w:r w:rsidRPr="00953C45">
              <w:rPr>
                <w:b/>
                <w:bCs/>
                <w:color w:val="FFFFFF"/>
                <w:sz w:val="21"/>
                <w:szCs w:val="21"/>
                <w:lang w:eastAsia="fr-FR"/>
              </w:rPr>
              <w:t>Concentration (mg/</w:t>
            </w:r>
            <w:r w:rsidR="00E2464C">
              <w:rPr>
                <w:b/>
                <w:bCs/>
                <w:color w:val="FFFFFF"/>
                <w:sz w:val="21"/>
                <w:szCs w:val="21"/>
                <w:lang w:eastAsia="fr-FR"/>
              </w:rPr>
              <w:t>L</w:t>
            </w:r>
            <w:r w:rsidRPr="00953C45">
              <w:rPr>
                <w:b/>
                <w:bCs/>
                <w:color w:val="FFFFFF"/>
                <w:sz w:val="21"/>
                <w:szCs w:val="21"/>
                <w:lang w:eastAsia="fr-FR"/>
              </w:rPr>
              <w:t>)</w:t>
            </w:r>
            <w:r>
              <w:rPr>
                <w:b/>
                <w:bCs/>
                <w:color w:val="FFFFFF"/>
                <w:sz w:val="21"/>
                <w:szCs w:val="21"/>
                <w:lang w:eastAsia="fr-FR"/>
              </w:rPr>
              <w:t xml:space="preserve"> (2)(3)</w:t>
            </w:r>
          </w:p>
        </w:tc>
      </w:tr>
      <w:tr w:rsidR="001C1505" w:rsidRPr="00953C45" w14:paraId="2574EFF7"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tcPr>
          <w:p w14:paraId="539E21F7" w14:textId="77777777" w:rsidR="001C1505" w:rsidRPr="00953C45" w:rsidRDefault="001C1505" w:rsidP="00647AD3">
            <w:pPr>
              <w:rPr>
                <w:b/>
                <w:bCs/>
                <w:sz w:val="21"/>
                <w:szCs w:val="21"/>
                <w:lang w:eastAsia="fr-FR"/>
              </w:rPr>
            </w:pPr>
            <w:r w:rsidRPr="00953C45">
              <w:rPr>
                <w:b/>
                <w:bCs/>
                <w:sz w:val="21"/>
                <w:szCs w:val="21"/>
                <w:lang w:eastAsia="fr-FR"/>
              </w:rPr>
              <w:t>Azote global comprenant l'azote organique, l'azote ammoniacal, l'azote oxydé</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7489D6F8" w14:textId="77777777" w:rsidR="001C1505" w:rsidRPr="00953C45" w:rsidRDefault="001C1505" w:rsidP="00647AD3">
            <w:pPr>
              <w:jc w:val="center"/>
              <w:rPr>
                <w:b/>
                <w:bCs/>
                <w:sz w:val="21"/>
                <w:szCs w:val="21"/>
                <w:lang w:eastAsia="fr-FR"/>
              </w:rPr>
            </w:pPr>
            <w:r w:rsidRPr="00953C45">
              <w:rPr>
                <w:b/>
                <w:bCs/>
                <w:sz w:val="21"/>
                <w:szCs w:val="21"/>
                <w:lang w:eastAsia="fr-FR"/>
              </w:rPr>
              <w:t>-</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6708EAEB" w14:textId="77777777" w:rsidR="001C1505" w:rsidRPr="00953C45" w:rsidRDefault="001C1505" w:rsidP="00647AD3">
            <w:pPr>
              <w:jc w:val="center"/>
              <w:rPr>
                <w:b/>
                <w:bCs/>
                <w:sz w:val="21"/>
                <w:szCs w:val="21"/>
                <w:lang w:eastAsia="fr-FR"/>
              </w:rPr>
            </w:pPr>
            <w:r w:rsidRPr="00953C45">
              <w:rPr>
                <w:b/>
                <w:bCs/>
                <w:sz w:val="21"/>
                <w:szCs w:val="21"/>
                <w:lang w:eastAsia="fr-FR"/>
              </w:rPr>
              <w:t>1551</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5C2918E7" w14:textId="77777777" w:rsidR="001C1505" w:rsidRDefault="001C1505" w:rsidP="00647AD3">
            <w:pPr>
              <w:jc w:val="center"/>
              <w:rPr>
                <w:b/>
                <w:bCs/>
                <w:sz w:val="21"/>
                <w:szCs w:val="21"/>
                <w:lang w:eastAsia="fr-FR"/>
              </w:rPr>
            </w:pPr>
            <w:r w:rsidRPr="00953C45">
              <w:rPr>
                <w:b/>
                <w:bCs/>
                <w:sz w:val="21"/>
                <w:szCs w:val="21"/>
                <w:lang w:eastAsia="fr-FR"/>
              </w:rPr>
              <w:t>30</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2FAD4676" w14:textId="77777777" w:rsidR="001C1505" w:rsidRDefault="001C1505" w:rsidP="00647AD3">
            <w:pPr>
              <w:jc w:val="center"/>
              <w:rPr>
                <w:b/>
                <w:bCs/>
                <w:sz w:val="21"/>
                <w:szCs w:val="21"/>
                <w:lang w:eastAsia="fr-FR"/>
              </w:rPr>
            </w:pPr>
            <w:r>
              <w:rPr>
                <w:b/>
                <w:bCs/>
                <w:sz w:val="21"/>
                <w:szCs w:val="21"/>
                <w:lang w:eastAsia="fr-FR"/>
              </w:rPr>
              <w:t>30</w:t>
            </w:r>
          </w:p>
        </w:tc>
      </w:tr>
      <w:tr w:rsidR="001C1505" w:rsidRPr="00953C45" w14:paraId="5BFC75CD"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tcPr>
          <w:p w14:paraId="12269B11" w14:textId="77777777" w:rsidR="001C1505" w:rsidRPr="00953C45" w:rsidRDefault="001C1505" w:rsidP="00647AD3">
            <w:pPr>
              <w:rPr>
                <w:b/>
                <w:bCs/>
                <w:sz w:val="21"/>
                <w:szCs w:val="21"/>
                <w:lang w:eastAsia="fr-FR"/>
              </w:rPr>
            </w:pPr>
            <w:r w:rsidRPr="00953C45">
              <w:rPr>
                <w:b/>
                <w:bCs/>
                <w:sz w:val="21"/>
                <w:szCs w:val="21"/>
                <w:lang w:eastAsia="fr-FR"/>
              </w:rPr>
              <w:t>Composés organiques halogénés (en AOX ou EOX) ou halogènes des composés organiques absorbables (AOX) (1)</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6E17A7D3" w14:textId="77777777" w:rsidR="001C1505" w:rsidRPr="00953C45" w:rsidRDefault="001C1505" w:rsidP="00647AD3">
            <w:pPr>
              <w:jc w:val="center"/>
              <w:rPr>
                <w:b/>
                <w:bCs/>
                <w:sz w:val="21"/>
                <w:szCs w:val="21"/>
                <w:lang w:eastAsia="fr-FR"/>
              </w:rPr>
            </w:pPr>
            <w:r w:rsidRPr="00953C45">
              <w:rPr>
                <w:b/>
                <w:bCs/>
                <w:sz w:val="21"/>
                <w:szCs w:val="21"/>
                <w:lang w:eastAsia="fr-FR"/>
              </w:rPr>
              <w:t>-</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1C8E42E4" w14:textId="77777777" w:rsidR="001C1505" w:rsidRPr="00953C45" w:rsidRDefault="001C1505" w:rsidP="00647AD3">
            <w:pPr>
              <w:jc w:val="center"/>
              <w:rPr>
                <w:b/>
                <w:bCs/>
                <w:sz w:val="21"/>
                <w:szCs w:val="21"/>
                <w:lang w:eastAsia="fr-FR"/>
              </w:rPr>
            </w:pPr>
            <w:r w:rsidRPr="00953C45">
              <w:rPr>
                <w:b/>
                <w:bCs/>
                <w:sz w:val="21"/>
                <w:szCs w:val="21"/>
                <w:lang w:eastAsia="fr-FR"/>
              </w:rPr>
              <w:t>1106 (AOX)</w:t>
            </w:r>
            <w:r w:rsidRPr="00953C45">
              <w:rPr>
                <w:b/>
                <w:bCs/>
                <w:sz w:val="21"/>
                <w:szCs w:val="21"/>
                <w:lang w:eastAsia="fr-FR"/>
              </w:rPr>
              <w:br/>
              <w:t>1760 (EOX)</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18A8D469" w14:textId="77777777" w:rsidR="001C1505" w:rsidRDefault="001C1505" w:rsidP="00647AD3">
            <w:pPr>
              <w:jc w:val="center"/>
              <w:rPr>
                <w:b/>
                <w:bCs/>
                <w:sz w:val="21"/>
                <w:szCs w:val="21"/>
                <w:lang w:eastAsia="fr-FR"/>
              </w:rPr>
            </w:pPr>
            <w:r w:rsidRPr="00953C45">
              <w:rPr>
                <w:b/>
                <w:bCs/>
                <w:sz w:val="21"/>
                <w:szCs w:val="21"/>
                <w:lang w:eastAsia="fr-FR"/>
              </w:rPr>
              <w:t>0,5</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1FE980BC" w14:textId="77777777" w:rsidR="001C1505" w:rsidRDefault="001C1505" w:rsidP="00647AD3">
            <w:pPr>
              <w:jc w:val="center"/>
              <w:rPr>
                <w:b/>
                <w:bCs/>
                <w:sz w:val="21"/>
                <w:szCs w:val="21"/>
                <w:lang w:eastAsia="fr-FR"/>
              </w:rPr>
            </w:pPr>
            <w:r>
              <w:rPr>
                <w:b/>
                <w:bCs/>
                <w:sz w:val="21"/>
                <w:szCs w:val="21"/>
                <w:lang w:eastAsia="fr-FR"/>
              </w:rPr>
              <w:t>0,5</w:t>
            </w:r>
          </w:p>
        </w:tc>
      </w:tr>
      <w:tr w:rsidR="001C1505" w:rsidRPr="00953C45" w14:paraId="1C484032"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tcPr>
          <w:p w14:paraId="7F401A94" w14:textId="6592AC70" w:rsidR="001C1505" w:rsidRPr="00953C45" w:rsidRDefault="001C1505" w:rsidP="00647AD3">
            <w:pPr>
              <w:rPr>
                <w:b/>
                <w:bCs/>
                <w:sz w:val="21"/>
                <w:szCs w:val="21"/>
                <w:lang w:eastAsia="fr-FR"/>
              </w:rPr>
            </w:pPr>
            <w:r w:rsidRPr="00953C45">
              <w:rPr>
                <w:b/>
                <w:bCs/>
                <w:sz w:val="21"/>
                <w:szCs w:val="21"/>
                <w:lang w:eastAsia="fr-FR"/>
              </w:rPr>
              <w:t xml:space="preserve">Demande </w:t>
            </w:r>
            <w:r w:rsidR="00E2464C">
              <w:rPr>
                <w:b/>
                <w:bCs/>
                <w:sz w:val="21"/>
                <w:szCs w:val="21"/>
                <w:lang w:eastAsia="fr-FR"/>
              </w:rPr>
              <w:t>c</w:t>
            </w:r>
            <w:r w:rsidRPr="00953C45">
              <w:rPr>
                <w:b/>
                <w:bCs/>
                <w:sz w:val="21"/>
                <w:szCs w:val="21"/>
                <w:lang w:eastAsia="fr-FR"/>
              </w:rPr>
              <w:t xml:space="preserve">himique en </w:t>
            </w:r>
            <w:r w:rsidR="00E2464C">
              <w:rPr>
                <w:b/>
                <w:bCs/>
                <w:sz w:val="21"/>
                <w:szCs w:val="21"/>
                <w:lang w:eastAsia="fr-FR"/>
              </w:rPr>
              <w:t>o</w:t>
            </w:r>
            <w:r w:rsidRPr="00953C45">
              <w:rPr>
                <w:b/>
                <w:bCs/>
                <w:sz w:val="21"/>
                <w:szCs w:val="21"/>
                <w:lang w:eastAsia="fr-FR"/>
              </w:rPr>
              <w:t>xygène (DCO)</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59488930" w14:textId="77777777" w:rsidR="001C1505" w:rsidRPr="00953C45" w:rsidRDefault="001C1505" w:rsidP="00647AD3">
            <w:pPr>
              <w:jc w:val="center"/>
              <w:rPr>
                <w:b/>
                <w:bCs/>
                <w:sz w:val="21"/>
                <w:szCs w:val="21"/>
                <w:lang w:eastAsia="fr-FR"/>
              </w:rPr>
            </w:pPr>
            <w:r w:rsidRPr="00953C45">
              <w:rPr>
                <w:b/>
                <w:bCs/>
                <w:sz w:val="21"/>
                <w:szCs w:val="21"/>
                <w:lang w:eastAsia="fr-FR"/>
              </w:rPr>
              <w:t>-</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4EC3E628" w14:textId="77777777" w:rsidR="001C1505" w:rsidRPr="00953C45" w:rsidRDefault="001C1505" w:rsidP="00647AD3">
            <w:pPr>
              <w:jc w:val="center"/>
              <w:rPr>
                <w:b/>
                <w:bCs/>
                <w:sz w:val="21"/>
                <w:szCs w:val="21"/>
                <w:lang w:eastAsia="fr-FR"/>
              </w:rPr>
            </w:pPr>
            <w:r w:rsidRPr="00953C45">
              <w:rPr>
                <w:b/>
                <w:bCs/>
                <w:sz w:val="21"/>
                <w:szCs w:val="21"/>
                <w:lang w:eastAsia="fr-FR"/>
              </w:rPr>
              <w:t>1314</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4C615FB4" w14:textId="77777777" w:rsidR="001C1505" w:rsidRPr="00953C45" w:rsidRDefault="001C1505" w:rsidP="00647AD3">
            <w:pPr>
              <w:jc w:val="center"/>
              <w:rPr>
                <w:b/>
                <w:bCs/>
                <w:sz w:val="21"/>
                <w:szCs w:val="21"/>
                <w:lang w:eastAsia="fr-FR"/>
              </w:rPr>
            </w:pPr>
            <w:r w:rsidRPr="00953C45">
              <w:rPr>
                <w:b/>
                <w:bCs/>
                <w:sz w:val="21"/>
                <w:szCs w:val="21"/>
                <w:lang w:eastAsia="fr-FR"/>
              </w:rPr>
              <w:t>125</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4EA147B1" w14:textId="77777777" w:rsidR="001C1505" w:rsidRDefault="001C1505" w:rsidP="00647AD3">
            <w:pPr>
              <w:jc w:val="center"/>
              <w:rPr>
                <w:b/>
                <w:bCs/>
                <w:sz w:val="21"/>
                <w:szCs w:val="21"/>
                <w:lang w:eastAsia="fr-FR"/>
              </w:rPr>
            </w:pPr>
            <w:r>
              <w:rPr>
                <w:b/>
                <w:bCs/>
                <w:sz w:val="21"/>
                <w:szCs w:val="21"/>
                <w:lang w:eastAsia="fr-FR"/>
              </w:rPr>
              <w:t>125</w:t>
            </w:r>
          </w:p>
        </w:tc>
      </w:tr>
      <w:tr w:rsidR="001C1505" w:rsidRPr="00953C45" w14:paraId="45676A2A"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tcPr>
          <w:p w14:paraId="1AD39169" w14:textId="77777777" w:rsidR="001C1505" w:rsidRPr="00953C45" w:rsidRDefault="001C1505" w:rsidP="00647AD3">
            <w:pPr>
              <w:rPr>
                <w:b/>
                <w:bCs/>
                <w:sz w:val="21"/>
                <w:szCs w:val="21"/>
                <w:lang w:eastAsia="fr-FR"/>
              </w:rPr>
            </w:pPr>
            <w:r w:rsidRPr="00953C45">
              <w:rPr>
                <w:b/>
                <w:bCs/>
                <w:sz w:val="21"/>
                <w:szCs w:val="21"/>
                <w:lang w:eastAsia="fr-FR"/>
              </w:rPr>
              <w:t>Hydrocarbures totaux</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417E3B6B" w14:textId="77777777" w:rsidR="001C1505" w:rsidRPr="00953C45" w:rsidRDefault="001C1505" w:rsidP="00647AD3">
            <w:pPr>
              <w:jc w:val="center"/>
              <w:rPr>
                <w:b/>
                <w:bCs/>
                <w:sz w:val="21"/>
                <w:szCs w:val="21"/>
                <w:lang w:eastAsia="fr-FR"/>
              </w:rPr>
            </w:pPr>
            <w:r w:rsidRPr="00953C45">
              <w:rPr>
                <w:b/>
                <w:bCs/>
                <w:sz w:val="21"/>
                <w:szCs w:val="21"/>
                <w:lang w:eastAsia="fr-FR"/>
              </w:rPr>
              <w:t>-</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22BA3C48" w14:textId="77777777" w:rsidR="001C1505" w:rsidRPr="00953C45" w:rsidRDefault="001C1505" w:rsidP="00647AD3">
            <w:pPr>
              <w:jc w:val="center"/>
              <w:rPr>
                <w:b/>
                <w:bCs/>
                <w:sz w:val="21"/>
                <w:szCs w:val="21"/>
                <w:lang w:eastAsia="fr-FR"/>
              </w:rPr>
            </w:pPr>
            <w:r w:rsidRPr="00953C45">
              <w:rPr>
                <w:b/>
                <w:bCs/>
                <w:sz w:val="21"/>
                <w:szCs w:val="21"/>
                <w:lang w:eastAsia="fr-FR"/>
              </w:rPr>
              <w:t>7009</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5DA769C6" w14:textId="77777777" w:rsidR="001C1505" w:rsidRDefault="001C1505" w:rsidP="00647AD3">
            <w:pPr>
              <w:jc w:val="center"/>
              <w:rPr>
                <w:b/>
                <w:bCs/>
                <w:sz w:val="21"/>
                <w:szCs w:val="21"/>
                <w:lang w:eastAsia="fr-FR"/>
              </w:rPr>
            </w:pPr>
            <w:r w:rsidRPr="00953C45">
              <w:rPr>
                <w:b/>
                <w:bCs/>
                <w:sz w:val="21"/>
                <w:szCs w:val="21"/>
                <w:lang w:eastAsia="fr-FR"/>
              </w:rPr>
              <w:t>10</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7A91C60A" w14:textId="77777777" w:rsidR="001C1505" w:rsidRDefault="001C1505" w:rsidP="00647AD3">
            <w:pPr>
              <w:jc w:val="center"/>
              <w:rPr>
                <w:b/>
                <w:bCs/>
                <w:sz w:val="21"/>
                <w:szCs w:val="21"/>
                <w:lang w:eastAsia="fr-FR"/>
              </w:rPr>
            </w:pPr>
            <w:r>
              <w:rPr>
                <w:b/>
                <w:bCs/>
                <w:sz w:val="21"/>
                <w:szCs w:val="21"/>
                <w:lang w:eastAsia="fr-FR"/>
              </w:rPr>
              <w:t>10</w:t>
            </w:r>
          </w:p>
        </w:tc>
      </w:tr>
      <w:tr w:rsidR="001C1505" w:rsidRPr="00953C45" w14:paraId="162C6064"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tcPr>
          <w:p w14:paraId="2B60A2E7" w14:textId="77777777" w:rsidR="001C1505" w:rsidRPr="00953C45" w:rsidRDefault="001C1505" w:rsidP="00647AD3">
            <w:pPr>
              <w:rPr>
                <w:b/>
                <w:bCs/>
                <w:sz w:val="21"/>
                <w:szCs w:val="21"/>
                <w:lang w:eastAsia="fr-FR"/>
              </w:rPr>
            </w:pPr>
            <w:r w:rsidRPr="00953C45">
              <w:rPr>
                <w:b/>
                <w:bCs/>
                <w:sz w:val="21"/>
                <w:szCs w:val="21"/>
                <w:lang w:eastAsia="fr-FR"/>
              </w:rPr>
              <w:t>Ion fluorures (en F-)</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355642FF" w14:textId="77777777" w:rsidR="001C1505" w:rsidRPr="00953C45" w:rsidRDefault="001C1505" w:rsidP="00647AD3">
            <w:pPr>
              <w:jc w:val="center"/>
              <w:rPr>
                <w:b/>
                <w:bCs/>
                <w:sz w:val="21"/>
                <w:szCs w:val="21"/>
                <w:lang w:eastAsia="fr-FR"/>
              </w:rPr>
            </w:pPr>
            <w:r w:rsidRPr="00953C45">
              <w:rPr>
                <w:b/>
                <w:bCs/>
                <w:sz w:val="21"/>
                <w:szCs w:val="21"/>
                <w:lang w:eastAsia="fr-FR"/>
              </w:rPr>
              <w:t>16984-48-8</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49550AA0" w14:textId="77777777" w:rsidR="001C1505" w:rsidRPr="00953C45" w:rsidRDefault="001C1505" w:rsidP="00647AD3">
            <w:pPr>
              <w:jc w:val="center"/>
              <w:rPr>
                <w:b/>
                <w:bCs/>
                <w:sz w:val="21"/>
                <w:szCs w:val="21"/>
                <w:lang w:eastAsia="fr-FR"/>
              </w:rPr>
            </w:pPr>
            <w:r w:rsidRPr="00953C45">
              <w:rPr>
                <w:b/>
                <w:bCs/>
                <w:sz w:val="21"/>
                <w:szCs w:val="21"/>
                <w:lang w:eastAsia="fr-FR"/>
              </w:rPr>
              <w:t>7073</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5E857BBB" w14:textId="77777777" w:rsidR="001C1505" w:rsidRPr="00953C45" w:rsidRDefault="001C1505" w:rsidP="00647AD3">
            <w:pPr>
              <w:jc w:val="center"/>
              <w:rPr>
                <w:b/>
                <w:bCs/>
                <w:sz w:val="21"/>
                <w:szCs w:val="21"/>
                <w:lang w:eastAsia="fr-FR"/>
              </w:rPr>
            </w:pPr>
            <w:r w:rsidRPr="00953C45">
              <w:rPr>
                <w:b/>
                <w:bCs/>
                <w:sz w:val="21"/>
                <w:szCs w:val="21"/>
                <w:lang w:eastAsia="fr-FR"/>
              </w:rPr>
              <w:t>30</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41E8AC72" w14:textId="77777777" w:rsidR="001C1505" w:rsidRDefault="001C1505" w:rsidP="00647AD3">
            <w:pPr>
              <w:jc w:val="center"/>
              <w:rPr>
                <w:b/>
                <w:bCs/>
                <w:sz w:val="21"/>
                <w:szCs w:val="21"/>
                <w:lang w:eastAsia="fr-FR"/>
              </w:rPr>
            </w:pPr>
            <w:r>
              <w:rPr>
                <w:b/>
                <w:bCs/>
                <w:sz w:val="21"/>
                <w:szCs w:val="21"/>
                <w:lang w:eastAsia="fr-FR"/>
              </w:rPr>
              <w:t>25</w:t>
            </w:r>
          </w:p>
        </w:tc>
      </w:tr>
      <w:tr w:rsidR="001C1505" w:rsidRPr="00953C45" w14:paraId="3B527B46"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tcPr>
          <w:p w14:paraId="3F7AA10A" w14:textId="77777777" w:rsidR="001C1505" w:rsidRPr="00953C45" w:rsidRDefault="001C1505" w:rsidP="00647AD3">
            <w:pPr>
              <w:rPr>
                <w:b/>
                <w:bCs/>
                <w:sz w:val="21"/>
                <w:szCs w:val="21"/>
                <w:lang w:eastAsia="fr-FR"/>
              </w:rPr>
            </w:pPr>
            <w:r w:rsidRPr="00953C45">
              <w:rPr>
                <w:b/>
                <w:bCs/>
                <w:sz w:val="21"/>
                <w:szCs w:val="21"/>
                <w:lang w:eastAsia="fr-FR"/>
              </w:rPr>
              <w:t>MES</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5E80C5C3" w14:textId="77777777" w:rsidR="001C1505" w:rsidRPr="00953C45" w:rsidRDefault="001C1505" w:rsidP="00647AD3">
            <w:pPr>
              <w:jc w:val="center"/>
              <w:rPr>
                <w:b/>
                <w:bCs/>
                <w:sz w:val="21"/>
                <w:szCs w:val="21"/>
                <w:lang w:eastAsia="fr-FR"/>
              </w:rPr>
            </w:pPr>
            <w:r w:rsidRPr="00953C45">
              <w:rPr>
                <w:b/>
                <w:bCs/>
                <w:sz w:val="21"/>
                <w:szCs w:val="21"/>
                <w:lang w:eastAsia="fr-FR"/>
              </w:rPr>
              <w:t>-</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0D2FAE79" w14:textId="77777777" w:rsidR="001C1505" w:rsidRPr="00953C45" w:rsidRDefault="001C1505" w:rsidP="00647AD3">
            <w:pPr>
              <w:jc w:val="center"/>
              <w:rPr>
                <w:b/>
                <w:bCs/>
                <w:sz w:val="21"/>
                <w:szCs w:val="21"/>
                <w:lang w:eastAsia="fr-FR"/>
              </w:rPr>
            </w:pPr>
            <w:r w:rsidRPr="00953C45">
              <w:rPr>
                <w:b/>
                <w:bCs/>
                <w:sz w:val="21"/>
                <w:szCs w:val="21"/>
                <w:lang w:eastAsia="fr-FR"/>
              </w:rPr>
              <w:t>1305</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79450942" w14:textId="77777777" w:rsidR="001C1505" w:rsidRPr="00953C45" w:rsidRDefault="001C1505" w:rsidP="00647AD3">
            <w:pPr>
              <w:jc w:val="center"/>
              <w:rPr>
                <w:b/>
                <w:bCs/>
                <w:sz w:val="21"/>
                <w:szCs w:val="21"/>
                <w:lang w:eastAsia="fr-FR"/>
              </w:rPr>
            </w:pPr>
            <w:r w:rsidRPr="00953C45">
              <w:rPr>
                <w:b/>
                <w:bCs/>
                <w:sz w:val="21"/>
                <w:szCs w:val="21"/>
                <w:lang w:eastAsia="fr-FR"/>
              </w:rPr>
              <w:t>30</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688116BF" w14:textId="77777777" w:rsidR="001C1505" w:rsidRDefault="001C1505" w:rsidP="00647AD3">
            <w:pPr>
              <w:jc w:val="center"/>
              <w:rPr>
                <w:b/>
                <w:bCs/>
                <w:sz w:val="21"/>
                <w:szCs w:val="21"/>
                <w:lang w:eastAsia="fr-FR"/>
              </w:rPr>
            </w:pPr>
            <w:r>
              <w:rPr>
                <w:b/>
                <w:bCs/>
                <w:sz w:val="21"/>
                <w:szCs w:val="21"/>
                <w:lang w:eastAsia="fr-FR"/>
              </w:rPr>
              <w:t>30</w:t>
            </w:r>
          </w:p>
        </w:tc>
      </w:tr>
      <w:tr w:rsidR="001C1505" w:rsidRPr="00953C45" w14:paraId="66CD5502" w14:textId="77777777" w:rsidTr="00647AD3">
        <w:trPr>
          <w:jc w:val="center"/>
        </w:trPr>
        <w:tc>
          <w:tcPr>
            <w:tcW w:w="1316" w:type="dxa"/>
            <w:vMerge w:val="restart"/>
            <w:tcBorders>
              <w:top w:val="outset" w:sz="6" w:space="0" w:color="auto"/>
              <w:left w:val="nil"/>
              <w:right w:val="single" w:sz="6" w:space="0" w:color="D8D8D8"/>
            </w:tcBorders>
            <w:shd w:val="clear" w:color="auto" w:fill="EEEEEE"/>
            <w:tcMar>
              <w:top w:w="150" w:type="dxa"/>
              <w:left w:w="150" w:type="dxa"/>
              <w:bottom w:w="150" w:type="dxa"/>
              <w:right w:w="150" w:type="dxa"/>
            </w:tcMar>
            <w:vAlign w:val="center"/>
          </w:tcPr>
          <w:p w14:paraId="664FF6C2" w14:textId="77777777" w:rsidR="001C1505" w:rsidRPr="00953C45" w:rsidRDefault="001C1505" w:rsidP="00647AD3">
            <w:pPr>
              <w:rPr>
                <w:b/>
                <w:bCs/>
                <w:sz w:val="21"/>
                <w:szCs w:val="21"/>
                <w:lang w:eastAsia="fr-FR"/>
              </w:rPr>
            </w:pPr>
            <w:r>
              <w:rPr>
                <w:b/>
                <w:bCs/>
                <w:sz w:val="21"/>
                <w:szCs w:val="21"/>
                <w:lang w:eastAsia="fr-FR"/>
              </w:rPr>
              <w:t>Métaux et métalloïdes</w:t>
            </w:r>
          </w:p>
        </w:tc>
        <w:tc>
          <w:tcPr>
            <w:tcW w:w="1937" w:type="dxa"/>
            <w:tcBorders>
              <w:top w:val="outset" w:sz="6" w:space="0" w:color="auto"/>
              <w:left w:val="nil"/>
              <w:bottom w:val="single" w:sz="6" w:space="0" w:color="D8D8D8"/>
              <w:right w:val="single" w:sz="6" w:space="0" w:color="D8D8D8"/>
            </w:tcBorders>
            <w:shd w:val="clear" w:color="auto" w:fill="EEEEEE"/>
            <w:vAlign w:val="center"/>
          </w:tcPr>
          <w:p w14:paraId="24BA5183" w14:textId="77777777" w:rsidR="001C1505" w:rsidRPr="00953C45" w:rsidRDefault="001C1505" w:rsidP="00647AD3">
            <w:pPr>
              <w:rPr>
                <w:b/>
                <w:bCs/>
                <w:sz w:val="21"/>
                <w:szCs w:val="21"/>
                <w:lang w:eastAsia="fr-FR"/>
              </w:rPr>
            </w:pPr>
            <w:r w:rsidRPr="00953C45">
              <w:rPr>
                <w:b/>
                <w:bCs/>
                <w:sz w:val="21"/>
                <w:szCs w:val="21"/>
                <w:lang w:eastAsia="fr-FR"/>
              </w:rPr>
              <w:t>Arsenic et ses composés (en As)</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AD5CAAF" w14:textId="77777777" w:rsidR="001C1505" w:rsidRPr="00953C45" w:rsidRDefault="001C1505" w:rsidP="00647AD3">
            <w:pPr>
              <w:jc w:val="center"/>
              <w:rPr>
                <w:b/>
                <w:bCs/>
                <w:sz w:val="21"/>
                <w:szCs w:val="21"/>
                <w:lang w:eastAsia="fr-FR"/>
              </w:rPr>
            </w:pPr>
            <w:r w:rsidRPr="00953C45">
              <w:rPr>
                <w:b/>
                <w:bCs/>
                <w:sz w:val="21"/>
                <w:szCs w:val="21"/>
                <w:lang w:eastAsia="fr-FR"/>
              </w:rPr>
              <w:t>7440-38-2</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6CD68FA" w14:textId="77777777" w:rsidR="001C1505" w:rsidRPr="00953C45" w:rsidRDefault="001C1505" w:rsidP="00647AD3">
            <w:pPr>
              <w:jc w:val="center"/>
              <w:rPr>
                <w:b/>
                <w:bCs/>
                <w:sz w:val="21"/>
                <w:szCs w:val="21"/>
                <w:lang w:eastAsia="fr-FR"/>
              </w:rPr>
            </w:pPr>
            <w:r w:rsidRPr="00953C45">
              <w:rPr>
                <w:b/>
                <w:bCs/>
                <w:sz w:val="21"/>
                <w:szCs w:val="21"/>
                <w:lang w:eastAsia="fr-FR"/>
              </w:rPr>
              <w:t>1369</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1410AA5" w14:textId="77777777" w:rsidR="001C1505" w:rsidRPr="00953C45" w:rsidRDefault="001C1505" w:rsidP="00647AD3">
            <w:pPr>
              <w:jc w:val="center"/>
              <w:rPr>
                <w:b/>
                <w:bCs/>
                <w:sz w:val="21"/>
                <w:szCs w:val="21"/>
                <w:lang w:eastAsia="fr-FR"/>
              </w:rPr>
            </w:pPr>
            <w:r w:rsidRPr="00953C45">
              <w:rPr>
                <w:b/>
                <w:bCs/>
                <w:sz w:val="21"/>
                <w:szCs w:val="21"/>
                <w:lang w:eastAsia="fr-FR"/>
              </w:rPr>
              <w:t>0,025</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17425541" w14:textId="77777777" w:rsidR="001C1505" w:rsidRPr="00953C45" w:rsidRDefault="001C1505" w:rsidP="00647AD3">
            <w:pPr>
              <w:jc w:val="center"/>
              <w:rPr>
                <w:b/>
                <w:bCs/>
                <w:sz w:val="21"/>
                <w:szCs w:val="21"/>
                <w:lang w:eastAsia="fr-FR"/>
              </w:rPr>
            </w:pPr>
            <w:r>
              <w:rPr>
                <w:b/>
                <w:bCs/>
                <w:sz w:val="21"/>
                <w:szCs w:val="21"/>
                <w:lang w:eastAsia="fr-FR"/>
              </w:rPr>
              <w:t>0,025</w:t>
            </w:r>
          </w:p>
        </w:tc>
      </w:tr>
      <w:tr w:rsidR="001C1505" w:rsidRPr="00953C45" w14:paraId="2B8D2E3A" w14:textId="77777777" w:rsidTr="00647AD3">
        <w:trPr>
          <w:jc w:val="center"/>
        </w:trPr>
        <w:tc>
          <w:tcPr>
            <w:tcW w:w="1316" w:type="dxa"/>
            <w:vMerge/>
            <w:tcBorders>
              <w:left w:val="nil"/>
              <w:right w:val="single" w:sz="6" w:space="0" w:color="D8D8D8"/>
            </w:tcBorders>
            <w:shd w:val="clear" w:color="auto" w:fill="EEEEEE"/>
            <w:tcMar>
              <w:top w:w="150" w:type="dxa"/>
              <w:left w:w="150" w:type="dxa"/>
              <w:bottom w:w="150" w:type="dxa"/>
              <w:right w:w="150" w:type="dxa"/>
            </w:tcMar>
            <w:vAlign w:val="center"/>
          </w:tcPr>
          <w:p w14:paraId="6E4328FB" w14:textId="77777777" w:rsidR="001C1505" w:rsidRPr="00953C45" w:rsidRDefault="001C1505" w:rsidP="00647AD3">
            <w:pPr>
              <w:rPr>
                <w:b/>
                <w:bCs/>
                <w:sz w:val="21"/>
                <w:szCs w:val="21"/>
                <w:lang w:eastAsia="fr-FR"/>
              </w:rPr>
            </w:pPr>
          </w:p>
        </w:tc>
        <w:tc>
          <w:tcPr>
            <w:tcW w:w="1937" w:type="dxa"/>
            <w:tcBorders>
              <w:top w:val="outset" w:sz="6" w:space="0" w:color="auto"/>
              <w:left w:val="nil"/>
              <w:bottom w:val="single" w:sz="6" w:space="0" w:color="D8D8D8"/>
              <w:right w:val="single" w:sz="6" w:space="0" w:color="D8D8D8"/>
            </w:tcBorders>
            <w:shd w:val="clear" w:color="auto" w:fill="EEEEEE"/>
            <w:vAlign w:val="center"/>
          </w:tcPr>
          <w:p w14:paraId="21881DAC" w14:textId="77777777" w:rsidR="001C1505" w:rsidRPr="00953C45" w:rsidRDefault="001C1505" w:rsidP="00647AD3">
            <w:pPr>
              <w:rPr>
                <w:b/>
                <w:bCs/>
                <w:sz w:val="21"/>
                <w:szCs w:val="21"/>
                <w:lang w:eastAsia="fr-FR"/>
              </w:rPr>
            </w:pPr>
            <w:r w:rsidRPr="00953C45">
              <w:rPr>
                <w:b/>
                <w:bCs/>
                <w:sz w:val="21"/>
                <w:szCs w:val="21"/>
                <w:lang w:eastAsia="fr-FR"/>
              </w:rPr>
              <w:t>Cadmium et ses composés (en Cd) (*)</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7DE705F4" w14:textId="77777777" w:rsidR="001C1505" w:rsidRPr="00953C45" w:rsidRDefault="001C1505" w:rsidP="00647AD3">
            <w:pPr>
              <w:jc w:val="center"/>
              <w:rPr>
                <w:b/>
                <w:bCs/>
                <w:sz w:val="21"/>
                <w:szCs w:val="21"/>
                <w:lang w:eastAsia="fr-FR"/>
              </w:rPr>
            </w:pPr>
            <w:r w:rsidRPr="00953C45">
              <w:rPr>
                <w:b/>
                <w:bCs/>
                <w:sz w:val="21"/>
                <w:szCs w:val="21"/>
                <w:lang w:eastAsia="fr-FR"/>
              </w:rPr>
              <w:t>7440-43-9</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22DC63DE" w14:textId="77777777" w:rsidR="001C1505" w:rsidRPr="00953C45" w:rsidRDefault="001C1505" w:rsidP="00647AD3">
            <w:pPr>
              <w:jc w:val="center"/>
              <w:rPr>
                <w:b/>
                <w:bCs/>
                <w:sz w:val="21"/>
                <w:szCs w:val="21"/>
                <w:lang w:eastAsia="fr-FR"/>
              </w:rPr>
            </w:pPr>
            <w:r w:rsidRPr="00953C45">
              <w:rPr>
                <w:b/>
                <w:bCs/>
                <w:sz w:val="21"/>
                <w:szCs w:val="21"/>
                <w:lang w:eastAsia="fr-FR"/>
              </w:rPr>
              <w:t>1388</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7BF009CC" w14:textId="77777777" w:rsidR="001C1505" w:rsidRPr="00953C45" w:rsidRDefault="001C1505" w:rsidP="00647AD3">
            <w:pPr>
              <w:jc w:val="center"/>
              <w:rPr>
                <w:b/>
                <w:bCs/>
                <w:sz w:val="21"/>
                <w:szCs w:val="21"/>
                <w:lang w:eastAsia="fr-FR"/>
              </w:rPr>
            </w:pPr>
            <w:r w:rsidRPr="00953C45">
              <w:rPr>
                <w:b/>
                <w:bCs/>
                <w:sz w:val="21"/>
                <w:szCs w:val="21"/>
                <w:lang w:eastAsia="fr-FR"/>
              </w:rPr>
              <w:t>0,05</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42B4C242" w14:textId="77777777" w:rsidR="001C1505" w:rsidRDefault="001C1505" w:rsidP="00647AD3">
            <w:pPr>
              <w:jc w:val="center"/>
              <w:rPr>
                <w:b/>
                <w:bCs/>
                <w:sz w:val="21"/>
                <w:szCs w:val="21"/>
                <w:lang w:eastAsia="fr-FR"/>
              </w:rPr>
            </w:pPr>
            <w:r>
              <w:rPr>
                <w:b/>
                <w:bCs/>
                <w:sz w:val="21"/>
                <w:szCs w:val="21"/>
                <w:lang w:eastAsia="fr-FR"/>
              </w:rPr>
              <w:t>0,005</w:t>
            </w:r>
          </w:p>
        </w:tc>
      </w:tr>
      <w:tr w:rsidR="001C1505" w:rsidRPr="00953C45" w14:paraId="5A68CA64" w14:textId="77777777" w:rsidTr="00647AD3">
        <w:trPr>
          <w:trHeight w:val="864"/>
          <w:jc w:val="center"/>
        </w:trPr>
        <w:tc>
          <w:tcPr>
            <w:tcW w:w="1316" w:type="dxa"/>
            <w:vMerge/>
            <w:tcBorders>
              <w:left w:val="nil"/>
              <w:right w:val="single" w:sz="6" w:space="0" w:color="D8D8D8"/>
            </w:tcBorders>
            <w:shd w:val="clear" w:color="auto" w:fill="EEEEEE"/>
            <w:tcMar>
              <w:top w:w="150" w:type="dxa"/>
              <w:left w:w="150" w:type="dxa"/>
              <w:bottom w:w="150" w:type="dxa"/>
              <w:right w:w="150" w:type="dxa"/>
            </w:tcMar>
            <w:vAlign w:val="center"/>
          </w:tcPr>
          <w:p w14:paraId="62332F26" w14:textId="77777777" w:rsidR="001C1505" w:rsidRPr="00953C45" w:rsidRDefault="001C1505" w:rsidP="00647AD3">
            <w:pPr>
              <w:rPr>
                <w:b/>
                <w:bCs/>
                <w:sz w:val="21"/>
                <w:szCs w:val="21"/>
                <w:lang w:eastAsia="fr-FR"/>
              </w:rPr>
            </w:pPr>
          </w:p>
        </w:tc>
        <w:tc>
          <w:tcPr>
            <w:tcW w:w="1937" w:type="dxa"/>
            <w:tcBorders>
              <w:top w:val="outset" w:sz="6" w:space="0" w:color="auto"/>
              <w:left w:val="nil"/>
              <w:bottom w:val="single" w:sz="6" w:space="0" w:color="D8D8D8"/>
              <w:right w:val="single" w:sz="6" w:space="0" w:color="D8D8D8"/>
            </w:tcBorders>
            <w:shd w:val="clear" w:color="auto" w:fill="EEEEEE"/>
            <w:vAlign w:val="center"/>
          </w:tcPr>
          <w:p w14:paraId="60A4BAF7" w14:textId="77777777" w:rsidR="001C1505" w:rsidRPr="00953C45" w:rsidRDefault="001C1505" w:rsidP="00647AD3">
            <w:pPr>
              <w:rPr>
                <w:b/>
                <w:bCs/>
                <w:sz w:val="21"/>
                <w:szCs w:val="21"/>
                <w:lang w:eastAsia="fr-FR"/>
              </w:rPr>
            </w:pPr>
            <w:r w:rsidRPr="00953C45">
              <w:rPr>
                <w:b/>
                <w:bCs/>
                <w:sz w:val="21"/>
                <w:szCs w:val="21"/>
                <w:lang w:eastAsia="fr-FR"/>
              </w:rPr>
              <w:t xml:space="preserve">Chrome et ses composés (dont chrome hexavalent et ses composés exprimés en </w:t>
            </w:r>
            <w:r>
              <w:rPr>
                <w:b/>
                <w:bCs/>
                <w:sz w:val="21"/>
                <w:szCs w:val="21"/>
                <w:lang w:eastAsia="fr-FR"/>
              </w:rPr>
              <w:t>Cr</w:t>
            </w:r>
            <w:r w:rsidRPr="00953C45">
              <w:rPr>
                <w:b/>
                <w:bCs/>
                <w:sz w:val="21"/>
                <w:szCs w:val="21"/>
                <w:lang w:eastAsia="fr-FR"/>
              </w:rPr>
              <w:t>)</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2AA580BB" w14:textId="77777777" w:rsidR="001C1505" w:rsidRPr="00953C45" w:rsidRDefault="001C1505" w:rsidP="00647AD3">
            <w:pPr>
              <w:jc w:val="center"/>
              <w:rPr>
                <w:b/>
                <w:bCs/>
                <w:sz w:val="21"/>
                <w:szCs w:val="21"/>
                <w:lang w:eastAsia="fr-FR"/>
              </w:rPr>
            </w:pPr>
            <w:r w:rsidRPr="00953C45">
              <w:rPr>
                <w:b/>
                <w:bCs/>
                <w:sz w:val="21"/>
                <w:szCs w:val="21"/>
                <w:lang w:eastAsia="fr-FR"/>
              </w:rPr>
              <w:t>7440-47-3</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2A484819" w14:textId="77777777" w:rsidR="001C1505" w:rsidRPr="00953C45" w:rsidRDefault="001C1505" w:rsidP="00647AD3">
            <w:pPr>
              <w:jc w:val="center"/>
              <w:rPr>
                <w:b/>
                <w:bCs/>
                <w:sz w:val="21"/>
                <w:szCs w:val="21"/>
                <w:lang w:eastAsia="fr-FR"/>
              </w:rPr>
            </w:pPr>
            <w:r w:rsidRPr="00953C45">
              <w:rPr>
                <w:b/>
                <w:bCs/>
                <w:sz w:val="21"/>
                <w:szCs w:val="21"/>
                <w:lang w:eastAsia="fr-FR"/>
              </w:rPr>
              <w:t>1389</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3202A978" w14:textId="77777777" w:rsidR="001C1505" w:rsidRPr="00953C45" w:rsidRDefault="001C1505" w:rsidP="00647AD3">
            <w:pPr>
              <w:jc w:val="center"/>
              <w:rPr>
                <w:b/>
                <w:bCs/>
                <w:sz w:val="21"/>
                <w:szCs w:val="21"/>
                <w:lang w:eastAsia="fr-FR"/>
              </w:rPr>
            </w:pPr>
            <w:r w:rsidRPr="00953C45">
              <w:rPr>
                <w:b/>
                <w:bCs/>
                <w:sz w:val="21"/>
                <w:szCs w:val="21"/>
                <w:lang w:eastAsia="fr-FR"/>
              </w:rPr>
              <w:t>0,05</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2B2C37E3" w14:textId="77777777" w:rsidR="001C1505" w:rsidRDefault="001C1505" w:rsidP="00647AD3">
            <w:pPr>
              <w:jc w:val="center"/>
              <w:rPr>
                <w:b/>
                <w:bCs/>
                <w:sz w:val="21"/>
                <w:szCs w:val="21"/>
                <w:lang w:eastAsia="fr-FR"/>
              </w:rPr>
            </w:pPr>
            <w:r>
              <w:rPr>
                <w:b/>
                <w:bCs/>
                <w:sz w:val="21"/>
                <w:szCs w:val="21"/>
                <w:lang w:eastAsia="fr-FR"/>
              </w:rPr>
              <w:t>0,050</w:t>
            </w:r>
          </w:p>
        </w:tc>
      </w:tr>
      <w:tr w:rsidR="001C1505" w:rsidRPr="00953C45" w14:paraId="6E888949" w14:textId="77777777" w:rsidTr="00647AD3">
        <w:trPr>
          <w:jc w:val="center"/>
        </w:trPr>
        <w:tc>
          <w:tcPr>
            <w:tcW w:w="1316" w:type="dxa"/>
            <w:vMerge/>
            <w:tcBorders>
              <w:left w:val="nil"/>
              <w:right w:val="single" w:sz="6" w:space="0" w:color="D8D8D8"/>
            </w:tcBorders>
            <w:shd w:val="clear" w:color="auto" w:fill="F5F5F5"/>
            <w:tcMar>
              <w:top w:w="150" w:type="dxa"/>
              <w:left w:w="150" w:type="dxa"/>
              <w:bottom w:w="150" w:type="dxa"/>
              <w:right w:w="150" w:type="dxa"/>
            </w:tcMar>
            <w:vAlign w:val="center"/>
          </w:tcPr>
          <w:p w14:paraId="012950BF" w14:textId="77777777" w:rsidR="001C1505" w:rsidRPr="00953C45" w:rsidRDefault="001C1505" w:rsidP="00647AD3">
            <w:pPr>
              <w:rPr>
                <w:b/>
                <w:bCs/>
                <w:sz w:val="21"/>
                <w:szCs w:val="21"/>
                <w:lang w:eastAsia="fr-FR"/>
              </w:rPr>
            </w:pPr>
          </w:p>
        </w:tc>
        <w:tc>
          <w:tcPr>
            <w:tcW w:w="1937" w:type="dxa"/>
            <w:tcBorders>
              <w:top w:val="outset" w:sz="6" w:space="0" w:color="auto"/>
              <w:left w:val="nil"/>
              <w:bottom w:val="single" w:sz="6" w:space="0" w:color="D8D8D8"/>
              <w:right w:val="single" w:sz="6" w:space="0" w:color="D8D8D8"/>
            </w:tcBorders>
            <w:shd w:val="clear" w:color="auto" w:fill="F5F5F5"/>
            <w:vAlign w:val="center"/>
          </w:tcPr>
          <w:p w14:paraId="290B70E0" w14:textId="77777777" w:rsidR="001C1505" w:rsidRPr="00953C45" w:rsidRDefault="001C1505" w:rsidP="00647AD3">
            <w:pPr>
              <w:rPr>
                <w:b/>
                <w:bCs/>
                <w:sz w:val="21"/>
                <w:szCs w:val="21"/>
                <w:lang w:eastAsia="fr-FR"/>
              </w:rPr>
            </w:pPr>
            <w:r w:rsidRPr="00953C45">
              <w:rPr>
                <w:b/>
                <w:bCs/>
                <w:sz w:val="21"/>
                <w:szCs w:val="21"/>
                <w:lang w:eastAsia="fr-FR"/>
              </w:rPr>
              <w:t>Cuivre et ses composés (en Cu)</w:t>
            </w:r>
          </w:p>
        </w:tc>
        <w:tc>
          <w:tcPr>
            <w:tcW w:w="1431"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36F611C6" w14:textId="77777777" w:rsidR="001C1505" w:rsidRPr="00953C45" w:rsidRDefault="001C1505" w:rsidP="00647AD3">
            <w:pPr>
              <w:jc w:val="center"/>
              <w:rPr>
                <w:b/>
                <w:bCs/>
                <w:sz w:val="21"/>
                <w:szCs w:val="21"/>
                <w:lang w:eastAsia="fr-FR"/>
              </w:rPr>
            </w:pPr>
            <w:r w:rsidRPr="00953C45">
              <w:rPr>
                <w:b/>
                <w:bCs/>
                <w:sz w:val="21"/>
                <w:szCs w:val="21"/>
                <w:lang w:eastAsia="fr-FR"/>
              </w:rPr>
              <w:t>7440-50-8</w:t>
            </w:r>
          </w:p>
        </w:tc>
        <w:tc>
          <w:tcPr>
            <w:tcW w:w="1134"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1914BA74" w14:textId="77777777" w:rsidR="001C1505" w:rsidRPr="00953C45" w:rsidRDefault="001C1505" w:rsidP="00647AD3">
            <w:pPr>
              <w:jc w:val="center"/>
              <w:rPr>
                <w:b/>
                <w:bCs/>
                <w:sz w:val="21"/>
                <w:szCs w:val="21"/>
                <w:lang w:eastAsia="fr-FR"/>
              </w:rPr>
            </w:pPr>
            <w:r w:rsidRPr="00953C45">
              <w:rPr>
                <w:b/>
                <w:bCs/>
                <w:sz w:val="21"/>
                <w:szCs w:val="21"/>
                <w:lang w:eastAsia="fr-FR"/>
              </w:rPr>
              <w:t>1392</w:t>
            </w:r>
          </w:p>
        </w:tc>
        <w:tc>
          <w:tcPr>
            <w:tcW w:w="1445"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tcPr>
          <w:p w14:paraId="4B41A3F2" w14:textId="77777777" w:rsidR="001C1505" w:rsidRPr="00953C45" w:rsidRDefault="001C1505" w:rsidP="00647AD3">
            <w:pPr>
              <w:jc w:val="center"/>
              <w:rPr>
                <w:b/>
                <w:bCs/>
                <w:sz w:val="21"/>
                <w:szCs w:val="21"/>
                <w:lang w:eastAsia="fr-FR"/>
              </w:rPr>
            </w:pPr>
            <w:r w:rsidRPr="00953C45">
              <w:rPr>
                <w:b/>
                <w:bCs/>
                <w:sz w:val="21"/>
                <w:szCs w:val="21"/>
                <w:lang w:eastAsia="fr-FR"/>
              </w:rPr>
              <w:t>0,05</w:t>
            </w:r>
          </w:p>
        </w:tc>
        <w:tc>
          <w:tcPr>
            <w:tcW w:w="1793" w:type="dxa"/>
            <w:tcBorders>
              <w:top w:val="outset" w:sz="6" w:space="0" w:color="auto"/>
              <w:left w:val="outset" w:sz="6" w:space="0" w:color="auto"/>
              <w:bottom w:val="single" w:sz="6" w:space="0" w:color="D8D8D8"/>
              <w:right w:val="nil"/>
            </w:tcBorders>
            <w:shd w:val="clear" w:color="auto" w:fill="F5F5F5"/>
            <w:vAlign w:val="center"/>
          </w:tcPr>
          <w:p w14:paraId="303B5069" w14:textId="77777777" w:rsidR="001C1505" w:rsidRPr="00953C45" w:rsidRDefault="001C1505" w:rsidP="00647AD3">
            <w:pPr>
              <w:jc w:val="center"/>
              <w:rPr>
                <w:b/>
                <w:bCs/>
                <w:sz w:val="21"/>
                <w:szCs w:val="21"/>
                <w:lang w:eastAsia="fr-FR"/>
              </w:rPr>
            </w:pPr>
            <w:r>
              <w:rPr>
                <w:b/>
                <w:bCs/>
                <w:sz w:val="21"/>
                <w:szCs w:val="21"/>
                <w:lang w:eastAsia="fr-FR"/>
              </w:rPr>
              <w:t>0,050</w:t>
            </w:r>
          </w:p>
        </w:tc>
      </w:tr>
      <w:tr w:rsidR="001C1505" w:rsidRPr="00953C45" w14:paraId="5A978653" w14:textId="77777777" w:rsidTr="00647AD3">
        <w:trPr>
          <w:jc w:val="center"/>
        </w:trPr>
        <w:tc>
          <w:tcPr>
            <w:tcW w:w="1316" w:type="dxa"/>
            <w:vMerge/>
            <w:tcBorders>
              <w:left w:val="nil"/>
              <w:right w:val="single" w:sz="6" w:space="0" w:color="D8D8D8"/>
            </w:tcBorders>
            <w:shd w:val="clear" w:color="auto" w:fill="EEEEEE"/>
            <w:tcMar>
              <w:top w:w="150" w:type="dxa"/>
              <w:left w:w="150" w:type="dxa"/>
              <w:bottom w:w="150" w:type="dxa"/>
              <w:right w:w="150" w:type="dxa"/>
            </w:tcMar>
            <w:vAlign w:val="center"/>
          </w:tcPr>
          <w:p w14:paraId="070797C1" w14:textId="77777777" w:rsidR="001C1505" w:rsidRPr="00953C45" w:rsidRDefault="001C1505" w:rsidP="00647AD3">
            <w:pPr>
              <w:rPr>
                <w:b/>
                <w:bCs/>
                <w:sz w:val="21"/>
                <w:szCs w:val="21"/>
                <w:lang w:eastAsia="fr-FR"/>
              </w:rPr>
            </w:pPr>
          </w:p>
        </w:tc>
        <w:tc>
          <w:tcPr>
            <w:tcW w:w="1937" w:type="dxa"/>
            <w:tcBorders>
              <w:top w:val="outset" w:sz="6" w:space="0" w:color="auto"/>
              <w:left w:val="nil"/>
              <w:bottom w:val="single" w:sz="6" w:space="0" w:color="D8D8D8"/>
              <w:right w:val="single" w:sz="6" w:space="0" w:color="D8D8D8"/>
            </w:tcBorders>
            <w:shd w:val="clear" w:color="auto" w:fill="EEEEEE"/>
            <w:vAlign w:val="center"/>
          </w:tcPr>
          <w:p w14:paraId="49557FAF" w14:textId="77777777" w:rsidR="001C1505" w:rsidRPr="00953C45" w:rsidRDefault="001C1505" w:rsidP="00647AD3">
            <w:pPr>
              <w:rPr>
                <w:b/>
                <w:bCs/>
                <w:sz w:val="21"/>
                <w:szCs w:val="21"/>
                <w:lang w:eastAsia="fr-FR"/>
              </w:rPr>
            </w:pPr>
            <w:r w:rsidRPr="00953C45">
              <w:rPr>
                <w:b/>
                <w:bCs/>
                <w:sz w:val="21"/>
                <w:szCs w:val="21"/>
                <w:lang w:eastAsia="fr-FR"/>
              </w:rPr>
              <w:t>Mercure et ses composés (en Hg) (*)</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0103BBB" w14:textId="77777777" w:rsidR="001C1505" w:rsidRPr="00953C45" w:rsidRDefault="001C1505" w:rsidP="00647AD3">
            <w:pPr>
              <w:jc w:val="center"/>
              <w:rPr>
                <w:b/>
                <w:bCs/>
                <w:sz w:val="21"/>
                <w:szCs w:val="21"/>
                <w:lang w:eastAsia="fr-FR"/>
              </w:rPr>
            </w:pPr>
            <w:r w:rsidRPr="00953C45">
              <w:rPr>
                <w:b/>
                <w:bCs/>
                <w:sz w:val="21"/>
                <w:szCs w:val="21"/>
                <w:lang w:eastAsia="fr-FR"/>
              </w:rPr>
              <w:t>7439-97-6</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9D06900" w14:textId="77777777" w:rsidR="001C1505" w:rsidRPr="00953C45" w:rsidRDefault="001C1505" w:rsidP="00647AD3">
            <w:pPr>
              <w:jc w:val="center"/>
              <w:rPr>
                <w:b/>
                <w:bCs/>
                <w:sz w:val="21"/>
                <w:szCs w:val="21"/>
                <w:lang w:eastAsia="fr-FR"/>
              </w:rPr>
            </w:pPr>
            <w:r w:rsidRPr="00953C45">
              <w:rPr>
                <w:b/>
                <w:bCs/>
                <w:sz w:val="21"/>
                <w:szCs w:val="21"/>
                <w:lang w:eastAsia="fr-FR"/>
              </w:rPr>
              <w:t>1382</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0B58E66A" w14:textId="77777777" w:rsidR="001C1505" w:rsidRPr="00953C45" w:rsidRDefault="001C1505" w:rsidP="00647AD3">
            <w:pPr>
              <w:jc w:val="center"/>
              <w:rPr>
                <w:b/>
                <w:bCs/>
                <w:sz w:val="21"/>
                <w:szCs w:val="21"/>
                <w:lang w:eastAsia="fr-FR"/>
              </w:rPr>
            </w:pPr>
            <w:r w:rsidRPr="00953C45">
              <w:rPr>
                <w:b/>
                <w:bCs/>
                <w:sz w:val="21"/>
                <w:szCs w:val="21"/>
                <w:lang w:eastAsia="fr-FR"/>
              </w:rPr>
              <w:t>0,02</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6C8C39EF" w14:textId="77777777" w:rsidR="001C1505" w:rsidRPr="00953C45" w:rsidRDefault="001C1505" w:rsidP="00647AD3">
            <w:pPr>
              <w:jc w:val="center"/>
              <w:rPr>
                <w:b/>
                <w:bCs/>
                <w:sz w:val="21"/>
                <w:szCs w:val="21"/>
                <w:lang w:eastAsia="fr-FR"/>
              </w:rPr>
            </w:pPr>
            <w:r>
              <w:rPr>
                <w:b/>
                <w:bCs/>
                <w:sz w:val="21"/>
                <w:szCs w:val="21"/>
                <w:lang w:eastAsia="fr-FR"/>
              </w:rPr>
              <w:t>0,003</w:t>
            </w:r>
          </w:p>
        </w:tc>
      </w:tr>
      <w:tr w:rsidR="001C1505" w:rsidRPr="00953C45" w14:paraId="4911F713" w14:textId="77777777" w:rsidTr="00647AD3">
        <w:trPr>
          <w:jc w:val="center"/>
        </w:trPr>
        <w:tc>
          <w:tcPr>
            <w:tcW w:w="1316" w:type="dxa"/>
            <w:vMerge/>
            <w:tcBorders>
              <w:left w:val="nil"/>
              <w:right w:val="single" w:sz="6" w:space="0" w:color="D8D8D8"/>
            </w:tcBorders>
            <w:shd w:val="clear" w:color="auto" w:fill="F5F5F5"/>
            <w:tcMar>
              <w:top w:w="150" w:type="dxa"/>
              <w:left w:w="150" w:type="dxa"/>
              <w:bottom w:w="150" w:type="dxa"/>
              <w:right w:w="150" w:type="dxa"/>
            </w:tcMar>
            <w:vAlign w:val="center"/>
          </w:tcPr>
          <w:p w14:paraId="02090BC7" w14:textId="77777777" w:rsidR="001C1505" w:rsidRPr="00953C45" w:rsidRDefault="001C1505" w:rsidP="00647AD3">
            <w:pPr>
              <w:rPr>
                <w:b/>
                <w:bCs/>
                <w:sz w:val="21"/>
                <w:szCs w:val="21"/>
                <w:lang w:eastAsia="fr-FR"/>
              </w:rPr>
            </w:pPr>
          </w:p>
        </w:tc>
        <w:tc>
          <w:tcPr>
            <w:tcW w:w="1937" w:type="dxa"/>
            <w:tcBorders>
              <w:top w:val="outset" w:sz="6" w:space="0" w:color="auto"/>
              <w:left w:val="nil"/>
              <w:bottom w:val="single" w:sz="6" w:space="0" w:color="D8D8D8"/>
              <w:right w:val="single" w:sz="6" w:space="0" w:color="D8D8D8"/>
            </w:tcBorders>
            <w:shd w:val="clear" w:color="auto" w:fill="F5F5F5"/>
            <w:vAlign w:val="center"/>
          </w:tcPr>
          <w:p w14:paraId="30157ACE" w14:textId="77777777" w:rsidR="001C1505" w:rsidRPr="00953C45" w:rsidRDefault="001C1505" w:rsidP="00647AD3">
            <w:pPr>
              <w:rPr>
                <w:b/>
                <w:bCs/>
                <w:sz w:val="21"/>
                <w:szCs w:val="21"/>
                <w:lang w:eastAsia="fr-FR"/>
              </w:rPr>
            </w:pPr>
            <w:r w:rsidRPr="00953C45">
              <w:rPr>
                <w:b/>
                <w:bCs/>
                <w:sz w:val="21"/>
                <w:szCs w:val="21"/>
                <w:lang w:eastAsia="fr-FR"/>
              </w:rPr>
              <w:t>Nickel et ses composés (en Ni)</w:t>
            </w:r>
          </w:p>
        </w:tc>
        <w:tc>
          <w:tcPr>
            <w:tcW w:w="1431"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314FC71" w14:textId="77777777" w:rsidR="001C1505" w:rsidRPr="00953C45" w:rsidRDefault="001C1505" w:rsidP="00647AD3">
            <w:pPr>
              <w:jc w:val="center"/>
              <w:rPr>
                <w:b/>
                <w:bCs/>
                <w:sz w:val="21"/>
                <w:szCs w:val="21"/>
                <w:lang w:eastAsia="fr-FR"/>
              </w:rPr>
            </w:pPr>
            <w:r w:rsidRPr="00953C45">
              <w:rPr>
                <w:b/>
                <w:bCs/>
                <w:sz w:val="21"/>
                <w:szCs w:val="21"/>
                <w:lang w:eastAsia="fr-FR"/>
              </w:rPr>
              <w:t>7440-02-0</w:t>
            </w:r>
          </w:p>
        </w:tc>
        <w:tc>
          <w:tcPr>
            <w:tcW w:w="1134"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7255019" w14:textId="77777777" w:rsidR="001C1505" w:rsidRPr="00953C45" w:rsidRDefault="001C1505" w:rsidP="00647AD3">
            <w:pPr>
              <w:jc w:val="center"/>
              <w:rPr>
                <w:b/>
                <w:bCs/>
                <w:sz w:val="21"/>
                <w:szCs w:val="21"/>
                <w:lang w:eastAsia="fr-FR"/>
              </w:rPr>
            </w:pPr>
            <w:r w:rsidRPr="00953C45">
              <w:rPr>
                <w:b/>
                <w:bCs/>
                <w:sz w:val="21"/>
                <w:szCs w:val="21"/>
                <w:lang w:eastAsia="fr-FR"/>
              </w:rPr>
              <w:t>1386</w:t>
            </w:r>
          </w:p>
        </w:tc>
        <w:tc>
          <w:tcPr>
            <w:tcW w:w="1445"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0D7E88C8" w14:textId="77777777" w:rsidR="001C1505" w:rsidRPr="00953C45" w:rsidRDefault="001C1505" w:rsidP="00647AD3">
            <w:pPr>
              <w:jc w:val="center"/>
              <w:rPr>
                <w:b/>
                <w:bCs/>
                <w:sz w:val="21"/>
                <w:szCs w:val="21"/>
                <w:lang w:eastAsia="fr-FR"/>
              </w:rPr>
            </w:pPr>
            <w:r w:rsidRPr="00953C45">
              <w:rPr>
                <w:b/>
                <w:bCs/>
                <w:sz w:val="21"/>
                <w:szCs w:val="21"/>
                <w:lang w:eastAsia="fr-FR"/>
              </w:rPr>
              <w:t>0,05</w:t>
            </w:r>
          </w:p>
        </w:tc>
        <w:tc>
          <w:tcPr>
            <w:tcW w:w="1793" w:type="dxa"/>
            <w:tcBorders>
              <w:top w:val="outset" w:sz="6" w:space="0" w:color="auto"/>
              <w:left w:val="outset" w:sz="6" w:space="0" w:color="auto"/>
              <w:bottom w:val="single" w:sz="6" w:space="0" w:color="D8D8D8"/>
              <w:right w:val="nil"/>
            </w:tcBorders>
            <w:shd w:val="clear" w:color="auto" w:fill="F5F5F5"/>
            <w:vAlign w:val="center"/>
          </w:tcPr>
          <w:p w14:paraId="4A520EE3" w14:textId="77777777" w:rsidR="001C1505" w:rsidRPr="00953C45" w:rsidRDefault="001C1505" w:rsidP="00647AD3">
            <w:pPr>
              <w:jc w:val="center"/>
              <w:rPr>
                <w:b/>
                <w:bCs/>
                <w:sz w:val="21"/>
                <w:szCs w:val="21"/>
                <w:lang w:eastAsia="fr-FR"/>
              </w:rPr>
            </w:pPr>
            <w:r>
              <w:rPr>
                <w:b/>
                <w:bCs/>
                <w:sz w:val="21"/>
                <w:szCs w:val="21"/>
                <w:lang w:eastAsia="fr-FR"/>
              </w:rPr>
              <w:t>0,050</w:t>
            </w:r>
          </w:p>
        </w:tc>
      </w:tr>
      <w:tr w:rsidR="001C1505" w:rsidRPr="00953C45" w14:paraId="611427D4" w14:textId="77777777" w:rsidTr="00647AD3">
        <w:trPr>
          <w:jc w:val="center"/>
        </w:trPr>
        <w:tc>
          <w:tcPr>
            <w:tcW w:w="1316" w:type="dxa"/>
            <w:vMerge/>
            <w:tcBorders>
              <w:left w:val="nil"/>
              <w:right w:val="single" w:sz="6" w:space="0" w:color="D8D8D8"/>
            </w:tcBorders>
            <w:shd w:val="clear" w:color="auto" w:fill="EEEEEE"/>
            <w:tcMar>
              <w:top w:w="150" w:type="dxa"/>
              <w:left w:w="150" w:type="dxa"/>
              <w:bottom w:w="150" w:type="dxa"/>
              <w:right w:w="150" w:type="dxa"/>
            </w:tcMar>
            <w:vAlign w:val="center"/>
          </w:tcPr>
          <w:p w14:paraId="51408139" w14:textId="77777777" w:rsidR="001C1505" w:rsidRPr="00953C45" w:rsidRDefault="001C1505" w:rsidP="00647AD3">
            <w:pPr>
              <w:rPr>
                <w:b/>
                <w:bCs/>
                <w:sz w:val="21"/>
                <w:szCs w:val="21"/>
                <w:lang w:eastAsia="fr-FR"/>
              </w:rPr>
            </w:pPr>
          </w:p>
        </w:tc>
        <w:tc>
          <w:tcPr>
            <w:tcW w:w="1937" w:type="dxa"/>
            <w:tcBorders>
              <w:top w:val="outset" w:sz="6" w:space="0" w:color="auto"/>
              <w:left w:val="nil"/>
              <w:bottom w:val="single" w:sz="6" w:space="0" w:color="D8D8D8"/>
              <w:right w:val="single" w:sz="6" w:space="0" w:color="D8D8D8"/>
            </w:tcBorders>
            <w:shd w:val="clear" w:color="auto" w:fill="EEEEEE"/>
            <w:vAlign w:val="center"/>
          </w:tcPr>
          <w:p w14:paraId="32AA4212" w14:textId="77777777" w:rsidR="001C1505" w:rsidRPr="00953C45" w:rsidRDefault="001C1505" w:rsidP="00647AD3">
            <w:pPr>
              <w:rPr>
                <w:b/>
                <w:bCs/>
                <w:sz w:val="21"/>
                <w:szCs w:val="21"/>
                <w:lang w:eastAsia="fr-FR"/>
              </w:rPr>
            </w:pPr>
            <w:r w:rsidRPr="00953C45">
              <w:rPr>
                <w:b/>
                <w:bCs/>
                <w:sz w:val="21"/>
                <w:szCs w:val="21"/>
                <w:lang w:eastAsia="fr-FR"/>
              </w:rPr>
              <w:t>Plomb et ses composés (en Pb)</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48B588A0" w14:textId="77777777" w:rsidR="001C1505" w:rsidRPr="00953C45" w:rsidRDefault="001C1505" w:rsidP="00647AD3">
            <w:pPr>
              <w:jc w:val="center"/>
              <w:rPr>
                <w:b/>
                <w:bCs/>
                <w:sz w:val="21"/>
                <w:szCs w:val="21"/>
                <w:lang w:eastAsia="fr-FR"/>
              </w:rPr>
            </w:pPr>
            <w:r w:rsidRPr="00953C45">
              <w:rPr>
                <w:b/>
                <w:bCs/>
                <w:sz w:val="21"/>
                <w:szCs w:val="21"/>
                <w:lang w:eastAsia="fr-FR"/>
              </w:rPr>
              <w:t>7439-92-1</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77474507" w14:textId="77777777" w:rsidR="001C1505" w:rsidRPr="00953C45" w:rsidRDefault="001C1505" w:rsidP="00647AD3">
            <w:pPr>
              <w:jc w:val="center"/>
              <w:rPr>
                <w:b/>
                <w:bCs/>
                <w:sz w:val="21"/>
                <w:szCs w:val="21"/>
                <w:lang w:eastAsia="fr-FR"/>
              </w:rPr>
            </w:pPr>
            <w:r w:rsidRPr="00953C45">
              <w:rPr>
                <w:b/>
                <w:bCs/>
                <w:sz w:val="21"/>
                <w:szCs w:val="21"/>
                <w:lang w:eastAsia="fr-FR"/>
              </w:rPr>
              <w:t>1369</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tcPr>
          <w:p w14:paraId="043014C2" w14:textId="77777777" w:rsidR="001C1505" w:rsidRPr="00953C45" w:rsidRDefault="001C1505" w:rsidP="00647AD3">
            <w:pPr>
              <w:jc w:val="center"/>
              <w:rPr>
                <w:b/>
                <w:bCs/>
                <w:sz w:val="21"/>
                <w:szCs w:val="21"/>
                <w:lang w:eastAsia="fr-FR"/>
              </w:rPr>
            </w:pPr>
            <w:r w:rsidRPr="00953C45">
              <w:rPr>
                <w:b/>
                <w:bCs/>
                <w:sz w:val="21"/>
                <w:szCs w:val="21"/>
                <w:lang w:eastAsia="fr-FR"/>
              </w:rPr>
              <w:t>0,025</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439909A7" w14:textId="77777777" w:rsidR="001C1505" w:rsidRPr="00953C45" w:rsidRDefault="001C1505" w:rsidP="00647AD3">
            <w:pPr>
              <w:jc w:val="center"/>
              <w:rPr>
                <w:b/>
                <w:bCs/>
                <w:sz w:val="21"/>
                <w:szCs w:val="21"/>
                <w:lang w:eastAsia="fr-FR"/>
              </w:rPr>
            </w:pPr>
            <w:r>
              <w:rPr>
                <w:b/>
                <w:bCs/>
                <w:sz w:val="21"/>
                <w:szCs w:val="21"/>
                <w:lang w:eastAsia="fr-FR"/>
              </w:rPr>
              <w:t>0,020</w:t>
            </w:r>
          </w:p>
        </w:tc>
      </w:tr>
      <w:tr w:rsidR="001C1505" w:rsidRPr="00953C45" w14:paraId="32132F8F" w14:textId="77777777" w:rsidTr="00647AD3">
        <w:trPr>
          <w:jc w:val="center"/>
        </w:trPr>
        <w:tc>
          <w:tcPr>
            <w:tcW w:w="1316" w:type="dxa"/>
            <w:vMerge/>
            <w:tcBorders>
              <w:left w:val="nil"/>
              <w:bottom w:val="single" w:sz="6" w:space="0" w:color="D8D8D8"/>
              <w:right w:val="single" w:sz="6" w:space="0" w:color="D8D8D8"/>
            </w:tcBorders>
            <w:shd w:val="clear" w:color="auto" w:fill="F5F5F5"/>
            <w:tcMar>
              <w:top w:w="150" w:type="dxa"/>
              <w:left w:w="150" w:type="dxa"/>
              <w:bottom w:w="150" w:type="dxa"/>
              <w:right w:w="150" w:type="dxa"/>
            </w:tcMar>
            <w:vAlign w:val="center"/>
          </w:tcPr>
          <w:p w14:paraId="5D48D9E3" w14:textId="77777777" w:rsidR="001C1505" w:rsidRPr="00953C45" w:rsidRDefault="001C1505" w:rsidP="00647AD3">
            <w:pPr>
              <w:rPr>
                <w:b/>
                <w:bCs/>
                <w:sz w:val="21"/>
                <w:szCs w:val="21"/>
                <w:lang w:eastAsia="fr-FR"/>
              </w:rPr>
            </w:pPr>
          </w:p>
        </w:tc>
        <w:tc>
          <w:tcPr>
            <w:tcW w:w="1937" w:type="dxa"/>
            <w:tcBorders>
              <w:top w:val="outset" w:sz="6" w:space="0" w:color="auto"/>
              <w:left w:val="nil"/>
              <w:bottom w:val="single" w:sz="6" w:space="0" w:color="D8D8D8"/>
              <w:right w:val="single" w:sz="6" w:space="0" w:color="D8D8D8"/>
            </w:tcBorders>
            <w:shd w:val="clear" w:color="auto" w:fill="F5F5F5"/>
            <w:vAlign w:val="center"/>
          </w:tcPr>
          <w:p w14:paraId="4EDBCC8E" w14:textId="77777777" w:rsidR="001C1505" w:rsidRPr="00953C45" w:rsidRDefault="001C1505" w:rsidP="00647AD3">
            <w:pPr>
              <w:rPr>
                <w:b/>
                <w:bCs/>
                <w:sz w:val="21"/>
                <w:szCs w:val="21"/>
                <w:lang w:eastAsia="fr-FR"/>
              </w:rPr>
            </w:pPr>
            <w:r w:rsidRPr="00953C45">
              <w:rPr>
                <w:b/>
                <w:bCs/>
                <w:sz w:val="21"/>
                <w:szCs w:val="21"/>
                <w:lang w:eastAsia="fr-FR"/>
              </w:rPr>
              <w:t>Zinc et ses composés (en Zn)</w:t>
            </w:r>
          </w:p>
        </w:tc>
        <w:tc>
          <w:tcPr>
            <w:tcW w:w="1431"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61433D6C" w14:textId="77777777" w:rsidR="001C1505" w:rsidRPr="00953C45" w:rsidRDefault="001C1505" w:rsidP="00647AD3">
            <w:pPr>
              <w:jc w:val="center"/>
              <w:rPr>
                <w:b/>
                <w:bCs/>
                <w:sz w:val="21"/>
                <w:szCs w:val="21"/>
                <w:lang w:eastAsia="fr-FR"/>
              </w:rPr>
            </w:pPr>
            <w:r w:rsidRPr="00953C45">
              <w:rPr>
                <w:b/>
                <w:bCs/>
                <w:sz w:val="21"/>
                <w:szCs w:val="21"/>
                <w:lang w:eastAsia="fr-FR"/>
              </w:rPr>
              <w:t>7440-66-6</w:t>
            </w:r>
          </w:p>
        </w:tc>
        <w:tc>
          <w:tcPr>
            <w:tcW w:w="1134"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6B985044" w14:textId="77777777" w:rsidR="001C1505" w:rsidRPr="00953C45" w:rsidRDefault="001C1505" w:rsidP="00647AD3">
            <w:pPr>
              <w:jc w:val="center"/>
              <w:rPr>
                <w:b/>
                <w:bCs/>
                <w:sz w:val="21"/>
                <w:szCs w:val="21"/>
                <w:lang w:eastAsia="fr-FR"/>
              </w:rPr>
            </w:pPr>
            <w:r w:rsidRPr="00953C45">
              <w:rPr>
                <w:b/>
                <w:bCs/>
                <w:sz w:val="21"/>
                <w:szCs w:val="21"/>
                <w:lang w:eastAsia="fr-FR"/>
              </w:rPr>
              <w:t>1383</w:t>
            </w:r>
          </w:p>
        </w:tc>
        <w:tc>
          <w:tcPr>
            <w:tcW w:w="1445"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tcPr>
          <w:p w14:paraId="4D4C4075" w14:textId="77777777" w:rsidR="001C1505" w:rsidRPr="00953C45" w:rsidRDefault="001C1505" w:rsidP="00647AD3">
            <w:pPr>
              <w:jc w:val="center"/>
              <w:rPr>
                <w:b/>
                <w:bCs/>
                <w:sz w:val="21"/>
                <w:szCs w:val="21"/>
                <w:lang w:eastAsia="fr-FR"/>
              </w:rPr>
            </w:pPr>
            <w:r w:rsidRPr="00953C45">
              <w:rPr>
                <w:b/>
                <w:bCs/>
                <w:sz w:val="21"/>
                <w:szCs w:val="21"/>
                <w:lang w:eastAsia="fr-FR"/>
              </w:rPr>
              <w:t>0,8</w:t>
            </w:r>
          </w:p>
        </w:tc>
        <w:tc>
          <w:tcPr>
            <w:tcW w:w="1793" w:type="dxa"/>
            <w:tcBorders>
              <w:top w:val="outset" w:sz="6" w:space="0" w:color="auto"/>
              <w:left w:val="outset" w:sz="6" w:space="0" w:color="auto"/>
              <w:bottom w:val="single" w:sz="6" w:space="0" w:color="D8D8D8"/>
              <w:right w:val="nil"/>
            </w:tcBorders>
            <w:shd w:val="clear" w:color="auto" w:fill="F5F5F5"/>
            <w:vAlign w:val="center"/>
          </w:tcPr>
          <w:p w14:paraId="015196CF" w14:textId="77777777" w:rsidR="001C1505" w:rsidRPr="00953C45" w:rsidRDefault="001C1505" w:rsidP="00647AD3">
            <w:pPr>
              <w:jc w:val="center"/>
              <w:rPr>
                <w:b/>
                <w:bCs/>
                <w:sz w:val="21"/>
                <w:szCs w:val="21"/>
                <w:lang w:eastAsia="fr-FR"/>
              </w:rPr>
            </w:pPr>
            <w:r>
              <w:rPr>
                <w:b/>
                <w:bCs/>
                <w:sz w:val="21"/>
                <w:szCs w:val="21"/>
                <w:lang w:eastAsia="fr-FR"/>
              </w:rPr>
              <w:t>0.080</w:t>
            </w:r>
          </w:p>
        </w:tc>
      </w:tr>
      <w:tr w:rsidR="001C1505" w:rsidRPr="00953C45" w14:paraId="3CBD53AC"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51448CF" w14:textId="77777777" w:rsidR="001C1505" w:rsidRPr="00953C45" w:rsidRDefault="001C1505" w:rsidP="00647AD3">
            <w:pPr>
              <w:rPr>
                <w:b/>
                <w:bCs/>
                <w:sz w:val="21"/>
                <w:szCs w:val="21"/>
                <w:lang w:eastAsia="fr-FR"/>
              </w:rPr>
            </w:pPr>
            <w:r w:rsidRPr="00953C45">
              <w:rPr>
                <w:b/>
                <w:bCs/>
                <w:sz w:val="21"/>
                <w:szCs w:val="21"/>
                <w:lang w:eastAsia="fr-FR"/>
              </w:rPr>
              <w:t>Phosphore total</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639F399" w14:textId="77777777" w:rsidR="001C1505" w:rsidRPr="00953C45" w:rsidRDefault="001C1505" w:rsidP="00647AD3">
            <w:pPr>
              <w:jc w:val="center"/>
              <w:rPr>
                <w:b/>
                <w:bCs/>
                <w:sz w:val="21"/>
                <w:szCs w:val="21"/>
                <w:lang w:eastAsia="fr-FR"/>
              </w:rPr>
            </w:pPr>
            <w:r w:rsidRPr="00953C45">
              <w:rPr>
                <w:b/>
                <w:bCs/>
                <w:sz w:val="21"/>
                <w:szCs w:val="21"/>
                <w:lang w:eastAsia="fr-FR"/>
              </w:rPr>
              <w:t>-</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842EDDD" w14:textId="77777777" w:rsidR="001C1505" w:rsidRPr="00953C45" w:rsidRDefault="001C1505" w:rsidP="00647AD3">
            <w:pPr>
              <w:jc w:val="center"/>
              <w:rPr>
                <w:b/>
                <w:bCs/>
                <w:sz w:val="21"/>
                <w:szCs w:val="21"/>
                <w:lang w:eastAsia="fr-FR"/>
              </w:rPr>
            </w:pPr>
            <w:r w:rsidRPr="00953C45">
              <w:rPr>
                <w:b/>
                <w:bCs/>
                <w:sz w:val="21"/>
                <w:szCs w:val="21"/>
                <w:lang w:eastAsia="fr-FR"/>
              </w:rPr>
              <w:t>1350</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AAC1F19" w14:textId="77777777" w:rsidR="001C1505" w:rsidRPr="00953C45" w:rsidRDefault="001C1505" w:rsidP="00647AD3">
            <w:pPr>
              <w:jc w:val="center"/>
              <w:rPr>
                <w:b/>
                <w:bCs/>
                <w:sz w:val="21"/>
                <w:szCs w:val="21"/>
                <w:lang w:eastAsia="fr-FR"/>
              </w:rPr>
            </w:pPr>
            <w:r w:rsidRPr="00953C45">
              <w:rPr>
                <w:b/>
                <w:bCs/>
                <w:sz w:val="21"/>
                <w:szCs w:val="21"/>
                <w:lang w:eastAsia="fr-FR"/>
              </w:rPr>
              <w:t>10</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4831E224" w14:textId="77777777" w:rsidR="001C1505" w:rsidRPr="00953C45" w:rsidRDefault="001C1505" w:rsidP="00647AD3">
            <w:pPr>
              <w:jc w:val="center"/>
              <w:rPr>
                <w:b/>
                <w:bCs/>
                <w:sz w:val="21"/>
                <w:szCs w:val="21"/>
                <w:lang w:eastAsia="fr-FR"/>
              </w:rPr>
            </w:pPr>
            <w:r>
              <w:rPr>
                <w:b/>
                <w:bCs/>
                <w:sz w:val="21"/>
                <w:szCs w:val="21"/>
                <w:lang w:eastAsia="fr-FR"/>
              </w:rPr>
              <w:t>10</w:t>
            </w:r>
          </w:p>
        </w:tc>
      </w:tr>
      <w:tr w:rsidR="001C1505" w:rsidRPr="00953C45" w14:paraId="40FA1C62"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63FCA18" w14:textId="77777777" w:rsidR="001C1505" w:rsidRPr="00953C45" w:rsidRDefault="001C1505" w:rsidP="00647AD3">
            <w:pPr>
              <w:rPr>
                <w:b/>
                <w:bCs/>
                <w:sz w:val="21"/>
                <w:szCs w:val="21"/>
                <w:lang w:eastAsia="fr-FR"/>
              </w:rPr>
            </w:pPr>
            <w:r w:rsidRPr="00953C45">
              <w:rPr>
                <w:b/>
                <w:bCs/>
                <w:sz w:val="21"/>
                <w:szCs w:val="21"/>
                <w:lang w:eastAsia="fr-FR"/>
              </w:rPr>
              <w:t>Sulfates</w:t>
            </w:r>
          </w:p>
        </w:tc>
        <w:tc>
          <w:tcPr>
            <w:tcW w:w="1431"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838E80B" w14:textId="77777777" w:rsidR="001C1505" w:rsidRPr="00953C45" w:rsidRDefault="001C1505" w:rsidP="00647AD3">
            <w:pPr>
              <w:jc w:val="center"/>
              <w:rPr>
                <w:b/>
                <w:bCs/>
                <w:sz w:val="21"/>
                <w:szCs w:val="21"/>
                <w:lang w:eastAsia="fr-FR"/>
              </w:rPr>
            </w:pPr>
            <w:r w:rsidRPr="00953C45">
              <w:rPr>
                <w:b/>
                <w:bCs/>
                <w:sz w:val="21"/>
                <w:szCs w:val="21"/>
                <w:lang w:eastAsia="fr-FR"/>
              </w:rPr>
              <w:t>14808-79-8</w:t>
            </w:r>
          </w:p>
        </w:tc>
        <w:tc>
          <w:tcPr>
            <w:tcW w:w="1134"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A2AA1FF" w14:textId="77777777" w:rsidR="001C1505" w:rsidRPr="00953C45" w:rsidRDefault="001C1505" w:rsidP="00647AD3">
            <w:pPr>
              <w:jc w:val="center"/>
              <w:rPr>
                <w:b/>
                <w:bCs/>
                <w:sz w:val="21"/>
                <w:szCs w:val="21"/>
                <w:lang w:eastAsia="fr-FR"/>
              </w:rPr>
            </w:pPr>
            <w:r w:rsidRPr="00953C45">
              <w:rPr>
                <w:b/>
                <w:bCs/>
                <w:sz w:val="21"/>
                <w:szCs w:val="21"/>
                <w:lang w:eastAsia="fr-FR"/>
              </w:rPr>
              <w:t>1338</w:t>
            </w:r>
          </w:p>
        </w:tc>
        <w:tc>
          <w:tcPr>
            <w:tcW w:w="1445"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0958FBA" w14:textId="77777777" w:rsidR="001C1505" w:rsidRPr="00953C45" w:rsidRDefault="001C1505" w:rsidP="00647AD3">
            <w:pPr>
              <w:jc w:val="center"/>
              <w:rPr>
                <w:b/>
                <w:bCs/>
                <w:sz w:val="21"/>
                <w:szCs w:val="21"/>
                <w:lang w:eastAsia="fr-FR"/>
              </w:rPr>
            </w:pPr>
            <w:r w:rsidRPr="00953C45">
              <w:rPr>
                <w:b/>
                <w:bCs/>
                <w:sz w:val="21"/>
                <w:szCs w:val="21"/>
                <w:lang w:eastAsia="fr-FR"/>
              </w:rPr>
              <w:t>2000</w:t>
            </w:r>
          </w:p>
        </w:tc>
        <w:tc>
          <w:tcPr>
            <w:tcW w:w="1793" w:type="dxa"/>
            <w:tcBorders>
              <w:top w:val="outset" w:sz="6" w:space="0" w:color="auto"/>
              <w:left w:val="outset" w:sz="6" w:space="0" w:color="auto"/>
              <w:bottom w:val="single" w:sz="6" w:space="0" w:color="D8D8D8"/>
              <w:right w:val="nil"/>
            </w:tcBorders>
            <w:shd w:val="clear" w:color="auto" w:fill="F5F5F5"/>
            <w:vAlign w:val="center"/>
          </w:tcPr>
          <w:p w14:paraId="74B78F1C" w14:textId="77777777" w:rsidR="001C1505" w:rsidRPr="00953C45" w:rsidRDefault="001C1505" w:rsidP="00647AD3">
            <w:pPr>
              <w:jc w:val="center"/>
              <w:rPr>
                <w:b/>
                <w:bCs/>
                <w:sz w:val="21"/>
                <w:szCs w:val="21"/>
                <w:lang w:eastAsia="fr-FR"/>
              </w:rPr>
            </w:pPr>
            <w:r>
              <w:rPr>
                <w:b/>
                <w:bCs/>
                <w:sz w:val="21"/>
                <w:szCs w:val="21"/>
                <w:lang w:eastAsia="fr-FR"/>
              </w:rPr>
              <w:t>2000</w:t>
            </w:r>
          </w:p>
        </w:tc>
      </w:tr>
      <w:tr w:rsidR="001C1505" w:rsidRPr="00953C45" w14:paraId="442ADEFE"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61FB524" w14:textId="77777777" w:rsidR="001C1505" w:rsidRPr="00953C45" w:rsidRDefault="001C1505" w:rsidP="00647AD3">
            <w:pPr>
              <w:rPr>
                <w:b/>
                <w:bCs/>
                <w:sz w:val="21"/>
                <w:szCs w:val="21"/>
                <w:lang w:eastAsia="fr-FR"/>
              </w:rPr>
            </w:pPr>
            <w:r w:rsidRPr="00953C45">
              <w:rPr>
                <w:b/>
                <w:bCs/>
                <w:sz w:val="21"/>
                <w:szCs w:val="21"/>
                <w:lang w:eastAsia="fr-FR"/>
              </w:rPr>
              <w:t>Sulfites</w:t>
            </w:r>
          </w:p>
        </w:tc>
        <w:tc>
          <w:tcPr>
            <w:tcW w:w="1431"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975023E" w14:textId="77777777" w:rsidR="001C1505" w:rsidRPr="00953C45" w:rsidRDefault="001C1505" w:rsidP="00647AD3">
            <w:pPr>
              <w:jc w:val="center"/>
              <w:rPr>
                <w:b/>
                <w:bCs/>
                <w:sz w:val="21"/>
                <w:szCs w:val="21"/>
                <w:lang w:eastAsia="fr-FR"/>
              </w:rPr>
            </w:pPr>
            <w:r w:rsidRPr="00953C45">
              <w:rPr>
                <w:b/>
                <w:bCs/>
                <w:sz w:val="21"/>
                <w:szCs w:val="21"/>
                <w:lang w:eastAsia="fr-FR"/>
              </w:rPr>
              <w:t>14265-45-3</w:t>
            </w:r>
          </w:p>
        </w:tc>
        <w:tc>
          <w:tcPr>
            <w:tcW w:w="1134"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8E3C809" w14:textId="77777777" w:rsidR="001C1505" w:rsidRPr="00953C45" w:rsidRDefault="001C1505" w:rsidP="00647AD3">
            <w:pPr>
              <w:jc w:val="center"/>
              <w:rPr>
                <w:b/>
                <w:bCs/>
                <w:sz w:val="21"/>
                <w:szCs w:val="21"/>
                <w:lang w:eastAsia="fr-FR"/>
              </w:rPr>
            </w:pPr>
            <w:r w:rsidRPr="00953C45">
              <w:rPr>
                <w:b/>
                <w:bCs/>
                <w:sz w:val="21"/>
                <w:szCs w:val="21"/>
                <w:lang w:eastAsia="fr-FR"/>
              </w:rPr>
              <w:t>1086</w:t>
            </w:r>
          </w:p>
        </w:tc>
        <w:tc>
          <w:tcPr>
            <w:tcW w:w="1445"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157DCE00" w14:textId="77777777" w:rsidR="001C1505" w:rsidRPr="00953C45" w:rsidRDefault="001C1505" w:rsidP="00647AD3">
            <w:pPr>
              <w:jc w:val="center"/>
              <w:rPr>
                <w:b/>
                <w:bCs/>
                <w:sz w:val="21"/>
                <w:szCs w:val="21"/>
                <w:lang w:eastAsia="fr-FR"/>
              </w:rPr>
            </w:pPr>
            <w:r w:rsidRPr="00953C45">
              <w:rPr>
                <w:b/>
                <w:bCs/>
                <w:sz w:val="21"/>
                <w:szCs w:val="21"/>
                <w:lang w:eastAsia="fr-FR"/>
              </w:rPr>
              <w:t>20</w:t>
            </w:r>
          </w:p>
        </w:tc>
        <w:tc>
          <w:tcPr>
            <w:tcW w:w="1793" w:type="dxa"/>
            <w:tcBorders>
              <w:top w:val="outset" w:sz="6" w:space="0" w:color="auto"/>
              <w:left w:val="outset" w:sz="6" w:space="0" w:color="auto"/>
              <w:bottom w:val="single" w:sz="6" w:space="0" w:color="D8D8D8"/>
              <w:right w:val="nil"/>
            </w:tcBorders>
            <w:shd w:val="clear" w:color="auto" w:fill="EEEEEE"/>
            <w:vAlign w:val="center"/>
          </w:tcPr>
          <w:p w14:paraId="1654897B" w14:textId="77777777" w:rsidR="001C1505" w:rsidRPr="00953C45" w:rsidRDefault="001C1505" w:rsidP="00647AD3">
            <w:pPr>
              <w:jc w:val="center"/>
              <w:rPr>
                <w:b/>
                <w:bCs/>
                <w:sz w:val="21"/>
                <w:szCs w:val="21"/>
                <w:lang w:eastAsia="fr-FR"/>
              </w:rPr>
            </w:pPr>
            <w:r>
              <w:rPr>
                <w:b/>
                <w:bCs/>
                <w:sz w:val="21"/>
                <w:szCs w:val="21"/>
                <w:lang w:eastAsia="fr-FR"/>
              </w:rPr>
              <w:t>20</w:t>
            </w:r>
          </w:p>
        </w:tc>
      </w:tr>
      <w:tr w:rsidR="001C1505" w:rsidRPr="00953C45" w14:paraId="0C4C1A6B" w14:textId="77777777" w:rsidTr="00647AD3">
        <w:trPr>
          <w:jc w:val="center"/>
        </w:trPr>
        <w:tc>
          <w:tcPr>
            <w:tcW w:w="3253" w:type="dxa"/>
            <w:gridSpan w:val="2"/>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BB98FAA" w14:textId="77777777" w:rsidR="001C1505" w:rsidRPr="00953C45" w:rsidRDefault="001C1505" w:rsidP="00647AD3">
            <w:pPr>
              <w:rPr>
                <w:b/>
                <w:bCs/>
                <w:sz w:val="21"/>
                <w:szCs w:val="21"/>
                <w:lang w:eastAsia="fr-FR"/>
              </w:rPr>
            </w:pPr>
            <w:r w:rsidRPr="00953C45">
              <w:rPr>
                <w:b/>
                <w:bCs/>
                <w:sz w:val="21"/>
                <w:szCs w:val="21"/>
                <w:lang w:eastAsia="fr-FR"/>
              </w:rPr>
              <w:t>Sulfures</w:t>
            </w:r>
          </w:p>
        </w:tc>
        <w:tc>
          <w:tcPr>
            <w:tcW w:w="1431"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8C93AFB" w14:textId="77777777" w:rsidR="001C1505" w:rsidRPr="00953C45" w:rsidRDefault="001C1505" w:rsidP="00647AD3">
            <w:pPr>
              <w:jc w:val="center"/>
              <w:rPr>
                <w:b/>
                <w:bCs/>
                <w:sz w:val="21"/>
                <w:szCs w:val="21"/>
                <w:lang w:eastAsia="fr-FR"/>
              </w:rPr>
            </w:pPr>
            <w:r w:rsidRPr="00953C45">
              <w:rPr>
                <w:b/>
                <w:bCs/>
                <w:sz w:val="21"/>
                <w:szCs w:val="21"/>
                <w:lang w:eastAsia="fr-FR"/>
              </w:rPr>
              <w:t>18496-25-8</w:t>
            </w:r>
          </w:p>
        </w:tc>
        <w:tc>
          <w:tcPr>
            <w:tcW w:w="1134"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AE8A14D" w14:textId="77777777" w:rsidR="001C1505" w:rsidRPr="00953C45" w:rsidRDefault="001C1505" w:rsidP="00647AD3">
            <w:pPr>
              <w:jc w:val="center"/>
              <w:rPr>
                <w:b/>
                <w:bCs/>
                <w:sz w:val="21"/>
                <w:szCs w:val="21"/>
                <w:lang w:eastAsia="fr-FR"/>
              </w:rPr>
            </w:pPr>
            <w:r w:rsidRPr="00953C45">
              <w:rPr>
                <w:b/>
                <w:bCs/>
                <w:sz w:val="21"/>
                <w:szCs w:val="21"/>
                <w:lang w:eastAsia="fr-FR"/>
              </w:rPr>
              <w:t>1355</w:t>
            </w:r>
          </w:p>
        </w:tc>
        <w:tc>
          <w:tcPr>
            <w:tcW w:w="1445"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0980D2F4" w14:textId="77777777" w:rsidR="001C1505" w:rsidRPr="00953C45" w:rsidRDefault="001C1505" w:rsidP="00647AD3">
            <w:pPr>
              <w:jc w:val="center"/>
              <w:rPr>
                <w:b/>
                <w:bCs/>
                <w:sz w:val="21"/>
                <w:szCs w:val="21"/>
                <w:lang w:eastAsia="fr-FR"/>
              </w:rPr>
            </w:pPr>
            <w:r w:rsidRPr="00953C45">
              <w:rPr>
                <w:b/>
                <w:bCs/>
                <w:sz w:val="21"/>
                <w:szCs w:val="21"/>
                <w:lang w:eastAsia="fr-FR"/>
              </w:rPr>
              <w:t>0,2</w:t>
            </w:r>
          </w:p>
        </w:tc>
        <w:tc>
          <w:tcPr>
            <w:tcW w:w="1793" w:type="dxa"/>
            <w:tcBorders>
              <w:top w:val="outset" w:sz="6" w:space="0" w:color="auto"/>
              <w:left w:val="outset" w:sz="6" w:space="0" w:color="auto"/>
              <w:bottom w:val="single" w:sz="6" w:space="0" w:color="D8D8D8"/>
              <w:right w:val="nil"/>
            </w:tcBorders>
            <w:shd w:val="clear" w:color="auto" w:fill="F5F5F5"/>
            <w:vAlign w:val="center"/>
          </w:tcPr>
          <w:p w14:paraId="2E299529" w14:textId="77777777" w:rsidR="001C1505" w:rsidRPr="00953C45" w:rsidRDefault="001C1505" w:rsidP="00647AD3">
            <w:pPr>
              <w:jc w:val="center"/>
              <w:rPr>
                <w:b/>
                <w:bCs/>
                <w:sz w:val="21"/>
                <w:szCs w:val="21"/>
                <w:lang w:eastAsia="fr-FR"/>
              </w:rPr>
            </w:pPr>
            <w:r>
              <w:rPr>
                <w:b/>
                <w:bCs/>
                <w:sz w:val="21"/>
                <w:szCs w:val="21"/>
                <w:lang w:eastAsia="fr-FR"/>
              </w:rPr>
              <w:t>0,2</w:t>
            </w:r>
          </w:p>
        </w:tc>
      </w:tr>
    </w:tbl>
    <w:bookmarkEnd w:id="37"/>
    <w:p w14:paraId="7684688F" w14:textId="5FD3282F" w:rsidR="00457A2A" w:rsidRPr="00457A2A" w:rsidRDefault="00457A2A" w:rsidP="002B0DC1">
      <w:pPr>
        <w:pStyle w:val="Paragraphedeliste"/>
        <w:spacing w:after="240" w:line="240" w:lineRule="auto"/>
        <w:ind w:left="0"/>
        <w:jc w:val="both"/>
        <w:rPr>
          <w:rFonts w:ascii="Times New Roman" w:eastAsia="Times New Roman" w:hAnsi="Times New Roman"/>
          <w:color w:val="000000"/>
          <w:sz w:val="24"/>
          <w:szCs w:val="24"/>
        </w:rPr>
      </w:pPr>
      <w:r w:rsidRPr="00457A2A">
        <w:rPr>
          <w:rFonts w:ascii="Times New Roman" w:eastAsia="Times New Roman" w:hAnsi="Times New Roman"/>
          <w:color w:val="000000"/>
          <w:sz w:val="24"/>
          <w:szCs w:val="24"/>
        </w:rPr>
        <w:t>« (1) Cette valeur ne s'applique pas si</w:t>
      </w:r>
      <w:r w:rsidR="00E2464C">
        <w:rPr>
          <w:rFonts w:ascii="Times New Roman" w:eastAsia="Times New Roman" w:hAnsi="Times New Roman"/>
          <w:color w:val="000000"/>
          <w:sz w:val="24"/>
          <w:szCs w:val="24"/>
        </w:rPr>
        <w:t>,</w:t>
      </w:r>
      <w:r w:rsidRPr="00457A2A">
        <w:rPr>
          <w:rFonts w:ascii="Times New Roman" w:eastAsia="Times New Roman" w:hAnsi="Times New Roman"/>
          <w:color w:val="000000"/>
          <w:sz w:val="24"/>
          <w:szCs w:val="24"/>
        </w:rPr>
        <w:t xml:space="preserve"> pour au moins 80 % du flux d’AOX, les substances organochlorées composant le mélange sont clairement identifiées et que leurs niveaux d’émissions sont déjà réglementés de manière individuelle.</w:t>
      </w:r>
    </w:p>
    <w:p w14:paraId="50AC1C3A" w14:textId="7598EDDB" w:rsidR="00457A2A" w:rsidRPr="00457A2A" w:rsidRDefault="00457A2A" w:rsidP="002B0DC1">
      <w:pPr>
        <w:pStyle w:val="Paragraphedeliste"/>
        <w:spacing w:after="240" w:line="240" w:lineRule="auto"/>
        <w:ind w:left="0"/>
        <w:jc w:val="both"/>
        <w:rPr>
          <w:rFonts w:ascii="Times New Roman" w:eastAsia="Times New Roman" w:hAnsi="Times New Roman"/>
          <w:color w:val="000000"/>
          <w:sz w:val="24"/>
          <w:szCs w:val="24"/>
        </w:rPr>
      </w:pPr>
      <w:r w:rsidRPr="00457A2A">
        <w:rPr>
          <w:rFonts w:ascii="Times New Roman" w:eastAsia="Times New Roman" w:hAnsi="Times New Roman"/>
          <w:color w:val="000000"/>
          <w:sz w:val="24"/>
          <w:szCs w:val="24"/>
        </w:rPr>
        <w:t>« (2) Les périodes d’établissement des valeurs moyennes se rapportent à des valeurs moyennes journalières, c’est-à-dire à des échantillons moyens proportionnels au débit</w:t>
      </w:r>
      <w:r w:rsidR="00880D1D">
        <w:rPr>
          <w:rFonts w:ascii="Times New Roman" w:eastAsia="Times New Roman" w:hAnsi="Times New Roman"/>
          <w:color w:val="000000"/>
          <w:sz w:val="24"/>
          <w:szCs w:val="24"/>
        </w:rPr>
        <w:t>,</w:t>
      </w:r>
      <w:r w:rsidRPr="00457A2A">
        <w:rPr>
          <w:rFonts w:ascii="Times New Roman" w:eastAsia="Times New Roman" w:hAnsi="Times New Roman"/>
          <w:color w:val="000000"/>
          <w:sz w:val="24"/>
          <w:szCs w:val="24"/>
        </w:rPr>
        <w:t xml:space="preserve"> prélevés sur 24 heures. Il est possible d’utiliser des échantillons moyens proportionnels au temps, à condition qu’il puisse être démontré que le débit est suffisant stable.</w:t>
      </w:r>
    </w:p>
    <w:p w14:paraId="75C3B4A9" w14:textId="53BB30CC" w:rsidR="00457A2A" w:rsidRPr="00457A2A" w:rsidRDefault="00457A2A" w:rsidP="002B0DC1">
      <w:pPr>
        <w:pStyle w:val="Paragraphedeliste"/>
        <w:widowControl w:val="0"/>
        <w:suppressAutoHyphens/>
        <w:spacing w:after="0" w:line="252" w:lineRule="auto"/>
        <w:ind w:left="0"/>
        <w:jc w:val="both"/>
        <w:rPr>
          <w:rFonts w:ascii="Times New Roman" w:eastAsia="Times New Roman" w:hAnsi="Times New Roman"/>
          <w:color w:val="000000"/>
          <w:sz w:val="24"/>
          <w:szCs w:val="24"/>
        </w:rPr>
      </w:pPr>
      <w:r w:rsidRPr="00457A2A">
        <w:rPr>
          <w:rFonts w:ascii="Times New Roman" w:eastAsia="Times New Roman" w:hAnsi="Times New Roman"/>
          <w:color w:val="000000"/>
          <w:sz w:val="24"/>
          <w:szCs w:val="24"/>
        </w:rPr>
        <w:t xml:space="preserve">« (3) Lorsque l'installation est raccordée à une station d'épuration </w:t>
      </w:r>
      <w:r w:rsidR="0056000E" w:rsidRPr="0056000E">
        <w:rPr>
          <w:rFonts w:ascii="Times New Roman" w:eastAsia="Times New Roman" w:hAnsi="Times New Roman"/>
          <w:color w:val="000000"/>
          <w:sz w:val="24"/>
          <w:szCs w:val="24"/>
        </w:rPr>
        <w:t>qui n’est pas exploitée par le producteur des eaux résiduaires industrielles,</w:t>
      </w:r>
      <w:r w:rsidR="0056000E">
        <w:rPr>
          <w:rFonts w:ascii="Times New Roman" w:eastAsia="Times New Roman" w:hAnsi="Times New Roman"/>
          <w:color w:val="000000"/>
          <w:sz w:val="24"/>
          <w:szCs w:val="24"/>
        </w:rPr>
        <w:t xml:space="preserve"> </w:t>
      </w:r>
      <w:r w:rsidRPr="00457A2A">
        <w:rPr>
          <w:rFonts w:ascii="Times New Roman" w:eastAsia="Times New Roman" w:hAnsi="Times New Roman"/>
          <w:color w:val="000000"/>
          <w:sz w:val="24"/>
          <w:szCs w:val="24"/>
        </w:rPr>
        <w:t xml:space="preserve">et sous réserve du respect </w:t>
      </w:r>
      <w:r w:rsidR="0056000E">
        <w:rPr>
          <w:rFonts w:ascii="Times New Roman" w:eastAsia="Times New Roman" w:hAnsi="Times New Roman"/>
          <w:color w:val="000000"/>
          <w:sz w:val="24"/>
          <w:szCs w:val="24"/>
        </w:rPr>
        <w:t xml:space="preserve">du III </w:t>
      </w:r>
      <w:r w:rsidRPr="00457A2A">
        <w:rPr>
          <w:rFonts w:ascii="Times New Roman" w:eastAsia="Times New Roman" w:hAnsi="Times New Roman"/>
          <w:color w:val="000000"/>
          <w:sz w:val="24"/>
          <w:szCs w:val="24"/>
        </w:rPr>
        <w:t xml:space="preserve">de l'article R. 515-65 </w:t>
      </w:r>
      <w:r w:rsidR="0056000E">
        <w:rPr>
          <w:rFonts w:ascii="Times New Roman" w:eastAsia="Times New Roman" w:hAnsi="Times New Roman"/>
          <w:color w:val="000000"/>
          <w:sz w:val="24"/>
          <w:szCs w:val="24"/>
        </w:rPr>
        <w:t>du code de l’environnement,</w:t>
      </w:r>
      <w:r w:rsidRPr="00457A2A">
        <w:rPr>
          <w:rFonts w:ascii="Times New Roman" w:eastAsia="Times New Roman" w:hAnsi="Times New Roman"/>
          <w:color w:val="000000"/>
          <w:sz w:val="24"/>
          <w:szCs w:val="24"/>
        </w:rPr>
        <w:t xml:space="preserve"> l'arrêté préfectoral d'autorisation peut fixer une valeur limite de concentration n'excédant pas les valeurs limites indiquées dans le tableau divisées par « 1-taux d'abattement » de la station.</w:t>
      </w:r>
      <w:r w:rsidR="00676D2B">
        <w:rPr>
          <w:rFonts w:ascii="Times New Roman" w:eastAsia="Times New Roman" w:hAnsi="Times New Roman"/>
          <w:color w:val="000000"/>
          <w:sz w:val="24"/>
          <w:szCs w:val="24"/>
        </w:rPr>
        <w:t xml:space="preserve"> </w:t>
      </w:r>
      <w:r w:rsidR="00676D2B" w:rsidRPr="00676D2B">
        <w:rPr>
          <w:rFonts w:ascii="Times New Roman" w:eastAsia="Times New Roman" w:hAnsi="Times New Roman"/>
          <w:color w:val="000000"/>
          <w:sz w:val="24"/>
          <w:szCs w:val="24"/>
        </w:rPr>
        <w:t>Le préfet peut fixer une valeur différente par arrêté préfectoral</w:t>
      </w:r>
      <w:r w:rsidR="00676D2B">
        <w:rPr>
          <w:rFonts w:ascii="Times New Roman" w:eastAsia="Times New Roman" w:hAnsi="Times New Roman"/>
          <w:color w:val="000000"/>
          <w:sz w:val="24"/>
          <w:szCs w:val="24"/>
        </w:rPr>
        <w:t>.</w:t>
      </w:r>
      <w:r w:rsidR="00676D2B" w:rsidRPr="00676D2B">
        <w:rPr>
          <w:rFonts w:ascii="Times New Roman" w:eastAsia="Times New Roman" w:hAnsi="Times New Roman"/>
          <w:color w:val="000000"/>
          <w:sz w:val="24"/>
          <w:szCs w:val="24"/>
        </w:rPr>
        <w:t xml:space="preserve"> Cette disposition n’est pas applicable pour les micropolluants (AOX, As, Cd, Cu, Cr, Hg, Ni, Pb, Zn, F</w:t>
      </w:r>
      <w:r w:rsidR="00676D2B" w:rsidRPr="008347B2">
        <w:rPr>
          <w:rFonts w:ascii="Times New Roman" w:eastAsia="Times New Roman" w:hAnsi="Times New Roman"/>
          <w:color w:val="000000"/>
          <w:sz w:val="24"/>
          <w:szCs w:val="24"/>
          <w:vertAlign w:val="superscript"/>
        </w:rPr>
        <w:t>-</w:t>
      </w:r>
      <w:r w:rsidR="00676D2B" w:rsidRPr="00676D2B">
        <w:rPr>
          <w:rFonts w:ascii="Times New Roman" w:eastAsia="Times New Roman" w:hAnsi="Times New Roman"/>
          <w:color w:val="000000"/>
          <w:sz w:val="24"/>
          <w:szCs w:val="24"/>
        </w:rPr>
        <w:t>, sulfates, sulfites, sulfures) dans le cas d’un raccordement à une station d’épuration urbaine.</w:t>
      </w:r>
      <w:r w:rsidRPr="00457A2A">
        <w:rPr>
          <w:rFonts w:ascii="Times New Roman" w:eastAsia="Times New Roman" w:hAnsi="Times New Roman"/>
          <w:color w:val="000000"/>
          <w:sz w:val="24"/>
          <w:szCs w:val="24"/>
        </w:rPr>
        <w:t> »</w:t>
      </w:r>
    </w:p>
    <w:p w14:paraId="4790781E" w14:textId="639B3025" w:rsidR="00457A2A" w:rsidRDefault="00457A2A" w:rsidP="00457A2A">
      <w:pPr>
        <w:shd w:val="clear" w:color="auto" w:fill="FFFFFF"/>
        <w:spacing w:after="240"/>
        <w:jc w:val="both"/>
        <w:rPr>
          <w:color w:val="000000"/>
          <w:lang w:eastAsia="fr-FR"/>
        </w:rPr>
      </w:pPr>
    </w:p>
    <w:p w14:paraId="5392E6F6" w14:textId="50027F26" w:rsidR="00457A2A" w:rsidRPr="00457A2A" w:rsidRDefault="00E2464C" w:rsidP="00077777">
      <w:pPr>
        <w:shd w:val="clear" w:color="auto" w:fill="FFFFFF"/>
        <w:jc w:val="both"/>
        <w:rPr>
          <w:color w:val="000000"/>
          <w:lang w:eastAsia="fr-FR"/>
        </w:rPr>
      </w:pPr>
      <w:r>
        <w:rPr>
          <w:color w:val="000000"/>
          <w:lang w:eastAsia="fr-FR"/>
        </w:rPr>
        <w:t>5°</w:t>
      </w:r>
      <w:r w:rsidR="00457A2A">
        <w:rPr>
          <w:color w:val="000000"/>
          <w:lang w:eastAsia="fr-FR"/>
        </w:rPr>
        <w:t xml:space="preserve"> Après le </w:t>
      </w:r>
      <w:r w:rsidR="00F905D4">
        <w:rPr>
          <w:color w:val="000000"/>
          <w:lang w:eastAsia="fr-FR"/>
        </w:rPr>
        <w:t xml:space="preserve">troisième </w:t>
      </w:r>
      <w:r w:rsidR="00457A2A">
        <w:rPr>
          <w:color w:val="000000"/>
          <w:lang w:eastAsia="fr-FR"/>
        </w:rPr>
        <w:t xml:space="preserve">alinéa, l’alinéa </w:t>
      </w:r>
      <w:r w:rsidR="00457A2A" w:rsidRPr="00457A2A">
        <w:rPr>
          <w:color w:val="000000"/>
          <w:lang w:eastAsia="fr-FR"/>
        </w:rPr>
        <w:t>suivant est inséré :</w:t>
      </w:r>
    </w:p>
    <w:p w14:paraId="366B4FDD" w14:textId="62347413" w:rsidR="00457A2A" w:rsidRPr="00457A2A" w:rsidRDefault="00457A2A" w:rsidP="00457A2A">
      <w:pPr>
        <w:shd w:val="clear" w:color="auto" w:fill="FFFFFF"/>
        <w:spacing w:after="240"/>
        <w:jc w:val="both"/>
        <w:rPr>
          <w:color w:val="000000"/>
          <w:lang w:eastAsia="fr-FR"/>
        </w:rPr>
      </w:pPr>
      <w:r w:rsidRPr="00457A2A">
        <w:rPr>
          <w:color w:val="000000"/>
          <w:lang w:eastAsia="fr-FR"/>
        </w:rPr>
        <w:t>« </w:t>
      </w:r>
      <w:r w:rsidR="0063357F" w:rsidRPr="0063357F">
        <w:rPr>
          <w:color w:val="000000"/>
          <w:lang w:eastAsia="fr-FR"/>
        </w:rPr>
        <w:t xml:space="preserve">L’exploitant d’une chaudière de puissance thermique nominale supérieure ou égale à 15 MW, autorisées avant le 31 juillet 2002 ou qui ont fait l’objet d’une demande d’autorisation avant cette date pour autant qu’elles aient été mises en service au plus tard le 27 novembre 2003, </w:t>
      </w:r>
      <w:r w:rsidR="00F905D4">
        <w:rPr>
          <w:color w:val="000000"/>
          <w:lang w:eastAsia="fr-FR"/>
        </w:rPr>
        <w:t>ou de</w:t>
      </w:r>
      <w:r w:rsidR="0063357F" w:rsidRPr="0063357F">
        <w:rPr>
          <w:color w:val="000000"/>
          <w:lang w:eastAsia="fr-FR"/>
        </w:rPr>
        <w:t xml:space="preserve"> turbines et moteurs autorisés avant le 1</w:t>
      </w:r>
      <w:r w:rsidR="0063357F" w:rsidRPr="008347B2">
        <w:rPr>
          <w:color w:val="000000"/>
          <w:vertAlign w:val="superscript"/>
          <w:lang w:eastAsia="fr-FR"/>
        </w:rPr>
        <w:t>er</w:t>
      </w:r>
      <w:r w:rsidR="0063357F" w:rsidRPr="0063357F">
        <w:rPr>
          <w:color w:val="000000"/>
          <w:lang w:eastAsia="fr-FR"/>
        </w:rPr>
        <w:t xml:space="preserve"> janvier 2014 ne peut plus bénéficier des valeurs limites d’émission ci-dessous, dans les délais mentionnés </w:t>
      </w:r>
      <w:r w:rsidR="00D9011B">
        <w:rPr>
          <w:color w:val="000000"/>
          <w:lang w:eastAsia="fr-FR"/>
        </w:rPr>
        <w:t>au VII de l’article 3</w:t>
      </w:r>
      <w:r w:rsidR="0063357F" w:rsidRPr="0063357F">
        <w:rPr>
          <w:color w:val="000000"/>
          <w:lang w:eastAsia="fr-FR"/>
        </w:rPr>
        <w:t>.</w:t>
      </w:r>
      <w:r w:rsidRPr="00457A2A">
        <w:rPr>
          <w:color w:val="000000"/>
          <w:lang w:eastAsia="fr-FR"/>
        </w:rPr>
        <w:t> ».</w:t>
      </w:r>
    </w:p>
    <w:p w14:paraId="225AA548" w14:textId="65962466" w:rsidR="00457A2A" w:rsidRPr="00077777" w:rsidRDefault="00457A2A" w:rsidP="00077777">
      <w:pPr>
        <w:shd w:val="clear" w:color="auto" w:fill="FFFFFF"/>
        <w:jc w:val="both"/>
        <w:rPr>
          <w:color w:val="000000"/>
          <w:lang w:eastAsia="fr-FR"/>
        </w:rPr>
      </w:pPr>
      <w:r w:rsidRPr="00077777">
        <w:rPr>
          <w:color w:val="000000"/>
          <w:lang w:eastAsia="fr-FR"/>
        </w:rPr>
        <w:t xml:space="preserve">VI. – Le </w:t>
      </w:r>
      <w:r w:rsidR="00F905D4">
        <w:rPr>
          <w:color w:val="000000"/>
          <w:lang w:eastAsia="fr-FR"/>
        </w:rPr>
        <w:t>quatrième</w:t>
      </w:r>
      <w:r w:rsidR="00F905D4" w:rsidRPr="00077777">
        <w:rPr>
          <w:color w:val="000000"/>
          <w:lang w:eastAsia="fr-FR"/>
        </w:rPr>
        <w:t xml:space="preserve"> </w:t>
      </w:r>
      <w:r w:rsidRPr="00077777">
        <w:rPr>
          <w:color w:val="000000"/>
          <w:lang w:eastAsia="fr-FR"/>
        </w:rPr>
        <w:t>alinéa est modifié comme suit :</w:t>
      </w:r>
    </w:p>
    <w:p w14:paraId="744F6805" w14:textId="5F853A77" w:rsidR="00457A2A" w:rsidRPr="00077777" w:rsidRDefault="00457A2A" w:rsidP="00457A2A">
      <w:pPr>
        <w:pStyle w:val="Paragraphedeliste"/>
        <w:numPr>
          <w:ilvl w:val="0"/>
          <w:numId w:val="3"/>
        </w:numPr>
        <w:shd w:val="clear" w:color="auto" w:fill="FFFFFF"/>
        <w:spacing w:after="240"/>
        <w:jc w:val="both"/>
        <w:rPr>
          <w:rFonts w:ascii="Times New Roman" w:hAnsi="Times New Roman"/>
          <w:color w:val="000000"/>
          <w:sz w:val="24"/>
          <w:szCs w:val="24"/>
        </w:rPr>
      </w:pPr>
      <w:proofErr w:type="gramStart"/>
      <w:r w:rsidRPr="00077777">
        <w:rPr>
          <w:rFonts w:ascii="Times New Roman" w:hAnsi="Times New Roman"/>
          <w:color w:val="000000"/>
          <w:sz w:val="24"/>
          <w:szCs w:val="24"/>
        </w:rPr>
        <w:t>les</w:t>
      </w:r>
      <w:proofErr w:type="gramEnd"/>
      <w:r w:rsidRPr="00077777">
        <w:rPr>
          <w:rFonts w:ascii="Times New Roman" w:hAnsi="Times New Roman"/>
          <w:color w:val="000000"/>
          <w:sz w:val="24"/>
          <w:szCs w:val="24"/>
        </w:rPr>
        <w:t xml:space="preserve"> mots</w:t>
      </w:r>
      <w:r w:rsidR="008347B2">
        <w:rPr>
          <w:rFonts w:ascii="Times New Roman" w:hAnsi="Times New Roman"/>
          <w:color w:val="000000"/>
          <w:sz w:val="24"/>
          <w:szCs w:val="24"/>
        </w:rPr>
        <w:t xml:space="preserve"> : </w:t>
      </w:r>
      <w:r w:rsidRPr="00077777">
        <w:rPr>
          <w:rFonts w:ascii="Times New Roman" w:hAnsi="Times New Roman"/>
          <w:color w:val="000000"/>
          <w:sz w:val="24"/>
          <w:szCs w:val="24"/>
        </w:rPr>
        <w:t>« dans le tableau » sont remplacés par les mots : « dans les tableaux » ;</w:t>
      </w:r>
    </w:p>
    <w:p w14:paraId="43B48FAF" w14:textId="25BB1448" w:rsidR="00457A2A" w:rsidRPr="00077777" w:rsidRDefault="00457A2A" w:rsidP="00457A2A">
      <w:pPr>
        <w:pStyle w:val="Paragraphedeliste"/>
        <w:numPr>
          <w:ilvl w:val="0"/>
          <w:numId w:val="3"/>
        </w:numPr>
        <w:shd w:val="clear" w:color="auto" w:fill="FFFFFF"/>
        <w:spacing w:after="240"/>
        <w:jc w:val="both"/>
        <w:rPr>
          <w:rFonts w:ascii="Times New Roman" w:hAnsi="Times New Roman"/>
          <w:color w:val="000000"/>
          <w:sz w:val="24"/>
          <w:szCs w:val="24"/>
        </w:rPr>
      </w:pPr>
      <w:proofErr w:type="gramStart"/>
      <w:r w:rsidRPr="00077777">
        <w:rPr>
          <w:rFonts w:ascii="Times New Roman" w:hAnsi="Times New Roman"/>
          <w:color w:val="000000"/>
          <w:sz w:val="24"/>
          <w:szCs w:val="24"/>
        </w:rPr>
        <w:t>les</w:t>
      </w:r>
      <w:proofErr w:type="gramEnd"/>
      <w:r w:rsidRPr="00077777">
        <w:rPr>
          <w:rFonts w:ascii="Times New Roman" w:hAnsi="Times New Roman"/>
          <w:color w:val="000000"/>
          <w:sz w:val="24"/>
          <w:szCs w:val="24"/>
        </w:rPr>
        <w:t xml:space="preserve"> mots : « aux dispositions de l’article 222-2-III » sont </w:t>
      </w:r>
      <w:r w:rsidR="00077777" w:rsidRPr="00077777">
        <w:rPr>
          <w:rFonts w:ascii="Times New Roman" w:hAnsi="Times New Roman"/>
          <w:color w:val="000000"/>
          <w:sz w:val="24"/>
          <w:szCs w:val="24"/>
        </w:rPr>
        <w:t>remplacés par</w:t>
      </w:r>
      <w:r w:rsidRPr="00077777">
        <w:rPr>
          <w:rFonts w:ascii="Times New Roman" w:hAnsi="Times New Roman"/>
          <w:color w:val="000000"/>
          <w:sz w:val="24"/>
          <w:szCs w:val="24"/>
        </w:rPr>
        <w:t xml:space="preserve"> les mots : « </w:t>
      </w:r>
      <w:r w:rsidR="00077777" w:rsidRPr="00077777">
        <w:rPr>
          <w:rFonts w:ascii="Times New Roman" w:hAnsi="Times New Roman"/>
          <w:color w:val="000000"/>
          <w:sz w:val="24"/>
          <w:szCs w:val="24"/>
        </w:rPr>
        <w:t xml:space="preserve">aux dispositions </w:t>
      </w:r>
      <w:r w:rsidRPr="00077777">
        <w:rPr>
          <w:rFonts w:ascii="Times New Roman" w:hAnsi="Times New Roman"/>
          <w:color w:val="000000"/>
          <w:sz w:val="24"/>
          <w:szCs w:val="24"/>
        </w:rPr>
        <w:t>du III </w:t>
      </w:r>
      <w:r w:rsidR="00077777" w:rsidRPr="00077777">
        <w:rPr>
          <w:rFonts w:ascii="Times New Roman" w:hAnsi="Times New Roman"/>
          <w:color w:val="000000"/>
          <w:sz w:val="24"/>
          <w:szCs w:val="24"/>
        </w:rPr>
        <w:t xml:space="preserve">de l’article 22-2 </w:t>
      </w:r>
      <w:r w:rsidRPr="00077777">
        <w:rPr>
          <w:rFonts w:ascii="Times New Roman" w:hAnsi="Times New Roman"/>
          <w:color w:val="000000"/>
          <w:sz w:val="24"/>
          <w:szCs w:val="24"/>
        </w:rPr>
        <w:t>» ;</w:t>
      </w:r>
    </w:p>
    <w:p w14:paraId="7DCC26BF" w14:textId="53F94D7D" w:rsidR="00077777" w:rsidRPr="00077777" w:rsidRDefault="00077777" w:rsidP="00457A2A">
      <w:pPr>
        <w:pStyle w:val="Paragraphedeliste"/>
        <w:numPr>
          <w:ilvl w:val="0"/>
          <w:numId w:val="3"/>
        </w:numPr>
        <w:shd w:val="clear" w:color="auto" w:fill="FFFFFF"/>
        <w:spacing w:after="240"/>
        <w:jc w:val="both"/>
        <w:rPr>
          <w:rFonts w:ascii="Times New Roman" w:hAnsi="Times New Roman"/>
          <w:color w:val="000000"/>
          <w:sz w:val="24"/>
          <w:szCs w:val="24"/>
        </w:rPr>
      </w:pPr>
      <w:proofErr w:type="gramStart"/>
      <w:r w:rsidRPr="00077777">
        <w:rPr>
          <w:rFonts w:ascii="Times New Roman" w:hAnsi="Times New Roman"/>
          <w:color w:val="000000"/>
          <w:sz w:val="24"/>
          <w:szCs w:val="24"/>
        </w:rPr>
        <w:t>après</w:t>
      </w:r>
      <w:proofErr w:type="gramEnd"/>
      <w:r w:rsidRPr="00077777">
        <w:rPr>
          <w:rFonts w:ascii="Times New Roman" w:hAnsi="Times New Roman"/>
          <w:color w:val="000000"/>
          <w:sz w:val="24"/>
          <w:szCs w:val="24"/>
        </w:rPr>
        <w:t xml:space="preserve"> les mots « de l’arrêté du 2 février 1998 » </w:t>
      </w:r>
      <w:r w:rsidR="008347B2">
        <w:rPr>
          <w:rFonts w:ascii="Times New Roman" w:hAnsi="Times New Roman"/>
          <w:color w:val="000000"/>
          <w:sz w:val="24"/>
          <w:szCs w:val="24"/>
        </w:rPr>
        <w:t>est inséré le mot :</w:t>
      </w:r>
      <w:r w:rsidR="008347B2" w:rsidRPr="00077777">
        <w:rPr>
          <w:rFonts w:ascii="Times New Roman" w:hAnsi="Times New Roman"/>
          <w:color w:val="000000"/>
          <w:sz w:val="24"/>
          <w:szCs w:val="24"/>
        </w:rPr>
        <w:t xml:space="preserve"> </w:t>
      </w:r>
      <w:r w:rsidRPr="00077777">
        <w:rPr>
          <w:rFonts w:ascii="Times New Roman" w:hAnsi="Times New Roman"/>
          <w:color w:val="000000"/>
          <w:sz w:val="24"/>
          <w:szCs w:val="24"/>
        </w:rPr>
        <w:t>« susvisé ».</w:t>
      </w:r>
    </w:p>
    <w:p w14:paraId="1C9D86E2" w14:textId="1155ECD9" w:rsidR="00077777" w:rsidRPr="00077777" w:rsidRDefault="00077777" w:rsidP="00077777">
      <w:pPr>
        <w:shd w:val="clear" w:color="auto" w:fill="FFFFFF"/>
        <w:spacing w:after="240"/>
        <w:jc w:val="both"/>
        <w:rPr>
          <w:color w:val="000000"/>
        </w:rPr>
      </w:pPr>
      <w:r w:rsidRPr="00077777">
        <w:rPr>
          <w:color w:val="000000"/>
        </w:rPr>
        <w:t>VII. – Au quatrième alinéa, après les mots</w:t>
      </w:r>
      <w:r w:rsidR="008347B2">
        <w:rPr>
          <w:color w:val="000000"/>
        </w:rPr>
        <w:t xml:space="preserve"> : </w:t>
      </w:r>
      <w:r w:rsidRPr="00077777">
        <w:rPr>
          <w:color w:val="000000"/>
        </w:rPr>
        <w:t xml:space="preserve">« de l’arrêté du 2 février 1998 » </w:t>
      </w:r>
      <w:r w:rsidR="008347B2">
        <w:rPr>
          <w:color w:val="000000"/>
        </w:rPr>
        <w:t>est inséré le mot :</w:t>
      </w:r>
      <w:r w:rsidRPr="00077777">
        <w:rPr>
          <w:color w:val="000000"/>
        </w:rPr>
        <w:t xml:space="preserve"> « susvisé »</w:t>
      </w:r>
      <w:r>
        <w:rPr>
          <w:color w:val="000000"/>
        </w:rPr>
        <w:t>.</w:t>
      </w:r>
    </w:p>
    <w:p w14:paraId="206FB7C3" w14:textId="41C4771B" w:rsidR="00936417" w:rsidRPr="00914E79" w:rsidRDefault="00936417" w:rsidP="00936417">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54</w:t>
      </w:r>
      <w:r w:rsidRPr="00914E79">
        <w:rPr>
          <w:b/>
          <w:bCs/>
          <w:i/>
          <w:iCs/>
        </w:rPr>
        <w:fldChar w:fldCharType="end"/>
      </w:r>
    </w:p>
    <w:p w14:paraId="107AE664" w14:textId="77777777" w:rsidR="00077777" w:rsidRDefault="00077777" w:rsidP="00077777">
      <w:pPr>
        <w:jc w:val="both"/>
      </w:pPr>
    </w:p>
    <w:p w14:paraId="74D9708A" w14:textId="4FFA2B39" w:rsidR="00077777" w:rsidRPr="00BF13B7" w:rsidRDefault="00077777" w:rsidP="002B0DC1">
      <w:pPr>
        <w:jc w:val="both"/>
      </w:pPr>
      <w:r w:rsidRPr="00BF13B7">
        <w:t>L’article 4</w:t>
      </w:r>
      <w:r>
        <w:t>7</w:t>
      </w:r>
      <w:r w:rsidRPr="00BF13B7">
        <w:t xml:space="preserve"> de l’arrêté susvisé est </w:t>
      </w:r>
      <w:r w:rsidR="008347B2">
        <w:t>remplacé par les dispositions suivantes :</w:t>
      </w:r>
    </w:p>
    <w:p w14:paraId="54BF4B01" w14:textId="77777777" w:rsidR="00077777" w:rsidRPr="00BF13B7" w:rsidRDefault="00077777" w:rsidP="002B0DC1">
      <w:pPr>
        <w:jc w:val="both"/>
      </w:pPr>
    </w:p>
    <w:p w14:paraId="49AD3C5B" w14:textId="08D8927F" w:rsidR="00077777" w:rsidRDefault="00077777" w:rsidP="002B0DC1">
      <w:pPr>
        <w:spacing w:after="240"/>
        <w:jc w:val="both"/>
      </w:pPr>
      <w:r w:rsidRPr="00457A2A">
        <w:t>« </w:t>
      </w:r>
      <w:r w:rsidR="00F905D4" w:rsidRPr="00F905D4">
        <w:rPr>
          <w:i/>
          <w:iCs/>
        </w:rPr>
        <w:t>Art. 47. -</w:t>
      </w:r>
      <w:r w:rsidR="00F905D4">
        <w:t xml:space="preserve"> </w:t>
      </w:r>
      <w:r>
        <w:t xml:space="preserve">Dispositions concernant les points </w:t>
      </w:r>
      <w:r w:rsidR="00DC1B38">
        <w:t xml:space="preserve">de prélèvements et </w:t>
      </w:r>
      <w:r>
        <w:t>de rejet</w:t>
      </w:r>
      <w:r w:rsidR="00DC1B38">
        <w:t xml:space="preserve"> dans l’eau</w:t>
      </w:r>
      <w:r w:rsidRPr="00457A2A">
        <w:t xml:space="preserve"> </w:t>
      </w:r>
    </w:p>
    <w:p w14:paraId="270E97BF" w14:textId="0F31C6C9" w:rsidR="00077777" w:rsidRPr="00077777" w:rsidRDefault="00077777" w:rsidP="002B0DC1">
      <w:pPr>
        <w:keepNext/>
        <w:keepLines/>
        <w:jc w:val="both"/>
        <w:outlineLvl w:val="2"/>
        <w:rPr>
          <w:rFonts w:cstheme="minorHAnsi"/>
          <w:shd w:val="clear" w:color="auto" w:fill="FFFFFF"/>
        </w:rPr>
      </w:pPr>
      <w:bookmarkStart w:id="38" w:name="_Hlk167815543"/>
      <w:r w:rsidRPr="00077777">
        <w:rPr>
          <w:rFonts w:cstheme="minorHAnsi"/>
          <w:shd w:val="clear" w:color="auto" w:fill="FFFFFF"/>
        </w:rPr>
        <w:t>« I. - Les dispositions d</w:t>
      </w:r>
      <w:r w:rsidR="00802EA3">
        <w:rPr>
          <w:rFonts w:cstheme="minorHAnsi"/>
          <w:shd w:val="clear" w:color="auto" w:fill="FFFFFF"/>
        </w:rPr>
        <w:t>u premier, du deuxième et du quatrième</w:t>
      </w:r>
      <w:r w:rsidRPr="00077777">
        <w:rPr>
          <w:rFonts w:cstheme="minorHAnsi"/>
          <w:shd w:val="clear" w:color="auto" w:fill="FFFFFF"/>
        </w:rPr>
        <w:t xml:space="preserve"> alinéa de l’article 49</w:t>
      </w:r>
      <w:r w:rsidR="00283A55" w:rsidRPr="00283A55">
        <w:rPr>
          <w:rFonts w:cstheme="minorHAnsi"/>
          <w:shd w:val="clear" w:color="auto" w:fill="FFFFFF"/>
        </w:rPr>
        <w:t xml:space="preserve"> </w:t>
      </w:r>
      <w:r w:rsidR="00283A55" w:rsidRPr="00077777">
        <w:rPr>
          <w:rFonts w:cstheme="minorHAnsi"/>
          <w:shd w:val="clear" w:color="auto" w:fill="FFFFFF"/>
        </w:rPr>
        <w:t>de l’arrêté du 2 février 1998 susvisé</w:t>
      </w:r>
      <w:r w:rsidRPr="00077777">
        <w:rPr>
          <w:rFonts w:cstheme="minorHAnsi"/>
          <w:shd w:val="clear" w:color="auto" w:fill="FFFFFF"/>
        </w:rPr>
        <w:t>, relatifs aux points de prélèvements, s’appliquent.</w:t>
      </w:r>
    </w:p>
    <w:p w14:paraId="75E03CFF" w14:textId="55BF0260" w:rsidR="00077777" w:rsidRPr="00077777" w:rsidRDefault="00077777" w:rsidP="002B0DC1">
      <w:pPr>
        <w:keepNext/>
        <w:keepLines/>
        <w:jc w:val="both"/>
        <w:outlineLvl w:val="2"/>
        <w:rPr>
          <w:rFonts w:cstheme="minorHAnsi"/>
          <w:shd w:val="clear" w:color="auto" w:fill="FFFFFF"/>
        </w:rPr>
      </w:pPr>
      <w:r w:rsidRPr="00077777">
        <w:rPr>
          <w:rFonts w:cstheme="minorHAnsi"/>
          <w:shd w:val="clear" w:color="auto" w:fill="FFFFFF"/>
        </w:rPr>
        <w:t>« II. - Les dispositions des</w:t>
      </w:r>
      <w:r w:rsidRPr="00077777" w:rsidDel="006641B9">
        <w:rPr>
          <w:rFonts w:cstheme="minorHAnsi"/>
          <w:shd w:val="clear" w:color="auto" w:fill="FFFFFF"/>
        </w:rPr>
        <w:t xml:space="preserve"> </w:t>
      </w:r>
      <w:r w:rsidRPr="00077777">
        <w:rPr>
          <w:rFonts w:cstheme="minorHAnsi"/>
          <w:shd w:val="clear" w:color="auto" w:fill="FFFFFF"/>
        </w:rPr>
        <w:t>articles 50 et 51</w:t>
      </w:r>
      <w:r w:rsidR="00283A55" w:rsidRPr="00283A55">
        <w:rPr>
          <w:rFonts w:cstheme="minorHAnsi"/>
          <w:shd w:val="clear" w:color="auto" w:fill="FFFFFF"/>
        </w:rPr>
        <w:t xml:space="preserve"> </w:t>
      </w:r>
      <w:r w:rsidR="00283A55" w:rsidRPr="00077777">
        <w:rPr>
          <w:rFonts w:cstheme="minorHAnsi"/>
          <w:shd w:val="clear" w:color="auto" w:fill="FFFFFF"/>
        </w:rPr>
        <w:t>de l’arrêté du 2 février 1998 susvisé</w:t>
      </w:r>
      <w:r w:rsidRPr="00077777">
        <w:rPr>
          <w:rFonts w:cstheme="minorHAnsi"/>
          <w:shd w:val="clear" w:color="auto" w:fill="FFFFFF"/>
        </w:rPr>
        <w:t>, relatifs aux points de prélèvement des échantillons et de mesure, s’appliquent. »</w:t>
      </w:r>
    </w:p>
    <w:bookmarkEnd w:id="38"/>
    <w:p w14:paraId="121711D5" w14:textId="77777777" w:rsidR="00077777" w:rsidRDefault="00077777" w:rsidP="002B0DC1"/>
    <w:p w14:paraId="2DFF36A9" w14:textId="5D930877" w:rsidR="00936417" w:rsidRPr="00914E79" w:rsidRDefault="00936417"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55</w:t>
      </w:r>
      <w:r w:rsidRPr="00914E79">
        <w:rPr>
          <w:b/>
          <w:bCs/>
          <w:i/>
          <w:iCs/>
        </w:rPr>
        <w:fldChar w:fldCharType="end"/>
      </w:r>
    </w:p>
    <w:p w14:paraId="586E491C" w14:textId="77777777" w:rsidR="00077777" w:rsidRDefault="00077777" w:rsidP="002B0DC1">
      <w:pPr>
        <w:jc w:val="both"/>
      </w:pPr>
    </w:p>
    <w:p w14:paraId="4CDFFD5F" w14:textId="3A0347A9" w:rsidR="00077777" w:rsidRDefault="00077777" w:rsidP="002B0DC1">
      <w:pPr>
        <w:jc w:val="both"/>
      </w:pPr>
      <w:r w:rsidRPr="00077777">
        <w:t xml:space="preserve">L’article 48 de l’arrêté susvisé est </w:t>
      </w:r>
      <w:r w:rsidR="008347B2">
        <w:t>remplacé par les dispositions suivantes :</w:t>
      </w:r>
    </w:p>
    <w:p w14:paraId="2AE101E7" w14:textId="77777777" w:rsidR="008347B2" w:rsidRPr="00077777" w:rsidRDefault="008347B2" w:rsidP="002B0DC1">
      <w:pPr>
        <w:jc w:val="both"/>
      </w:pPr>
    </w:p>
    <w:p w14:paraId="4807FEFA" w14:textId="6A3D18F3" w:rsidR="00077777" w:rsidRPr="00077777" w:rsidRDefault="008347B2" w:rsidP="002B0DC1">
      <w:pPr>
        <w:spacing w:after="240"/>
        <w:jc w:val="both"/>
      </w:pPr>
      <w:r>
        <w:t>« </w:t>
      </w:r>
      <w:r w:rsidR="00F905D4" w:rsidRPr="00F905D4">
        <w:rPr>
          <w:i/>
          <w:iCs/>
        </w:rPr>
        <w:t>Art. 4</w:t>
      </w:r>
      <w:r w:rsidR="00F905D4">
        <w:rPr>
          <w:i/>
          <w:iCs/>
        </w:rPr>
        <w:t>8</w:t>
      </w:r>
      <w:r w:rsidR="00F905D4" w:rsidRPr="00F905D4">
        <w:rPr>
          <w:i/>
          <w:iCs/>
        </w:rPr>
        <w:t>. -</w:t>
      </w:r>
      <w:r w:rsidR="00F905D4">
        <w:t xml:space="preserve"> </w:t>
      </w:r>
      <w:r w:rsidR="00077777" w:rsidRPr="00077777">
        <w:t>Débit, flux de polluants</w:t>
      </w:r>
      <w:r w:rsidR="00676D2B">
        <w:t>, surveillance</w:t>
      </w:r>
      <w:r w:rsidR="00077777" w:rsidRPr="00077777">
        <w:t xml:space="preserve"> </w:t>
      </w:r>
    </w:p>
    <w:p w14:paraId="24B6690B" w14:textId="3C1A55E7" w:rsidR="00077777" w:rsidRPr="00077777" w:rsidRDefault="00077777" w:rsidP="002B0DC1">
      <w:pPr>
        <w:jc w:val="both"/>
      </w:pPr>
      <w:r>
        <w:t>« </w:t>
      </w:r>
      <w:r w:rsidRPr="00077777">
        <w:t>I. – Les dispositions de l’article 15 de l’arrêté du 2 février 1998 susvisé</w:t>
      </w:r>
      <w:r w:rsidR="00F905D4">
        <w:t>,</w:t>
      </w:r>
      <w:r w:rsidRPr="00077777">
        <w:t xml:space="preserve"> relatives aux installations de prélèvement d’eau s’appliquent </w:t>
      </w:r>
      <w:r w:rsidR="00A71D23">
        <w:t xml:space="preserve">à compter du </w:t>
      </w:r>
      <w:r w:rsidR="00A71D23" w:rsidRPr="002D7A2F">
        <w:t>1</w:t>
      </w:r>
      <w:r w:rsidR="00A71D23" w:rsidRPr="002D7A2F">
        <w:rPr>
          <w:vertAlign w:val="superscript"/>
        </w:rPr>
        <w:t>er</w:t>
      </w:r>
      <w:r w:rsidR="00A71D23" w:rsidRPr="002D7A2F">
        <w:t xml:space="preserve"> </w:t>
      </w:r>
      <w:r w:rsidR="002D7A2F" w:rsidRPr="002D7A2F">
        <w:t xml:space="preserve">juillet </w:t>
      </w:r>
      <w:r w:rsidR="00A71D23" w:rsidRPr="002D7A2F">
        <w:t>2025</w:t>
      </w:r>
      <w:r w:rsidR="00A71D23">
        <w:t>.</w:t>
      </w:r>
    </w:p>
    <w:p w14:paraId="04E89AE0" w14:textId="567AB795" w:rsidR="00077777" w:rsidRPr="00077777" w:rsidRDefault="00077777" w:rsidP="002B0DC1">
      <w:pPr>
        <w:rPr>
          <w:color w:val="000000"/>
          <w:lang w:eastAsia="fr-FR"/>
        </w:rPr>
      </w:pPr>
    </w:p>
    <w:p w14:paraId="6A8A289D" w14:textId="134EC224" w:rsidR="00077777" w:rsidRPr="00077777" w:rsidRDefault="00077777" w:rsidP="002B0DC1">
      <w:pPr>
        <w:jc w:val="both"/>
        <w:rPr>
          <w:color w:val="000000"/>
          <w:lang w:eastAsia="fr-FR"/>
        </w:rPr>
      </w:pPr>
      <w:r>
        <w:rPr>
          <w:color w:val="000000"/>
          <w:lang w:eastAsia="fr-FR"/>
        </w:rPr>
        <w:t>« </w:t>
      </w:r>
      <w:r w:rsidRPr="00077777">
        <w:rPr>
          <w:color w:val="000000"/>
          <w:lang w:eastAsia="fr-FR"/>
        </w:rPr>
        <w:t>II. – Les dispositions de l’article 60 de l’arrêté du 2 février 1998 susvisé</w:t>
      </w:r>
      <w:r w:rsidR="00F905D4">
        <w:rPr>
          <w:color w:val="000000"/>
          <w:lang w:eastAsia="fr-FR"/>
        </w:rPr>
        <w:t>,</w:t>
      </w:r>
      <w:r w:rsidRPr="00077777">
        <w:rPr>
          <w:color w:val="000000"/>
          <w:lang w:eastAsia="fr-FR"/>
        </w:rPr>
        <w:t xml:space="preserve"> relatives à la surveillance des rejets aqueux s’appliquent, sauf pour les fréquences et les seuils de flux définis dans l’article 60 de l’arrêté du 2 février 1998 susvisé qui sont remplacées par </w:t>
      </w:r>
      <w:r w:rsidR="008219F9">
        <w:rPr>
          <w:color w:val="000000"/>
          <w:lang w:eastAsia="fr-FR"/>
        </w:rPr>
        <w:t>ceux du</w:t>
      </w:r>
      <w:r w:rsidR="008219F9" w:rsidRPr="00077777">
        <w:rPr>
          <w:color w:val="000000"/>
          <w:lang w:eastAsia="fr-FR"/>
        </w:rPr>
        <w:t xml:space="preserve"> </w:t>
      </w:r>
      <w:r w:rsidRPr="00077777">
        <w:rPr>
          <w:color w:val="000000"/>
          <w:lang w:eastAsia="fr-FR"/>
        </w:rPr>
        <w:t>tableau ci-dessous.</w:t>
      </w:r>
    </w:p>
    <w:p w14:paraId="5144F370" w14:textId="5E39F666" w:rsidR="00077777" w:rsidRPr="00077777" w:rsidRDefault="00077777" w:rsidP="002B0DC1">
      <w:pPr>
        <w:jc w:val="both"/>
        <w:rPr>
          <w:color w:val="000000"/>
          <w:lang w:eastAsia="fr-FR"/>
        </w:rPr>
      </w:pPr>
      <w:r>
        <w:rPr>
          <w:color w:val="000000"/>
          <w:lang w:eastAsia="fr-FR"/>
        </w:rPr>
        <w:t>« </w:t>
      </w:r>
      <w:r w:rsidRPr="00077777">
        <w:rPr>
          <w:color w:val="000000"/>
          <w:lang w:eastAsia="fr-FR"/>
        </w:rPr>
        <w:t>Lorsque les flux rejetés se situent au-dessous des seuils, l’arrêté d’autorisation peut fixer une fréquence moindre</w:t>
      </w:r>
      <w:r w:rsidR="008347B2">
        <w:rPr>
          <w:color w:val="000000"/>
          <w:lang w:eastAsia="fr-FR"/>
        </w:rPr>
        <w:t>.</w:t>
      </w:r>
      <w:r w:rsidRPr="00077777">
        <w:rPr>
          <w:color w:val="000000"/>
          <w:lang w:eastAsia="fr-FR"/>
        </w:rPr>
        <w:t xml:space="preserve"> </w:t>
      </w:r>
    </w:p>
    <w:p w14:paraId="5D3BF8CF" w14:textId="1110960F" w:rsidR="00077777" w:rsidRPr="00077777" w:rsidRDefault="00077777" w:rsidP="002B0DC1">
      <w:pPr>
        <w:jc w:val="both"/>
        <w:rPr>
          <w:color w:val="000000"/>
          <w:lang w:eastAsia="fr-FR"/>
        </w:rPr>
      </w:pPr>
      <w:r>
        <w:rPr>
          <w:color w:val="000000"/>
          <w:lang w:eastAsia="fr-FR"/>
        </w:rPr>
        <w:t>« </w:t>
      </w:r>
      <w:r w:rsidRPr="00077777">
        <w:rPr>
          <w:color w:val="000000"/>
          <w:lang w:eastAsia="fr-FR"/>
        </w:rPr>
        <w:t>L’arrêté préfectoral peut également fixer une fréquence moindre pour les effluents des circuits de refroidissement lorsqu’une méthode alternative de surveillance est proposée par l’exploitant.</w:t>
      </w:r>
    </w:p>
    <w:p w14:paraId="60C51755" w14:textId="7DC18D05" w:rsidR="00077777" w:rsidRPr="00077777" w:rsidRDefault="00077777" w:rsidP="002B0DC1">
      <w:pPr>
        <w:pStyle w:val="NormalWeb"/>
        <w:spacing w:before="0" w:after="0"/>
        <w:jc w:val="both"/>
        <w:rPr>
          <w:color w:val="000000"/>
        </w:rPr>
      </w:pPr>
      <w:r>
        <w:rPr>
          <w:color w:val="000000"/>
        </w:rPr>
        <w:t>« </w:t>
      </w:r>
      <w:r w:rsidRPr="00077777">
        <w:rPr>
          <w:color w:val="000000"/>
        </w:rPr>
        <w:t>L’exploitant surveille ses rejets dans l’eau en utilisant des méthodes d’analyse lui permettant de réaliser des mesures fiables, répétables et reproductibles. Les normes mentionnées dans le tableau ci-dessous sont réputées permettre l’obtention de données d’une qualité scientifique suffisante.</w:t>
      </w:r>
    </w:p>
    <w:p w14:paraId="041CF492" w14:textId="091FAF10" w:rsidR="00077777" w:rsidRPr="00077777" w:rsidRDefault="00077777" w:rsidP="002B0DC1">
      <w:pPr>
        <w:jc w:val="both"/>
        <w:rPr>
          <w:color w:val="000000"/>
          <w:lang w:eastAsia="fr-FR"/>
        </w:rPr>
      </w:pPr>
      <w:r>
        <w:rPr>
          <w:color w:val="000000"/>
          <w:lang w:eastAsia="fr-FR"/>
        </w:rPr>
        <w:t>« </w:t>
      </w:r>
      <w:r w:rsidRPr="00077777">
        <w:rPr>
          <w:color w:val="000000"/>
          <w:lang w:eastAsia="fr-FR"/>
        </w:rPr>
        <w:t xml:space="preserve">En l’absence de norme précisée dans le tableau, les méthodes précisées dans l’avis sur les méthodes normalisées de référence pour les mesures dans l’air, l’eau et les sols dans les installations classées pour la protection de l’environnement publié au </w:t>
      </w:r>
      <w:r w:rsidRPr="00077777">
        <w:rPr>
          <w:i/>
          <w:color w:val="000000"/>
          <w:lang w:eastAsia="fr-FR"/>
        </w:rPr>
        <w:t>Journal officiel</w:t>
      </w:r>
      <w:r w:rsidRPr="00077777">
        <w:rPr>
          <w:color w:val="000000"/>
          <w:lang w:eastAsia="fr-FR"/>
        </w:rPr>
        <w:t xml:space="preserve"> sont réputées satisfaire aux exigences de l’alinéa précédent.</w:t>
      </w:r>
    </w:p>
    <w:p w14:paraId="65DF2C99" w14:textId="134A57A9" w:rsidR="00077777" w:rsidRPr="00077777" w:rsidRDefault="00077777" w:rsidP="002B0DC1">
      <w:pPr>
        <w:jc w:val="both"/>
        <w:rPr>
          <w:color w:val="000000"/>
          <w:lang w:eastAsia="fr-FR"/>
        </w:rPr>
      </w:pPr>
    </w:p>
    <w:p w14:paraId="66FC9AEF" w14:textId="559E6053" w:rsidR="00A71D23" w:rsidRDefault="00077777" w:rsidP="002B0DC1">
      <w:pPr>
        <w:jc w:val="both"/>
        <w:rPr>
          <w:color w:val="000000"/>
          <w:lang w:eastAsia="fr-FR"/>
        </w:rPr>
      </w:pPr>
      <w:r>
        <w:rPr>
          <w:color w:val="000000"/>
          <w:lang w:eastAsia="fr-FR"/>
        </w:rPr>
        <w:t>« </w:t>
      </w:r>
      <w:r w:rsidR="00A71D23" w:rsidRPr="00A71D23">
        <w:rPr>
          <w:color w:val="000000"/>
          <w:lang w:eastAsia="fr-FR"/>
        </w:rPr>
        <w:t xml:space="preserve">Pour les eaux issues du traitement des fumées des appareils (chaudières, turbines, moteurs) de puissance thermique nominale supérieure ou égale à 15 MW, l’exploitant surveille les rejets aux fréquences indiquées dans le tableau suivant, dans les délais mentionnés </w:t>
      </w:r>
      <w:r w:rsidR="00D9011B">
        <w:rPr>
          <w:color w:val="000000"/>
          <w:lang w:eastAsia="fr-FR"/>
        </w:rPr>
        <w:t>au VII de l’article 3</w:t>
      </w:r>
      <w:r w:rsidR="00A71D23" w:rsidRPr="00A71D23">
        <w:rPr>
          <w:color w:val="000000"/>
          <w:lang w:eastAsia="fr-FR"/>
        </w:rPr>
        <w:t>.</w:t>
      </w:r>
    </w:p>
    <w:p w14:paraId="62B0CA5B" w14:textId="77777777" w:rsidR="00A71D23" w:rsidRPr="00A71D23" w:rsidRDefault="00A71D23" w:rsidP="00A71D23">
      <w:pPr>
        <w:jc w:val="both"/>
        <w:rPr>
          <w:color w:val="000000"/>
          <w:lang w:eastAsia="fr-FR"/>
        </w:rPr>
      </w:pPr>
    </w:p>
    <w:p w14:paraId="10848844" w14:textId="7C2F52E5" w:rsidR="00BC42AE" w:rsidRDefault="00A71D23" w:rsidP="00A71D23">
      <w:pPr>
        <w:jc w:val="both"/>
        <w:rPr>
          <w:color w:val="000000"/>
          <w:lang w:eastAsia="fr-FR"/>
        </w:rPr>
      </w:pPr>
      <w:r>
        <w:rPr>
          <w:color w:val="000000"/>
          <w:lang w:eastAsia="fr-FR"/>
        </w:rPr>
        <w:t>« </w:t>
      </w:r>
      <w:r w:rsidRPr="00A71D23">
        <w:rPr>
          <w:color w:val="000000"/>
          <w:lang w:eastAsia="fr-FR"/>
        </w:rPr>
        <w:t xml:space="preserve">Pour les eaux usées provenant de l’épuration des fumées des appareils (chaudières, turbines, moteurs) de puissance thermique nominale supérieure ou égale à 15 MW, le débit, le pH et la température sont mesurés en continu, dans les délais mentionnés </w:t>
      </w:r>
      <w:r w:rsidR="00D9011B">
        <w:rPr>
          <w:color w:val="000000"/>
          <w:lang w:eastAsia="fr-FR"/>
        </w:rPr>
        <w:t>au VII de l’article 3</w:t>
      </w:r>
      <w:r w:rsidRPr="00A71D23">
        <w:rPr>
          <w:color w:val="000000"/>
          <w:lang w:eastAsia="fr-FR"/>
        </w:rPr>
        <w:t xml:space="preserve"> du présent arrêté</w:t>
      </w:r>
      <w:bookmarkStart w:id="39" w:name="_Hlk168408939"/>
      <w:r w:rsidR="00BC42AE">
        <w:rPr>
          <w:color w:val="000000"/>
          <w:lang w:eastAsia="fr-FR"/>
        </w:rPr>
        <w:t>.</w:t>
      </w:r>
    </w:p>
    <w:bookmarkEnd w:id="39"/>
    <w:p w14:paraId="79153298" w14:textId="77777777" w:rsidR="00BC42AE" w:rsidRPr="00077777" w:rsidRDefault="00BC42AE" w:rsidP="00077777">
      <w:pPr>
        <w:jc w:val="both"/>
        <w:rPr>
          <w:color w:val="000000"/>
          <w:lang w:eastAsia="fr-FR"/>
        </w:rPr>
      </w:pPr>
    </w:p>
    <w:tbl>
      <w:tblPr>
        <w:tblW w:w="9056"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4"/>
        <w:gridCol w:w="1045"/>
        <w:gridCol w:w="1522"/>
        <w:gridCol w:w="1118"/>
        <w:gridCol w:w="1315"/>
        <w:gridCol w:w="1323"/>
        <w:gridCol w:w="1369"/>
      </w:tblGrid>
      <w:tr w:rsidR="001D5F2D" w:rsidRPr="00C62E15" w14:paraId="16E4EF19" w14:textId="77777777" w:rsidTr="00647AD3">
        <w:trPr>
          <w:jc w:val="center"/>
        </w:trPr>
        <w:tc>
          <w:tcPr>
            <w:tcW w:w="2409" w:type="dxa"/>
            <w:gridSpan w:val="2"/>
            <w:vMerge w:val="restart"/>
            <w:tcBorders>
              <w:top w:val="outset" w:sz="6" w:space="0" w:color="auto"/>
              <w:left w:val="outset" w:sz="6" w:space="0" w:color="auto"/>
              <w:right w:val="single" w:sz="6" w:space="0" w:color="D8D8D8"/>
            </w:tcBorders>
            <w:shd w:val="clear" w:color="auto" w:fill="5C75A2"/>
            <w:tcMar>
              <w:top w:w="75" w:type="dxa"/>
              <w:left w:w="75" w:type="dxa"/>
              <w:bottom w:w="75" w:type="dxa"/>
              <w:right w:w="75" w:type="dxa"/>
            </w:tcMar>
            <w:vAlign w:val="center"/>
          </w:tcPr>
          <w:p w14:paraId="29CBBC6B" w14:textId="77777777" w:rsidR="001D5F2D" w:rsidRPr="005A3235" w:rsidRDefault="001D5F2D" w:rsidP="001D5F2D">
            <w:pPr>
              <w:suppressAutoHyphens w:val="0"/>
              <w:rPr>
                <w:b/>
                <w:bCs/>
                <w:color w:val="FFFFFF" w:themeColor="background1"/>
                <w:sz w:val="22"/>
                <w:szCs w:val="22"/>
                <w:lang w:eastAsia="fr-FR"/>
              </w:rPr>
            </w:pPr>
            <w:r w:rsidRPr="00C62E15">
              <w:rPr>
                <w:b/>
                <w:bCs/>
                <w:color w:val="FFFFFF" w:themeColor="background1"/>
                <w:sz w:val="22"/>
                <w:szCs w:val="22"/>
                <w:lang w:eastAsia="fr-FR"/>
              </w:rPr>
              <w:t>Substance / paramètre</w:t>
            </w:r>
          </w:p>
        </w:tc>
        <w:tc>
          <w:tcPr>
            <w:tcW w:w="2640" w:type="dxa"/>
            <w:gridSpan w:val="2"/>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tcPr>
          <w:p w14:paraId="0808201A" w14:textId="77777777" w:rsidR="001D5F2D" w:rsidRPr="00E71663" w:rsidRDefault="001D5F2D" w:rsidP="001D5F2D">
            <w:pPr>
              <w:suppressAutoHyphens w:val="0"/>
              <w:jc w:val="center"/>
              <w:rPr>
                <w:b/>
                <w:bCs/>
                <w:color w:val="FFFFFF"/>
                <w:sz w:val="22"/>
                <w:szCs w:val="22"/>
                <w:lang w:eastAsia="fr-FR"/>
              </w:rPr>
            </w:pPr>
            <w:r w:rsidRPr="00353EFD">
              <w:rPr>
                <w:b/>
                <w:bCs/>
                <w:color w:val="FFFFFF"/>
                <w:sz w:val="22"/>
                <w:szCs w:val="22"/>
                <w:lang w:eastAsia="fr-FR"/>
              </w:rPr>
              <w:t xml:space="preserve">Toutes </w:t>
            </w:r>
            <w:r w:rsidRPr="00E71663">
              <w:rPr>
                <w:b/>
                <w:bCs/>
                <w:color w:val="FFFFFF"/>
                <w:sz w:val="22"/>
                <w:szCs w:val="22"/>
                <w:lang w:eastAsia="fr-FR"/>
              </w:rPr>
              <w:t>installations</w:t>
            </w:r>
          </w:p>
        </w:tc>
        <w:tc>
          <w:tcPr>
            <w:tcW w:w="4007" w:type="dxa"/>
            <w:gridSpan w:val="3"/>
            <w:tcBorders>
              <w:top w:val="outset" w:sz="6" w:space="0" w:color="auto"/>
              <w:left w:val="outset" w:sz="6" w:space="0" w:color="auto"/>
              <w:bottom w:val="single" w:sz="6" w:space="0" w:color="D8D8D8"/>
              <w:right w:val="single" w:sz="6" w:space="0" w:color="D8D8D8"/>
            </w:tcBorders>
            <w:shd w:val="clear" w:color="auto" w:fill="5C75A2"/>
          </w:tcPr>
          <w:p w14:paraId="3AC44702" w14:textId="77777777" w:rsidR="001D5F2D" w:rsidRPr="00C62E15" w:rsidRDefault="001D5F2D" w:rsidP="001D5F2D">
            <w:pPr>
              <w:suppressAutoHyphens w:val="0"/>
              <w:jc w:val="center"/>
              <w:rPr>
                <w:b/>
                <w:bCs/>
                <w:color w:val="FFFFFF"/>
                <w:sz w:val="22"/>
                <w:szCs w:val="22"/>
                <w:lang w:eastAsia="fr-FR"/>
              </w:rPr>
            </w:pPr>
            <w:r w:rsidRPr="00C62E15">
              <w:rPr>
                <w:b/>
                <w:bCs/>
                <w:color w:val="FFFFFF"/>
                <w:sz w:val="22"/>
                <w:szCs w:val="22"/>
                <w:lang w:eastAsia="fr-FR"/>
              </w:rPr>
              <w:t>Eaux issues du traitement des fumées pour les appareils chaudières, moteurs et turbines de puissance thermique nominale supérieure ou égale à 15 MW)</w:t>
            </w:r>
          </w:p>
        </w:tc>
      </w:tr>
      <w:tr w:rsidR="001D5F2D" w:rsidRPr="00C62E15" w14:paraId="35BE72D7" w14:textId="77777777" w:rsidTr="00647AD3">
        <w:trPr>
          <w:jc w:val="center"/>
        </w:trPr>
        <w:tc>
          <w:tcPr>
            <w:tcW w:w="2409" w:type="dxa"/>
            <w:gridSpan w:val="2"/>
            <w:vMerge/>
            <w:tcBorders>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67B53D9D" w14:textId="77777777" w:rsidR="001D5F2D" w:rsidRPr="00C62E15" w:rsidRDefault="001D5F2D" w:rsidP="001D5F2D">
            <w:pPr>
              <w:suppressAutoHyphens w:val="0"/>
              <w:rPr>
                <w:color w:val="000000"/>
                <w:sz w:val="22"/>
                <w:szCs w:val="22"/>
                <w:lang w:eastAsia="fr-FR"/>
              </w:rPr>
            </w:pPr>
          </w:p>
        </w:tc>
        <w:tc>
          <w:tcPr>
            <w:tcW w:w="1522" w:type="dxa"/>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2F099E55" w14:textId="77777777" w:rsidR="001D5F2D" w:rsidRPr="00C62E15" w:rsidRDefault="001D5F2D" w:rsidP="001D5F2D">
            <w:pPr>
              <w:suppressAutoHyphens w:val="0"/>
              <w:jc w:val="center"/>
              <w:rPr>
                <w:b/>
                <w:bCs/>
                <w:color w:val="FFFFFF"/>
                <w:sz w:val="22"/>
                <w:szCs w:val="22"/>
                <w:lang w:eastAsia="fr-FR"/>
              </w:rPr>
            </w:pPr>
            <w:r w:rsidRPr="00C62E15">
              <w:rPr>
                <w:b/>
                <w:bCs/>
                <w:color w:val="FFFFFF"/>
                <w:sz w:val="22"/>
                <w:szCs w:val="22"/>
                <w:lang w:eastAsia="fr-FR"/>
              </w:rPr>
              <w:t>Fréquence de suivi</w:t>
            </w:r>
          </w:p>
        </w:tc>
        <w:tc>
          <w:tcPr>
            <w:tcW w:w="1118" w:type="dxa"/>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1F0BE4BE" w14:textId="77777777" w:rsidR="001D5F2D" w:rsidRPr="00C62E15" w:rsidRDefault="001D5F2D" w:rsidP="001D5F2D">
            <w:pPr>
              <w:suppressAutoHyphens w:val="0"/>
              <w:jc w:val="center"/>
              <w:rPr>
                <w:b/>
                <w:bCs/>
                <w:color w:val="FFFFFF"/>
                <w:sz w:val="22"/>
                <w:szCs w:val="22"/>
                <w:lang w:eastAsia="fr-FR"/>
              </w:rPr>
            </w:pPr>
            <w:r w:rsidRPr="00C62E15">
              <w:rPr>
                <w:b/>
                <w:bCs/>
                <w:color w:val="FFFFFF"/>
                <w:sz w:val="22"/>
                <w:szCs w:val="22"/>
                <w:lang w:eastAsia="fr-FR"/>
              </w:rPr>
              <w:t>Seuil de flux</w:t>
            </w:r>
          </w:p>
        </w:tc>
        <w:tc>
          <w:tcPr>
            <w:tcW w:w="1315" w:type="dxa"/>
            <w:tcBorders>
              <w:top w:val="outset" w:sz="6" w:space="0" w:color="auto"/>
              <w:left w:val="outset" w:sz="6" w:space="0" w:color="auto"/>
              <w:bottom w:val="single" w:sz="6" w:space="0" w:color="D8D8D8"/>
              <w:right w:val="single" w:sz="6" w:space="0" w:color="D8D8D8"/>
            </w:tcBorders>
            <w:shd w:val="clear" w:color="auto" w:fill="5C75A2"/>
          </w:tcPr>
          <w:p w14:paraId="265319E7" w14:textId="77777777" w:rsidR="001D5F2D" w:rsidRPr="00C62E15" w:rsidRDefault="001D5F2D" w:rsidP="001D5F2D">
            <w:pPr>
              <w:suppressAutoHyphens w:val="0"/>
              <w:jc w:val="center"/>
              <w:rPr>
                <w:b/>
                <w:bCs/>
                <w:color w:val="FFFFFF"/>
                <w:sz w:val="22"/>
                <w:szCs w:val="22"/>
                <w:lang w:eastAsia="fr-FR"/>
              </w:rPr>
            </w:pPr>
            <w:r w:rsidRPr="00C62E15">
              <w:rPr>
                <w:b/>
                <w:bCs/>
                <w:color w:val="FFFFFF"/>
                <w:sz w:val="22"/>
                <w:szCs w:val="22"/>
                <w:lang w:eastAsia="fr-FR"/>
              </w:rPr>
              <w:t>Fréquence</w:t>
            </w:r>
          </w:p>
        </w:tc>
        <w:tc>
          <w:tcPr>
            <w:tcW w:w="1323" w:type="dxa"/>
            <w:tcBorders>
              <w:top w:val="outset" w:sz="6" w:space="0" w:color="auto"/>
              <w:left w:val="outset" w:sz="6" w:space="0" w:color="auto"/>
              <w:bottom w:val="single" w:sz="6" w:space="0" w:color="D8D8D8"/>
              <w:right w:val="single" w:sz="6" w:space="0" w:color="D8D8D8"/>
            </w:tcBorders>
            <w:shd w:val="clear" w:color="auto" w:fill="5C75A2"/>
          </w:tcPr>
          <w:p w14:paraId="5D157454" w14:textId="77777777" w:rsidR="001D5F2D" w:rsidRPr="00C62E15" w:rsidRDefault="001D5F2D" w:rsidP="001D5F2D">
            <w:pPr>
              <w:suppressAutoHyphens w:val="0"/>
              <w:jc w:val="center"/>
              <w:rPr>
                <w:b/>
                <w:bCs/>
                <w:color w:val="FFFFFF"/>
                <w:sz w:val="22"/>
                <w:szCs w:val="22"/>
                <w:lang w:eastAsia="fr-FR"/>
              </w:rPr>
            </w:pPr>
            <w:r w:rsidRPr="00C62E15">
              <w:rPr>
                <w:b/>
                <w:bCs/>
                <w:color w:val="FFFFFF"/>
                <w:sz w:val="22"/>
                <w:szCs w:val="22"/>
                <w:lang w:eastAsia="fr-FR"/>
              </w:rPr>
              <w:t>Seuil de flux</w:t>
            </w:r>
          </w:p>
        </w:tc>
        <w:tc>
          <w:tcPr>
            <w:tcW w:w="1369" w:type="dxa"/>
            <w:tcBorders>
              <w:top w:val="outset" w:sz="6" w:space="0" w:color="auto"/>
              <w:left w:val="outset" w:sz="6" w:space="0" w:color="auto"/>
              <w:bottom w:val="single" w:sz="6" w:space="0" w:color="D8D8D8"/>
              <w:right w:val="single" w:sz="6" w:space="0" w:color="D8D8D8"/>
            </w:tcBorders>
            <w:shd w:val="clear" w:color="auto" w:fill="5C75A2"/>
          </w:tcPr>
          <w:p w14:paraId="1B1CAA50" w14:textId="77777777" w:rsidR="001D5F2D" w:rsidRPr="00C62E15" w:rsidRDefault="001D5F2D" w:rsidP="001D5F2D">
            <w:pPr>
              <w:suppressAutoHyphens w:val="0"/>
              <w:jc w:val="center"/>
              <w:rPr>
                <w:b/>
                <w:bCs/>
                <w:color w:val="FFFFFF"/>
                <w:sz w:val="22"/>
                <w:szCs w:val="22"/>
                <w:lang w:eastAsia="fr-FR"/>
              </w:rPr>
            </w:pPr>
            <w:r w:rsidRPr="00C62E15">
              <w:rPr>
                <w:b/>
                <w:bCs/>
                <w:color w:val="FFFFFF"/>
                <w:sz w:val="22"/>
                <w:szCs w:val="22"/>
                <w:lang w:eastAsia="fr-FR"/>
              </w:rPr>
              <w:t>Norme de mesure</w:t>
            </w:r>
          </w:p>
        </w:tc>
      </w:tr>
      <w:tr w:rsidR="001D5F2D" w:rsidRPr="00C62E15" w14:paraId="5197D8DA" w14:textId="77777777" w:rsidTr="00647AD3">
        <w:trPr>
          <w:trHeight w:val="223"/>
          <w:jc w:val="center"/>
        </w:trPr>
        <w:tc>
          <w:tcPr>
            <w:tcW w:w="2409" w:type="dxa"/>
            <w:gridSpan w:val="2"/>
            <w:vMerge w:val="restart"/>
            <w:tcBorders>
              <w:top w:val="outset" w:sz="6" w:space="0" w:color="auto"/>
              <w:left w:val="nil"/>
              <w:right w:val="single" w:sz="6" w:space="0" w:color="D8D8D8"/>
            </w:tcBorders>
            <w:shd w:val="clear" w:color="auto" w:fill="EEEEEE"/>
            <w:tcMar>
              <w:top w:w="150" w:type="dxa"/>
              <w:left w:w="150" w:type="dxa"/>
              <w:bottom w:w="150" w:type="dxa"/>
              <w:right w:w="150" w:type="dxa"/>
            </w:tcMar>
            <w:vAlign w:val="center"/>
          </w:tcPr>
          <w:p w14:paraId="66486949" w14:textId="77777777" w:rsidR="001D5F2D" w:rsidRPr="00C62E15" w:rsidRDefault="001D5F2D" w:rsidP="001D5F2D">
            <w:pPr>
              <w:suppressAutoHyphens w:val="0"/>
              <w:rPr>
                <w:b/>
                <w:bCs/>
                <w:sz w:val="22"/>
                <w:szCs w:val="22"/>
                <w:lang w:eastAsia="fr-FR"/>
              </w:rPr>
            </w:pPr>
            <w:r w:rsidRPr="00C62E15">
              <w:rPr>
                <w:b/>
                <w:bCs/>
                <w:sz w:val="22"/>
                <w:szCs w:val="22"/>
                <w:lang w:eastAsia="fr-FR"/>
              </w:rPr>
              <w:t>Azote global</w:t>
            </w:r>
          </w:p>
        </w:tc>
        <w:tc>
          <w:tcPr>
            <w:tcW w:w="1522" w:type="dxa"/>
            <w:vMerge w:val="restart"/>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tcPr>
          <w:p w14:paraId="02FC04CB" w14:textId="77777777" w:rsidR="001D5F2D" w:rsidRPr="00BD3157" w:rsidRDefault="001D5F2D" w:rsidP="001D5F2D">
            <w:pPr>
              <w:suppressAutoHyphens w:val="0"/>
              <w:rPr>
                <w:sz w:val="22"/>
                <w:szCs w:val="22"/>
                <w:lang w:eastAsia="fr-FR"/>
              </w:rPr>
            </w:pPr>
            <w:r w:rsidRPr="00BD3157">
              <w:rPr>
                <w:sz w:val="22"/>
                <w:szCs w:val="22"/>
                <w:lang w:eastAsia="fr-FR"/>
              </w:rPr>
              <w:t>Journalière</w:t>
            </w:r>
          </w:p>
        </w:tc>
        <w:tc>
          <w:tcPr>
            <w:tcW w:w="1118" w:type="dxa"/>
            <w:vMerge w:val="restart"/>
            <w:tcBorders>
              <w:top w:val="outset" w:sz="6" w:space="0" w:color="auto"/>
              <w:left w:val="outset" w:sz="6" w:space="0" w:color="auto"/>
              <w:right w:val="nil"/>
            </w:tcBorders>
            <w:shd w:val="clear" w:color="auto" w:fill="EEEEEE"/>
            <w:tcMar>
              <w:top w:w="150" w:type="dxa"/>
              <w:left w:w="150" w:type="dxa"/>
              <w:bottom w:w="150" w:type="dxa"/>
              <w:right w:w="150" w:type="dxa"/>
            </w:tcMar>
            <w:vAlign w:val="center"/>
          </w:tcPr>
          <w:p w14:paraId="1950891C" w14:textId="77777777" w:rsidR="001D5F2D" w:rsidRPr="00BD3157" w:rsidRDefault="001D5F2D" w:rsidP="001D5F2D">
            <w:pPr>
              <w:suppressAutoHyphens w:val="0"/>
              <w:jc w:val="center"/>
              <w:rPr>
                <w:sz w:val="22"/>
                <w:szCs w:val="22"/>
                <w:lang w:eastAsia="fr-FR"/>
              </w:rPr>
            </w:pPr>
            <w:r w:rsidRPr="00BD3157">
              <w:rPr>
                <w:sz w:val="22"/>
                <w:szCs w:val="22"/>
                <w:lang w:eastAsia="fr-FR"/>
              </w:rPr>
              <w:t>≥ 50 kg/j</w:t>
            </w:r>
          </w:p>
        </w:tc>
        <w:tc>
          <w:tcPr>
            <w:tcW w:w="1315" w:type="dxa"/>
            <w:tcBorders>
              <w:top w:val="outset" w:sz="6" w:space="0" w:color="auto"/>
              <w:left w:val="outset" w:sz="6" w:space="0" w:color="auto"/>
              <w:bottom w:val="single" w:sz="6" w:space="0" w:color="D8D8D8"/>
              <w:right w:val="nil"/>
            </w:tcBorders>
            <w:shd w:val="clear" w:color="auto" w:fill="EEEEEE"/>
            <w:vAlign w:val="center"/>
          </w:tcPr>
          <w:p w14:paraId="41A8B4D7" w14:textId="77777777" w:rsidR="001D5F2D" w:rsidRPr="00BD3157" w:rsidRDefault="001D5F2D" w:rsidP="001D5F2D">
            <w:pPr>
              <w:suppressAutoHyphens w:val="0"/>
              <w:jc w:val="center"/>
              <w:rPr>
                <w:sz w:val="22"/>
                <w:szCs w:val="22"/>
                <w:lang w:eastAsia="fr-FR"/>
              </w:rPr>
            </w:pPr>
            <w:r w:rsidRPr="00BD3157">
              <w:rPr>
                <w:sz w:val="22"/>
                <w:szCs w:val="22"/>
                <w:lang w:eastAsia="fr-FR"/>
              </w:rPr>
              <w:t xml:space="preserve">Mensuelle </w:t>
            </w:r>
          </w:p>
        </w:tc>
        <w:tc>
          <w:tcPr>
            <w:tcW w:w="1323" w:type="dxa"/>
            <w:tcBorders>
              <w:top w:val="outset" w:sz="6" w:space="0" w:color="auto"/>
              <w:left w:val="outset" w:sz="6" w:space="0" w:color="auto"/>
              <w:bottom w:val="single" w:sz="6" w:space="0" w:color="D8D8D8"/>
              <w:right w:val="nil"/>
            </w:tcBorders>
            <w:shd w:val="clear" w:color="auto" w:fill="EEEEEE"/>
            <w:vAlign w:val="center"/>
          </w:tcPr>
          <w:p w14:paraId="002E7965" w14:textId="77777777" w:rsidR="001D5F2D" w:rsidRPr="00BD3157" w:rsidRDefault="001D5F2D" w:rsidP="001D5F2D">
            <w:pPr>
              <w:suppressAutoHyphens w:val="0"/>
              <w:jc w:val="center"/>
              <w:rPr>
                <w:sz w:val="22"/>
                <w:szCs w:val="22"/>
                <w:lang w:eastAsia="fr-FR"/>
              </w:rPr>
            </w:pPr>
            <w:proofErr w:type="gramStart"/>
            <w:r w:rsidRPr="00BD3157">
              <w:rPr>
                <w:sz w:val="22"/>
                <w:szCs w:val="22"/>
                <w:lang w:eastAsia="fr-FR"/>
              </w:rPr>
              <w:t>si</w:t>
            </w:r>
            <w:proofErr w:type="gramEnd"/>
            <w:r w:rsidRPr="00BD3157">
              <w:rPr>
                <w:sz w:val="22"/>
                <w:szCs w:val="22"/>
                <w:lang w:eastAsia="fr-FR"/>
              </w:rPr>
              <w:t xml:space="preserve"> flux &lt; 50 kg/j</w:t>
            </w:r>
          </w:p>
        </w:tc>
        <w:tc>
          <w:tcPr>
            <w:tcW w:w="1369" w:type="dxa"/>
            <w:vMerge w:val="restart"/>
            <w:tcBorders>
              <w:top w:val="outset" w:sz="6" w:space="0" w:color="auto"/>
              <w:left w:val="outset" w:sz="6" w:space="0" w:color="auto"/>
              <w:right w:val="nil"/>
            </w:tcBorders>
            <w:shd w:val="clear" w:color="auto" w:fill="EEEEEE"/>
            <w:vAlign w:val="center"/>
          </w:tcPr>
          <w:p w14:paraId="11F3D0A4" w14:textId="77777777" w:rsidR="001D5F2D" w:rsidRPr="00BD3157" w:rsidRDefault="001D5F2D" w:rsidP="001D5F2D">
            <w:pPr>
              <w:suppressAutoHyphens w:val="0"/>
              <w:jc w:val="center"/>
              <w:rPr>
                <w:sz w:val="22"/>
                <w:szCs w:val="22"/>
                <w:lang w:eastAsia="fr-FR"/>
              </w:rPr>
            </w:pPr>
            <w:r w:rsidRPr="00BD3157">
              <w:rPr>
                <w:sz w:val="22"/>
                <w:szCs w:val="22"/>
                <w:lang w:eastAsia="fr-FR"/>
              </w:rPr>
              <w:t>NF EN 12260</w:t>
            </w:r>
          </w:p>
        </w:tc>
      </w:tr>
      <w:tr w:rsidR="001D5F2D" w:rsidRPr="00C62E15" w14:paraId="381ED80E" w14:textId="77777777" w:rsidTr="00647AD3">
        <w:trPr>
          <w:trHeight w:val="20"/>
          <w:jc w:val="center"/>
        </w:trPr>
        <w:tc>
          <w:tcPr>
            <w:tcW w:w="2409" w:type="dxa"/>
            <w:gridSpan w:val="2"/>
            <w:vMerge/>
            <w:tcBorders>
              <w:left w:val="nil"/>
              <w:right w:val="single" w:sz="6" w:space="0" w:color="D8D8D8"/>
            </w:tcBorders>
            <w:shd w:val="clear" w:color="auto" w:fill="EEEEEE"/>
            <w:tcMar>
              <w:top w:w="150" w:type="dxa"/>
              <w:left w:w="150" w:type="dxa"/>
              <w:bottom w:w="150" w:type="dxa"/>
              <w:right w:w="150" w:type="dxa"/>
            </w:tcMar>
            <w:vAlign w:val="center"/>
          </w:tcPr>
          <w:p w14:paraId="49671105" w14:textId="77777777" w:rsidR="001D5F2D" w:rsidRPr="00C62E15" w:rsidRDefault="001D5F2D" w:rsidP="001D5F2D">
            <w:pPr>
              <w:suppressAutoHyphens w:val="0"/>
              <w:rPr>
                <w:b/>
                <w:bCs/>
                <w:sz w:val="22"/>
                <w:szCs w:val="22"/>
                <w:lang w:eastAsia="fr-FR"/>
              </w:rPr>
            </w:pPr>
          </w:p>
        </w:tc>
        <w:tc>
          <w:tcPr>
            <w:tcW w:w="1522" w:type="dxa"/>
            <w:vMerge/>
            <w:tcBorders>
              <w:left w:val="outset" w:sz="6" w:space="0" w:color="auto"/>
              <w:right w:val="single" w:sz="6" w:space="0" w:color="D8D8D8"/>
            </w:tcBorders>
            <w:shd w:val="clear" w:color="auto" w:fill="EEEEEE"/>
            <w:tcMar>
              <w:top w:w="150" w:type="dxa"/>
              <w:left w:w="150" w:type="dxa"/>
              <w:bottom w:w="150" w:type="dxa"/>
              <w:right w:w="150" w:type="dxa"/>
            </w:tcMar>
            <w:vAlign w:val="center"/>
          </w:tcPr>
          <w:p w14:paraId="1204D977" w14:textId="77777777" w:rsidR="001D5F2D" w:rsidRPr="00240E2D" w:rsidRDefault="001D5F2D" w:rsidP="001D5F2D">
            <w:pPr>
              <w:suppressAutoHyphens w:val="0"/>
              <w:rPr>
                <w:sz w:val="22"/>
                <w:szCs w:val="22"/>
                <w:lang w:eastAsia="fr-FR"/>
              </w:rPr>
            </w:pPr>
          </w:p>
        </w:tc>
        <w:tc>
          <w:tcPr>
            <w:tcW w:w="1118" w:type="dxa"/>
            <w:vMerge/>
            <w:tcBorders>
              <w:left w:val="outset" w:sz="6" w:space="0" w:color="auto"/>
              <w:right w:val="nil"/>
            </w:tcBorders>
            <w:shd w:val="clear" w:color="auto" w:fill="EEEEEE"/>
            <w:tcMar>
              <w:top w:w="150" w:type="dxa"/>
              <w:left w:w="150" w:type="dxa"/>
              <w:bottom w:w="150" w:type="dxa"/>
              <w:right w:w="150" w:type="dxa"/>
            </w:tcMar>
            <w:vAlign w:val="center"/>
          </w:tcPr>
          <w:p w14:paraId="5F176C3E" w14:textId="77777777" w:rsidR="001D5F2D" w:rsidRPr="00240E2D" w:rsidRDefault="001D5F2D" w:rsidP="001D5F2D">
            <w:pPr>
              <w:suppressAutoHyphens w:val="0"/>
              <w:jc w:val="center"/>
              <w:rPr>
                <w:sz w:val="22"/>
                <w:szCs w:val="22"/>
                <w:lang w:eastAsia="fr-FR"/>
              </w:rPr>
            </w:pPr>
          </w:p>
        </w:tc>
        <w:tc>
          <w:tcPr>
            <w:tcW w:w="1315" w:type="dxa"/>
            <w:tcBorders>
              <w:top w:val="outset" w:sz="6" w:space="0" w:color="auto"/>
              <w:left w:val="outset" w:sz="6" w:space="0" w:color="auto"/>
              <w:bottom w:val="single" w:sz="6" w:space="0" w:color="D8D8D8"/>
              <w:right w:val="nil"/>
            </w:tcBorders>
            <w:shd w:val="clear" w:color="auto" w:fill="EEEEEE"/>
            <w:vAlign w:val="center"/>
          </w:tcPr>
          <w:p w14:paraId="20A06157" w14:textId="77777777" w:rsidR="001D5F2D" w:rsidRPr="00240E2D" w:rsidRDefault="001D5F2D" w:rsidP="001D5F2D">
            <w:pPr>
              <w:suppressAutoHyphens w:val="0"/>
              <w:jc w:val="center"/>
              <w:rPr>
                <w:sz w:val="22"/>
                <w:szCs w:val="22"/>
                <w:lang w:eastAsia="fr-FR"/>
              </w:rPr>
            </w:pPr>
            <w:r w:rsidRPr="00240E2D">
              <w:rPr>
                <w:sz w:val="22"/>
                <w:szCs w:val="22"/>
                <w:lang w:eastAsia="fr-FR"/>
              </w:rPr>
              <w:t>Journalière</w:t>
            </w:r>
          </w:p>
        </w:tc>
        <w:tc>
          <w:tcPr>
            <w:tcW w:w="1323" w:type="dxa"/>
            <w:tcBorders>
              <w:top w:val="outset" w:sz="6" w:space="0" w:color="auto"/>
              <w:left w:val="outset" w:sz="6" w:space="0" w:color="auto"/>
              <w:bottom w:val="single" w:sz="6" w:space="0" w:color="D8D8D8"/>
              <w:right w:val="nil"/>
            </w:tcBorders>
            <w:shd w:val="clear" w:color="auto" w:fill="EEEEEE"/>
            <w:vAlign w:val="center"/>
          </w:tcPr>
          <w:p w14:paraId="43C2FFC7" w14:textId="77777777" w:rsidR="001D5F2D" w:rsidRPr="00240E2D" w:rsidRDefault="001D5F2D" w:rsidP="001D5F2D">
            <w:pPr>
              <w:suppressAutoHyphens w:val="0"/>
              <w:jc w:val="center"/>
              <w:rPr>
                <w:sz w:val="22"/>
                <w:szCs w:val="22"/>
                <w:lang w:eastAsia="fr-FR"/>
              </w:rPr>
            </w:pPr>
            <w:proofErr w:type="gramStart"/>
            <w:r w:rsidRPr="00240E2D">
              <w:rPr>
                <w:sz w:val="22"/>
                <w:szCs w:val="22"/>
                <w:lang w:eastAsia="fr-FR"/>
              </w:rPr>
              <w:t>si</w:t>
            </w:r>
            <w:proofErr w:type="gramEnd"/>
            <w:r w:rsidRPr="00240E2D">
              <w:rPr>
                <w:sz w:val="22"/>
                <w:szCs w:val="22"/>
                <w:lang w:eastAsia="fr-FR"/>
              </w:rPr>
              <w:t xml:space="preserve"> flux ≥ 50 kg/j</w:t>
            </w:r>
          </w:p>
        </w:tc>
        <w:tc>
          <w:tcPr>
            <w:tcW w:w="1369" w:type="dxa"/>
            <w:vMerge/>
            <w:tcBorders>
              <w:left w:val="outset" w:sz="6" w:space="0" w:color="auto"/>
              <w:right w:val="nil"/>
            </w:tcBorders>
            <w:shd w:val="clear" w:color="auto" w:fill="EEEEEE"/>
            <w:vAlign w:val="center"/>
          </w:tcPr>
          <w:p w14:paraId="2ADB3F79" w14:textId="77777777" w:rsidR="001D5F2D" w:rsidRPr="00240E2D" w:rsidRDefault="001D5F2D" w:rsidP="001D5F2D">
            <w:pPr>
              <w:suppressAutoHyphens w:val="0"/>
              <w:jc w:val="center"/>
              <w:rPr>
                <w:sz w:val="22"/>
                <w:szCs w:val="22"/>
                <w:lang w:eastAsia="fr-FR"/>
              </w:rPr>
            </w:pPr>
          </w:p>
        </w:tc>
      </w:tr>
      <w:tr w:rsidR="001D5F2D" w:rsidRPr="00C62E15" w14:paraId="29B69D10" w14:textId="77777777" w:rsidTr="00647AD3">
        <w:trPr>
          <w:trHeight w:val="1529"/>
          <w:jc w:val="center"/>
        </w:trPr>
        <w:tc>
          <w:tcPr>
            <w:tcW w:w="2409" w:type="dxa"/>
            <w:gridSpan w:val="2"/>
            <w:tcBorders>
              <w:top w:val="outset" w:sz="6" w:space="0" w:color="auto"/>
              <w:left w:val="nil"/>
              <w:right w:val="single" w:sz="6" w:space="0" w:color="D8D8D8"/>
            </w:tcBorders>
            <w:shd w:val="clear" w:color="auto" w:fill="EEEEEE"/>
            <w:tcMar>
              <w:top w:w="150" w:type="dxa"/>
              <w:left w:w="150" w:type="dxa"/>
              <w:bottom w:w="150" w:type="dxa"/>
              <w:right w:w="150" w:type="dxa"/>
            </w:tcMar>
            <w:vAlign w:val="center"/>
          </w:tcPr>
          <w:p w14:paraId="1253556C" w14:textId="77777777" w:rsidR="001D5F2D" w:rsidRPr="00C62E15" w:rsidRDefault="001D5F2D" w:rsidP="001D5F2D">
            <w:pPr>
              <w:suppressAutoHyphens w:val="0"/>
              <w:rPr>
                <w:b/>
                <w:bCs/>
                <w:sz w:val="22"/>
                <w:szCs w:val="22"/>
                <w:lang w:eastAsia="fr-FR"/>
              </w:rPr>
            </w:pPr>
            <w:r w:rsidRPr="00C62E15">
              <w:rPr>
                <w:b/>
                <w:bCs/>
                <w:sz w:val="22"/>
                <w:szCs w:val="22"/>
                <w:lang w:eastAsia="fr-FR"/>
              </w:rPr>
              <w:t>Chlorures (Cl</w:t>
            </w:r>
            <w:r w:rsidRPr="00C62E15">
              <w:rPr>
                <w:b/>
                <w:bCs/>
                <w:sz w:val="22"/>
                <w:szCs w:val="22"/>
                <w:vertAlign w:val="superscript"/>
                <w:lang w:eastAsia="fr-FR"/>
              </w:rPr>
              <w:t>-</w:t>
            </w:r>
            <w:r w:rsidRPr="00C62E15">
              <w:rPr>
                <w:b/>
                <w:bCs/>
                <w:sz w:val="22"/>
                <w:szCs w:val="22"/>
                <w:lang w:eastAsia="fr-FR"/>
              </w:rPr>
              <w:t>)</w:t>
            </w:r>
          </w:p>
        </w:tc>
        <w:tc>
          <w:tcPr>
            <w:tcW w:w="1522" w:type="dxa"/>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tcPr>
          <w:p w14:paraId="2200DCE3" w14:textId="77777777" w:rsidR="001D5F2D" w:rsidRPr="00BD3157" w:rsidRDefault="001D5F2D" w:rsidP="001D5F2D">
            <w:pPr>
              <w:suppressAutoHyphens w:val="0"/>
              <w:rPr>
                <w:sz w:val="22"/>
                <w:szCs w:val="22"/>
                <w:lang w:eastAsia="fr-FR"/>
              </w:rPr>
            </w:pPr>
          </w:p>
        </w:tc>
        <w:tc>
          <w:tcPr>
            <w:tcW w:w="1118" w:type="dxa"/>
            <w:tcBorders>
              <w:top w:val="outset" w:sz="6" w:space="0" w:color="auto"/>
              <w:left w:val="outset" w:sz="6" w:space="0" w:color="auto"/>
              <w:right w:val="nil"/>
            </w:tcBorders>
            <w:shd w:val="clear" w:color="auto" w:fill="EEEEEE"/>
            <w:tcMar>
              <w:top w:w="150" w:type="dxa"/>
              <w:left w:w="150" w:type="dxa"/>
              <w:bottom w:w="150" w:type="dxa"/>
              <w:right w:w="150" w:type="dxa"/>
            </w:tcMar>
            <w:vAlign w:val="center"/>
          </w:tcPr>
          <w:p w14:paraId="1626C357" w14:textId="77777777" w:rsidR="001D5F2D" w:rsidRPr="00BD3157" w:rsidRDefault="001D5F2D" w:rsidP="001D5F2D">
            <w:pPr>
              <w:suppressAutoHyphens w:val="0"/>
              <w:jc w:val="center"/>
              <w:rPr>
                <w:sz w:val="22"/>
                <w:szCs w:val="22"/>
                <w:lang w:eastAsia="fr-FR"/>
              </w:rPr>
            </w:pPr>
          </w:p>
        </w:tc>
        <w:tc>
          <w:tcPr>
            <w:tcW w:w="1315" w:type="dxa"/>
            <w:tcBorders>
              <w:top w:val="outset" w:sz="6" w:space="0" w:color="auto"/>
              <w:left w:val="outset" w:sz="6" w:space="0" w:color="auto"/>
              <w:bottom w:val="single" w:sz="6" w:space="0" w:color="D8D8D8"/>
              <w:right w:val="nil"/>
            </w:tcBorders>
            <w:shd w:val="clear" w:color="auto" w:fill="EEEEEE"/>
            <w:vAlign w:val="center"/>
          </w:tcPr>
          <w:p w14:paraId="68209008"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nil"/>
            </w:tcBorders>
            <w:shd w:val="clear" w:color="auto" w:fill="EEEEEE"/>
            <w:vAlign w:val="center"/>
          </w:tcPr>
          <w:p w14:paraId="44428249" w14:textId="77777777" w:rsidR="001D5F2D" w:rsidRPr="00BD3157" w:rsidRDefault="001D5F2D" w:rsidP="001D5F2D">
            <w:pPr>
              <w:suppressAutoHyphens w:val="0"/>
              <w:jc w:val="center"/>
              <w:rPr>
                <w:sz w:val="22"/>
                <w:szCs w:val="22"/>
                <w:lang w:eastAsia="fr-FR"/>
              </w:rPr>
            </w:pPr>
            <w:r w:rsidRPr="00BD3157">
              <w:rPr>
                <w:sz w:val="22"/>
                <w:szCs w:val="22"/>
                <w:lang w:eastAsia="fr-FR"/>
              </w:rPr>
              <w:t>Pas de seuil</w:t>
            </w:r>
          </w:p>
        </w:tc>
        <w:tc>
          <w:tcPr>
            <w:tcW w:w="1369" w:type="dxa"/>
            <w:tcBorders>
              <w:top w:val="outset" w:sz="6" w:space="0" w:color="auto"/>
              <w:left w:val="outset" w:sz="6" w:space="0" w:color="auto"/>
              <w:right w:val="nil"/>
            </w:tcBorders>
            <w:shd w:val="clear" w:color="auto" w:fill="EEEEEE"/>
            <w:vAlign w:val="center"/>
          </w:tcPr>
          <w:p w14:paraId="468CFC44" w14:textId="77363A91" w:rsidR="001D5F2D" w:rsidRPr="00BD3157" w:rsidRDefault="001D5F2D" w:rsidP="001D5F2D">
            <w:pPr>
              <w:suppressAutoHyphens w:val="0"/>
              <w:jc w:val="center"/>
              <w:rPr>
                <w:sz w:val="22"/>
                <w:szCs w:val="22"/>
                <w:lang w:eastAsia="fr-FR"/>
              </w:rPr>
            </w:pPr>
            <w:r w:rsidRPr="00BD3157">
              <w:rPr>
                <w:sz w:val="22"/>
                <w:szCs w:val="22"/>
                <w:lang w:eastAsia="fr-FR"/>
              </w:rPr>
              <w:t>Plusieurs normes (exemple : NF EN ISO 10304-1 ou NF EN ISO 15682)</w:t>
            </w:r>
          </w:p>
        </w:tc>
      </w:tr>
      <w:tr w:rsidR="001D5F2D" w:rsidRPr="00C62E15" w14:paraId="2933301F" w14:textId="77777777" w:rsidTr="00647AD3">
        <w:trPr>
          <w:trHeight w:val="960"/>
          <w:jc w:val="center"/>
        </w:trPr>
        <w:tc>
          <w:tcPr>
            <w:tcW w:w="2409" w:type="dxa"/>
            <w:gridSpan w:val="2"/>
            <w:tcBorders>
              <w:top w:val="outset" w:sz="6" w:space="0" w:color="auto"/>
              <w:left w:val="nil"/>
              <w:right w:val="single" w:sz="6" w:space="0" w:color="D8D8D8"/>
            </w:tcBorders>
            <w:shd w:val="clear" w:color="auto" w:fill="EEEEEE"/>
            <w:tcMar>
              <w:top w:w="150" w:type="dxa"/>
              <w:left w:w="150" w:type="dxa"/>
              <w:bottom w:w="150" w:type="dxa"/>
              <w:right w:w="150" w:type="dxa"/>
            </w:tcMar>
            <w:vAlign w:val="center"/>
          </w:tcPr>
          <w:p w14:paraId="5DB438EA" w14:textId="77777777" w:rsidR="001D5F2D" w:rsidRPr="00C62E15" w:rsidRDefault="001D5F2D" w:rsidP="001D5F2D">
            <w:pPr>
              <w:suppressAutoHyphens w:val="0"/>
              <w:rPr>
                <w:b/>
                <w:bCs/>
                <w:sz w:val="22"/>
                <w:szCs w:val="22"/>
                <w:lang w:eastAsia="fr-FR"/>
              </w:rPr>
            </w:pPr>
            <w:r w:rsidRPr="00C62E15">
              <w:rPr>
                <w:b/>
                <w:bCs/>
                <w:sz w:val="22"/>
                <w:szCs w:val="22"/>
                <w:lang w:eastAsia="fr-FR"/>
              </w:rPr>
              <w:t>Composés organiques du chlore (AOX ou EOX) (1)</w:t>
            </w:r>
          </w:p>
        </w:tc>
        <w:tc>
          <w:tcPr>
            <w:tcW w:w="1522" w:type="dxa"/>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tcPr>
          <w:p w14:paraId="65F85B7F" w14:textId="77777777" w:rsidR="001D5F2D" w:rsidRPr="00BD3157" w:rsidRDefault="001D5F2D" w:rsidP="001D5F2D">
            <w:pPr>
              <w:suppressAutoHyphens w:val="0"/>
              <w:rPr>
                <w:sz w:val="22"/>
                <w:szCs w:val="22"/>
                <w:lang w:eastAsia="fr-FR"/>
              </w:rPr>
            </w:pPr>
            <w:r w:rsidRPr="00BD3157">
              <w:rPr>
                <w:sz w:val="22"/>
                <w:szCs w:val="22"/>
                <w:lang w:eastAsia="fr-FR"/>
              </w:rPr>
              <w:t>Journalière</w:t>
            </w:r>
          </w:p>
        </w:tc>
        <w:tc>
          <w:tcPr>
            <w:tcW w:w="1118" w:type="dxa"/>
            <w:tcBorders>
              <w:top w:val="outset" w:sz="6" w:space="0" w:color="auto"/>
              <w:left w:val="outset" w:sz="6" w:space="0" w:color="auto"/>
              <w:right w:val="nil"/>
            </w:tcBorders>
            <w:shd w:val="clear" w:color="auto" w:fill="EEEEEE"/>
            <w:tcMar>
              <w:top w:w="150" w:type="dxa"/>
              <w:left w:w="150" w:type="dxa"/>
              <w:bottom w:w="150" w:type="dxa"/>
              <w:right w:w="150" w:type="dxa"/>
            </w:tcMar>
            <w:vAlign w:val="center"/>
          </w:tcPr>
          <w:p w14:paraId="03DB05F6" w14:textId="77777777" w:rsidR="001D5F2D" w:rsidRPr="00BD3157" w:rsidRDefault="001D5F2D" w:rsidP="001D5F2D">
            <w:pPr>
              <w:suppressAutoHyphens w:val="0"/>
              <w:jc w:val="center"/>
              <w:rPr>
                <w:sz w:val="22"/>
                <w:szCs w:val="22"/>
                <w:lang w:eastAsia="fr-FR"/>
              </w:rPr>
            </w:pPr>
            <w:r w:rsidRPr="00BD3157">
              <w:rPr>
                <w:sz w:val="22"/>
                <w:szCs w:val="22"/>
                <w:lang w:eastAsia="fr-FR"/>
              </w:rPr>
              <w:t>≥ 1 kg/j</w:t>
            </w:r>
          </w:p>
        </w:tc>
        <w:tc>
          <w:tcPr>
            <w:tcW w:w="1315" w:type="dxa"/>
            <w:tcBorders>
              <w:top w:val="outset" w:sz="6" w:space="0" w:color="auto"/>
              <w:left w:val="outset" w:sz="6" w:space="0" w:color="auto"/>
              <w:bottom w:val="single" w:sz="6" w:space="0" w:color="D8D8D8"/>
              <w:right w:val="nil"/>
            </w:tcBorders>
            <w:shd w:val="clear" w:color="auto" w:fill="EEEEEE"/>
            <w:vAlign w:val="center"/>
          </w:tcPr>
          <w:p w14:paraId="04805449" w14:textId="77777777" w:rsidR="001D5F2D" w:rsidRPr="00BD3157" w:rsidRDefault="001D5F2D" w:rsidP="001D5F2D">
            <w:pPr>
              <w:suppressAutoHyphens w:val="0"/>
              <w:jc w:val="center"/>
              <w:rPr>
                <w:sz w:val="22"/>
                <w:szCs w:val="22"/>
                <w:lang w:eastAsia="fr-FR"/>
              </w:rPr>
            </w:pPr>
          </w:p>
        </w:tc>
        <w:tc>
          <w:tcPr>
            <w:tcW w:w="1323" w:type="dxa"/>
            <w:tcBorders>
              <w:top w:val="outset" w:sz="6" w:space="0" w:color="auto"/>
              <w:left w:val="outset" w:sz="6" w:space="0" w:color="auto"/>
              <w:bottom w:val="single" w:sz="6" w:space="0" w:color="D8D8D8"/>
              <w:right w:val="nil"/>
            </w:tcBorders>
            <w:shd w:val="clear" w:color="auto" w:fill="EEEEEE"/>
            <w:vAlign w:val="center"/>
          </w:tcPr>
          <w:p w14:paraId="4A2E248C" w14:textId="77777777" w:rsidR="001D5F2D" w:rsidRPr="00BD3157" w:rsidRDefault="001D5F2D" w:rsidP="001D5F2D">
            <w:pPr>
              <w:suppressAutoHyphens w:val="0"/>
              <w:jc w:val="center"/>
              <w:rPr>
                <w:sz w:val="22"/>
                <w:szCs w:val="22"/>
                <w:lang w:eastAsia="fr-FR"/>
              </w:rPr>
            </w:pPr>
          </w:p>
        </w:tc>
        <w:tc>
          <w:tcPr>
            <w:tcW w:w="1369" w:type="dxa"/>
            <w:tcBorders>
              <w:top w:val="outset" w:sz="6" w:space="0" w:color="auto"/>
              <w:left w:val="outset" w:sz="6" w:space="0" w:color="auto"/>
              <w:right w:val="nil"/>
            </w:tcBorders>
            <w:shd w:val="clear" w:color="auto" w:fill="EEEEEE"/>
            <w:vAlign w:val="center"/>
          </w:tcPr>
          <w:p w14:paraId="673CF941" w14:textId="77777777" w:rsidR="001D5F2D" w:rsidRPr="00BD3157" w:rsidRDefault="001D5F2D" w:rsidP="001D5F2D">
            <w:pPr>
              <w:suppressAutoHyphens w:val="0"/>
              <w:jc w:val="center"/>
              <w:rPr>
                <w:sz w:val="22"/>
                <w:szCs w:val="22"/>
                <w:lang w:eastAsia="fr-FR"/>
              </w:rPr>
            </w:pPr>
            <w:r w:rsidRPr="00BD3157">
              <w:rPr>
                <w:sz w:val="22"/>
                <w:szCs w:val="22"/>
                <w:lang w:eastAsia="fr-FR"/>
              </w:rPr>
              <w:t>NF EN ISO 9562</w:t>
            </w:r>
          </w:p>
        </w:tc>
      </w:tr>
      <w:tr w:rsidR="001D5F2D" w:rsidRPr="00C62E15" w14:paraId="5B1D8651" w14:textId="77777777" w:rsidTr="00647AD3">
        <w:trPr>
          <w:trHeight w:val="960"/>
          <w:jc w:val="center"/>
        </w:trPr>
        <w:tc>
          <w:tcPr>
            <w:tcW w:w="2409" w:type="dxa"/>
            <w:gridSpan w:val="2"/>
            <w:tcBorders>
              <w:top w:val="outset" w:sz="6" w:space="0" w:color="auto"/>
              <w:left w:val="nil"/>
              <w:right w:val="single" w:sz="6" w:space="0" w:color="D8D8D8"/>
            </w:tcBorders>
            <w:shd w:val="clear" w:color="auto" w:fill="EEEEEE"/>
            <w:tcMar>
              <w:top w:w="150" w:type="dxa"/>
              <w:left w:w="150" w:type="dxa"/>
              <w:bottom w:w="150" w:type="dxa"/>
              <w:right w:w="150" w:type="dxa"/>
            </w:tcMar>
            <w:vAlign w:val="center"/>
          </w:tcPr>
          <w:p w14:paraId="2BC9D241" w14:textId="77777777" w:rsidR="001D5F2D" w:rsidRPr="00C62E15" w:rsidRDefault="001D5F2D" w:rsidP="001D5F2D">
            <w:pPr>
              <w:suppressAutoHyphens w:val="0"/>
              <w:rPr>
                <w:b/>
                <w:bCs/>
                <w:sz w:val="22"/>
                <w:szCs w:val="22"/>
                <w:lang w:eastAsia="fr-FR"/>
              </w:rPr>
            </w:pPr>
            <w:r w:rsidRPr="00C62E15">
              <w:rPr>
                <w:b/>
                <w:bCs/>
                <w:sz w:val="22"/>
                <w:szCs w:val="22"/>
                <w:lang w:eastAsia="fr-FR"/>
              </w:rPr>
              <w:t>Cyanures libres (CN</w:t>
            </w:r>
            <w:r w:rsidRPr="00C62E15">
              <w:rPr>
                <w:b/>
                <w:bCs/>
                <w:sz w:val="22"/>
                <w:szCs w:val="22"/>
                <w:vertAlign w:val="superscript"/>
                <w:lang w:eastAsia="fr-FR"/>
              </w:rPr>
              <w:t>-</w:t>
            </w:r>
            <w:r w:rsidRPr="00C62E15">
              <w:rPr>
                <w:b/>
                <w:bCs/>
                <w:sz w:val="22"/>
                <w:szCs w:val="22"/>
                <w:lang w:eastAsia="fr-FR"/>
              </w:rPr>
              <w:t>)</w:t>
            </w:r>
          </w:p>
        </w:tc>
        <w:tc>
          <w:tcPr>
            <w:tcW w:w="1522" w:type="dxa"/>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tcPr>
          <w:p w14:paraId="7893DBE8" w14:textId="77777777" w:rsidR="001D5F2D" w:rsidRPr="00BD3157" w:rsidRDefault="001D5F2D" w:rsidP="001D5F2D">
            <w:pPr>
              <w:suppressAutoHyphens w:val="0"/>
              <w:rPr>
                <w:sz w:val="22"/>
                <w:szCs w:val="22"/>
                <w:lang w:eastAsia="fr-FR"/>
              </w:rPr>
            </w:pPr>
            <w:r w:rsidRPr="00BD3157">
              <w:rPr>
                <w:sz w:val="22"/>
                <w:szCs w:val="22"/>
                <w:lang w:eastAsia="fr-FR"/>
              </w:rPr>
              <w:t>Journalière</w:t>
            </w:r>
          </w:p>
        </w:tc>
        <w:tc>
          <w:tcPr>
            <w:tcW w:w="1118" w:type="dxa"/>
            <w:tcBorders>
              <w:top w:val="outset" w:sz="6" w:space="0" w:color="auto"/>
              <w:left w:val="outset" w:sz="6" w:space="0" w:color="auto"/>
              <w:right w:val="nil"/>
            </w:tcBorders>
            <w:shd w:val="clear" w:color="auto" w:fill="EEEEEE"/>
            <w:tcMar>
              <w:top w:w="150" w:type="dxa"/>
              <w:left w:w="150" w:type="dxa"/>
              <w:bottom w:w="150" w:type="dxa"/>
              <w:right w:w="150" w:type="dxa"/>
            </w:tcMar>
            <w:vAlign w:val="center"/>
          </w:tcPr>
          <w:p w14:paraId="5B683A62" w14:textId="77777777" w:rsidR="001D5F2D" w:rsidRPr="00BD3157" w:rsidRDefault="001D5F2D" w:rsidP="001D5F2D">
            <w:pPr>
              <w:suppressAutoHyphens w:val="0"/>
              <w:jc w:val="center"/>
              <w:rPr>
                <w:sz w:val="22"/>
                <w:szCs w:val="22"/>
                <w:lang w:eastAsia="fr-FR"/>
              </w:rPr>
            </w:pPr>
            <w:r w:rsidRPr="00BD3157">
              <w:rPr>
                <w:sz w:val="22"/>
                <w:szCs w:val="22"/>
                <w:lang w:eastAsia="fr-FR"/>
              </w:rPr>
              <w:t>≥ 200 g/j</w:t>
            </w:r>
          </w:p>
        </w:tc>
        <w:tc>
          <w:tcPr>
            <w:tcW w:w="1315" w:type="dxa"/>
            <w:tcBorders>
              <w:top w:val="outset" w:sz="6" w:space="0" w:color="auto"/>
              <w:left w:val="outset" w:sz="6" w:space="0" w:color="auto"/>
              <w:bottom w:val="single" w:sz="6" w:space="0" w:color="D8D8D8"/>
              <w:right w:val="nil"/>
            </w:tcBorders>
            <w:shd w:val="clear" w:color="auto" w:fill="EEEEEE"/>
            <w:vAlign w:val="center"/>
          </w:tcPr>
          <w:p w14:paraId="4894990B" w14:textId="77777777" w:rsidR="001D5F2D" w:rsidRPr="00BD3157" w:rsidRDefault="001D5F2D" w:rsidP="001D5F2D">
            <w:pPr>
              <w:suppressAutoHyphens w:val="0"/>
              <w:jc w:val="center"/>
              <w:rPr>
                <w:sz w:val="22"/>
                <w:szCs w:val="22"/>
                <w:lang w:eastAsia="fr-FR"/>
              </w:rPr>
            </w:pPr>
          </w:p>
        </w:tc>
        <w:tc>
          <w:tcPr>
            <w:tcW w:w="1323" w:type="dxa"/>
            <w:tcBorders>
              <w:top w:val="outset" w:sz="6" w:space="0" w:color="auto"/>
              <w:left w:val="outset" w:sz="6" w:space="0" w:color="auto"/>
              <w:bottom w:val="single" w:sz="6" w:space="0" w:color="D8D8D8"/>
              <w:right w:val="nil"/>
            </w:tcBorders>
            <w:shd w:val="clear" w:color="auto" w:fill="EEEEEE"/>
            <w:vAlign w:val="center"/>
          </w:tcPr>
          <w:p w14:paraId="07C013DD" w14:textId="77777777" w:rsidR="001D5F2D" w:rsidRPr="00BD3157" w:rsidRDefault="001D5F2D" w:rsidP="001D5F2D">
            <w:pPr>
              <w:suppressAutoHyphens w:val="0"/>
              <w:jc w:val="center"/>
              <w:rPr>
                <w:sz w:val="22"/>
                <w:szCs w:val="22"/>
                <w:lang w:eastAsia="fr-FR"/>
              </w:rPr>
            </w:pPr>
          </w:p>
        </w:tc>
        <w:tc>
          <w:tcPr>
            <w:tcW w:w="1369" w:type="dxa"/>
            <w:tcBorders>
              <w:top w:val="outset" w:sz="6" w:space="0" w:color="auto"/>
              <w:left w:val="outset" w:sz="6" w:space="0" w:color="auto"/>
              <w:right w:val="nil"/>
            </w:tcBorders>
            <w:shd w:val="clear" w:color="auto" w:fill="EEEEEE"/>
            <w:vAlign w:val="center"/>
          </w:tcPr>
          <w:p w14:paraId="6EC6C918" w14:textId="77777777" w:rsidR="001D5F2D" w:rsidRPr="00BD3157" w:rsidRDefault="001D5F2D" w:rsidP="001D5F2D">
            <w:pPr>
              <w:suppressAutoHyphens w:val="0"/>
              <w:jc w:val="center"/>
              <w:rPr>
                <w:sz w:val="22"/>
                <w:szCs w:val="22"/>
                <w:lang w:eastAsia="fr-FR"/>
              </w:rPr>
            </w:pPr>
          </w:p>
        </w:tc>
      </w:tr>
      <w:tr w:rsidR="001D5F2D" w:rsidRPr="00C62E15" w14:paraId="370F116F" w14:textId="77777777" w:rsidTr="00647AD3">
        <w:trPr>
          <w:trHeight w:val="254"/>
          <w:jc w:val="center"/>
        </w:trPr>
        <w:tc>
          <w:tcPr>
            <w:tcW w:w="2409" w:type="dxa"/>
            <w:gridSpan w:val="2"/>
            <w:vMerge w:val="restart"/>
            <w:tcBorders>
              <w:top w:val="outset" w:sz="6" w:space="0" w:color="auto"/>
              <w:left w:val="nil"/>
              <w:right w:val="single" w:sz="6" w:space="0" w:color="D8D8D8"/>
            </w:tcBorders>
            <w:shd w:val="clear" w:color="auto" w:fill="EEEEEE"/>
            <w:tcMar>
              <w:top w:w="150" w:type="dxa"/>
              <w:left w:w="150" w:type="dxa"/>
              <w:bottom w:w="150" w:type="dxa"/>
              <w:right w:w="150" w:type="dxa"/>
            </w:tcMar>
            <w:vAlign w:val="center"/>
          </w:tcPr>
          <w:p w14:paraId="16B6C126" w14:textId="77777777" w:rsidR="001D5F2D" w:rsidRPr="00C62E15" w:rsidRDefault="001D5F2D" w:rsidP="001D5F2D">
            <w:pPr>
              <w:suppressAutoHyphens w:val="0"/>
              <w:rPr>
                <w:b/>
                <w:bCs/>
                <w:sz w:val="22"/>
                <w:szCs w:val="22"/>
                <w:lang w:eastAsia="fr-FR"/>
              </w:rPr>
            </w:pPr>
            <w:r w:rsidRPr="00C62E15">
              <w:rPr>
                <w:b/>
                <w:bCs/>
                <w:sz w:val="22"/>
                <w:szCs w:val="22"/>
                <w:lang w:eastAsia="fr-FR"/>
              </w:rPr>
              <w:t>DCO (sur effluent non décanté)</w:t>
            </w:r>
          </w:p>
        </w:tc>
        <w:tc>
          <w:tcPr>
            <w:tcW w:w="1522" w:type="dxa"/>
            <w:vMerge w:val="restart"/>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tcPr>
          <w:p w14:paraId="7C1C7B9C" w14:textId="77777777" w:rsidR="001D5F2D" w:rsidRPr="00BD3157" w:rsidRDefault="001D5F2D" w:rsidP="001D5F2D">
            <w:pPr>
              <w:suppressAutoHyphens w:val="0"/>
              <w:rPr>
                <w:sz w:val="22"/>
                <w:szCs w:val="22"/>
                <w:lang w:eastAsia="fr-FR"/>
              </w:rPr>
            </w:pPr>
            <w:r w:rsidRPr="00BD3157">
              <w:rPr>
                <w:sz w:val="22"/>
                <w:szCs w:val="22"/>
                <w:lang w:eastAsia="fr-FR"/>
              </w:rPr>
              <w:t>Journalière</w:t>
            </w:r>
          </w:p>
        </w:tc>
        <w:tc>
          <w:tcPr>
            <w:tcW w:w="1118" w:type="dxa"/>
            <w:vMerge w:val="restart"/>
            <w:tcBorders>
              <w:top w:val="outset" w:sz="6" w:space="0" w:color="auto"/>
              <w:left w:val="outset" w:sz="6" w:space="0" w:color="auto"/>
              <w:right w:val="nil"/>
            </w:tcBorders>
            <w:shd w:val="clear" w:color="auto" w:fill="EEEEEE"/>
            <w:tcMar>
              <w:top w:w="150" w:type="dxa"/>
              <w:left w:w="150" w:type="dxa"/>
              <w:bottom w:w="150" w:type="dxa"/>
              <w:right w:w="150" w:type="dxa"/>
            </w:tcMar>
            <w:vAlign w:val="center"/>
          </w:tcPr>
          <w:p w14:paraId="6BBF0156" w14:textId="77777777" w:rsidR="001D5F2D" w:rsidRPr="00BD3157" w:rsidRDefault="001D5F2D" w:rsidP="001D5F2D">
            <w:pPr>
              <w:suppressAutoHyphens w:val="0"/>
              <w:jc w:val="center"/>
              <w:rPr>
                <w:sz w:val="22"/>
                <w:szCs w:val="22"/>
                <w:lang w:eastAsia="fr-FR"/>
              </w:rPr>
            </w:pPr>
            <w:r w:rsidRPr="00BD3157">
              <w:rPr>
                <w:sz w:val="22"/>
                <w:szCs w:val="22"/>
                <w:lang w:eastAsia="fr-FR"/>
              </w:rPr>
              <w:t>≥ 300 kg/j</w:t>
            </w:r>
          </w:p>
        </w:tc>
        <w:tc>
          <w:tcPr>
            <w:tcW w:w="1315" w:type="dxa"/>
            <w:tcBorders>
              <w:top w:val="outset" w:sz="6" w:space="0" w:color="auto"/>
              <w:left w:val="outset" w:sz="6" w:space="0" w:color="auto"/>
              <w:bottom w:val="single" w:sz="6" w:space="0" w:color="D8D8D8"/>
              <w:right w:val="nil"/>
            </w:tcBorders>
            <w:shd w:val="clear" w:color="auto" w:fill="EEEEEE"/>
            <w:vAlign w:val="center"/>
          </w:tcPr>
          <w:p w14:paraId="245704E8" w14:textId="7671B74C" w:rsidR="001D5F2D" w:rsidRPr="00BD3157" w:rsidRDefault="001D5F2D" w:rsidP="001D5F2D">
            <w:pPr>
              <w:suppressAutoHyphens w:val="0"/>
              <w:jc w:val="center"/>
              <w:rPr>
                <w:sz w:val="22"/>
                <w:szCs w:val="22"/>
                <w:lang w:eastAsia="fr-FR"/>
              </w:rPr>
            </w:pPr>
            <w:r w:rsidRPr="00BD3157">
              <w:rPr>
                <w:sz w:val="22"/>
                <w:szCs w:val="22"/>
                <w:lang w:eastAsia="fr-FR"/>
              </w:rPr>
              <w:t xml:space="preserve">Mensuelle </w:t>
            </w:r>
          </w:p>
        </w:tc>
        <w:tc>
          <w:tcPr>
            <w:tcW w:w="1323" w:type="dxa"/>
            <w:tcBorders>
              <w:top w:val="outset" w:sz="6" w:space="0" w:color="auto"/>
              <w:left w:val="outset" w:sz="6" w:space="0" w:color="auto"/>
              <w:bottom w:val="single" w:sz="6" w:space="0" w:color="D8D8D8"/>
              <w:right w:val="nil"/>
            </w:tcBorders>
            <w:shd w:val="clear" w:color="auto" w:fill="EEEEEE"/>
            <w:vAlign w:val="center"/>
          </w:tcPr>
          <w:p w14:paraId="39640D67" w14:textId="77777777" w:rsidR="001D5F2D" w:rsidRPr="00BD3157" w:rsidRDefault="001D5F2D" w:rsidP="001D5F2D">
            <w:pPr>
              <w:suppressAutoHyphens w:val="0"/>
              <w:jc w:val="center"/>
              <w:rPr>
                <w:sz w:val="22"/>
                <w:szCs w:val="22"/>
                <w:lang w:eastAsia="fr-FR"/>
              </w:rPr>
            </w:pPr>
            <w:proofErr w:type="gramStart"/>
            <w:r w:rsidRPr="00BD3157">
              <w:rPr>
                <w:sz w:val="22"/>
                <w:szCs w:val="22"/>
                <w:lang w:eastAsia="fr-FR"/>
              </w:rPr>
              <w:t>si</w:t>
            </w:r>
            <w:proofErr w:type="gramEnd"/>
            <w:r w:rsidRPr="00BD3157">
              <w:rPr>
                <w:sz w:val="22"/>
                <w:szCs w:val="22"/>
                <w:lang w:eastAsia="fr-FR"/>
              </w:rPr>
              <w:t xml:space="preserve"> flux &lt; 300 kg/j</w:t>
            </w:r>
          </w:p>
        </w:tc>
        <w:tc>
          <w:tcPr>
            <w:tcW w:w="1369" w:type="dxa"/>
            <w:vMerge w:val="restart"/>
            <w:tcBorders>
              <w:top w:val="outset" w:sz="6" w:space="0" w:color="auto"/>
              <w:left w:val="outset" w:sz="6" w:space="0" w:color="auto"/>
              <w:right w:val="nil"/>
            </w:tcBorders>
            <w:shd w:val="clear" w:color="auto" w:fill="EEEEEE"/>
            <w:vAlign w:val="center"/>
          </w:tcPr>
          <w:p w14:paraId="4E62E915" w14:textId="77777777" w:rsidR="001D5F2D" w:rsidRPr="00BD3157" w:rsidRDefault="001D5F2D" w:rsidP="001D5F2D">
            <w:pPr>
              <w:suppressAutoHyphens w:val="0"/>
              <w:jc w:val="center"/>
              <w:rPr>
                <w:sz w:val="22"/>
                <w:szCs w:val="22"/>
                <w:lang w:eastAsia="fr-FR"/>
              </w:rPr>
            </w:pPr>
            <w:r w:rsidRPr="00BD3157">
              <w:rPr>
                <w:sz w:val="22"/>
                <w:szCs w:val="22"/>
                <w:lang w:eastAsia="fr-FR"/>
              </w:rPr>
              <w:t xml:space="preserve">NF T90-101 </w:t>
            </w:r>
          </w:p>
          <w:p w14:paraId="43949B1A" w14:textId="77777777" w:rsidR="001D5F2D" w:rsidRPr="00BD3157" w:rsidRDefault="001D5F2D" w:rsidP="001D5F2D">
            <w:pPr>
              <w:suppressAutoHyphens w:val="0"/>
              <w:jc w:val="center"/>
              <w:rPr>
                <w:sz w:val="22"/>
                <w:szCs w:val="22"/>
                <w:lang w:eastAsia="fr-FR"/>
              </w:rPr>
            </w:pPr>
            <w:r w:rsidRPr="00BD3157">
              <w:rPr>
                <w:sz w:val="22"/>
                <w:szCs w:val="22"/>
                <w:lang w:eastAsia="fr-FR"/>
              </w:rPr>
              <w:t>ISO 15705</w:t>
            </w:r>
          </w:p>
        </w:tc>
      </w:tr>
      <w:tr w:rsidR="001D5F2D" w:rsidRPr="00C62E15" w14:paraId="29A73F2B" w14:textId="77777777" w:rsidTr="00647AD3">
        <w:trPr>
          <w:trHeight w:val="268"/>
          <w:jc w:val="center"/>
        </w:trPr>
        <w:tc>
          <w:tcPr>
            <w:tcW w:w="2409" w:type="dxa"/>
            <w:gridSpan w:val="2"/>
            <w:vMerge/>
            <w:tcBorders>
              <w:left w:val="nil"/>
              <w:right w:val="single" w:sz="6" w:space="0" w:color="D8D8D8"/>
            </w:tcBorders>
            <w:shd w:val="clear" w:color="auto" w:fill="EEEEEE"/>
            <w:tcMar>
              <w:top w:w="150" w:type="dxa"/>
              <w:left w:w="150" w:type="dxa"/>
              <w:bottom w:w="150" w:type="dxa"/>
              <w:right w:w="150" w:type="dxa"/>
            </w:tcMar>
            <w:vAlign w:val="center"/>
          </w:tcPr>
          <w:p w14:paraId="581C92C2" w14:textId="77777777" w:rsidR="001D5F2D" w:rsidRPr="00C62E15" w:rsidRDefault="001D5F2D" w:rsidP="001D5F2D">
            <w:pPr>
              <w:suppressAutoHyphens w:val="0"/>
              <w:rPr>
                <w:b/>
                <w:bCs/>
                <w:sz w:val="22"/>
                <w:szCs w:val="22"/>
                <w:lang w:eastAsia="fr-FR"/>
              </w:rPr>
            </w:pPr>
          </w:p>
        </w:tc>
        <w:tc>
          <w:tcPr>
            <w:tcW w:w="1522" w:type="dxa"/>
            <w:vMerge/>
            <w:tcBorders>
              <w:left w:val="outset" w:sz="6" w:space="0" w:color="auto"/>
              <w:right w:val="single" w:sz="6" w:space="0" w:color="D8D8D8"/>
            </w:tcBorders>
            <w:shd w:val="clear" w:color="auto" w:fill="EEEEEE"/>
            <w:tcMar>
              <w:top w:w="150" w:type="dxa"/>
              <w:left w:w="150" w:type="dxa"/>
              <w:bottom w:w="150" w:type="dxa"/>
              <w:right w:w="150" w:type="dxa"/>
            </w:tcMar>
            <w:vAlign w:val="center"/>
          </w:tcPr>
          <w:p w14:paraId="5B370899" w14:textId="77777777" w:rsidR="001D5F2D" w:rsidRPr="00BD3157" w:rsidRDefault="001D5F2D" w:rsidP="001D5F2D">
            <w:pPr>
              <w:suppressAutoHyphens w:val="0"/>
              <w:rPr>
                <w:sz w:val="22"/>
                <w:szCs w:val="22"/>
                <w:lang w:eastAsia="fr-FR"/>
              </w:rPr>
            </w:pPr>
          </w:p>
        </w:tc>
        <w:tc>
          <w:tcPr>
            <w:tcW w:w="1118" w:type="dxa"/>
            <w:vMerge/>
            <w:tcBorders>
              <w:left w:val="outset" w:sz="6" w:space="0" w:color="auto"/>
              <w:right w:val="nil"/>
            </w:tcBorders>
            <w:shd w:val="clear" w:color="auto" w:fill="EEEEEE"/>
            <w:tcMar>
              <w:top w:w="150" w:type="dxa"/>
              <w:left w:w="150" w:type="dxa"/>
              <w:bottom w:w="150" w:type="dxa"/>
              <w:right w:w="150" w:type="dxa"/>
            </w:tcMar>
            <w:vAlign w:val="center"/>
          </w:tcPr>
          <w:p w14:paraId="6951B38A" w14:textId="77777777" w:rsidR="001D5F2D" w:rsidRPr="00BD3157" w:rsidRDefault="001D5F2D" w:rsidP="001D5F2D">
            <w:pPr>
              <w:suppressAutoHyphens w:val="0"/>
              <w:jc w:val="center"/>
              <w:rPr>
                <w:sz w:val="22"/>
                <w:szCs w:val="22"/>
                <w:lang w:eastAsia="fr-FR"/>
              </w:rPr>
            </w:pPr>
          </w:p>
        </w:tc>
        <w:tc>
          <w:tcPr>
            <w:tcW w:w="1315" w:type="dxa"/>
            <w:tcBorders>
              <w:top w:val="outset" w:sz="6" w:space="0" w:color="auto"/>
              <w:left w:val="outset" w:sz="6" w:space="0" w:color="auto"/>
              <w:bottom w:val="single" w:sz="6" w:space="0" w:color="D8D8D8"/>
              <w:right w:val="nil"/>
            </w:tcBorders>
            <w:shd w:val="clear" w:color="auto" w:fill="EEEEEE"/>
            <w:vAlign w:val="center"/>
          </w:tcPr>
          <w:p w14:paraId="7E61ACCA" w14:textId="77777777" w:rsidR="001D5F2D" w:rsidRPr="00BD3157" w:rsidRDefault="001D5F2D" w:rsidP="001D5F2D">
            <w:pPr>
              <w:suppressAutoHyphens w:val="0"/>
              <w:jc w:val="center"/>
              <w:rPr>
                <w:sz w:val="22"/>
                <w:szCs w:val="22"/>
                <w:lang w:eastAsia="fr-FR"/>
              </w:rPr>
            </w:pPr>
            <w:r w:rsidRPr="00BD3157">
              <w:rPr>
                <w:sz w:val="22"/>
                <w:szCs w:val="22"/>
                <w:lang w:eastAsia="fr-FR"/>
              </w:rPr>
              <w:t>Journalière</w:t>
            </w:r>
          </w:p>
        </w:tc>
        <w:tc>
          <w:tcPr>
            <w:tcW w:w="1323" w:type="dxa"/>
            <w:tcBorders>
              <w:top w:val="outset" w:sz="6" w:space="0" w:color="auto"/>
              <w:left w:val="outset" w:sz="6" w:space="0" w:color="auto"/>
              <w:bottom w:val="single" w:sz="6" w:space="0" w:color="D8D8D8"/>
              <w:right w:val="nil"/>
            </w:tcBorders>
            <w:shd w:val="clear" w:color="auto" w:fill="EEEEEE"/>
            <w:vAlign w:val="center"/>
          </w:tcPr>
          <w:p w14:paraId="042EC4A9" w14:textId="77777777" w:rsidR="001D5F2D" w:rsidRPr="00BD3157" w:rsidRDefault="001D5F2D" w:rsidP="001D5F2D">
            <w:pPr>
              <w:suppressAutoHyphens w:val="0"/>
              <w:jc w:val="center"/>
              <w:rPr>
                <w:sz w:val="22"/>
                <w:szCs w:val="22"/>
                <w:lang w:eastAsia="fr-FR"/>
              </w:rPr>
            </w:pPr>
            <w:proofErr w:type="gramStart"/>
            <w:r w:rsidRPr="00BD3157">
              <w:rPr>
                <w:sz w:val="22"/>
                <w:szCs w:val="22"/>
                <w:lang w:eastAsia="fr-FR"/>
              </w:rPr>
              <w:t>si</w:t>
            </w:r>
            <w:proofErr w:type="gramEnd"/>
            <w:r w:rsidRPr="00BD3157">
              <w:rPr>
                <w:sz w:val="22"/>
                <w:szCs w:val="22"/>
                <w:lang w:eastAsia="fr-FR"/>
              </w:rPr>
              <w:t xml:space="preserve"> flux ≥ 300 kg/j</w:t>
            </w:r>
          </w:p>
        </w:tc>
        <w:tc>
          <w:tcPr>
            <w:tcW w:w="1369" w:type="dxa"/>
            <w:vMerge/>
            <w:tcBorders>
              <w:left w:val="outset" w:sz="6" w:space="0" w:color="auto"/>
              <w:right w:val="nil"/>
            </w:tcBorders>
            <w:shd w:val="clear" w:color="auto" w:fill="EEEEEE"/>
            <w:vAlign w:val="center"/>
          </w:tcPr>
          <w:p w14:paraId="113B43DD" w14:textId="77777777" w:rsidR="001D5F2D" w:rsidRPr="00BD3157" w:rsidRDefault="001D5F2D" w:rsidP="001D5F2D">
            <w:pPr>
              <w:suppressAutoHyphens w:val="0"/>
              <w:jc w:val="center"/>
              <w:rPr>
                <w:sz w:val="22"/>
                <w:szCs w:val="22"/>
                <w:lang w:eastAsia="fr-FR"/>
              </w:rPr>
            </w:pPr>
          </w:p>
        </w:tc>
      </w:tr>
      <w:tr w:rsidR="001D5F2D" w:rsidRPr="00C62E15" w14:paraId="2555FAB1" w14:textId="77777777" w:rsidTr="00647AD3">
        <w:trPr>
          <w:trHeight w:val="123"/>
          <w:jc w:val="center"/>
        </w:trPr>
        <w:tc>
          <w:tcPr>
            <w:tcW w:w="2409" w:type="dxa"/>
            <w:gridSpan w:val="2"/>
            <w:tcBorders>
              <w:top w:val="outset" w:sz="6" w:space="0" w:color="auto"/>
              <w:left w:val="nil"/>
              <w:right w:val="single" w:sz="6" w:space="0" w:color="D8D8D8"/>
            </w:tcBorders>
            <w:shd w:val="clear" w:color="auto" w:fill="EEEEEE"/>
            <w:tcMar>
              <w:top w:w="150" w:type="dxa"/>
              <w:left w:w="150" w:type="dxa"/>
              <w:bottom w:w="150" w:type="dxa"/>
              <w:right w:w="150" w:type="dxa"/>
            </w:tcMar>
            <w:vAlign w:val="center"/>
          </w:tcPr>
          <w:p w14:paraId="102F0BD9" w14:textId="77777777" w:rsidR="001D5F2D" w:rsidRPr="00C62E15" w:rsidRDefault="001D5F2D" w:rsidP="001D5F2D">
            <w:pPr>
              <w:suppressAutoHyphens w:val="0"/>
              <w:rPr>
                <w:b/>
                <w:bCs/>
                <w:sz w:val="22"/>
                <w:szCs w:val="22"/>
                <w:lang w:eastAsia="fr-FR"/>
              </w:rPr>
            </w:pPr>
            <w:r w:rsidRPr="00C62E15">
              <w:rPr>
                <w:b/>
                <w:bCs/>
                <w:sz w:val="22"/>
                <w:szCs w:val="22"/>
                <w:lang w:eastAsia="fr-FR"/>
              </w:rPr>
              <w:t>Fluorures (F</w:t>
            </w:r>
            <w:r w:rsidRPr="00C62E15">
              <w:rPr>
                <w:b/>
                <w:bCs/>
                <w:sz w:val="22"/>
                <w:szCs w:val="22"/>
                <w:vertAlign w:val="superscript"/>
                <w:lang w:eastAsia="fr-FR"/>
              </w:rPr>
              <w:t>-</w:t>
            </w:r>
            <w:r w:rsidRPr="00C62E15">
              <w:rPr>
                <w:b/>
                <w:bCs/>
                <w:sz w:val="22"/>
                <w:szCs w:val="22"/>
                <w:lang w:eastAsia="fr-FR"/>
              </w:rPr>
              <w:t>)</w:t>
            </w:r>
          </w:p>
        </w:tc>
        <w:tc>
          <w:tcPr>
            <w:tcW w:w="1522" w:type="dxa"/>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tcPr>
          <w:p w14:paraId="77E63249" w14:textId="77777777" w:rsidR="001D5F2D" w:rsidRPr="00BD3157" w:rsidRDefault="001D5F2D" w:rsidP="001D5F2D">
            <w:pPr>
              <w:suppressAutoHyphens w:val="0"/>
              <w:rPr>
                <w:sz w:val="22"/>
                <w:szCs w:val="22"/>
                <w:lang w:eastAsia="fr-FR"/>
              </w:rPr>
            </w:pPr>
          </w:p>
        </w:tc>
        <w:tc>
          <w:tcPr>
            <w:tcW w:w="1118" w:type="dxa"/>
            <w:tcBorders>
              <w:top w:val="outset" w:sz="6" w:space="0" w:color="auto"/>
              <w:left w:val="outset" w:sz="6" w:space="0" w:color="auto"/>
              <w:right w:val="nil"/>
            </w:tcBorders>
            <w:shd w:val="clear" w:color="auto" w:fill="EEEEEE"/>
            <w:tcMar>
              <w:top w:w="150" w:type="dxa"/>
              <w:left w:w="150" w:type="dxa"/>
              <w:bottom w:w="150" w:type="dxa"/>
              <w:right w:w="150" w:type="dxa"/>
            </w:tcMar>
            <w:vAlign w:val="center"/>
          </w:tcPr>
          <w:p w14:paraId="55240C09" w14:textId="77777777" w:rsidR="001D5F2D" w:rsidRPr="00BD3157" w:rsidRDefault="001D5F2D" w:rsidP="001D5F2D">
            <w:pPr>
              <w:suppressAutoHyphens w:val="0"/>
              <w:jc w:val="center"/>
              <w:rPr>
                <w:sz w:val="22"/>
                <w:szCs w:val="22"/>
                <w:lang w:eastAsia="fr-FR"/>
              </w:rPr>
            </w:pPr>
          </w:p>
        </w:tc>
        <w:tc>
          <w:tcPr>
            <w:tcW w:w="1315" w:type="dxa"/>
            <w:tcBorders>
              <w:top w:val="outset" w:sz="6" w:space="0" w:color="auto"/>
              <w:left w:val="outset" w:sz="6" w:space="0" w:color="auto"/>
              <w:right w:val="nil"/>
            </w:tcBorders>
            <w:shd w:val="clear" w:color="auto" w:fill="EEEEEE"/>
            <w:vAlign w:val="center"/>
          </w:tcPr>
          <w:p w14:paraId="62EE964D"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right w:val="nil"/>
            </w:tcBorders>
            <w:shd w:val="clear" w:color="auto" w:fill="EEEEEE"/>
            <w:vAlign w:val="center"/>
          </w:tcPr>
          <w:p w14:paraId="7608EA6D" w14:textId="77777777" w:rsidR="001D5F2D" w:rsidRPr="00BD3157" w:rsidRDefault="001D5F2D" w:rsidP="001D5F2D">
            <w:pPr>
              <w:suppressAutoHyphens w:val="0"/>
              <w:jc w:val="center"/>
              <w:rPr>
                <w:sz w:val="22"/>
                <w:szCs w:val="22"/>
                <w:lang w:eastAsia="fr-FR"/>
              </w:rPr>
            </w:pPr>
            <w:r w:rsidRPr="00BD3157">
              <w:rPr>
                <w:sz w:val="22"/>
                <w:szCs w:val="22"/>
                <w:lang w:eastAsia="fr-FR"/>
              </w:rPr>
              <w:t>Pas de seuil</w:t>
            </w:r>
          </w:p>
        </w:tc>
        <w:tc>
          <w:tcPr>
            <w:tcW w:w="1369" w:type="dxa"/>
            <w:tcBorders>
              <w:top w:val="outset" w:sz="6" w:space="0" w:color="auto"/>
              <w:left w:val="outset" w:sz="6" w:space="0" w:color="auto"/>
              <w:right w:val="nil"/>
            </w:tcBorders>
            <w:shd w:val="clear" w:color="auto" w:fill="EEEEEE"/>
            <w:vAlign w:val="center"/>
          </w:tcPr>
          <w:p w14:paraId="4F164B5C" w14:textId="77777777" w:rsidR="001D5F2D" w:rsidRPr="00BD3157" w:rsidRDefault="001D5F2D" w:rsidP="001D5F2D">
            <w:pPr>
              <w:suppressAutoHyphens w:val="0"/>
              <w:jc w:val="center"/>
              <w:rPr>
                <w:sz w:val="22"/>
                <w:szCs w:val="22"/>
                <w:lang w:eastAsia="fr-FR"/>
              </w:rPr>
            </w:pPr>
            <w:r w:rsidRPr="00BD3157">
              <w:rPr>
                <w:sz w:val="22"/>
                <w:szCs w:val="22"/>
                <w:lang w:eastAsia="fr-FR"/>
              </w:rPr>
              <w:t>NF EN ISO 10304-1</w:t>
            </w:r>
          </w:p>
        </w:tc>
      </w:tr>
      <w:tr w:rsidR="001D5F2D" w:rsidRPr="00C62E15" w14:paraId="40724A22" w14:textId="77777777" w:rsidTr="00647AD3">
        <w:trPr>
          <w:trHeight w:val="123"/>
          <w:jc w:val="center"/>
        </w:trPr>
        <w:tc>
          <w:tcPr>
            <w:tcW w:w="2409" w:type="dxa"/>
            <w:gridSpan w:val="2"/>
            <w:tcBorders>
              <w:top w:val="outset" w:sz="6" w:space="0" w:color="auto"/>
              <w:left w:val="nil"/>
              <w:right w:val="single" w:sz="6" w:space="0" w:color="D8D8D8"/>
            </w:tcBorders>
            <w:shd w:val="clear" w:color="auto" w:fill="EEEEEE"/>
            <w:tcMar>
              <w:top w:w="150" w:type="dxa"/>
              <w:left w:w="150" w:type="dxa"/>
              <w:bottom w:w="150" w:type="dxa"/>
              <w:right w:w="150" w:type="dxa"/>
            </w:tcMar>
            <w:vAlign w:val="center"/>
          </w:tcPr>
          <w:p w14:paraId="6E7F0BD9" w14:textId="77777777" w:rsidR="001D5F2D" w:rsidRPr="00C62E15" w:rsidRDefault="001D5F2D" w:rsidP="001D5F2D">
            <w:pPr>
              <w:suppressAutoHyphens w:val="0"/>
              <w:rPr>
                <w:b/>
                <w:bCs/>
                <w:sz w:val="22"/>
                <w:szCs w:val="22"/>
                <w:lang w:eastAsia="fr-FR"/>
              </w:rPr>
            </w:pPr>
            <w:r w:rsidRPr="00C62E15">
              <w:rPr>
                <w:b/>
                <w:bCs/>
                <w:sz w:val="22"/>
                <w:szCs w:val="22"/>
                <w:lang w:eastAsia="fr-FR"/>
              </w:rPr>
              <w:t>Hydrocarbures totaux</w:t>
            </w:r>
          </w:p>
        </w:tc>
        <w:tc>
          <w:tcPr>
            <w:tcW w:w="1522" w:type="dxa"/>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tcPr>
          <w:p w14:paraId="1AF682D7" w14:textId="77777777" w:rsidR="001D5F2D" w:rsidRPr="00BD3157" w:rsidRDefault="001D5F2D" w:rsidP="001D5F2D">
            <w:pPr>
              <w:suppressAutoHyphens w:val="0"/>
              <w:rPr>
                <w:sz w:val="22"/>
                <w:szCs w:val="22"/>
                <w:lang w:eastAsia="fr-FR"/>
              </w:rPr>
            </w:pPr>
            <w:r w:rsidRPr="00BD3157">
              <w:rPr>
                <w:sz w:val="22"/>
                <w:szCs w:val="22"/>
                <w:lang w:eastAsia="fr-FR"/>
              </w:rPr>
              <w:t>Journalière</w:t>
            </w:r>
          </w:p>
        </w:tc>
        <w:tc>
          <w:tcPr>
            <w:tcW w:w="1118" w:type="dxa"/>
            <w:tcBorders>
              <w:top w:val="outset" w:sz="6" w:space="0" w:color="auto"/>
              <w:left w:val="outset" w:sz="6" w:space="0" w:color="auto"/>
              <w:right w:val="nil"/>
            </w:tcBorders>
            <w:shd w:val="clear" w:color="auto" w:fill="EEEEEE"/>
            <w:tcMar>
              <w:top w:w="150" w:type="dxa"/>
              <w:left w:w="150" w:type="dxa"/>
              <w:bottom w:w="150" w:type="dxa"/>
              <w:right w:w="150" w:type="dxa"/>
            </w:tcMar>
            <w:vAlign w:val="center"/>
          </w:tcPr>
          <w:p w14:paraId="7E062115" w14:textId="77777777" w:rsidR="001D5F2D" w:rsidRPr="00BD3157" w:rsidRDefault="001D5F2D" w:rsidP="001D5F2D">
            <w:pPr>
              <w:suppressAutoHyphens w:val="0"/>
              <w:jc w:val="center"/>
              <w:rPr>
                <w:sz w:val="22"/>
                <w:szCs w:val="22"/>
                <w:lang w:eastAsia="fr-FR"/>
              </w:rPr>
            </w:pPr>
            <w:r w:rsidRPr="00BD3157">
              <w:rPr>
                <w:sz w:val="22"/>
                <w:szCs w:val="22"/>
                <w:lang w:eastAsia="fr-FR"/>
              </w:rPr>
              <w:t>≥ 10 kg/j</w:t>
            </w:r>
          </w:p>
        </w:tc>
        <w:tc>
          <w:tcPr>
            <w:tcW w:w="1315" w:type="dxa"/>
            <w:tcBorders>
              <w:top w:val="outset" w:sz="6" w:space="0" w:color="auto"/>
              <w:left w:val="outset" w:sz="6" w:space="0" w:color="auto"/>
              <w:right w:val="nil"/>
            </w:tcBorders>
            <w:shd w:val="clear" w:color="auto" w:fill="EEEEEE"/>
            <w:vAlign w:val="center"/>
          </w:tcPr>
          <w:p w14:paraId="4C301E8F" w14:textId="77777777" w:rsidR="001D5F2D" w:rsidRPr="00BD3157" w:rsidRDefault="001D5F2D" w:rsidP="001D5F2D">
            <w:pPr>
              <w:suppressAutoHyphens w:val="0"/>
              <w:jc w:val="center"/>
              <w:rPr>
                <w:sz w:val="22"/>
                <w:szCs w:val="22"/>
                <w:lang w:eastAsia="fr-FR"/>
              </w:rPr>
            </w:pPr>
          </w:p>
        </w:tc>
        <w:tc>
          <w:tcPr>
            <w:tcW w:w="1323" w:type="dxa"/>
            <w:tcBorders>
              <w:top w:val="outset" w:sz="6" w:space="0" w:color="auto"/>
              <w:left w:val="outset" w:sz="6" w:space="0" w:color="auto"/>
              <w:right w:val="nil"/>
            </w:tcBorders>
            <w:shd w:val="clear" w:color="auto" w:fill="EEEEEE"/>
            <w:vAlign w:val="center"/>
          </w:tcPr>
          <w:p w14:paraId="6D113E92" w14:textId="77777777" w:rsidR="001D5F2D" w:rsidRPr="00BD3157" w:rsidRDefault="001D5F2D" w:rsidP="001D5F2D">
            <w:pPr>
              <w:suppressAutoHyphens w:val="0"/>
              <w:jc w:val="center"/>
              <w:rPr>
                <w:sz w:val="22"/>
                <w:szCs w:val="22"/>
                <w:lang w:eastAsia="fr-FR"/>
              </w:rPr>
            </w:pPr>
          </w:p>
        </w:tc>
        <w:tc>
          <w:tcPr>
            <w:tcW w:w="1369" w:type="dxa"/>
            <w:tcBorders>
              <w:top w:val="outset" w:sz="6" w:space="0" w:color="auto"/>
              <w:left w:val="outset" w:sz="6" w:space="0" w:color="auto"/>
              <w:right w:val="nil"/>
            </w:tcBorders>
            <w:shd w:val="clear" w:color="auto" w:fill="EEEEEE"/>
            <w:vAlign w:val="center"/>
          </w:tcPr>
          <w:p w14:paraId="499A5316" w14:textId="77777777" w:rsidR="001D5F2D" w:rsidRPr="00BD3157" w:rsidRDefault="001D5F2D" w:rsidP="001D5F2D">
            <w:pPr>
              <w:suppressAutoHyphens w:val="0"/>
              <w:jc w:val="center"/>
              <w:rPr>
                <w:sz w:val="22"/>
                <w:szCs w:val="22"/>
                <w:lang w:eastAsia="fr-FR"/>
              </w:rPr>
            </w:pPr>
          </w:p>
        </w:tc>
      </w:tr>
      <w:tr w:rsidR="001D5F2D" w:rsidRPr="00C62E15" w14:paraId="68F2BC03" w14:textId="77777777" w:rsidTr="00647AD3">
        <w:trPr>
          <w:trHeight w:val="254"/>
          <w:jc w:val="center"/>
        </w:trPr>
        <w:tc>
          <w:tcPr>
            <w:tcW w:w="2409" w:type="dxa"/>
            <w:gridSpan w:val="2"/>
            <w:vMerge w:val="restart"/>
            <w:tcBorders>
              <w:top w:val="outset" w:sz="6" w:space="0" w:color="auto"/>
              <w:left w:val="nil"/>
              <w:right w:val="single" w:sz="6" w:space="0" w:color="D8D8D8"/>
            </w:tcBorders>
            <w:shd w:val="clear" w:color="auto" w:fill="F5F5F5"/>
            <w:tcMar>
              <w:top w:w="150" w:type="dxa"/>
              <w:left w:w="150" w:type="dxa"/>
              <w:bottom w:w="150" w:type="dxa"/>
              <w:right w:w="150" w:type="dxa"/>
            </w:tcMar>
            <w:vAlign w:val="center"/>
            <w:hideMark/>
          </w:tcPr>
          <w:p w14:paraId="7B92DDB4" w14:textId="77777777" w:rsidR="001D5F2D" w:rsidRPr="00C62E15" w:rsidRDefault="001D5F2D" w:rsidP="001D5F2D">
            <w:pPr>
              <w:suppressAutoHyphens w:val="0"/>
              <w:rPr>
                <w:b/>
                <w:bCs/>
                <w:sz w:val="22"/>
                <w:szCs w:val="22"/>
                <w:lang w:eastAsia="fr-FR"/>
              </w:rPr>
            </w:pPr>
            <w:r w:rsidRPr="00C62E15">
              <w:rPr>
                <w:b/>
                <w:bCs/>
                <w:sz w:val="22"/>
                <w:szCs w:val="22"/>
                <w:lang w:eastAsia="fr-FR"/>
              </w:rPr>
              <w:t>Matières en suspension</w:t>
            </w:r>
          </w:p>
        </w:tc>
        <w:tc>
          <w:tcPr>
            <w:tcW w:w="1522" w:type="dxa"/>
            <w:vMerge w:val="restart"/>
            <w:tcBorders>
              <w:top w:val="outset" w:sz="6" w:space="0" w:color="auto"/>
              <w:left w:val="outset" w:sz="6" w:space="0" w:color="auto"/>
              <w:right w:val="single" w:sz="6" w:space="0" w:color="D8D8D8"/>
            </w:tcBorders>
            <w:shd w:val="clear" w:color="auto" w:fill="F5F5F5"/>
            <w:tcMar>
              <w:top w:w="150" w:type="dxa"/>
              <w:left w:w="150" w:type="dxa"/>
              <w:bottom w:w="150" w:type="dxa"/>
              <w:right w:w="150" w:type="dxa"/>
            </w:tcMar>
            <w:vAlign w:val="center"/>
            <w:hideMark/>
          </w:tcPr>
          <w:p w14:paraId="4C503D0C" w14:textId="77777777" w:rsidR="001D5F2D" w:rsidRPr="00BD3157" w:rsidRDefault="001D5F2D" w:rsidP="001D5F2D">
            <w:pPr>
              <w:suppressAutoHyphens w:val="0"/>
              <w:rPr>
                <w:sz w:val="22"/>
                <w:szCs w:val="22"/>
                <w:lang w:eastAsia="fr-FR"/>
              </w:rPr>
            </w:pPr>
            <w:r w:rsidRPr="00BD3157">
              <w:rPr>
                <w:sz w:val="22"/>
                <w:szCs w:val="22"/>
                <w:lang w:eastAsia="fr-FR"/>
              </w:rPr>
              <w:t>Journalière</w:t>
            </w:r>
          </w:p>
        </w:tc>
        <w:tc>
          <w:tcPr>
            <w:tcW w:w="1118" w:type="dxa"/>
            <w:vMerge w:val="restart"/>
            <w:tcBorders>
              <w:top w:val="outset" w:sz="6" w:space="0" w:color="auto"/>
              <w:left w:val="outset" w:sz="6" w:space="0" w:color="auto"/>
              <w:right w:val="nil"/>
            </w:tcBorders>
            <w:shd w:val="clear" w:color="auto" w:fill="F5F5F5"/>
            <w:tcMar>
              <w:top w:w="150" w:type="dxa"/>
              <w:left w:w="150" w:type="dxa"/>
              <w:bottom w:w="150" w:type="dxa"/>
              <w:right w:w="150" w:type="dxa"/>
            </w:tcMar>
            <w:vAlign w:val="center"/>
            <w:hideMark/>
          </w:tcPr>
          <w:p w14:paraId="3D42DC89" w14:textId="77777777" w:rsidR="001D5F2D" w:rsidRPr="00BD3157" w:rsidRDefault="001D5F2D" w:rsidP="001D5F2D">
            <w:pPr>
              <w:suppressAutoHyphens w:val="0"/>
              <w:jc w:val="center"/>
              <w:rPr>
                <w:sz w:val="22"/>
                <w:szCs w:val="22"/>
                <w:lang w:eastAsia="fr-FR"/>
              </w:rPr>
            </w:pPr>
            <w:r w:rsidRPr="00BD3157">
              <w:rPr>
                <w:sz w:val="22"/>
                <w:szCs w:val="22"/>
                <w:lang w:eastAsia="fr-FR"/>
              </w:rPr>
              <w:t>≥ 100 kg/j</w:t>
            </w:r>
          </w:p>
        </w:tc>
        <w:tc>
          <w:tcPr>
            <w:tcW w:w="1315" w:type="dxa"/>
            <w:tcBorders>
              <w:top w:val="outset" w:sz="6" w:space="0" w:color="auto"/>
              <w:left w:val="outset" w:sz="6" w:space="0" w:color="auto"/>
              <w:bottom w:val="single" w:sz="6" w:space="0" w:color="D8D8D8"/>
              <w:right w:val="nil"/>
            </w:tcBorders>
            <w:shd w:val="clear" w:color="auto" w:fill="F5F5F5"/>
            <w:vAlign w:val="center"/>
          </w:tcPr>
          <w:p w14:paraId="4913522E"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nil"/>
            </w:tcBorders>
            <w:shd w:val="clear" w:color="auto" w:fill="F5F5F5"/>
            <w:vAlign w:val="center"/>
          </w:tcPr>
          <w:p w14:paraId="05448375" w14:textId="77777777" w:rsidR="001D5F2D" w:rsidRPr="00BD3157" w:rsidRDefault="001D5F2D" w:rsidP="001D5F2D">
            <w:pPr>
              <w:suppressAutoHyphens w:val="0"/>
              <w:jc w:val="center"/>
              <w:rPr>
                <w:sz w:val="22"/>
                <w:szCs w:val="22"/>
                <w:lang w:eastAsia="fr-FR"/>
              </w:rPr>
            </w:pPr>
            <w:proofErr w:type="gramStart"/>
            <w:r w:rsidRPr="00BD3157">
              <w:rPr>
                <w:sz w:val="22"/>
                <w:szCs w:val="22"/>
                <w:lang w:eastAsia="fr-FR"/>
              </w:rPr>
              <w:t>si</w:t>
            </w:r>
            <w:proofErr w:type="gramEnd"/>
            <w:r w:rsidRPr="00BD3157">
              <w:rPr>
                <w:sz w:val="22"/>
                <w:szCs w:val="22"/>
                <w:lang w:eastAsia="fr-FR"/>
              </w:rPr>
              <w:t xml:space="preserve"> flux &lt; 100 kg/j</w:t>
            </w:r>
          </w:p>
        </w:tc>
        <w:tc>
          <w:tcPr>
            <w:tcW w:w="1369" w:type="dxa"/>
            <w:vMerge w:val="restart"/>
            <w:tcBorders>
              <w:top w:val="outset" w:sz="6" w:space="0" w:color="auto"/>
              <w:left w:val="outset" w:sz="6" w:space="0" w:color="auto"/>
              <w:right w:val="nil"/>
            </w:tcBorders>
            <w:shd w:val="clear" w:color="auto" w:fill="F5F5F5"/>
            <w:vAlign w:val="center"/>
          </w:tcPr>
          <w:p w14:paraId="3073E3B1" w14:textId="77777777" w:rsidR="001D5F2D" w:rsidRPr="00BD3157" w:rsidRDefault="001D5F2D" w:rsidP="001D5F2D">
            <w:pPr>
              <w:suppressAutoHyphens w:val="0"/>
              <w:jc w:val="center"/>
              <w:rPr>
                <w:sz w:val="22"/>
                <w:szCs w:val="22"/>
                <w:lang w:eastAsia="fr-FR"/>
              </w:rPr>
            </w:pPr>
            <w:r w:rsidRPr="00BD3157">
              <w:rPr>
                <w:sz w:val="22"/>
                <w:szCs w:val="22"/>
                <w:lang w:eastAsia="fr-FR"/>
              </w:rPr>
              <w:t>NF EN 872</w:t>
            </w:r>
          </w:p>
        </w:tc>
      </w:tr>
      <w:tr w:rsidR="001D5F2D" w:rsidRPr="00C62E15" w14:paraId="065EB2F6" w14:textId="77777777" w:rsidTr="00647AD3">
        <w:trPr>
          <w:trHeight w:val="405"/>
          <w:jc w:val="center"/>
        </w:trPr>
        <w:tc>
          <w:tcPr>
            <w:tcW w:w="2409" w:type="dxa"/>
            <w:gridSpan w:val="2"/>
            <w:vMerge/>
            <w:tcBorders>
              <w:left w:val="nil"/>
              <w:bottom w:val="single" w:sz="6" w:space="0" w:color="D8D8D8"/>
              <w:right w:val="single" w:sz="6" w:space="0" w:color="D8D8D8"/>
            </w:tcBorders>
            <w:shd w:val="clear" w:color="auto" w:fill="F5F5F5"/>
            <w:tcMar>
              <w:top w:w="150" w:type="dxa"/>
              <w:left w:w="150" w:type="dxa"/>
              <w:bottom w:w="150" w:type="dxa"/>
              <w:right w:w="150" w:type="dxa"/>
            </w:tcMar>
            <w:vAlign w:val="center"/>
          </w:tcPr>
          <w:p w14:paraId="4323C091" w14:textId="77777777" w:rsidR="001D5F2D" w:rsidRPr="00C62E15" w:rsidRDefault="001D5F2D" w:rsidP="001D5F2D">
            <w:pPr>
              <w:suppressAutoHyphens w:val="0"/>
              <w:rPr>
                <w:b/>
                <w:bCs/>
                <w:sz w:val="22"/>
                <w:szCs w:val="22"/>
                <w:lang w:eastAsia="fr-FR"/>
              </w:rPr>
            </w:pPr>
          </w:p>
        </w:tc>
        <w:tc>
          <w:tcPr>
            <w:tcW w:w="1522" w:type="dxa"/>
            <w:vMerge/>
            <w:tcBorders>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4D9F4FB8" w14:textId="77777777" w:rsidR="001D5F2D" w:rsidRPr="00BD3157" w:rsidRDefault="001D5F2D" w:rsidP="001D5F2D">
            <w:pPr>
              <w:suppressAutoHyphens w:val="0"/>
              <w:rPr>
                <w:sz w:val="22"/>
                <w:szCs w:val="22"/>
                <w:lang w:eastAsia="fr-FR"/>
              </w:rPr>
            </w:pPr>
          </w:p>
        </w:tc>
        <w:tc>
          <w:tcPr>
            <w:tcW w:w="1118" w:type="dxa"/>
            <w:vMerge/>
            <w:tcBorders>
              <w:left w:val="outset" w:sz="6" w:space="0" w:color="auto"/>
              <w:bottom w:val="single" w:sz="6" w:space="0" w:color="D8D8D8"/>
              <w:right w:val="nil"/>
            </w:tcBorders>
            <w:shd w:val="clear" w:color="auto" w:fill="F5F5F5"/>
            <w:tcMar>
              <w:top w:w="150" w:type="dxa"/>
              <w:left w:w="150" w:type="dxa"/>
              <w:bottom w:w="150" w:type="dxa"/>
              <w:right w:w="150" w:type="dxa"/>
            </w:tcMar>
            <w:vAlign w:val="center"/>
          </w:tcPr>
          <w:p w14:paraId="73C225E6" w14:textId="77777777" w:rsidR="001D5F2D" w:rsidRPr="00BD3157" w:rsidRDefault="001D5F2D" w:rsidP="001D5F2D">
            <w:pPr>
              <w:suppressAutoHyphens w:val="0"/>
              <w:jc w:val="center"/>
              <w:rPr>
                <w:sz w:val="22"/>
                <w:szCs w:val="22"/>
                <w:lang w:eastAsia="fr-FR"/>
              </w:rPr>
            </w:pPr>
          </w:p>
        </w:tc>
        <w:tc>
          <w:tcPr>
            <w:tcW w:w="1315" w:type="dxa"/>
            <w:tcBorders>
              <w:top w:val="outset" w:sz="6" w:space="0" w:color="auto"/>
              <w:left w:val="outset" w:sz="6" w:space="0" w:color="auto"/>
              <w:bottom w:val="single" w:sz="6" w:space="0" w:color="D8D8D8"/>
              <w:right w:val="nil"/>
            </w:tcBorders>
            <w:shd w:val="clear" w:color="auto" w:fill="F5F5F5"/>
            <w:vAlign w:val="center"/>
          </w:tcPr>
          <w:p w14:paraId="7A34E382" w14:textId="77777777" w:rsidR="001D5F2D" w:rsidRPr="00BD3157" w:rsidRDefault="001D5F2D" w:rsidP="001D5F2D">
            <w:pPr>
              <w:suppressAutoHyphens w:val="0"/>
              <w:jc w:val="center"/>
              <w:rPr>
                <w:sz w:val="22"/>
                <w:szCs w:val="22"/>
                <w:lang w:eastAsia="fr-FR"/>
              </w:rPr>
            </w:pPr>
            <w:r w:rsidRPr="00BD3157">
              <w:rPr>
                <w:sz w:val="22"/>
                <w:szCs w:val="22"/>
                <w:lang w:eastAsia="fr-FR"/>
              </w:rPr>
              <w:t>Journalière</w:t>
            </w:r>
          </w:p>
        </w:tc>
        <w:tc>
          <w:tcPr>
            <w:tcW w:w="1323" w:type="dxa"/>
            <w:tcBorders>
              <w:top w:val="outset" w:sz="6" w:space="0" w:color="auto"/>
              <w:left w:val="outset" w:sz="6" w:space="0" w:color="auto"/>
              <w:bottom w:val="single" w:sz="6" w:space="0" w:color="D8D8D8"/>
              <w:right w:val="nil"/>
            </w:tcBorders>
            <w:shd w:val="clear" w:color="auto" w:fill="F5F5F5"/>
            <w:vAlign w:val="center"/>
          </w:tcPr>
          <w:p w14:paraId="5A08F546" w14:textId="77777777" w:rsidR="001D5F2D" w:rsidRPr="00BD3157" w:rsidRDefault="001D5F2D" w:rsidP="001D5F2D">
            <w:pPr>
              <w:suppressAutoHyphens w:val="0"/>
              <w:jc w:val="center"/>
              <w:rPr>
                <w:sz w:val="22"/>
                <w:szCs w:val="22"/>
                <w:lang w:eastAsia="fr-FR"/>
              </w:rPr>
            </w:pPr>
            <w:proofErr w:type="gramStart"/>
            <w:r w:rsidRPr="00BD3157">
              <w:rPr>
                <w:sz w:val="22"/>
                <w:szCs w:val="22"/>
                <w:lang w:eastAsia="fr-FR"/>
              </w:rPr>
              <w:t>si</w:t>
            </w:r>
            <w:proofErr w:type="gramEnd"/>
            <w:r w:rsidRPr="00BD3157">
              <w:rPr>
                <w:sz w:val="22"/>
                <w:szCs w:val="22"/>
                <w:lang w:eastAsia="fr-FR"/>
              </w:rPr>
              <w:t xml:space="preserve"> flux ≥ 100 kg/j</w:t>
            </w:r>
          </w:p>
        </w:tc>
        <w:tc>
          <w:tcPr>
            <w:tcW w:w="1369" w:type="dxa"/>
            <w:vMerge/>
            <w:tcBorders>
              <w:left w:val="outset" w:sz="6" w:space="0" w:color="auto"/>
              <w:bottom w:val="single" w:sz="6" w:space="0" w:color="D8D8D8"/>
              <w:right w:val="nil"/>
            </w:tcBorders>
            <w:shd w:val="clear" w:color="auto" w:fill="F5F5F5"/>
            <w:vAlign w:val="center"/>
          </w:tcPr>
          <w:p w14:paraId="24B672CC" w14:textId="77777777" w:rsidR="001D5F2D" w:rsidRPr="00BD3157" w:rsidRDefault="001D5F2D" w:rsidP="001D5F2D">
            <w:pPr>
              <w:suppressAutoHyphens w:val="0"/>
              <w:jc w:val="center"/>
              <w:rPr>
                <w:sz w:val="22"/>
                <w:szCs w:val="22"/>
                <w:lang w:eastAsia="fr-FR"/>
              </w:rPr>
            </w:pPr>
          </w:p>
        </w:tc>
      </w:tr>
      <w:tr w:rsidR="001D5F2D" w:rsidRPr="00C62E15" w14:paraId="6204AC79" w14:textId="77777777" w:rsidTr="00647AD3">
        <w:trPr>
          <w:jc w:val="center"/>
        </w:trPr>
        <w:tc>
          <w:tcPr>
            <w:tcW w:w="1364" w:type="dxa"/>
            <w:vMerge w:val="restart"/>
            <w:tcBorders>
              <w:top w:val="outset" w:sz="6" w:space="0" w:color="auto"/>
              <w:left w:val="nil"/>
              <w:right w:val="single" w:sz="6" w:space="0" w:color="D8D8D8"/>
            </w:tcBorders>
            <w:shd w:val="clear" w:color="auto" w:fill="F5F5F5"/>
            <w:tcMar>
              <w:top w:w="150" w:type="dxa"/>
              <w:left w:w="150" w:type="dxa"/>
              <w:bottom w:w="150" w:type="dxa"/>
              <w:right w:w="150" w:type="dxa"/>
            </w:tcMar>
            <w:vAlign w:val="center"/>
          </w:tcPr>
          <w:p w14:paraId="7A043957" w14:textId="77777777" w:rsidR="001D5F2D" w:rsidRPr="00C62E15" w:rsidRDefault="001D5F2D" w:rsidP="001D5F2D">
            <w:pPr>
              <w:suppressAutoHyphens w:val="0"/>
              <w:rPr>
                <w:b/>
                <w:bCs/>
                <w:sz w:val="22"/>
                <w:szCs w:val="22"/>
                <w:lang w:eastAsia="fr-FR"/>
              </w:rPr>
            </w:pPr>
            <w:r w:rsidRPr="00C62E15">
              <w:rPr>
                <w:b/>
                <w:bCs/>
                <w:sz w:val="22"/>
                <w:szCs w:val="22"/>
                <w:lang w:eastAsia="fr-FR"/>
              </w:rPr>
              <w:t>Métaux et métalloïdes</w:t>
            </w:r>
          </w:p>
        </w:tc>
        <w:tc>
          <w:tcPr>
            <w:tcW w:w="1045" w:type="dxa"/>
            <w:tcBorders>
              <w:top w:val="outset" w:sz="6" w:space="0" w:color="auto"/>
              <w:left w:val="nil"/>
              <w:bottom w:val="single" w:sz="6" w:space="0" w:color="D8D8D8"/>
              <w:right w:val="single" w:sz="6" w:space="0" w:color="D8D8D8"/>
            </w:tcBorders>
            <w:shd w:val="clear" w:color="auto" w:fill="F5F5F5"/>
            <w:vAlign w:val="center"/>
          </w:tcPr>
          <w:p w14:paraId="0F18C4BB" w14:textId="77777777" w:rsidR="001D5F2D" w:rsidRPr="00C62E15" w:rsidRDefault="001D5F2D" w:rsidP="001D5F2D">
            <w:pPr>
              <w:suppressAutoHyphens w:val="0"/>
              <w:rPr>
                <w:b/>
                <w:bCs/>
                <w:sz w:val="22"/>
                <w:szCs w:val="22"/>
                <w:lang w:eastAsia="fr-FR"/>
              </w:rPr>
            </w:pPr>
            <w:r w:rsidRPr="00C62E15">
              <w:rPr>
                <w:b/>
                <w:bCs/>
                <w:sz w:val="22"/>
                <w:szCs w:val="22"/>
                <w:lang w:eastAsia="fr-FR"/>
              </w:rPr>
              <w:t>Arsenic (en As)</w:t>
            </w: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443FF2CE" w14:textId="77777777" w:rsidR="001D5F2D" w:rsidRPr="00BD3157" w:rsidRDefault="001D5F2D" w:rsidP="001D5F2D">
            <w:pPr>
              <w:suppressAutoHyphens w:val="0"/>
              <w:rPr>
                <w:sz w:val="22"/>
                <w:szCs w:val="22"/>
                <w:lang w:eastAsia="fr-FR"/>
              </w:rPr>
            </w:pPr>
          </w:p>
        </w:tc>
        <w:tc>
          <w:tcPr>
            <w:tcW w:w="1118"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tcPr>
          <w:p w14:paraId="64529D81" w14:textId="77777777" w:rsidR="001D5F2D" w:rsidRPr="00BD3157" w:rsidRDefault="001D5F2D" w:rsidP="001D5F2D">
            <w:pPr>
              <w:suppressAutoHyphens w:val="0"/>
              <w:jc w:val="center"/>
              <w:rPr>
                <w:sz w:val="22"/>
                <w:szCs w:val="22"/>
                <w:lang w:eastAsia="fr-FR"/>
              </w:rPr>
            </w:pPr>
          </w:p>
        </w:tc>
        <w:tc>
          <w:tcPr>
            <w:tcW w:w="1315" w:type="dxa"/>
            <w:tcBorders>
              <w:top w:val="outset" w:sz="6" w:space="0" w:color="auto"/>
              <w:left w:val="outset" w:sz="6" w:space="0" w:color="auto"/>
              <w:bottom w:val="single" w:sz="6" w:space="0" w:color="D8D8D8"/>
              <w:right w:val="nil"/>
            </w:tcBorders>
            <w:shd w:val="clear" w:color="auto" w:fill="F5F5F5"/>
            <w:vAlign w:val="center"/>
          </w:tcPr>
          <w:p w14:paraId="50714171"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nil"/>
            </w:tcBorders>
            <w:shd w:val="clear" w:color="auto" w:fill="F5F5F5"/>
            <w:vAlign w:val="center"/>
          </w:tcPr>
          <w:p w14:paraId="23E87541" w14:textId="77777777" w:rsidR="001D5F2D" w:rsidRPr="00BD3157" w:rsidRDefault="001D5F2D" w:rsidP="001D5F2D">
            <w:pPr>
              <w:suppressAutoHyphens w:val="0"/>
              <w:jc w:val="center"/>
              <w:rPr>
                <w:sz w:val="22"/>
                <w:szCs w:val="22"/>
                <w:lang w:eastAsia="fr-FR"/>
              </w:rPr>
            </w:pPr>
            <w:r w:rsidRPr="00BD3157">
              <w:rPr>
                <w:sz w:val="22"/>
                <w:szCs w:val="22"/>
                <w:lang w:eastAsia="fr-FR"/>
              </w:rPr>
              <w:t>Pas de seuil</w:t>
            </w:r>
          </w:p>
        </w:tc>
        <w:tc>
          <w:tcPr>
            <w:tcW w:w="1369" w:type="dxa"/>
            <w:vMerge w:val="restart"/>
            <w:tcBorders>
              <w:top w:val="outset" w:sz="6" w:space="0" w:color="auto"/>
              <w:left w:val="outset" w:sz="6" w:space="0" w:color="auto"/>
              <w:right w:val="nil"/>
            </w:tcBorders>
            <w:shd w:val="clear" w:color="auto" w:fill="F5F5F5"/>
            <w:vAlign w:val="center"/>
          </w:tcPr>
          <w:p w14:paraId="27E6F2FD" w14:textId="0391CABC" w:rsidR="001D5F2D" w:rsidRPr="00BD3157" w:rsidRDefault="001D5F2D" w:rsidP="001D5F2D">
            <w:pPr>
              <w:suppressAutoHyphens w:val="0"/>
              <w:jc w:val="center"/>
              <w:rPr>
                <w:sz w:val="22"/>
                <w:szCs w:val="22"/>
                <w:lang w:eastAsia="fr-FR"/>
              </w:rPr>
            </w:pPr>
            <w:r w:rsidRPr="00BD3157">
              <w:rPr>
                <w:sz w:val="22"/>
                <w:szCs w:val="22"/>
                <w:lang w:eastAsia="fr-FR"/>
              </w:rPr>
              <w:t>Plusieurs normes (exemple : NF EN ISO 11885 ou NF EN ISO 17294-2)</w:t>
            </w:r>
          </w:p>
        </w:tc>
      </w:tr>
      <w:tr w:rsidR="001D5F2D" w:rsidRPr="00C62E15" w14:paraId="5118A539" w14:textId="77777777" w:rsidTr="00647AD3">
        <w:trPr>
          <w:trHeight w:val="301"/>
          <w:jc w:val="center"/>
        </w:trPr>
        <w:tc>
          <w:tcPr>
            <w:tcW w:w="1364" w:type="dxa"/>
            <w:vMerge/>
            <w:tcBorders>
              <w:left w:val="nil"/>
              <w:right w:val="single" w:sz="6" w:space="0" w:color="D8D8D8"/>
            </w:tcBorders>
            <w:shd w:val="clear" w:color="auto" w:fill="EEEEEE"/>
            <w:tcMar>
              <w:top w:w="150" w:type="dxa"/>
              <w:left w:w="150" w:type="dxa"/>
              <w:bottom w:w="150" w:type="dxa"/>
              <w:right w:w="150" w:type="dxa"/>
            </w:tcMar>
            <w:vAlign w:val="center"/>
          </w:tcPr>
          <w:p w14:paraId="6859929E" w14:textId="77777777" w:rsidR="001D5F2D" w:rsidRPr="00C62E15" w:rsidRDefault="001D5F2D" w:rsidP="001D5F2D">
            <w:pPr>
              <w:suppressAutoHyphens w:val="0"/>
              <w:rPr>
                <w:b/>
                <w:bCs/>
                <w:sz w:val="22"/>
                <w:szCs w:val="22"/>
                <w:lang w:eastAsia="fr-FR"/>
              </w:rPr>
            </w:pPr>
          </w:p>
        </w:tc>
        <w:tc>
          <w:tcPr>
            <w:tcW w:w="1045" w:type="dxa"/>
            <w:vMerge w:val="restart"/>
            <w:tcBorders>
              <w:top w:val="outset" w:sz="6" w:space="0" w:color="auto"/>
              <w:left w:val="nil"/>
              <w:right w:val="single" w:sz="6" w:space="0" w:color="D8D8D8"/>
            </w:tcBorders>
            <w:shd w:val="clear" w:color="auto" w:fill="EEEEEE"/>
            <w:vAlign w:val="center"/>
          </w:tcPr>
          <w:p w14:paraId="4F5AB07B" w14:textId="77777777" w:rsidR="001D5F2D" w:rsidRPr="00C62E15" w:rsidRDefault="001D5F2D" w:rsidP="001D5F2D">
            <w:pPr>
              <w:suppressAutoHyphens w:val="0"/>
              <w:rPr>
                <w:b/>
                <w:bCs/>
                <w:sz w:val="22"/>
                <w:szCs w:val="22"/>
                <w:lang w:eastAsia="fr-FR"/>
              </w:rPr>
            </w:pPr>
            <w:r w:rsidRPr="00C62E15">
              <w:rPr>
                <w:b/>
                <w:bCs/>
                <w:sz w:val="22"/>
                <w:szCs w:val="22"/>
                <w:lang w:eastAsia="fr-FR"/>
              </w:rPr>
              <w:t>Cadmium et composés (en Cd)</w:t>
            </w:r>
          </w:p>
        </w:tc>
        <w:tc>
          <w:tcPr>
            <w:tcW w:w="1522" w:type="dxa"/>
            <w:tcBorders>
              <w:top w:val="outset" w:sz="6" w:space="0" w:color="auto"/>
              <w:left w:val="outset" w:sz="6" w:space="0" w:color="auto"/>
              <w:right w:val="single" w:sz="6" w:space="0" w:color="D8D8D8"/>
            </w:tcBorders>
            <w:shd w:val="clear" w:color="auto" w:fill="EEEEEE"/>
            <w:tcMar>
              <w:top w:w="150" w:type="dxa"/>
              <w:left w:w="150" w:type="dxa"/>
              <w:bottom w:w="150" w:type="dxa"/>
              <w:right w:w="150" w:type="dxa"/>
            </w:tcMar>
            <w:vAlign w:val="center"/>
            <w:hideMark/>
          </w:tcPr>
          <w:p w14:paraId="65314CE7"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p w14:paraId="2F601B2D" w14:textId="77777777" w:rsidR="001D5F2D" w:rsidRPr="00BD3157" w:rsidRDefault="001D5F2D" w:rsidP="001D5F2D">
            <w:pPr>
              <w:suppressAutoHyphens w:val="0"/>
              <w:jc w:val="center"/>
              <w:rPr>
                <w:sz w:val="22"/>
                <w:szCs w:val="22"/>
                <w:lang w:eastAsia="fr-FR"/>
              </w:rPr>
            </w:pPr>
            <w:r w:rsidRPr="00BD3157">
              <w:rPr>
                <w:sz w:val="22"/>
                <w:szCs w:val="22"/>
                <w:lang w:eastAsia="fr-FR"/>
              </w:rPr>
              <w:t>(2)</w:t>
            </w:r>
          </w:p>
        </w:tc>
        <w:tc>
          <w:tcPr>
            <w:tcW w:w="1118" w:type="dxa"/>
            <w:tcBorders>
              <w:top w:val="outset" w:sz="6" w:space="0" w:color="auto"/>
              <w:left w:val="outset" w:sz="6" w:space="0" w:color="auto"/>
              <w:right w:val="single" w:sz="6" w:space="0" w:color="D8D8D8"/>
            </w:tcBorders>
            <w:shd w:val="clear" w:color="auto" w:fill="EEEEEE"/>
            <w:vAlign w:val="center"/>
          </w:tcPr>
          <w:p w14:paraId="14FF5E59" w14:textId="069F7B4E" w:rsidR="001D5F2D" w:rsidRPr="00BD3157" w:rsidRDefault="001D5F2D" w:rsidP="001D5F2D">
            <w:pPr>
              <w:suppressAutoHyphens w:val="0"/>
              <w:jc w:val="center"/>
              <w:rPr>
                <w:sz w:val="22"/>
                <w:szCs w:val="22"/>
                <w:lang w:eastAsia="fr-FR"/>
              </w:rPr>
            </w:pPr>
            <w:r w:rsidRPr="00BD3157">
              <w:rPr>
                <w:sz w:val="22"/>
                <w:szCs w:val="22"/>
                <w:lang w:eastAsia="fr-FR"/>
              </w:rPr>
              <w:t>≥ 5</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nil"/>
            </w:tcBorders>
            <w:shd w:val="clear" w:color="auto" w:fill="EEEEEE"/>
            <w:vAlign w:val="center"/>
          </w:tcPr>
          <w:p w14:paraId="23D33D5F"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p w14:paraId="79E63276" w14:textId="77777777" w:rsidR="001D5F2D" w:rsidRPr="00BD3157" w:rsidRDefault="001D5F2D" w:rsidP="001D5F2D">
            <w:pPr>
              <w:suppressAutoHyphens w:val="0"/>
              <w:jc w:val="center"/>
              <w:rPr>
                <w:sz w:val="22"/>
                <w:szCs w:val="22"/>
                <w:lang w:eastAsia="fr-FR"/>
              </w:rPr>
            </w:pPr>
            <w:r w:rsidRPr="00BD3157">
              <w:rPr>
                <w:sz w:val="22"/>
                <w:szCs w:val="22"/>
                <w:lang w:eastAsia="fr-FR"/>
              </w:rPr>
              <w:t>(2)</w:t>
            </w:r>
          </w:p>
        </w:tc>
        <w:tc>
          <w:tcPr>
            <w:tcW w:w="1323" w:type="dxa"/>
            <w:tcBorders>
              <w:top w:val="outset" w:sz="6" w:space="0" w:color="auto"/>
              <w:left w:val="outset" w:sz="6" w:space="0" w:color="auto"/>
              <w:bottom w:val="single" w:sz="6" w:space="0" w:color="D8D8D8"/>
              <w:right w:val="nil"/>
            </w:tcBorders>
            <w:shd w:val="clear" w:color="auto" w:fill="EEEEEE"/>
            <w:vAlign w:val="center"/>
          </w:tcPr>
          <w:p w14:paraId="0F2AC79D" w14:textId="2175DC0B" w:rsidR="001D5F2D" w:rsidRPr="00BD3157" w:rsidRDefault="001D5F2D" w:rsidP="001D5F2D">
            <w:pPr>
              <w:suppressAutoHyphens w:val="0"/>
              <w:jc w:val="center"/>
              <w:rPr>
                <w:sz w:val="22"/>
                <w:szCs w:val="22"/>
                <w:lang w:eastAsia="fr-FR"/>
              </w:rPr>
            </w:pPr>
            <w:r w:rsidRPr="00BD3157">
              <w:rPr>
                <w:sz w:val="22"/>
                <w:szCs w:val="22"/>
                <w:lang w:eastAsia="fr-FR"/>
              </w:rPr>
              <w:t>≥ 5</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EEEEEE"/>
            <w:vAlign w:val="center"/>
          </w:tcPr>
          <w:p w14:paraId="7738977E" w14:textId="77777777" w:rsidR="001D5F2D" w:rsidRPr="00BD3157" w:rsidRDefault="001D5F2D" w:rsidP="001D5F2D">
            <w:pPr>
              <w:suppressAutoHyphens w:val="0"/>
              <w:jc w:val="center"/>
              <w:rPr>
                <w:sz w:val="22"/>
                <w:szCs w:val="22"/>
                <w:lang w:eastAsia="fr-FR"/>
              </w:rPr>
            </w:pPr>
          </w:p>
        </w:tc>
      </w:tr>
      <w:tr w:rsidR="001D5F2D" w:rsidRPr="00C62E15" w14:paraId="66E28455" w14:textId="77777777" w:rsidTr="00647AD3">
        <w:trPr>
          <w:trHeight w:val="396"/>
          <w:jc w:val="center"/>
        </w:trPr>
        <w:tc>
          <w:tcPr>
            <w:tcW w:w="1364" w:type="dxa"/>
            <w:vMerge/>
            <w:tcBorders>
              <w:left w:val="nil"/>
              <w:right w:val="single" w:sz="6" w:space="0" w:color="D8D8D8"/>
            </w:tcBorders>
            <w:shd w:val="clear" w:color="auto" w:fill="EEEEEE"/>
            <w:tcMar>
              <w:top w:w="150" w:type="dxa"/>
              <w:left w:w="150" w:type="dxa"/>
              <w:bottom w:w="150" w:type="dxa"/>
              <w:right w:w="150" w:type="dxa"/>
            </w:tcMar>
            <w:vAlign w:val="center"/>
          </w:tcPr>
          <w:p w14:paraId="39875DA4" w14:textId="77777777" w:rsidR="001D5F2D" w:rsidRPr="00C62E15" w:rsidRDefault="001D5F2D" w:rsidP="001D5F2D">
            <w:pPr>
              <w:suppressAutoHyphens w:val="0"/>
              <w:rPr>
                <w:b/>
                <w:bCs/>
                <w:sz w:val="22"/>
                <w:szCs w:val="22"/>
                <w:lang w:eastAsia="fr-FR"/>
              </w:rPr>
            </w:pPr>
          </w:p>
        </w:tc>
        <w:tc>
          <w:tcPr>
            <w:tcW w:w="1045" w:type="dxa"/>
            <w:vMerge/>
            <w:tcBorders>
              <w:left w:val="nil"/>
              <w:bottom w:val="single" w:sz="6" w:space="0" w:color="D8D8D8"/>
              <w:right w:val="single" w:sz="6" w:space="0" w:color="D8D8D8"/>
            </w:tcBorders>
            <w:shd w:val="clear" w:color="auto" w:fill="EEEEEE"/>
            <w:vAlign w:val="center"/>
          </w:tcPr>
          <w:p w14:paraId="19201F91" w14:textId="77777777" w:rsidR="001D5F2D" w:rsidRPr="00C62E15" w:rsidRDefault="001D5F2D" w:rsidP="001D5F2D">
            <w:pPr>
              <w:suppressAutoHyphens w:val="0"/>
              <w:rPr>
                <w:b/>
                <w:bCs/>
                <w:sz w:val="22"/>
                <w:szCs w:val="22"/>
                <w:lang w:eastAsia="fr-FR"/>
              </w:rPr>
            </w:pPr>
          </w:p>
        </w:tc>
        <w:tc>
          <w:tcPr>
            <w:tcW w:w="1522" w:type="dxa"/>
            <w:tcBorders>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0067BFFE"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118" w:type="dxa"/>
            <w:tcBorders>
              <w:left w:val="outset" w:sz="6" w:space="0" w:color="auto"/>
              <w:bottom w:val="single" w:sz="6" w:space="0" w:color="D8D8D8"/>
              <w:right w:val="single" w:sz="6" w:space="0" w:color="D8D8D8"/>
            </w:tcBorders>
            <w:shd w:val="clear" w:color="auto" w:fill="EEEEEE"/>
            <w:vAlign w:val="center"/>
          </w:tcPr>
          <w:p w14:paraId="273D1D3C" w14:textId="2F4A1DAD" w:rsidR="001D5F2D" w:rsidRPr="00BD3157" w:rsidRDefault="001D5F2D" w:rsidP="001D5F2D">
            <w:pPr>
              <w:suppressAutoHyphens w:val="0"/>
              <w:jc w:val="center"/>
              <w:rPr>
                <w:sz w:val="22"/>
                <w:szCs w:val="22"/>
                <w:lang w:eastAsia="fr-FR"/>
              </w:rPr>
            </w:pPr>
            <w:r w:rsidRPr="00BD3157">
              <w:rPr>
                <w:sz w:val="22"/>
                <w:szCs w:val="22"/>
                <w:lang w:eastAsia="fr-FR"/>
              </w:rPr>
              <w:t>≥ 2</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nil"/>
            </w:tcBorders>
            <w:shd w:val="clear" w:color="auto" w:fill="EEEEEE"/>
            <w:vAlign w:val="center"/>
          </w:tcPr>
          <w:p w14:paraId="6E9755D8"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323" w:type="dxa"/>
            <w:tcBorders>
              <w:top w:val="outset" w:sz="6" w:space="0" w:color="auto"/>
              <w:left w:val="outset" w:sz="6" w:space="0" w:color="auto"/>
              <w:bottom w:val="single" w:sz="6" w:space="0" w:color="D8D8D8"/>
              <w:right w:val="nil"/>
            </w:tcBorders>
            <w:shd w:val="clear" w:color="auto" w:fill="EEEEEE"/>
            <w:vAlign w:val="center"/>
          </w:tcPr>
          <w:p w14:paraId="3EC53FE5" w14:textId="4AE3D52C" w:rsidR="001D5F2D" w:rsidRPr="00BD3157" w:rsidRDefault="001D5F2D" w:rsidP="001D5F2D">
            <w:pPr>
              <w:suppressAutoHyphens w:val="0"/>
              <w:jc w:val="center"/>
              <w:rPr>
                <w:sz w:val="22"/>
                <w:szCs w:val="22"/>
                <w:lang w:eastAsia="fr-FR"/>
              </w:rPr>
            </w:pPr>
            <w:r w:rsidRPr="00BD3157">
              <w:rPr>
                <w:sz w:val="22"/>
                <w:szCs w:val="22"/>
                <w:lang w:eastAsia="fr-FR"/>
              </w:rPr>
              <w:t>≥ 2</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EEEEEE"/>
            <w:vAlign w:val="center"/>
          </w:tcPr>
          <w:p w14:paraId="30311AEB" w14:textId="77777777" w:rsidR="001D5F2D" w:rsidRPr="00BD3157" w:rsidRDefault="001D5F2D" w:rsidP="001D5F2D">
            <w:pPr>
              <w:suppressAutoHyphens w:val="0"/>
              <w:jc w:val="center"/>
              <w:rPr>
                <w:sz w:val="22"/>
                <w:szCs w:val="22"/>
                <w:lang w:eastAsia="fr-FR"/>
              </w:rPr>
            </w:pPr>
          </w:p>
        </w:tc>
      </w:tr>
      <w:tr w:rsidR="001D5F2D" w:rsidRPr="00C62E15" w14:paraId="1453712D" w14:textId="77777777" w:rsidTr="00647AD3">
        <w:trPr>
          <w:trHeight w:val="692"/>
          <w:jc w:val="center"/>
        </w:trPr>
        <w:tc>
          <w:tcPr>
            <w:tcW w:w="1364" w:type="dxa"/>
            <w:vMerge/>
            <w:tcBorders>
              <w:left w:val="nil"/>
              <w:right w:val="single" w:sz="6" w:space="0" w:color="D8D8D8"/>
            </w:tcBorders>
            <w:shd w:val="clear" w:color="auto" w:fill="F5F5F5"/>
            <w:tcMar>
              <w:top w:w="150" w:type="dxa"/>
              <w:left w:w="150" w:type="dxa"/>
              <w:bottom w:w="150" w:type="dxa"/>
              <w:right w:w="150" w:type="dxa"/>
            </w:tcMar>
            <w:vAlign w:val="center"/>
          </w:tcPr>
          <w:p w14:paraId="1AFB9E5A" w14:textId="77777777" w:rsidR="001D5F2D" w:rsidRPr="00C62E15" w:rsidRDefault="001D5F2D" w:rsidP="001D5F2D">
            <w:pPr>
              <w:suppressAutoHyphens w:val="0"/>
              <w:rPr>
                <w:b/>
                <w:bCs/>
                <w:sz w:val="22"/>
                <w:szCs w:val="22"/>
                <w:lang w:eastAsia="fr-FR"/>
              </w:rPr>
            </w:pPr>
          </w:p>
        </w:tc>
        <w:tc>
          <w:tcPr>
            <w:tcW w:w="1045" w:type="dxa"/>
            <w:vMerge w:val="restart"/>
            <w:tcBorders>
              <w:top w:val="outset" w:sz="6" w:space="0" w:color="auto"/>
              <w:left w:val="nil"/>
              <w:right w:val="single" w:sz="6" w:space="0" w:color="D8D8D8"/>
            </w:tcBorders>
            <w:shd w:val="clear" w:color="auto" w:fill="F5F5F5"/>
            <w:vAlign w:val="center"/>
          </w:tcPr>
          <w:p w14:paraId="41F6A4A2" w14:textId="77777777" w:rsidR="001D5F2D" w:rsidRPr="00C62E15" w:rsidRDefault="001D5F2D" w:rsidP="001D5F2D">
            <w:pPr>
              <w:suppressAutoHyphens w:val="0"/>
              <w:rPr>
                <w:b/>
                <w:bCs/>
                <w:sz w:val="22"/>
                <w:szCs w:val="22"/>
                <w:lang w:eastAsia="fr-FR"/>
              </w:rPr>
            </w:pPr>
            <w:r w:rsidRPr="00C62E15">
              <w:rPr>
                <w:b/>
                <w:bCs/>
                <w:sz w:val="22"/>
                <w:szCs w:val="22"/>
                <w:lang w:eastAsia="fr-FR"/>
              </w:rPr>
              <w:t>Chrome et composés (en Cr)</w:t>
            </w: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E16AEB3"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p w14:paraId="3738C652" w14:textId="77777777" w:rsidR="001D5F2D" w:rsidRPr="00BD3157" w:rsidRDefault="001D5F2D" w:rsidP="001D5F2D">
            <w:pPr>
              <w:suppressAutoHyphens w:val="0"/>
              <w:jc w:val="center"/>
              <w:rPr>
                <w:sz w:val="22"/>
                <w:szCs w:val="22"/>
                <w:lang w:eastAsia="fr-FR"/>
              </w:rPr>
            </w:pPr>
            <w:r w:rsidRPr="00BD3157">
              <w:rPr>
                <w:sz w:val="22"/>
                <w:szCs w:val="22"/>
                <w:lang w:eastAsia="fr-FR"/>
              </w:rPr>
              <w:t>(2)</w:t>
            </w:r>
          </w:p>
        </w:tc>
        <w:tc>
          <w:tcPr>
            <w:tcW w:w="1118" w:type="dxa"/>
            <w:tcBorders>
              <w:top w:val="outset" w:sz="6" w:space="0" w:color="auto"/>
              <w:left w:val="outset" w:sz="6" w:space="0" w:color="auto"/>
              <w:bottom w:val="single" w:sz="6" w:space="0" w:color="D8D8D8"/>
              <w:right w:val="single" w:sz="6" w:space="0" w:color="D8D8D8"/>
            </w:tcBorders>
            <w:shd w:val="clear" w:color="auto" w:fill="F5F5F5"/>
            <w:vAlign w:val="center"/>
          </w:tcPr>
          <w:p w14:paraId="181D0199" w14:textId="4961547B" w:rsidR="001D5F2D" w:rsidRPr="00BD3157" w:rsidRDefault="001D5F2D" w:rsidP="001D5F2D">
            <w:pPr>
              <w:suppressAutoHyphens w:val="0"/>
              <w:jc w:val="center"/>
              <w:rPr>
                <w:sz w:val="22"/>
                <w:szCs w:val="22"/>
                <w:lang w:eastAsia="fr-FR"/>
              </w:rPr>
            </w:pPr>
            <w:r w:rsidRPr="00BD3157">
              <w:rPr>
                <w:sz w:val="22"/>
                <w:szCs w:val="22"/>
                <w:lang w:eastAsia="fr-FR"/>
              </w:rPr>
              <w:t>≥ 500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F5F5F5"/>
            <w:vAlign w:val="center"/>
          </w:tcPr>
          <w:p w14:paraId="2BD2FAD6"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single" w:sz="6" w:space="0" w:color="D8D8D8"/>
            </w:tcBorders>
            <w:shd w:val="clear" w:color="auto" w:fill="F5F5F5"/>
            <w:vAlign w:val="center"/>
          </w:tcPr>
          <w:p w14:paraId="57EDBCAE" w14:textId="326E41EC" w:rsidR="001D5F2D" w:rsidRPr="00BD3157" w:rsidRDefault="001D5F2D" w:rsidP="001D5F2D">
            <w:pPr>
              <w:suppressAutoHyphens w:val="0"/>
              <w:jc w:val="center"/>
              <w:rPr>
                <w:sz w:val="22"/>
                <w:szCs w:val="22"/>
                <w:lang w:eastAsia="fr-FR"/>
              </w:rPr>
            </w:pPr>
            <w:r w:rsidRPr="00BD3157">
              <w:rPr>
                <w:sz w:val="22"/>
                <w:szCs w:val="22"/>
                <w:lang w:eastAsia="fr-FR"/>
              </w:rPr>
              <w:t>≥ 500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F5F5F5"/>
            <w:vAlign w:val="center"/>
          </w:tcPr>
          <w:p w14:paraId="566C505A" w14:textId="77777777" w:rsidR="001D5F2D" w:rsidRPr="00BD3157" w:rsidRDefault="001D5F2D" w:rsidP="001D5F2D">
            <w:pPr>
              <w:suppressAutoHyphens w:val="0"/>
              <w:jc w:val="center"/>
              <w:rPr>
                <w:sz w:val="22"/>
                <w:szCs w:val="22"/>
                <w:lang w:eastAsia="fr-FR"/>
              </w:rPr>
            </w:pPr>
          </w:p>
        </w:tc>
      </w:tr>
      <w:tr w:rsidR="001D5F2D" w:rsidRPr="00C62E15" w14:paraId="552A4FE0" w14:textId="77777777" w:rsidTr="00647AD3">
        <w:trPr>
          <w:trHeight w:val="114"/>
          <w:jc w:val="center"/>
        </w:trPr>
        <w:tc>
          <w:tcPr>
            <w:tcW w:w="1364" w:type="dxa"/>
            <w:vMerge/>
            <w:tcBorders>
              <w:left w:val="nil"/>
              <w:right w:val="single" w:sz="6" w:space="0" w:color="D8D8D8"/>
            </w:tcBorders>
            <w:shd w:val="clear" w:color="auto" w:fill="F5F5F5"/>
            <w:tcMar>
              <w:top w:w="150" w:type="dxa"/>
              <w:left w:w="150" w:type="dxa"/>
              <w:bottom w:w="150" w:type="dxa"/>
              <w:right w:w="150" w:type="dxa"/>
            </w:tcMar>
            <w:vAlign w:val="center"/>
          </w:tcPr>
          <w:p w14:paraId="60299513" w14:textId="77777777" w:rsidR="001D5F2D" w:rsidRPr="00C62E15" w:rsidRDefault="001D5F2D" w:rsidP="001D5F2D">
            <w:pPr>
              <w:suppressAutoHyphens w:val="0"/>
              <w:rPr>
                <w:b/>
                <w:bCs/>
                <w:sz w:val="22"/>
                <w:szCs w:val="22"/>
                <w:lang w:eastAsia="fr-FR"/>
              </w:rPr>
            </w:pPr>
          </w:p>
        </w:tc>
        <w:tc>
          <w:tcPr>
            <w:tcW w:w="1045" w:type="dxa"/>
            <w:vMerge/>
            <w:tcBorders>
              <w:left w:val="nil"/>
              <w:bottom w:val="single" w:sz="6" w:space="0" w:color="D8D8D8"/>
              <w:right w:val="single" w:sz="6" w:space="0" w:color="D8D8D8"/>
            </w:tcBorders>
            <w:shd w:val="clear" w:color="auto" w:fill="F5F5F5"/>
            <w:vAlign w:val="center"/>
          </w:tcPr>
          <w:p w14:paraId="3648EFEA" w14:textId="77777777" w:rsidR="001D5F2D" w:rsidRPr="00C62E15" w:rsidRDefault="001D5F2D" w:rsidP="001D5F2D">
            <w:pPr>
              <w:suppressAutoHyphens w:val="0"/>
              <w:rPr>
                <w:b/>
                <w:bCs/>
                <w:sz w:val="22"/>
                <w:szCs w:val="22"/>
                <w:lang w:eastAsia="fr-FR"/>
              </w:rPr>
            </w:pP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2728C112"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118" w:type="dxa"/>
            <w:tcBorders>
              <w:top w:val="outset" w:sz="6" w:space="0" w:color="auto"/>
              <w:left w:val="outset" w:sz="6" w:space="0" w:color="auto"/>
              <w:bottom w:val="single" w:sz="6" w:space="0" w:color="D8D8D8"/>
              <w:right w:val="single" w:sz="6" w:space="0" w:color="D8D8D8"/>
            </w:tcBorders>
            <w:shd w:val="clear" w:color="auto" w:fill="F5F5F5"/>
            <w:vAlign w:val="center"/>
          </w:tcPr>
          <w:p w14:paraId="618399F1" w14:textId="35F2DC55" w:rsidR="001D5F2D" w:rsidRPr="00BD3157" w:rsidRDefault="001D5F2D" w:rsidP="001D5F2D">
            <w:pPr>
              <w:suppressAutoHyphens w:val="0"/>
              <w:jc w:val="center"/>
              <w:rPr>
                <w:sz w:val="22"/>
                <w:szCs w:val="22"/>
                <w:lang w:eastAsia="fr-FR"/>
              </w:rPr>
            </w:pPr>
            <w:r w:rsidRPr="00BD3157">
              <w:rPr>
                <w:sz w:val="22"/>
                <w:szCs w:val="22"/>
                <w:lang w:eastAsia="fr-FR"/>
              </w:rPr>
              <w:t>≥ 200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F5F5F5"/>
            <w:vAlign w:val="center"/>
          </w:tcPr>
          <w:p w14:paraId="10B59A8E"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323" w:type="dxa"/>
            <w:tcBorders>
              <w:top w:val="outset" w:sz="6" w:space="0" w:color="auto"/>
              <w:left w:val="outset" w:sz="6" w:space="0" w:color="auto"/>
              <w:bottom w:val="single" w:sz="6" w:space="0" w:color="D8D8D8"/>
              <w:right w:val="single" w:sz="6" w:space="0" w:color="D8D8D8"/>
            </w:tcBorders>
            <w:shd w:val="clear" w:color="auto" w:fill="F5F5F5"/>
            <w:vAlign w:val="center"/>
          </w:tcPr>
          <w:p w14:paraId="21F6F18F" w14:textId="52B2DA51" w:rsidR="001D5F2D" w:rsidRPr="00BD3157" w:rsidRDefault="001D5F2D" w:rsidP="001D5F2D">
            <w:pPr>
              <w:suppressAutoHyphens w:val="0"/>
              <w:jc w:val="center"/>
              <w:rPr>
                <w:sz w:val="22"/>
                <w:szCs w:val="22"/>
                <w:lang w:eastAsia="fr-FR"/>
              </w:rPr>
            </w:pPr>
            <w:r w:rsidRPr="00BD3157">
              <w:rPr>
                <w:sz w:val="22"/>
                <w:szCs w:val="22"/>
                <w:lang w:eastAsia="fr-FR"/>
              </w:rPr>
              <w:t>≥ 200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F5F5F5"/>
            <w:vAlign w:val="center"/>
          </w:tcPr>
          <w:p w14:paraId="199DC8BA" w14:textId="77777777" w:rsidR="001D5F2D" w:rsidRPr="00BD3157" w:rsidRDefault="001D5F2D" w:rsidP="001D5F2D">
            <w:pPr>
              <w:suppressAutoHyphens w:val="0"/>
              <w:jc w:val="center"/>
              <w:rPr>
                <w:sz w:val="22"/>
                <w:szCs w:val="22"/>
                <w:lang w:eastAsia="fr-FR"/>
              </w:rPr>
            </w:pPr>
          </w:p>
        </w:tc>
      </w:tr>
      <w:tr w:rsidR="001D5F2D" w:rsidRPr="00C62E15" w14:paraId="1CBB4182" w14:textId="77777777" w:rsidTr="00647AD3">
        <w:trPr>
          <w:trHeight w:val="539"/>
          <w:jc w:val="center"/>
        </w:trPr>
        <w:tc>
          <w:tcPr>
            <w:tcW w:w="1364" w:type="dxa"/>
            <w:vMerge/>
            <w:tcBorders>
              <w:left w:val="nil"/>
              <w:right w:val="single" w:sz="6" w:space="0" w:color="D8D8D8"/>
            </w:tcBorders>
            <w:shd w:val="clear" w:color="auto" w:fill="EEEEEE"/>
            <w:tcMar>
              <w:top w:w="150" w:type="dxa"/>
              <w:left w:w="150" w:type="dxa"/>
              <w:bottom w:w="150" w:type="dxa"/>
              <w:right w:w="150" w:type="dxa"/>
            </w:tcMar>
            <w:vAlign w:val="center"/>
          </w:tcPr>
          <w:p w14:paraId="53472914" w14:textId="77777777" w:rsidR="001D5F2D" w:rsidRPr="00C62E15" w:rsidRDefault="001D5F2D" w:rsidP="001D5F2D">
            <w:pPr>
              <w:suppressAutoHyphens w:val="0"/>
              <w:rPr>
                <w:b/>
                <w:bCs/>
                <w:sz w:val="22"/>
                <w:szCs w:val="22"/>
                <w:lang w:eastAsia="fr-FR"/>
              </w:rPr>
            </w:pPr>
          </w:p>
        </w:tc>
        <w:tc>
          <w:tcPr>
            <w:tcW w:w="1045" w:type="dxa"/>
            <w:vMerge w:val="restart"/>
            <w:tcBorders>
              <w:top w:val="outset" w:sz="6" w:space="0" w:color="auto"/>
              <w:left w:val="nil"/>
              <w:right w:val="single" w:sz="6" w:space="0" w:color="D8D8D8"/>
            </w:tcBorders>
            <w:shd w:val="clear" w:color="auto" w:fill="EEEEEE"/>
            <w:vAlign w:val="center"/>
          </w:tcPr>
          <w:p w14:paraId="6BFFC2E6" w14:textId="77777777" w:rsidR="001D5F2D" w:rsidRPr="00C62E15" w:rsidRDefault="001D5F2D" w:rsidP="001D5F2D">
            <w:pPr>
              <w:suppressAutoHyphens w:val="0"/>
              <w:rPr>
                <w:b/>
                <w:bCs/>
                <w:sz w:val="22"/>
                <w:szCs w:val="22"/>
                <w:lang w:eastAsia="fr-FR"/>
              </w:rPr>
            </w:pPr>
            <w:r w:rsidRPr="00C62E15">
              <w:rPr>
                <w:b/>
                <w:bCs/>
                <w:sz w:val="22"/>
                <w:szCs w:val="22"/>
                <w:lang w:eastAsia="fr-FR"/>
              </w:rPr>
              <w:t>Cuivre et composés (en Cu)</w:t>
            </w:r>
          </w:p>
        </w:tc>
        <w:tc>
          <w:tcPr>
            <w:tcW w:w="1522"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DE4DB34" w14:textId="77777777" w:rsidR="001D5F2D" w:rsidRPr="00BD3157" w:rsidRDefault="001D5F2D" w:rsidP="001D5F2D">
            <w:pPr>
              <w:suppressAutoHyphens w:val="0"/>
              <w:jc w:val="center"/>
              <w:rPr>
                <w:sz w:val="22"/>
                <w:szCs w:val="22"/>
                <w:lang w:eastAsia="fr-FR"/>
              </w:rPr>
            </w:pPr>
            <w:r w:rsidRPr="00BD3157">
              <w:rPr>
                <w:sz w:val="22"/>
                <w:szCs w:val="22"/>
                <w:lang w:eastAsia="fr-FR"/>
              </w:rPr>
              <w:t>Mensuelle (2)</w:t>
            </w:r>
            <w:r w:rsidRPr="00BD3157">
              <w:rPr>
                <w:sz w:val="22"/>
                <w:szCs w:val="22"/>
                <w:lang w:eastAsia="fr-FR"/>
              </w:rPr>
              <w:br/>
            </w:r>
          </w:p>
        </w:tc>
        <w:tc>
          <w:tcPr>
            <w:tcW w:w="1118" w:type="dxa"/>
            <w:tcBorders>
              <w:top w:val="outset" w:sz="6" w:space="0" w:color="auto"/>
              <w:left w:val="outset" w:sz="6" w:space="0" w:color="auto"/>
              <w:bottom w:val="single" w:sz="6" w:space="0" w:color="D8D8D8"/>
              <w:right w:val="single" w:sz="6" w:space="0" w:color="D8D8D8"/>
            </w:tcBorders>
            <w:shd w:val="clear" w:color="auto" w:fill="EEEEEE"/>
            <w:vAlign w:val="center"/>
          </w:tcPr>
          <w:p w14:paraId="5FBA3839" w14:textId="40FB8710" w:rsidR="001D5F2D" w:rsidRPr="00BD3157" w:rsidRDefault="001D5F2D" w:rsidP="001D5F2D">
            <w:pPr>
              <w:suppressAutoHyphens w:val="0"/>
              <w:jc w:val="center"/>
              <w:rPr>
                <w:sz w:val="22"/>
                <w:szCs w:val="22"/>
                <w:lang w:eastAsia="fr-FR"/>
              </w:rPr>
            </w:pPr>
            <w:r w:rsidRPr="00BD3157">
              <w:rPr>
                <w:sz w:val="22"/>
                <w:szCs w:val="22"/>
                <w:lang w:eastAsia="fr-FR"/>
              </w:rPr>
              <w:t>≥ 500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EEEEEE"/>
            <w:vAlign w:val="center"/>
          </w:tcPr>
          <w:p w14:paraId="060BD6DA"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single" w:sz="6" w:space="0" w:color="D8D8D8"/>
            </w:tcBorders>
            <w:shd w:val="clear" w:color="auto" w:fill="EEEEEE"/>
            <w:vAlign w:val="center"/>
          </w:tcPr>
          <w:p w14:paraId="0F3E0B24" w14:textId="3628B4F5" w:rsidR="001D5F2D" w:rsidRPr="00BD3157" w:rsidRDefault="001D5F2D" w:rsidP="001D5F2D">
            <w:pPr>
              <w:suppressAutoHyphens w:val="0"/>
              <w:jc w:val="center"/>
              <w:rPr>
                <w:sz w:val="22"/>
                <w:szCs w:val="22"/>
                <w:lang w:eastAsia="fr-FR"/>
              </w:rPr>
            </w:pPr>
            <w:r w:rsidRPr="00BD3157">
              <w:rPr>
                <w:sz w:val="22"/>
                <w:szCs w:val="22"/>
                <w:lang w:eastAsia="fr-FR"/>
              </w:rPr>
              <w:t>≥ 500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EEEEEE"/>
            <w:vAlign w:val="center"/>
          </w:tcPr>
          <w:p w14:paraId="5A3E226B" w14:textId="77777777" w:rsidR="001D5F2D" w:rsidRPr="00BD3157" w:rsidRDefault="001D5F2D" w:rsidP="001D5F2D">
            <w:pPr>
              <w:suppressAutoHyphens w:val="0"/>
              <w:jc w:val="center"/>
              <w:rPr>
                <w:sz w:val="22"/>
                <w:szCs w:val="22"/>
                <w:lang w:eastAsia="fr-FR"/>
              </w:rPr>
            </w:pPr>
          </w:p>
        </w:tc>
      </w:tr>
      <w:tr w:rsidR="001D5F2D" w:rsidRPr="00C62E15" w14:paraId="3784F5F2" w14:textId="77777777" w:rsidTr="00647AD3">
        <w:trPr>
          <w:trHeight w:val="396"/>
          <w:jc w:val="center"/>
        </w:trPr>
        <w:tc>
          <w:tcPr>
            <w:tcW w:w="1364" w:type="dxa"/>
            <w:vMerge/>
            <w:tcBorders>
              <w:left w:val="nil"/>
              <w:right w:val="single" w:sz="6" w:space="0" w:color="D8D8D8"/>
            </w:tcBorders>
            <w:shd w:val="clear" w:color="auto" w:fill="EEEEEE"/>
            <w:tcMar>
              <w:top w:w="150" w:type="dxa"/>
              <w:left w:w="150" w:type="dxa"/>
              <w:bottom w:w="150" w:type="dxa"/>
              <w:right w:w="150" w:type="dxa"/>
            </w:tcMar>
            <w:vAlign w:val="center"/>
          </w:tcPr>
          <w:p w14:paraId="56CCDB83" w14:textId="77777777" w:rsidR="001D5F2D" w:rsidRPr="00C62E15" w:rsidRDefault="001D5F2D" w:rsidP="001D5F2D">
            <w:pPr>
              <w:suppressAutoHyphens w:val="0"/>
              <w:rPr>
                <w:b/>
                <w:bCs/>
                <w:sz w:val="22"/>
                <w:szCs w:val="22"/>
                <w:lang w:eastAsia="fr-FR"/>
              </w:rPr>
            </w:pPr>
          </w:p>
        </w:tc>
        <w:tc>
          <w:tcPr>
            <w:tcW w:w="1045" w:type="dxa"/>
            <w:vMerge/>
            <w:tcBorders>
              <w:left w:val="nil"/>
              <w:bottom w:val="single" w:sz="6" w:space="0" w:color="D8D8D8"/>
              <w:right w:val="single" w:sz="6" w:space="0" w:color="D8D8D8"/>
            </w:tcBorders>
            <w:shd w:val="clear" w:color="auto" w:fill="EEEEEE"/>
            <w:vAlign w:val="center"/>
          </w:tcPr>
          <w:p w14:paraId="0C0E0EC7" w14:textId="77777777" w:rsidR="001D5F2D" w:rsidRPr="00C62E15" w:rsidRDefault="001D5F2D" w:rsidP="001D5F2D">
            <w:pPr>
              <w:suppressAutoHyphens w:val="0"/>
              <w:rPr>
                <w:b/>
                <w:bCs/>
                <w:sz w:val="22"/>
                <w:szCs w:val="22"/>
                <w:lang w:eastAsia="fr-FR"/>
              </w:rPr>
            </w:pPr>
          </w:p>
        </w:tc>
        <w:tc>
          <w:tcPr>
            <w:tcW w:w="1522"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1259A823"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118" w:type="dxa"/>
            <w:tcBorders>
              <w:top w:val="outset" w:sz="6" w:space="0" w:color="auto"/>
              <w:left w:val="outset" w:sz="6" w:space="0" w:color="auto"/>
              <w:bottom w:val="single" w:sz="6" w:space="0" w:color="D8D8D8"/>
              <w:right w:val="single" w:sz="6" w:space="0" w:color="D8D8D8"/>
            </w:tcBorders>
            <w:shd w:val="clear" w:color="auto" w:fill="EEEEEE"/>
            <w:vAlign w:val="center"/>
          </w:tcPr>
          <w:p w14:paraId="1493F0E7" w14:textId="0C795705" w:rsidR="001D5F2D" w:rsidRPr="00BD3157" w:rsidRDefault="001D5F2D" w:rsidP="001D5F2D">
            <w:pPr>
              <w:suppressAutoHyphens w:val="0"/>
              <w:jc w:val="center"/>
              <w:rPr>
                <w:sz w:val="22"/>
                <w:szCs w:val="22"/>
                <w:lang w:eastAsia="fr-FR"/>
              </w:rPr>
            </w:pPr>
            <w:r w:rsidRPr="00BD3157">
              <w:rPr>
                <w:sz w:val="22"/>
                <w:szCs w:val="22"/>
                <w:lang w:eastAsia="fr-FR"/>
              </w:rPr>
              <w:t>≥ 200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EEEEEE"/>
            <w:vAlign w:val="center"/>
          </w:tcPr>
          <w:p w14:paraId="0A8D8B83"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323" w:type="dxa"/>
            <w:tcBorders>
              <w:top w:val="outset" w:sz="6" w:space="0" w:color="auto"/>
              <w:left w:val="outset" w:sz="6" w:space="0" w:color="auto"/>
              <w:bottom w:val="single" w:sz="6" w:space="0" w:color="D8D8D8"/>
              <w:right w:val="single" w:sz="6" w:space="0" w:color="D8D8D8"/>
            </w:tcBorders>
            <w:shd w:val="clear" w:color="auto" w:fill="EEEEEE"/>
            <w:vAlign w:val="center"/>
          </w:tcPr>
          <w:p w14:paraId="732DDFE7" w14:textId="260C0501" w:rsidR="001D5F2D" w:rsidRPr="00BD3157" w:rsidRDefault="001D5F2D" w:rsidP="001D5F2D">
            <w:pPr>
              <w:suppressAutoHyphens w:val="0"/>
              <w:jc w:val="center"/>
              <w:rPr>
                <w:sz w:val="22"/>
                <w:szCs w:val="22"/>
                <w:lang w:eastAsia="fr-FR"/>
              </w:rPr>
            </w:pPr>
            <w:r w:rsidRPr="00BD3157">
              <w:rPr>
                <w:sz w:val="22"/>
                <w:szCs w:val="22"/>
                <w:lang w:eastAsia="fr-FR"/>
              </w:rPr>
              <w:t>≥ 200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bottom w:val="single" w:sz="6" w:space="0" w:color="D8D8D8"/>
              <w:right w:val="nil"/>
            </w:tcBorders>
            <w:shd w:val="clear" w:color="auto" w:fill="EEEEEE"/>
            <w:vAlign w:val="center"/>
          </w:tcPr>
          <w:p w14:paraId="41F38D6A" w14:textId="77777777" w:rsidR="001D5F2D" w:rsidRPr="00BD3157" w:rsidRDefault="001D5F2D" w:rsidP="001D5F2D">
            <w:pPr>
              <w:suppressAutoHyphens w:val="0"/>
              <w:jc w:val="center"/>
              <w:rPr>
                <w:sz w:val="22"/>
                <w:szCs w:val="22"/>
                <w:lang w:eastAsia="fr-FR"/>
              </w:rPr>
            </w:pPr>
          </w:p>
        </w:tc>
      </w:tr>
      <w:tr w:rsidR="001D5F2D" w:rsidRPr="00C62E15" w14:paraId="50669E10" w14:textId="77777777" w:rsidTr="00647AD3">
        <w:trPr>
          <w:trHeight w:val="576"/>
          <w:jc w:val="center"/>
        </w:trPr>
        <w:tc>
          <w:tcPr>
            <w:tcW w:w="1364" w:type="dxa"/>
            <w:vMerge/>
            <w:tcBorders>
              <w:left w:val="nil"/>
              <w:right w:val="single" w:sz="6" w:space="0" w:color="D8D8D8"/>
            </w:tcBorders>
            <w:shd w:val="clear" w:color="auto" w:fill="F5F5F5"/>
            <w:tcMar>
              <w:top w:w="150" w:type="dxa"/>
              <w:left w:w="150" w:type="dxa"/>
              <w:bottom w:w="150" w:type="dxa"/>
              <w:right w:w="150" w:type="dxa"/>
            </w:tcMar>
            <w:vAlign w:val="center"/>
          </w:tcPr>
          <w:p w14:paraId="02DC27F9" w14:textId="77777777" w:rsidR="001D5F2D" w:rsidRPr="00C62E15" w:rsidRDefault="001D5F2D" w:rsidP="001D5F2D">
            <w:pPr>
              <w:suppressAutoHyphens w:val="0"/>
              <w:rPr>
                <w:b/>
                <w:bCs/>
                <w:sz w:val="22"/>
                <w:szCs w:val="22"/>
                <w:lang w:eastAsia="fr-FR"/>
              </w:rPr>
            </w:pPr>
          </w:p>
        </w:tc>
        <w:tc>
          <w:tcPr>
            <w:tcW w:w="1045" w:type="dxa"/>
            <w:vMerge w:val="restart"/>
            <w:tcBorders>
              <w:top w:val="outset" w:sz="6" w:space="0" w:color="auto"/>
              <w:left w:val="nil"/>
              <w:right w:val="single" w:sz="6" w:space="0" w:color="D8D8D8"/>
            </w:tcBorders>
            <w:shd w:val="clear" w:color="auto" w:fill="F5F5F5"/>
            <w:vAlign w:val="center"/>
          </w:tcPr>
          <w:p w14:paraId="52F633E1" w14:textId="77777777" w:rsidR="001D5F2D" w:rsidRPr="00C62E15" w:rsidRDefault="001D5F2D" w:rsidP="001D5F2D">
            <w:pPr>
              <w:suppressAutoHyphens w:val="0"/>
              <w:rPr>
                <w:b/>
                <w:bCs/>
                <w:sz w:val="22"/>
                <w:szCs w:val="22"/>
                <w:lang w:eastAsia="fr-FR"/>
              </w:rPr>
            </w:pPr>
            <w:r w:rsidRPr="00C62E15">
              <w:rPr>
                <w:b/>
                <w:bCs/>
                <w:sz w:val="22"/>
                <w:szCs w:val="22"/>
                <w:lang w:eastAsia="fr-FR"/>
              </w:rPr>
              <w:t>Mercure et composés (en Hg)</w:t>
            </w: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A310FF6" w14:textId="77777777" w:rsidR="001D5F2D" w:rsidRPr="00BD3157" w:rsidRDefault="001D5F2D" w:rsidP="001D5F2D">
            <w:pPr>
              <w:suppressAutoHyphens w:val="0"/>
              <w:jc w:val="center"/>
              <w:rPr>
                <w:sz w:val="22"/>
                <w:szCs w:val="22"/>
                <w:lang w:eastAsia="fr-FR"/>
              </w:rPr>
            </w:pPr>
            <w:r w:rsidRPr="00BD3157">
              <w:rPr>
                <w:sz w:val="22"/>
                <w:szCs w:val="22"/>
                <w:lang w:eastAsia="fr-FR"/>
              </w:rPr>
              <w:t>Mensuelle (2)</w:t>
            </w:r>
          </w:p>
        </w:tc>
        <w:tc>
          <w:tcPr>
            <w:tcW w:w="1118" w:type="dxa"/>
            <w:tcBorders>
              <w:top w:val="outset" w:sz="6" w:space="0" w:color="auto"/>
              <w:left w:val="outset" w:sz="6" w:space="0" w:color="auto"/>
              <w:bottom w:val="single" w:sz="6" w:space="0" w:color="D8D8D8"/>
              <w:right w:val="single" w:sz="6" w:space="0" w:color="D8D8D8"/>
            </w:tcBorders>
            <w:shd w:val="clear" w:color="auto" w:fill="F5F5F5"/>
            <w:vAlign w:val="center"/>
          </w:tcPr>
          <w:p w14:paraId="573E3D50" w14:textId="41874A6B" w:rsidR="001D5F2D" w:rsidRPr="00BD3157" w:rsidRDefault="001D5F2D" w:rsidP="001D5F2D">
            <w:pPr>
              <w:suppressAutoHyphens w:val="0"/>
              <w:jc w:val="center"/>
              <w:rPr>
                <w:sz w:val="22"/>
                <w:szCs w:val="22"/>
                <w:lang w:eastAsia="fr-FR"/>
              </w:rPr>
            </w:pPr>
            <w:r w:rsidRPr="00BD3157">
              <w:rPr>
                <w:sz w:val="22"/>
                <w:szCs w:val="22"/>
                <w:lang w:eastAsia="fr-FR"/>
              </w:rPr>
              <w:t>≥ 5</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F5F5F5"/>
            <w:vAlign w:val="center"/>
          </w:tcPr>
          <w:p w14:paraId="09C303F4"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single" w:sz="6" w:space="0" w:color="D8D8D8"/>
            </w:tcBorders>
            <w:shd w:val="clear" w:color="auto" w:fill="F5F5F5"/>
            <w:vAlign w:val="center"/>
          </w:tcPr>
          <w:p w14:paraId="197B4B9C" w14:textId="76A4A39F" w:rsidR="001D5F2D" w:rsidRPr="00BD3157" w:rsidRDefault="001D5F2D" w:rsidP="001D5F2D">
            <w:pPr>
              <w:suppressAutoHyphens w:val="0"/>
              <w:jc w:val="center"/>
              <w:rPr>
                <w:sz w:val="22"/>
                <w:szCs w:val="22"/>
                <w:lang w:eastAsia="fr-FR"/>
              </w:rPr>
            </w:pPr>
            <w:r w:rsidRPr="00BD3157">
              <w:rPr>
                <w:sz w:val="22"/>
                <w:szCs w:val="22"/>
                <w:lang w:eastAsia="fr-FR"/>
              </w:rPr>
              <w:t>≥ 5</w:t>
            </w:r>
            <w:r w:rsidR="008219F9">
              <w:rPr>
                <w:sz w:val="22"/>
                <w:szCs w:val="22"/>
                <w:lang w:eastAsia="fr-FR"/>
              </w:rPr>
              <w:t xml:space="preserve"> </w:t>
            </w:r>
            <w:r w:rsidRPr="00BD3157">
              <w:rPr>
                <w:sz w:val="22"/>
                <w:szCs w:val="22"/>
                <w:lang w:eastAsia="fr-FR"/>
              </w:rPr>
              <w:t>g/j</w:t>
            </w:r>
          </w:p>
        </w:tc>
        <w:tc>
          <w:tcPr>
            <w:tcW w:w="1369" w:type="dxa"/>
            <w:vMerge w:val="restart"/>
            <w:tcBorders>
              <w:top w:val="outset" w:sz="6" w:space="0" w:color="auto"/>
              <w:left w:val="outset" w:sz="6" w:space="0" w:color="auto"/>
              <w:right w:val="nil"/>
            </w:tcBorders>
            <w:shd w:val="clear" w:color="auto" w:fill="F5F5F5"/>
            <w:vAlign w:val="center"/>
          </w:tcPr>
          <w:p w14:paraId="2A105A58" w14:textId="0B1B45F9" w:rsidR="001D5F2D" w:rsidRPr="00BD3157" w:rsidRDefault="001D5F2D" w:rsidP="001D5F2D">
            <w:pPr>
              <w:suppressAutoHyphens w:val="0"/>
              <w:jc w:val="center"/>
              <w:rPr>
                <w:sz w:val="22"/>
                <w:szCs w:val="22"/>
                <w:lang w:eastAsia="fr-FR"/>
              </w:rPr>
            </w:pPr>
            <w:r w:rsidRPr="00BD3157">
              <w:rPr>
                <w:sz w:val="22"/>
                <w:szCs w:val="22"/>
                <w:lang w:eastAsia="fr-FR"/>
              </w:rPr>
              <w:t>Plusieurs normes (exemple : NF EN ISO 12846 ou NF EN ISO 17852)</w:t>
            </w:r>
          </w:p>
        </w:tc>
      </w:tr>
      <w:tr w:rsidR="001D5F2D" w:rsidRPr="00C62E15" w14:paraId="47A5033D" w14:textId="77777777" w:rsidTr="00647AD3">
        <w:trPr>
          <w:trHeight w:val="536"/>
          <w:jc w:val="center"/>
        </w:trPr>
        <w:tc>
          <w:tcPr>
            <w:tcW w:w="1364" w:type="dxa"/>
            <w:vMerge/>
            <w:tcBorders>
              <w:left w:val="nil"/>
              <w:right w:val="single" w:sz="6" w:space="0" w:color="D8D8D8"/>
            </w:tcBorders>
            <w:shd w:val="clear" w:color="auto" w:fill="F5F5F5"/>
            <w:tcMar>
              <w:top w:w="150" w:type="dxa"/>
              <w:left w:w="150" w:type="dxa"/>
              <w:bottom w:w="150" w:type="dxa"/>
              <w:right w:w="150" w:type="dxa"/>
            </w:tcMar>
            <w:vAlign w:val="center"/>
          </w:tcPr>
          <w:p w14:paraId="0BCA9938" w14:textId="77777777" w:rsidR="001D5F2D" w:rsidRPr="00C62E15" w:rsidRDefault="001D5F2D" w:rsidP="001D5F2D">
            <w:pPr>
              <w:suppressAutoHyphens w:val="0"/>
              <w:rPr>
                <w:b/>
                <w:bCs/>
                <w:sz w:val="22"/>
                <w:szCs w:val="22"/>
                <w:lang w:eastAsia="fr-FR"/>
              </w:rPr>
            </w:pPr>
          </w:p>
        </w:tc>
        <w:tc>
          <w:tcPr>
            <w:tcW w:w="1045" w:type="dxa"/>
            <w:vMerge/>
            <w:tcBorders>
              <w:left w:val="nil"/>
              <w:bottom w:val="single" w:sz="6" w:space="0" w:color="D8D8D8"/>
              <w:right w:val="single" w:sz="6" w:space="0" w:color="D8D8D8"/>
            </w:tcBorders>
            <w:shd w:val="clear" w:color="auto" w:fill="F5F5F5"/>
            <w:vAlign w:val="center"/>
          </w:tcPr>
          <w:p w14:paraId="76649ECE" w14:textId="77777777" w:rsidR="001D5F2D" w:rsidRPr="00C62E15" w:rsidRDefault="001D5F2D" w:rsidP="001D5F2D">
            <w:pPr>
              <w:suppressAutoHyphens w:val="0"/>
              <w:rPr>
                <w:b/>
                <w:bCs/>
                <w:sz w:val="22"/>
                <w:szCs w:val="22"/>
                <w:lang w:eastAsia="fr-FR"/>
              </w:rPr>
            </w:pP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0D2D3E26"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118" w:type="dxa"/>
            <w:tcBorders>
              <w:top w:val="outset" w:sz="6" w:space="0" w:color="auto"/>
              <w:left w:val="outset" w:sz="6" w:space="0" w:color="auto"/>
              <w:bottom w:val="single" w:sz="6" w:space="0" w:color="D8D8D8"/>
              <w:right w:val="single" w:sz="6" w:space="0" w:color="D8D8D8"/>
            </w:tcBorders>
            <w:shd w:val="clear" w:color="auto" w:fill="F5F5F5"/>
            <w:vAlign w:val="center"/>
          </w:tcPr>
          <w:p w14:paraId="1BB5EE48" w14:textId="7E3EBC17" w:rsidR="001D5F2D" w:rsidRPr="00BD3157" w:rsidRDefault="001D5F2D" w:rsidP="001D5F2D">
            <w:pPr>
              <w:suppressAutoHyphens w:val="0"/>
              <w:jc w:val="center"/>
              <w:rPr>
                <w:sz w:val="22"/>
                <w:szCs w:val="22"/>
                <w:lang w:eastAsia="fr-FR"/>
              </w:rPr>
            </w:pPr>
            <w:r w:rsidRPr="00BD3157">
              <w:rPr>
                <w:sz w:val="22"/>
                <w:szCs w:val="22"/>
                <w:lang w:eastAsia="fr-FR"/>
              </w:rPr>
              <w:t>≥ 2</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F5F5F5"/>
            <w:vAlign w:val="center"/>
          </w:tcPr>
          <w:p w14:paraId="2D82F5A8"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323" w:type="dxa"/>
            <w:tcBorders>
              <w:top w:val="outset" w:sz="6" w:space="0" w:color="auto"/>
              <w:left w:val="outset" w:sz="6" w:space="0" w:color="auto"/>
              <w:bottom w:val="single" w:sz="6" w:space="0" w:color="D8D8D8"/>
              <w:right w:val="single" w:sz="6" w:space="0" w:color="D8D8D8"/>
            </w:tcBorders>
            <w:shd w:val="clear" w:color="auto" w:fill="F5F5F5"/>
            <w:vAlign w:val="center"/>
          </w:tcPr>
          <w:p w14:paraId="1416FC09" w14:textId="3CFDFB76" w:rsidR="001D5F2D" w:rsidRPr="00BD3157" w:rsidRDefault="001D5F2D" w:rsidP="001D5F2D">
            <w:pPr>
              <w:suppressAutoHyphens w:val="0"/>
              <w:jc w:val="center"/>
              <w:rPr>
                <w:sz w:val="22"/>
                <w:szCs w:val="22"/>
                <w:lang w:eastAsia="fr-FR"/>
              </w:rPr>
            </w:pPr>
            <w:r w:rsidRPr="00BD3157">
              <w:rPr>
                <w:sz w:val="22"/>
                <w:szCs w:val="22"/>
                <w:lang w:eastAsia="fr-FR"/>
              </w:rPr>
              <w:t>≥ 2</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bottom w:val="single" w:sz="6" w:space="0" w:color="D8D8D8"/>
              <w:right w:val="nil"/>
            </w:tcBorders>
            <w:shd w:val="clear" w:color="auto" w:fill="F5F5F5"/>
            <w:vAlign w:val="center"/>
          </w:tcPr>
          <w:p w14:paraId="50CF9C1E" w14:textId="77777777" w:rsidR="001D5F2D" w:rsidRPr="00BD3157" w:rsidRDefault="001D5F2D" w:rsidP="001D5F2D">
            <w:pPr>
              <w:suppressAutoHyphens w:val="0"/>
              <w:jc w:val="center"/>
              <w:rPr>
                <w:sz w:val="22"/>
                <w:szCs w:val="22"/>
                <w:lang w:eastAsia="fr-FR"/>
              </w:rPr>
            </w:pPr>
          </w:p>
        </w:tc>
      </w:tr>
      <w:tr w:rsidR="001D5F2D" w:rsidRPr="00C62E15" w14:paraId="5A482333" w14:textId="77777777" w:rsidTr="00647AD3">
        <w:trPr>
          <w:trHeight w:val="388"/>
          <w:jc w:val="center"/>
        </w:trPr>
        <w:tc>
          <w:tcPr>
            <w:tcW w:w="1364" w:type="dxa"/>
            <w:vMerge/>
            <w:tcBorders>
              <w:left w:val="nil"/>
              <w:right w:val="single" w:sz="6" w:space="0" w:color="D8D8D8"/>
            </w:tcBorders>
            <w:shd w:val="clear" w:color="auto" w:fill="EEEEEE"/>
            <w:tcMar>
              <w:top w:w="150" w:type="dxa"/>
              <w:left w:w="150" w:type="dxa"/>
              <w:bottom w:w="150" w:type="dxa"/>
              <w:right w:w="150" w:type="dxa"/>
            </w:tcMar>
            <w:vAlign w:val="center"/>
          </w:tcPr>
          <w:p w14:paraId="207A1AEC" w14:textId="77777777" w:rsidR="001D5F2D" w:rsidRPr="00C62E15" w:rsidRDefault="001D5F2D" w:rsidP="001D5F2D">
            <w:pPr>
              <w:suppressAutoHyphens w:val="0"/>
              <w:rPr>
                <w:b/>
                <w:bCs/>
                <w:sz w:val="22"/>
                <w:szCs w:val="22"/>
                <w:lang w:eastAsia="fr-FR"/>
              </w:rPr>
            </w:pPr>
          </w:p>
        </w:tc>
        <w:tc>
          <w:tcPr>
            <w:tcW w:w="1045" w:type="dxa"/>
            <w:vMerge w:val="restart"/>
            <w:tcBorders>
              <w:top w:val="outset" w:sz="6" w:space="0" w:color="auto"/>
              <w:left w:val="nil"/>
              <w:right w:val="single" w:sz="6" w:space="0" w:color="D8D8D8"/>
            </w:tcBorders>
            <w:shd w:val="clear" w:color="auto" w:fill="EEEEEE"/>
            <w:vAlign w:val="center"/>
          </w:tcPr>
          <w:p w14:paraId="07678875" w14:textId="77777777" w:rsidR="001D5F2D" w:rsidRPr="00C62E15" w:rsidRDefault="001D5F2D" w:rsidP="001D5F2D">
            <w:pPr>
              <w:suppressAutoHyphens w:val="0"/>
              <w:rPr>
                <w:b/>
                <w:bCs/>
                <w:sz w:val="22"/>
                <w:szCs w:val="22"/>
                <w:lang w:eastAsia="fr-FR"/>
              </w:rPr>
            </w:pPr>
            <w:r w:rsidRPr="00C62E15">
              <w:rPr>
                <w:b/>
                <w:bCs/>
                <w:sz w:val="22"/>
                <w:szCs w:val="22"/>
                <w:lang w:eastAsia="fr-FR"/>
              </w:rPr>
              <w:t>Nickel et composés (en Ni)</w:t>
            </w:r>
          </w:p>
        </w:tc>
        <w:tc>
          <w:tcPr>
            <w:tcW w:w="1522"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9EAB73D" w14:textId="77777777" w:rsidR="001D5F2D" w:rsidRPr="00BD3157" w:rsidRDefault="001D5F2D" w:rsidP="001D5F2D">
            <w:pPr>
              <w:suppressAutoHyphens w:val="0"/>
              <w:jc w:val="center"/>
              <w:rPr>
                <w:sz w:val="22"/>
                <w:szCs w:val="22"/>
                <w:lang w:eastAsia="fr-FR"/>
              </w:rPr>
            </w:pPr>
            <w:r w:rsidRPr="00BD3157">
              <w:rPr>
                <w:sz w:val="22"/>
                <w:szCs w:val="22"/>
                <w:lang w:eastAsia="fr-FR"/>
              </w:rPr>
              <w:t>Mensuelle (2)</w:t>
            </w:r>
            <w:r w:rsidRPr="00BD3157">
              <w:rPr>
                <w:sz w:val="22"/>
                <w:szCs w:val="22"/>
                <w:lang w:eastAsia="fr-FR"/>
              </w:rPr>
              <w:br/>
            </w:r>
          </w:p>
        </w:tc>
        <w:tc>
          <w:tcPr>
            <w:tcW w:w="1118" w:type="dxa"/>
            <w:tcBorders>
              <w:top w:val="outset" w:sz="6" w:space="0" w:color="auto"/>
              <w:left w:val="outset" w:sz="6" w:space="0" w:color="auto"/>
              <w:bottom w:val="single" w:sz="6" w:space="0" w:color="D8D8D8"/>
              <w:right w:val="single" w:sz="6" w:space="0" w:color="D8D8D8"/>
            </w:tcBorders>
            <w:shd w:val="clear" w:color="auto" w:fill="EEEEEE"/>
            <w:vAlign w:val="center"/>
          </w:tcPr>
          <w:p w14:paraId="2C84649F" w14:textId="47C2BAA9" w:rsidR="001D5F2D" w:rsidRPr="00BD3157" w:rsidRDefault="001D5F2D" w:rsidP="001D5F2D">
            <w:pPr>
              <w:suppressAutoHyphens w:val="0"/>
              <w:jc w:val="center"/>
              <w:rPr>
                <w:sz w:val="22"/>
                <w:szCs w:val="22"/>
                <w:lang w:eastAsia="fr-FR"/>
              </w:rPr>
            </w:pPr>
            <w:r w:rsidRPr="00BD3157">
              <w:rPr>
                <w:sz w:val="22"/>
                <w:szCs w:val="22"/>
                <w:lang w:eastAsia="fr-FR"/>
              </w:rPr>
              <w:t>≥ 100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EEEEEE"/>
            <w:vAlign w:val="center"/>
          </w:tcPr>
          <w:p w14:paraId="6E14E9D9"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single" w:sz="6" w:space="0" w:color="D8D8D8"/>
            </w:tcBorders>
            <w:shd w:val="clear" w:color="auto" w:fill="EEEEEE"/>
            <w:vAlign w:val="center"/>
          </w:tcPr>
          <w:p w14:paraId="335C0B9D" w14:textId="687DCBBD" w:rsidR="001D5F2D" w:rsidRPr="00BD3157" w:rsidRDefault="001D5F2D" w:rsidP="001D5F2D">
            <w:pPr>
              <w:suppressAutoHyphens w:val="0"/>
              <w:jc w:val="center"/>
              <w:rPr>
                <w:sz w:val="22"/>
                <w:szCs w:val="22"/>
                <w:lang w:eastAsia="fr-FR"/>
              </w:rPr>
            </w:pPr>
            <w:r w:rsidRPr="00BD3157">
              <w:rPr>
                <w:sz w:val="22"/>
                <w:szCs w:val="22"/>
                <w:lang w:eastAsia="fr-FR"/>
              </w:rPr>
              <w:t>≥ 100</w:t>
            </w:r>
            <w:r w:rsidR="008219F9">
              <w:rPr>
                <w:sz w:val="22"/>
                <w:szCs w:val="22"/>
                <w:lang w:eastAsia="fr-FR"/>
              </w:rPr>
              <w:t xml:space="preserve"> </w:t>
            </w:r>
            <w:r w:rsidRPr="00BD3157">
              <w:rPr>
                <w:sz w:val="22"/>
                <w:szCs w:val="22"/>
                <w:lang w:eastAsia="fr-FR"/>
              </w:rPr>
              <w:t>g/j</w:t>
            </w:r>
          </w:p>
        </w:tc>
        <w:tc>
          <w:tcPr>
            <w:tcW w:w="1369" w:type="dxa"/>
            <w:vMerge w:val="restart"/>
            <w:tcBorders>
              <w:top w:val="outset" w:sz="6" w:space="0" w:color="auto"/>
              <w:left w:val="outset" w:sz="6" w:space="0" w:color="auto"/>
              <w:right w:val="nil"/>
            </w:tcBorders>
            <w:shd w:val="clear" w:color="auto" w:fill="EEEEEE"/>
            <w:vAlign w:val="center"/>
          </w:tcPr>
          <w:p w14:paraId="6D366185" w14:textId="3058135C" w:rsidR="001D5F2D" w:rsidRPr="00BD3157" w:rsidRDefault="001D5F2D" w:rsidP="001D5F2D">
            <w:pPr>
              <w:suppressAutoHyphens w:val="0"/>
              <w:jc w:val="center"/>
              <w:rPr>
                <w:sz w:val="22"/>
                <w:szCs w:val="22"/>
                <w:lang w:eastAsia="fr-FR"/>
              </w:rPr>
            </w:pPr>
            <w:r w:rsidRPr="00BD3157">
              <w:rPr>
                <w:sz w:val="22"/>
                <w:szCs w:val="22"/>
                <w:lang w:eastAsia="fr-FR"/>
              </w:rPr>
              <w:t>Plusieurs normes (exemple : NF EN ISO 11885 ou NF EN ISO 17294-2)</w:t>
            </w:r>
          </w:p>
        </w:tc>
      </w:tr>
      <w:tr w:rsidR="001D5F2D" w:rsidRPr="00C62E15" w14:paraId="461BB783" w14:textId="77777777" w:rsidTr="00647AD3">
        <w:trPr>
          <w:trHeight w:val="286"/>
          <w:jc w:val="center"/>
        </w:trPr>
        <w:tc>
          <w:tcPr>
            <w:tcW w:w="1364" w:type="dxa"/>
            <w:vMerge/>
            <w:tcBorders>
              <w:left w:val="nil"/>
              <w:right w:val="single" w:sz="6" w:space="0" w:color="D8D8D8"/>
            </w:tcBorders>
            <w:shd w:val="clear" w:color="auto" w:fill="EEEEEE"/>
            <w:tcMar>
              <w:top w:w="150" w:type="dxa"/>
              <w:left w:w="150" w:type="dxa"/>
              <w:bottom w:w="150" w:type="dxa"/>
              <w:right w:w="150" w:type="dxa"/>
            </w:tcMar>
            <w:vAlign w:val="center"/>
          </w:tcPr>
          <w:p w14:paraId="1C7B4D59" w14:textId="77777777" w:rsidR="001D5F2D" w:rsidRPr="00C62E15" w:rsidRDefault="001D5F2D" w:rsidP="001D5F2D">
            <w:pPr>
              <w:suppressAutoHyphens w:val="0"/>
              <w:rPr>
                <w:b/>
                <w:bCs/>
                <w:sz w:val="22"/>
                <w:szCs w:val="22"/>
                <w:lang w:eastAsia="fr-FR"/>
              </w:rPr>
            </w:pPr>
          </w:p>
        </w:tc>
        <w:tc>
          <w:tcPr>
            <w:tcW w:w="1045" w:type="dxa"/>
            <w:vMerge/>
            <w:tcBorders>
              <w:left w:val="nil"/>
              <w:bottom w:val="single" w:sz="6" w:space="0" w:color="D8D8D8"/>
              <w:right w:val="single" w:sz="6" w:space="0" w:color="D8D8D8"/>
            </w:tcBorders>
            <w:shd w:val="clear" w:color="auto" w:fill="EEEEEE"/>
            <w:vAlign w:val="center"/>
          </w:tcPr>
          <w:p w14:paraId="4152FF70" w14:textId="77777777" w:rsidR="001D5F2D" w:rsidRPr="00C62E15" w:rsidRDefault="001D5F2D" w:rsidP="001D5F2D">
            <w:pPr>
              <w:suppressAutoHyphens w:val="0"/>
              <w:rPr>
                <w:b/>
                <w:bCs/>
                <w:sz w:val="22"/>
                <w:szCs w:val="22"/>
                <w:lang w:eastAsia="fr-FR"/>
              </w:rPr>
            </w:pPr>
          </w:p>
        </w:tc>
        <w:tc>
          <w:tcPr>
            <w:tcW w:w="1522"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281E36B1"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118" w:type="dxa"/>
            <w:tcBorders>
              <w:top w:val="outset" w:sz="6" w:space="0" w:color="auto"/>
              <w:left w:val="outset" w:sz="6" w:space="0" w:color="auto"/>
              <w:bottom w:val="single" w:sz="6" w:space="0" w:color="D8D8D8"/>
              <w:right w:val="single" w:sz="6" w:space="0" w:color="D8D8D8"/>
            </w:tcBorders>
            <w:shd w:val="clear" w:color="auto" w:fill="EEEEEE"/>
            <w:vAlign w:val="center"/>
          </w:tcPr>
          <w:p w14:paraId="2A24F753" w14:textId="147FCC6D" w:rsidR="001D5F2D" w:rsidRPr="00BD3157" w:rsidRDefault="001D5F2D" w:rsidP="001D5F2D">
            <w:pPr>
              <w:suppressAutoHyphens w:val="0"/>
              <w:jc w:val="center"/>
              <w:rPr>
                <w:sz w:val="22"/>
                <w:szCs w:val="22"/>
                <w:lang w:eastAsia="fr-FR"/>
              </w:rPr>
            </w:pPr>
            <w:r w:rsidRPr="00BD3157">
              <w:rPr>
                <w:sz w:val="22"/>
                <w:szCs w:val="22"/>
                <w:lang w:eastAsia="fr-FR"/>
              </w:rPr>
              <w:br/>
              <w:t>≥ 20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EEEEEE"/>
            <w:vAlign w:val="center"/>
          </w:tcPr>
          <w:p w14:paraId="6730E884" w14:textId="77777777" w:rsidR="001D5F2D" w:rsidRPr="00BD3157" w:rsidRDefault="001D5F2D" w:rsidP="001D5F2D">
            <w:pPr>
              <w:suppressAutoHyphens w:val="0"/>
              <w:jc w:val="center"/>
              <w:rPr>
                <w:sz w:val="22"/>
                <w:szCs w:val="22"/>
                <w:lang w:eastAsia="fr-FR"/>
              </w:rPr>
            </w:pPr>
            <w:r w:rsidRPr="00BD3157">
              <w:rPr>
                <w:sz w:val="22"/>
                <w:szCs w:val="22"/>
                <w:lang w:eastAsia="fr-FR"/>
              </w:rPr>
              <w:br/>
              <w:t>Trimestrielle (2)</w:t>
            </w:r>
          </w:p>
        </w:tc>
        <w:tc>
          <w:tcPr>
            <w:tcW w:w="1323" w:type="dxa"/>
            <w:tcBorders>
              <w:top w:val="outset" w:sz="6" w:space="0" w:color="auto"/>
              <w:left w:val="outset" w:sz="6" w:space="0" w:color="auto"/>
              <w:bottom w:val="single" w:sz="6" w:space="0" w:color="D8D8D8"/>
              <w:right w:val="single" w:sz="6" w:space="0" w:color="D8D8D8"/>
            </w:tcBorders>
            <w:shd w:val="clear" w:color="auto" w:fill="EEEEEE"/>
            <w:vAlign w:val="center"/>
          </w:tcPr>
          <w:p w14:paraId="5A550716" w14:textId="05D21BB6" w:rsidR="001D5F2D" w:rsidRPr="00BD3157" w:rsidRDefault="001D5F2D" w:rsidP="001D5F2D">
            <w:pPr>
              <w:suppressAutoHyphens w:val="0"/>
              <w:jc w:val="center"/>
              <w:rPr>
                <w:sz w:val="22"/>
                <w:szCs w:val="22"/>
                <w:lang w:eastAsia="fr-FR"/>
              </w:rPr>
            </w:pPr>
            <w:r w:rsidRPr="00BD3157">
              <w:rPr>
                <w:sz w:val="22"/>
                <w:szCs w:val="22"/>
                <w:lang w:eastAsia="fr-FR"/>
              </w:rPr>
              <w:br/>
              <w:t>≥ 20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EEEEEE"/>
            <w:vAlign w:val="center"/>
          </w:tcPr>
          <w:p w14:paraId="0AFDCFDB" w14:textId="77777777" w:rsidR="001D5F2D" w:rsidRPr="00BD3157" w:rsidRDefault="001D5F2D" w:rsidP="001D5F2D">
            <w:pPr>
              <w:suppressAutoHyphens w:val="0"/>
              <w:jc w:val="center"/>
              <w:rPr>
                <w:sz w:val="22"/>
                <w:szCs w:val="22"/>
                <w:lang w:eastAsia="fr-FR"/>
              </w:rPr>
            </w:pPr>
          </w:p>
        </w:tc>
      </w:tr>
      <w:tr w:rsidR="001D5F2D" w:rsidRPr="00C62E15" w14:paraId="5057D193" w14:textId="77777777" w:rsidTr="00647AD3">
        <w:trPr>
          <w:trHeight w:val="201"/>
          <w:jc w:val="center"/>
        </w:trPr>
        <w:tc>
          <w:tcPr>
            <w:tcW w:w="1364" w:type="dxa"/>
            <w:vMerge/>
            <w:tcBorders>
              <w:left w:val="nil"/>
              <w:right w:val="single" w:sz="6" w:space="0" w:color="D8D8D8"/>
            </w:tcBorders>
            <w:shd w:val="clear" w:color="auto" w:fill="F5F5F5"/>
            <w:tcMar>
              <w:top w:w="150" w:type="dxa"/>
              <w:left w:w="150" w:type="dxa"/>
              <w:bottom w:w="150" w:type="dxa"/>
              <w:right w:w="150" w:type="dxa"/>
            </w:tcMar>
            <w:vAlign w:val="center"/>
          </w:tcPr>
          <w:p w14:paraId="305BE3D9" w14:textId="77777777" w:rsidR="001D5F2D" w:rsidRPr="00C62E15" w:rsidRDefault="001D5F2D" w:rsidP="001D5F2D">
            <w:pPr>
              <w:suppressAutoHyphens w:val="0"/>
              <w:rPr>
                <w:b/>
                <w:bCs/>
                <w:sz w:val="22"/>
                <w:szCs w:val="22"/>
                <w:lang w:eastAsia="fr-FR"/>
              </w:rPr>
            </w:pPr>
          </w:p>
        </w:tc>
        <w:tc>
          <w:tcPr>
            <w:tcW w:w="1045" w:type="dxa"/>
            <w:vMerge w:val="restart"/>
            <w:tcBorders>
              <w:top w:val="outset" w:sz="6" w:space="0" w:color="auto"/>
              <w:left w:val="nil"/>
              <w:right w:val="single" w:sz="6" w:space="0" w:color="D8D8D8"/>
            </w:tcBorders>
            <w:shd w:val="clear" w:color="auto" w:fill="F5F5F5"/>
            <w:vAlign w:val="center"/>
          </w:tcPr>
          <w:p w14:paraId="5040CBB4" w14:textId="77777777" w:rsidR="001D5F2D" w:rsidRPr="00C62E15" w:rsidRDefault="001D5F2D" w:rsidP="001D5F2D">
            <w:pPr>
              <w:suppressAutoHyphens w:val="0"/>
              <w:rPr>
                <w:b/>
                <w:bCs/>
                <w:sz w:val="22"/>
                <w:szCs w:val="22"/>
                <w:lang w:eastAsia="fr-FR"/>
              </w:rPr>
            </w:pPr>
            <w:r w:rsidRPr="00C62E15">
              <w:rPr>
                <w:b/>
                <w:bCs/>
                <w:sz w:val="22"/>
                <w:szCs w:val="22"/>
                <w:lang w:eastAsia="fr-FR"/>
              </w:rPr>
              <w:t>Plomb et composés (en Pb)</w:t>
            </w: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0D3AA5B" w14:textId="77777777" w:rsidR="001D5F2D" w:rsidRPr="00BD3157" w:rsidRDefault="001D5F2D" w:rsidP="001D5F2D">
            <w:pPr>
              <w:suppressAutoHyphens w:val="0"/>
              <w:jc w:val="center"/>
              <w:rPr>
                <w:sz w:val="22"/>
                <w:szCs w:val="22"/>
                <w:lang w:eastAsia="fr-FR"/>
              </w:rPr>
            </w:pPr>
            <w:r w:rsidRPr="00BD3157">
              <w:rPr>
                <w:sz w:val="22"/>
                <w:szCs w:val="22"/>
                <w:lang w:eastAsia="fr-FR"/>
              </w:rPr>
              <w:t>Mensuelle (2)</w:t>
            </w:r>
          </w:p>
        </w:tc>
        <w:tc>
          <w:tcPr>
            <w:tcW w:w="1118" w:type="dxa"/>
            <w:tcBorders>
              <w:top w:val="outset" w:sz="6" w:space="0" w:color="auto"/>
              <w:left w:val="outset" w:sz="6" w:space="0" w:color="auto"/>
              <w:bottom w:val="single" w:sz="6" w:space="0" w:color="D8D8D8"/>
              <w:right w:val="single" w:sz="6" w:space="0" w:color="D8D8D8"/>
            </w:tcBorders>
            <w:shd w:val="clear" w:color="auto" w:fill="F5F5F5"/>
            <w:vAlign w:val="center"/>
          </w:tcPr>
          <w:p w14:paraId="333B4977" w14:textId="25260F16" w:rsidR="001D5F2D" w:rsidRPr="00BD3157" w:rsidRDefault="001D5F2D" w:rsidP="001D5F2D">
            <w:pPr>
              <w:suppressAutoHyphens w:val="0"/>
              <w:jc w:val="center"/>
              <w:rPr>
                <w:sz w:val="22"/>
                <w:szCs w:val="22"/>
                <w:lang w:eastAsia="fr-FR"/>
              </w:rPr>
            </w:pPr>
            <w:r w:rsidRPr="00BD3157">
              <w:rPr>
                <w:sz w:val="22"/>
                <w:szCs w:val="22"/>
                <w:lang w:eastAsia="fr-FR"/>
              </w:rPr>
              <w:t>≥ 100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F5F5F5"/>
            <w:vAlign w:val="center"/>
          </w:tcPr>
          <w:p w14:paraId="047E1CFF"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single" w:sz="6" w:space="0" w:color="D8D8D8"/>
            </w:tcBorders>
            <w:shd w:val="clear" w:color="auto" w:fill="F5F5F5"/>
            <w:vAlign w:val="center"/>
          </w:tcPr>
          <w:p w14:paraId="752B100A" w14:textId="4478F3E6" w:rsidR="001D5F2D" w:rsidRPr="00BD3157" w:rsidRDefault="001D5F2D" w:rsidP="001D5F2D">
            <w:pPr>
              <w:suppressAutoHyphens w:val="0"/>
              <w:jc w:val="center"/>
              <w:rPr>
                <w:sz w:val="22"/>
                <w:szCs w:val="22"/>
                <w:lang w:eastAsia="fr-FR"/>
              </w:rPr>
            </w:pPr>
            <w:r w:rsidRPr="00BD3157">
              <w:rPr>
                <w:sz w:val="22"/>
                <w:szCs w:val="22"/>
                <w:lang w:eastAsia="fr-FR"/>
              </w:rPr>
              <w:t>≥ 100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F5F5F5"/>
            <w:vAlign w:val="center"/>
          </w:tcPr>
          <w:p w14:paraId="101352B0" w14:textId="77777777" w:rsidR="001D5F2D" w:rsidRPr="00BD3157" w:rsidRDefault="001D5F2D" w:rsidP="001D5F2D">
            <w:pPr>
              <w:suppressAutoHyphens w:val="0"/>
              <w:jc w:val="center"/>
              <w:rPr>
                <w:sz w:val="22"/>
                <w:szCs w:val="22"/>
                <w:lang w:eastAsia="fr-FR"/>
              </w:rPr>
            </w:pPr>
          </w:p>
        </w:tc>
      </w:tr>
      <w:tr w:rsidR="001D5F2D" w:rsidRPr="00C62E15" w14:paraId="6F365EB6" w14:textId="77777777" w:rsidTr="00647AD3">
        <w:trPr>
          <w:trHeight w:val="492"/>
          <w:jc w:val="center"/>
        </w:trPr>
        <w:tc>
          <w:tcPr>
            <w:tcW w:w="1364" w:type="dxa"/>
            <w:vMerge/>
            <w:tcBorders>
              <w:left w:val="nil"/>
              <w:right w:val="single" w:sz="6" w:space="0" w:color="D8D8D8"/>
            </w:tcBorders>
            <w:shd w:val="clear" w:color="auto" w:fill="F5F5F5"/>
            <w:tcMar>
              <w:top w:w="150" w:type="dxa"/>
              <w:left w:w="150" w:type="dxa"/>
              <w:bottom w:w="150" w:type="dxa"/>
              <w:right w:w="150" w:type="dxa"/>
            </w:tcMar>
            <w:vAlign w:val="center"/>
          </w:tcPr>
          <w:p w14:paraId="540FD19D" w14:textId="77777777" w:rsidR="001D5F2D" w:rsidRPr="00C62E15" w:rsidRDefault="001D5F2D" w:rsidP="001D5F2D">
            <w:pPr>
              <w:suppressAutoHyphens w:val="0"/>
              <w:rPr>
                <w:b/>
                <w:bCs/>
                <w:sz w:val="22"/>
                <w:szCs w:val="22"/>
                <w:lang w:eastAsia="fr-FR"/>
              </w:rPr>
            </w:pPr>
          </w:p>
        </w:tc>
        <w:tc>
          <w:tcPr>
            <w:tcW w:w="1045" w:type="dxa"/>
            <w:vMerge/>
            <w:tcBorders>
              <w:left w:val="nil"/>
              <w:bottom w:val="single" w:sz="6" w:space="0" w:color="D8D8D8"/>
              <w:right w:val="single" w:sz="6" w:space="0" w:color="D8D8D8"/>
            </w:tcBorders>
            <w:shd w:val="clear" w:color="auto" w:fill="F5F5F5"/>
            <w:vAlign w:val="center"/>
          </w:tcPr>
          <w:p w14:paraId="7DE94C5F" w14:textId="77777777" w:rsidR="001D5F2D" w:rsidRPr="00C62E15" w:rsidRDefault="001D5F2D" w:rsidP="001D5F2D">
            <w:pPr>
              <w:suppressAutoHyphens w:val="0"/>
              <w:rPr>
                <w:b/>
                <w:bCs/>
                <w:sz w:val="22"/>
                <w:szCs w:val="22"/>
                <w:lang w:eastAsia="fr-FR"/>
              </w:rPr>
            </w:pP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7A23DEA1"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118" w:type="dxa"/>
            <w:tcBorders>
              <w:top w:val="outset" w:sz="6" w:space="0" w:color="auto"/>
              <w:left w:val="outset" w:sz="6" w:space="0" w:color="auto"/>
              <w:bottom w:val="single" w:sz="6" w:space="0" w:color="D8D8D8"/>
              <w:right w:val="single" w:sz="6" w:space="0" w:color="D8D8D8"/>
            </w:tcBorders>
            <w:shd w:val="clear" w:color="auto" w:fill="F5F5F5"/>
            <w:vAlign w:val="center"/>
          </w:tcPr>
          <w:p w14:paraId="4D20CC16" w14:textId="401D9071" w:rsidR="001D5F2D" w:rsidRPr="00BD3157" w:rsidRDefault="001D5F2D" w:rsidP="001D5F2D">
            <w:pPr>
              <w:suppressAutoHyphens w:val="0"/>
              <w:jc w:val="center"/>
              <w:rPr>
                <w:sz w:val="22"/>
                <w:szCs w:val="22"/>
                <w:lang w:eastAsia="fr-FR"/>
              </w:rPr>
            </w:pPr>
            <w:r w:rsidRPr="00BD3157">
              <w:rPr>
                <w:sz w:val="22"/>
                <w:szCs w:val="22"/>
                <w:lang w:eastAsia="fr-FR"/>
              </w:rPr>
              <w:t>≥ 20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F5F5F5"/>
            <w:vAlign w:val="center"/>
          </w:tcPr>
          <w:p w14:paraId="7E423CBC"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323" w:type="dxa"/>
            <w:tcBorders>
              <w:top w:val="outset" w:sz="6" w:space="0" w:color="auto"/>
              <w:left w:val="outset" w:sz="6" w:space="0" w:color="auto"/>
              <w:bottom w:val="single" w:sz="6" w:space="0" w:color="D8D8D8"/>
              <w:right w:val="single" w:sz="6" w:space="0" w:color="D8D8D8"/>
            </w:tcBorders>
            <w:shd w:val="clear" w:color="auto" w:fill="F5F5F5"/>
            <w:vAlign w:val="center"/>
          </w:tcPr>
          <w:p w14:paraId="4E20E2D8" w14:textId="3E0798AD" w:rsidR="001D5F2D" w:rsidRPr="00BD3157" w:rsidRDefault="001D5F2D" w:rsidP="001D5F2D">
            <w:pPr>
              <w:suppressAutoHyphens w:val="0"/>
              <w:jc w:val="center"/>
              <w:rPr>
                <w:sz w:val="22"/>
                <w:szCs w:val="22"/>
                <w:lang w:eastAsia="fr-FR"/>
              </w:rPr>
            </w:pPr>
            <w:r w:rsidRPr="00BD3157">
              <w:rPr>
                <w:sz w:val="22"/>
                <w:szCs w:val="22"/>
                <w:lang w:eastAsia="fr-FR"/>
              </w:rPr>
              <w:t>≥ 20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F5F5F5"/>
            <w:vAlign w:val="center"/>
          </w:tcPr>
          <w:p w14:paraId="5EAB5DB2" w14:textId="77777777" w:rsidR="001D5F2D" w:rsidRPr="00BD3157" w:rsidRDefault="001D5F2D" w:rsidP="001D5F2D">
            <w:pPr>
              <w:suppressAutoHyphens w:val="0"/>
              <w:jc w:val="center"/>
              <w:rPr>
                <w:sz w:val="22"/>
                <w:szCs w:val="22"/>
                <w:lang w:eastAsia="fr-FR"/>
              </w:rPr>
            </w:pPr>
          </w:p>
        </w:tc>
      </w:tr>
      <w:tr w:rsidR="001D5F2D" w:rsidRPr="00C62E15" w14:paraId="41E2758A" w14:textId="77777777" w:rsidTr="00647AD3">
        <w:trPr>
          <w:trHeight w:val="122"/>
          <w:jc w:val="center"/>
        </w:trPr>
        <w:tc>
          <w:tcPr>
            <w:tcW w:w="1364" w:type="dxa"/>
            <w:vMerge/>
            <w:tcBorders>
              <w:left w:val="nil"/>
              <w:right w:val="single" w:sz="6" w:space="0" w:color="D8D8D8"/>
            </w:tcBorders>
            <w:shd w:val="clear" w:color="auto" w:fill="EEEEEE"/>
            <w:tcMar>
              <w:top w:w="150" w:type="dxa"/>
              <w:left w:w="150" w:type="dxa"/>
              <w:bottom w:w="150" w:type="dxa"/>
              <w:right w:w="150" w:type="dxa"/>
            </w:tcMar>
            <w:vAlign w:val="center"/>
          </w:tcPr>
          <w:p w14:paraId="13DC5F49" w14:textId="77777777" w:rsidR="001D5F2D" w:rsidRPr="00C62E15" w:rsidRDefault="001D5F2D" w:rsidP="001D5F2D">
            <w:pPr>
              <w:suppressAutoHyphens w:val="0"/>
              <w:rPr>
                <w:b/>
                <w:bCs/>
                <w:sz w:val="22"/>
                <w:szCs w:val="22"/>
                <w:lang w:eastAsia="fr-FR"/>
              </w:rPr>
            </w:pPr>
          </w:p>
        </w:tc>
        <w:tc>
          <w:tcPr>
            <w:tcW w:w="1045" w:type="dxa"/>
            <w:vMerge w:val="restart"/>
            <w:tcBorders>
              <w:top w:val="outset" w:sz="6" w:space="0" w:color="auto"/>
              <w:left w:val="nil"/>
              <w:right w:val="single" w:sz="6" w:space="0" w:color="D8D8D8"/>
            </w:tcBorders>
            <w:shd w:val="clear" w:color="auto" w:fill="EEEEEE"/>
            <w:vAlign w:val="center"/>
          </w:tcPr>
          <w:p w14:paraId="08402E0B" w14:textId="77777777" w:rsidR="001D5F2D" w:rsidRPr="00C62E15" w:rsidRDefault="001D5F2D" w:rsidP="001D5F2D">
            <w:pPr>
              <w:suppressAutoHyphens w:val="0"/>
              <w:rPr>
                <w:b/>
                <w:bCs/>
                <w:sz w:val="22"/>
                <w:szCs w:val="22"/>
                <w:lang w:eastAsia="fr-FR"/>
              </w:rPr>
            </w:pPr>
            <w:r w:rsidRPr="00C62E15">
              <w:rPr>
                <w:b/>
                <w:bCs/>
                <w:sz w:val="22"/>
                <w:szCs w:val="22"/>
                <w:lang w:eastAsia="fr-FR"/>
              </w:rPr>
              <w:t>Zinc et composés (en Zn)</w:t>
            </w:r>
          </w:p>
        </w:tc>
        <w:tc>
          <w:tcPr>
            <w:tcW w:w="1522"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1330A27" w14:textId="77777777" w:rsidR="001D5F2D" w:rsidRPr="00BD3157" w:rsidRDefault="001D5F2D" w:rsidP="001D5F2D">
            <w:pPr>
              <w:suppressAutoHyphens w:val="0"/>
              <w:jc w:val="center"/>
              <w:rPr>
                <w:sz w:val="22"/>
                <w:szCs w:val="22"/>
                <w:lang w:eastAsia="fr-FR"/>
              </w:rPr>
            </w:pPr>
            <w:r w:rsidRPr="00BD3157">
              <w:rPr>
                <w:sz w:val="22"/>
                <w:szCs w:val="22"/>
                <w:lang w:eastAsia="fr-FR"/>
              </w:rPr>
              <w:t>Mensuelle (2)</w:t>
            </w:r>
          </w:p>
        </w:tc>
        <w:tc>
          <w:tcPr>
            <w:tcW w:w="1118" w:type="dxa"/>
            <w:tcBorders>
              <w:top w:val="outset" w:sz="6" w:space="0" w:color="auto"/>
              <w:left w:val="outset" w:sz="6" w:space="0" w:color="auto"/>
              <w:bottom w:val="single" w:sz="6" w:space="0" w:color="D8D8D8"/>
              <w:right w:val="single" w:sz="6" w:space="0" w:color="D8D8D8"/>
            </w:tcBorders>
            <w:shd w:val="clear" w:color="auto" w:fill="EEEEEE"/>
            <w:vAlign w:val="center"/>
          </w:tcPr>
          <w:p w14:paraId="3E194FD0" w14:textId="493B0389" w:rsidR="001D5F2D" w:rsidRPr="00BD3157" w:rsidRDefault="001D5F2D" w:rsidP="001D5F2D">
            <w:pPr>
              <w:suppressAutoHyphens w:val="0"/>
              <w:jc w:val="center"/>
              <w:rPr>
                <w:sz w:val="22"/>
                <w:szCs w:val="22"/>
                <w:lang w:eastAsia="fr-FR"/>
              </w:rPr>
            </w:pPr>
            <w:r w:rsidRPr="00BD3157">
              <w:rPr>
                <w:sz w:val="22"/>
                <w:szCs w:val="22"/>
                <w:lang w:eastAsia="fr-FR"/>
              </w:rPr>
              <w:t>≥ 500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EEEEEE"/>
            <w:vAlign w:val="center"/>
          </w:tcPr>
          <w:p w14:paraId="6C17A9A3"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single" w:sz="6" w:space="0" w:color="D8D8D8"/>
              <w:right w:val="single" w:sz="6" w:space="0" w:color="D8D8D8"/>
            </w:tcBorders>
            <w:shd w:val="clear" w:color="auto" w:fill="EEEEEE"/>
            <w:vAlign w:val="center"/>
          </w:tcPr>
          <w:p w14:paraId="62D3D291" w14:textId="77BD8E43" w:rsidR="001D5F2D" w:rsidRPr="00BD3157" w:rsidRDefault="001D5F2D" w:rsidP="001D5F2D">
            <w:pPr>
              <w:suppressAutoHyphens w:val="0"/>
              <w:jc w:val="center"/>
              <w:rPr>
                <w:sz w:val="22"/>
                <w:szCs w:val="22"/>
                <w:lang w:eastAsia="fr-FR"/>
              </w:rPr>
            </w:pPr>
            <w:r w:rsidRPr="00BD3157">
              <w:rPr>
                <w:sz w:val="22"/>
                <w:szCs w:val="22"/>
                <w:lang w:eastAsia="fr-FR"/>
              </w:rPr>
              <w:t>≥ 500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right w:val="nil"/>
            </w:tcBorders>
            <w:shd w:val="clear" w:color="auto" w:fill="EEEEEE"/>
            <w:vAlign w:val="center"/>
          </w:tcPr>
          <w:p w14:paraId="7341E45B" w14:textId="77777777" w:rsidR="001D5F2D" w:rsidRPr="00BD3157" w:rsidRDefault="001D5F2D" w:rsidP="001D5F2D">
            <w:pPr>
              <w:suppressAutoHyphens w:val="0"/>
              <w:jc w:val="center"/>
              <w:rPr>
                <w:sz w:val="22"/>
                <w:szCs w:val="22"/>
                <w:lang w:eastAsia="fr-FR"/>
              </w:rPr>
            </w:pPr>
          </w:p>
        </w:tc>
      </w:tr>
      <w:tr w:rsidR="001D5F2D" w:rsidRPr="00C62E15" w14:paraId="550AA836" w14:textId="77777777" w:rsidTr="00647AD3">
        <w:trPr>
          <w:trHeight w:val="20"/>
          <w:jc w:val="center"/>
        </w:trPr>
        <w:tc>
          <w:tcPr>
            <w:tcW w:w="1364" w:type="dxa"/>
            <w:vMerge/>
            <w:tcBorders>
              <w:left w:val="nil"/>
              <w:right w:val="single" w:sz="6" w:space="0" w:color="D8D8D8"/>
            </w:tcBorders>
            <w:shd w:val="clear" w:color="auto" w:fill="EEEEEE"/>
            <w:tcMar>
              <w:top w:w="150" w:type="dxa"/>
              <w:left w:w="150" w:type="dxa"/>
              <w:bottom w:w="150" w:type="dxa"/>
              <w:right w:w="150" w:type="dxa"/>
            </w:tcMar>
            <w:vAlign w:val="center"/>
          </w:tcPr>
          <w:p w14:paraId="27C3F9FD" w14:textId="77777777" w:rsidR="001D5F2D" w:rsidRPr="00C62E15" w:rsidRDefault="001D5F2D" w:rsidP="001D5F2D">
            <w:pPr>
              <w:suppressAutoHyphens w:val="0"/>
              <w:rPr>
                <w:b/>
                <w:bCs/>
                <w:sz w:val="22"/>
                <w:szCs w:val="22"/>
                <w:lang w:eastAsia="fr-FR"/>
              </w:rPr>
            </w:pPr>
          </w:p>
        </w:tc>
        <w:tc>
          <w:tcPr>
            <w:tcW w:w="1045" w:type="dxa"/>
            <w:vMerge/>
            <w:tcBorders>
              <w:left w:val="nil"/>
              <w:bottom w:val="single" w:sz="6" w:space="0" w:color="D8D8D8"/>
              <w:right w:val="single" w:sz="6" w:space="0" w:color="D8D8D8"/>
            </w:tcBorders>
            <w:shd w:val="clear" w:color="auto" w:fill="EEEEEE"/>
            <w:vAlign w:val="center"/>
          </w:tcPr>
          <w:p w14:paraId="245A23FF" w14:textId="77777777" w:rsidR="001D5F2D" w:rsidRPr="00C62E15" w:rsidRDefault="001D5F2D" w:rsidP="001D5F2D">
            <w:pPr>
              <w:suppressAutoHyphens w:val="0"/>
              <w:rPr>
                <w:b/>
                <w:bCs/>
                <w:sz w:val="22"/>
                <w:szCs w:val="22"/>
                <w:lang w:eastAsia="fr-FR"/>
              </w:rPr>
            </w:pPr>
          </w:p>
        </w:tc>
        <w:tc>
          <w:tcPr>
            <w:tcW w:w="1522"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tcPr>
          <w:p w14:paraId="3123B33F"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118" w:type="dxa"/>
            <w:tcBorders>
              <w:top w:val="outset" w:sz="6" w:space="0" w:color="auto"/>
              <w:left w:val="outset" w:sz="6" w:space="0" w:color="auto"/>
              <w:bottom w:val="single" w:sz="6" w:space="0" w:color="D8D8D8"/>
              <w:right w:val="single" w:sz="6" w:space="0" w:color="D8D8D8"/>
            </w:tcBorders>
            <w:shd w:val="clear" w:color="auto" w:fill="EEEEEE"/>
            <w:vAlign w:val="center"/>
          </w:tcPr>
          <w:p w14:paraId="41A047E9" w14:textId="7803795B" w:rsidR="001D5F2D" w:rsidRPr="00BD3157" w:rsidRDefault="001D5F2D" w:rsidP="001D5F2D">
            <w:pPr>
              <w:suppressAutoHyphens w:val="0"/>
              <w:jc w:val="center"/>
              <w:rPr>
                <w:sz w:val="22"/>
                <w:szCs w:val="22"/>
                <w:lang w:eastAsia="fr-FR"/>
              </w:rPr>
            </w:pPr>
            <w:r w:rsidRPr="00BD3157">
              <w:rPr>
                <w:sz w:val="22"/>
                <w:szCs w:val="22"/>
                <w:lang w:eastAsia="fr-FR"/>
              </w:rPr>
              <w:t>≥ 200</w:t>
            </w:r>
            <w:r w:rsidR="008219F9">
              <w:rPr>
                <w:sz w:val="22"/>
                <w:szCs w:val="22"/>
                <w:lang w:eastAsia="fr-FR"/>
              </w:rPr>
              <w:t xml:space="preserve"> </w:t>
            </w:r>
            <w:r w:rsidRPr="00BD3157">
              <w:rPr>
                <w:sz w:val="22"/>
                <w:szCs w:val="22"/>
                <w:lang w:eastAsia="fr-FR"/>
              </w:rPr>
              <w:t>g/j</w:t>
            </w:r>
          </w:p>
        </w:tc>
        <w:tc>
          <w:tcPr>
            <w:tcW w:w="1315" w:type="dxa"/>
            <w:tcBorders>
              <w:top w:val="outset" w:sz="6" w:space="0" w:color="auto"/>
              <w:left w:val="outset" w:sz="6" w:space="0" w:color="auto"/>
              <w:bottom w:val="single" w:sz="6" w:space="0" w:color="D8D8D8"/>
              <w:right w:val="single" w:sz="6" w:space="0" w:color="D8D8D8"/>
            </w:tcBorders>
            <w:shd w:val="clear" w:color="auto" w:fill="EEEEEE"/>
            <w:vAlign w:val="center"/>
          </w:tcPr>
          <w:p w14:paraId="3CF38F2F"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323" w:type="dxa"/>
            <w:tcBorders>
              <w:top w:val="outset" w:sz="6" w:space="0" w:color="auto"/>
              <w:left w:val="outset" w:sz="6" w:space="0" w:color="auto"/>
              <w:bottom w:val="single" w:sz="6" w:space="0" w:color="D8D8D8"/>
              <w:right w:val="single" w:sz="6" w:space="0" w:color="D8D8D8"/>
            </w:tcBorders>
            <w:shd w:val="clear" w:color="auto" w:fill="EEEEEE"/>
            <w:vAlign w:val="center"/>
          </w:tcPr>
          <w:p w14:paraId="66C8DA3C" w14:textId="3853890D" w:rsidR="001D5F2D" w:rsidRPr="00BD3157" w:rsidRDefault="001D5F2D" w:rsidP="001D5F2D">
            <w:pPr>
              <w:suppressAutoHyphens w:val="0"/>
              <w:jc w:val="center"/>
              <w:rPr>
                <w:sz w:val="22"/>
                <w:szCs w:val="22"/>
                <w:lang w:eastAsia="fr-FR"/>
              </w:rPr>
            </w:pPr>
            <w:r w:rsidRPr="00BD3157">
              <w:rPr>
                <w:sz w:val="22"/>
                <w:szCs w:val="22"/>
                <w:lang w:eastAsia="fr-FR"/>
              </w:rPr>
              <w:t>≥ 200</w:t>
            </w:r>
            <w:r w:rsidR="008219F9">
              <w:rPr>
                <w:sz w:val="22"/>
                <w:szCs w:val="22"/>
                <w:lang w:eastAsia="fr-FR"/>
              </w:rPr>
              <w:t xml:space="preserve"> </w:t>
            </w:r>
            <w:r w:rsidRPr="00BD3157">
              <w:rPr>
                <w:sz w:val="22"/>
                <w:szCs w:val="22"/>
                <w:lang w:eastAsia="fr-FR"/>
              </w:rPr>
              <w:t>g/j</w:t>
            </w:r>
          </w:p>
        </w:tc>
        <w:tc>
          <w:tcPr>
            <w:tcW w:w="1369" w:type="dxa"/>
            <w:vMerge/>
            <w:tcBorders>
              <w:left w:val="outset" w:sz="6" w:space="0" w:color="auto"/>
              <w:bottom w:val="single" w:sz="6" w:space="0" w:color="D8D8D8"/>
              <w:right w:val="nil"/>
            </w:tcBorders>
            <w:shd w:val="clear" w:color="auto" w:fill="EEEEEE"/>
            <w:vAlign w:val="center"/>
          </w:tcPr>
          <w:p w14:paraId="426919AC" w14:textId="77777777" w:rsidR="001D5F2D" w:rsidRPr="00BD3157" w:rsidRDefault="001D5F2D" w:rsidP="001D5F2D">
            <w:pPr>
              <w:suppressAutoHyphens w:val="0"/>
              <w:jc w:val="center"/>
              <w:rPr>
                <w:sz w:val="22"/>
                <w:szCs w:val="22"/>
                <w:lang w:eastAsia="fr-FR"/>
              </w:rPr>
            </w:pPr>
          </w:p>
        </w:tc>
      </w:tr>
      <w:tr w:rsidR="001D5F2D" w:rsidRPr="00C62E15" w14:paraId="53DEAF35" w14:textId="77777777" w:rsidTr="00647AD3">
        <w:trPr>
          <w:trHeight w:val="183"/>
          <w:jc w:val="center"/>
        </w:trPr>
        <w:tc>
          <w:tcPr>
            <w:tcW w:w="1364" w:type="dxa"/>
            <w:vMerge/>
            <w:tcBorders>
              <w:left w:val="nil"/>
              <w:right w:val="single" w:sz="6" w:space="0" w:color="D8D8D8"/>
            </w:tcBorders>
            <w:shd w:val="clear" w:color="auto" w:fill="F5F5F5"/>
            <w:tcMar>
              <w:top w:w="150" w:type="dxa"/>
              <w:left w:w="150" w:type="dxa"/>
              <w:bottom w:w="150" w:type="dxa"/>
              <w:right w:w="150" w:type="dxa"/>
            </w:tcMar>
            <w:vAlign w:val="center"/>
          </w:tcPr>
          <w:p w14:paraId="14E3F976" w14:textId="77777777" w:rsidR="001D5F2D" w:rsidRPr="00C62E15" w:rsidRDefault="001D5F2D" w:rsidP="001D5F2D">
            <w:pPr>
              <w:suppressAutoHyphens w:val="0"/>
              <w:rPr>
                <w:b/>
                <w:bCs/>
                <w:sz w:val="22"/>
                <w:szCs w:val="22"/>
                <w:lang w:eastAsia="fr-FR"/>
              </w:rPr>
            </w:pPr>
          </w:p>
        </w:tc>
        <w:tc>
          <w:tcPr>
            <w:tcW w:w="1045" w:type="dxa"/>
            <w:vMerge w:val="restart"/>
            <w:tcBorders>
              <w:top w:val="outset" w:sz="6" w:space="0" w:color="auto"/>
              <w:left w:val="nil"/>
              <w:right w:val="single" w:sz="6" w:space="0" w:color="D8D8D8"/>
            </w:tcBorders>
            <w:shd w:val="clear" w:color="auto" w:fill="F5F5F5"/>
            <w:vAlign w:val="center"/>
          </w:tcPr>
          <w:p w14:paraId="08E5CF2E" w14:textId="77777777" w:rsidR="001D5F2D" w:rsidRPr="00C62E15" w:rsidRDefault="001D5F2D" w:rsidP="001D5F2D">
            <w:pPr>
              <w:suppressAutoHyphens w:val="0"/>
              <w:rPr>
                <w:b/>
                <w:bCs/>
                <w:sz w:val="22"/>
                <w:szCs w:val="22"/>
                <w:lang w:eastAsia="fr-FR"/>
              </w:rPr>
            </w:pPr>
            <w:r w:rsidRPr="00C62E15">
              <w:rPr>
                <w:b/>
                <w:bCs/>
                <w:sz w:val="22"/>
                <w:szCs w:val="22"/>
                <w:lang w:eastAsia="fr-FR"/>
              </w:rPr>
              <w:t>Chrome hexavalent (en Cr6+)</w:t>
            </w: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349CABC" w14:textId="77777777" w:rsidR="001D5F2D" w:rsidRPr="00BD3157" w:rsidRDefault="001D5F2D" w:rsidP="001D5F2D">
            <w:pPr>
              <w:suppressAutoHyphens w:val="0"/>
              <w:jc w:val="center"/>
              <w:rPr>
                <w:sz w:val="22"/>
                <w:szCs w:val="22"/>
                <w:lang w:eastAsia="fr-FR"/>
              </w:rPr>
            </w:pPr>
            <w:r w:rsidRPr="00BD3157">
              <w:rPr>
                <w:sz w:val="22"/>
                <w:szCs w:val="22"/>
                <w:lang w:eastAsia="fr-FR"/>
              </w:rPr>
              <w:t>Mensuelle (2)</w:t>
            </w:r>
            <w:r w:rsidRPr="00BD3157">
              <w:rPr>
                <w:sz w:val="22"/>
                <w:szCs w:val="22"/>
                <w:lang w:eastAsia="fr-FR"/>
              </w:rPr>
              <w:br/>
            </w:r>
          </w:p>
        </w:tc>
        <w:tc>
          <w:tcPr>
            <w:tcW w:w="1118" w:type="dxa"/>
            <w:tcBorders>
              <w:top w:val="outset" w:sz="6" w:space="0" w:color="auto"/>
              <w:left w:val="outset" w:sz="6" w:space="0" w:color="auto"/>
              <w:bottom w:val="single" w:sz="6" w:space="0" w:color="D8D8D8"/>
              <w:right w:val="single" w:sz="6" w:space="0" w:color="D8D8D8"/>
            </w:tcBorders>
            <w:shd w:val="clear" w:color="auto" w:fill="F5F5F5"/>
            <w:vAlign w:val="center"/>
          </w:tcPr>
          <w:p w14:paraId="70F382E2" w14:textId="6F318A3B" w:rsidR="001D5F2D" w:rsidRPr="00BD3157" w:rsidRDefault="001D5F2D" w:rsidP="001D5F2D">
            <w:pPr>
              <w:suppressAutoHyphens w:val="0"/>
              <w:jc w:val="center"/>
              <w:rPr>
                <w:sz w:val="22"/>
                <w:szCs w:val="22"/>
                <w:lang w:eastAsia="fr-FR"/>
              </w:rPr>
            </w:pPr>
            <w:r w:rsidRPr="00BD3157">
              <w:rPr>
                <w:sz w:val="22"/>
                <w:szCs w:val="22"/>
                <w:lang w:eastAsia="fr-FR"/>
              </w:rPr>
              <w:t>≥ 100</w:t>
            </w:r>
            <w:r w:rsidR="008219F9">
              <w:rPr>
                <w:sz w:val="22"/>
                <w:szCs w:val="22"/>
                <w:lang w:eastAsia="fr-FR"/>
              </w:rPr>
              <w:t xml:space="preserve"> </w:t>
            </w:r>
            <w:r w:rsidRPr="00BD3157">
              <w:rPr>
                <w:sz w:val="22"/>
                <w:szCs w:val="22"/>
                <w:lang w:eastAsia="fr-FR"/>
              </w:rPr>
              <w:t>g/j</w:t>
            </w:r>
          </w:p>
        </w:tc>
        <w:tc>
          <w:tcPr>
            <w:tcW w:w="1315" w:type="dxa"/>
            <w:vMerge w:val="restart"/>
            <w:tcBorders>
              <w:top w:val="outset" w:sz="6" w:space="0" w:color="auto"/>
              <w:left w:val="outset" w:sz="6" w:space="0" w:color="auto"/>
              <w:right w:val="nil"/>
            </w:tcBorders>
            <w:shd w:val="clear" w:color="auto" w:fill="F5F5F5"/>
            <w:vAlign w:val="center"/>
          </w:tcPr>
          <w:p w14:paraId="48F10A38" w14:textId="77777777" w:rsidR="001D5F2D" w:rsidRPr="00BD3157" w:rsidRDefault="001D5F2D" w:rsidP="001D5F2D">
            <w:pPr>
              <w:suppressAutoHyphens w:val="0"/>
              <w:jc w:val="center"/>
              <w:rPr>
                <w:sz w:val="22"/>
                <w:szCs w:val="22"/>
                <w:lang w:eastAsia="fr-FR"/>
              </w:rPr>
            </w:pPr>
          </w:p>
        </w:tc>
        <w:tc>
          <w:tcPr>
            <w:tcW w:w="1323" w:type="dxa"/>
            <w:vMerge w:val="restart"/>
            <w:tcBorders>
              <w:top w:val="outset" w:sz="6" w:space="0" w:color="auto"/>
              <w:left w:val="outset" w:sz="6" w:space="0" w:color="auto"/>
              <w:right w:val="nil"/>
            </w:tcBorders>
            <w:shd w:val="clear" w:color="auto" w:fill="F5F5F5"/>
            <w:vAlign w:val="center"/>
          </w:tcPr>
          <w:p w14:paraId="6221D265" w14:textId="77777777" w:rsidR="001D5F2D" w:rsidRPr="00BD3157" w:rsidRDefault="001D5F2D" w:rsidP="001D5F2D">
            <w:pPr>
              <w:suppressAutoHyphens w:val="0"/>
              <w:jc w:val="center"/>
              <w:rPr>
                <w:sz w:val="22"/>
                <w:szCs w:val="22"/>
                <w:lang w:eastAsia="fr-FR"/>
              </w:rPr>
            </w:pPr>
          </w:p>
        </w:tc>
        <w:tc>
          <w:tcPr>
            <w:tcW w:w="1369" w:type="dxa"/>
            <w:vMerge w:val="restart"/>
            <w:tcBorders>
              <w:top w:val="outset" w:sz="6" w:space="0" w:color="auto"/>
              <w:left w:val="outset" w:sz="6" w:space="0" w:color="auto"/>
              <w:right w:val="nil"/>
            </w:tcBorders>
            <w:shd w:val="clear" w:color="auto" w:fill="F5F5F5"/>
            <w:vAlign w:val="center"/>
          </w:tcPr>
          <w:p w14:paraId="4691548B" w14:textId="77777777" w:rsidR="001D5F2D" w:rsidRPr="00BD3157" w:rsidRDefault="001D5F2D" w:rsidP="001D5F2D">
            <w:pPr>
              <w:suppressAutoHyphens w:val="0"/>
              <w:jc w:val="center"/>
              <w:rPr>
                <w:sz w:val="22"/>
                <w:szCs w:val="22"/>
                <w:lang w:eastAsia="fr-FR"/>
              </w:rPr>
            </w:pPr>
            <w:r w:rsidRPr="00BD3157">
              <w:rPr>
                <w:sz w:val="22"/>
                <w:szCs w:val="22"/>
                <w:lang w:eastAsia="fr-FR"/>
              </w:rPr>
              <w:t>Par exemple,</w:t>
            </w:r>
          </w:p>
          <w:p w14:paraId="506528E5" w14:textId="77777777" w:rsidR="001D5F2D" w:rsidRPr="00BD3157" w:rsidRDefault="001D5F2D" w:rsidP="001D5F2D">
            <w:pPr>
              <w:suppressAutoHyphens w:val="0"/>
              <w:jc w:val="center"/>
              <w:rPr>
                <w:sz w:val="22"/>
                <w:szCs w:val="22"/>
                <w:lang w:eastAsia="fr-FR"/>
              </w:rPr>
            </w:pPr>
            <w:r w:rsidRPr="00BD3157">
              <w:rPr>
                <w:sz w:val="22"/>
                <w:szCs w:val="22"/>
                <w:lang w:eastAsia="fr-FR"/>
              </w:rPr>
              <w:t>NF EN ISO 10304-3, NF EN ISO 23913</w:t>
            </w:r>
          </w:p>
        </w:tc>
      </w:tr>
      <w:tr w:rsidR="001D5F2D" w:rsidRPr="00C62E15" w14:paraId="6F6E54C4" w14:textId="77777777" w:rsidTr="00647AD3">
        <w:trPr>
          <w:trHeight w:val="536"/>
          <w:jc w:val="center"/>
        </w:trPr>
        <w:tc>
          <w:tcPr>
            <w:tcW w:w="1364" w:type="dxa"/>
            <w:vMerge/>
            <w:tcBorders>
              <w:left w:val="nil"/>
              <w:bottom w:val="single" w:sz="6" w:space="0" w:color="D8D8D8"/>
              <w:right w:val="single" w:sz="6" w:space="0" w:color="D8D8D8"/>
            </w:tcBorders>
            <w:shd w:val="clear" w:color="auto" w:fill="F5F5F5"/>
            <w:tcMar>
              <w:top w:w="150" w:type="dxa"/>
              <w:left w:w="150" w:type="dxa"/>
              <w:bottom w:w="150" w:type="dxa"/>
              <w:right w:w="150" w:type="dxa"/>
            </w:tcMar>
            <w:vAlign w:val="center"/>
          </w:tcPr>
          <w:p w14:paraId="20F4722D" w14:textId="77777777" w:rsidR="001D5F2D" w:rsidRPr="00C62E15" w:rsidRDefault="001D5F2D" w:rsidP="001D5F2D">
            <w:pPr>
              <w:suppressAutoHyphens w:val="0"/>
              <w:rPr>
                <w:b/>
                <w:bCs/>
                <w:sz w:val="22"/>
                <w:szCs w:val="22"/>
                <w:lang w:eastAsia="fr-FR"/>
              </w:rPr>
            </w:pPr>
          </w:p>
        </w:tc>
        <w:tc>
          <w:tcPr>
            <w:tcW w:w="1045" w:type="dxa"/>
            <w:vMerge/>
            <w:tcBorders>
              <w:left w:val="nil"/>
              <w:bottom w:val="single" w:sz="6" w:space="0" w:color="D8D8D8"/>
              <w:right w:val="single" w:sz="6" w:space="0" w:color="D8D8D8"/>
            </w:tcBorders>
            <w:shd w:val="clear" w:color="auto" w:fill="F5F5F5"/>
            <w:vAlign w:val="center"/>
          </w:tcPr>
          <w:p w14:paraId="5CCCEDBB" w14:textId="77777777" w:rsidR="001D5F2D" w:rsidRPr="00C62E15" w:rsidRDefault="001D5F2D" w:rsidP="001D5F2D">
            <w:pPr>
              <w:suppressAutoHyphens w:val="0"/>
              <w:rPr>
                <w:b/>
                <w:bCs/>
                <w:sz w:val="22"/>
                <w:szCs w:val="22"/>
                <w:lang w:eastAsia="fr-FR"/>
              </w:rPr>
            </w:pPr>
          </w:p>
        </w:tc>
        <w:tc>
          <w:tcPr>
            <w:tcW w:w="1522"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tcPr>
          <w:p w14:paraId="3CC9006A" w14:textId="77777777" w:rsidR="001D5F2D" w:rsidRPr="00BD3157" w:rsidRDefault="001D5F2D" w:rsidP="001D5F2D">
            <w:pPr>
              <w:suppressAutoHyphens w:val="0"/>
              <w:jc w:val="center"/>
              <w:rPr>
                <w:sz w:val="22"/>
                <w:szCs w:val="22"/>
                <w:lang w:eastAsia="fr-FR"/>
              </w:rPr>
            </w:pPr>
            <w:r w:rsidRPr="00BD3157">
              <w:rPr>
                <w:sz w:val="22"/>
                <w:szCs w:val="22"/>
                <w:lang w:eastAsia="fr-FR"/>
              </w:rPr>
              <w:t>Trimestrielle (2)</w:t>
            </w:r>
          </w:p>
        </w:tc>
        <w:tc>
          <w:tcPr>
            <w:tcW w:w="1118" w:type="dxa"/>
            <w:tcBorders>
              <w:top w:val="outset" w:sz="6" w:space="0" w:color="auto"/>
              <w:left w:val="outset" w:sz="6" w:space="0" w:color="auto"/>
              <w:bottom w:val="single" w:sz="6" w:space="0" w:color="D8D8D8"/>
              <w:right w:val="single" w:sz="6" w:space="0" w:color="D8D8D8"/>
            </w:tcBorders>
            <w:shd w:val="clear" w:color="auto" w:fill="F5F5F5"/>
            <w:vAlign w:val="center"/>
          </w:tcPr>
          <w:p w14:paraId="0621C86A" w14:textId="5A90E4CE" w:rsidR="001D5F2D" w:rsidRPr="00BD3157" w:rsidRDefault="001D5F2D" w:rsidP="001D5F2D">
            <w:pPr>
              <w:suppressAutoHyphens w:val="0"/>
              <w:jc w:val="center"/>
              <w:rPr>
                <w:sz w:val="22"/>
                <w:szCs w:val="22"/>
                <w:lang w:eastAsia="fr-FR"/>
              </w:rPr>
            </w:pPr>
            <w:r w:rsidRPr="00BD3157">
              <w:rPr>
                <w:sz w:val="22"/>
                <w:szCs w:val="22"/>
                <w:lang w:eastAsia="fr-FR"/>
              </w:rPr>
              <w:t>≥ 20</w:t>
            </w:r>
            <w:r w:rsidR="008219F9">
              <w:rPr>
                <w:sz w:val="22"/>
                <w:szCs w:val="22"/>
                <w:lang w:eastAsia="fr-FR"/>
              </w:rPr>
              <w:t xml:space="preserve"> </w:t>
            </w:r>
            <w:r w:rsidRPr="00BD3157">
              <w:rPr>
                <w:sz w:val="22"/>
                <w:szCs w:val="22"/>
                <w:lang w:eastAsia="fr-FR"/>
              </w:rPr>
              <w:t>g/j</w:t>
            </w:r>
          </w:p>
        </w:tc>
        <w:tc>
          <w:tcPr>
            <w:tcW w:w="1315" w:type="dxa"/>
            <w:vMerge/>
            <w:tcBorders>
              <w:left w:val="outset" w:sz="6" w:space="0" w:color="auto"/>
              <w:bottom w:val="single" w:sz="6" w:space="0" w:color="D8D8D8"/>
              <w:right w:val="nil"/>
            </w:tcBorders>
            <w:shd w:val="clear" w:color="auto" w:fill="F5F5F5"/>
            <w:vAlign w:val="center"/>
          </w:tcPr>
          <w:p w14:paraId="59123F2E" w14:textId="77777777" w:rsidR="001D5F2D" w:rsidRPr="00BD3157" w:rsidRDefault="001D5F2D" w:rsidP="001D5F2D">
            <w:pPr>
              <w:suppressAutoHyphens w:val="0"/>
              <w:jc w:val="center"/>
              <w:rPr>
                <w:sz w:val="22"/>
                <w:szCs w:val="22"/>
                <w:lang w:eastAsia="fr-FR"/>
              </w:rPr>
            </w:pPr>
          </w:p>
        </w:tc>
        <w:tc>
          <w:tcPr>
            <w:tcW w:w="1323" w:type="dxa"/>
            <w:vMerge/>
            <w:tcBorders>
              <w:left w:val="outset" w:sz="6" w:space="0" w:color="auto"/>
              <w:bottom w:val="single" w:sz="6" w:space="0" w:color="D8D8D8"/>
              <w:right w:val="nil"/>
            </w:tcBorders>
            <w:shd w:val="clear" w:color="auto" w:fill="F5F5F5"/>
            <w:vAlign w:val="center"/>
          </w:tcPr>
          <w:p w14:paraId="2C0EBC27" w14:textId="77777777" w:rsidR="001D5F2D" w:rsidRPr="00BD3157" w:rsidRDefault="001D5F2D" w:rsidP="001D5F2D">
            <w:pPr>
              <w:suppressAutoHyphens w:val="0"/>
              <w:jc w:val="center"/>
              <w:rPr>
                <w:sz w:val="22"/>
                <w:szCs w:val="22"/>
                <w:lang w:eastAsia="fr-FR"/>
              </w:rPr>
            </w:pPr>
          </w:p>
        </w:tc>
        <w:tc>
          <w:tcPr>
            <w:tcW w:w="1369" w:type="dxa"/>
            <w:vMerge/>
            <w:tcBorders>
              <w:left w:val="outset" w:sz="6" w:space="0" w:color="auto"/>
              <w:bottom w:val="single" w:sz="6" w:space="0" w:color="D8D8D8"/>
              <w:right w:val="nil"/>
            </w:tcBorders>
            <w:shd w:val="clear" w:color="auto" w:fill="F5F5F5"/>
            <w:vAlign w:val="center"/>
          </w:tcPr>
          <w:p w14:paraId="4C54E1FC" w14:textId="77777777" w:rsidR="001D5F2D" w:rsidRPr="00BD3157" w:rsidRDefault="001D5F2D" w:rsidP="001D5F2D">
            <w:pPr>
              <w:suppressAutoHyphens w:val="0"/>
              <w:jc w:val="center"/>
              <w:rPr>
                <w:sz w:val="22"/>
                <w:szCs w:val="22"/>
                <w:lang w:eastAsia="fr-FR"/>
              </w:rPr>
            </w:pPr>
          </w:p>
        </w:tc>
      </w:tr>
      <w:tr w:rsidR="001D5F2D" w:rsidRPr="00C62E15" w14:paraId="2863D4E9" w14:textId="77777777" w:rsidTr="00647AD3">
        <w:trPr>
          <w:jc w:val="center"/>
        </w:trPr>
        <w:tc>
          <w:tcPr>
            <w:tcW w:w="2409" w:type="dxa"/>
            <w:gridSpan w:val="2"/>
            <w:tcBorders>
              <w:top w:val="outset" w:sz="6" w:space="0" w:color="auto"/>
              <w:left w:val="nil"/>
              <w:bottom w:val="outset" w:sz="6" w:space="0" w:color="auto"/>
              <w:right w:val="single" w:sz="6" w:space="0" w:color="D8D8D8"/>
            </w:tcBorders>
            <w:shd w:val="clear" w:color="auto" w:fill="EEEEEE"/>
            <w:tcMar>
              <w:top w:w="150" w:type="dxa"/>
              <w:left w:w="150" w:type="dxa"/>
              <w:bottom w:w="150" w:type="dxa"/>
              <w:right w:w="150" w:type="dxa"/>
            </w:tcMar>
            <w:vAlign w:val="center"/>
          </w:tcPr>
          <w:p w14:paraId="76B6C355" w14:textId="77777777" w:rsidR="001D5F2D" w:rsidRPr="00C62E15" w:rsidRDefault="001D5F2D" w:rsidP="001D5F2D">
            <w:pPr>
              <w:suppressAutoHyphens w:val="0"/>
              <w:rPr>
                <w:b/>
                <w:bCs/>
                <w:sz w:val="22"/>
                <w:szCs w:val="22"/>
                <w:lang w:eastAsia="fr-FR"/>
              </w:rPr>
            </w:pPr>
            <w:r w:rsidRPr="00C62E15">
              <w:rPr>
                <w:b/>
                <w:bCs/>
                <w:sz w:val="22"/>
                <w:szCs w:val="22"/>
                <w:lang w:eastAsia="fr-FR"/>
              </w:rPr>
              <w:t>Phosphore total</w:t>
            </w:r>
          </w:p>
        </w:tc>
        <w:tc>
          <w:tcPr>
            <w:tcW w:w="1522" w:type="dxa"/>
            <w:tcBorders>
              <w:top w:val="outset" w:sz="6" w:space="0" w:color="auto"/>
              <w:left w:val="outset" w:sz="6" w:space="0" w:color="auto"/>
              <w:bottom w:val="outset" w:sz="6" w:space="0" w:color="auto"/>
              <w:right w:val="single" w:sz="6" w:space="0" w:color="D8D8D8"/>
            </w:tcBorders>
            <w:shd w:val="clear" w:color="auto" w:fill="EEEEEE"/>
            <w:tcMar>
              <w:top w:w="150" w:type="dxa"/>
              <w:left w:w="150" w:type="dxa"/>
              <w:bottom w:w="150" w:type="dxa"/>
              <w:right w:w="150" w:type="dxa"/>
            </w:tcMar>
            <w:vAlign w:val="center"/>
          </w:tcPr>
          <w:p w14:paraId="5C7095E1" w14:textId="77777777" w:rsidR="001D5F2D" w:rsidRPr="00BD3157" w:rsidRDefault="001D5F2D" w:rsidP="001D5F2D">
            <w:pPr>
              <w:suppressAutoHyphens w:val="0"/>
              <w:rPr>
                <w:sz w:val="22"/>
                <w:szCs w:val="22"/>
                <w:lang w:eastAsia="fr-FR"/>
              </w:rPr>
            </w:pPr>
            <w:r w:rsidRPr="00BD3157">
              <w:rPr>
                <w:sz w:val="22"/>
                <w:szCs w:val="22"/>
                <w:lang w:eastAsia="fr-FR"/>
              </w:rPr>
              <w:t>Journalière</w:t>
            </w:r>
          </w:p>
        </w:tc>
        <w:tc>
          <w:tcPr>
            <w:tcW w:w="1118" w:type="dxa"/>
            <w:tcBorders>
              <w:top w:val="outset" w:sz="6" w:space="0" w:color="auto"/>
              <w:left w:val="outset" w:sz="6" w:space="0" w:color="auto"/>
              <w:bottom w:val="outset" w:sz="6" w:space="0" w:color="auto"/>
              <w:right w:val="nil"/>
            </w:tcBorders>
            <w:shd w:val="clear" w:color="auto" w:fill="EEEEEE"/>
            <w:tcMar>
              <w:top w:w="150" w:type="dxa"/>
              <w:left w:w="150" w:type="dxa"/>
              <w:bottom w:w="150" w:type="dxa"/>
              <w:right w:w="150" w:type="dxa"/>
            </w:tcMar>
            <w:vAlign w:val="center"/>
          </w:tcPr>
          <w:p w14:paraId="6632B845" w14:textId="77777777" w:rsidR="001D5F2D" w:rsidRPr="00BD3157" w:rsidRDefault="001D5F2D" w:rsidP="001D5F2D">
            <w:pPr>
              <w:suppressAutoHyphens w:val="0"/>
              <w:jc w:val="center"/>
              <w:rPr>
                <w:sz w:val="22"/>
                <w:szCs w:val="22"/>
                <w:lang w:eastAsia="fr-FR"/>
              </w:rPr>
            </w:pPr>
            <w:r w:rsidRPr="00BD3157">
              <w:rPr>
                <w:sz w:val="22"/>
                <w:szCs w:val="22"/>
                <w:lang w:eastAsia="fr-FR"/>
              </w:rPr>
              <w:t>≥ 15 kg/j</w:t>
            </w:r>
          </w:p>
        </w:tc>
        <w:tc>
          <w:tcPr>
            <w:tcW w:w="1315" w:type="dxa"/>
            <w:tcBorders>
              <w:top w:val="outset" w:sz="6" w:space="0" w:color="auto"/>
              <w:left w:val="outset" w:sz="6" w:space="0" w:color="auto"/>
              <w:bottom w:val="outset" w:sz="6" w:space="0" w:color="auto"/>
              <w:right w:val="nil"/>
            </w:tcBorders>
            <w:shd w:val="clear" w:color="auto" w:fill="EEEEEE"/>
            <w:vAlign w:val="center"/>
          </w:tcPr>
          <w:p w14:paraId="42D41F9C" w14:textId="77777777" w:rsidR="001D5F2D" w:rsidRPr="00BD3157" w:rsidRDefault="001D5F2D" w:rsidP="001D5F2D">
            <w:pPr>
              <w:suppressAutoHyphens w:val="0"/>
              <w:jc w:val="center"/>
              <w:rPr>
                <w:sz w:val="22"/>
                <w:szCs w:val="22"/>
                <w:lang w:eastAsia="fr-FR"/>
              </w:rPr>
            </w:pPr>
          </w:p>
        </w:tc>
        <w:tc>
          <w:tcPr>
            <w:tcW w:w="1323" w:type="dxa"/>
            <w:tcBorders>
              <w:top w:val="outset" w:sz="6" w:space="0" w:color="auto"/>
              <w:left w:val="outset" w:sz="6" w:space="0" w:color="auto"/>
              <w:bottom w:val="outset" w:sz="6" w:space="0" w:color="auto"/>
              <w:right w:val="nil"/>
            </w:tcBorders>
            <w:shd w:val="clear" w:color="auto" w:fill="EEEEEE"/>
            <w:vAlign w:val="center"/>
          </w:tcPr>
          <w:p w14:paraId="5ECD76C4" w14:textId="77777777" w:rsidR="001D5F2D" w:rsidRPr="00BD3157" w:rsidRDefault="001D5F2D" w:rsidP="001D5F2D">
            <w:pPr>
              <w:suppressAutoHyphens w:val="0"/>
              <w:jc w:val="center"/>
              <w:rPr>
                <w:sz w:val="22"/>
                <w:szCs w:val="22"/>
                <w:lang w:eastAsia="fr-FR"/>
              </w:rPr>
            </w:pPr>
          </w:p>
        </w:tc>
        <w:tc>
          <w:tcPr>
            <w:tcW w:w="1369" w:type="dxa"/>
            <w:tcBorders>
              <w:top w:val="outset" w:sz="6" w:space="0" w:color="auto"/>
              <w:left w:val="outset" w:sz="6" w:space="0" w:color="auto"/>
              <w:bottom w:val="outset" w:sz="6" w:space="0" w:color="auto"/>
              <w:right w:val="nil"/>
            </w:tcBorders>
            <w:shd w:val="clear" w:color="auto" w:fill="EEEEEE"/>
            <w:vAlign w:val="center"/>
          </w:tcPr>
          <w:p w14:paraId="0B5227E8" w14:textId="77777777" w:rsidR="001D5F2D" w:rsidRPr="00BD3157" w:rsidRDefault="001D5F2D" w:rsidP="001D5F2D">
            <w:pPr>
              <w:suppressAutoHyphens w:val="0"/>
              <w:jc w:val="center"/>
              <w:rPr>
                <w:sz w:val="22"/>
                <w:szCs w:val="22"/>
                <w:lang w:eastAsia="fr-FR"/>
              </w:rPr>
            </w:pPr>
            <w:r w:rsidRPr="00BD3157">
              <w:rPr>
                <w:sz w:val="22"/>
                <w:szCs w:val="22"/>
                <w:lang w:eastAsia="fr-FR"/>
              </w:rPr>
              <w:t>Par exemple,</w:t>
            </w:r>
          </w:p>
          <w:p w14:paraId="69D19591" w14:textId="77777777" w:rsidR="001D5F2D" w:rsidRPr="00BD3157" w:rsidRDefault="001D5F2D" w:rsidP="001D5F2D">
            <w:pPr>
              <w:suppressAutoHyphens w:val="0"/>
              <w:jc w:val="center"/>
              <w:rPr>
                <w:sz w:val="22"/>
                <w:szCs w:val="22"/>
                <w:lang w:eastAsia="fr-FR"/>
              </w:rPr>
            </w:pPr>
            <w:r w:rsidRPr="00BD3157">
              <w:rPr>
                <w:sz w:val="22"/>
                <w:szCs w:val="22"/>
                <w:lang w:eastAsia="fr-FR"/>
              </w:rPr>
              <w:t>NF EN ISO 6878, NF EN ISO 15681-1, NF EN ISO 15681-2, NF EN ISO 11885</w:t>
            </w:r>
          </w:p>
        </w:tc>
      </w:tr>
      <w:tr w:rsidR="001D5F2D" w:rsidRPr="00C62E15" w14:paraId="2FC9D404" w14:textId="77777777" w:rsidTr="00647AD3">
        <w:trPr>
          <w:jc w:val="center"/>
        </w:trPr>
        <w:tc>
          <w:tcPr>
            <w:tcW w:w="2409" w:type="dxa"/>
            <w:gridSpan w:val="2"/>
            <w:tcBorders>
              <w:top w:val="outset" w:sz="6" w:space="0" w:color="auto"/>
              <w:left w:val="nil"/>
              <w:bottom w:val="outset" w:sz="6" w:space="0" w:color="auto"/>
              <w:right w:val="single" w:sz="6" w:space="0" w:color="D8D8D8"/>
            </w:tcBorders>
            <w:shd w:val="clear" w:color="auto" w:fill="EEEEEE"/>
            <w:tcMar>
              <w:top w:w="150" w:type="dxa"/>
              <w:left w:w="150" w:type="dxa"/>
              <w:bottom w:w="150" w:type="dxa"/>
              <w:right w:w="150" w:type="dxa"/>
            </w:tcMar>
            <w:vAlign w:val="center"/>
          </w:tcPr>
          <w:p w14:paraId="18EBC471" w14:textId="77777777" w:rsidR="001D5F2D" w:rsidRPr="00C62E15" w:rsidRDefault="001D5F2D" w:rsidP="001D5F2D">
            <w:pPr>
              <w:suppressAutoHyphens w:val="0"/>
              <w:rPr>
                <w:b/>
                <w:bCs/>
                <w:sz w:val="22"/>
                <w:szCs w:val="22"/>
                <w:lang w:eastAsia="fr-FR"/>
              </w:rPr>
            </w:pPr>
            <w:r w:rsidRPr="00C62E15">
              <w:rPr>
                <w:b/>
                <w:bCs/>
                <w:sz w:val="22"/>
                <w:szCs w:val="22"/>
                <w:lang w:eastAsia="fr-FR"/>
              </w:rPr>
              <w:t>Sulfates (SO</w:t>
            </w:r>
            <w:r w:rsidRPr="00C62E15">
              <w:rPr>
                <w:b/>
                <w:bCs/>
                <w:sz w:val="22"/>
                <w:szCs w:val="22"/>
                <w:vertAlign w:val="subscript"/>
                <w:lang w:eastAsia="fr-FR"/>
              </w:rPr>
              <w:t>4</w:t>
            </w:r>
            <w:r w:rsidRPr="00C62E15">
              <w:rPr>
                <w:b/>
                <w:bCs/>
                <w:sz w:val="22"/>
                <w:szCs w:val="22"/>
                <w:vertAlign w:val="superscript"/>
                <w:lang w:eastAsia="fr-FR"/>
              </w:rPr>
              <w:t>2-</w:t>
            </w:r>
            <w:r w:rsidRPr="00C62E15">
              <w:rPr>
                <w:b/>
                <w:bCs/>
                <w:sz w:val="22"/>
                <w:szCs w:val="22"/>
                <w:lang w:eastAsia="fr-FR"/>
              </w:rPr>
              <w:t>)</w:t>
            </w:r>
          </w:p>
        </w:tc>
        <w:tc>
          <w:tcPr>
            <w:tcW w:w="1522" w:type="dxa"/>
            <w:tcBorders>
              <w:top w:val="outset" w:sz="6" w:space="0" w:color="auto"/>
              <w:left w:val="outset" w:sz="6" w:space="0" w:color="auto"/>
              <w:bottom w:val="outset" w:sz="6" w:space="0" w:color="auto"/>
              <w:right w:val="single" w:sz="6" w:space="0" w:color="D8D8D8"/>
            </w:tcBorders>
            <w:shd w:val="clear" w:color="auto" w:fill="EEEEEE"/>
            <w:tcMar>
              <w:top w:w="150" w:type="dxa"/>
              <w:left w:w="150" w:type="dxa"/>
              <w:bottom w:w="150" w:type="dxa"/>
              <w:right w:w="150" w:type="dxa"/>
            </w:tcMar>
            <w:vAlign w:val="center"/>
          </w:tcPr>
          <w:p w14:paraId="27DBD5B4" w14:textId="77777777" w:rsidR="001D5F2D" w:rsidRPr="00BD3157" w:rsidRDefault="001D5F2D" w:rsidP="001D5F2D">
            <w:pPr>
              <w:suppressAutoHyphens w:val="0"/>
              <w:rPr>
                <w:sz w:val="22"/>
                <w:szCs w:val="22"/>
                <w:lang w:eastAsia="fr-FR"/>
              </w:rPr>
            </w:pPr>
          </w:p>
        </w:tc>
        <w:tc>
          <w:tcPr>
            <w:tcW w:w="1118" w:type="dxa"/>
            <w:tcBorders>
              <w:top w:val="outset" w:sz="6" w:space="0" w:color="auto"/>
              <w:left w:val="outset" w:sz="6" w:space="0" w:color="auto"/>
              <w:bottom w:val="outset" w:sz="6" w:space="0" w:color="auto"/>
              <w:right w:val="nil"/>
            </w:tcBorders>
            <w:shd w:val="clear" w:color="auto" w:fill="EEEEEE"/>
            <w:tcMar>
              <w:top w:w="150" w:type="dxa"/>
              <w:left w:w="150" w:type="dxa"/>
              <w:bottom w:w="150" w:type="dxa"/>
              <w:right w:w="150" w:type="dxa"/>
            </w:tcMar>
            <w:vAlign w:val="center"/>
          </w:tcPr>
          <w:p w14:paraId="37A22C23" w14:textId="77777777" w:rsidR="001D5F2D" w:rsidRPr="00BD3157" w:rsidRDefault="001D5F2D" w:rsidP="001D5F2D">
            <w:pPr>
              <w:suppressAutoHyphens w:val="0"/>
              <w:jc w:val="center"/>
              <w:rPr>
                <w:sz w:val="22"/>
                <w:szCs w:val="22"/>
                <w:lang w:eastAsia="fr-FR"/>
              </w:rPr>
            </w:pPr>
          </w:p>
        </w:tc>
        <w:tc>
          <w:tcPr>
            <w:tcW w:w="1315" w:type="dxa"/>
            <w:tcBorders>
              <w:top w:val="outset" w:sz="6" w:space="0" w:color="auto"/>
              <w:left w:val="outset" w:sz="6" w:space="0" w:color="auto"/>
              <w:bottom w:val="outset" w:sz="6" w:space="0" w:color="auto"/>
              <w:right w:val="nil"/>
            </w:tcBorders>
            <w:shd w:val="clear" w:color="auto" w:fill="EEEEEE"/>
            <w:vAlign w:val="center"/>
          </w:tcPr>
          <w:p w14:paraId="63841B12"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outset" w:sz="6" w:space="0" w:color="auto"/>
              <w:right w:val="nil"/>
            </w:tcBorders>
            <w:shd w:val="clear" w:color="auto" w:fill="EEEEEE"/>
            <w:vAlign w:val="center"/>
          </w:tcPr>
          <w:p w14:paraId="5E0F7201" w14:textId="77777777" w:rsidR="001D5F2D" w:rsidRPr="00BD3157" w:rsidRDefault="001D5F2D" w:rsidP="001D5F2D">
            <w:pPr>
              <w:suppressAutoHyphens w:val="0"/>
              <w:jc w:val="center"/>
              <w:rPr>
                <w:sz w:val="22"/>
                <w:szCs w:val="22"/>
                <w:lang w:eastAsia="fr-FR"/>
              </w:rPr>
            </w:pPr>
            <w:r w:rsidRPr="00BD3157">
              <w:rPr>
                <w:sz w:val="22"/>
                <w:szCs w:val="22"/>
                <w:lang w:eastAsia="fr-FR"/>
              </w:rPr>
              <w:t>Pas de seuil</w:t>
            </w:r>
          </w:p>
        </w:tc>
        <w:tc>
          <w:tcPr>
            <w:tcW w:w="1369" w:type="dxa"/>
            <w:tcBorders>
              <w:top w:val="outset" w:sz="6" w:space="0" w:color="auto"/>
              <w:left w:val="outset" w:sz="6" w:space="0" w:color="auto"/>
              <w:bottom w:val="outset" w:sz="6" w:space="0" w:color="auto"/>
              <w:right w:val="nil"/>
            </w:tcBorders>
            <w:shd w:val="clear" w:color="auto" w:fill="EEEEEE"/>
            <w:vAlign w:val="center"/>
          </w:tcPr>
          <w:p w14:paraId="119582DB" w14:textId="77777777" w:rsidR="001D5F2D" w:rsidRPr="00BD3157" w:rsidRDefault="001D5F2D" w:rsidP="001D5F2D">
            <w:pPr>
              <w:suppressAutoHyphens w:val="0"/>
              <w:jc w:val="center"/>
              <w:rPr>
                <w:sz w:val="22"/>
                <w:szCs w:val="22"/>
                <w:lang w:eastAsia="fr-FR"/>
              </w:rPr>
            </w:pPr>
            <w:r w:rsidRPr="00BD3157">
              <w:rPr>
                <w:sz w:val="22"/>
                <w:szCs w:val="22"/>
                <w:lang w:eastAsia="fr-FR"/>
              </w:rPr>
              <w:t>NF EN ISO 10304-1</w:t>
            </w:r>
          </w:p>
        </w:tc>
      </w:tr>
      <w:tr w:rsidR="001D5F2D" w:rsidRPr="00C62E15" w14:paraId="1CB699FD" w14:textId="77777777" w:rsidTr="00647AD3">
        <w:trPr>
          <w:jc w:val="center"/>
        </w:trPr>
        <w:tc>
          <w:tcPr>
            <w:tcW w:w="2409" w:type="dxa"/>
            <w:gridSpan w:val="2"/>
            <w:tcBorders>
              <w:top w:val="outset" w:sz="6" w:space="0" w:color="auto"/>
              <w:left w:val="nil"/>
              <w:bottom w:val="outset" w:sz="6" w:space="0" w:color="auto"/>
              <w:right w:val="single" w:sz="6" w:space="0" w:color="D8D8D8"/>
            </w:tcBorders>
            <w:shd w:val="clear" w:color="auto" w:fill="EEEEEE"/>
            <w:tcMar>
              <w:top w:w="150" w:type="dxa"/>
              <w:left w:w="150" w:type="dxa"/>
              <w:bottom w:w="150" w:type="dxa"/>
              <w:right w:w="150" w:type="dxa"/>
            </w:tcMar>
            <w:vAlign w:val="center"/>
          </w:tcPr>
          <w:p w14:paraId="6CD769BA" w14:textId="77777777" w:rsidR="001D5F2D" w:rsidRPr="00C62E15" w:rsidRDefault="001D5F2D" w:rsidP="001D5F2D">
            <w:pPr>
              <w:suppressAutoHyphens w:val="0"/>
              <w:rPr>
                <w:b/>
                <w:bCs/>
                <w:sz w:val="22"/>
                <w:szCs w:val="22"/>
                <w:lang w:eastAsia="fr-FR"/>
              </w:rPr>
            </w:pPr>
            <w:r w:rsidRPr="00C62E15">
              <w:rPr>
                <w:b/>
                <w:bCs/>
                <w:sz w:val="22"/>
                <w:szCs w:val="22"/>
                <w:lang w:eastAsia="fr-FR"/>
              </w:rPr>
              <w:t>Sulfures aisément libérables (S</w:t>
            </w:r>
            <w:r w:rsidRPr="00C62E15">
              <w:rPr>
                <w:b/>
                <w:bCs/>
                <w:sz w:val="22"/>
                <w:szCs w:val="22"/>
                <w:vertAlign w:val="superscript"/>
                <w:lang w:eastAsia="fr-FR"/>
              </w:rPr>
              <w:t>2-</w:t>
            </w:r>
            <w:r w:rsidRPr="00C62E15">
              <w:rPr>
                <w:b/>
                <w:bCs/>
                <w:sz w:val="22"/>
                <w:szCs w:val="22"/>
                <w:lang w:eastAsia="fr-FR"/>
              </w:rPr>
              <w:t>)</w:t>
            </w:r>
          </w:p>
        </w:tc>
        <w:tc>
          <w:tcPr>
            <w:tcW w:w="1522" w:type="dxa"/>
            <w:tcBorders>
              <w:top w:val="outset" w:sz="6" w:space="0" w:color="auto"/>
              <w:left w:val="outset" w:sz="6" w:space="0" w:color="auto"/>
              <w:bottom w:val="outset" w:sz="6" w:space="0" w:color="auto"/>
              <w:right w:val="single" w:sz="6" w:space="0" w:color="D8D8D8"/>
            </w:tcBorders>
            <w:shd w:val="clear" w:color="auto" w:fill="EEEEEE"/>
            <w:tcMar>
              <w:top w:w="150" w:type="dxa"/>
              <w:left w:w="150" w:type="dxa"/>
              <w:bottom w:w="150" w:type="dxa"/>
              <w:right w:w="150" w:type="dxa"/>
            </w:tcMar>
            <w:vAlign w:val="center"/>
          </w:tcPr>
          <w:p w14:paraId="1F000154" w14:textId="77777777" w:rsidR="001D5F2D" w:rsidRPr="00BD3157" w:rsidRDefault="001D5F2D" w:rsidP="001D5F2D">
            <w:pPr>
              <w:suppressAutoHyphens w:val="0"/>
              <w:rPr>
                <w:sz w:val="22"/>
                <w:szCs w:val="22"/>
                <w:lang w:eastAsia="fr-FR"/>
              </w:rPr>
            </w:pPr>
          </w:p>
        </w:tc>
        <w:tc>
          <w:tcPr>
            <w:tcW w:w="1118" w:type="dxa"/>
            <w:tcBorders>
              <w:top w:val="outset" w:sz="6" w:space="0" w:color="auto"/>
              <w:left w:val="outset" w:sz="6" w:space="0" w:color="auto"/>
              <w:bottom w:val="outset" w:sz="6" w:space="0" w:color="auto"/>
              <w:right w:val="nil"/>
            </w:tcBorders>
            <w:shd w:val="clear" w:color="auto" w:fill="EEEEEE"/>
            <w:tcMar>
              <w:top w:w="150" w:type="dxa"/>
              <w:left w:w="150" w:type="dxa"/>
              <w:bottom w:w="150" w:type="dxa"/>
              <w:right w:w="150" w:type="dxa"/>
            </w:tcMar>
            <w:vAlign w:val="center"/>
          </w:tcPr>
          <w:p w14:paraId="5E3FB7A0" w14:textId="77777777" w:rsidR="001D5F2D" w:rsidRPr="00BD3157" w:rsidRDefault="001D5F2D" w:rsidP="001D5F2D">
            <w:pPr>
              <w:suppressAutoHyphens w:val="0"/>
              <w:jc w:val="center"/>
              <w:rPr>
                <w:sz w:val="22"/>
                <w:szCs w:val="22"/>
                <w:lang w:eastAsia="fr-FR"/>
              </w:rPr>
            </w:pPr>
          </w:p>
        </w:tc>
        <w:tc>
          <w:tcPr>
            <w:tcW w:w="1315" w:type="dxa"/>
            <w:tcBorders>
              <w:top w:val="outset" w:sz="6" w:space="0" w:color="auto"/>
              <w:left w:val="outset" w:sz="6" w:space="0" w:color="auto"/>
              <w:bottom w:val="outset" w:sz="6" w:space="0" w:color="auto"/>
              <w:right w:val="nil"/>
            </w:tcBorders>
            <w:shd w:val="clear" w:color="auto" w:fill="EEEEEE"/>
            <w:vAlign w:val="center"/>
          </w:tcPr>
          <w:p w14:paraId="4D74533C"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outset" w:sz="6" w:space="0" w:color="auto"/>
              <w:right w:val="nil"/>
            </w:tcBorders>
            <w:shd w:val="clear" w:color="auto" w:fill="EEEEEE"/>
            <w:vAlign w:val="center"/>
          </w:tcPr>
          <w:p w14:paraId="02AA0409" w14:textId="77777777" w:rsidR="001D5F2D" w:rsidRPr="00BD3157" w:rsidRDefault="001D5F2D" w:rsidP="001D5F2D">
            <w:pPr>
              <w:suppressAutoHyphens w:val="0"/>
              <w:jc w:val="center"/>
              <w:rPr>
                <w:sz w:val="22"/>
                <w:szCs w:val="22"/>
                <w:lang w:eastAsia="fr-FR"/>
              </w:rPr>
            </w:pPr>
            <w:r w:rsidRPr="00BD3157">
              <w:rPr>
                <w:sz w:val="22"/>
                <w:szCs w:val="22"/>
                <w:lang w:eastAsia="fr-FR"/>
              </w:rPr>
              <w:t>Pas de seuil</w:t>
            </w:r>
          </w:p>
        </w:tc>
        <w:tc>
          <w:tcPr>
            <w:tcW w:w="1369" w:type="dxa"/>
            <w:tcBorders>
              <w:top w:val="outset" w:sz="6" w:space="0" w:color="auto"/>
              <w:left w:val="outset" w:sz="6" w:space="0" w:color="auto"/>
              <w:bottom w:val="outset" w:sz="6" w:space="0" w:color="auto"/>
              <w:right w:val="nil"/>
            </w:tcBorders>
            <w:shd w:val="clear" w:color="auto" w:fill="EEEEEE"/>
            <w:vAlign w:val="center"/>
          </w:tcPr>
          <w:p w14:paraId="4F697B93" w14:textId="77777777" w:rsidR="001D5F2D" w:rsidRPr="00BD3157" w:rsidRDefault="001D5F2D" w:rsidP="001D5F2D">
            <w:pPr>
              <w:suppressAutoHyphens w:val="0"/>
              <w:jc w:val="center"/>
              <w:rPr>
                <w:sz w:val="22"/>
                <w:szCs w:val="22"/>
                <w:lang w:eastAsia="fr-FR"/>
              </w:rPr>
            </w:pPr>
            <w:r w:rsidRPr="00BD3157">
              <w:rPr>
                <w:sz w:val="22"/>
                <w:szCs w:val="22"/>
                <w:lang w:eastAsia="fr-FR"/>
              </w:rPr>
              <w:t>Pas de norme EN</w:t>
            </w:r>
          </w:p>
        </w:tc>
      </w:tr>
      <w:tr w:rsidR="001D5F2D" w:rsidRPr="00C62E15" w14:paraId="385AAD30" w14:textId="77777777" w:rsidTr="00647AD3">
        <w:trPr>
          <w:jc w:val="center"/>
        </w:trPr>
        <w:tc>
          <w:tcPr>
            <w:tcW w:w="2409" w:type="dxa"/>
            <w:gridSpan w:val="2"/>
            <w:tcBorders>
              <w:top w:val="outset" w:sz="6" w:space="0" w:color="auto"/>
              <w:left w:val="nil"/>
              <w:bottom w:val="outset" w:sz="6" w:space="0" w:color="auto"/>
              <w:right w:val="single" w:sz="6" w:space="0" w:color="D8D8D8"/>
            </w:tcBorders>
            <w:shd w:val="clear" w:color="auto" w:fill="EEEEEE"/>
            <w:tcMar>
              <w:top w:w="150" w:type="dxa"/>
              <w:left w:w="150" w:type="dxa"/>
              <w:bottom w:w="150" w:type="dxa"/>
              <w:right w:w="150" w:type="dxa"/>
            </w:tcMar>
            <w:vAlign w:val="center"/>
          </w:tcPr>
          <w:p w14:paraId="243E3263" w14:textId="77777777" w:rsidR="001D5F2D" w:rsidRPr="00C62E15" w:rsidRDefault="001D5F2D" w:rsidP="001D5F2D">
            <w:pPr>
              <w:suppressAutoHyphens w:val="0"/>
              <w:rPr>
                <w:b/>
                <w:bCs/>
                <w:sz w:val="22"/>
                <w:szCs w:val="22"/>
                <w:lang w:eastAsia="fr-FR"/>
              </w:rPr>
            </w:pPr>
            <w:r w:rsidRPr="00C62E15">
              <w:rPr>
                <w:b/>
                <w:bCs/>
                <w:sz w:val="22"/>
                <w:szCs w:val="22"/>
                <w:lang w:eastAsia="fr-FR"/>
              </w:rPr>
              <w:t>Sulfites (SO</w:t>
            </w:r>
            <w:r w:rsidRPr="00C62E15">
              <w:rPr>
                <w:b/>
                <w:bCs/>
                <w:sz w:val="22"/>
                <w:szCs w:val="22"/>
                <w:vertAlign w:val="subscript"/>
                <w:lang w:eastAsia="fr-FR"/>
              </w:rPr>
              <w:t>3</w:t>
            </w:r>
            <w:r w:rsidRPr="00C62E15">
              <w:rPr>
                <w:b/>
                <w:bCs/>
                <w:sz w:val="22"/>
                <w:szCs w:val="22"/>
                <w:vertAlign w:val="superscript"/>
                <w:lang w:eastAsia="fr-FR"/>
              </w:rPr>
              <w:t>2-</w:t>
            </w:r>
            <w:r w:rsidRPr="00C62E15">
              <w:rPr>
                <w:b/>
                <w:bCs/>
                <w:sz w:val="22"/>
                <w:szCs w:val="22"/>
                <w:lang w:eastAsia="fr-FR"/>
              </w:rPr>
              <w:t>)</w:t>
            </w:r>
          </w:p>
        </w:tc>
        <w:tc>
          <w:tcPr>
            <w:tcW w:w="1522" w:type="dxa"/>
            <w:tcBorders>
              <w:top w:val="outset" w:sz="6" w:space="0" w:color="auto"/>
              <w:left w:val="outset" w:sz="6" w:space="0" w:color="auto"/>
              <w:bottom w:val="outset" w:sz="6" w:space="0" w:color="auto"/>
              <w:right w:val="single" w:sz="6" w:space="0" w:color="D8D8D8"/>
            </w:tcBorders>
            <w:shd w:val="clear" w:color="auto" w:fill="EEEEEE"/>
            <w:tcMar>
              <w:top w:w="150" w:type="dxa"/>
              <w:left w:w="150" w:type="dxa"/>
              <w:bottom w:w="150" w:type="dxa"/>
              <w:right w:w="150" w:type="dxa"/>
            </w:tcMar>
            <w:vAlign w:val="center"/>
          </w:tcPr>
          <w:p w14:paraId="011FD1A4" w14:textId="77777777" w:rsidR="001D5F2D" w:rsidRPr="00BD3157" w:rsidRDefault="001D5F2D" w:rsidP="001D5F2D">
            <w:pPr>
              <w:suppressAutoHyphens w:val="0"/>
              <w:rPr>
                <w:sz w:val="22"/>
                <w:szCs w:val="22"/>
                <w:lang w:eastAsia="fr-FR"/>
              </w:rPr>
            </w:pPr>
          </w:p>
        </w:tc>
        <w:tc>
          <w:tcPr>
            <w:tcW w:w="1118" w:type="dxa"/>
            <w:tcBorders>
              <w:top w:val="outset" w:sz="6" w:space="0" w:color="auto"/>
              <w:left w:val="outset" w:sz="6" w:space="0" w:color="auto"/>
              <w:bottom w:val="outset" w:sz="6" w:space="0" w:color="auto"/>
              <w:right w:val="nil"/>
            </w:tcBorders>
            <w:shd w:val="clear" w:color="auto" w:fill="EEEEEE"/>
            <w:tcMar>
              <w:top w:w="150" w:type="dxa"/>
              <w:left w:w="150" w:type="dxa"/>
              <w:bottom w:w="150" w:type="dxa"/>
              <w:right w:w="150" w:type="dxa"/>
            </w:tcMar>
            <w:vAlign w:val="center"/>
          </w:tcPr>
          <w:p w14:paraId="3CBA339B" w14:textId="77777777" w:rsidR="001D5F2D" w:rsidRPr="00BD3157" w:rsidRDefault="001D5F2D" w:rsidP="001D5F2D">
            <w:pPr>
              <w:suppressAutoHyphens w:val="0"/>
              <w:jc w:val="center"/>
              <w:rPr>
                <w:sz w:val="22"/>
                <w:szCs w:val="22"/>
                <w:lang w:eastAsia="fr-FR"/>
              </w:rPr>
            </w:pPr>
          </w:p>
        </w:tc>
        <w:tc>
          <w:tcPr>
            <w:tcW w:w="1315" w:type="dxa"/>
            <w:tcBorders>
              <w:top w:val="outset" w:sz="6" w:space="0" w:color="auto"/>
              <w:left w:val="outset" w:sz="6" w:space="0" w:color="auto"/>
              <w:bottom w:val="outset" w:sz="6" w:space="0" w:color="auto"/>
              <w:right w:val="nil"/>
            </w:tcBorders>
            <w:shd w:val="clear" w:color="auto" w:fill="EEEEEE"/>
            <w:vAlign w:val="center"/>
          </w:tcPr>
          <w:p w14:paraId="4E5A8F89" w14:textId="77777777" w:rsidR="001D5F2D" w:rsidRPr="00BD3157" w:rsidRDefault="001D5F2D" w:rsidP="001D5F2D">
            <w:pPr>
              <w:suppressAutoHyphens w:val="0"/>
              <w:jc w:val="center"/>
              <w:rPr>
                <w:sz w:val="22"/>
                <w:szCs w:val="22"/>
                <w:lang w:eastAsia="fr-FR"/>
              </w:rPr>
            </w:pPr>
            <w:r w:rsidRPr="00BD3157">
              <w:rPr>
                <w:sz w:val="22"/>
                <w:szCs w:val="22"/>
                <w:lang w:eastAsia="fr-FR"/>
              </w:rPr>
              <w:t>Mensuelle</w:t>
            </w:r>
          </w:p>
        </w:tc>
        <w:tc>
          <w:tcPr>
            <w:tcW w:w="1323" w:type="dxa"/>
            <w:tcBorders>
              <w:top w:val="outset" w:sz="6" w:space="0" w:color="auto"/>
              <w:left w:val="outset" w:sz="6" w:space="0" w:color="auto"/>
              <w:bottom w:val="outset" w:sz="6" w:space="0" w:color="auto"/>
              <w:right w:val="nil"/>
            </w:tcBorders>
            <w:shd w:val="clear" w:color="auto" w:fill="EEEEEE"/>
            <w:vAlign w:val="center"/>
          </w:tcPr>
          <w:p w14:paraId="034151FD" w14:textId="77777777" w:rsidR="001D5F2D" w:rsidRPr="00BD3157" w:rsidRDefault="001D5F2D" w:rsidP="001D5F2D">
            <w:pPr>
              <w:suppressAutoHyphens w:val="0"/>
              <w:jc w:val="center"/>
              <w:rPr>
                <w:sz w:val="22"/>
                <w:szCs w:val="22"/>
                <w:lang w:eastAsia="fr-FR"/>
              </w:rPr>
            </w:pPr>
            <w:r w:rsidRPr="00BD3157">
              <w:rPr>
                <w:sz w:val="22"/>
                <w:szCs w:val="22"/>
                <w:lang w:eastAsia="fr-FR"/>
              </w:rPr>
              <w:t>Pas de seuil</w:t>
            </w:r>
          </w:p>
        </w:tc>
        <w:tc>
          <w:tcPr>
            <w:tcW w:w="1369" w:type="dxa"/>
            <w:tcBorders>
              <w:top w:val="outset" w:sz="6" w:space="0" w:color="auto"/>
              <w:left w:val="outset" w:sz="6" w:space="0" w:color="auto"/>
              <w:bottom w:val="outset" w:sz="6" w:space="0" w:color="auto"/>
              <w:right w:val="nil"/>
            </w:tcBorders>
            <w:shd w:val="clear" w:color="auto" w:fill="EEEEEE"/>
            <w:vAlign w:val="center"/>
          </w:tcPr>
          <w:p w14:paraId="7BF31ADE" w14:textId="77777777" w:rsidR="001D5F2D" w:rsidRPr="00BD3157" w:rsidRDefault="001D5F2D" w:rsidP="001D5F2D">
            <w:pPr>
              <w:suppressAutoHyphens w:val="0"/>
              <w:jc w:val="center"/>
              <w:rPr>
                <w:sz w:val="22"/>
                <w:szCs w:val="22"/>
                <w:lang w:eastAsia="fr-FR"/>
              </w:rPr>
            </w:pPr>
            <w:r w:rsidRPr="00BD3157">
              <w:rPr>
                <w:sz w:val="22"/>
                <w:szCs w:val="22"/>
                <w:lang w:eastAsia="fr-FR"/>
              </w:rPr>
              <w:t>NF EN ISO 10304-3</w:t>
            </w:r>
          </w:p>
        </w:tc>
      </w:tr>
    </w:tbl>
    <w:p w14:paraId="1AFBF1DE" w14:textId="291EC71F" w:rsidR="00077777" w:rsidRPr="00077777" w:rsidRDefault="00077777" w:rsidP="002B0DC1">
      <w:pPr>
        <w:ind w:left="708"/>
        <w:jc w:val="both"/>
        <w:rPr>
          <w:lang w:eastAsia="fr-FR"/>
        </w:rPr>
      </w:pPr>
      <w:r w:rsidRPr="00077777">
        <w:rPr>
          <w:color w:val="000000"/>
          <w:lang w:eastAsia="fr-FR"/>
        </w:rPr>
        <w:br/>
      </w:r>
      <w:r w:rsidRPr="00077777">
        <w:rPr>
          <w:lang w:eastAsia="fr-FR"/>
        </w:rPr>
        <w:t xml:space="preserve">« (1) La mesure journalière du paramètre AOX n’est pas nécessaire lorsque plus de 80 % des composés organiques halogénés sont clairement identifiés et </w:t>
      </w:r>
      <w:r w:rsidRPr="00BD3157">
        <w:rPr>
          <w:rStyle w:val="lev"/>
          <w:b w:val="0"/>
          <w:bCs w:val="0"/>
          <w:iCs/>
          <w:shd w:val="clear" w:color="auto" w:fill="FFFFFF"/>
        </w:rPr>
        <w:t>qu’une mesure journalière de leurs niveaux d’émissions est déjà effectuée sur ces composés de manière individuelle</w:t>
      </w:r>
      <w:r w:rsidRPr="00077777">
        <w:rPr>
          <w:i/>
          <w:iCs/>
          <w:lang w:eastAsia="fr-FR"/>
        </w:rPr>
        <w:t xml:space="preserve"> </w:t>
      </w:r>
      <w:r w:rsidRPr="00077777">
        <w:rPr>
          <w:lang w:eastAsia="fr-FR"/>
        </w:rPr>
        <w:t>et que la fraction des organohalogénés non identifiée ne représente pas plus de 0,2 mg/</w:t>
      </w:r>
      <w:r w:rsidR="008219F9">
        <w:rPr>
          <w:lang w:eastAsia="fr-FR"/>
        </w:rPr>
        <w:t>L</w:t>
      </w:r>
      <w:r w:rsidRPr="00077777">
        <w:rPr>
          <w:lang w:eastAsia="fr-FR"/>
        </w:rPr>
        <w:t>.</w:t>
      </w:r>
    </w:p>
    <w:p w14:paraId="4E7A8FEA" w14:textId="14C7AB07" w:rsidR="00077777" w:rsidRPr="00077777" w:rsidRDefault="00077777" w:rsidP="002B0DC1">
      <w:pPr>
        <w:pStyle w:val="Paragraphedeliste"/>
        <w:spacing w:after="0" w:line="240" w:lineRule="auto"/>
        <w:jc w:val="both"/>
        <w:rPr>
          <w:rFonts w:ascii="Times New Roman" w:eastAsia="Times New Roman" w:hAnsi="Times New Roman"/>
          <w:sz w:val="24"/>
          <w:szCs w:val="24"/>
        </w:rPr>
      </w:pPr>
      <w:r w:rsidRPr="00077777">
        <w:rPr>
          <w:rFonts w:ascii="Times New Roman" w:eastAsia="Times New Roman" w:hAnsi="Times New Roman"/>
          <w:sz w:val="24"/>
          <w:szCs w:val="24"/>
        </w:rPr>
        <w:t>« (2) Dans le cas d’effluents raccordés</w:t>
      </w:r>
      <w:r w:rsidR="008219F9">
        <w:rPr>
          <w:rFonts w:ascii="Times New Roman" w:eastAsia="Times New Roman" w:hAnsi="Times New Roman"/>
          <w:sz w:val="24"/>
          <w:szCs w:val="24"/>
        </w:rPr>
        <w:t xml:space="preserve"> à une station d’épuration</w:t>
      </w:r>
      <w:r w:rsidRPr="00077777">
        <w:rPr>
          <w:rFonts w:ascii="Times New Roman" w:eastAsia="Times New Roman" w:hAnsi="Times New Roman"/>
          <w:sz w:val="24"/>
          <w:szCs w:val="24"/>
        </w:rPr>
        <w:t>, l’arrêté d’autorisation peut se référer à des fréquences différentes pour la surveillance des rejets de micropolluants si celles-ci sont déjà définies par un document contractuel entre l’exploitant et le gestionnaire de station.</w:t>
      </w:r>
    </w:p>
    <w:p w14:paraId="62CB4341" w14:textId="1E385EE2" w:rsidR="00077777" w:rsidRPr="00077777" w:rsidRDefault="00077777" w:rsidP="002B0DC1">
      <w:pPr>
        <w:jc w:val="both"/>
        <w:rPr>
          <w:color w:val="000000"/>
          <w:lang w:eastAsia="fr-FR"/>
        </w:rPr>
      </w:pPr>
      <w:r w:rsidRPr="00077777">
        <w:rPr>
          <w:lang w:eastAsia="fr-FR"/>
        </w:rPr>
        <w:br/>
      </w:r>
      <w:r>
        <w:rPr>
          <w:color w:val="000000"/>
          <w:lang w:eastAsia="fr-FR"/>
        </w:rPr>
        <w:t>« </w:t>
      </w:r>
      <w:r w:rsidRPr="00077777">
        <w:rPr>
          <w:color w:val="000000"/>
          <w:lang w:eastAsia="fr-FR"/>
        </w:rPr>
        <w:t xml:space="preserve">III. – Les dispositions </w:t>
      </w:r>
      <w:r w:rsidR="002A63A1">
        <w:rPr>
          <w:color w:val="000000"/>
          <w:lang w:eastAsia="fr-FR"/>
        </w:rPr>
        <w:t>des 3</w:t>
      </w:r>
      <w:r w:rsidR="002A63A1" w:rsidRPr="002A63A1">
        <w:rPr>
          <w:color w:val="000000"/>
          <w:vertAlign w:val="superscript"/>
          <w:lang w:eastAsia="fr-FR"/>
        </w:rPr>
        <w:t>e</w:t>
      </w:r>
      <w:r w:rsidR="002A63A1">
        <w:rPr>
          <w:color w:val="000000"/>
          <w:lang w:eastAsia="fr-FR"/>
        </w:rPr>
        <w:t xml:space="preserve"> et 6</w:t>
      </w:r>
      <w:r w:rsidR="002A63A1" w:rsidRPr="002A63A1">
        <w:rPr>
          <w:color w:val="000000"/>
          <w:vertAlign w:val="superscript"/>
          <w:lang w:eastAsia="fr-FR"/>
        </w:rPr>
        <w:t>e</w:t>
      </w:r>
      <w:r w:rsidR="002A63A1">
        <w:rPr>
          <w:color w:val="000000"/>
          <w:lang w:eastAsia="fr-FR"/>
        </w:rPr>
        <w:t xml:space="preserve"> </w:t>
      </w:r>
      <w:r w:rsidRPr="00077777">
        <w:rPr>
          <w:color w:val="000000"/>
          <w:lang w:eastAsia="fr-FR"/>
        </w:rPr>
        <w:t>alinéa</w:t>
      </w:r>
      <w:r w:rsidR="002A63A1">
        <w:rPr>
          <w:color w:val="000000"/>
          <w:lang w:eastAsia="fr-FR"/>
        </w:rPr>
        <w:t>s</w:t>
      </w:r>
      <w:r w:rsidRPr="00077777">
        <w:rPr>
          <w:color w:val="000000"/>
          <w:lang w:eastAsia="fr-FR"/>
        </w:rPr>
        <w:t xml:space="preserve"> du 2° de l’article 60</w:t>
      </w:r>
      <w:r w:rsidR="00E70E3F" w:rsidRPr="00E70E3F">
        <w:rPr>
          <w:color w:val="000000"/>
          <w:lang w:eastAsia="fr-FR"/>
        </w:rPr>
        <w:t xml:space="preserve"> </w:t>
      </w:r>
      <w:r w:rsidR="00E70E3F" w:rsidRPr="00077777">
        <w:rPr>
          <w:color w:val="000000"/>
          <w:lang w:eastAsia="fr-FR"/>
        </w:rPr>
        <w:t xml:space="preserve">de l’arrêté du 2 février 1998 </w:t>
      </w:r>
      <w:r w:rsidR="00E70E3F">
        <w:rPr>
          <w:color w:val="000000"/>
          <w:lang w:eastAsia="fr-FR"/>
        </w:rPr>
        <w:t>susvisé</w:t>
      </w:r>
      <w:r w:rsidR="0003596B">
        <w:rPr>
          <w:color w:val="000000"/>
          <w:lang w:eastAsia="fr-FR"/>
        </w:rPr>
        <w:t xml:space="preserve">, </w:t>
      </w:r>
      <w:r w:rsidR="002A63A1" w:rsidRPr="002A63A1">
        <w:rPr>
          <w:color w:val="000000"/>
          <w:lang w:eastAsia="fr-FR"/>
        </w:rPr>
        <w:t>relatives aux fréquences différentes pour les paramètres DCO, DBO5 et MES et aux rejets de bassins de lagunage</w:t>
      </w:r>
      <w:r w:rsidR="0003596B" w:rsidRPr="0003596B">
        <w:rPr>
          <w:color w:val="000000"/>
          <w:lang w:eastAsia="fr-FR"/>
        </w:rPr>
        <w:t xml:space="preserve">, </w:t>
      </w:r>
      <w:r w:rsidRPr="00077777">
        <w:rPr>
          <w:color w:val="000000"/>
          <w:lang w:eastAsia="fr-FR"/>
        </w:rPr>
        <w:t>s’appliquent.</w:t>
      </w:r>
    </w:p>
    <w:p w14:paraId="47401EC3" w14:textId="0430BA09" w:rsidR="00077777" w:rsidRPr="00077777" w:rsidRDefault="00077777" w:rsidP="002B0DC1">
      <w:pPr>
        <w:jc w:val="both"/>
        <w:rPr>
          <w:color w:val="000000"/>
          <w:lang w:eastAsia="fr-FR"/>
        </w:rPr>
      </w:pPr>
      <w:r w:rsidRPr="00077777">
        <w:rPr>
          <w:color w:val="000000"/>
          <w:lang w:eastAsia="fr-FR"/>
        </w:rPr>
        <w:br/>
      </w:r>
      <w:r>
        <w:rPr>
          <w:color w:val="000000"/>
          <w:lang w:eastAsia="fr-FR"/>
        </w:rPr>
        <w:t>« </w:t>
      </w:r>
      <w:r w:rsidRPr="00077777">
        <w:rPr>
          <w:color w:val="000000"/>
          <w:lang w:eastAsia="fr-FR"/>
        </w:rPr>
        <w:t>IV. – L’arrêté préfectoral peut adapter les modalités de la surveillance lorsque les concentrations mesurées se situent au-dessous des seuils de détection des méthodes normalisées.</w:t>
      </w:r>
    </w:p>
    <w:p w14:paraId="01E8FDB4" w14:textId="7A36B722" w:rsidR="00077777" w:rsidRPr="00077777" w:rsidRDefault="00077777" w:rsidP="002B0DC1">
      <w:pPr>
        <w:jc w:val="both"/>
        <w:rPr>
          <w:color w:val="000000"/>
          <w:lang w:eastAsia="fr-FR"/>
        </w:rPr>
      </w:pPr>
      <w:r w:rsidRPr="00077777">
        <w:rPr>
          <w:color w:val="000000"/>
          <w:lang w:eastAsia="fr-FR"/>
        </w:rPr>
        <w:br/>
      </w:r>
      <w:r>
        <w:rPr>
          <w:color w:val="000000"/>
          <w:lang w:eastAsia="fr-FR"/>
        </w:rPr>
        <w:t>« </w:t>
      </w:r>
      <w:r w:rsidRPr="00077777">
        <w:rPr>
          <w:color w:val="000000"/>
          <w:lang w:eastAsia="fr-FR"/>
        </w:rPr>
        <w:t>V. – Les dispositions de</w:t>
      </w:r>
      <w:r w:rsidR="00E70E3F">
        <w:rPr>
          <w:color w:val="000000"/>
          <w:lang w:eastAsia="fr-FR"/>
        </w:rPr>
        <w:t>s I, II et III de</w:t>
      </w:r>
      <w:r w:rsidRPr="00077777">
        <w:rPr>
          <w:color w:val="000000"/>
          <w:lang w:eastAsia="fr-FR"/>
        </w:rPr>
        <w:t xml:space="preserve"> l’article 58</w:t>
      </w:r>
      <w:r w:rsidR="00E70E3F" w:rsidRPr="00E70E3F">
        <w:rPr>
          <w:color w:val="000000"/>
          <w:lang w:eastAsia="fr-FR"/>
        </w:rPr>
        <w:t xml:space="preserve"> </w:t>
      </w:r>
      <w:r w:rsidR="00E70E3F" w:rsidRPr="00077777">
        <w:rPr>
          <w:color w:val="000000"/>
          <w:lang w:eastAsia="fr-FR"/>
        </w:rPr>
        <w:t xml:space="preserve">de l’arrêté du 2 février 1998 </w:t>
      </w:r>
      <w:r w:rsidR="00E70E3F">
        <w:rPr>
          <w:color w:val="000000"/>
          <w:lang w:eastAsia="fr-FR"/>
        </w:rPr>
        <w:t>susvisé</w:t>
      </w:r>
      <w:r w:rsidRPr="00077777">
        <w:rPr>
          <w:color w:val="000000"/>
          <w:lang w:eastAsia="fr-FR"/>
        </w:rPr>
        <w:t>, relatives au programme de surveillance</w:t>
      </w:r>
      <w:r>
        <w:rPr>
          <w:color w:val="000000"/>
          <w:lang w:eastAsia="fr-FR"/>
        </w:rPr>
        <w:t xml:space="preserve"> dans l’eau</w:t>
      </w:r>
      <w:r w:rsidRPr="00077777">
        <w:rPr>
          <w:color w:val="000000"/>
          <w:lang w:eastAsia="fr-FR"/>
        </w:rPr>
        <w:t>, s’appliquent.</w:t>
      </w:r>
    </w:p>
    <w:p w14:paraId="62599437" w14:textId="77777777" w:rsidR="00077777" w:rsidRPr="00077777" w:rsidRDefault="00077777" w:rsidP="002B0DC1">
      <w:pPr>
        <w:jc w:val="both"/>
        <w:rPr>
          <w:color w:val="000000"/>
          <w:lang w:eastAsia="fr-FR"/>
        </w:rPr>
      </w:pPr>
    </w:p>
    <w:p w14:paraId="2197FA2C" w14:textId="75D3561E" w:rsidR="00077777" w:rsidRPr="00077777" w:rsidRDefault="00077777" w:rsidP="002B0DC1">
      <w:pPr>
        <w:jc w:val="both"/>
        <w:rPr>
          <w:color w:val="000000"/>
          <w:lang w:eastAsia="fr-FR"/>
        </w:rPr>
      </w:pPr>
      <w:r>
        <w:rPr>
          <w:color w:val="000000"/>
          <w:lang w:eastAsia="fr-FR"/>
        </w:rPr>
        <w:t>« </w:t>
      </w:r>
      <w:r w:rsidRPr="00077777">
        <w:rPr>
          <w:color w:val="000000"/>
          <w:lang w:eastAsia="fr-FR"/>
        </w:rPr>
        <w:t xml:space="preserve">L’exploitant fait effectuer, au moins une fois par an, les mesures concernant les polluants </w:t>
      </w:r>
      <w:r w:rsidR="009952AB">
        <w:rPr>
          <w:color w:val="000000"/>
          <w:lang w:eastAsia="fr-FR"/>
        </w:rPr>
        <w:t>mentionnés</w:t>
      </w:r>
      <w:r w:rsidR="009952AB" w:rsidRPr="00077777">
        <w:rPr>
          <w:color w:val="000000"/>
          <w:lang w:eastAsia="fr-FR"/>
        </w:rPr>
        <w:t xml:space="preserve"> </w:t>
      </w:r>
      <w:r w:rsidRPr="00077777">
        <w:rPr>
          <w:color w:val="000000"/>
          <w:lang w:eastAsia="fr-FR"/>
        </w:rPr>
        <w:t xml:space="preserve">par l’arrêté préfectoral par un laboratoire d’analyse agréé. S’il n’existe pas d’agrément pour le paramètre analysé, le laboratoire d’analyse devra être accrédité </w:t>
      </w:r>
      <w:bookmarkStart w:id="40" w:name="_Hlk159333406"/>
      <w:r w:rsidRPr="00077777">
        <w:rPr>
          <w:color w:val="000000"/>
          <w:lang w:eastAsia="fr-FR"/>
        </w:rPr>
        <w:t>par le Comité français d’accréditation (COFRAC) ou par un organisme signataire de l’accord multilatéral pris dans le cadre de la Coordination européenne des organismes d’accréditation (</w:t>
      </w:r>
      <w:proofErr w:type="spellStart"/>
      <w:r w:rsidRPr="00BD3157">
        <w:rPr>
          <w:i/>
          <w:iCs/>
          <w:color w:val="000000"/>
          <w:lang w:eastAsia="fr-FR"/>
        </w:rPr>
        <w:t>European</w:t>
      </w:r>
      <w:proofErr w:type="spellEnd"/>
      <w:r w:rsidRPr="00BD3157">
        <w:rPr>
          <w:i/>
          <w:iCs/>
          <w:color w:val="000000"/>
          <w:lang w:eastAsia="fr-FR"/>
        </w:rPr>
        <w:t xml:space="preserve"> </w:t>
      </w:r>
      <w:proofErr w:type="spellStart"/>
      <w:r w:rsidRPr="00BD3157">
        <w:rPr>
          <w:i/>
          <w:iCs/>
          <w:color w:val="000000"/>
          <w:lang w:eastAsia="fr-FR"/>
        </w:rPr>
        <w:t>Cooperation</w:t>
      </w:r>
      <w:proofErr w:type="spellEnd"/>
      <w:r w:rsidRPr="00BD3157">
        <w:rPr>
          <w:i/>
          <w:iCs/>
          <w:color w:val="000000"/>
          <w:lang w:eastAsia="fr-FR"/>
        </w:rPr>
        <w:t xml:space="preserve"> for </w:t>
      </w:r>
      <w:proofErr w:type="spellStart"/>
      <w:r w:rsidRPr="00BD3157">
        <w:rPr>
          <w:i/>
          <w:iCs/>
          <w:color w:val="000000"/>
          <w:lang w:eastAsia="fr-FR"/>
        </w:rPr>
        <w:t>Accreditation</w:t>
      </w:r>
      <w:proofErr w:type="spellEnd"/>
      <w:r w:rsidRPr="00077777">
        <w:rPr>
          <w:color w:val="000000"/>
          <w:lang w:eastAsia="fr-FR"/>
        </w:rPr>
        <w:t xml:space="preserve"> ou EA).</w:t>
      </w:r>
    </w:p>
    <w:bookmarkEnd w:id="40"/>
    <w:p w14:paraId="5E651B96" w14:textId="5F210F75" w:rsidR="00077777" w:rsidRPr="00077777" w:rsidRDefault="00077777" w:rsidP="00077777">
      <w:pPr>
        <w:shd w:val="clear" w:color="auto" w:fill="FFFFFF"/>
        <w:jc w:val="both"/>
        <w:rPr>
          <w:color w:val="000000"/>
          <w:lang w:eastAsia="fr-FR"/>
        </w:rPr>
      </w:pPr>
      <w:r>
        <w:rPr>
          <w:color w:val="000000"/>
          <w:lang w:eastAsia="fr-FR"/>
        </w:rPr>
        <w:t>« </w:t>
      </w:r>
      <w:r w:rsidRPr="00077777">
        <w:rPr>
          <w:color w:val="000000"/>
          <w:lang w:eastAsia="fr-FR"/>
        </w:rPr>
        <w:t>Pour les analyses de substances dans l’eau, l’agrément d’un laboratoire pour un paramètre sur une matrice donnée implique que l’échantillon analysé ait été prélevé sous accréditation.</w:t>
      </w:r>
    </w:p>
    <w:p w14:paraId="67E02CC5" w14:textId="78114120" w:rsidR="00077777" w:rsidRPr="00077777" w:rsidRDefault="00077777" w:rsidP="00077777">
      <w:pPr>
        <w:shd w:val="clear" w:color="auto" w:fill="FFFFFF"/>
        <w:spacing w:after="240"/>
        <w:jc w:val="both"/>
        <w:rPr>
          <w:color w:val="000000"/>
          <w:lang w:eastAsia="fr-FR"/>
        </w:rPr>
      </w:pPr>
      <w:r w:rsidRPr="00077777">
        <w:rPr>
          <w:color w:val="000000"/>
          <w:lang w:eastAsia="fr-FR"/>
        </w:rPr>
        <w:br/>
      </w:r>
      <w:r>
        <w:rPr>
          <w:color w:val="000000"/>
          <w:lang w:eastAsia="fr-FR"/>
        </w:rPr>
        <w:t>« </w:t>
      </w:r>
      <w:r w:rsidRPr="00077777">
        <w:rPr>
          <w:color w:val="000000"/>
          <w:lang w:eastAsia="fr-FR"/>
        </w:rPr>
        <w:t>VI. – Les résultats des mesures sont transmis à l’inspection des installations classées et sont accompagnés de commentaires sur les causes des dépassements constatés ainsi que les actions correctives mises en œuvre ou envisagées. La périodicité de la transmission est fixée par arrêté préfectoral.</w:t>
      </w:r>
    </w:p>
    <w:p w14:paraId="6FFC46DA" w14:textId="2A82E894" w:rsidR="00936417" w:rsidRPr="00914E79" w:rsidRDefault="00936417" w:rsidP="00936417">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56</w:t>
      </w:r>
      <w:r w:rsidRPr="00914E79">
        <w:rPr>
          <w:b/>
          <w:bCs/>
          <w:i/>
          <w:iCs/>
        </w:rPr>
        <w:fldChar w:fldCharType="end"/>
      </w:r>
    </w:p>
    <w:p w14:paraId="3C3712A8" w14:textId="4AB06BCB" w:rsidR="00936417" w:rsidRDefault="00936417" w:rsidP="00936417"/>
    <w:p w14:paraId="50354D6F" w14:textId="52BC0D42" w:rsidR="00077777" w:rsidRDefault="00BD3157" w:rsidP="00936417">
      <w:r>
        <w:t>Après l’article 48 de l’arrêté susvisé est inséré l’article suivant :</w:t>
      </w:r>
    </w:p>
    <w:p w14:paraId="22C70839" w14:textId="77777777" w:rsidR="00BD3157" w:rsidRDefault="00BD3157" w:rsidP="00936417"/>
    <w:p w14:paraId="3D78E184" w14:textId="7AC14C8D" w:rsidR="00077777" w:rsidRPr="00077777" w:rsidRDefault="00077777" w:rsidP="00BD3157">
      <w:pPr>
        <w:shd w:val="clear" w:color="auto" w:fill="FFFFFF"/>
        <w:spacing w:after="240"/>
        <w:jc w:val="both"/>
        <w:rPr>
          <w:color w:val="000000"/>
          <w:lang w:eastAsia="fr-FR"/>
        </w:rPr>
      </w:pPr>
      <w:r w:rsidRPr="00077777">
        <w:rPr>
          <w:color w:val="000000"/>
          <w:lang w:eastAsia="fr-FR"/>
        </w:rPr>
        <w:t>« </w:t>
      </w:r>
      <w:r w:rsidR="00BD3157" w:rsidRPr="00BD3157">
        <w:rPr>
          <w:i/>
          <w:iCs/>
          <w:color w:val="000000"/>
          <w:lang w:eastAsia="fr-FR"/>
        </w:rPr>
        <w:t>Art.</w:t>
      </w:r>
      <w:r w:rsidR="002A63A1">
        <w:rPr>
          <w:i/>
          <w:iCs/>
          <w:color w:val="000000"/>
          <w:lang w:eastAsia="fr-FR"/>
        </w:rPr>
        <w:t xml:space="preserve"> </w:t>
      </w:r>
      <w:r w:rsidRPr="00BD3157">
        <w:rPr>
          <w:i/>
          <w:iCs/>
          <w:color w:val="000000"/>
          <w:lang w:eastAsia="fr-FR"/>
        </w:rPr>
        <w:t>48-1</w:t>
      </w:r>
      <w:r w:rsidR="00BD3157" w:rsidRPr="00BD3157">
        <w:rPr>
          <w:i/>
          <w:iCs/>
          <w:color w:val="000000"/>
          <w:lang w:eastAsia="fr-FR"/>
        </w:rPr>
        <w:t>. -</w:t>
      </w:r>
      <w:r w:rsidR="00BD3157">
        <w:rPr>
          <w:color w:val="000000"/>
          <w:lang w:eastAsia="fr-FR"/>
        </w:rPr>
        <w:t xml:space="preserve"> </w:t>
      </w:r>
      <w:r w:rsidRPr="00077777">
        <w:rPr>
          <w:color w:val="000000"/>
          <w:lang w:eastAsia="fr-FR"/>
        </w:rPr>
        <w:t xml:space="preserve">Surveillance </w:t>
      </w:r>
      <w:r w:rsidR="00BD3157">
        <w:rPr>
          <w:color w:val="000000"/>
          <w:lang w:eastAsia="fr-FR"/>
        </w:rPr>
        <w:t xml:space="preserve">des rejets dans l’eau </w:t>
      </w:r>
      <w:r w:rsidRPr="00077777">
        <w:rPr>
          <w:color w:val="000000"/>
          <w:lang w:eastAsia="fr-FR"/>
        </w:rPr>
        <w:t xml:space="preserve">des périodes </w:t>
      </w:r>
      <w:r w:rsidR="00BD3157">
        <w:rPr>
          <w:color w:val="000000"/>
          <w:lang w:eastAsia="fr-FR"/>
        </w:rPr>
        <w:t>« autres que normales » de fonctionnement (</w:t>
      </w:r>
      <w:r w:rsidRPr="00077777">
        <w:rPr>
          <w:color w:val="000000"/>
          <w:lang w:eastAsia="fr-FR"/>
        </w:rPr>
        <w:t>OTNOC</w:t>
      </w:r>
      <w:r w:rsidR="00BD3157">
        <w:rPr>
          <w:color w:val="000000"/>
          <w:lang w:eastAsia="fr-FR"/>
        </w:rPr>
        <w:t>)</w:t>
      </w:r>
      <w:r w:rsidRPr="00077777">
        <w:rPr>
          <w:color w:val="000000"/>
          <w:lang w:eastAsia="fr-FR"/>
        </w:rPr>
        <w:t xml:space="preserve"> et des périodes de démarrage et d’arrêt</w:t>
      </w:r>
    </w:p>
    <w:p w14:paraId="61704803" w14:textId="0555E049" w:rsidR="00077777" w:rsidRPr="00077777" w:rsidRDefault="00077777" w:rsidP="002B0DC1">
      <w:pPr>
        <w:spacing w:after="240"/>
        <w:jc w:val="both"/>
      </w:pPr>
      <w:r w:rsidRPr="00077777">
        <w:t xml:space="preserve">« Pour les appareils </w:t>
      </w:r>
      <w:r w:rsidRPr="00077777">
        <w:rPr>
          <w:color w:val="000000"/>
          <w:lang w:eastAsia="fr-FR"/>
        </w:rPr>
        <w:t xml:space="preserve">(chaudières, turbines, moteurs) de puissance thermique nominale supérieure ou égale à 15 MW, </w:t>
      </w:r>
      <w:r w:rsidRPr="00077777">
        <w:t xml:space="preserve">la surveillance des émissions dans l’eau lors des phases OTNOC peut s'effectuer par des mesures directes des émissions, ou par le contrôle de paramètres de substitution s'il en résulte une qualité scientifique égale ou supérieure à la mesure directe des émissions. </w:t>
      </w:r>
    </w:p>
    <w:p w14:paraId="2B878ABC" w14:textId="4AA915F1" w:rsidR="00077777" w:rsidRPr="00077777" w:rsidRDefault="00077777" w:rsidP="002B0DC1">
      <w:pPr>
        <w:spacing w:after="240"/>
        <w:jc w:val="both"/>
      </w:pPr>
      <w:r w:rsidRPr="00077777">
        <w:t>« Les émissions au démarrage et à l'arrêt (DEM/ARR) peuvent être évaluées sur la base d'une mesure précise des émissions effectuée au moins une fois par an pour une procédure DEM/ARR typique, les résultats de cette mesure étant utilisés pour estimer les émissions lors de chaque DEM/ARR tout au long de l'année.</w:t>
      </w:r>
    </w:p>
    <w:p w14:paraId="09E21A81" w14:textId="21F50CFE" w:rsidR="00077777" w:rsidRPr="00077777" w:rsidRDefault="00077777" w:rsidP="002B0DC1">
      <w:pPr>
        <w:spacing w:after="240"/>
        <w:jc w:val="both"/>
        <w:rPr>
          <w:color w:val="000000"/>
          <w:lang w:eastAsia="fr-FR"/>
        </w:rPr>
      </w:pPr>
      <w:r w:rsidRPr="00077777">
        <w:t xml:space="preserve">« Ces dispositions s’appliquent dans les délais mentionnés </w:t>
      </w:r>
      <w:r w:rsidR="00D9011B">
        <w:t>au VII de l’article 3</w:t>
      </w:r>
      <w:r w:rsidRPr="00077777">
        <w:t xml:space="preserve"> du présent arrêté. ».</w:t>
      </w:r>
    </w:p>
    <w:p w14:paraId="1CFD5142" w14:textId="77777777" w:rsidR="00077777" w:rsidRDefault="00077777" w:rsidP="00936417"/>
    <w:p w14:paraId="27D37B71" w14:textId="20673A25" w:rsidR="00936417" w:rsidRPr="001E47C8" w:rsidRDefault="00936417" w:rsidP="00936417">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57</w:t>
      </w:r>
      <w:r w:rsidRPr="001E47C8">
        <w:rPr>
          <w:b/>
          <w:bCs/>
          <w:i/>
          <w:iCs/>
        </w:rPr>
        <w:fldChar w:fldCharType="end"/>
      </w:r>
    </w:p>
    <w:p w14:paraId="139162CB" w14:textId="77777777" w:rsidR="00077777" w:rsidRDefault="00077777" w:rsidP="00077777">
      <w:pPr>
        <w:jc w:val="both"/>
      </w:pPr>
    </w:p>
    <w:p w14:paraId="3DC9611B" w14:textId="31666B0B" w:rsidR="00077777" w:rsidRPr="00077777" w:rsidRDefault="00077777" w:rsidP="00077777">
      <w:pPr>
        <w:jc w:val="both"/>
      </w:pPr>
      <w:r w:rsidRPr="00077777">
        <w:t>L’article 4</w:t>
      </w:r>
      <w:r>
        <w:t>9</w:t>
      </w:r>
      <w:r w:rsidRPr="00077777">
        <w:t xml:space="preserve"> de l’arrêté susvisé est ainsi modifié :</w:t>
      </w:r>
    </w:p>
    <w:p w14:paraId="719F1BC0" w14:textId="77777777" w:rsidR="00077777" w:rsidRPr="00077777" w:rsidRDefault="00077777" w:rsidP="00077777">
      <w:pPr>
        <w:jc w:val="both"/>
      </w:pPr>
    </w:p>
    <w:p w14:paraId="7FF897DF" w14:textId="2BA2EC60" w:rsidR="00077777" w:rsidRPr="00077777" w:rsidRDefault="002A63A1" w:rsidP="00BC42AE">
      <w:pPr>
        <w:shd w:val="clear" w:color="auto" w:fill="FFFFFF"/>
        <w:spacing w:after="240"/>
        <w:jc w:val="both"/>
      </w:pPr>
      <w:r>
        <w:t>1°</w:t>
      </w:r>
      <w:r w:rsidR="00BD3157">
        <w:t xml:space="preserve"> Un </w:t>
      </w:r>
      <w:r w:rsidR="00077777" w:rsidRPr="00077777">
        <w:t>alinéa « Rejet dans un milieu naturel</w:t>
      </w:r>
      <w:r w:rsidR="00077777">
        <w:t xml:space="preserve"> </w:t>
      </w:r>
      <w:r w:rsidR="00077777" w:rsidRPr="00077777">
        <w:rPr>
          <w:lang w:eastAsia="fr-FR"/>
        </w:rPr>
        <w:t>»</w:t>
      </w:r>
      <w:r w:rsidR="00077777" w:rsidRPr="00077777">
        <w:t xml:space="preserve"> est inséré avant le premier alinéa.</w:t>
      </w:r>
    </w:p>
    <w:p w14:paraId="38FE0A5F" w14:textId="2CD4DD7A" w:rsidR="00077777" w:rsidRPr="004311FB" w:rsidRDefault="002A63A1" w:rsidP="00BC42AE">
      <w:pPr>
        <w:jc w:val="both"/>
      </w:pPr>
      <w:r>
        <w:t>2°</w:t>
      </w:r>
      <w:r w:rsidR="00077777" w:rsidRPr="004311FB">
        <w:t xml:space="preserve"> Les </w:t>
      </w:r>
      <w:r w:rsidR="004311FB">
        <w:t xml:space="preserve">I et II </w:t>
      </w:r>
      <w:r w:rsidR="00077777" w:rsidRPr="004311FB">
        <w:t xml:space="preserve">sont remplacés </w:t>
      </w:r>
      <w:r>
        <w:t>par l’alinéa suivant</w:t>
      </w:r>
      <w:r w:rsidR="00077777" w:rsidRPr="004311FB">
        <w:t> :</w:t>
      </w:r>
    </w:p>
    <w:p w14:paraId="5167D054" w14:textId="0A2285DC" w:rsidR="00077777" w:rsidRPr="004311FB" w:rsidRDefault="00077777" w:rsidP="00BC42AE">
      <w:pPr>
        <w:shd w:val="clear" w:color="auto" w:fill="FFFFFF"/>
        <w:spacing w:after="240"/>
        <w:jc w:val="both"/>
      </w:pPr>
      <w:r w:rsidRPr="004311FB">
        <w:rPr>
          <w:color w:val="000000"/>
          <w:lang w:eastAsia="fr-FR"/>
        </w:rPr>
        <w:t xml:space="preserve">« I. - </w:t>
      </w:r>
      <w:r w:rsidRPr="004311FB">
        <w:t>Les dispositions de l’article 64</w:t>
      </w:r>
      <w:r w:rsidR="00E70E3F" w:rsidRPr="00E70E3F">
        <w:t xml:space="preserve"> </w:t>
      </w:r>
      <w:r w:rsidR="00E70E3F" w:rsidRPr="004311FB">
        <w:t>de l’arrêté du 2 février 1998 susvisé</w:t>
      </w:r>
      <w:r w:rsidRPr="004311FB">
        <w:t xml:space="preserve">, relatives </w:t>
      </w:r>
      <w:r w:rsidR="004311FB" w:rsidRPr="004311FB">
        <w:t>à la surveillance des rejets aqueux,</w:t>
      </w:r>
      <w:r w:rsidRPr="004311FB">
        <w:t xml:space="preserve"> s’appliquent.</w:t>
      </w:r>
      <w:r w:rsidR="004311FB" w:rsidRPr="004311FB">
        <w:t> ».</w:t>
      </w:r>
    </w:p>
    <w:p w14:paraId="61D4A67E" w14:textId="2F6288F2" w:rsidR="004311FB" w:rsidRDefault="002A63A1" w:rsidP="00BC42AE">
      <w:pPr>
        <w:shd w:val="clear" w:color="auto" w:fill="FFFFFF"/>
        <w:spacing w:after="240"/>
        <w:jc w:val="both"/>
        <w:rPr>
          <w:rFonts w:cstheme="minorHAnsi"/>
        </w:rPr>
      </w:pPr>
      <w:r>
        <w:rPr>
          <w:rFonts w:cstheme="minorHAnsi"/>
        </w:rPr>
        <w:t>3°</w:t>
      </w:r>
      <w:r w:rsidR="004311FB">
        <w:rPr>
          <w:rFonts w:cstheme="minorHAnsi"/>
        </w:rPr>
        <w:t xml:space="preserve"> </w:t>
      </w:r>
      <w:r w:rsidR="00BD3157">
        <w:rPr>
          <w:rFonts w:cstheme="minorHAnsi"/>
        </w:rPr>
        <w:t>La référence :</w:t>
      </w:r>
      <w:r w:rsidR="004311FB">
        <w:rPr>
          <w:rFonts w:cstheme="minorHAnsi"/>
        </w:rPr>
        <w:t xml:space="preserve"> « III.- » est remplacé par </w:t>
      </w:r>
      <w:r w:rsidR="00BD3157">
        <w:rPr>
          <w:rFonts w:cstheme="minorHAnsi"/>
        </w:rPr>
        <w:t>la référence :</w:t>
      </w:r>
      <w:r w:rsidR="004311FB">
        <w:rPr>
          <w:rFonts w:cstheme="minorHAnsi"/>
        </w:rPr>
        <w:t xml:space="preserve"> « II.- ».</w:t>
      </w:r>
    </w:p>
    <w:p w14:paraId="5182AC77" w14:textId="09C9041D" w:rsidR="00077777" w:rsidRDefault="002A63A1" w:rsidP="00BC42AE">
      <w:pPr>
        <w:shd w:val="clear" w:color="auto" w:fill="FFFFFF"/>
        <w:spacing w:after="240"/>
        <w:jc w:val="both"/>
        <w:rPr>
          <w:rFonts w:cstheme="minorHAnsi"/>
        </w:rPr>
      </w:pPr>
      <w:r>
        <w:rPr>
          <w:rFonts w:cstheme="minorHAnsi"/>
        </w:rPr>
        <w:t>4°</w:t>
      </w:r>
      <w:r w:rsidR="004311FB">
        <w:rPr>
          <w:rFonts w:cstheme="minorHAnsi"/>
        </w:rPr>
        <w:t xml:space="preserve"> Au vingt-troisième alinéa, les mots : « d</w:t>
      </w:r>
      <w:r w:rsidR="00BC42AE">
        <w:rPr>
          <w:rFonts w:cstheme="minorHAnsi"/>
        </w:rPr>
        <w:t>u</w:t>
      </w:r>
      <w:r w:rsidR="004311FB">
        <w:rPr>
          <w:rFonts w:cstheme="minorHAnsi"/>
        </w:rPr>
        <w:t xml:space="preserve"> IV du présent article » sont remplacés par les mots : « du septième alinéa de l’article 64</w:t>
      </w:r>
      <w:r w:rsidR="00E70E3F" w:rsidRPr="00E70E3F">
        <w:rPr>
          <w:rFonts w:cstheme="minorHAnsi"/>
        </w:rPr>
        <w:t xml:space="preserve"> </w:t>
      </w:r>
      <w:r w:rsidR="00E70E3F">
        <w:rPr>
          <w:rFonts w:cstheme="minorHAnsi"/>
        </w:rPr>
        <w:t>de l’arrêté du 2 février 1998 susvisé</w:t>
      </w:r>
      <w:r w:rsidR="00BC42AE">
        <w:rPr>
          <w:rFonts w:cstheme="minorHAnsi"/>
        </w:rPr>
        <w:t>, relatives au rejet de substances susceptibles de s’accumuler dans l’environnement,</w:t>
      </w:r>
      <w:r w:rsidR="00E70E3F">
        <w:rPr>
          <w:rFonts w:cstheme="minorHAnsi"/>
        </w:rPr>
        <w:t xml:space="preserve"> </w:t>
      </w:r>
      <w:r w:rsidR="004311FB">
        <w:rPr>
          <w:rFonts w:cstheme="minorHAnsi"/>
        </w:rPr>
        <w:t>».</w:t>
      </w:r>
    </w:p>
    <w:p w14:paraId="4043FAE3" w14:textId="58E58D49" w:rsidR="004311FB" w:rsidRDefault="002A63A1" w:rsidP="00BC42AE">
      <w:pPr>
        <w:shd w:val="clear" w:color="auto" w:fill="FFFFFF"/>
        <w:spacing w:after="240"/>
        <w:jc w:val="both"/>
        <w:rPr>
          <w:rFonts w:cstheme="minorHAnsi"/>
        </w:rPr>
      </w:pPr>
      <w:r>
        <w:rPr>
          <w:rFonts w:cstheme="minorHAnsi"/>
        </w:rPr>
        <w:t>5°</w:t>
      </w:r>
      <w:r w:rsidR="004311FB">
        <w:rPr>
          <w:rFonts w:cstheme="minorHAnsi"/>
        </w:rPr>
        <w:t xml:space="preserve"> </w:t>
      </w:r>
      <w:r w:rsidR="00BD3157">
        <w:rPr>
          <w:rFonts w:cstheme="minorHAnsi"/>
        </w:rPr>
        <w:t>L’alinéa</w:t>
      </w:r>
      <w:r w:rsidR="004311FB">
        <w:rPr>
          <w:rFonts w:cstheme="minorHAnsi"/>
        </w:rPr>
        <w:t xml:space="preserve"> </w:t>
      </w:r>
      <w:r w:rsidR="00BD3157">
        <w:rPr>
          <w:rFonts w:cstheme="minorHAnsi"/>
        </w:rPr>
        <w:t>I</w:t>
      </w:r>
      <w:r w:rsidR="004311FB">
        <w:rPr>
          <w:rFonts w:cstheme="minorHAnsi"/>
        </w:rPr>
        <w:t>V</w:t>
      </w:r>
      <w:r w:rsidR="00BD3157">
        <w:rPr>
          <w:rFonts w:cstheme="minorHAnsi"/>
        </w:rPr>
        <w:t xml:space="preserve"> est supprimé</w:t>
      </w:r>
      <w:r w:rsidR="004311FB">
        <w:rPr>
          <w:rFonts w:cstheme="minorHAnsi"/>
        </w:rPr>
        <w:t>.</w:t>
      </w:r>
    </w:p>
    <w:p w14:paraId="2FE044A2" w14:textId="60DB96F5" w:rsidR="004311FB" w:rsidRDefault="002A63A1" w:rsidP="00BC42AE">
      <w:pPr>
        <w:shd w:val="clear" w:color="auto" w:fill="FFFFFF"/>
        <w:spacing w:after="240"/>
        <w:jc w:val="both"/>
        <w:rPr>
          <w:rFonts w:cstheme="minorHAnsi"/>
        </w:rPr>
      </w:pPr>
      <w:r>
        <w:rPr>
          <w:rFonts w:cstheme="minorHAnsi"/>
        </w:rPr>
        <w:t>6°</w:t>
      </w:r>
      <w:r w:rsidR="004311FB">
        <w:rPr>
          <w:rFonts w:cstheme="minorHAnsi"/>
        </w:rPr>
        <w:t xml:space="preserve"> </w:t>
      </w:r>
      <w:r w:rsidR="00BD3157">
        <w:rPr>
          <w:rFonts w:cstheme="minorHAnsi"/>
        </w:rPr>
        <w:t>La référence :</w:t>
      </w:r>
      <w:r w:rsidR="004311FB">
        <w:rPr>
          <w:rFonts w:cstheme="minorHAnsi"/>
        </w:rPr>
        <w:t xml:space="preserve"> « V.- » est remplacé par </w:t>
      </w:r>
      <w:r w:rsidR="00BD3157">
        <w:rPr>
          <w:rFonts w:cstheme="minorHAnsi"/>
        </w:rPr>
        <w:t>la référence</w:t>
      </w:r>
      <w:r w:rsidR="004311FB">
        <w:rPr>
          <w:rFonts w:cstheme="minorHAnsi"/>
        </w:rPr>
        <w:t> : « III.- ».</w:t>
      </w:r>
    </w:p>
    <w:p w14:paraId="197E03F5" w14:textId="538A8864" w:rsidR="00BC42AE" w:rsidRDefault="002A63A1" w:rsidP="00BC42AE">
      <w:pPr>
        <w:shd w:val="clear" w:color="auto" w:fill="FFFFFF"/>
        <w:spacing w:after="240"/>
        <w:jc w:val="both"/>
        <w:rPr>
          <w:rFonts w:cstheme="minorHAnsi"/>
        </w:rPr>
      </w:pPr>
      <w:r>
        <w:rPr>
          <w:rFonts w:cstheme="minorHAnsi"/>
        </w:rPr>
        <w:t>7°</w:t>
      </w:r>
      <w:r w:rsidR="00BD3157">
        <w:rPr>
          <w:rFonts w:cstheme="minorHAnsi"/>
        </w:rPr>
        <w:t xml:space="preserve"> Au V,</w:t>
      </w:r>
      <w:r w:rsidR="00BC42AE">
        <w:rPr>
          <w:rFonts w:cstheme="minorHAnsi"/>
        </w:rPr>
        <w:t xml:space="preserve"> les mots : « aux I, II et IV » sont remplacés par les mots : « </w:t>
      </w:r>
      <w:r w:rsidR="00BC42AE" w:rsidRPr="00BC42AE">
        <w:rPr>
          <w:rFonts w:cstheme="minorHAnsi"/>
        </w:rPr>
        <w:t>à l’article 64</w:t>
      </w:r>
      <w:r w:rsidR="00E70E3F" w:rsidRPr="00E70E3F">
        <w:rPr>
          <w:rFonts w:cstheme="minorHAnsi"/>
        </w:rPr>
        <w:t xml:space="preserve"> </w:t>
      </w:r>
      <w:r w:rsidR="00E70E3F" w:rsidRPr="00BC42AE">
        <w:rPr>
          <w:rFonts w:cstheme="minorHAnsi"/>
        </w:rPr>
        <w:t>de l’arrêté du 2 février 1998 susvisé</w:t>
      </w:r>
      <w:r w:rsidR="00BC42AE" w:rsidRPr="00BC42AE">
        <w:rPr>
          <w:rFonts w:cstheme="minorHAnsi"/>
        </w:rPr>
        <w:t>, relatives à la surveillance des rejets aqueux,</w:t>
      </w:r>
      <w:r w:rsidR="00E70E3F">
        <w:rPr>
          <w:rFonts w:cstheme="minorHAnsi"/>
        </w:rPr>
        <w:t xml:space="preserve"> </w:t>
      </w:r>
      <w:r w:rsidR="00BC42AE">
        <w:rPr>
          <w:rFonts w:cstheme="minorHAnsi"/>
        </w:rPr>
        <w:t>».</w:t>
      </w:r>
    </w:p>
    <w:p w14:paraId="157B59E4" w14:textId="68564A32" w:rsidR="004311FB" w:rsidRDefault="002A63A1" w:rsidP="004311FB">
      <w:pPr>
        <w:shd w:val="clear" w:color="auto" w:fill="FFFFFF"/>
        <w:spacing w:after="240"/>
        <w:rPr>
          <w:rFonts w:cstheme="minorHAnsi"/>
        </w:rPr>
      </w:pPr>
      <w:r>
        <w:rPr>
          <w:rFonts w:cstheme="minorHAnsi"/>
        </w:rPr>
        <w:t>8°</w:t>
      </w:r>
      <w:r w:rsidR="004311FB">
        <w:rPr>
          <w:rFonts w:cstheme="minorHAnsi"/>
        </w:rPr>
        <w:t xml:space="preserve"> </w:t>
      </w:r>
      <w:r w:rsidR="00BD3157">
        <w:rPr>
          <w:rFonts w:cstheme="minorHAnsi"/>
        </w:rPr>
        <w:t>L’alinéa</w:t>
      </w:r>
      <w:r w:rsidR="004311FB">
        <w:rPr>
          <w:rFonts w:cstheme="minorHAnsi"/>
        </w:rPr>
        <w:t xml:space="preserve"> VI</w:t>
      </w:r>
      <w:r w:rsidR="00BD3157">
        <w:rPr>
          <w:rFonts w:cstheme="minorHAnsi"/>
        </w:rPr>
        <w:t xml:space="preserve"> est supprimé.</w:t>
      </w:r>
    </w:p>
    <w:p w14:paraId="1308AE0B" w14:textId="186B6506" w:rsidR="00936417" w:rsidRPr="001E47C8" w:rsidRDefault="00936417" w:rsidP="00936417">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58</w:t>
      </w:r>
      <w:r w:rsidRPr="001E47C8">
        <w:rPr>
          <w:b/>
          <w:bCs/>
          <w:i/>
          <w:iCs/>
        </w:rPr>
        <w:fldChar w:fldCharType="end"/>
      </w:r>
    </w:p>
    <w:p w14:paraId="2966F807" w14:textId="77777777" w:rsidR="00931178" w:rsidRDefault="00931178" w:rsidP="004311FB">
      <w:pPr>
        <w:jc w:val="both"/>
      </w:pPr>
    </w:p>
    <w:p w14:paraId="7C2308C5" w14:textId="577472DA" w:rsidR="004311FB" w:rsidRPr="004311FB" w:rsidRDefault="004311FB" w:rsidP="002B0DC1">
      <w:pPr>
        <w:jc w:val="both"/>
      </w:pPr>
      <w:r w:rsidRPr="004311FB">
        <w:t>L’article 50 de l’arrêté susvisé est ainsi modifié :</w:t>
      </w:r>
    </w:p>
    <w:p w14:paraId="67146646" w14:textId="77777777" w:rsidR="004311FB" w:rsidRPr="004311FB" w:rsidRDefault="004311FB" w:rsidP="002B0DC1">
      <w:pPr>
        <w:jc w:val="both"/>
      </w:pPr>
    </w:p>
    <w:p w14:paraId="14A47D40" w14:textId="1F698A94" w:rsidR="004311FB" w:rsidRDefault="00722B85" w:rsidP="002B0DC1">
      <w:pPr>
        <w:spacing w:after="240"/>
        <w:jc w:val="both"/>
      </w:pPr>
      <w:r>
        <w:t>1°</w:t>
      </w:r>
      <w:r w:rsidR="004311FB" w:rsidRPr="004311FB">
        <w:t xml:space="preserve"> </w:t>
      </w:r>
      <w:r w:rsidR="00BD3157">
        <w:t xml:space="preserve">Un </w:t>
      </w:r>
      <w:r w:rsidR="00BD3157" w:rsidRPr="004311FB">
        <w:t xml:space="preserve">alinéa </w:t>
      </w:r>
      <w:r w:rsidR="004311FB" w:rsidRPr="004311FB">
        <w:t xml:space="preserve">« Rejets accidentels, rétentions </w:t>
      </w:r>
      <w:r w:rsidR="004311FB" w:rsidRPr="004311FB">
        <w:rPr>
          <w:lang w:eastAsia="fr-FR"/>
        </w:rPr>
        <w:t>»</w:t>
      </w:r>
      <w:r w:rsidR="004311FB" w:rsidRPr="004311FB">
        <w:t xml:space="preserve"> est inséré avant le premier alinéa.</w:t>
      </w:r>
    </w:p>
    <w:p w14:paraId="4F099218" w14:textId="6692F24B" w:rsidR="00936417" w:rsidRPr="004311FB" w:rsidRDefault="00722B85" w:rsidP="002B0DC1">
      <w:pPr>
        <w:spacing w:after="240"/>
        <w:jc w:val="both"/>
      </w:pPr>
      <w:r>
        <w:t>2°</w:t>
      </w:r>
      <w:r w:rsidR="004311FB">
        <w:t xml:space="preserve"> Les </w:t>
      </w:r>
      <w:r w:rsidR="00BD3157">
        <w:t xml:space="preserve">alinéas </w:t>
      </w:r>
      <w:r w:rsidR="004311FB">
        <w:t xml:space="preserve">III, IV et V sont remplacées </w:t>
      </w:r>
      <w:r>
        <w:t>par les alinéas suivants</w:t>
      </w:r>
      <w:r w:rsidR="004311FB">
        <w:t> :</w:t>
      </w:r>
    </w:p>
    <w:p w14:paraId="249F941F" w14:textId="408C4DAC" w:rsidR="004311FB" w:rsidRPr="004311FB" w:rsidRDefault="004311FB" w:rsidP="002B0DC1">
      <w:pPr>
        <w:jc w:val="both"/>
        <w:rPr>
          <w:lang w:eastAsia="fr-FR"/>
        </w:rPr>
      </w:pPr>
      <w:r w:rsidRPr="004311FB">
        <w:rPr>
          <w:lang w:eastAsia="fr-FR"/>
        </w:rPr>
        <w:t>« III. - Les dispositions des I et II de l’article 25 de l’arrêté du 4 octobre 2010 relatif à la prévention des risques accidentels au sein des installations classées pour la protection de l’environnement soumises à autorisation s’appliquent.</w:t>
      </w:r>
    </w:p>
    <w:p w14:paraId="1902261B" w14:textId="77777777" w:rsidR="004311FB" w:rsidRPr="004311FB" w:rsidRDefault="004311FB" w:rsidP="002B0DC1">
      <w:pPr>
        <w:jc w:val="both"/>
        <w:rPr>
          <w:lang w:eastAsia="fr-FR"/>
        </w:rPr>
      </w:pPr>
    </w:p>
    <w:p w14:paraId="027CA02C" w14:textId="10A706A8" w:rsidR="004311FB" w:rsidRPr="004311FB" w:rsidRDefault="004311FB" w:rsidP="002B0DC1">
      <w:pPr>
        <w:jc w:val="both"/>
        <w:rPr>
          <w:shd w:val="clear" w:color="auto" w:fill="FFFFFF"/>
        </w:rPr>
      </w:pPr>
      <w:r w:rsidRPr="004311FB">
        <w:rPr>
          <w:lang w:eastAsia="fr-FR"/>
        </w:rPr>
        <w:t>« IV. - Les dispositions des 2</w:t>
      </w:r>
      <w:r w:rsidRPr="004311FB">
        <w:rPr>
          <w:vertAlign w:val="superscript"/>
          <w:lang w:eastAsia="fr-FR"/>
        </w:rPr>
        <w:t>e</w:t>
      </w:r>
      <w:r w:rsidRPr="004311FB">
        <w:rPr>
          <w:lang w:eastAsia="fr-FR"/>
        </w:rPr>
        <w:t>, 3</w:t>
      </w:r>
      <w:r w:rsidRPr="004311FB">
        <w:rPr>
          <w:vertAlign w:val="superscript"/>
          <w:lang w:eastAsia="fr-FR"/>
        </w:rPr>
        <w:t>e</w:t>
      </w:r>
      <w:r w:rsidRPr="004311FB">
        <w:rPr>
          <w:lang w:eastAsia="fr-FR"/>
        </w:rPr>
        <w:t xml:space="preserve"> et 4</w:t>
      </w:r>
      <w:r w:rsidRPr="004311FB">
        <w:rPr>
          <w:vertAlign w:val="superscript"/>
          <w:lang w:eastAsia="fr-FR"/>
        </w:rPr>
        <w:t>e</w:t>
      </w:r>
      <w:r w:rsidRPr="004311FB">
        <w:rPr>
          <w:lang w:eastAsia="fr-FR"/>
        </w:rPr>
        <w:t xml:space="preserve"> alinéas de l’article 25 de l’arrêté du 4 octobre 2010 susmentionné ne s’appliquent pas aux stockages de fioul lourd autorisés avant le 31 juillet 2002. « </w:t>
      </w:r>
      <w:r w:rsidRPr="004311FB">
        <w:rPr>
          <w:shd w:val="clear" w:color="auto" w:fill="FFFFFF"/>
        </w:rPr>
        <w:t>Ces installations sont associées à une capacité de rétention étanche dont le volume est au moins égal à la plus grande des deux valeurs suivantes :</w:t>
      </w:r>
    </w:p>
    <w:p w14:paraId="02195A9B" w14:textId="3610A1C9" w:rsidR="004311FB" w:rsidRPr="004311FB" w:rsidRDefault="004311FB" w:rsidP="002B0DC1">
      <w:pPr>
        <w:jc w:val="both"/>
        <w:rPr>
          <w:shd w:val="clear" w:color="auto" w:fill="FFFFFF"/>
        </w:rPr>
      </w:pPr>
      <w:r w:rsidRPr="004311FB">
        <w:rPr>
          <w:shd w:val="clear" w:color="auto" w:fill="FFFFFF"/>
        </w:rPr>
        <w:t>« - 50 % de la capacité du plus grand réservoir ;</w:t>
      </w:r>
    </w:p>
    <w:p w14:paraId="21B59CA4" w14:textId="1A04B6B6" w:rsidR="004311FB" w:rsidRPr="004311FB" w:rsidRDefault="004311FB" w:rsidP="002B0DC1">
      <w:pPr>
        <w:jc w:val="both"/>
        <w:rPr>
          <w:shd w:val="clear" w:color="auto" w:fill="FFFFFF"/>
        </w:rPr>
      </w:pPr>
      <w:r w:rsidRPr="004311FB">
        <w:rPr>
          <w:shd w:val="clear" w:color="auto" w:fill="FFFFFF"/>
        </w:rPr>
        <w:t>« - 20 % de la capacité globale des récipients associés.</w:t>
      </w:r>
      <w:r>
        <w:rPr>
          <w:shd w:val="clear" w:color="auto" w:fill="FFFFFF"/>
        </w:rPr>
        <w:t> ».</w:t>
      </w:r>
    </w:p>
    <w:p w14:paraId="3D36821A" w14:textId="77777777" w:rsidR="00936417" w:rsidRDefault="00936417" w:rsidP="002B0DC1"/>
    <w:p w14:paraId="6F2A020C" w14:textId="6699BA5A" w:rsidR="00936417" w:rsidRPr="001E47C8" w:rsidRDefault="00936417"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59</w:t>
      </w:r>
      <w:r w:rsidRPr="001E47C8">
        <w:rPr>
          <w:b/>
          <w:bCs/>
          <w:i/>
          <w:iCs/>
        </w:rPr>
        <w:fldChar w:fldCharType="end"/>
      </w:r>
    </w:p>
    <w:p w14:paraId="399D8810" w14:textId="41E22A66" w:rsidR="00936417" w:rsidRDefault="00936417" w:rsidP="002B0DC1"/>
    <w:p w14:paraId="1C81736F" w14:textId="02B79329" w:rsidR="004311FB" w:rsidRPr="00683E54" w:rsidRDefault="00BD3157" w:rsidP="002B0DC1">
      <w:r>
        <w:t xml:space="preserve">Après l’article 50 de l’arrêté susvisé sont insérés le chapitre et les articles suivants : </w:t>
      </w:r>
    </w:p>
    <w:p w14:paraId="10211477" w14:textId="198749B5" w:rsidR="004311FB" w:rsidRPr="00683E54" w:rsidRDefault="004311FB" w:rsidP="002B0DC1"/>
    <w:p w14:paraId="486C3988" w14:textId="43228627" w:rsidR="00683E54" w:rsidRPr="00683E54" w:rsidRDefault="00683E54" w:rsidP="002B0DC1">
      <w:pPr>
        <w:spacing w:after="240"/>
        <w:jc w:val="both"/>
        <w:rPr>
          <w:color w:val="000000"/>
          <w:lang w:eastAsia="fr-FR"/>
        </w:rPr>
      </w:pPr>
      <w:r w:rsidRPr="00683E54">
        <w:rPr>
          <w:color w:val="000000"/>
          <w:lang w:eastAsia="fr-FR"/>
        </w:rPr>
        <w:t>« Chapitre VI : Eaux souterraines, sols</w:t>
      </w:r>
    </w:p>
    <w:p w14:paraId="2FA4EACD" w14:textId="2F41C151" w:rsidR="00683E54" w:rsidRPr="00683E54" w:rsidRDefault="00683E54" w:rsidP="00BD3157">
      <w:pPr>
        <w:spacing w:after="240"/>
        <w:jc w:val="both"/>
        <w:rPr>
          <w:color w:val="000000"/>
          <w:lang w:eastAsia="fr-FR"/>
        </w:rPr>
      </w:pPr>
      <w:r w:rsidRPr="00683E54">
        <w:rPr>
          <w:color w:val="000000"/>
          <w:lang w:eastAsia="fr-FR"/>
        </w:rPr>
        <w:t>« </w:t>
      </w:r>
      <w:r w:rsidR="00BD3157" w:rsidRPr="00BD3157">
        <w:rPr>
          <w:i/>
          <w:iCs/>
          <w:color w:val="000000"/>
          <w:lang w:eastAsia="fr-FR"/>
        </w:rPr>
        <w:t xml:space="preserve">Art. </w:t>
      </w:r>
      <w:r w:rsidRPr="00BD3157">
        <w:rPr>
          <w:i/>
          <w:iCs/>
          <w:color w:val="000000"/>
          <w:lang w:eastAsia="fr-FR"/>
        </w:rPr>
        <w:t>50-1</w:t>
      </w:r>
      <w:r w:rsidR="00BD3157" w:rsidRPr="00BD3157">
        <w:rPr>
          <w:i/>
          <w:iCs/>
          <w:color w:val="000000"/>
          <w:lang w:eastAsia="fr-FR"/>
        </w:rPr>
        <w:t>. -</w:t>
      </w:r>
      <w:r w:rsidRPr="00683E54">
        <w:rPr>
          <w:color w:val="000000"/>
          <w:lang w:eastAsia="fr-FR"/>
        </w:rPr>
        <w:t> </w:t>
      </w:r>
      <w:r w:rsidR="003B6655">
        <w:rPr>
          <w:color w:val="000000"/>
          <w:lang w:eastAsia="fr-FR"/>
        </w:rPr>
        <w:t>S</w:t>
      </w:r>
      <w:r w:rsidRPr="00683E54">
        <w:rPr>
          <w:color w:val="000000"/>
          <w:lang w:eastAsia="fr-FR"/>
        </w:rPr>
        <w:t>urveillance des eaux souterraines et des sols</w:t>
      </w:r>
    </w:p>
    <w:p w14:paraId="64D082ED" w14:textId="300B244F" w:rsidR="00683E54" w:rsidRPr="00683E54" w:rsidRDefault="00683E54" w:rsidP="002B0DC1">
      <w:pPr>
        <w:jc w:val="both"/>
        <w:rPr>
          <w:color w:val="000000"/>
          <w:lang w:eastAsia="fr-FR"/>
        </w:rPr>
      </w:pPr>
      <w:r w:rsidRPr="00683E54">
        <w:rPr>
          <w:color w:val="000000"/>
          <w:lang w:eastAsia="fr-FR"/>
        </w:rPr>
        <w:t xml:space="preserve">« Les dispositions </w:t>
      </w:r>
      <w:r w:rsidR="004B42BA">
        <w:rPr>
          <w:color w:val="000000"/>
          <w:lang w:eastAsia="fr-FR"/>
        </w:rPr>
        <w:t>d</w:t>
      </w:r>
      <w:r w:rsidR="003B6655">
        <w:rPr>
          <w:color w:val="000000"/>
          <w:lang w:eastAsia="fr-FR"/>
        </w:rPr>
        <w:t>es III et</w:t>
      </w:r>
      <w:r w:rsidR="004B42BA">
        <w:rPr>
          <w:color w:val="000000"/>
          <w:lang w:eastAsia="fr-FR"/>
        </w:rPr>
        <w:t xml:space="preserve"> IV </w:t>
      </w:r>
      <w:r w:rsidRPr="00683E54">
        <w:rPr>
          <w:color w:val="000000"/>
          <w:lang w:eastAsia="fr-FR"/>
        </w:rPr>
        <w:t xml:space="preserve">de l’article 6 bis de l’arrêté du 2 février 1998 </w:t>
      </w:r>
      <w:r w:rsidR="00E40375">
        <w:rPr>
          <w:color w:val="000000"/>
          <w:lang w:eastAsia="fr-FR"/>
        </w:rPr>
        <w:t xml:space="preserve">susvisé </w:t>
      </w:r>
      <w:r w:rsidRPr="00683E54">
        <w:rPr>
          <w:color w:val="000000"/>
          <w:lang w:eastAsia="fr-FR"/>
        </w:rPr>
        <w:t>s’appliquent.</w:t>
      </w:r>
    </w:p>
    <w:p w14:paraId="2E3BB0BD" w14:textId="77777777" w:rsidR="00683E54" w:rsidRPr="00683E54" w:rsidRDefault="00683E54" w:rsidP="002B0DC1">
      <w:pPr>
        <w:jc w:val="both"/>
        <w:rPr>
          <w:color w:val="000000"/>
          <w:lang w:eastAsia="fr-FR"/>
        </w:rPr>
      </w:pPr>
    </w:p>
    <w:p w14:paraId="0A866668" w14:textId="1BAE2655" w:rsidR="00683E54" w:rsidRPr="00683E54" w:rsidRDefault="00683E54" w:rsidP="00883D99">
      <w:pPr>
        <w:jc w:val="both"/>
        <w:rPr>
          <w:color w:val="000000"/>
          <w:lang w:eastAsia="fr-FR"/>
        </w:rPr>
      </w:pPr>
      <w:r w:rsidRPr="00683E54">
        <w:rPr>
          <w:color w:val="000000"/>
          <w:lang w:eastAsia="fr-FR"/>
        </w:rPr>
        <w:t>« </w:t>
      </w:r>
      <w:r w:rsidR="00883D99" w:rsidRPr="00883D99">
        <w:rPr>
          <w:i/>
          <w:iCs/>
          <w:color w:val="000000"/>
          <w:lang w:eastAsia="fr-FR"/>
        </w:rPr>
        <w:t xml:space="preserve">Art. </w:t>
      </w:r>
      <w:r w:rsidRPr="00883D99">
        <w:rPr>
          <w:i/>
          <w:iCs/>
          <w:color w:val="000000"/>
          <w:lang w:eastAsia="fr-FR"/>
        </w:rPr>
        <w:t>50-2</w:t>
      </w:r>
      <w:r w:rsidR="00883D99" w:rsidRPr="00883D99">
        <w:rPr>
          <w:i/>
          <w:iCs/>
          <w:color w:val="000000"/>
          <w:lang w:eastAsia="fr-FR"/>
        </w:rPr>
        <w:t>. -</w:t>
      </w:r>
      <w:r w:rsidRPr="00683E54">
        <w:rPr>
          <w:color w:val="000000"/>
          <w:lang w:eastAsia="fr-FR"/>
        </w:rPr>
        <w:t> Rejets dans les sols</w:t>
      </w:r>
    </w:p>
    <w:p w14:paraId="611360C5" w14:textId="77777777" w:rsidR="00683E54" w:rsidRPr="00683E54" w:rsidRDefault="00683E54" w:rsidP="002B0DC1">
      <w:pPr>
        <w:jc w:val="both"/>
        <w:rPr>
          <w:color w:val="000000"/>
          <w:lang w:eastAsia="fr-FR"/>
        </w:rPr>
      </w:pPr>
    </w:p>
    <w:p w14:paraId="6E9C51CE" w14:textId="52AA73CC" w:rsidR="00683E54" w:rsidRDefault="00683E54" w:rsidP="00883D99">
      <w:pPr>
        <w:jc w:val="both"/>
        <w:rPr>
          <w:color w:val="000000"/>
          <w:lang w:eastAsia="fr-FR"/>
        </w:rPr>
      </w:pPr>
      <w:r w:rsidRPr="00683E54">
        <w:rPr>
          <w:color w:val="000000"/>
          <w:lang w:eastAsia="fr-FR"/>
        </w:rPr>
        <w:t xml:space="preserve">« Les dispositions de l’article 25 de l’arrêté du 2 février 1998 </w:t>
      </w:r>
      <w:r w:rsidR="00E40375">
        <w:rPr>
          <w:color w:val="000000"/>
          <w:lang w:eastAsia="fr-FR"/>
        </w:rPr>
        <w:t xml:space="preserve">susvisé </w:t>
      </w:r>
      <w:r w:rsidRPr="00683E54">
        <w:rPr>
          <w:color w:val="000000"/>
          <w:lang w:eastAsia="fr-FR"/>
        </w:rPr>
        <w:t>s’appliquent.</w:t>
      </w:r>
    </w:p>
    <w:p w14:paraId="70294920" w14:textId="77777777" w:rsidR="00240E2D" w:rsidRPr="00683E54" w:rsidRDefault="00240E2D" w:rsidP="00883D99">
      <w:pPr>
        <w:jc w:val="both"/>
        <w:rPr>
          <w:color w:val="000000"/>
          <w:lang w:eastAsia="fr-FR"/>
        </w:rPr>
      </w:pPr>
    </w:p>
    <w:p w14:paraId="2C44F185" w14:textId="4C84FC08" w:rsidR="00683E54" w:rsidRPr="00683E54" w:rsidRDefault="00683E54" w:rsidP="00883D99">
      <w:pPr>
        <w:spacing w:after="240"/>
        <w:jc w:val="both"/>
        <w:rPr>
          <w:color w:val="000000"/>
          <w:lang w:eastAsia="fr-FR"/>
        </w:rPr>
      </w:pPr>
      <w:r w:rsidRPr="00683E54">
        <w:rPr>
          <w:color w:val="000000"/>
          <w:lang w:eastAsia="fr-FR"/>
        </w:rPr>
        <w:t>« </w:t>
      </w:r>
      <w:r w:rsidR="00883D99" w:rsidRPr="00883D99">
        <w:rPr>
          <w:i/>
          <w:iCs/>
          <w:color w:val="000000"/>
          <w:lang w:eastAsia="fr-FR"/>
        </w:rPr>
        <w:t xml:space="preserve">Art. </w:t>
      </w:r>
      <w:r w:rsidRPr="00883D99">
        <w:rPr>
          <w:i/>
          <w:iCs/>
          <w:color w:val="000000"/>
          <w:lang w:eastAsia="fr-FR"/>
        </w:rPr>
        <w:t>50-3</w:t>
      </w:r>
      <w:r w:rsidR="00883D99" w:rsidRPr="00883D99">
        <w:rPr>
          <w:i/>
          <w:iCs/>
          <w:color w:val="000000"/>
          <w:lang w:eastAsia="fr-FR"/>
        </w:rPr>
        <w:t>. -</w:t>
      </w:r>
      <w:r w:rsidR="00883D99">
        <w:rPr>
          <w:color w:val="000000"/>
          <w:lang w:eastAsia="fr-FR"/>
        </w:rPr>
        <w:t xml:space="preserve"> </w:t>
      </w:r>
      <w:r w:rsidRPr="00683E54">
        <w:rPr>
          <w:color w:val="000000"/>
          <w:lang w:eastAsia="fr-FR"/>
        </w:rPr>
        <w:t>Surveillance des eaux souterraines en contexte de pollution</w:t>
      </w:r>
    </w:p>
    <w:p w14:paraId="0293063E" w14:textId="0022C4D9" w:rsidR="004311FB" w:rsidRPr="00931178" w:rsidRDefault="00683E54" w:rsidP="002B0DC1">
      <w:pPr>
        <w:spacing w:after="240"/>
        <w:jc w:val="both"/>
        <w:rPr>
          <w:color w:val="000000"/>
          <w:lang w:eastAsia="fr-FR"/>
        </w:rPr>
      </w:pPr>
      <w:r w:rsidRPr="00683E54">
        <w:rPr>
          <w:color w:val="000000"/>
          <w:lang w:eastAsia="fr-FR"/>
        </w:rPr>
        <w:t xml:space="preserve">« Les dispositions de l’article 65 bis de l’arrêté du 2 février 1998 </w:t>
      </w:r>
      <w:r w:rsidR="00E40375">
        <w:rPr>
          <w:color w:val="000000"/>
          <w:lang w:eastAsia="fr-FR"/>
        </w:rPr>
        <w:t>susvisé</w:t>
      </w:r>
      <w:r w:rsidR="00E40375" w:rsidRPr="00683E54">
        <w:rPr>
          <w:color w:val="000000"/>
          <w:lang w:eastAsia="fr-FR"/>
        </w:rPr>
        <w:t xml:space="preserve"> </w:t>
      </w:r>
      <w:r w:rsidRPr="00683E54">
        <w:rPr>
          <w:color w:val="000000"/>
          <w:lang w:eastAsia="fr-FR"/>
        </w:rPr>
        <w:t xml:space="preserve">s’appliquent </w:t>
      </w:r>
      <w:r w:rsidR="00AA735F">
        <w:rPr>
          <w:color w:val="000000"/>
          <w:lang w:eastAsia="fr-FR"/>
        </w:rPr>
        <w:t>à compter du 1</w:t>
      </w:r>
      <w:r w:rsidR="00AA735F" w:rsidRPr="00AA735F">
        <w:rPr>
          <w:color w:val="000000"/>
          <w:vertAlign w:val="superscript"/>
          <w:lang w:eastAsia="fr-FR"/>
        </w:rPr>
        <w:t>er</w:t>
      </w:r>
      <w:r w:rsidR="00AA735F">
        <w:rPr>
          <w:color w:val="000000"/>
          <w:lang w:eastAsia="fr-FR"/>
        </w:rPr>
        <w:t xml:space="preserve"> janvier 2026</w:t>
      </w:r>
      <w:r w:rsidRPr="00683E54">
        <w:rPr>
          <w:color w:val="000000"/>
          <w:lang w:eastAsia="fr-FR"/>
        </w:rPr>
        <w:t>. »</w:t>
      </w:r>
    </w:p>
    <w:p w14:paraId="6B799178" w14:textId="39F8174F" w:rsidR="00936417" w:rsidRPr="00914E79" w:rsidRDefault="00936417"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60</w:t>
      </w:r>
      <w:r w:rsidRPr="00914E79">
        <w:rPr>
          <w:b/>
          <w:bCs/>
          <w:i/>
          <w:iCs/>
        </w:rPr>
        <w:fldChar w:fldCharType="end"/>
      </w:r>
    </w:p>
    <w:p w14:paraId="31CEA99F" w14:textId="3091E832" w:rsidR="00936417" w:rsidRDefault="00936417" w:rsidP="002B0DC1"/>
    <w:p w14:paraId="5E2C7C32" w14:textId="4308F1AF" w:rsidR="00883D99" w:rsidRPr="00BF13B7" w:rsidRDefault="00883D99" w:rsidP="00883D99">
      <w:pPr>
        <w:jc w:val="both"/>
      </w:pPr>
      <w:r w:rsidRPr="00BF13B7">
        <w:t xml:space="preserve">L’article </w:t>
      </w:r>
      <w:r>
        <w:t>51</w:t>
      </w:r>
      <w:r w:rsidRPr="00BF13B7">
        <w:t xml:space="preserve"> de l’arrêté susvisé est </w:t>
      </w:r>
      <w:r>
        <w:t>remplacé par les dispositions suivantes :</w:t>
      </w:r>
    </w:p>
    <w:p w14:paraId="2E9F7649" w14:textId="77777777" w:rsidR="00931178" w:rsidRPr="004311FB" w:rsidRDefault="00931178" w:rsidP="002B0DC1">
      <w:pPr>
        <w:jc w:val="both"/>
      </w:pPr>
    </w:p>
    <w:p w14:paraId="3689ABBB" w14:textId="591ACA3D" w:rsidR="00931178" w:rsidRDefault="00931178" w:rsidP="002B0DC1">
      <w:pPr>
        <w:spacing w:after="240"/>
        <w:jc w:val="both"/>
      </w:pPr>
      <w:r w:rsidRPr="004311FB">
        <w:t>« </w:t>
      </w:r>
      <w:r w:rsidR="004B42BA" w:rsidRPr="004B42BA">
        <w:rPr>
          <w:i/>
          <w:iCs/>
        </w:rPr>
        <w:t>Art. 51. -</w:t>
      </w:r>
      <w:r w:rsidR="004B42BA">
        <w:t xml:space="preserve"> </w:t>
      </w:r>
      <w:r w:rsidRPr="00931178">
        <w:t>Dispositions générales concernant la gestion des déchets</w:t>
      </w:r>
      <w:r>
        <w:t xml:space="preserve"> </w:t>
      </w:r>
    </w:p>
    <w:p w14:paraId="4D9EA92D" w14:textId="293E9114" w:rsidR="00931178" w:rsidRPr="00931178" w:rsidRDefault="00931178" w:rsidP="002B0DC1">
      <w:pPr>
        <w:jc w:val="both"/>
        <w:rPr>
          <w:sz w:val="22"/>
          <w:szCs w:val="22"/>
          <w:lang w:eastAsia="fr-FR"/>
        </w:rPr>
      </w:pPr>
      <w:r w:rsidRPr="00931178">
        <w:t>« </w:t>
      </w:r>
      <w:r w:rsidRPr="00931178">
        <w:rPr>
          <w:lang w:eastAsia="fr-FR"/>
        </w:rPr>
        <w:t>I.</w:t>
      </w:r>
      <w:r w:rsidR="00883D99">
        <w:rPr>
          <w:lang w:eastAsia="fr-FR"/>
        </w:rPr>
        <w:t xml:space="preserve"> -</w:t>
      </w:r>
      <w:r w:rsidRPr="00931178">
        <w:rPr>
          <w:lang w:eastAsia="fr-FR"/>
        </w:rPr>
        <w:t xml:space="preserve"> Les dispositions de l’article 44</w:t>
      </w:r>
      <w:r w:rsidR="00E70E3F" w:rsidRPr="00E70E3F">
        <w:rPr>
          <w:lang w:eastAsia="fr-FR"/>
        </w:rPr>
        <w:t xml:space="preserve"> </w:t>
      </w:r>
      <w:r w:rsidR="00E70E3F" w:rsidRPr="00931178">
        <w:rPr>
          <w:lang w:eastAsia="fr-FR"/>
        </w:rPr>
        <w:t>de l’arrêté du 2 février 1998 susvisé</w:t>
      </w:r>
      <w:r w:rsidRPr="00931178">
        <w:rPr>
          <w:lang w:eastAsia="fr-FR"/>
        </w:rPr>
        <w:t xml:space="preserve">, relatif aux déchets, </w:t>
      </w:r>
      <w:r w:rsidRPr="00931178">
        <w:rPr>
          <w:sz w:val="22"/>
          <w:szCs w:val="22"/>
          <w:lang w:eastAsia="fr-FR"/>
        </w:rPr>
        <w:t>s’appliquent.</w:t>
      </w:r>
    </w:p>
    <w:p w14:paraId="00CBED14" w14:textId="2A52CC58" w:rsidR="00931178" w:rsidRPr="00931178" w:rsidRDefault="00931178" w:rsidP="002B0DC1">
      <w:pPr>
        <w:jc w:val="both"/>
        <w:rPr>
          <w:sz w:val="22"/>
          <w:szCs w:val="22"/>
          <w:lang w:eastAsia="fr-FR"/>
        </w:rPr>
      </w:pPr>
    </w:p>
    <w:p w14:paraId="41FFDA63" w14:textId="0F21DFA8" w:rsidR="00931178" w:rsidRPr="00931178" w:rsidRDefault="00931178" w:rsidP="002B0DC1">
      <w:pPr>
        <w:jc w:val="both"/>
        <w:rPr>
          <w:color w:val="000000"/>
          <w:lang w:eastAsia="fr-FR"/>
        </w:rPr>
      </w:pPr>
      <w:r>
        <w:rPr>
          <w:color w:val="000000"/>
          <w:lang w:eastAsia="fr-FR"/>
        </w:rPr>
        <w:t>« </w:t>
      </w:r>
      <w:r w:rsidRPr="00931178">
        <w:rPr>
          <w:color w:val="000000"/>
          <w:lang w:eastAsia="fr-FR"/>
        </w:rPr>
        <w:t xml:space="preserve">II. – </w:t>
      </w:r>
      <w:r w:rsidR="0064646E" w:rsidRPr="0064646E">
        <w:rPr>
          <w:color w:val="000000"/>
          <w:lang w:eastAsia="fr-FR"/>
        </w:rPr>
        <w:t>Pour les appareils (chaudières, turbines, moteurs) de puissance thermique nominale totale supérieure ou égale à 15 MW</w:t>
      </w:r>
      <w:r w:rsidRPr="00931178">
        <w:rPr>
          <w:color w:val="000000"/>
          <w:lang w:eastAsia="fr-FR"/>
        </w:rPr>
        <w:t xml:space="preserve">, et dans les délais mentionnés </w:t>
      </w:r>
      <w:r w:rsidR="00D9011B">
        <w:rPr>
          <w:color w:val="000000"/>
          <w:lang w:eastAsia="fr-FR"/>
        </w:rPr>
        <w:t>au VII de l’article 3</w:t>
      </w:r>
      <w:r w:rsidRPr="00931178">
        <w:rPr>
          <w:color w:val="000000"/>
          <w:lang w:eastAsia="fr-FR"/>
        </w:rPr>
        <w:t>, l’exploitant réduit la quantité de déchets à éliminer résultant des procédés de combustion et des techniques de réduction des émissions en organisant les opérations de manière à maximiser, par ordre de priorité et compte-tenu du cycle de vie :</w:t>
      </w:r>
    </w:p>
    <w:p w14:paraId="0F69E64E" w14:textId="28BFF7FA" w:rsidR="00931178" w:rsidRPr="00931178" w:rsidRDefault="00931178" w:rsidP="002B0DC1">
      <w:pPr>
        <w:ind w:left="708"/>
        <w:jc w:val="both"/>
      </w:pPr>
      <w:r>
        <w:t>« </w:t>
      </w:r>
      <w:proofErr w:type="gramStart"/>
      <w:r w:rsidRPr="00931178">
        <w:t>a</w:t>
      </w:r>
      <w:proofErr w:type="gramEnd"/>
      <w:r w:rsidRPr="00931178">
        <w:t>) la prévention des déchets, c'est-à-dire maximiser la proportion de résidus qui sont des sous-produits</w:t>
      </w:r>
      <w:r w:rsidR="00883D99">
        <w:t xml:space="preserve"> </w:t>
      </w:r>
      <w:r w:rsidRPr="00931178">
        <w:t xml:space="preserve">; </w:t>
      </w:r>
    </w:p>
    <w:p w14:paraId="6CB4E5BF" w14:textId="6798FA33" w:rsidR="00931178" w:rsidRPr="00931178" w:rsidRDefault="00931178" w:rsidP="002B0DC1">
      <w:pPr>
        <w:ind w:left="708"/>
        <w:jc w:val="both"/>
      </w:pPr>
      <w:r>
        <w:t>« </w:t>
      </w:r>
      <w:proofErr w:type="gramStart"/>
      <w:r w:rsidRPr="00931178">
        <w:t>b</w:t>
      </w:r>
      <w:proofErr w:type="gramEnd"/>
      <w:r w:rsidRPr="00931178">
        <w:t>) la préparation des déchets en vue de leur réemploi, c'est-à-dire en fonction des critères spécifiques de qualité requis</w:t>
      </w:r>
      <w:r w:rsidR="00883D99">
        <w:t xml:space="preserve"> </w:t>
      </w:r>
      <w:r w:rsidRPr="00931178">
        <w:t xml:space="preserve">; </w:t>
      </w:r>
    </w:p>
    <w:p w14:paraId="72DEBF0E" w14:textId="72C36232" w:rsidR="00931178" w:rsidRPr="00931178" w:rsidRDefault="00931178" w:rsidP="002B0DC1">
      <w:pPr>
        <w:ind w:left="708"/>
        <w:jc w:val="both"/>
      </w:pPr>
      <w:r>
        <w:t>« </w:t>
      </w:r>
      <w:proofErr w:type="gramStart"/>
      <w:r w:rsidRPr="00931178">
        <w:t>c</w:t>
      </w:r>
      <w:proofErr w:type="gramEnd"/>
      <w:r w:rsidRPr="00931178">
        <w:t>) le recyclage des déchets</w:t>
      </w:r>
      <w:r w:rsidR="00883D99">
        <w:t xml:space="preserve"> </w:t>
      </w:r>
      <w:r w:rsidRPr="00931178">
        <w:t xml:space="preserve">; </w:t>
      </w:r>
    </w:p>
    <w:p w14:paraId="582E5780" w14:textId="2CCB44ED" w:rsidR="00883D99" w:rsidRDefault="00931178" w:rsidP="002B0DC1">
      <w:pPr>
        <w:ind w:left="708"/>
        <w:jc w:val="both"/>
      </w:pPr>
      <w:r>
        <w:t>« </w:t>
      </w:r>
      <w:proofErr w:type="gramStart"/>
      <w:r w:rsidRPr="00931178">
        <w:t>d</w:t>
      </w:r>
      <w:proofErr w:type="gramEnd"/>
      <w:r w:rsidRPr="00931178">
        <w:t>) d'autres formes de valorisation des déchets</w:t>
      </w:r>
      <w:r w:rsidR="004B42BA">
        <w:t>,</w:t>
      </w:r>
    </w:p>
    <w:p w14:paraId="665460DD" w14:textId="6CFCF229" w:rsidR="00931178" w:rsidRPr="00931178" w:rsidRDefault="00931178" w:rsidP="00883D99">
      <w:pPr>
        <w:jc w:val="both"/>
      </w:pPr>
      <w:proofErr w:type="gramStart"/>
      <w:r w:rsidRPr="00931178">
        <w:t>grâce</w:t>
      </w:r>
      <w:proofErr w:type="gramEnd"/>
      <w:r w:rsidRPr="00931178">
        <w:t xml:space="preserve"> à la mise en œuvre d'une combinaison appropriée des techniques énumérées ci-dessous :</w:t>
      </w:r>
    </w:p>
    <w:p w14:paraId="4E14E3F6" w14:textId="77777777" w:rsidR="00931178" w:rsidRPr="00931178" w:rsidRDefault="00931178" w:rsidP="002B0DC1">
      <w:pPr>
        <w:jc w:val="both"/>
      </w:pPr>
    </w:p>
    <w:tbl>
      <w:tblPr>
        <w:tblW w:w="9086" w:type="dxa"/>
        <w:jc w:val="center"/>
        <w:tblLayout w:type="fixed"/>
        <w:tblLook w:val="0000" w:firstRow="0" w:lastRow="0" w:firstColumn="0" w:lastColumn="0" w:noHBand="0" w:noVBand="0"/>
      </w:tblPr>
      <w:tblGrid>
        <w:gridCol w:w="373"/>
        <w:gridCol w:w="1607"/>
        <w:gridCol w:w="4252"/>
        <w:gridCol w:w="2854"/>
      </w:tblGrid>
      <w:tr w:rsidR="00931178" w:rsidRPr="00931178" w14:paraId="6D928D46" w14:textId="77777777" w:rsidTr="005D385E">
        <w:trPr>
          <w:cantSplit/>
          <w:jc w:val="center"/>
        </w:trPr>
        <w:tc>
          <w:tcPr>
            <w:tcW w:w="1980" w:type="dxa"/>
            <w:gridSpan w:val="2"/>
            <w:tcBorders>
              <w:top w:val="single" w:sz="4" w:space="0" w:color="000000"/>
              <w:left w:val="single" w:sz="4" w:space="0" w:color="000000"/>
              <w:bottom w:val="single" w:sz="4" w:space="0" w:color="000000"/>
            </w:tcBorders>
            <w:shd w:val="clear" w:color="auto" w:fill="auto"/>
          </w:tcPr>
          <w:p w14:paraId="127A40DE" w14:textId="77777777" w:rsidR="00931178" w:rsidRPr="00931178" w:rsidRDefault="00931178" w:rsidP="005D385E">
            <w:pPr>
              <w:widowControl w:val="0"/>
              <w:jc w:val="center"/>
              <w:rPr>
                <w:color w:val="000000"/>
                <w:sz w:val="22"/>
                <w:szCs w:val="22"/>
                <w:lang w:eastAsia="fr-FR"/>
              </w:rPr>
            </w:pPr>
            <w:r w:rsidRPr="00931178">
              <w:rPr>
                <w:color w:val="000000"/>
                <w:sz w:val="22"/>
                <w:szCs w:val="22"/>
                <w:lang w:eastAsia="fr-FR"/>
              </w:rPr>
              <w:t>Technique</w:t>
            </w:r>
          </w:p>
        </w:tc>
        <w:tc>
          <w:tcPr>
            <w:tcW w:w="4252" w:type="dxa"/>
            <w:tcBorders>
              <w:top w:val="single" w:sz="4" w:space="0" w:color="000000"/>
              <w:left w:val="single" w:sz="4" w:space="0" w:color="000000"/>
              <w:bottom w:val="single" w:sz="4" w:space="0" w:color="000000"/>
            </w:tcBorders>
            <w:shd w:val="clear" w:color="auto" w:fill="auto"/>
            <w:vAlign w:val="center"/>
          </w:tcPr>
          <w:p w14:paraId="771738B8" w14:textId="77777777" w:rsidR="00931178" w:rsidRPr="00931178" w:rsidRDefault="00931178" w:rsidP="005D385E">
            <w:pPr>
              <w:widowControl w:val="0"/>
              <w:jc w:val="center"/>
              <w:rPr>
                <w:color w:val="000000"/>
                <w:sz w:val="22"/>
                <w:szCs w:val="22"/>
                <w:lang w:eastAsia="fr-FR"/>
              </w:rPr>
            </w:pPr>
            <w:r w:rsidRPr="00931178">
              <w:rPr>
                <w:color w:val="000000"/>
                <w:sz w:val="22"/>
                <w:szCs w:val="22"/>
                <w:lang w:eastAsia="fr-FR"/>
              </w:rPr>
              <w:t>Description</w:t>
            </w:r>
          </w:p>
        </w:tc>
        <w:tc>
          <w:tcPr>
            <w:tcW w:w="2854" w:type="dxa"/>
            <w:tcBorders>
              <w:top w:val="single" w:sz="4" w:space="0" w:color="000000"/>
              <w:left w:val="single" w:sz="4" w:space="0" w:color="000000"/>
              <w:bottom w:val="single" w:sz="4" w:space="0" w:color="auto"/>
              <w:right w:val="single" w:sz="4" w:space="0" w:color="000000"/>
            </w:tcBorders>
            <w:shd w:val="clear" w:color="auto" w:fill="auto"/>
            <w:vAlign w:val="center"/>
          </w:tcPr>
          <w:p w14:paraId="50E7F443" w14:textId="77777777" w:rsidR="00931178" w:rsidRPr="00931178" w:rsidRDefault="00931178" w:rsidP="005D385E">
            <w:pPr>
              <w:widowControl w:val="0"/>
              <w:jc w:val="center"/>
              <w:rPr>
                <w:color w:val="000000"/>
                <w:sz w:val="22"/>
                <w:szCs w:val="22"/>
                <w:lang w:eastAsia="fr-FR"/>
              </w:rPr>
            </w:pPr>
            <w:r w:rsidRPr="00931178">
              <w:rPr>
                <w:color w:val="000000"/>
                <w:sz w:val="22"/>
                <w:szCs w:val="22"/>
                <w:lang w:eastAsia="fr-FR"/>
              </w:rPr>
              <w:t>Applicabilité</w:t>
            </w:r>
          </w:p>
        </w:tc>
      </w:tr>
      <w:tr w:rsidR="00931178" w:rsidRPr="00931178" w14:paraId="690C35A2"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2A429597" w14:textId="77777777" w:rsidR="00931178" w:rsidRPr="00931178" w:rsidRDefault="00931178" w:rsidP="005D385E">
            <w:pPr>
              <w:widowControl w:val="0"/>
              <w:jc w:val="center"/>
              <w:rPr>
                <w:color w:val="000000"/>
                <w:sz w:val="22"/>
                <w:szCs w:val="22"/>
                <w:lang w:eastAsia="fr-FR"/>
              </w:rPr>
            </w:pPr>
            <w:proofErr w:type="gramStart"/>
            <w:r w:rsidRPr="00931178">
              <w:rPr>
                <w:color w:val="000000"/>
                <w:sz w:val="22"/>
                <w:szCs w:val="22"/>
                <w:lang w:eastAsia="fr-FR"/>
              </w:rPr>
              <w:t>a</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57718FB4" w14:textId="77777777" w:rsidR="00931178" w:rsidRPr="00931178" w:rsidRDefault="00931178" w:rsidP="005D385E">
            <w:pPr>
              <w:widowControl w:val="0"/>
              <w:jc w:val="both"/>
              <w:rPr>
                <w:color w:val="000000"/>
                <w:sz w:val="22"/>
                <w:szCs w:val="22"/>
                <w:lang w:eastAsia="fr-FR"/>
              </w:rPr>
            </w:pPr>
            <w:r w:rsidRPr="00931178">
              <w:rPr>
                <w:sz w:val="22"/>
                <w:szCs w:val="22"/>
              </w:rPr>
              <w:t>Production de gypse en tant que sous-produit</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A2E207" w14:textId="1BFBB94D" w:rsidR="00931178" w:rsidRPr="00931178" w:rsidRDefault="00931178" w:rsidP="005D385E">
            <w:pPr>
              <w:widowControl w:val="0"/>
              <w:jc w:val="both"/>
              <w:rPr>
                <w:color w:val="000000"/>
                <w:sz w:val="22"/>
                <w:szCs w:val="22"/>
                <w:lang w:eastAsia="fr-FR"/>
              </w:rPr>
            </w:pPr>
            <w:r w:rsidRPr="00931178">
              <w:rPr>
                <w:sz w:val="22"/>
                <w:szCs w:val="22"/>
              </w:rPr>
              <w:t>Optimisation de la qualité des résidus à base de calcium générés par les systèmes de désulfuration des fumées par voie humide, afin que ces résidus puissent être utilisés comme substituts du gypse naturel. La qualité du calcaire utilisé dans la FGD par voie humide a une incidence sur la pureté du gypse produit</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15C60721" w14:textId="77777777" w:rsidR="00931178" w:rsidRPr="00931178" w:rsidRDefault="00931178" w:rsidP="005D385E">
            <w:pPr>
              <w:widowControl w:val="0"/>
              <w:jc w:val="both"/>
              <w:rPr>
                <w:color w:val="000000"/>
                <w:sz w:val="22"/>
                <w:szCs w:val="22"/>
                <w:lang w:eastAsia="fr-FR"/>
              </w:rPr>
            </w:pPr>
            <w:r w:rsidRPr="00931178">
              <w:rPr>
                <w:sz w:val="22"/>
                <w:szCs w:val="22"/>
              </w:rPr>
              <w:t>Applicable d'une manière générale dans les limites des contraintes liées à la qualité requise de gypse, aux exigences sanitaires associées à chaque usage spécifique et aux conditions du marché.</w:t>
            </w:r>
          </w:p>
        </w:tc>
      </w:tr>
      <w:tr w:rsidR="00931178" w:rsidRPr="00931178" w14:paraId="3CAE3FB8"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14726DFB" w14:textId="77777777" w:rsidR="00931178" w:rsidRPr="00931178" w:rsidRDefault="00931178" w:rsidP="005D385E">
            <w:pPr>
              <w:widowControl w:val="0"/>
              <w:jc w:val="center"/>
              <w:rPr>
                <w:color w:val="000000"/>
                <w:sz w:val="22"/>
                <w:szCs w:val="22"/>
                <w:lang w:eastAsia="fr-FR"/>
              </w:rPr>
            </w:pPr>
            <w:proofErr w:type="gramStart"/>
            <w:r w:rsidRPr="00931178">
              <w:rPr>
                <w:color w:val="000000"/>
                <w:sz w:val="22"/>
                <w:szCs w:val="22"/>
                <w:lang w:eastAsia="fr-FR"/>
              </w:rPr>
              <w:t>b</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04F1FFC4" w14:textId="77777777" w:rsidR="00931178" w:rsidRPr="00931178" w:rsidRDefault="00931178" w:rsidP="005D385E">
            <w:pPr>
              <w:widowControl w:val="0"/>
              <w:jc w:val="both"/>
              <w:rPr>
                <w:sz w:val="22"/>
                <w:szCs w:val="22"/>
              </w:rPr>
            </w:pPr>
            <w:r w:rsidRPr="00931178">
              <w:rPr>
                <w:sz w:val="22"/>
                <w:szCs w:val="22"/>
              </w:rPr>
              <w:t>Recyclage ou valorisation des résidus dans le secteur de la construction</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52EDC3EA" w14:textId="3161CEBF" w:rsidR="00931178" w:rsidRPr="00931178" w:rsidRDefault="00931178" w:rsidP="005D385E">
            <w:pPr>
              <w:widowControl w:val="0"/>
              <w:jc w:val="both"/>
              <w:rPr>
                <w:sz w:val="22"/>
                <w:szCs w:val="22"/>
              </w:rPr>
            </w:pPr>
            <w:r w:rsidRPr="00931178">
              <w:rPr>
                <w:sz w:val="22"/>
                <w:szCs w:val="22"/>
              </w:rPr>
              <w:t xml:space="preserve">Recyclage ou valorisation des résidus sous forme de matériaux de construction </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0681CD51" w14:textId="233E8ADC" w:rsidR="00931178" w:rsidRPr="00931178" w:rsidRDefault="00931178" w:rsidP="005D385E">
            <w:pPr>
              <w:widowControl w:val="0"/>
              <w:jc w:val="both"/>
              <w:rPr>
                <w:sz w:val="22"/>
                <w:szCs w:val="22"/>
              </w:rPr>
            </w:pPr>
            <w:r w:rsidRPr="00931178">
              <w:rPr>
                <w:sz w:val="22"/>
                <w:szCs w:val="22"/>
              </w:rPr>
              <w:t>Applicable d'une manière générale, dans les limites des contraintes liées à la qualité requise des matériaux pour chaque usage spécifique, et aux conditions du marché.</w:t>
            </w:r>
          </w:p>
        </w:tc>
      </w:tr>
      <w:tr w:rsidR="00931178" w:rsidRPr="00931178" w14:paraId="6D231E11"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03CF3E87" w14:textId="77777777" w:rsidR="00931178" w:rsidRPr="00931178" w:rsidRDefault="00931178" w:rsidP="005D385E">
            <w:pPr>
              <w:widowControl w:val="0"/>
              <w:jc w:val="center"/>
              <w:rPr>
                <w:color w:val="000000"/>
                <w:sz w:val="22"/>
                <w:szCs w:val="22"/>
                <w:lang w:eastAsia="fr-FR"/>
              </w:rPr>
            </w:pPr>
            <w:proofErr w:type="gramStart"/>
            <w:r w:rsidRPr="00931178">
              <w:rPr>
                <w:color w:val="000000"/>
                <w:sz w:val="22"/>
                <w:szCs w:val="22"/>
                <w:lang w:eastAsia="fr-FR"/>
              </w:rPr>
              <w:t>c</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409E7BDD" w14:textId="77777777" w:rsidR="00931178" w:rsidRPr="00931178" w:rsidRDefault="00931178" w:rsidP="005D385E">
            <w:pPr>
              <w:widowControl w:val="0"/>
              <w:jc w:val="both"/>
              <w:rPr>
                <w:sz w:val="22"/>
                <w:szCs w:val="22"/>
              </w:rPr>
            </w:pPr>
            <w:r w:rsidRPr="00931178">
              <w:rPr>
                <w:sz w:val="22"/>
                <w:szCs w:val="22"/>
              </w:rPr>
              <w:t>Valorisation énergétique consistant à utiliser des déchets dans le mélange combustible</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029751" w14:textId="77777777" w:rsidR="00931178" w:rsidRPr="00931178" w:rsidRDefault="00931178" w:rsidP="005D385E">
            <w:pPr>
              <w:widowControl w:val="0"/>
              <w:jc w:val="both"/>
              <w:rPr>
                <w:sz w:val="22"/>
                <w:szCs w:val="22"/>
              </w:rPr>
            </w:pPr>
            <w:r w:rsidRPr="00931178">
              <w:rPr>
                <w:sz w:val="22"/>
                <w:szCs w:val="22"/>
              </w:rPr>
              <w:t>L'énergie résiduelle contenue dans les cendres et les boues riches en carbone qui résultent de la combustion du charbon, du lignite, du fioul lourd, de la tourbe ou de la biomasse peut être valorisée, par exemple, en mélangeant les cendres et les boues avec le combustible</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4D73C396" w14:textId="77777777" w:rsidR="00931178" w:rsidRPr="00931178" w:rsidRDefault="00931178" w:rsidP="005D385E">
            <w:pPr>
              <w:widowControl w:val="0"/>
              <w:jc w:val="both"/>
              <w:rPr>
                <w:sz w:val="22"/>
                <w:szCs w:val="22"/>
              </w:rPr>
            </w:pPr>
            <w:r w:rsidRPr="00931178">
              <w:rPr>
                <w:sz w:val="22"/>
                <w:szCs w:val="22"/>
              </w:rPr>
              <w:t>Applicable d'une manière générale lorsque les installations sont en mesure d'accepter des déchets dans le mélange de combustibles et sont techniquement équipées pour amener les combustibles dans la chambre de combustion</w:t>
            </w:r>
          </w:p>
        </w:tc>
      </w:tr>
      <w:tr w:rsidR="00931178" w:rsidRPr="00931178" w14:paraId="2661F65A"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77456470" w14:textId="77777777" w:rsidR="00931178" w:rsidRPr="00931178" w:rsidRDefault="00931178" w:rsidP="005D385E">
            <w:pPr>
              <w:widowControl w:val="0"/>
              <w:jc w:val="center"/>
              <w:rPr>
                <w:color w:val="000000"/>
                <w:sz w:val="22"/>
                <w:szCs w:val="22"/>
                <w:lang w:eastAsia="fr-FR"/>
              </w:rPr>
            </w:pPr>
            <w:proofErr w:type="gramStart"/>
            <w:r w:rsidRPr="00931178">
              <w:rPr>
                <w:color w:val="000000"/>
                <w:sz w:val="22"/>
                <w:szCs w:val="22"/>
                <w:lang w:eastAsia="fr-FR"/>
              </w:rPr>
              <w:t>d</w:t>
            </w:r>
            <w:proofErr w:type="gramEnd"/>
          </w:p>
        </w:tc>
        <w:tc>
          <w:tcPr>
            <w:tcW w:w="1607" w:type="dxa"/>
            <w:tcBorders>
              <w:top w:val="single" w:sz="4" w:space="0" w:color="000000"/>
              <w:left w:val="single" w:sz="4" w:space="0" w:color="000000"/>
              <w:bottom w:val="single" w:sz="4" w:space="0" w:color="000000"/>
            </w:tcBorders>
            <w:shd w:val="clear" w:color="auto" w:fill="auto"/>
            <w:vAlign w:val="center"/>
          </w:tcPr>
          <w:p w14:paraId="3C2B1D0A" w14:textId="77777777" w:rsidR="00931178" w:rsidRPr="00931178" w:rsidRDefault="00931178" w:rsidP="005D385E">
            <w:pPr>
              <w:widowControl w:val="0"/>
              <w:jc w:val="both"/>
              <w:rPr>
                <w:sz w:val="22"/>
                <w:szCs w:val="22"/>
              </w:rPr>
            </w:pPr>
            <w:r w:rsidRPr="00931178">
              <w:rPr>
                <w:sz w:val="22"/>
                <w:szCs w:val="22"/>
              </w:rPr>
              <w:t>Préparation du catalyseur usé en vue du réemploi</w:t>
            </w:r>
          </w:p>
        </w:tc>
        <w:tc>
          <w:tcPr>
            <w:tcW w:w="4252" w:type="dxa"/>
            <w:tcBorders>
              <w:top w:val="single" w:sz="4" w:space="0" w:color="000000"/>
              <w:left w:val="single" w:sz="4" w:space="0" w:color="000000"/>
              <w:bottom w:val="single" w:sz="4" w:space="0" w:color="000000"/>
              <w:right w:val="single" w:sz="4" w:space="0" w:color="auto"/>
            </w:tcBorders>
            <w:shd w:val="clear" w:color="auto" w:fill="auto"/>
            <w:vAlign w:val="center"/>
          </w:tcPr>
          <w:p w14:paraId="5D05E851" w14:textId="7F3442A1" w:rsidR="00931178" w:rsidRPr="00931178" w:rsidRDefault="00931178" w:rsidP="005D385E">
            <w:pPr>
              <w:widowControl w:val="0"/>
              <w:jc w:val="both"/>
              <w:rPr>
                <w:sz w:val="22"/>
                <w:szCs w:val="22"/>
              </w:rPr>
            </w:pPr>
            <w:r w:rsidRPr="00931178">
              <w:rPr>
                <w:sz w:val="22"/>
                <w:szCs w:val="22"/>
              </w:rPr>
              <w:t>La préparation du catalyseur usé en vue du réemploi (jusqu'à quatre fois pour les catalyseurs de SCR) rétablit partiellement ou intégralement l'efficacité de celui-ci, prolongeant sa durée de vie utile de plusieurs décennies. La préparation du catalyseur usé en vue du réemploi est intégrée dans un système de gestion du catalyseu</w:t>
            </w:r>
            <w:r>
              <w:rPr>
                <w:sz w:val="22"/>
                <w:szCs w:val="22"/>
              </w:rPr>
              <w:t>r</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46AE438B" w14:textId="4F208F14" w:rsidR="00931178" w:rsidRPr="00931178" w:rsidRDefault="00931178" w:rsidP="005D385E">
            <w:pPr>
              <w:widowControl w:val="0"/>
              <w:jc w:val="both"/>
              <w:rPr>
                <w:sz w:val="22"/>
                <w:szCs w:val="22"/>
              </w:rPr>
            </w:pPr>
            <w:r w:rsidRPr="00931178">
              <w:rPr>
                <w:sz w:val="22"/>
                <w:szCs w:val="22"/>
              </w:rPr>
              <w:t xml:space="preserve">L'applicabilité peut être limitée par l'état mécanique du catalyseur et les performances requises de maîtrise des émissions de </w:t>
            </w:r>
            <w:r w:rsidR="00883D99" w:rsidRPr="00931178">
              <w:rPr>
                <w:sz w:val="22"/>
                <w:szCs w:val="22"/>
              </w:rPr>
              <w:t>NO</w:t>
            </w:r>
            <w:r w:rsidR="00883D99">
              <w:rPr>
                <w:sz w:val="22"/>
                <w:szCs w:val="22"/>
              </w:rPr>
              <w:t>x</w:t>
            </w:r>
            <w:r w:rsidR="00883D99" w:rsidRPr="00931178">
              <w:rPr>
                <w:sz w:val="22"/>
                <w:szCs w:val="22"/>
              </w:rPr>
              <w:t xml:space="preserve"> </w:t>
            </w:r>
            <w:r w:rsidRPr="00931178">
              <w:rPr>
                <w:sz w:val="22"/>
                <w:szCs w:val="22"/>
              </w:rPr>
              <w:t>et de NH</w:t>
            </w:r>
            <w:r w:rsidRPr="00792B82">
              <w:rPr>
                <w:sz w:val="22"/>
                <w:szCs w:val="22"/>
                <w:vertAlign w:val="subscript"/>
              </w:rPr>
              <w:t>3</w:t>
            </w:r>
          </w:p>
        </w:tc>
      </w:tr>
    </w:tbl>
    <w:p w14:paraId="2E48AC48" w14:textId="77777777" w:rsidR="00931178" w:rsidRDefault="00931178" w:rsidP="00936417">
      <w:pPr>
        <w:jc w:val="center"/>
        <w:rPr>
          <w:b/>
          <w:bCs/>
          <w:i/>
          <w:iCs/>
        </w:rPr>
      </w:pPr>
    </w:p>
    <w:p w14:paraId="604E0A82" w14:textId="30A36DE3" w:rsidR="00936417" w:rsidRPr="00914E79" w:rsidRDefault="00936417" w:rsidP="00936417">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61</w:t>
      </w:r>
      <w:r w:rsidRPr="00914E79">
        <w:rPr>
          <w:b/>
          <w:bCs/>
          <w:i/>
          <w:iCs/>
        </w:rPr>
        <w:fldChar w:fldCharType="end"/>
      </w:r>
    </w:p>
    <w:p w14:paraId="2C0A434B" w14:textId="77777777" w:rsidR="00931178" w:rsidRDefault="00931178" w:rsidP="00931178">
      <w:pPr>
        <w:jc w:val="both"/>
      </w:pPr>
    </w:p>
    <w:p w14:paraId="11F33269" w14:textId="5A03CF76" w:rsidR="00931178" w:rsidRDefault="00883D99" w:rsidP="002B0DC1">
      <w:pPr>
        <w:spacing w:after="240"/>
        <w:jc w:val="both"/>
      </w:pPr>
      <w:r>
        <w:t>Au début de l</w:t>
      </w:r>
      <w:r w:rsidR="00931178" w:rsidRPr="004311FB">
        <w:t>’article 5</w:t>
      </w:r>
      <w:r w:rsidR="00931178">
        <w:t>2</w:t>
      </w:r>
      <w:r w:rsidR="00931178" w:rsidRPr="004311FB">
        <w:t xml:space="preserve"> de l’arrêté susvisé est </w:t>
      </w:r>
      <w:r>
        <w:t>inséré un alinéa ainsi rédigé :</w:t>
      </w:r>
      <w:r w:rsidR="00931178" w:rsidRPr="004311FB">
        <w:t xml:space="preserve"> « </w:t>
      </w:r>
      <w:r w:rsidR="00931178" w:rsidRPr="00931178">
        <w:t>Stockage et transport des sous-produits et déchets issus de la combustion</w:t>
      </w:r>
      <w:r w:rsidR="00931178">
        <w:t xml:space="preserve"> </w:t>
      </w:r>
      <w:r w:rsidR="00931178" w:rsidRPr="004311FB">
        <w:rPr>
          <w:lang w:eastAsia="fr-FR"/>
        </w:rPr>
        <w:t>»</w:t>
      </w:r>
      <w:r>
        <w:rPr>
          <w:lang w:eastAsia="fr-FR"/>
        </w:rPr>
        <w:t>.</w:t>
      </w:r>
      <w:r w:rsidR="00931178" w:rsidRPr="004311FB">
        <w:t xml:space="preserve"> </w:t>
      </w:r>
    </w:p>
    <w:p w14:paraId="740E2D98" w14:textId="2F12EBDE" w:rsidR="00936417" w:rsidRPr="00914E79" w:rsidRDefault="00936417"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62</w:t>
      </w:r>
      <w:r w:rsidRPr="00914E79">
        <w:rPr>
          <w:b/>
          <w:bCs/>
          <w:i/>
          <w:iCs/>
        </w:rPr>
        <w:fldChar w:fldCharType="end"/>
      </w:r>
    </w:p>
    <w:p w14:paraId="0FD80565" w14:textId="031149F5" w:rsidR="00936417" w:rsidRDefault="00936417" w:rsidP="002B0DC1"/>
    <w:p w14:paraId="70631D54" w14:textId="5AAA209F" w:rsidR="00931178" w:rsidRDefault="00883D99" w:rsidP="002B0DC1">
      <w:pPr>
        <w:spacing w:after="240"/>
        <w:jc w:val="both"/>
      </w:pPr>
      <w:r>
        <w:t>Au début de l</w:t>
      </w:r>
      <w:r w:rsidRPr="004311FB">
        <w:t>’article 5</w:t>
      </w:r>
      <w:r>
        <w:t>3</w:t>
      </w:r>
      <w:r w:rsidRPr="004311FB">
        <w:t xml:space="preserve"> de l’arrêté susvisé est </w:t>
      </w:r>
      <w:r>
        <w:t>inséré un alinéa ainsi rédigé :</w:t>
      </w:r>
      <w:r w:rsidRPr="004311FB">
        <w:t xml:space="preserve"> « </w:t>
      </w:r>
      <w:r w:rsidRPr="00931178">
        <w:t>Valorisation des sous-produits et déchets issus de la combustion</w:t>
      </w:r>
      <w:r>
        <w:t xml:space="preserve"> </w:t>
      </w:r>
      <w:r w:rsidRPr="004311FB">
        <w:rPr>
          <w:lang w:eastAsia="fr-FR"/>
        </w:rPr>
        <w:t>»</w:t>
      </w:r>
      <w:r>
        <w:rPr>
          <w:lang w:eastAsia="fr-FR"/>
        </w:rPr>
        <w:t>.</w:t>
      </w:r>
      <w:r w:rsidRPr="004311FB">
        <w:t xml:space="preserve"> </w:t>
      </w:r>
    </w:p>
    <w:p w14:paraId="16716EB9" w14:textId="67D8D96B" w:rsidR="00936417" w:rsidRPr="00914E79" w:rsidRDefault="00936417"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63</w:t>
      </w:r>
      <w:r w:rsidRPr="00914E79">
        <w:rPr>
          <w:b/>
          <w:bCs/>
          <w:i/>
          <w:iCs/>
        </w:rPr>
        <w:fldChar w:fldCharType="end"/>
      </w:r>
    </w:p>
    <w:p w14:paraId="18B15EDD" w14:textId="1923B4AB" w:rsidR="00936417" w:rsidRDefault="00936417" w:rsidP="002B0DC1"/>
    <w:p w14:paraId="4BB24DD3" w14:textId="58C59A58" w:rsidR="00883D99" w:rsidRDefault="00883D99" w:rsidP="00883D99">
      <w:pPr>
        <w:spacing w:after="240"/>
        <w:jc w:val="both"/>
      </w:pPr>
      <w:bookmarkStart w:id="41" w:name="_Hlk180146809"/>
      <w:r>
        <w:t>Au début de l</w:t>
      </w:r>
      <w:r w:rsidRPr="004311FB">
        <w:t>’article 5</w:t>
      </w:r>
      <w:r>
        <w:t>4</w:t>
      </w:r>
      <w:r w:rsidRPr="004311FB">
        <w:t xml:space="preserve"> de l’arrêté susvisé est </w:t>
      </w:r>
      <w:r>
        <w:t>inséré un alinéa ainsi rédigé :</w:t>
      </w:r>
      <w:r w:rsidRPr="004311FB">
        <w:t xml:space="preserve"> « </w:t>
      </w:r>
      <w:r w:rsidRPr="00931178">
        <w:t>Dispositions concernant le bruit</w:t>
      </w:r>
      <w:r>
        <w:t xml:space="preserve"> </w:t>
      </w:r>
      <w:r w:rsidRPr="004311FB">
        <w:rPr>
          <w:lang w:eastAsia="fr-FR"/>
        </w:rPr>
        <w:t>»</w:t>
      </w:r>
      <w:r>
        <w:rPr>
          <w:lang w:eastAsia="fr-FR"/>
        </w:rPr>
        <w:t>.</w:t>
      </w:r>
      <w:r w:rsidRPr="004311FB">
        <w:t xml:space="preserve"> </w:t>
      </w:r>
    </w:p>
    <w:bookmarkEnd w:id="41"/>
    <w:p w14:paraId="67910BD7" w14:textId="5F080FF6" w:rsidR="00936417" w:rsidRPr="001E47C8" w:rsidRDefault="00936417" w:rsidP="002B0DC1">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64</w:t>
      </w:r>
      <w:r w:rsidRPr="001E47C8">
        <w:rPr>
          <w:b/>
          <w:bCs/>
          <w:i/>
          <w:iCs/>
        </w:rPr>
        <w:fldChar w:fldCharType="end"/>
      </w:r>
    </w:p>
    <w:p w14:paraId="428022DA" w14:textId="77777777" w:rsidR="00936417" w:rsidRDefault="00936417" w:rsidP="002B0DC1"/>
    <w:p w14:paraId="48C5E6AD" w14:textId="5330AC98" w:rsidR="00936417" w:rsidRPr="00931178" w:rsidRDefault="00883D99" w:rsidP="002B0DC1">
      <w:r>
        <w:t xml:space="preserve">Après l’article 54 de l’arrêté susvisé </w:t>
      </w:r>
      <w:r w:rsidR="00931178" w:rsidRPr="00931178">
        <w:t xml:space="preserve">est inséré l’article </w:t>
      </w:r>
      <w:r>
        <w:t>suivant</w:t>
      </w:r>
      <w:r w:rsidR="00931178" w:rsidRPr="00931178">
        <w:t> :</w:t>
      </w:r>
    </w:p>
    <w:p w14:paraId="5C220DA7" w14:textId="2172B66E" w:rsidR="00931178" w:rsidRPr="00931178" w:rsidRDefault="00931178" w:rsidP="002B0DC1"/>
    <w:p w14:paraId="198C6763" w14:textId="38ACAADA" w:rsidR="00931178" w:rsidRPr="00931178" w:rsidRDefault="00931178" w:rsidP="00883D99">
      <w:pPr>
        <w:suppressAutoHyphens w:val="0"/>
        <w:spacing w:after="240"/>
        <w:rPr>
          <w:lang w:eastAsia="fr-FR"/>
        </w:rPr>
      </w:pPr>
      <w:r w:rsidRPr="00931178">
        <w:rPr>
          <w:rFonts w:eastAsiaTheme="minorHAnsi"/>
          <w:lang w:eastAsia="en-US"/>
        </w:rPr>
        <w:t>« </w:t>
      </w:r>
      <w:hyperlink r:id="rId16" w:history="1">
        <w:r w:rsidR="00883D99" w:rsidRPr="00883D99">
          <w:rPr>
            <w:i/>
            <w:iCs/>
            <w:lang w:eastAsia="fr-FR"/>
          </w:rPr>
          <w:t>Art. 54</w:t>
        </w:r>
      </w:hyperlink>
      <w:r w:rsidRPr="00883D99">
        <w:rPr>
          <w:i/>
          <w:iCs/>
          <w:lang w:eastAsia="fr-FR"/>
        </w:rPr>
        <w:t>-1</w:t>
      </w:r>
      <w:r w:rsidR="00883D99" w:rsidRPr="00883D99">
        <w:rPr>
          <w:i/>
          <w:iCs/>
          <w:lang w:eastAsia="fr-FR"/>
        </w:rPr>
        <w:t>. -</w:t>
      </w:r>
      <w:r w:rsidR="00883D99">
        <w:rPr>
          <w:lang w:eastAsia="fr-FR"/>
        </w:rPr>
        <w:t xml:space="preserve"> </w:t>
      </w:r>
      <w:r w:rsidRPr="00931178">
        <w:rPr>
          <w:lang w:eastAsia="fr-FR"/>
        </w:rPr>
        <w:t>Dispositions de réduction des émissions sonores</w:t>
      </w:r>
    </w:p>
    <w:p w14:paraId="3A66FE68" w14:textId="59F0B452" w:rsidR="00931178" w:rsidRPr="00931178" w:rsidRDefault="00931178" w:rsidP="002B0DC1">
      <w:pPr>
        <w:spacing w:after="240"/>
        <w:jc w:val="both"/>
        <w:rPr>
          <w:lang w:eastAsia="fr-FR"/>
        </w:rPr>
      </w:pPr>
      <w:r w:rsidRPr="00931178">
        <w:rPr>
          <w:lang w:eastAsia="fr-FR"/>
        </w:rPr>
        <w:t>« </w:t>
      </w:r>
      <w:bookmarkStart w:id="42" w:name="_Hlk170739435"/>
      <w:r w:rsidRPr="00931178">
        <w:rPr>
          <w:lang w:eastAsia="fr-FR"/>
        </w:rPr>
        <w:t xml:space="preserve">Dans les délais mentionnés </w:t>
      </w:r>
      <w:r w:rsidR="00D9011B">
        <w:rPr>
          <w:lang w:eastAsia="fr-FR"/>
        </w:rPr>
        <w:t>au VII de l’article 3</w:t>
      </w:r>
      <w:r w:rsidRPr="00931178">
        <w:rPr>
          <w:lang w:eastAsia="fr-FR"/>
        </w:rPr>
        <w:t>, afin de réduire les émissions sonores, l’exploitant applique une ou plusieurs des techniques énumérées ci-dessous :</w:t>
      </w:r>
    </w:p>
    <w:tbl>
      <w:tblPr>
        <w:tblW w:w="9086" w:type="dxa"/>
        <w:jc w:val="center"/>
        <w:tblLayout w:type="fixed"/>
        <w:tblLook w:val="0000" w:firstRow="0" w:lastRow="0" w:firstColumn="0" w:lastColumn="0" w:noHBand="0" w:noVBand="0"/>
      </w:tblPr>
      <w:tblGrid>
        <w:gridCol w:w="373"/>
        <w:gridCol w:w="1749"/>
        <w:gridCol w:w="4110"/>
        <w:gridCol w:w="2854"/>
      </w:tblGrid>
      <w:tr w:rsidR="00931178" w:rsidRPr="00931178" w14:paraId="0AEB3A08" w14:textId="77777777" w:rsidTr="005D385E">
        <w:trPr>
          <w:cantSplit/>
          <w:jc w:val="center"/>
        </w:trPr>
        <w:tc>
          <w:tcPr>
            <w:tcW w:w="2122" w:type="dxa"/>
            <w:gridSpan w:val="2"/>
            <w:tcBorders>
              <w:top w:val="single" w:sz="4" w:space="0" w:color="000000"/>
              <w:left w:val="single" w:sz="4" w:space="0" w:color="000000"/>
              <w:bottom w:val="single" w:sz="4" w:space="0" w:color="000000"/>
            </w:tcBorders>
            <w:shd w:val="clear" w:color="auto" w:fill="auto"/>
          </w:tcPr>
          <w:p w14:paraId="1C3AB386" w14:textId="77777777" w:rsidR="00931178" w:rsidRPr="00931178" w:rsidRDefault="00931178" w:rsidP="002B0DC1">
            <w:pPr>
              <w:widowControl w:val="0"/>
              <w:jc w:val="center"/>
              <w:rPr>
                <w:color w:val="000000"/>
                <w:sz w:val="22"/>
                <w:szCs w:val="22"/>
                <w:lang w:eastAsia="fr-FR"/>
              </w:rPr>
            </w:pPr>
            <w:r w:rsidRPr="00931178">
              <w:rPr>
                <w:color w:val="000000"/>
                <w:sz w:val="22"/>
                <w:szCs w:val="22"/>
                <w:lang w:eastAsia="fr-FR"/>
              </w:rPr>
              <w:t>Technique</w:t>
            </w:r>
          </w:p>
        </w:tc>
        <w:tc>
          <w:tcPr>
            <w:tcW w:w="4110" w:type="dxa"/>
            <w:tcBorders>
              <w:top w:val="single" w:sz="4" w:space="0" w:color="000000"/>
              <w:left w:val="single" w:sz="4" w:space="0" w:color="000000"/>
              <w:bottom w:val="single" w:sz="4" w:space="0" w:color="000000"/>
            </w:tcBorders>
            <w:shd w:val="clear" w:color="auto" w:fill="auto"/>
            <w:vAlign w:val="center"/>
          </w:tcPr>
          <w:p w14:paraId="1305EA0F" w14:textId="77777777" w:rsidR="00931178" w:rsidRPr="00931178" w:rsidRDefault="00931178" w:rsidP="002B0DC1">
            <w:pPr>
              <w:widowControl w:val="0"/>
              <w:jc w:val="center"/>
              <w:rPr>
                <w:color w:val="000000"/>
                <w:sz w:val="22"/>
                <w:szCs w:val="22"/>
                <w:lang w:eastAsia="fr-FR"/>
              </w:rPr>
            </w:pPr>
            <w:r w:rsidRPr="00931178">
              <w:rPr>
                <w:color w:val="000000"/>
                <w:sz w:val="22"/>
                <w:szCs w:val="22"/>
                <w:lang w:eastAsia="fr-FR"/>
              </w:rPr>
              <w:t>Description</w:t>
            </w:r>
          </w:p>
        </w:tc>
        <w:tc>
          <w:tcPr>
            <w:tcW w:w="2854" w:type="dxa"/>
            <w:tcBorders>
              <w:top w:val="single" w:sz="4" w:space="0" w:color="000000"/>
              <w:left w:val="single" w:sz="4" w:space="0" w:color="000000"/>
              <w:bottom w:val="single" w:sz="4" w:space="0" w:color="auto"/>
              <w:right w:val="single" w:sz="4" w:space="0" w:color="000000"/>
            </w:tcBorders>
            <w:shd w:val="clear" w:color="auto" w:fill="auto"/>
            <w:vAlign w:val="center"/>
          </w:tcPr>
          <w:p w14:paraId="64F0F4C6" w14:textId="77777777" w:rsidR="00931178" w:rsidRPr="00931178" w:rsidRDefault="00931178" w:rsidP="002B0DC1">
            <w:pPr>
              <w:widowControl w:val="0"/>
              <w:jc w:val="center"/>
              <w:rPr>
                <w:color w:val="000000"/>
                <w:sz w:val="22"/>
                <w:szCs w:val="22"/>
                <w:lang w:eastAsia="fr-FR"/>
              </w:rPr>
            </w:pPr>
            <w:r w:rsidRPr="00931178">
              <w:rPr>
                <w:color w:val="000000"/>
                <w:sz w:val="22"/>
                <w:szCs w:val="22"/>
                <w:lang w:eastAsia="fr-FR"/>
              </w:rPr>
              <w:t>Applicabilité</w:t>
            </w:r>
          </w:p>
        </w:tc>
      </w:tr>
      <w:tr w:rsidR="00931178" w:rsidRPr="00931178" w14:paraId="52FD7418"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7D1E002C" w14:textId="77777777" w:rsidR="00931178" w:rsidRPr="00931178" w:rsidRDefault="00931178" w:rsidP="002B0DC1">
            <w:pPr>
              <w:widowControl w:val="0"/>
              <w:jc w:val="center"/>
              <w:rPr>
                <w:color w:val="000000"/>
                <w:sz w:val="22"/>
                <w:szCs w:val="22"/>
                <w:lang w:eastAsia="fr-FR"/>
              </w:rPr>
            </w:pPr>
            <w:proofErr w:type="gramStart"/>
            <w:r w:rsidRPr="00931178">
              <w:rPr>
                <w:color w:val="000000"/>
                <w:sz w:val="22"/>
                <w:szCs w:val="22"/>
                <w:lang w:eastAsia="fr-FR"/>
              </w:rPr>
              <w:t>a</w:t>
            </w:r>
            <w:proofErr w:type="gramEnd"/>
          </w:p>
        </w:tc>
        <w:tc>
          <w:tcPr>
            <w:tcW w:w="1749" w:type="dxa"/>
            <w:tcBorders>
              <w:top w:val="single" w:sz="4" w:space="0" w:color="000000"/>
              <w:left w:val="single" w:sz="4" w:space="0" w:color="000000"/>
              <w:bottom w:val="single" w:sz="4" w:space="0" w:color="000000"/>
            </w:tcBorders>
            <w:shd w:val="clear" w:color="auto" w:fill="auto"/>
            <w:vAlign w:val="center"/>
          </w:tcPr>
          <w:p w14:paraId="02F98BD4" w14:textId="77777777" w:rsidR="00931178" w:rsidRPr="00931178" w:rsidRDefault="00931178" w:rsidP="002B0DC1">
            <w:pPr>
              <w:widowControl w:val="0"/>
              <w:jc w:val="both"/>
              <w:rPr>
                <w:color w:val="000000"/>
                <w:sz w:val="22"/>
                <w:szCs w:val="22"/>
                <w:lang w:eastAsia="fr-FR"/>
              </w:rPr>
            </w:pPr>
            <w:r w:rsidRPr="00931178">
              <w:rPr>
                <w:sz w:val="22"/>
                <w:szCs w:val="22"/>
              </w:rPr>
              <w:t>Mesures opérationnelles</w:t>
            </w:r>
          </w:p>
        </w:tc>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3A75F099" w14:textId="6AB2DD9C" w:rsidR="00931178" w:rsidRPr="00931178" w:rsidRDefault="00931178" w:rsidP="002B0DC1">
            <w:pPr>
              <w:widowControl w:val="0"/>
              <w:jc w:val="both"/>
              <w:rPr>
                <w:sz w:val="22"/>
                <w:szCs w:val="22"/>
              </w:rPr>
            </w:pPr>
            <w:r w:rsidRPr="00931178">
              <w:rPr>
                <w:sz w:val="22"/>
                <w:szCs w:val="22"/>
              </w:rPr>
              <w:t>Entre autres</w:t>
            </w:r>
            <w:r w:rsidR="00883D99">
              <w:rPr>
                <w:sz w:val="22"/>
                <w:szCs w:val="22"/>
              </w:rPr>
              <w:t xml:space="preserve"> </w:t>
            </w:r>
            <w:r w:rsidRPr="00931178">
              <w:rPr>
                <w:sz w:val="22"/>
                <w:szCs w:val="22"/>
              </w:rPr>
              <w:t xml:space="preserve">: </w:t>
            </w:r>
          </w:p>
          <w:p w14:paraId="599BFA58" w14:textId="6AECA2D4" w:rsidR="00931178" w:rsidRPr="00931178" w:rsidRDefault="00931178" w:rsidP="002B0DC1">
            <w:pPr>
              <w:widowControl w:val="0"/>
              <w:jc w:val="both"/>
              <w:rPr>
                <w:sz w:val="22"/>
                <w:szCs w:val="22"/>
              </w:rPr>
            </w:pPr>
            <w:r w:rsidRPr="00931178">
              <w:rPr>
                <w:sz w:val="22"/>
                <w:szCs w:val="22"/>
              </w:rPr>
              <w:t>- inspection et maintenance améliorées des équipements</w:t>
            </w:r>
            <w:r w:rsidR="00883D99">
              <w:rPr>
                <w:sz w:val="22"/>
                <w:szCs w:val="22"/>
              </w:rPr>
              <w:t> ;</w:t>
            </w:r>
          </w:p>
          <w:p w14:paraId="4FDFEDDD" w14:textId="132F9435" w:rsidR="00931178" w:rsidRPr="00931178" w:rsidRDefault="00931178" w:rsidP="002B0DC1">
            <w:pPr>
              <w:widowControl w:val="0"/>
              <w:jc w:val="both"/>
              <w:rPr>
                <w:sz w:val="22"/>
                <w:szCs w:val="22"/>
              </w:rPr>
            </w:pPr>
            <w:r w:rsidRPr="00931178">
              <w:rPr>
                <w:sz w:val="22"/>
                <w:szCs w:val="22"/>
              </w:rPr>
              <w:t>- fermeture des portes et des fenêtres des zones confinées, si possible</w:t>
            </w:r>
            <w:r w:rsidR="00883D99">
              <w:rPr>
                <w:sz w:val="22"/>
                <w:szCs w:val="22"/>
              </w:rPr>
              <w:t> ;</w:t>
            </w:r>
          </w:p>
          <w:p w14:paraId="5CB526B4" w14:textId="23556C07" w:rsidR="00931178" w:rsidRPr="00931178" w:rsidRDefault="00931178" w:rsidP="002B0DC1">
            <w:pPr>
              <w:widowControl w:val="0"/>
              <w:jc w:val="both"/>
              <w:rPr>
                <w:sz w:val="22"/>
                <w:szCs w:val="22"/>
              </w:rPr>
            </w:pPr>
            <w:r w:rsidRPr="00931178">
              <w:rPr>
                <w:sz w:val="22"/>
                <w:szCs w:val="22"/>
              </w:rPr>
              <w:t>- conduite des équipements par du personnel expérimenté</w:t>
            </w:r>
            <w:r w:rsidR="00883D99">
              <w:rPr>
                <w:sz w:val="22"/>
                <w:szCs w:val="22"/>
              </w:rPr>
              <w:t> ;</w:t>
            </w:r>
          </w:p>
          <w:p w14:paraId="2C9AA50D" w14:textId="1F1E19EB" w:rsidR="00931178" w:rsidRPr="00931178" w:rsidRDefault="00931178" w:rsidP="002B0DC1">
            <w:pPr>
              <w:widowControl w:val="0"/>
              <w:jc w:val="both"/>
              <w:rPr>
                <w:sz w:val="22"/>
                <w:szCs w:val="22"/>
              </w:rPr>
            </w:pPr>
            <w:r w:rsidRPr="00931178">
              <w:rPr>
                <w:sz w:val="22"/>
                <w:szCs w:val="22"/>
              </w:rPr>
              <w:t>- renoncement aux activités bruyantes pendant la nuit, si possible</w:t>
            </w:r>
            <w:r w:rsidR="00883D99">
              <w:rPr>
                <w:sz w:val="22"/>
                <w:szCs w:val="22"/>
              </w:rPr>
              <w:t> ;</w:t>
            </w:r>
          </w:p>
          <w:p w14:paraId="43BABF83" w14:textId="25098D0B" w:rsidR="00931178" w:rsidRPr="00931178" w:rsidRDefault="00931178" w:rsidP="002B0DC1">
            <w:pPr>
              <w:widowControl w:val="0"/>
              <w:jc w:val="both"/>
              <w:rPr>
                <w:color w:val="000000"/>
                <w:sz w:val="22"/>
                <w:szCs w:val="22"/>
                <w:lang w:eastAsia="fr-FR"/>
              </w:rPr>
            </w:pPr>
            <w:r w:rsidRPr="00931178">
              <w:rPr>
                <w:sz w:val="22"/>
                <w:szCs w:val="22"/>
              </w:rPr>
              <w:t>- précautions pour éviter le bruit pendant les activités de maintenance</w:t>
            </w:r>
            <w:r w:rsidR="00883D99">
              <w:rPr>
                <w:sz w:val="22"/>
                <w:szCs w:val="22"/>
              </w:rPr>
              <w:t>.</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6E51CB9F" w14:textId="77777777" w:rsidR="00931178" w:rsidRPr="00931178" w:rsidRDefault="00931178" w:rsidP="002B0DC1">
            <w:pPr>
              <w:widowControl w:val="0"/>
              <w:jc w:val="both"/>
              <w:rPr>
                <w:color w:val="000000"/>
                <w:sz w:val="22"/>
                <w:szCs w:val="22"/>
                <w:lang w:eastAsia="fr-FR"/>
              </w:rPr>
            </w:pPr>
            <w:r w:rsidRPr="00931178">
              <w:rPr>
                <w:sz w:val="22"/>
                <w:szCs w:val="22"/>
              </w:rPr>
              <w:t>Applicable d'une manière générale</w:t>
            </w:r>
          </w:p>
        </w:tc>
      </w:tr>
      <w:tr w:rsidR="00931178" w:rsidRPr="00931178" w14:paraId="06F99198"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605B94C2" w14:textId="77777777" w:rsidR="00931178" w:rsidRPr="00931178" w:rsidRDefault="00931178" w:rsidP="005D385E">
            <w:pPr>
              <w:widowControl w:val="0"/>
              <w:jc w:val="center"/>
              <w:rPr>
                <w:color w:val="000000"/>
                <w:sz w:val="22"/>
                <w:szCs w:val="22"/>
                <w:lang w:eastAsia="fr-FR"/>
              </w:rPr>
            </w:pPr>
            <w:proofErr w:type="gramStart"/>
            <w:r w:rsidRPr="00931178">
              <w:rPr>
                <w:color w:val="000000"/>
                <w:sz w:val="22"/>
                <w:szCs w:val="22"/>
                <w:lang w:eastAsia="fr-FR"/>
              </w:rPr>
              <w:t>b</w:t>
            </w:r>
            <w:proofErr w:type="gramEnd"/>
          </w:p>
        </w:tc>
        <w:tc>
          <w:tcPr>
            <w:tcW w:w="1749" w:type="dxa"/>
            <w:tcBorders>
              <w:top w:val="single" w:sz="4" w:space="0" w:color="000000"/>
              <w:left w:val="single" w:sz="4" w:space="0" w:color="000000"/>
              <w:bottom w:val="single" w:sz="4" w:space="0" w:color="000000"/>
            </w:tcBorders>
            <w:shd w:val="clear" w:color="auto" w:fill="auto"/>
            <w:vAlign w:val="center"/>
          </w:tcPr>
          <w:p w14:paraId="3466C0BA" w14:textId="77777777" w:rsidR="00931178" w:rsidRPr="00931178" w:rsidRDefault="00931178" w:rsidP="005D385E">
            <w:pPr>
              <w:widowControl w:val="0"/>
              <w:jc w:val="both"/>
              <w:rPr>
                <w:sz w:val="22"/>
                <w:szCs w:val="22"/>
              </w:rPr>
            </w:pPr>
            <w:r w:rsidRPr="00931178">
              <w:rPr>
                <w:sz w:val="22"/>
                <w:szCs w:val="22"/>
              </w:rPr>
              <w:t>Équipements peu bruyants</w:t>
            </w:r>
          </w:p>
        </w:tc>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64FC68C6" w14:textId="77777777" w:rsidR="00931178" w:rsidRPr="00931178" w:rsidRDefault="00931178" w:rsidP="005D385E">
            <w:pPr>
              <w:widowControl w:val="0"/>
              <w:jc w:val="both"/>
              <w:rPr>
                <w:sz w:val="22"/>
                <w:szCs w:val="22"/>
              </w:rPr>
            </w:pPr>
            <w:r w:rsidRPr="00931178">
              <w:rPr>
                <w:sz w:val="22"/>
                <w:szCs w:val="22"/>
              </w:rPr>
              <w:t>Concerne potentiellement les compresseurs, les pompes et les disque</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424C5F87" w14:textId="77777777" w:rsidR="00931178" w:rsidRPr="00931178" w:rsidRDefault="00931178" w:rsidP="005D385E">
            <w:pPr>
              <w:widowControl w:val="0"/>
              <w:jc w:val="both"/>
              <w:rPr>
                <w:sz w:val="22"/>
                <w:szCs w:val="22"/>
              </w:rPr>
            </w:pPr>
            <w:r w:rsidRPr="00931178">
              <w:rPr>
                <w:sz w:val="22"/>
                <w:szCs w:val="22"/>
              </w:rPr>
              <w:t>Applicable d'une manière générale aux équipements nouveaux ou remplacés</w:t>
            </w:r>
          </w:p>
        </w:tc>
      </w:tr>
      <w:tr w:rsidR="00931178" w:rsidRPr="00931178" w14:paraId="7A059516"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2F5315A3" w14:textId="77777777" w:rsidR="00931178" w:rsidRPr="00931178" w:rsidRDefault="00931178" w:rsidP="005D385E">
            <w:pPr>
              <w:widowControl w:val="0"/>
              <w:jc w:val="center"/>
              <w:rPr>
                <w:color w:val="000000"/>
                <w:sz w:val="22"/>
                <w:szCs w:val="22"/>
                <w:lang w:eastAsia="fr-FR"/>
              </w:rPr>
            </w:pPr>
            <w:proofErr w:type="gramStart"/>
            <w:r w:rsidRPr="00931178">
              <w:rPr>
                <w:color w:val="000000"/>
                <w:sz w:val="22"/>
                <w:szCs w:val="22"/>
                <w:lang w:eastAsia="fr-FR"/>
              </w:rPr>
              <w:t>c</w:t>
            </w:r>
            <w:proofErr w:type="gramEnd"/>
          </w:p>
        </w:tc>
        <w:tc>
          <w:tcPr>
            <w:tcW w:w="1749" w:type="dxa"/>
            <w:tcBorders>
              <w:top w:val="single" w:sz="4" w:space="0" w:color="000000"/>
              <w:left w:val="single" w:sz="4" w:space="0" w:color="000000"/>
              <w:bottom w:val="single" w:sz="4" w:space="0" w:color="000000"/>
            </w:tcBorders>
            <w:shd w:val="clear" w:color="auto" w:fill="auto"/>
            <w:vAlign w:val="center"/>
          </w:tcPr>
          <w:p w14:paraId="2171E881" w14:textId="77777777" w:rsidR="00931178" w:rsidRPr="00931178" w:rsidRDefault="00931178" w:rsidP="005D385E">
            <w:pPr>
              <w:widowControl w:val="0"/>
              <w:jc w:val="both"/>
              <w:rPr>
                <w:sz w:val="22"/>
                <w:szCs w:val="22"/>
              </w:rPr>
            </w:pPr>
            <w:r w:rsidRPr="00931178">
              <w:rPr>
                <w:sz w:val="22"/>
                <w:szCs w:val="22"/>
              </w:rPr>
              <w:t>Atténuation du bruit</w:t>
            </w:r>
          </w:p>
        </w:tc>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29F171FC" w14:textId="77777777" w:rsidR="00931178" w:rsidRPr="00931178" w:rsidRDefault="00931178" w:rsidP="005D385E">
            <w:pPr>
              <w:widowControl w:val="0"/>
              <w:jc w:val="both"/>
              <w:rPr>
                <w:sz w:val="22"/>
                <w:szCs w:val="22"/>
              </w:rPr>
            </w:pPr>
            <w:r w:rsidRPr="00931178">
              <w:rPr>
                <w:sz w:val="22"/>
                <w:szCs w:val="22"/>
              </w:rPr>
              <w:t>Il est possible de limiter la propagation du bruit en intercalant des obstacles entre l'émetteur et le récepteur. Les obstacles appropriés comprennent les murs antibruit, les remblais et les bâtiments</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2EAE9136" w14:textId="60D509E3" w:rsidR="00931178" w:rsidRPr="00931178" w:rsidRDefault="00931178" w:rsidP="005D385E">
            <w:pPr>
              <w:widowControl w:val="0"/>
              <w:jc w:val="both"/>
              <w:rPr>
                <w:sz w:val="22"/>
                <w:szCs w:val="22"/>
              </w:rPr>
            </w:pPr>
            <w:r w:rsidRPr="00931178">
              <w:rPr>
                <w:sz w:val="22"/>
                <w:szCs w:val="22"/>
              </w:rPr>
              <w:t xml:space="preserve">Applicable d'une manière générale aux installations </w:t>
            </w:r>
            <w:r w:rsidR="00104855">
              <w:rPr>
                <w:sz w:val="22"/>
                <w:szCs w:val="22"/>
              </w:rPr>
              <w:t xml:space="preserve">dont l’autorisation a été délivrée </w:t>
            </w:r>
            <w:r w:rsidR="006B21BB">
              <w:rPr>
                <w:sz w:val="22"/>
                <w:szCs w:val="22"/>
              </w:rPr>
              <w:t>à compter du</w:t>
            </w:r>
            <w:r w:rsidR="00104855">
              <w:rPr>
                <w:sz w:val="22"/>
                <w:szCs w:val="22"/>
              </w:rPr>
              <w:t xml:space="preserve"> 17 août 2017</w:t>
            </w:r>
            <w:r w:rsidRPr="00931178">
              <w:rPr>
                <w:sz w:val="22"/>
                <w:szCs w:val="22"/>
              </w:rPr>
              <w:t xml:space="preserve">. Dans le cas des installations </w:t>
            </w:r>
            <w:r w:rsidR="00847B04" w:rsidRPr="00847B04">
              <w:rPr>
                <w:sz w:val="22"/>
                <w:szCs w:val="22"/>
              </w:rPr>
              <w:t>dont l’autorisation a été délivré</w:t>
            </w:r>
            <w:r w:rsidR="00C40620">
              <w:rPr>
                <w:sz w:val="22"/>
                <w:szCs w:val="22"/>
              </w:rPr>
              <w:t>e</w:t>
            </w:r>
            <w:r w:rsidR="00847B04" w:rsidRPr="00847B04">
              <w:rPr>
                <w:sz w:val="22"/>
                <w:szCs w:val="22"/>
              </w:rPr>
              <w:t xml:space="preserve"> </w:t>
            </w:r>
            <w:r w:rsidR="006B21BB">
              <w:rPr>
                <w:sz w:val="22"/>
                <w:szCs w:val="22"/>
              </w:rPr>
              <w:t>avant le</w:t>
            </w:r>
            <w:r w:rsidR="00847B04" w:rsidRPr="00847B04">
              <w:rPr>
                <w:sz w:val="22"/>
                <w:szCs w:val="22"/>
              </w:rPr>
              <w:t xml:space="preserve"> 17 août 2017</w:t>
            </w:r>
            <w:r w:rsidRPr="00931178">
              <w:rPr>
                <w:sz w:val="22"/>
                <w:szCs w:val="22"/>
              </w:rPr>
              <w:t>, le manque d'espace peut empêcher l'intercalation d'obstacles.</w:t>
            </w:r>
          </w:p>
        </w:tc>
      </w:tr>
      <w:tr w:rsidR="00931178" w:rsidRPr="00931178" w14:paraId="1576014E"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43357057" w14:textId="77777777" w:rsidR="00931178" w:rsidRPr="00931178" w:rsidRDefault="00931178" w:rsidP="005D385E">
            <w:pPr>
              <w:widowControl w:val="0"/>
              <w:jc w:val="center"/>
              <w:rPr>
                <w:color w:val="000000"/>
                <w:sz w:val="22"/>
                <w:szCs w:val="22"/>
                <w:lang w:eastAsia="fr-FR"/>
              </w:rPr>
            </w:pPr>
            <w:proofErr w:type="gramStart"/>
            <w:r w:rsidRPr="00931178">
              <w:rPr>
                <w:color w:val="000000"/>
                <w:sz w:val="22"/>
                <w:szCs w:val="22"/>
                <w:lang w:eastAsia="fr-FR"/>
              </w:rPr>
              <w:t>d</w:t>
            </w:r>
            <w:proofErr w:type="gramEnd"/>
          </w:p>
        </w:tc>
        <w:tc>
          <w:tcPr>
            <w:tcW w:w="1749" w:type="dxa"/>
            <w:tcBorders>
              <w:top w:val="single" w:sz="4" w:space="0" w:color="000000"/>
              <w:left w:val="single" w:sz="4" w:space="0" w:color="000000"/>
              <w:bottom w:val="single" w:sz="4" w:space="0" w:color="000000"/>
            </w:tcBorders>
            <w:shd w:val="clear" w:color="auto" w:fill="auto"/>
            <w:vAlign w:val="center"/>
          </w:tcPr>
          <w:p w14:paraId="7423A37A" w14:textId="77777777" w:rsidR="00931178" w:rsidRPr="00931178" w:rsidRDefault="00931178" w:rsidP="005D385E">
            <w:pPr>
              <w:widowControl w:val="0"/>
              <w:jc w:val="both"/>
              <w:rPr>
                <w:sz w:val="22"/>
                <w:szCs w:val="22"/>
              </w:rPr>
            </w:pPr>
            <w:r w:rsidRPr="00931178">
              <w:rPr>
                <w:sz w:val="22"/>
                <w:szCs w:val="22"/>
              </w:rPr>
              <w:t>Dispositifs anti-bruit</w:t>
            </w:r>
          </w:p>
        </w:tc>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1643726A" w14:textId="67E9282C" w:rsidR="00931178" w:rsidRPr="00931178" w:rsidRDefault="00931178" w:rsidP="005D385E">
            <w:pPr>
              <w:widowControl w:val="0"/>
              <w:jc w:val="both"/>
              <w:rPr>
                <w:sz w:val="22"/>
                <w:szCs w:val="22"/>
              </w:rPr>
            </w:pPr>
            <w:r w:rsidRPr="00931178">
              <w:rPr>
                <w:sz w:val="22"/>
                <w:szCs w:val="22"/>
              </w:rPr>
              <w:t>Entre autres</w:t>
            </w:r>
            <w:r w:rsidR="00883D99">
              <w:rPr>
                <w:sz w:val="22"/>
                <w:szCs w:val="22"/>
              </w:rPr>
              <w:t xml:space="preserve"> </w:t>
            </w:r>
            <w:r w:rsidRPr="00931178">
              <w:rPr>
                <w:sz w:val="22"/>
                <w:szCs w:val="22"/>
              </w:rPr>
              <w:t xml:space="preserve">: </w:t>
            </w:r>
          </w:p>
          <w:p w14:paraId="3488FFFC" w14:textId="24D168B7" w:rsidR="00931178" w:rsidRPr="00931178" w:rsidRDefault="00931178" w:rsidP="005D385E">
            <w:pPr>
              <w:widowControl w:val="0"/>
              <w:jc w:val="both"/>
              <w:rPr>
                <w:sz w:val="22"/>
                <w:szCs w:val="22"/>
              </w:rPr>
            </w:pPr>
            <w:r w:rsidRPr="00931178">
              <w:rPr>
                <w:sz w:val="22"/>
                <w:szCs w:val="22"/>
              </w:rPr>
              <w:t>- réducteurs de bruit</w:t>
            </w:r>
            <w:r w:rsidR="00883D99">
              <w:rPr>
                <w:sz w:val="22"/>
                <w:szCs w:val="22"/>
              </w:rPr>
              <w:t> ;</w:t>
            </w:r>
          </w:p>
          <w:p w14:paraId="06D13839" w14:textId="10AAFB24" w:rsidR="00931178" w:rsidRPr="00931178" w:rsidRDefault="00931178" w:rsidP="005D385E">
            <w:pPr>
              <w:widowControl w:val="0"/>
              <w:jc w:val="both"/>
              <w:rPr>
                <w:sz w:val="22"/>
                <w:szCs w:val="22"/>
              </w:rPr>
            </w:pPr>
            <w:r w:rsidRPr="00931178">
              <w:rPr>
                <w:sz w:val="22"/>
                <w:szCs w:val="22"/>
              </w:rPr>
              <w:t>- isolement des équipements</w:t>
            </w:r>
            <w:r w:rsidR="00883D99">
              <w:rPr>
                <w:sz w:val="22"/>
                <w:szCs w:val="22"/>
              </w:rPr>
              <w:t> ;</w:t>
            </w:r>
          </w:p>
          <w:p w14:paraId="236695BC" w14:textId="0A715292" w:rsidR="00931178" w:rsidRPr="00931178" w:rsidRDefault="00931178" w:rsidP="005D385E">
            <w:pPr>
              <w:widowControl w:val="0"/>
              <w:jc w:val="both"/>
              <w:rPr>
                <w:sz w:val="22"/>
                <w:szCs w:val="22"/>
              </w:rPr>
            </w:pPr>
            <w:r w:rsidRPr="00931178">
              <w:rPr>
                <w:sz w:val="22"/>
                <w:szCs w:val="22"/>
              </w:rPr>
              <w:t>- confinement des équipements bruyants</w:t>
            </w:r>
            <w:r w:rsidR="00883D99">
              <w:rPr>
                <w:sz w:val="22"/>
                <w:szCs w:val="22"/>
              </w:rPr>
              <w:t> ;</w:t>
            </w:r>
          </w:p>
          <w:p w14:paraId="318B1B86" w14:textId="0A3EC327" w:rsidR="00931178" w:rsidRPr="00931178" w:rsidRDefault="00931178" w:rsidP="005D385E">
            <w:pPr>
              <w:widowControl w:val="0"/>
              <w:jc w:val="both"/>
              <w:rPr>
                <w:sz w:val="22"/>
                <w:szCs w:val="22"/>
              </w:rPr>
            </w:pPr>
            <w:r w:rsidRPr="00931178">
              <w:rPr>
                <w:sz w:val="22"/>
                <w:szCs w:val="22"/>
              </w:rPr>
              <w:t>- insonorisation des bâtiments</w:t>
            </w:r>
            <w:r w:rsidR="00883D99">
              <w:rPr>
                <w:sz w:val="22"/>
                <w:szCs w:val="22"/>
              </w:rPr>
              <w:t>.</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40ABAF6F" w14:textId="77777777" w:rsidR="00931178" w:rsidRPr="00931178" w:rsidRDefault="00931178" w:rsidP="005D385E">
            <w:pPr>
              <w:widowControl w:val="0"/>
              <w:jc w:val="both"/>
              <w:rPr>
                <w:sz w:val="22"/>
                <w:szCs w:val="22"/>
              </w:rPr>
            </w:pPr>
            <w:r w:rsidRPr="00931178">
              <w:rPr>
                <w:sz w:val="22"/>
                <w:szCs w:val="22"/>
              </w:rPr>
              <w:t>L'applicabilité peut être limitée par le manque d'espace</w:t>
            </w:r>
          </w:p>
        </w:tc>
      </w:tr>
      <w:tr w:rsidR="00931178" w:rsidRPr="00931178" w14:paraId="15707D33" w14:textId="77777777" w:rsidTr="005D385E">
        <w:trPr>
          <w:cantSplit/>
          <w:jc w:val="center"/>
        </w:trPr>
        <w:tc>
          <w:tcPr>
            <w:tcW w:w="373" w:type="dxa"/>
            <w:tcBorders>
              <w:top w:val="single" w:sz="4" w:space="0" w:color="000000"/>
              <w:left w:val="single" w:sz="4" w:space="0" w:color="000000"/>
              <w:bottom w:val="single" w:sz="4" w:space="0" w:color="000000"/>
            </w:tcBorders>
            <w:shd w:val="clear" w:color="auto" w:fill="auto"/>
            <w:vAlign w:val="center"/>
          </w:tcPr>
          <w:p w14:paraId="6B1CC7DA" w14:textId="77777777" w:rsidR="00931178" w:rsidRPr="00931178" w:rsidRDefault="00931178" w:rsidP="005D385E">
            <w:pPr>
              <w:widowControl w:val="0"/>
              <w:jc w:val="center"/>
              <w:rPr>
                <w:color w:val="000000"/>
                <w:sz w:val="22"/>
                <w:szCs w:val="22"/>
                <w:lang w:eastAsia="fr-FR"/>
              </w:rPr>
            </w:pPr>
            <w:proofErr w:type="gramStart"/>
            <w:r w:rsidRPr="00931178">
              <w:rPr>
                <w:color w:val="000000"/>
                <w:sz w:val="22"/>
                <w:szCs w:val="22"/>
                <w:lang w:eastAsia="fr-FR"/>
              </w:rPr>
              <w:t>e</w:t>
            </w:r>
            <w:proofErr w:type="gramEnd"/>
          </w:p>
        </w:tc>
        <w:tc>
          <w:tcPr>
            <w:tcW w:w="1749" w:type="dxa"/>
            <w:tcBorders>
              <w:top w:val="single" w:sz="4" w:space="0" w:color="000000"/>
              <w:left w:val="single" w:sz="4" w:space="0" w:color="000000"/>
              <w:bottom w:val="single" w:sz="4" w:space="0" w:color="000000"/>
            </w:tcBorders>
            <w:shd w:val="clear" w:color="auto" w:fill="auto"/>
            <w:vAlign w:val="center"/>
          </w:tcPr>
          <w:p w14:paraId="4A2BF114" w14:textId="77777777" w:rsidR="00931178" w:rsidRPr="00931178" w:rsidRDefault="00931178" w:rsidP="005D385E">
            <w:pPr>
              <w:widowControl w:val="0"/>
              <w:jc w:val="both"/>
              <w:rPr>
                <w:sz w:val="22"/>
                <w:szCs w:val="22"/>
              </w:rPr>
            </w:pPr>
            <w:r w:rsidRPr="00931178">
              <w:rPr>
                <w:sz w:val="22"/>
                <w:szCs w:val="22"/>
              </w:rPr>
              <w:t>Localisation appropriée des équipements et des bâtiments</w:t>
            </w:r>
          </w:p>
        </w:tc>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CC61E9" w14:textId="77777777" w:rsidR="00931178" w:rsidRPr="00931178" w:rsidRDefault="00931178" w:rsidP="005D385E">
            <w:pPr>
              <w:widowControl w:val="0"/>
              <w:jc w:val="both"/>
              <w:rPr>
                <w:sz w:val="22"/>
                <w:szCs w:val="22"/>
              </w:rPr>
            </w:pPr>
            <w:r w:rsidRPr="00931178">
              <w:rPr>
                <w:sz w:val="22"/>
                <w:szCs w:val="22"/>
              </w:rPr>
              <w:t>Les niveaux de bruit peuvent être réduits en augmentant la distance entre l'émetteur et le récepteur et en utilisant les bâtiments comme des écrans antibruit.</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45D4F2B9" w14:textId="11269F2F" w:rsidR="00931178" w:rsidRPr="00931178" w:rsidRDefault="00931178" w:rsidP="005D385E">
            <w:pPr>
              <w:widowControl w:val="0"/>
              <w:jc w:val="both"/>
              <w:rPr>
                <w:sz w:val="22"/>
                <w:szCs w:val="22"/>
              </w:rPr>
            </w:pPr>
            <w:r w:rsidRPr="00931178">
              <w:rPr>
                <w:sz w:val="22"/>
                <w:szCs w:val="22"/>
              </w:rPr>
              <w:t xml:space="preserve">Applicable d'une manière générale aux installations </w:t>
            </w:r>
            <w:r w:rsidR="00104855">
              <w:rPr>
                <w:sz w:val="22"/>
                <w:szCs w:val="22"/>
              </w:rPr>
              <w:t xml:space="preserve">dont l’autorisation a été délivrée </w:t>
            </w:r>
            <w:r w:rsidR="006B21BB">
              <w:rPr>
                <w:sz w:val="22"/>
                <w:szCs w:val="22"/>
              </w:rPr>
              <w:t>à compter du</w:t>
            </w:r>
            <w:r w:rsidR="00104855">
              <w:rPr>
                <w:sz w:val="22"/>
                <w:szCs w:val="22"/>
              </w:rPr>
              <w:t xml:space="preserve"> 17 août 2017</w:t>
            </w:r>
            <w:r w:rsidR="00883D99">
              <w:rPr>
                <w:sz w:val="22"/>
                <w:szCs w:val="22"/>
              </w:rPr>
              <w:t>.</w:t>
            </w:r>
            <w:r w:rsidR="00104855" w:rsidRPr="00931178">
              <w:rPr>
                <w:sz w:val="22"/>
                <w:szCs w:val="22"/>
              </w:rPr>
              <w:t xml:space="preserve"> </w:t>
            </w:r>
            <w:r w:rsidRPr="00931178">
              <w:rPr>
                <w:sz w:val="22"/>
                <w:szCs w:val="22"/>
              </w:rPr>
              <w:t xml:space="preserve">Dans le cas des installations </w:t>
            </w:r>
            <w:r w:rsidR="00104855">
              <w:rPr>
                <w:sz w:val="22"/>
                <w:szCs w:val="22"/>
              </w:rPr>
              <w:t>dont l’autorisation a été délivré</w:t>
            </w:r>
            <w:r w:rsidR="00C40620">
              <w:rPr>
                <w:sz w:val="22"/>
                <w:szCs w:val="22"/>
              </w:rPr>
              <w:t>e</w:t>
            </w:r>
            <w:r w:rsidR="00104855">
              <w:rPr>
                <w:sz w:val="22"/>
                <w:szCs w:val="22"/>
              </w:rPr>
              <w:t xml:space="preserve"> </w:t>
            </w:r>
            <w:r w:rsidR="006B21BB">
              <w:rPr>
                <w:sz w:val="22"/>
                <w:szCs w:val="22"/>
              </w:rPr>
              <w:t>avant le</w:t>
            </w:r>
            <w:r w:rsidR="00104855">
              <w:rPr>
                <w:sz w:val="22"/>
                <w:szCs w:val="22"/>
              </w:rPr>
              <w:t xml:space="preserve"> 17 août 2017</w:t>
            </w:r>
            <w:r w:rsidRPr="00931178">
              <w:rPr>
                <w:sz w:val="22"/>
                <w:szCs w:val="22"/>
              </w:rPr>
              <w:t xml:space="preserve">, le déplacement des équipements et des </w:t>
            </w:r>
            <w:r w:rsidR="0024353C">
              <w:rPr>
                <w:sz w:val="22"/>
                <w:szCs w:val="22"/>
              </w:rPr>
              <w:t>appareil</w:t>
            </w:r>
            <w:r w:rsidRPr="00931178">
              <w:rPr>
                <w:sz w:val="22"/>
                <w:szCs w:val="22"/>
              </w:rPr>
              <w:t>s de production peut être limité par le manque d'espace ou par des coûts excessifs.</w:t>
            </w:r>
          </w:p>
        </w:tc>
      </w:tr>
      <w:bookmarkEnd w:id="42"/>
    </w:tbl>
    <w:p w14:paraId="48CD6FFA" w14:textId="77777777" w:rsidR="00931178" w:rsidRDefault="00931178" w:rsidP="00936417"/>
    <w:p w14:paraId="6B2F60BF" w14:textId="4FBDB508" w:rsidR="00936417" w:rsidRPr="001E47C8" w:rsidRDefault="00936417" w:rsidP="00936417">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65</w:t>
      </w:r>
      <w:r w:rsidRPr="001E47C8">
        <w:rPr>
          <w:b/>
          <w:bCs/>
          <w:i/>
          <w:iCs/>
        </w:rPr>
        <w:fldChar w:fldCharType="end"/>
      </w:r>
    </w:p>
    <w:p w14:paraId="139F80CA" w14:textId="798E5F8E" w:rsidR="00936417" w:rsidRDefault="00936417" w:rsidP="00936417"/>
    <w:p w14:paraId="789EF560" w14:textId="4FB547AE" w:rsidR="00931178" w:rsidRPr="004311FB" w:rsidRDefault="00931178" w:rsidP="00931178">
      <w:pPr>
        <w:jc w:val="both"/>
      </w:pPr>
      <w:r w:rsidRPr="004311FB">
        <w:t>L’article 5</w:t>
      </w:r>
      <w:r>
        <w:t xml:space="preserve">5 </w:t>
      </w:r>
      <w:r w:rsidRPr="004311FB">
        <w:t>de l’arrêté susvisé est ainsi modifié :</w:t>
      </w:r>
    </w:p>
    <w:p w14:paraId="0538516D" w14:textId="77777777" w:rsidR="00931178" w:rsidRPr="004311FB" w:rsidRDefault="00931178" w:rsidP="00931178">
      <w:pPr>
        <w:jc w:val="both"/>
      </w:pPr>
    </w:p>
    <w:p w14:paraId="5C98654A" w14:textId="79A7C227" w:rsidR="00931178" w:rsidRDefault="004B42BA" w:rsidP="00931178">
      <w:pPr>
        <w:shd w:val="clear" w:color="auto" w:fill="FFFFFF"/>
        <w:spacing w:after="240"/>
        <w:jc w:val="both"/>
      </w:pPr>
      <w:r>
        <w:t>1°</w:t>
      </w:r>
      <w:r w:rsidR="00931178" w:rsidRPr="004311FB">
        <w:t xml:space="preserve"> </w:t>
      </w:r>
      <w:r w:rsidR="00883D99">
        <w:t xml:space="preserve">Un </w:t>
      </w:r>
      <w:r w:rsidR="00883D99" w:rsidRPr="004311FB">
        <w:t xml:space="preserve">alinéa </w:t>
      </w:r>
      <w:r w:rsidR="00931178" w:rsidRPr="004311FB">
        <w:t>« </w:t>
      </w:r>
      <w:r w:rsidR="00931178" w:rsidRPr="00931178">
        <w:t>Dispositions générales de sécurité</w:t>
      </w:r>
      <w:r w:rsidR="00931178">
        <w:t xml:space="preserve"> </w:t>
      </w:r>
      <w:r w:rsidR="00931178" w:rsidRPr="004311FB">
        <w:rPr>
          <w:lang w:eastAsia="fr-FR"/>
        </w:rPr>
        <w:t>»</w:t>
      </w:r>
      <w:r w:rsidR="00931178" w:rsidRPr="004311FB">
        <w:t xml:space="preserve"> est inséré avant le premier alinéa.</w:t>
      </w:r>
    </w:p>
    <w:p w14:paraId="65F4BA61" w14:textId="0D620676" w:rsidR="00931178" w:rsidRDefault="004B42BA" w:rsidP="00936417">
      <w:r>
        <w:t>2°</w:t>
      </w:r>
      <w:r w:rsidR="00931178">
        <w:t xml:space="preserve"> </w:t>
      </w:r>
      <w:r w:rsidR="0098718E">
        <w:t xml:space="preserve">Le </w:t>
      </w:r>
      <w:r w:rsidR="00931178">
        <w:t>premier alinéa du I</w:t>
      </w:r>
      <w:r w:rsidR="0098718E">
        <w:t xml:space="preserve"> est</w:t>
      </w:r>
      <w:r w:rsidR="00931178">
        <w:t xml:space="preserve"> </w:t>
      </w:r>
      <w:r>
        <w:t>ainsi rédigé</w:t>
      </w:r>
      <w:r w:rsidR="00931178">
        <w:t> :</w:t>
      </w:r>
    </w:p>
    <w:p w14:paraId="2B47F83B" w14:textId="049E9B49" w:rsidR="00931178" w:rsidRPr="00931178" w:rsidRDefault="00931178" w:rsidP="00931178">
      <w:pPr>
        <w:shd w:val="clear" w:color="auto" w:fill="FFFFFF"/>
        <w:jc w:val="both"/>
        <w:rPr>
          <w:rFonts w:cstheme="minorHAnsi"/>
          <w:lang w:eastAsia="fr-FR"/>
        </w:rPr>
      </w:pPr>
      <w:r w:rsidRPr="00931178">
        <w:t>« I.</w:t>
      </w:r>
      <w:r w:rsidR="004B42BA">
        <w:t xml:space="preserve"> </w:t>
      </w:r>
      <w:r w:rsidRPr="00931178">
        <w:t xml:space="preserve">- </w:t>
      </w:r>
      <w:r w:rsidRPr="00931178">
        <w:rPr>
          <w:rFonts w:cstheme="minorHAnsi"/>
          <w:lang w:eastAsia="fr-FR"/>
        </w:rPr>
        <w:t>Les dispositions de l’article 61</w:t>
      </w:r>
      <w:r w:rsidR="00E70E3F" w:rsidRPr="00E70E3F">
        <w:rPr>
          <w:rFonts w:cstheme="minorHAnsi"/>
          <w:lang w:eastAsia="fr-FR"/>
        </w:rPr>
        <w:t xml:space="preserve"> </w:t>
      </w:r>
      <w:r w:rsidR="00E70E3F" w:rsidRPr="00931178">
        <w:rPr>
          <w:rFonts w:cstheme="minorHAnsi"/>
          <w:lang w:eastAsia="fr-FR"/>
        </w:rPr>
        <w:t>de l’arrêté du 4 octobre 2010 susmentionné</w:t>
      </w:r>
      <w:r w:rsidRPr="00931178">
        <w:rPr>
          <w:rFonts w:cstheme="minorHAnsi"/>
          <w:lang w:eastAsia="fr-FR"/>
        </w:rPr>
        <w:t xml:space="preserve">, relatif au contrôle des accès, s’appliquent. » </w:t>
      </w:r>
    </w:p>
    <w:p w14:paraId="691C9388" w14:textId="77777777" w:rsidR="00936417" w:rsidRDefault="00936417" w:rsidP="00936417"/>
    <w:p w14:paraId="0854B38F" w14:textId="1D1FF44C" w:rsidR="00936417" w:rsidRPr="001E47C8" w:rsidRDefault="00936417" w:rsidP="00936417">
      <w:pPr>
        <w:jc w:val="center"/>
        <w:rPr>
          <w:b/>
          <w:bCs/>
          <w:i/>
          <w:iCs/>
        </w:rPr>
      </w:pPr>
      <w:r w:rsidRPr="001E47C8">
        <w:rPr>
          <w:b/>
          <w:bCs/>
        </w:rPr>
        <w:t xml:space="preserve">Article </w:t>
      </w:r>
      <w:r w:rsidRPr="001E47C8">
        <w:rPr>
          <w:b/>
          <w:bCs/>
          <w:i/>
          <w:iCs/>
        </w:rPr>
        <w:fldChar w:fldCharType="begin"/>
      </w:r>
      <w:r w:rsidRPr="001E47C8">
        <w:rPr>
          <w:b/>
          <w:bCs/>
        </w:rPr>
        <w:instrText xml:space="preserve"> SEQ Article \* ARABIC </w:instrText>
      </w:r>
      <w:r w:rsidRPr="001E47C8">
        <w:rPr>
          <w:b/>
          <w:bCs/>
          <w:i/>
          <w:iCs/>
        </w:rPr>
        <w:fldChar w:fldCharType="separate"/>
      </w:r>
      <w:r w:rsidR="00871300">
        <w:rPr>
          <w:b/>
          <w:bCs/>
          <w:noProof/>
        </w:rPr>
        <w:t>66</w:t>
      </w:r>
      <w:r w:rsidRPr="001E47C8">
        <w:rPr>
          <w:b/>
          <w:bCs/>
          <w:i/>
          <w:iCs/>
        </w:rPr>
        <w:fldChar w:fldCharType="end"/>
      </w:r>
    </w:p>
    <w:p w14:paraId="7C450FC5" w14:textId="77777777" w:rsidR="00931178" w:rsidRDefault="00931178" w:rsidP="00931178">
      <w:pPr>
        <w:jc w:val="both"/>
      </w:pPr>
    </w:p>
    <w:p w14:paraId="41ACBD95" w14:textId="06DD63CE" w:rsidR="00931178" w:rsidRPr="004311FB" w:rsidRDefault="00931178" w:rsidP="00931178">
      <w:pPr>
        <w:jc w:val="both"/>
      </w:pPr>
      <w:r w:rsidRPr="004311FB">
        <w:t>L’article 5</w:t>
      </w:r>
      <w:r>
        <w:t xml:space="preserve">6 </w:t>
      </w:r>
      <w:r w:rsidRPr="004311FB">
        <w:t>de l’arrêté susvisé est ainsi modifié :</w:t>
      </w:r>
    </w:p>
    <w:p w14:paraId="1AF1E176" w14:textId="77777777" w:rsidR="00931178" w:rsidRPr="004311FB" w:rsidRDefault="00931178" w:rsidP="00931178">
      <w:pPr>
        <w:jc w:val="both"/>
      </w:pPr>
    </w:p>
    <w:p w14:paraId="4C6327A9" w14:textId="544A5ED0" w:rsidR="00931178" w:rsidRDefault="004B42BA" w:rsidP="00931178">
      <w:pPr>
        <w:shd w:val="clear" w:color="auto" w:fill="FFFFFF"/>
        <w:spacing w:after="240"/>
        <w:jc w:val="both"/>
      </w:pPr>
      <w:r>
        <w:t>1°</w:t>
      </w:r>
      <w:r w:rsidR="00931178" w:rsidRPr="004311FB">
        <w:t xml:space="preserve"> </w:t>
      </w:r>
      <w:r w:rsidR="0098718E">
        <w:t xml:space="preserve">Un </w:t>
      </w:r>
      <w:r w:rsidR="0098718E" w:rsidRPr="004311FB">
        <w:t xml:space="preserve">alinéa </w:t>
      </w:r>
      <w:r w:rsidR="00931178" w:rsidRPr="004311FB">
        <w:t>« </w:t>
      </w:r>
      <w:r w:rsidR="00931178" w:rsidRPr="00931178">
        <w:t>Ventilation des locaux</w:t>
      </w:r>
      <w:r w:rsidR="00931178">
        <w:t xml:space="preserve"> </w:t>
      </w:r>
      <w:r w:rsidR="00931178" w:rsidRPr="004311FB">
        <w:rPr>
          <w:lang w:eastAsia="fr-FR"/>
        </w:rPr>
        <w:t>»</w:t>
      </w:r>
      <w:r w:rsidR="00931178" w:rsidRPr="004311FB">
        <w:t xml:space="preserve"> est inséré avant le premier alinéa.</w:t>
      </w:r>
    </w:p>
    <w:p w14:paraId="68FC0AD4" w14:textId="6EA22EB8" w:rsidR="00931178" w:rsidRDefault="004B42BA" w:rsidP="00931178">
      <w:r>
        <w:t>2°</w:t>
      </w:r>
      <w:r w:rsidR="00931178">
        <w:t xml:space="preserve"> </w:t>
      </w:r>
      <w:r w:rsidR="0098718E">
        <w:t>L</w:t>
      </w:r>
      <w:r>
        <w:t>e</w:t>
      </w:r>
      <w:r w:rsidR="0098718E">
        <w:t xml:space="preserve"> I</w:t>
      </w:r>
      <w:r w:rsidR="00931178">
        <w:t xml:space="preserve"> </w:t>
      </w:r>
      <w:r>
        <w:t>est</w:t>
      </w:r>
      <w:r w:rsidR="00931178">
        <w:t xml:space="preserve"> supprimé.</w:t>
      </w:r>
    </w:p>
    <w:p w14:paraId="36591A1D" w14:textId="134BA32E" w:rsidR="00931178" w:rsidRDefault="00931178" w:rsidP="00931178"/>
    <w:p w14:paraId="28385ED4" w14:textId="5EE73976" w:rsidR="00931178" w:rsidRPr="00931178" w:rsidRDefault="004B42BA" w:rsidP="00931178">
      <w:pPr>
        <w:rPr>
          <w:rFonts w:cstheme="minorHAnsi"/>
          <w:lang w:eastAsia="fr-FR"/>
        </w:rPr>
      </w:pPr>
      <w:r>
        <w:t>3°</w:t>
      </w:r>
      <w:r w:rsidR="00931178">
        <w:t xml:space="preserve"> </w:t>
      </w:r>
      <w:r w:rsidR="0098718E">
        <w:t>La référence :</w:t>
      </w:r>
      <w:r w:rsidR="00931178">
        <w:t xml:space="preserve"> « II.- » est supprimé</w:t>
      </w:r>
      <w:r>
        <w:t>e</w:t>
      </w:r>
      <w:r w:rsidR="00931178">
        <w:t>.</w:t>
      </w:r>
    </w:p>
    <w:p w14:paraId="34791EAF" w14:textId="77777777" w:rsidR="00936417" w:rsidRDefault="00936417" w:rsidP="00936417">
      <w:pPr>
        <w:jc w:val="center"/>
        <w:rPr>
          <w:b/>
          <w:bCs/>
          <w:i/>
          <w:iCs/>
        </w:rPr>
      </w:pPr>
    </w:p>
    <w:p w14:paraId="259B0015" w14:textId="4F2CB968" w:rsidR="00936417" w:rsidRPr="00914E79" w:rsidRDefault="00936417" w:rsidP="00936417">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67</w:t>
      </w:r>
      <w:r w:rsidRPr="00914E79">
        <w:rPr>
          <w:b/>
          <w:bCs/>
          <w:i/>
          <w:iCs/>
        </w:rPr>
        <w:fldChar w:fldCharType="end"/>
      </w:r>
    </w:p>
    <w:p w14:paraId="465EFDAB" w14:textId="16B64BE9" w:rsidR="00936417" w:rsidRDefault="00936417" w:rsidP="00936417">
      <w:pPr>
        <w:jc w:val="center"/>
        <w:rPr>
          <w:b/>
          <w:bCs/>
          <w:i/>
          <w:iCs/>
        </w:rPr>
      </w:pPr>
    </w:p>
    <w:p w14:paraId="3C8A2863" w14:textId="701FB9D6" w:rsidR="00931178" w:rsidRDefault="0098718E" w:rsidP="0098718E">
      <w:pPr>
        <w:jc w:val="both"/>
      </w:pPr>
      <w:r w:rsidRPr="0098718E">
        <w:t>Au début de l’article 5</w:t>
      </w:r>
      <w:r>
        <w:t>7</w:t>
      </w:r>
      <w:r w:rsidRPr="0098718E">
        <w:t xml:space="preserve"> de l’arrêté susvisé est inséré un alinéa ainsi rédigé : « </w:t>
      </w:r>
      <w:r w:rsidRPr="002279C0">
        <w:t>Stockage des combustibles</w:t>
      </w:r>
      <w:r>
        <w:t xml:space="preserve"> </w:t>
      </w:r>
      <w:r w:rsidRPr="0098718E">
        <w:t xml:space="preserve">». </w:t>
      </w:r>
    </w:p>
    <w:p w14:paraId="0C293291" w14:textId="77777777" w:rsidR="0098718E" w:rsidRDefault="0098718E" w:rsidP="0098718E">
      <w:pPr>
        <w:jc w:val="both"/>
      </w:pPr>
    </w:p>
    <w:p w14:paraId="4536735F" w14:textId="6A49EDDB" w:rsidR="00936417" w:rsidRPr="00914E79" w:rsidRDefault="00936417" w:rsidP="00936417">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68</w:t>
      </w:r>
      <w:r w:rsidRPr="00914E79">
        <w:rPr>
          <w:b/>
          <w:bCs/>
          <w:i/>
          <w:iCs/>
        </w:rPr>
        <w:fldChar w:fldCharType="end"/>
      </w:r>
    </w:p>
    <w:p w14:paraId="71207874" w14:textId="77777777" w:rsidR="002279C0" w:rsidRDefault="002279C0" w:rsidP="002279C0">
      <w:pPr>
        <w:jc w:val="both"/>
      </w:pPr>
    </w:p>
    <w:p w14:paraId="2E169401" w14:textId="7716F995" w:rsidR="002279C0" w:rsidRDefault="0098718E" w:rsidP="0098718E">
      <w:pPr>
        <w:jc w:val="both"/>
      </w:pPr>
      <w:r w:rsidRPr="0098718E">
        <w:t>Au début de l’article 5</w:t>
      </w:r>
      <w:r>
        <w:t>8</w:t>
      </w:r>
      <w:r w:rsidRPr="0098718E">
        <w:t xml:space="preserve"> de l’arrêté susvisé est inséré un alinéa ainsi rédigé : «</w:t>
      </w:r>
      <w:r>
        <w:t xml:space="preserve"> </w:t>
      </w:r>
      <w:r w:rsidRPr="002279C0">
        <w:t>Exploitation des installations</w:t>
      </w:r>
      <w:r>
        <w:t xml:space="preserve"> </w:t>
      </w:r>
      <w:r w:rsidRPr="0098718E">
        <w:t xml:space="preserve">». </w:t>
      </w:r>
    </w:p>
    <w:p w14:paraId="54F4CCB7" w14:textId="77777777" w:rsidR="00936417" w:rsidRPr="00914E79" w:rsidRDefault="00936417" w:rsidP="00936417">
      <w:pPr>
        <w:jc w:val="center"/>
        <w:rPr>
          <w:b/>
          <w:bCs/>
          <w:i/>
          <w:iCs/>
        </w:rPr>
      </w:pPr>
    </w:p>
    <w:p w14:paraId="4E5E7414" w14:textId="69410C22" w:rsidR="00936417" w:rsidRPr="00914E79" w:rsidRDefault="00936417" w:rsidP="00936417">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69</w:t>
      </w:r>
      <w:r w:rsidRPr="00914E79">
        <w:rPr>
          <w:b/>
          <w:bCs/>
          <w:i/>
          <w:iCs/>
        </w:rPr>
        <w:fldChar w:fldCharType="end"/>
      </w:r>
    </w:p>
    <w:p w14:paraId="300A4E7A" w14:textId="788FD4C7" w:rsidR="00936417" w:rsidRDefault="00936417" w:rsidP="002279C0"/>
    <w:p w14:paraId="40E2D0A7" w14:textId="265D7DA6" w:rsidR="002279C0" w:rsidRDefault="0098718E" w:rsidP="0098718E">
      <w:pPr>
        <w:jc w:val="both"/>
      </w:pPr>
      <w:r w:rsidRPr="0098718E">
        <w:t>Au début de l’article 5</w:t>
      </w:r>
      <w:r>
        <w:t>9</w:t>
      </w:r>
      <w:r w:rsidRPr="0098718E">
        <w:t xml:space="preserve"> de l’arrêté susvisé est inséré un alinéa ainsi rédigé : « </w:t>
      </w:r>
      <w:r w:rsidRPr="002279C0">
        <w:t>Recensement et détermination de la nature des risques de l’installation</w:t>
      </w:r>
      <w:r>
        <w:t xml:space="preserve"> </w:t>
      </w:r>
      <w:r w:rsidRPr="0098718E">
        <w:t xml:space="preserve">». </w:t>
      </w:r>
    </w:p>
    <w:p w14:paraId="6BAA1AF9" w14:textId="77777777" w:rsidR="0098718E" w:rsidRPr="00914E79" w:rsidRDefault="0098718E" w:rsidP="0098718E">
      <w:pPr>
        <w:jc w:val="both"/>
      </w:pPr>
    </w:p>
    <w:p w14:paraId="263151FD" w14:textId="123EA385" w:rsidR="00931178" w:rsidRPr="00914E79" w:rsidRDefault="00931178"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70</w:t>
      </w:r>
      <w:r w:rsidRPr="00914E79">
        <w:rPr>
          <w:b/>
          <w:bCs/>
          <w:i/>
          <w:iCs/>
        </w:rPr>
        <w:fldChar w:fldCharType="end"/>
      </w:r>
    </w:p>
    <w:p w14:paraId="79DCCF10" w14:textId="77777777" w:rsidR="002279C0" w:rsidRDefault="002279C0" w:rsidP="002B0DC1"/>
    <w:p w14:paraId="27009F03" w14:textId="4C236861" w:rsidR="002279C0" w:rsidRPr="004311FB" w:rsidRDefault="002279C0" w:rsidP="002B0DC1">
      <w:pPr>
        <w:jc w:val="both"/>
      </w:pPr>
      <w:r w:rsidRPr="004311FB">
        <w:t xml:space="preserve">L’article </w:t>
      </w:r>
      <w:r>
        <w:t xml:space="preserve">60 </w:t>
      </w:r>
      <w:r w:rsidRPr="004311FB">
        <w:t>de l’arrêté susvisé est ainsi modifié :</w:t>
      </w:r>
    </w:p>
    <w:p w14:paraId="5DE0F5DA" w14:textId="77777777" w:rsidR="002279C0" w:rsidRPr="004311FB" w:rsidRDefault="002279C0" w:rsidP="002B0DC1">
      <w:pPr>
        <w:jc w:val="both"/>
      </w:pPr>
    </w:p>
    <w:p w14:paraId="1A449C24" w14:textId="66EC488C" w:rsidR="002279C0" w:rsidRDefault="004B42BA" w:rsidP="002B0DC1">
      <w:pPr>
        <w:spacing w:after="240"/>
        <w:jc w:val="both"/>
      </w:pPr>
      <w:r>
        <w:t>1°</w:t>
      </w:r>
      <w:r w:rsidR="002279C0" w:rsidRPr="004311FB">
        <w:t xml:space="preserve"> </w:t>
      </w:r>
      <w:r w:rsidR="0098718E">
        <w:t xml:space="preserve">Un </w:t>
      </w:r>
      <w:r w:rsidR="0098718E" w:rsidRPr="004311FB">
        <w:t xml:space="preserve">alinéa </w:t>
      </w:r>
      <w:r w:rsidR="002279C0" w:rsidRPr="004311FB">
        <w:t>« </w:t>
      </w:r>
      <w:r w:rsidR="002279C0" w:rsidRPr="002279C0">
        <w:t>Atmosphères explosives, risques d’explosion, foudre</w:t>
      </w:r>
      <w:r w:rsidR="002279C0">
        <w:t xml:space="preserve"> </w:t>
      </w:r>
      <w:r w:rsidR="002279C0" w:rsidRPr="004311FB">
        <w:rPr>
          <w:lang w:eastAsia="fr-FR"/>
        </w:rPr>
        <w:t>»</w:t>
      </w:r>
      <w:r w:rsidR="002279C0" w:rsidRPr="004311FB">
        <w:t xml:space="preserve"> est inséré avant le premier alinéa.</w:t>
      </w:r>
    </w:p>
    <w:p w14:paraId="631C6C61" w14:textId="26890D33" w:rsidR="00842CD4" w:rsidRDefault="004B42BA" w:rsidP="002B0DC1">
      <w:pPr>
        <w:spacing w:after="240"/>
        <w:jc w:val="both"/>
      </w:pPr>
      <w:r>
        <w:t>2°</w:t>
      </w:r>
      <w:r w:rsidR="0098718E">
        <w:t xml:space="preserve"> Au </w:t>
      </w:r>
      <w:r w:rsidR="00842CD4">
        <w:t>premier alinéa du I</w:t>
      </w:r>
      <w:r w:rsidR="0098718E">
        <w:t>,</w:t>
      </w:r>
      <w:r w:rsidR="00842CD4">
        <w:t xml:space="preserve"> les mots « sont conformes aux dispositions du décr</w:t>
      </w:r>
      <w:r w:rsidR="00C507C4">
        <w:t>e</w:t>
      </w:r>
      <w:r w:rsidR="00842CD4">
        <w:t xml:space="preserve">t n°96 1010 du 19 novembre 1996 relatif aux appareils et aux systèmes de protection destinés à être utilisés en atmosphère explosive » sont remplacés par </w:t>
      </w:r>
      <w:r w:rsidR="0098718E">
        <w:t xml:space="preserve">les mots : </w:t>
      </w:r>
      <w:r w:rsidR="00842CD4">
        <w:t>« respectent les dispositions de l’article 65 de l’arrêté du 4 octobre 2010 susmentionné ».</w:t>
      </w:r>
    </w:p>
    <w:p w14:paraId="231BDA3C" w14:textId="437F9621" w:rsidR="002279C0" w:rsidRPr="002279C0" w:rsidRDefault="004B42BA" w:rsidP="002B0DC1">
      <w:pPr>
        <w:spacing w:after="240"/>
        <w:jc w:val="both"/>
      </w:pPr>
      <w:r>
        <w:t>3°</w:t>
      </w:r>
      <w:r w:rsidR="002279C0">
        <w:t xml:space="preserve"> Le cinquième </w:t>
      </w:r>
      <w:r w:rsidR="002279C0" w:rsidRPr="002279C0">
        <w:t xml:space="preserve">alinéa est </w:t>
      </w:r>
      <w:r>
        <w:t>ainsi rédigé</w:t>
      </w:r>
      <w:r w:rsidR="002279C0" w:rsidRPr="002279C0">
        <w:t> : </w:t>
      </w:r>
    </w:p>
    <w:p w14:paraId="3C17DA18" w14:textId="22F37896" w:rsidR="002279C0" w:rsidRPr="002279C0" w:rsidRDefault="002279C0" w:rsidP="002B0DC1">
      <w:pPr>
        <w:spacing w:after="240"/>
        <w:jc w:val="both"/>
      </w:pPr>
      <w:r w:rsidRPr="002279C0">
        <w:t>« </w:t>
      </w:r>
      <w:r w:rsidRPr="002279C0">
        <w:rPr>
          <w:color w:val="000000"/>
          <w:lang w:eastAsia="fr-FR"/>
        </w:rPr>
        <w:t>L'exploitant met en œuvre les dispositions relatives à la protection contre la foudre de la section III de l'arrêté du 4 octobre 2010 susmentionné. »</w:t>
      </w:r>
    </w:p>
    <w:p w14:paraId="350BAA7C" w14:textId="616C727A" w:rsidR="00931178" w:rsidRPr="00914E79" w:rsidRDefault="00931178"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71</w:t>
      </w:r>
      <w:r w:rsidRPr="00914E79">
        <w:rPr>
          <w:b/>
          <w:bCs/>
          <w:i/>
          <w:iCs/>
        </w:rPr>
        <w:fldChar w:fldCharType="end"/>
      </w:r>
    </w:p>
    <w:p w14:paraId="1B982A98" w14:textId="6F7686AD" w:rsidR="00931178" w:rsidRDefault="00931178" w:rsidP="002B0DC1"/>
    <w:p w14:paraId="10FE704C" w14:textId="0C26DADF" w:rsidR="0098718E" w:rsidRDefault="0098718E" w:rsidP="0098718E">
      <w:pPr>
        <w:spacing w:after="240"/>
        <w:jc w:val="both"/>
      </w:pPr>
      <w:r>
        <w:t>Au début de l</w:t>
      </w:r>
      <w:r w:rsidRPr="004311FB">
        <w:t xml:space="preserve">’article </w:t>
      </w:r>
      <w:r>
        <w:t>61</w:t>
      </w:r>
      <w:r w:rsidRPr="004311FB">
        <w:t xml:space="preserve"> de l’arrêté susvisé est </w:t>
      </w:r>
      <w:r>
        <w:t>inséré un alinéa ainsi rédigé :</w:t>
      </w:r>
      <w:r w:rsidRPr="004311FB">
        <w:t xml:space="preserve"> « </w:t>
      </w:r>
      <w:r w:rsidRPr="002279C0">
        <w:t>Consignes et procédures d’exploitation</w:t>
      </w:r>
      <w:r>
        <w:t xml:space="preserve"> </w:t>
      </w:r>
      <w:r w:rsidRPr="004311FB">
        <w:rPr>
          <w:lang w:eastAsia="fr-FR"/>
        </w:rPr>
        <w:t>»</w:t>
      </w:r>
      <w:r>
        <w:rPr>
          <w:lang w:eastAsia="fr-FR"/>
        </w:rPr>
        <w:t>.</w:t>
      </w:r>
      <w:r w:rsidRPr="004311FB">
        <w:t xml:space="preserve"> </w:t>
      </w:r>
    </w:p>
    <w:p w14:paraId="37A6D100" w14:textId="2D73E75A" w:rsidR="00931178" w:rsidRPr="00914E79" w:rsidRDefault="00931178"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72</w:t>
      </w:r>
      <w:r w:rsidRPr="00914E79">
        <w:rPr>
          <w:b/>
          <w:bCs/>
          <w:i/>
          <w:iCs/>
        </w:rPr>
        <w:fldChar w:fldCharType="end"/>
      </w:r>
    </w:p>
    <w:p w14:paraId="13EC21F6" w14:textId="49A75D86" w:rsidR="002279C0" w:rsidRDefault="002279C0" w:rsidP="002B0DC1">
      <w:pPr>
        <w:jc w:val="both"/>
      </w:pPr>
    </w:p>
    <w:p w14:paraId="22BE00FF" w14:textId="0371F5FB" w:rsidR="0098718E" w:rsidRDefault="0098718E" w:rsidP="0098718E">
      <w:pPr>
        <w:spacing w:after="240"/>
        <w:jc w:val="both"/>
      </w:pPr>
      <w:r>
        <w:t>Au début de l</w:t>
      </w:r>
      <w:r w:rsidRPr="004311FB">
        <w:t xml:space="preserve">’article </w:t>
      </w:r>
      <w:r>
        <w:t>62</w:t>
      </w:r>
      <w:r w:rsidRPr="004311FB">
        <w:t xml:space="preserve"> de l’arrêté susvisé est </w:t>
      </w:r>
      <w:r>
        <w:t>inséré un alinéa ainsi rédigé :</w:t>
      </w:r>
      <w:r w:rsidRPr="004311FB">
        <w:t xml:space="preserve"> « </w:t>
      </w:r>
      <w:r w:rsidRPr="002279C0">
        <w:t>Entretien des installations</w:t>
      </w:r>
      <w:r>
        <w:t xml:space="preserve"> </w:t>
      </w:r>
      <w:r w:rsidRPr="004311FB">
        <w:rPr>
          <w:lang w:eastAsia="fr-FR"/>
        </w:rPr>
        <w:t>»</w:t>
      </w:r>
      <w:r>
        <w:rPr>
          <w:lang w:eastAsia="fr-FR"/>
        </w:rPr>
        <w:t>.</w:t>
      </w:r>
      <w:r w:rsidRPr="004311FB">
        <w:t xml:space="preserve"> </w:t>
      </w:r>
    </w:p>
    <w:p w14:paraId="15ACC74B" w14:textId="77777777" w:rsidR="00931178" w:rsidRDefault="00931178" w:rsidP="002B0DC1">
      <w:pPr>
        <w:jc w:val="center"/>
        <w:rPr>
          <w:b/>
          <w:bCs/>
          <w:i/>
          <w:iCs/>
        </w:rPr>
      </w:pPr>
    </w:p>
    <w:p w14:paraId="20663701" w14:textId="318461EE" w:rsidR="00931178" w:rsidRDefault="00931178" w:rsidP="002B0DC1">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73</w:t>
      </w:r>
      <w:r w:rsidRPr="00914E79">
        <w:rPr>
          <w:b/>
          <w:bCs/>
          <w:i/>
          <w:iCs/>
        </w:rPr>
        <w:fldChar w:fldCharType="end"/>
      </w:r>
    </w:p>
    <w:p w14:paraId="7FC8A3A2" w14:textId="77777777" w:rsidR="002279C0" w:rsidRDefault="002279C0" w:rsidP="002B0DC1">
      <w:pPr>
        <w:jc w:val="both"/>
      </w:pPr>
    </w:p>
    <w:p w14:paraId="18011478" w14:textId="1BE47FED" w:rsidR="002279C0" w:rsidRDefault="0098718E" w:rsidP="0098718E">
      <w:pPr>
        <w:jc w:val="both"/>
      </w:pPr>
      <w:r w:rsidRPr="0098718E">
        <w:t xml:space="preserve">Au début de l’article </w:t>
      </w:r>
      <w:r>
        <w:t>63</w:t>
      </w:r>
      <w:r w:rsidRPr="0098718E">
        <w:t xml:space="preserve"> de l’arrêté susvisé est inséré un alinéa ainsi rédigé : « </w:t>
      </w:r>
      <w:r w:rsidRPr="002279C0">
        <w:t>Réseaux d’alimentation en combustible, détection de gaz</w:t>
      </w:r>
      <w:r>
        <w:t xml:space="preserve"> </w:t>
      </w:r>
      <w:r w:rsidRPr="0098718E">
        <w:t>»</w:t>
      </w:r>
      <w:r w:rsidR="002279C0" w:rsidRPr="004311FB">
        <w:t>.</w:t>
      </w:r>
    </w:p>
    <w:p w14:paraId="280C6B22" w14:textId="77777777" w:rsidR="0098718E" w:rsidRDefault="0098718E" w:rsidP="0098718E">
      <w:pPr>
        <w:jc w:val="both"/>
      </w:pPr>
    </w:p>
    <w:p w14:paraId="77AE892E" w14:textId="72726541" w:rsidR="002279C0" w:rsidRPr="00914E79" w:rsidRDefault="002279C0" w:rsidP="002279C0">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74</w:t>
      </w:r>
      <w:r w:rsidRPr="00914E79">
        <w:rPr>
          <w:b/>
          <w:bCs/>
          <w:i/>
          <w:iCs/>
        </w:rPr>
        <w:fldChar w:fldCharType="end"/>
      </w:r>
    </w:p>
    <w:p w14:paraId="7DD1947B" w14:textId="3F2A5B53" w:rsidR="002279C0" w:rsidRDefault="002279C0" w:rsidP="002279C0">
      <w:pPr>
        <w:jc w:val="center"/>
        <w:rPr>
          <w:b/>
          <w:bCs/>
          <w:i/>
          <w:iCs/>
        </w:rPr>
      </w:pPr>
    </w:p>
    <w:p w14:paraId="0C1ABE00" w14:textId="5E473149" w:rsidR="002279C0" w:rsidRPr="00914E79" w:rsidRDefault="0098718E" w:rsidP="002279C0">
      <w:pPr>
        <w:shd w:val="clear" w:color="auto" w:fill="FFFFFF"/>
        <w:spacing w:after="240"/>
        <w:jc w:val="both"/>
        <w:rPr>
          <w:b/>
          <w:bCs/>
          <w:i/>
          <w:iCs/>
        </w:rPr>
      </w:pPr>
      <w:r>
        <w:t>Au début de l</w:t>
      </w:r>
      <w:r w:rsidRPr="004311FB">
        <w:t xml:space="preserve">’article </w:t>
      </w:r>
      <w:r>
        <w:t>64</w:t>
      </w:r>
      <w:r w:rsidRPr="004311FB">
        <w:t xml:space="preserve"> de l’arrêté susvisé est </w:t>
      </w:r>
      <w:r>
        <w:t>inséré un alinéa ainsi rédigé :</w:t>
      </w:r>
      <w:r w:rsidRPr="004311FB">
        <w:t xml:space="preserve"> « </w:t>
      </w:r>
      <w:r w:rsidRPr="002279C0">
        <w:t>Dispositifs préventifs sur les appareils de combustion</w:t>
      </w:r>
      <w:r>
        <w:t xml:space="preserve"> </w:t>
      </w:r>
      <w:r w:rsidRPr="004311FB">
        <w:rPr>
          <w:lang w:eastAsia="fr-FR"/>
        </w:rPr>
        <w:t>»</w:t>
      </w:r>
      <w:r>
        <w:rPr>
          <w:lang w:eastAsia="fr-FR"/>
        </w:rPr>
        <w:t>.</w:t>
      </w:r>
      <w:r w:rsidRPr="004311FB">
        <w:t xml:space="preserve"> </w:t>
      </w:r>
    </w:p>
    <w:p w14:paraId="6C3A2CBD" w14:textId="1542C66D" w:rsidR="002279C0" w:rsidRPr="00914E79" w:rsidRDefault="002279C0" w:rsidP="002279C0">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75</w:t>
      </w:r>
      <w:r w:rsidRPr="00914E79">
        <w:rPr>
          <w:b/>
          <w:bCs/>
          <w:i/>
          <w:iCs/>
        </w:rPr>
        <w:fldChar w:fldCharType="end"/>
      </w:r>
    </w:p>
    <w:p w14:paraId="39EE4F28" w14:textId="77777777" w:rsidR="002279C0" w:rsidRDefault="002279C0" w:rsidP="002279C0">
      <w:pPr>
        <w:jc w:val="both"/>
      </w:pPr>
    </w:p>
    <w:p w14:paraId="271ED995" w14:textId="0BAE6D58" w:rsidR="0098718E" w:rsidRDefault="0098718E" w:rsidP="0098718E">
      <w:pPr>
        <w:spacing w:after="240"/>
        <w:jc w:val="both"/>
      </w:pPr>
      <w:r>
        <w:t>Au début de l</w:t>
      </w:r>
      <w:r w:rsidRPr="004311FB">
        <w:t xml:space="preserve">’article </w:t>
      </w:r>
      <w:r>
        <w:t>65</w:t>
      </w:r>
      <w:r w:rsidRPr="004311FB">
        <w:t xml:space="preserve"> de l’arrêté susvisé est </w:t>
      </w:r>
      <w:r>
        <w:t>inséré un alinéa ainsi rédigé :</w:t>
      </w:r>
      <w:r w:rsidRPr="004311FB">
        <w:t xml:space="preserve"> « </w:t>
      </w:r>
      <w:r w:rsidRPr="002279C0">
        <w:t>Dispositions concernant le stockage des produits</w:t>
      </w:r>
      <w:r>
        <w:t xml:space="preserve"> </w:t>
      </w:r>
      <w:r w:rsidRPr="004311FB">
        <w:rPr>
          <w:lang w:eastAsia="fr-FR"/>
        </w:rPr>
        <w:t>»</w:t>
      </w:r>
      <w:r>
        <w:rPr>
          <w:lang w:eastAsia="fr-FR"/>
        </w:rPr>
        <w:t>.</w:t>
      </w:r>
      <w:r w:rsidRPr="004311FB">
        <w:t xml:space="preserve"> </w:t>
      </w:r>
    </w:p>
    <w:p w14:paraId="35F9452A" w14:textId="504D83EE" w:rsidR="002279C0" w:rsidRPr="002279C0" w:rsidRDefault="002279C0" w:rsidP="002279C0"/>
    <w:p w14:paraId="2715F9A6" w14:textId="246B11FA" w:rsidR="002279C0" w:rsidRDefault="002279C0" w:rsidP="002279C0">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76</w:t>
      </w:r>
      <w:r w:rsidRPr="00914E79">
        <w:rPr>
          <w:b/>
          <w:bCs/>
          <w:i/>
          <w:iCs/>
        </w:rPr>
        <w:fldChar w:fldCharType="end"/>
      </w:r>
    </w:p>
    <w:p w14:paraId="4FE097B7" w14:textId="175F24A1" w:rsidR="002279C0" w:rsidRDefault="002279C0" w:rsidP="002279C0">
      <w:pPr>
        <w:jc w:val="center"/>
        <w:rPr>
          <w:b/>
          <w:bCs/>
          <w:i/>
          <w:iCs/>
        </w:rPr>
      </w:pPr>
    </w:p>
    <w:p w14:paraId="38EF2160" w14:textId="7B615A64" w:rsidR="002279C0" w:rsidRPr="002279C0" w:rsidRDefault="0098718E" w:rsidP="0098718E">
      <w:pPr>
        <w:jc w:val="both"/>
      </w:pPr>
      <w:r w:rsidRPr="0098718E">
        <w:t xml:space="preserve">Au début de l’article </w:t>
      </w:r>
      <w:r>
        <w:t>66</w:t>
      </w:r>
      <w:r w:rsidRPr="0098718E">
        <w:t xml:space="preserve"> de l’arrêté susvisé est inséré un alinéa ainsi rédigé : « </w:t>
      </w:r>
      <w:r w:rsidRPr="002279C0">
        <w:t>Livret de l’installation</w:t>
      </w:r>
      <w:r>
        <w:t xml:space="preserve"> </w:t>
      </w:r>
      <w:r w:rsidRPr="0098718E">
        <w:t xml:space="preserve">». </w:t>
      </w:r>
    </w:p>
    <w:p w14:paraId="380CE8F0" w14:textId="77777777" w:rsidR="002279C0" w:rsidRPr="00914E79" w:rsidRDefault="002279C0" w:rsidP="002279C0"/>
    <w:p w14:paraId="79172120" w14:textId="7C7EDF96" w:rsidR="002279C0" w:rsidRPr="00914E79" w:rsidRDefault="002279C0" w:rsidP="002279C0">
      <w:pPr>
        <w:jc w:val="center"/>
        <w:rPr>
          <w:b/>
          <w:bCs/>
          <w:i/>
          <w:iCs/>
        </w:rPr>
      </w:pPr>
      <w:r w:rsidRPr="00914E79">
        <w:rPr>
          <w:b/>
          <w:bCs/>
        </w:rPr>
        <w:t xml:space="preserve">Article </w:t>
      </w:r>
      <w:r w:rsidRPr="00914E79">
        <w:rPr>
          <w:b/>
          <w:bCs/>
          <w:i/>
          <w:iCs/>
        </w:rPr>
        <w:fldChar w:fldCharType="begin"/>
      </w:r>
      <w:r w:rsidRPr="00914E79">
        <w:rPr>
          <w:b/>
          <w:bCs/>
        </w:rPr>
        <w:instrText xml:space="preserve"> SEQ Article \* ARABIC </w:instrText>
      </w:r>
      <w:r w:rsidRPr="00914E79">
        <w:rPr>
          <w:b/>
          <w:bCs/>
          <w:i/>
          <w:iCs/>
        </w:rPr>
        <w:fldChar w:fldCharType="separate"/>
      </w:r>
      <w:r w:rsidR="00871300">
        <w:rPr>
          <w:b/>
          <w:bCs/>
          <w:noProof/>
        </w:rPr>
        <w:t>77</w:t>
      </w:r>
      <w:r w:rsidRPr="00914E79">
        <w:rPr>
          <w:b/>
          <w:bCs/>
          <w:i/>
          <w:iCs/>
        </w:rPr>
        <w:fldChar w:fldCharType="end"/>
      </w:r>
    </w:p>
    <w:p w14:paraId="7442D433" w14:textId="2FB04252" w:rsidR="00231C2A" w:rsidRPr="00231C2A" w:rsidRDefault="009E7FEC" w:rsidP="00231C2A">
      <w:pPr>
        <w:suppressAutoHyphens w:val="0"/>
        <w:spacing w:before="100" w:beforeAutospacing="1" w:after="119"/>
        <w:jc w:val="both"/>
        <w:rPr>
          <w:color w:val="000000"/>
          <w:lang w:eastAsia="fr-FR"/>
        </w:rPr>
      </w:pPr>
      <w:r w:rsidRPr="00231C2A">
        <w:rPr>
          <w:color w:val="000000"/>
          <w:lang w:eastAsia="fr-FR"/>
        </w:rPr>
        <w:t>L</w:t>
      </w:r>
      <w:r>
        <w:rPr>
          <w:color w:val="000000"/>
          <w:lang w:eastAsia="fr-FR"/>
        </w:rPr>
        <w:t>a</w:t>
      </w:r>
      <w:r w:rsidRPr="00231C2A">
        <w:rPr>
          <w:color w:val="000000"/>
          <w:lang w:eastAsia="fr-FR"/>
        </w:rPr>
        <w:t xml:space="preserve"> </w:t>
      </w:r>
      <w:r w:rsidR="00231C2A" w:rsidRPr="00231C2A">
        <w:rPr>
          <w:color w:val="000000"/>
          <w:lang w:eastAsia="fr-FR"/>
        </w:rPr>
        <w:t>direct</w:t>
      </w:r>
      <w:r>
        <w:rPr>
          <w:color w:val="000000"/>
          <w:lang w:eastAsia="fr-FR"/>
        </w:rPr>
        <w:t>rice</w:t>
      </w:r>
      <w:r w:rsidR="00231C2A" w:rsidRPr="00231C2A">
        <w:rPr>
          <w:color w:val="000000"/>
          <w:lang w:eastAsia="fr-FR"/>
        </w:rPr>
        <w:t xml:space="preserve"> général</w:t>
      </w:r>
      <w:r>
        <w:rPr>
          <w:color w:val="000000"/>
          <w:lang w:eastAsia="fr-FR"/>
        </w:rPr>
        <w:t>e</w:t>
      </w:r>
      <w:r w:rsidR="00231C2A" w:rsidRPr="00231C2A">
        <w:rPr>
          <w:color w:val="000000"/>
          <w:lang w:eastAsia="fr-FR"/>
        </w:rPr>
        <w:t xml:space="preserve"> de l’énergie et du climat et le directeur général de la prévention des risques sont chargés, chacun en ce qui le concerne, de l’exécution du présent arrêté, qui sera publié au </w:t>
      </w:r>
      <w:r w:rsidR="00231C2A" w:rsidRPr="00231C2A">
        <w:rPr>
          <w:i/>
          <w:iCs/>
          <w:color w:val="000000"/>
          <w:lang w:eastAsia="fr-FR"/>
        </w:rPr>
        <w:t>Journal officiel</w:t>
      </w:r>
      <w:r w:rsidR="00231C2A" w:rsidRPr="00231C2A">
        <w:rPr>
          <w:color w:val="000000"/>
          <w:lang w:eastAsia="fr-FR"/>
        </w:rPr>
        <w:t xml:space="preserve"> de la République française</w:t>
      </w:r>
      <w:r w:rsidR="00231C2A" w:rsidRPr="00231C2A">
        <w:rPr>
          <w:color w:val="3366FF"/>
          <w:lang w:eastAsia="fr-FR"/>
        </w:rPr>
        <w:t>.</w:t>
      </w:r>
    </w:p>
    <w:p w14:paraId="42D3B10C" w14:textId="717B731E" w:rsidR="00231C2A" w:rsidRPr="00231C2A" w:rsidRDefault="00231C2A" w:rsidP="00C705E9">
      <w:pPr>
        <w:suppressAutoHyphens w:val="0"/>
        <w:spacing w:before="482" w:after="960"/>
        <w:ind w:firstLine="720"/>
        <w:jc w:val="both"/>
        <w:rPr>
          <w:color w:val="000000"/>
          <w:lang w:eastAsia="fr-FR"/>
        </w:rPr>
      </w:pPr>
      <w:r w:rsidRPr="00231C2A">
        <w:rPr>
          <w:color w:val="000000"/>
          <w:lang w:eastAsia="fr-FR"/>
        </w:rPr>
        <w:t xml:space="preserve">Fait le </w:t>
      </w:r>
      <w:proofErr w:type="spellStart"/>
      <w:r w:rsidR="00702EF7" w:rsidRPr="00702EF7">
        <w:rPr>
          <w:color w:val="000000"/>
          <w:highlight w:val="yellow"/>
          <w:lang w:eastAsia="fr-FR"/>
        </w:rPr>
        <w:t>xxxxxxxxxxx</w:t>
      </w:r>
      <w:proofErr w:type="spellEnd"/>
    </w:p>
    <w:p w14:paraId="3CB30EDF" w14:textId="1D8A2320" w:rsidR="00E02A22" w:rsidRDefault="00E02A22" w:rsidP="00C705E9">
      <w:pPr>
        <w:pStyle w:val="SNSignatureprnomnomGauche"/>
        <w:spacing w:after="960"/>
      </w:pPr>
      <w:r>
        <w:t>Pour l</w:t>
      </w:r>
      <w:r w:rsidR="002D7A2F">
        <w:t>a</w:t>
      </w:r>
      <w:r>
        <w:t xml:space="preserve"> ministre par délégation :</w:t>
      </w:r>
    </w:p>
    <w:p w14:paraId="5458291B" w14:textId="77777777" w:rsidR="00E53B39" w:rsidRPr="00E53B39" w:rsidRDefault="00E53B39" w:rsidP="00E53B39">
      <w:pPr>
        <w:suppressAutoHyphens w:val="0"/>
        <w:spacing w:before="119" w:after="119"/>
        <w:ind w:left="737" w:right="3345"/>
        <w:jc w:val="both"/>
        <w:rPr>
          <w:color w:val="000000"/>
          <w:lang w:eastAsia="fr-FR"/>
        </w:rPr>
      </w:pPr>
      <w:r w:rsidRPr="00E53B39">
        <w:rPr>
          <w:color w:val="000000"/>
          <w:lang w:eastAsia="fr-FR"/>
        </w:rPr>
        <w:t>Le directeur général de la prévention des risques, Cédric BOURILLET</w:t>
      </w:r>
    </w:p>
    <w:p w14:paraId="35CFB35B" w14:textId="77777777" w:rsidR="00E53B39" w:rsidRPr="00E53B39" w:rsidRDefault="00E53B39" w:rsidP="00E53B39">
      <w:pPr>
        <w:pStyle w:val="SNTimbre"/>
      </w:pPr>
    </w:p>
    <w:p w14:paraId="259E47C2" w14:textId="77777777" w:rsidR="004E1D1B" w:rsidRDefault="00E02A22">
      <w:pPr>
        <w:pStyle w:val="SNtitre"/>
        <w:spacing w:after="0"/>
        <w:jc w:val="left"/>
      </w:pPr>
      <w:r>
        <w:tab/>
      </w:r>
      <w:r>
        <w:tab/>
      </w:r>
      <w:r>
        <w:tab/>
      </w:r>
      <w:r>
        <w:tab/>
      </w:r>
      <w:r>
        <w:tab/>
      </w:r>
      <w:r>
        <w:tab/>
      </w:r>
      <w:r>
        <w:tab/>
      </w:r>
    </w:p>
    <w:p w14:paraId="44339406" w14:textId="4F4BE577" w:rsidR="00E02A22" w:rsidRDefault="00E02A22" w:rsidP="00880D1D">
      <w:pPr>
        <w:pStyle w:val="SNtitre"/>
        <w:spacing w:after="0"/>
        <w:ind w:left="4961"/>
        <w:jc w:val="left"/>
        <w:rPr>
          <w:b w:val="0"/>
          <w:bCs/>
        </w:rPr>
      </w:pPr>
      <w:r w:rsidRPr="002279C0">
        <w:rPr>
          <w:b w:val="0"/>
          <w:bCs/>
        </w:rPr>
        <w:t>L</w:t>
      </w:r>
      <w:r w:rsidR="002279C0" w:rsidRPr="002279C0">
        <w:rPr>
          <w:b w:val="0"/>
          <w:bCs/>
        </w:rPr>
        <w:t>a</w:t>
      </w:r>
      <w:r w:rsidRPr="002279C0">
        <w:rPr>
          <w:b w:val="0"/>
          <w:bCs/>
        </w:rPr>
        <w:t xml:space="preserve"> directr</w:t>
      </w:r>
      <w:r w:rsidR="002279C0" w:rsidRPr="002279C0">
        <w:rPr>
          <w:b w:val="0"/>
          <w:bCs/>
        </w:rPr>
        <w:t>ice</w:t>
      </w:r>
      <w:r w:rsidRPr="002279C0">
        <w:rPr>
          <w:b w:val="0"/>
          <w:bCs/>
        </w:rPr>
        <w:t xml:space="preserve"> général</w:t>
      </w:r>
      <w:r w:rsidR="002279C0" w:rsidRPr="002279C0">
        <w:rPr>
          <w:b w:val="0"/>
          <w:bCs/>
        </w:rPr>
        <w:t>e</w:t>
      </w:r>
      <w:r w:rsidRPr="002279C0">
        <w:rPr>
          <w:b w:val="0"/>
          <w:bCs/>
        </w:rPr>
        <w:t xml:space="preserve"> de l’énergie et du climat,</w:t>
      </w:r>
    </w:p>
    <w:p w14:paraId="2DAEDA87" w14:textId="47BC1455" w:rsidR="00880D1D" w:rsidRPr="00880D1D" w:rsidRDefault="00880D1D" w:rsidP="00880D1D">
      <w:pPr>
        <w:pStyle w:val="SNNORCentr"/>
        <w:ind w:left="1416" w:firstLine="708"/>
      </w:pPr>
      <w:r>
        <w:t xml:space="preserve">      Sophie MOURLON</w:t>
      </w:r>
    </w:p>
    <w:p w14:paraId="09C28D04" w14:textId="0017F0BD" w:rsidR="00E02A22" w:rsidRDefault="00E02A22">
      <w:pPr>
        <w:pStyle w:val="SNNORCentr"/>
      </w:pPr>
      <w:r>
        <w:tab/>
      </w:r>
      <w:r>
        <w:tab/>
      </w:r>
      <w:r>
        <w:tab/>
      </w:r>
      <w:r>
        <w:tab/>
      </w:r>
      <w:r>
        <w:tab/>
      </w:r>
      <w:r>
        <w:tab/>
      </w:r>
      <w:r>
        <w:tab/>
      </w:r>
    </w:p>
    <w:sectPr w:rsidR="00E02A22">
      <w:headerReference w:type="even" r:id="rId17"/>
      <w:headerReference w:type="default" r:id="rId18"/>
      <w:footerReference w:type="even" r:id="rId19"/>
      <w:footerReference w:type="default" r:id="rId20"/>
      <w:headerReference w:type="first" r:id="rId21"/>
      <w:footerReference w:type="first" r:id="rId22"/>
      <w:pgSz w:w="11906" w:h="16838"/>
      <w:pgMar w:top="1134" w:right="1418"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4D18" w14:textId="77777777" w:rsidR="00764470" w:rsidRDefault="00764470" w:rsidP="00727E38">
      <w:r>
        <w:separator/>
      </w:r>
    </w:p>
  </w:endnote>
  <w:endnote w:type="continuationSeparator" w:id="0">
    <w:p w14:paraId="31CCF82C" w14:textId="77777777" w:rsidR="00764470" w:rsidRDefault="00764470" w:rsidP="0072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4D0D" w14:textId="77777777" w:rsidR="002B0DC1" w:rsidRDefault="002B0D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szCs w:val="20"/>
      </w:rPr>
      <w:id w:val="1285148783"/>
      <w:docPartObj>
        <w:docPartGallery w:val="Page Numbers (Bottom of Page)"/>
        <w:docPartUnique/>
      </w:docPartObj>
    </w:sdtPr>
    <w:sdtEndPr/>
    <w:sdtContent>
      <w:p w14:paraId="15BE2E2F" w14:textId="4E2077DC" w:rsidR="00E13639" w:rsidRPr="00A50A81" w:rsidRDefault="00E13639">
        <w:pPr>
          <w:pStyle w:val="Textbody"/>
          <w:jc w:val="right"/>
          <w:rPr>
            <w:i/>
            <w:sz w:val="20"/>
            <w:szCs w:val="20"/>
          </w:rPr>
        </w:pPr>
        <w:r w:rsidRPr="00A50A81">
          <w:rPr>
            <w:i/>
            <w:sz w:val="20"/>
            <w:szCs w:val="20"/>
          </w:rPr>
          <w:fldChar w:fldCharType="begin"/>
        </w:r>
        <w:r w:rsidRPr="00A50A81">
          <w:rPr>
            <w:i/>
            <w:sz w:val="20"/>
            <w:szCs w:val="20"/>
          </w:rPr>
          <w:instrText>PAGE   \* MERGEFORMAT</w:instrText>
        </w:r>
        <w:r w:rsidRPr="00A50A81">
          <w:rPr>
            <w:i/>
            <w:sz w:val="20"/>
            <w:szCs w:val="20"/>
          </w:rPr>
          <w:fldChar w:fldCharType="separate"/>
        </w:r>
        <w:r w:rsidR="00E726CD">
          <w:rPr>
            <w:i/>
            <w:noProof/>
            <w:sz w:val="20"/>
            <w:szCs w:val="20"/>
          </w:rPr>
          <w:t>30</w:t>
        </w:r>
        <w:r w:rsidRPr="00A50A81">
          <w:rPr>
            <w:i/>
            <w:sz w:val="20"/>
            <w:szCs w:val="20"/>
          </w:rPr>
          <w:fldChar w:fldCharType="end"/>
        </w:r>
      </w:p>
    </w:sdtContent>
  </w:sdt>
  <w:p w14:paraId="5EB2E008" w14:textId="77777777" w:rsidR="00E13639" w:rsidRDefault="00E13639">
    <w:pPr>
      <w:pStyle w:val="Textbod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51B3" w14:textId="77777777" w:rsidR="002B0DC1" w:rsidRDefault="002B0D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F71A" w14:textId="77777777" w:rsidR="00764470" w:rsidRDefault="00764470" w:rsidP="00727E38">
      <w:r>
        <w:separator/>
      </w:r>
    </w:p>
  </w:footnote>
  <w:footnote w:type="continuationSeparator" w:id="0">
    <w:p w14:paraId="0A4A3A88" w14:textId="77777777" w:rsidR="00764470" w:rsidRDefault="00764470" w:rsidP="00727E38">
      <w:r>
        <w:continuationSeparator/>
      </w:r>
    </w:p>
  </w:footnote>
  <w:footnote w:id="1">
    <w:p w14:paraId="48B4FBF6" w14:textId="6C9D869A" w:rsidR="006A72C4" w:rsidRDefault="006A72C4">
      <w:pPr>
        <w:pStyle w:val="Notedebasdepage"/>
      </w:pPr>
      <w:r>
        <w:rPr>
          <w:rStyle w:val="Appelnotedebasdep"/>
        </w:rPr>
        <w:footnoteRef/>
      </w:r>
      <w:r>
        <w:t xml:space="preserve"> </w:t>
      </w:r>
      <w:r>
        <w:rPr>
          <w:rFonts w:ascii="Arial" w:hAnsi="Arial" w:cs="Arial"/>
          <w:color w:val="000000"/>
          <w:sz w:val="16"/>
          <w:szCs w:val="16"/>
          <w:lang w:eastAsia="fr-FR"/>
        </w:rPr>
        <w:t>Si en raison de contraintes liées à l’échantillonnage ou à l’analyse, des mesures de 30 minutes ne conviennent pas pour un paramètre, quel qu’il soit, il convient d’appliquer une période d’échantillonnage appropriée. Pour les PCDD/F, une période d’échantillonnage de 6 à 8 heures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00E0" w14:textId="12A04355" w:rsidR="002B0DC1" w:rsidRDefault="00124246">
    <w:pPr>
      <w:pStyle w:val="En-tte"/>
    </w:pPr>
    <w:r>
      <w:rPr>
        <w:noProof/>
      </w:rPr>
      <w:pict w14:anchorId="712E2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04235" o:spid="_x0000_s2053" type="#_x0000_t136" style="position:absolute;margin-left:0;margin-top:0;width:494.55pt;height:164.85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2FF3" w14:textId="43221F14" w:rsidR="002B0DC1" w:rsidRDefault="00124246">
    <w:pPr>
      <w:pStyle w:val="En-tte"/>
    </w:pPr>
    <w:r>
      <w:rPr>
        <w:noProof/>
      </w:rPr>
      <w:pict w14:anchorId="79BF8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04236" o:spid="_x0000_s2054" type="#_x0000_t136" style="position:absolute;margin-left:0;margin-top:0;width:494.55pt;height:164.85pt;rotation:315;z-index:-251653120;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4F0B" w14:textId="38243CA9" w:rsidR="002B0DC1" w:rsidRDefault="00124246">
    <w:pPr>
      <w:pStyle w:val="En-tte"/>
    </w:pPr>
    <w:r>
      <w:rPr>
        <w:noProof/>
      </w:rPr>
      <w:pict w14:anchorId="72797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04234" o:spid="_x0000_s2052" type="#_x0000_t136" style="position:absolute;margin-left:0;margin-top:0;width:494.55pt;height:164.85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D6CDCC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720" w:hanging="360"/>
      </w:pPr>
      <w:rPr>
        <w:color w:val="000000"/>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0"/>
        </w:tabs>
        <w:ind w:left="720" w:hanging="360"/>
      </w:pPr>
      <w:rPr>
        <w:color w:val="000000"/>
      </w:r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720" w:hanging="360"/>
      </w:pPr>
      <w:rPr>
        <w:color w:val="000000"/>
      </w:r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hint="default"/>
      </w:rPr>
    </w:lvl>
  </w:abstractNum>
  <w:abstractNum w:abstractNumId="7"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hint="default"/>
      </w:rPr>
    </w:lvl>
  </w:abstractNum>
  <w:abstractNum w:abstractNumId="9"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hint="default"/>
        <w:bCs/>
      </w:rPr>
    </w:lvl>
  </w:abstractNum>
  <w:abstractNum w:abstractNumId="10"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11"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hint="default"/>
      </w:rPr>
    </w:lvl>
  </w:abstractNum>
  <w:abstractNum w:abstractNumId="12"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hint="default"/>
      </w:rPr>
    </w:lvl>
  </w:abstractNum>
  <w:abstractNum w:abstractNumId="13"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hint="default"/>
      </w:rPr>
    </w:lvl>
  </w:abstractNum>
  <w:abstractNum w:abstractNumId="14"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hint="default"/>
      </w:rPr>
    </w:lvl>
  </w:abstractNum>
  <w:abstractNum w:abstractNumId="15"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hint="default"/>
      </w:rPr>
    </w:lvl>
  </w:abstractNum>
  <w:abstractNum w:abstractNumId="16"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hint="default"/>
        <w:color w:val="000000"/>
      </w:rPr>
    </w:lvl>
  </w:abstractNum>
  <w:abstractNum w:abstractNumId="17" w15:restartNumberingAfterBreak="0">
    <w:nsid w:val="051528A2"/>
    <w:multiLevelType w:val="hybridMultilevel"/>
    <w:tmpl w:val="FC32A098"/>
    <w:lvl w:ilvl="0" w:tplc="FB0C849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68F5DE1"/>
    <w:multiLevelType w:val="hybridMultilevel"/>
    <w:tmpl w:val="CD9098BA"/>
    <w:lvl w:ilvl="0" w:tplc="CC207BB8">
      <w:numFmt w:val="bullet"/>
      <w:lvlText w:val=""/>
      <w:lvlJc w:val="left"/>
      <w:pPr>
        <w:ind w:left="1413" w:hanging="705"/>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13705B4B"/>
    <w:multiLevelType w:val="hybridMultilevel"/>
    <w:tmpl w:val="B0960A7E"/>
    <w:lvl w:ilvl="0" w:tplc="FB0C8496">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7F670AD"/>
    <w:multiLevelType w:val="hybridMultilevel"/>
    <w:tmpl w:val="C2805428"/>
    <w:lvl w:ilvl="0" w:tplc="0E147AA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F14870"/>
    <w:multiLevelType w:val="hybridMultilevel"/>
    <w:tmpl w:val="B9C69ACC"/>
    <w:lvl w:ilvl="0" w:tplc="FB0C849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5834D94"/>
    <w:multiLevelType w:val="hybridMultilevel"/>
    <w:tmpl w:val="EA52FD3A"/>
    <w:lvl w:ilvl="0" w:tplc="BDA031C6">
      <w:numFmt w:val="bullet"/>
      <w:lvlText w:val=""/>
      <w:lvlJc w:val="left"/>
      <w:pPr>
        <w:ind w:left="1065" w:hanging="705"/>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8381CD0"/>
    <w:multiLevelType w:val="hybridMultilevel"/>
    <w:tmpl w:val="43A22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26226D"/>
    <w:multiLevelType w:val="hybridMultilevel"/>
    <w:tmpl w:val="BC7EE01C"/>
    <w:lvl w:ilvl="0" w:tplc="FB0C849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532437"/>
    <w:multiLevelType w:val="hybridMultilevel"/>
    <w:tmpl w:val="FCD0564A"/>
    <w:lvl w:ilvl="0" w:tplc="FB0C849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DEB4ED6"/>
    <w:multiLevelType w:val="hybridMultilevel"/>
    <w:tmpl w:val="EA1E164E"/>
    <w:lvl w:ilvl="0" w:tplc="2000E88C">
      <w:numFmt w:val="bullet"/>
      <w:lvlText w:val=""/>
      <w:lvlJc w:val="left"/>
      <w:pPr>
        <w:ind w:left="1413" w:hanging="705"/>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2F4D56ED"/>
    <w:multiLevelType w:val="hybridMultilevel"/>
    <w:tmpl w:val="236C3AF2"/>
    <w:lvl w:ilvl="0" w:tplc="FB0C849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3B96F92"/>
    <w:multiLevelType w:val="hybridMultilevel"/>
    <w:tmpl w:val="E2EAC0B8"/>
    <w:lvl w:ilvl="0" w:tplc="FB0C8496">
      <w:start w:val="2"/>
      <w:numFmt w:val="bullet"/>
      <w:lvlText w:val="-"/>
      <w:lvlJc w:val="left"/>
      <w:pPr>
        <w:ind w:left="765" w:hanging="360"/>
      </w:pPr>
      <w:rPr>
        <w:rFonts w:ascii="Arial" w:eastAsia="Times New Roman" w:hAnsi="Arial" w:cs="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35C32BAC"/>
    <w:multiLevelType w:val="hybridMultilevel"/>
    <w:tmpl w:val="56B4A1CA"/>
    <w:lvl w:ilvl="0" w:tplc="FB0C849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58796E"/>
    <w:multiLevelType w:val="hybridMultilevel"/>
    <w:tmpl w:val="5D8C5EFE"/>
    <w:lvl w:ilvl="0" w:tplc="5EA425D2">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8BA7B4A"/>
    <w:multiLevelType w:val="hybridMultilevel"/>
    <w:tmpl w:val="6B76F3F8"/>
    <w:lvl w:ilvl="0" w:tplc="D7B6F3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9C452E0"/>
    <w:multiLevelType w:val="hybridMultilevel"/>
    <w:tmpl w:val="572E021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3E4F1BE0"/>
    <w:multiLevelType w:val="hybridMultilevel"/>
    <w:tmpl w:val="46D8402C"/>
    <w:lvl w:ilvl="0" w:tplc="42F0627A">
      <w:start w:val="3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E9635C7"/>
    <w:multiLevelType w:val="hybridMultilevel"/>
    <w:tmpl w:val="A82659D4"/>
    <w:lvl w:ilvl="0" w:tplc="FB0C8496">
      <w:start w:val="2"/>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15:restartNumberingAfterBreak="0">
    <w:nsid w:val="3F96211D"/>
    <w:multiLevelType w:val="hybridMultilevel"/>
    <w:tmpl w:val="22D22AD0"/>
    <w:lvl w:ilvl="0" w:tplc="FB0C849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0E00D3C"/>
    <w:multiLevelType w:val="hybridMultilevel"/>
    <w:tmpl w:val="CCCAFB7E"/>
    <w:lvl w:ilvl="0" w:tplc="FB0C8496">
      <w:start w:val="2"/>
      <w:numFmt w:val="bullet"/>
      <w:lvlText w:val="-"/>
      <w:lvlJc w:val="left"/>
      <w:pPr>
        <w:ind w:left="1428"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54964DC6"/>
    <w:multiLevelType w:val="hybridMultilevel"/>
    <w:tmpl w:val="EBD6282C"/>
    <w:lvl w:ilvl="0" w:tplc="DD243CC6">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95F4E83"/>
    <w:multiLevelType w:val="multilevel"/>
    <w:tmpl w:val="F7843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start w:val="1"/>
      <w:numFmt w:val="upp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2369F1"/>
    <w:multiLevelType w:val="hybridMultilevel"/>
    <w:tmpl w:val="F11681E4"/>
    <w:lvl w:ilvl="0" w:tplc="FB0C8496">
      <w:start w:val="2"/>
      <w:numFmt w:val="bullet"/>
      <w:lvlText w:val="-"/>
      <w:lvlJc w:val="left"/>
      <w:pPr>
        <w:ind w:left="1428" w:hanging="360"/>
      </w:pPr>
      <w:rPr>
        <w:rFonts w:ascii="Arial" w:eastAsia="Times New Roman" w:hAnsi="Arial" w:cs="Arial" w:hint="default"/>
      </w:rPr>
    </w:lvl>
    <w:lvl w:ilvl="1" w:tplc="AED6EB08">
      <w:numFmt w:val="bullet"/>
      <w:lvlText w:val=""/>
      <w:lvlJc w:val="left"/>
      <w:pPr>
        <w:ind w:left="2493" w:hanging="705"/>
      </w:pPr>
      <w:rPr>
        <w:rFonts w:ascii="Symbol" w:eastAsia="Times New Roman" w:hAnsi="Symbol"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612F1574"/>
    <w:multiLevelType w:val="hybridMultilevel"/>
    <w:tmpl w:val="72BE42A6"/>
    <w:lvl w:ilvl="0" w:tplc="FB0C849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4C7327"/>
    <w:multiLevelType w:val="hybridMultilevel"/>
    <w:tmpl w:val="0B8E9FBA"/>
    <w:lvl w:ilvl="0" w:tplc="FB0C8496">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58B632A"/>
    <w:multiLevelType w:val="hybridMultilevel"/>
    <w:tmpl w:val="4F56E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6FC1771"/>
    <w:multiLevelType w:val="hybridMultilevel"/>
    <w:tmpl w:val="EF120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A53F09"/>
    <w:multiLevelType w:val="hybridMultilevel"/>
    <w:tmpl w:val="C8F8805C"/>
    <w:lvl w:ilvl="0" w:tplc="8BC2FE78">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703FE9"/>
    <w:multiLevelType w:val="hybridMultilevel"/>
    <w:tmpl w:val="88ACA592"/>
    <w:lvl w:ilvl="0" w:tplc="D0B408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1"/>
  </w:num>
  <w:num w:numId="4">
    <w:abstractNumId w:val="45"/>
  </w:num>
  <w:num w:numId="5">
    <w:abstractNumId w:val="30"/>
  </w:num>
  <w:num w:numId="6">
    <w:abstractNumId w:val="21"/>
  </w:num>
  <w:num w:numId="7">
    <w:abstractNumId w:val="33"/>
  </w:num>
  <w:num w:numId="8">
    <w:abstractNumId w:val="23"/>
  </w:num>
  <w:num w:numId="9">
    <w:abstractNumId w:val="42"/>
  </w:num>
  <w:num w:numId="10">
    <w:abstractNumId w:val="17"/>
  </w:num>
  <w:num w:numId="11">
    <w:abstractNumId w:val="20"/>
  </w:num>
  <w:num w:numId="12">
    <w:abstractNumId w:val="19"/>
  </w:num>
  <w:num w:numId="13">
    <w:abstractNumId w:val="24"/>
  </w:num>
  <w:num w:numId="14">
    <w:abstractNumId w:val="40"/>
  </w:num>
  <w:num w:numId="15">
    <w:abstractNumId w:val="44"/>
  </w:num>
  <w:num w:numId="16">
    <w:abstractNumId w:val="38"/>
  </w:num>
  <w:num w:numId="17">
    <w:abstractNumId w:val="32"/>
  </w:num>
  <w:num w:numId="18">
    <w:abstractNumId w:val="25"/>
  </w:num>
  <w:num w:numId="19">
    <w:abstractNumId w:val="27"/>
  </w:num>
  <w:num w:numId="20">
    <w:abstractNumId w:val="28"/>
  </w:num>
  <w:num w:numId="21">
    <w:abstractNumId w:val="37"/>
  </w:num>
  <w:num w:numId="22">
    <w:abstractNumId w:val="31"/>
  </w:num>
  <w:num w:numId="23">
    <w:abstractNumId w:val="39"/>
  </w:num>
  <w:num w:numId="24">
    <w:abstractNumId w:val="26"/>
  </w:num>
  <w:num w:numId="25">
    <w:abstractNumId w:val="36"/>
  </w:num>
  <w:num w:numId="26">
    <w:abstractNumId w:val="34"/>
  </w:num>
  <w:num w:numId="27">
    <w:abstractNumId w:val="18"/>
  </w:num>
  <w:num w:numId="28">
    <w:abstractNumId w:val="29"/>
  </w:num>
  <w:num w:numId="29">
    <w:abstractNumId w:val="43"/>
  </w:num>
  <w:num w:numId="30">
    <w:abstractNumId w:val="22"/>
  </w:num>
  <w:num w:numId="3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56"/>
    <w:rsid w:val="00000053"/>
    <w:rsid w:val="000017C3"/>
    <w:rsid w:val="00002BC1"/>
    <w:rsid w:val="00003C4D"/>
    <w:rsid w:val="00005A04"/>
    <w:rsid w:val="00010297"/>
    <w:rsid w:val="00011067"/>
    <w:rsid w:val="00011E8F"/>
    <w:rsid w:val="000125F2"/>
    <w:rsid w:val="00014919"/>
    <w:rsid w:val="00014E02"/>
    <w:rsid w:val="00020FF2"/>
    <w:rsid w:val="00022E86"/>
    <w:rsid w:val="00023533"/>
    <w:rsid w:val="00023EEC"/>
    <w:rsid w:val="00023FEA"/>
    <w:rsid w:val="000241C9"/>
    <w:rsid w:val="00031246"/>
    <w:rsid w:val="00031268"/>
    <w:rsid w:val="0003596B"/>
    <w:rsid w:val="00035F9C"/>
    <w:rsid w:val="00037F18"/>
    <w:rsid w:val="000404E9"/>
    <w:rsid w:val="00041BEF"/>
    <w:rsid w:val="0004354E"/>
    <w:rsid w:val="00045625"/>
    <w:rsid w:val="00046786"/>
    <w:rsid w:val="00054DD0"/>
    <w:rsid w:val="000553E3"/>
    <w:rsid w:val="00055E6C"/>
    <w:rsid w:val="00060D1F"/>
    <w:rsid w:val="00061772"/>
    <w:rsid w:val="000655B5"/>
    <w:rsid w:val="00071F35"/>
    <w:rsid w:val="00072FA7"/>
    <w:rsid w:val="000747D4"/>
    <w:rsid w:val="000749B2"/>
    <w:rsid w:val="00074A48"/>
    <w:rsid w:val="00075803"/>
    <w:rsid w:val="0007641F"/>
    <w:rsid w:val="00076DE1"/>
    <w:rsid w:val="00077777"/>
    <w:rsid w:val="000810C6"/>
    <w:rsid w:val="00082862"/>
    <w:rsid w:val="00082F7E"/>
    <w:rsid w:val="00084CF8"/>
    <w:rsid w:val="0009113A"/>
    <w:rsid w:val="00097BAC"/>
    <w:rsid w:val="000A2874"/>
    <w:rsid w:val="000A5D0C"/>
    <w:rsid w:val="000B101B"/>
    <w:rsid w:val="000B1981"/>
    <w:rsid w:val="000B3991"/>
    <w:rsid w:val="000C039C"/>
    <w:rsid w:val="000C1CA2"/>
    <w:rsid w:val="000C3CB2"/>
    <w:rsid w:val="000C4F88"/>
    <w:rsid w:val="000D0A05"/>
    <w:rsid w:val="000D2EF8"/>
    <w:rsid w:val="000D7FAC"/>
    <w:rsid w:val="000E123A"/>
    <w:rsid w:val="000E66CB"/>
    <w:rsid w:val="000E73EB"/>
    <w:rsid w:val="000E7B1B"/>
    <w:rsid w:val="000F02B5"/>
    <w:rsid w:val="000F1540"/>
    <w:rsid w:val="000F7077"/>
    <w:rsid w:val="001004AB"/>
    <w:rsid w:val="00104855"/>
    <w:rsid w:val="001057F6"/>
    <w:rsid w:val="001070EB"/>
    <w:rsid w:val="00107376"/>
    <w:rsid w:val="001137C3"/>
    <w:rsid w:val="001160F5"/>
    <w:rsid w:val="00117187"/>
    <w:rsid w:val="0012138F"/>
    <w:rsid w:val="00121EE9"/>
    <w:rsid w:val="00123DBE"/>
    <w:rsid w:val="00124246"/>
    <w:rsid w:val="00127313"/>
    <w:rsid w:val="00130351"/>
    <w:rsid w:val="00130C80"/>
    <w:rsid w:val="00132DC3"/>
    <w:rsid w:val="001342E2"/>
    <w:rsid w:val="0014311C"/>
    <w:rsid w:val="001443A3"/>
    <w:rsid w:val="00147E23"/>
    <w:rsid w:val="001505F0"/>
    <w:rsid w:val="00150FB0"/>
    <w:rsid w:val="00151691"/>
    <w:rsid w:val="00151812"/>
    <w:rsid w:val="00152359"/>
    <w:rsid w:val="00153A1D"/>
    <w:rsid w:val="00155A65"/>
    <w:rsid w:val="001565D6"/>
    <w:rsid w:val="00162089"/>
    <w:rsid w:val="00162A1F"/>
    <w:rsid w:val="0017636F"/>
    <w:rsid w:val="001768F3"/>
    <w:rsid w:val="001775F6"/>
    <w:rsid w:val="00191162"/>
    <w:rsid w:val="00193AB1"/>
    <w:rsid w:val="00194A09"/>
    <w:rsid w:val="00195A21"/>
    <w:rsid w:val="001A29A8"/>
    <w:rsid w:val="001A4040"/>
    <w:rsid w:val="001A79D7"/>
    <w:rsid w:val="001B034C"/>
    <w:rsid w:val="001B03E1"/>
    <w:rsid w:val="001B0C0F"/>
    <w:rsid w:val="001B0F1E"/>
    <w:rsid w:val="001B1537"/>
    <w:rsid w:val="001B2B13"/>
    <w:rsid w:val="001B6D42"/>
    <w:rsid w:val="001C1505"/>
    <w:rsid w:val="001C47EC"/>
    <w:rsid w:val="001D1F31"/>
    <w:rsid w:val="001D39AC"/>
    <w:rsid w:val="001D4868"/>
    <w:rsid w:val="001D5F2D"/>
    <w:rsid w:val="001E10F4"/>
    <w:rsid w:val="001E47C8"/>
    <w:rsid w:val="001E5B4F"/>
    <w:rsid w:val="001E6DC2"/>
    <w:rsid w:val="001F0E99"/>
    <w:rsid w:val="001F3B3E"/>
    <w:rsid w:val="001F5F22"/>
    <w:rsid w:val="001F73E3"/>
    <w:rsid w:val="00200BC7"/>
    <w:rsid w:val="00203EC8"/>
    <w:rsid w:val="00210190"/>
    <w:rsid w:val="00212200"/>
    <w:rsid w:val="00213122"/>
    <w:rsid w:val="00220C8C"/>
    <w:rsid w:val="002219F3"/>
    <w:rsid w:val="00221B66"/>
    <w:rsid w:val="00221DCC"/>
    <w:rsid w:val="00225E4A"/>
    <w:rsid w:val="00226507"/>
    <w:rsid w:val="0022756B"/>
    <w:rsid w:val="002279C0"/>
    <w:rsid w:val="00231C2A"/>
    <w:rsid w:val="00240E2D"/>
    <w:rsid w:val="00241B7F"/>
    <w:rsid w:val="00242EEB"/>
    <w:rsid w:val="0024353C"/>
    <w:rsid w:val="002463C6"/>
    <w:rsid w:val="00246793"/>
    <w:rsid w:val="00250D27"/>
    <w:rsid w:val="002511C0"/>
    <w:rsid w:val="002517E9"/>
    <w:rsid w:val="00256572"/>
    <w:rsid w:val="002572D2"/>
    <w:rsid w:val="00261CD2"/>
    <w:rsid w:val="00263F47"/>
    <w:rsid w:val="00265BC3"/>
    <w:rsid w:val="00271396"/>
    <w:rsid w:val="002727F3"/>
    <w:rsid w:val="00276DAD"/>
    <w:rsid w:val="0028111D"/>
    <w:rsid w:val="00283297"/>
    <w:rsid w:val="00283A55"/>
    <w:rsid w:val="00286964"/>
    <w:rsid w:val="002918F0"/>
    <w:rsid w:val="00292E37"/>
    <w:rsid w:val="00294E0D"/>
    <w:rsid w:val="00296050"/>
    <w:rsid w:val="00296F86"/>
    <w:rsid w:val="002A63A1"/>
    <w:rsid w:val="002A6F31"/>
    <w:rsid w:val="002A7995"/>
    <w:rsid w:val="002B0DC1"/>
    <w:rsid w:val="002B368B"/>
    <w:rsid w:val="002B45FC"/>
    <w:rsid w:val="002B4CF8"/>
    <w:rsid w:val="002B673A"/>
    <w:rsid w:val="002C0CAF"/>
    <w:rsid w:val="002C32FA"/>
    <w:rsid w:val="002C5821"/>
    <w:rsid w:val="002C6C30"/>
    <w:rsid w:val="002C726F"/>
    <w:rsid w:val="002D2B2A"/>
    <w:rsid w:val="002D6497"/>
    <w:rsid w:val="002D7A2F"/>
    <w:rsid w:val="002E0A91"/>
    <w:rsid w:val="002E72CA"/>
    <w:rsid w:val="002E7A0F"/>
    <w:rsid w:val="002F01DC"/>
    <w:rsid w:val="00300A2C"/>
    <w:rsid w:val="00301AFE"/>
    <w:rsid w:val="003020DA"/>
    <w:rsid w:val="003062E5"/>
    <w:rsid w:val="0031482C"/>
    <w:rsid w:val="00316A25"/>
    <w:rsid w:val="00317307"/>
    <w:rsid w:val="00322B28"/>
    <w:rsid w:val="0032654D"/>
    <w:rsid w:val="00340C8B"/>
    <w:rsid w:val="003416F3"/>
    <w:rsid w:val="00342227"/>
    <w:rsid w:val="003456E3"/>
    <w:rsid w:val="00351DA6"/>
    <w:rsid w:val="00353EFD"/>
    <w:rsid w:val="00354A2F"/>
    <w:rsid w:val="00355A61"/>
    <w:rsid w:val="00361274"/>
    <w:rsid w:val="00365E03"/>
    <w:rsid w:val="00366344"/>
    <w:rsid w:val="003667FC"/>
    <w:rsid w:val="0036722B"/>
    <w:rsid w:val="00367F5B"/>
    <w:rsid w:val="00380DD1"/>
    <w:rsid w:val="003820B8"/>
    <w:rsid w:val="00383974"/>
    <w:rsid w:val="00384282"/>
    <w:rsid w:val="003859FA"/>
    <w:rsid w:val="00386581"/>
    <w:rsid w:val="00391DCD"/>
    <w:rsid w:val="003959F5"/>
    <w:rsid w:val="003A2F0B"/>
    <w:rsid w:val="003A7C24"/>
    <w:rsid w:val="003B6655"/>
    <w:rsid w:val="003B6CA5"/>
    <w:rsid w:val="003C16F8"/>
    <w:rsid w:val="003C2930"/>
    <w:rsid w:val="003C2D9C"/>
    <w:rsid w:val="003C50B7"/>
    <w:rsid w:val="003C6587"/>
    <w:rsid w:val="003C7D2F"/>
    <w:rsid w:val="003D0374"/>
    <w:rsid w:val="003D1AE5"/>
    <w:rsid w:val="003D6039"/>
    <w:rsid w:val="003E2A74"/>
    <w:rsid w:val="003E79D5"/>
    <w:rsid w:val="0040763D"/>
    <w:rsid w:val="00413EA5"/>
    <w:rsid w:val="00416D07"/>
    <w:rsid w:val="00417A57"/>
    <w:rsid w:val="004200BC"/>
    <w:rsid w:val="00421847"/>
    <w:rsid w:val="00421922"/>
    <w:rsid w:val="00422276"/>
    <w:rsid w:val="00423387"/>
    <w:rsid w:val="0042408B"/>
    <w:rsid w:val="00424252"/>
    <w:rsid w:val="00424C89"/>
    <w:rsid w:val="00424EA3"/>
    <w:rsid w:val="004269F1"/>
    <w:rsid w:val="004270F0"/>
    <w:rsid w:val="0043040E"/>
    <w:rsid w:val="004311FB"/>
    <w:rsid w:val="0043180C"/>
    <w:rsid w:val="004331CC"/>
    <w:rsid w:val="00436652"/>
    <w:rsid w:val="00436F78"/>
    <w:rsid w:val="00437BEE"/>
    <w:rsid w:val="004412A9"/>
    <w:rsid w:val="00443032"/>
    <w:rsid w:val="00446554"/>
    <w:rsid w:val="00447372"/>
    <w:rsid w:val="00447863"/>
    <w:rsid w:val="004510D0"/>
    <w:rsid w:val="00452A21"/>
    <w:rsid w:val="00454C3E"/>
    <w:rsid w:val="00457A2A"/>
    <w:rsid w:val="00461296"/>
    <w:rsid w:val="00461C24"/>
    <w:rsid w:val="00461FF0"/>
    <w:rsid w:val="0046293A"/>
    <w:rsid w:val="004667A9"/>
    <w:rsid w:val="00470DE5"/>
    <w:rsid w:val="00471A22"/>
    <w:rsid w:val="0047201C"/>
    <w:rsid w:val="00472CE2"/>
    <w:rsid w:val="00474DD0"/>
    <w:rsid w:val="00481275"/>
    <w:rsid w:val="004817AA"/>
    <w:rsid w:val="00484178"/>
    <w:rsid w:val="004845EC"/>
    <w:rsid w:val="00495E9C"/>
    <w:rsid w:val="004A2A2D"/>
    <w:rsid w:val="004A2E1D"/>
    <w:rsid w:val="004A506E"/>
    <w:rsid w:val="004A6591"/>
    <w:rsid w:val="004A6AB3"/>
    <w:rsid w:val="004A7E8A"/>
    <w:rsid w:val="004B03CD"/>
    <w:rsid w:val="004B19C5"/>
    <w:rsid w:val="004B208E"/>
    <w:rsid w:val="004B42BA"/>
    <w:rsid w:val="004C4572"/>
    <w:rsid w:val="004D0716"/>
    <w:rsid w:val="004D0B6C"/>
    <w:rsid w:val="004D32D4"/>
    <w:rsid w:val="004D5514"/>
    <w:rsid w:val="004D6CDD"/>
    <w:rsid w:val="004D76A1"/>
    <w:rsid w:val="004E0511"/>
    <w:rsid w:val="004E16EF"/>
    <w:rsid w:val="004E1D1B"/>
    <w:rsid w:val="004F1BA8"/>
    <w:rsid w:val="004F247B"/>
    <w:rsid w:val="004F3B1E"/>
    <w:rsid w:val="004F50A2"/>
    <w:rsid w:val="005010BD"/>
    <w:rsid w:val="0050152D"/>
    <w:rsid w:val="005054C3"/>
    <w:rsid w:val="00512AD3"/>
    <w:rsid w:val="00512DEF"/>
    <w:rsid w:val="00513915"/>
    <w:rsid w:val="005141E3"/>
    <w:rsid w:val="0052232D"/>
    <w:rsid w:val="00524CF7"/>
    <w:rsid w:val="005253DD"/>
    <w:rsid w:val="00526471"/>
    <w:rsid w:val="005318BC"/>
    <w:rsid w:val="005377F9"/>
    <w:rsid w:val="00537B9B"/>
    <w:rsid w:val="0054785E"/>
    <w:rsid w:val="0055109E"/>
    <w:rsid w:val="00555B84"/>
    <w:rsid w:val="00555C38"/>
    <w:rsid w:val="0056000E"/>
    <w:rsid w:val="0056456F"/>
    <w:rsid w:val="00565319"/>
    <w:rsid w:val="00566632"/>
    <w:rsid w:val="00570AFE"/>
    <w:rsid w:val="005710FD"/>
    <w:rsid w:val="00571291"/>
    <w:rsid w:val="00575D2D"/>
    <w:rsid w:val="005769C3"/>
    <w:rsid w:val="005874B5"/>
    <w:rsid w:val="00591FA0"/>
    <w:rsid w:val="005A075F"/>
    <w:rsid w:val="005A3235"/>
    <w:rsid w:val="005A516F"/>
    <w:rsid w:val="005A5C5B"/>
    <w:rsid w:val="005A7C54"/>
    <w:rsid w:val="005B02E2"/>
    <w:rsid w:val="005B07FE"/>
    <w:rsid w:val="005B2DDD"/>
    <w:rsid w:val="005B2F48"/>
    <w:rsid w:val="005B65CC"/>
    <w:rsid w:val="005B6654"/>
    <w:rsid w:val="005C2D54"/>
    <w:rsid w:val="005C7A14"/>
    <w:rsid w:val="005D20C7"/>
    <w:rsid w:val="005D3F12"/>
    <w:rsid w:val="005D64EA"/>
    <w:rsid w:val="005E2F7A"/>
    <w:rsid w:val="005E3A43"/>
    <w:rsid w:val="005F378B"/>
    <w:rsid w:val="006011A0"/>
    <w:rsid w:val="00612A71"/>
    <w:rsid w:val="00613D52"/>
    <w:rsid w:val="00614776"/>
    <w:rsid w:val="006202C5"/>
    <w:rsid w:val="00620C27"/>
    <w:rsid w:val="00622BCF"/>
    <w:rsid w:val="00622BF0"/>
    <w:rsid w:val="00624A16"/>
    <w:rsid w:val="0063021C"/>
    <w:rsid w:val="0063357F"/>
    <w:rsid w:val="0063454E"/>
    <w:rsid w:val="006377B2"/>
    <w:rsid w:val="0064090F"/>
    <w:rsid w:val="00640CB8"/>
    <w:rsid w:val="006410FC"/>
    <w:rsid w:val="0064331C"/>
    <w:rsid w:val="00643CB1"/>
    <w:rsid w:val="00645CFB"/>
    <w:rsid w:val="0064646E"/>
    <w:rsid w:val="00647A12"/>
    <w:rsid w:val="0065073C"/>
    <w:rsid w:val="006507F0"/>
    <w:rsid w:val="00652F35"/>
    <w:rsid w:val="00656F30"/>
    <w:rsid w:val="00661E7E"/>
    <w:rsid w:val="0066328B"/>
    <w:rsid w:val="00663392"/>
    <w:rsid w:val="006633C0"/>
    <w:rsid w:val="00666920"/>
    <w:rsid w:val="0067668C"/>
    <w:rsid w:val="00676D2B"/>
    <w:rsid w:val="00681F08"/>
    <w:rsid w:val="00683E54"/>
    <w:rsid w:val="006847FC"/>
    <w:rsid w:val="006856F5"/>
    <w:rsid w:val="00686406"/>
    <w:rsid w:val="00691E2B"/>
    <w:rsid w:val="0069416E"/>
    <w:rsid w:val="006941E5"/>
    <w:rsid w:val="006947F1"/>
    <w:rsid w:val="006A0043"/>
    <w:rsid w:val="006A04ED"/>
    <w:rsid w:val="006A393A"/>
    <w:rsid w:val="006A6217"/>
    <w:rsid w:val="006A72C4"/>
    <w:rsid w:val="006B1E91"/>
    <w:rsid w:val="006B21BB"/>
    <w:rsid w:val="006B3522"/>
    <w:rsid w:val="006B4968"/>
    <w:rsid w:val="006B711E"/>
    <w:rsid w:val="006C05CA"/>
    <w:rsid w:val="006D22B5"/>
    <w:rsid w:val="006D3D6E"/>
    <w:rsid w:val="006D5210"/>
    <w:rsid w:val="006D5FA5"/>
    <w:rsid w:val="006E0B11"/>
    <w:rsid w:val="006E544A"/>
    <w:rsid w:val="006E7F9C"/>
    <w:rsid w:val="006F132E"/>
    <w:rsid w:val="006F55B3"/>
    <w:rsid w:val="006F5C36"/>
    <w:rsid w:val="006F70DC"/>
    <w:rsid w:val="006F72E2"/>
    <w:rsid w:val="006F7822"/>
    <w:rsid w:val="00700ECC"/>
    <w:rsid w:val="00702EF7"/>
    <w:rsid w:val="00703182"/>
    <w:rsid w:val="00703E59"/>
    <w:rsid w:val="007075B5"/>
    <w:rsid w:val="00710F20"/>
    <w:rsid w:val="00711153"/>
    <w:rsid w:val="007142FC"/>
    <w:rsid w:val="007156DE"/>
    <w:rsid w:val="00717467"/>
    <w:rsid w:val="00721036"/>
    <w:rsid w:val="00721F27"/>
    <w:rsid w:val="00722B85"/>
    <w:rsid w:val="007250AE"/>
    <w:rsid w:val="007269B2"/>
    <w:rsid w:val="00727E38"/>
    <w:rsid w:val="0073064A"/>
    <w:rsid w:val="00731C30"/>
    <w:rsid w:val="007330CF"/>
    <w:rsid w:val="00734517"/>
    <w:rsid w:val="00735EE7"/>
    <w:rsid w:val="0073611E"/>
    <w:rsid w:val="007550C0"/>
    <w:rsid w:val="00757902"/>
    <w:rsid w:val="00760FFA"/>
    <w:rsid w:val="00761102"/>
    <w:rsid w:val="00763000"/>
    <w:rsid w:val="0076323D"/>
    <w:rsid w:val="00764470"/>
    <w:rsid w:val="00765920"/>
    <w:rsid w:val="007671C7"/>
    <w:rsid w:val="00770D78"/>
    <w:rsid w:val="00771628"/>
    <w:rsid w:val="0077783A"/>
    <w:rsid w:val="00786F7B"/>
    <w:rsid w:val="00792744"/>
    <w:rsid w:val="00792B82"/>
    <w:rsid w:val="0079618C"/>
    <w:rsid w:val="007A0870"/>
    <w:rsid w:val="007C1D16"/>
    <w:rsid w:val="007D2D14"/>
    <w:rsid w:val="007D4929"/>
    <w:rsid w:val="007D497D"/>
    <w:rsid w:val="007D5290"/>
    <w:rsid w:val="007E0586"/>
    <w:rsid w:val="007E0C25"/>
    <w:rsid w:val="007E2904"/>
    <w:rsid w:val="007E4712"/>
    <w:rsid w:val="007E5451"/>
    <w:rsid w:val="007E6248"/>
    <w:rsid w:val="007F0619"/>
    <w:rsid w:val="007F152E"/>
    <w:rsid w:val="007F1E9C"/>
    <w:rsid w:val="007F793C"/>
    <w:rsid w:val="007F799B"/>
    <w:rsid w:val="00801303"/>
    <w:rsid w:val="00802EA3"/>
    <w:rsid w:val="00804ACE"/>
    <w:rsid w:val="0080779C"/>
    <w:rsid w:val="008113B1"/>
    <w:rsid w:val="0081258C"/>
    <w:rsid w:val="00812C6F"/>
    <w:rsid w:val="008219F9"/>
    <w:rsid w:val="00824EB8"/>
    <w:rsid w:val="00825390"/>
    <w:rsid w:val="00826B0E"/>
    <w:rsid w:val="00827ABD"/>
    <w:rsid w:val="00832D2B"/>
    <w:rsid w:val="008347B2"/>
    <w:rsid w:val="00834C64"/>
    <w:rsid w:val="00841BC9"/>
    <w:rsid w:val="00842CD4"/>
    <w:rsid w:val="00845EDC"/>
    <w:rsid w:val="00846315"/>
    <w:rsid w:val="008477AD"/>
    <w:rsid w:val="00847B04"/>
    <w:rsid w:val="008501B2"/>
    <w:rsid w:val="00853D04"/>
    <w:rsid w:val="00856994"/>
    <w:rsid w:val="00857400"/>
    <w:rsid w:val="00864961"/>
    <w:rsid w:val="00870A23"/>
    <w:rsid w:val="00871094"/>
    <w:rsid w:val="00871300"/>
    <w:rsid w:val="00880D1D"/>
    <w:rsid w:val="0088175E"/>
    <w:rsid w:val="00883D99"/>
    <w:rsid w:val="00886E35"/>
    <w:rsid w:val="00892A29"/>
    <w:rsid w:val="00896B2F"/>
    <w:rsid w:val="008976CF"/>
    <w:rsid w:val="008A116C"/>
    <w:rsid w:val="008A271D"/>
    <w:rsid w:val="008A6D4F"/>
    <w:rsid w:val="008B1C67"/>
    <w:rsid w:val="008B1E1E"/>
    <w:rsid w:val="008B4B45"/>
    <w:rsid w:val="008B4CF9"/>
    <w:rsid w:val="008C21F0"/>
    <w:rsid w:val="008C5E24"/>
    <w:rsid w:val="008C631D"/>
    <w:rsid w:val="008C74D6"/>
    <w:rsid w:val="008D7015"/>
    <w:rsid w:val="008E495B"/>
    <w:rsid w:val="008E6B2E"/>
    <w:rsid w:val="008F6994"/>
    <w:rsid w:val="008F7E26"/>
    <w:rsid w:val="00903C44"/>
    <w:rsid w:val="0090565D"/>
    <w:rsid w:val="009121CA"/>
    <w:rsid w:val="00912641"/>
    <w:rsid w:val="009132B3"/>
    <w:rsid w:val="00913FD1"/>
    <w:rsid w:val="00914E79"/>
    <w:rsid w:val="00916DCB"/>
    <w:rsid w:val="009178BB"/>
    <w:rsid w:val="009233AA"/>
    <w:rsid w:val="00926276"/>
    <w:rsid w:val="00926AD0"/>
    <w:rsid w:val="009302D2"/>
    <w:rsid w:val="00931178"/>
    <w:rsid w:val="009321C0"/>
    <w:rsid w:val="00932EF2"/>
    <w:rsid w:val="00936417"/>
    <w:rsid w:val="0094246F"/>
    <w:rsid w:val="00943E4B"/>
    <w:rsid w:val="00944A1C"/>
    <w:rsid w:val="00946139"/>
    <w:rsid w:val="0094676B"/>
    <w:rsid w:val="00946854"/>
    <w:rsid w:val="009505A9"/>
    <w:rsid w:val="00951D71"/>
    <w:rsid w:val="009547B2"/>
    <w:rsid w:val="00960781"/>
    <w:rsid w:val="009609CC"/>
    <w:rsid w:val="00963737"/>
    <w:rsid w:val="00971CD4"/>
    <w:rsid w:val="00973669"/>
    <w:rsid w:val="00974C65"/>
    <w:rsid w:val="00975673"/>
    <w:rsid w:val="00975A51"/>
    <w:rsid w:val="00976B8F"/>
    <w:rsid w:val="00977E9D"/>
    <w:rsid w:val="00982C6D"/>
    <w:rsid w:val="00982F0C"/>
    <w:rsid w:val="00983792"/>
    <w:rsid w:val="00983F19"/>
    <w:rsid w:val="00985102"/>
    <w:rsid w:val="0098718E"/>
    <w:rsid w:val="00991D30"/>
    <w:rsid w:val="00995287"/>
    <w:rsid w:val="009952AB"/>
    <w:rsid w:val="00995E3B"/>
    <w:rsid w:val="00996B9A"/>
    <w:rsid w:val="009A0756"/>
    <w:rsid w:val="009A38E2"/>
    <w:rsid w:val="009A621C"/>
    <w:rsid w:val="009B0DF5"/>
    <w:rsid w:val="009B147E"/>
    <w:rsid w:val="009B23C7"/>
    <w:rsid w:val="009B31B7"/>
    <w:rsid w:val="009B5B55"/>
    <w:rsid w:val="009B6155"/>
    <w:rsid w:val="009B784E"/>
    <w:rsid w:val="009B7DAA"/>
    <w:rsid w:val="009C0F09"/>
    <w:rsid w:val="009C24D3"/>
    <w:rsid w:val="009C2514"/>
    <w:rsid w:val="009C32B1"/>
    <w:rsid w:val="009C75CA"/>
    <w:rsid w:val="009D0A0A"/>
    <w:rsid w:val="009D2E3E"/>
    <w:rsid w:val="009D486E"/>
    <w:rsid w:val="009D6363"/>
    <w:rsid w:val="009D6A88"/>
    <w:rsid w:val="009E4E66"/>
    <w:rsid w:val="009E5796"/>
    <w:rsid w:val="009E5874"/>
    <w:rsid w:val="009E617F"/>
    <w:rsid w:val="009E65FB"/>
    <w:rsid w:val="009E7FEC"/>
    <w:rsid w:val="009F0646"/>
    <w:rsid w:val="009F5B5A"/>
    <w:rsid w:val="009F7E21"/>
    <w:rsid w:val="00A05380"/>
    <w:rsid w:val="00A05F1E"/>
    <w:rsid w:val="00A06197"/>
    <w:rsid w:val="00A06DB6"/>
    <w:rsid w:val="00A115FC"/>
    <w:rsid w:val="00A127D5"/>
    <w:rsid w:val="00A1495D"/>
    <w:rsid w:val="00A164E5"/>
    <w:rsid w:val="00A1684A"/>
    <w:rsid w:val="00A1753A"/>
    <w:rsid w:val="00A204F6"/>
    <w:rsid w:val="00A213BD"/>
    <w:rsid w:val="00A25406"/>
    <w:rsid w:val="00A31153"/>
    <w:rsid w:val="00A33FE0"/>
    <w:rsid w:val="00A34B4F"/>
    <w:rsid w:val="00A34D0A"/>
    <w:rsid w:val="00A4449D"/>
    <w:rsid w:val="00A450A9"/>
    <w:rsid w:val="00A47F00"/>
    <w:rsid w:val="00A50A81"/>
    <w:rsid w:val="00A51140"/>
    <w:rsid w:val="00A56882"/>
    <w:rsid w:val="00A6335A"/>
    <w:rsid w:val="00A6597D"/>
    <w:rsid w:val="00A71D23"/>
    <w:rsid w:val="00A75E83"/>
    <w:rsid w:val="00A7638A"/>
    <w:rsid w:val="00A7640A"/>
    <w:rsid w:val="00A779E7"/>
    <w:rsid w:val="00A81517"/>
    <w:rsid w:val="00A836D7"/>
    <w:rsid w:val="00A851CE"/>
    <w:rsid w:val="00A85CC4"/>
    <w:rsid w:val="00A86DB4"/>
    <w:rsid w:val="00A90316"/>
    <w:rsid w:val="00A9124C"/>
    <w:rsid w:val="00A92F2A"/>
    <w:rsid w:val="00A94A5A"/>
    <w:rsid w:val="00A94BBB"/>
    <w:rsid w:val="00AA0926"/>
    <w:rsid w:val="00AA47F9"/>
    <w:rsid w:val="00AA54B4"/>
    <w:rsid w:val="00AA60D8"/>
    <w:rsid w:val="00AA735F"/>
    <w:rsid w:val="00AB2342"/>
    <w:rsid w:val="00AB44E7"/>
    <w:rsid w:val="00AB7006"/>
    <w:rsid w:val="00AC0E7A"/>
    <w:rsid w:val="00AC154F"/>
    <w:rsid w:val="00AC1C6D"/>
    <w:rsid w:val="00AC3E91"/>
    <w:rsid w:val="00AC4371"/>
    <w:rsid w:val="00AC61E3"/>
    <w:rsid w:val="00AC7C2F"/>
    <w:rsid w:val="00AD0C20"/>
    <w:rsid w:val="00AD1DD8"/>
    <w:rsid w:val="00AD25CC"/>
    <w:rsid w:val="00AD2828"/>
    <w:rsid w:val="00AD3C0F"/>
    <w:rsid w:val="00AD6717"/>
    <w:rsid w:val="00AD6D3F"/>
    <w:rsid w:val="00AE5BDB"/>
    <w:rsid w:val="00AF1AFC"/>
    <w:rsid w:val="00AF1BBE"/>
    <w:rsid w:val="00AF318E"/>
    <w:rsid w:val="00AF6219"/>
    <w:rsid w:val="00AF75C7"/>
    <w:rsid w:val="00B00341"/>
    <w:rsid w:val="00B00F17"/>
    <w:rsid w:val="00B01B18"/>
    <w:rsid w:val="00B07376"/>
    <w:rsid w:val="00B073D3"/>
    <w:rsid w:val="00B13D1A"/>
    <w:rsid w:val="00B27E00"/>
    <w:rsid w:val="00B321F8"/>
    <w:rsid w:val="00B3433F"/>
    <w:rsid w:val="00B345B3"/>
    <w:rsid w:val="00B35EA0"/>
    <w:rsid w:val="00B36061"/>
    <w:rsid w:val="00B3743E"/>
    <w:rsid w:val="00B418E4"/>
    <w:rsid w:val="00B43CF1"/>
    <w:rsid w:val="00B44837"/>
    <w:rsid w:val="00B476F8"/>
    <w:rsid w:val="00B529C5"/>
    <w:rsid w:val="00B54C26"/>
    <w:rsid w:val="00B55516"/>
    <w:rsid w:val="00B650E4"/>
    <w:rsid w:val="00B65A53"/>
    <w:rsid w:val="00B65A5F"/>
    <w:rsid w:val="00B70591"/>
    <w:rsid w:val="00B708FD"/>
    <w:rsid w:val="00B72BE3"/>
    <w:rsid w:val="00B75947"/>
    <w:rsid w:val="00B77A92"/>
    <w:rsid w:val="00B804AF"/>
    <w:rsid w:val="00B80CA1"/>
    <w:rsid w:val="00B83839"/>
    <w:rsid w:val="00B8661C"/>
    <w:rsid w:val="00B95FCB"/>
    <w:rsid w:val="00B96590"/>
    <w:rsid w:val="00B97F11"/>
    <w:rsid w:val="00BA0F9E"/>
    <w:rsid w:val="00BB1595"/>
    <w:rsid w:val="00BB21B0"/>
    <w:rsid w:val="00BB335D"/>
    <w:rsid w:val="00BC3333"/>
    <w:rsid w:val="00BC42AE"/>
    <w:rsid w:val="00BC55FD"/>
    <w:rsid w:val="00BC70D2"/>
    <w:rsid w:val="00BC78FB"/>
    <w:rsid w:val="00BD1859"/>
    <w:rsid w:val="00BD3157"/>
    <w:rsid w:val="00BD4300"/>
    <w:rsid w:val="00BD51B6"/>
    <w:rsid w:val="00BD5D36"/>
    <w:rsid w:val="00BD7AA8"/>
    <w:rsid w:val="00BE0061"/>
    <w:rsid w:val="00BE065A"/>
    <w:rsid w:val="00BE0814"/>
    <w:rsid w:val="00BE08B3"/>
    <w:rsid w:val="00BE0CD3"/>
    <w:rsid w:val="00BE0E90"/>
    <w:rsid w:val="00BE181D"/>
    <w:rsid w:val="00BE7CCB"/>
    <w:rsid w:val="00BF13B7"/>
    <w:rsid w:val="00BF3A46"/>
    <w:rsid w:val="00BF69B8"/>
    <w:rsid w:val="00C00766"/>
    <w:rsid w:val="00C026DF"/>
    <w:rsid w:val="00C02C38"/>
    <w:rsid w:val="00C02F39"/>
    <w:rsid w:val="00C07BA3"/>
    <w:rsid w:val="00C14DA0"/>
    <w:rsid w:val="00C16835"/>
    <w:rsid w:val="00C21D79"/>
    <w:rsid w:val="00C22A0F"/>
    <w:rsid w:val="00C23672"/>
    <w:rsid w:val="00C248C3"/>
    <w:rsid w:val="00C2746B"/>
    <w:rsid w:val="00C30799"/>
    <w:rsid w:val="00C33A7E"/>
    <w:rsid w:val="00C37A85"/>
    <w:rsid w:val="00C40620"/>
    <w:rsid w:val="00C423B8"/>
    <w:rsid w:val="00C431C2"/>
    <w:rsid w:val="00C43D30"/>
    <w:rsid w:val="00C45145"/>
    <w:rsid w:val="00C46254"/>
    <w:rsid w:val="00C507C4"/>
    <w:rsid w:val="00C53797"/>
    <w:rsid w:val="00C55156"/>
    <w:rsid w:val="00C56290"/>
    <w:rsid w:val="00C60E1F"/>
    <w:rsid w:val="00C6184A"/>
    <w:rsid w:val="00C62E15"/>
    <w:rsid w:val="00C63E21"/>
    <w:rsid w:val="00C705BC"/>
    <w:rsid w:val="00C705E9"/>
    <w:rsid w:val="00C752D4"/>
    <w:rsid w:val="00C8230B"/>
    <w:rsid w:val="00C856AF"/>
    <w:rsid w:val="00C85BB6"/>
    <w:rsid w:val="00C85D47"/>
    <w:rsid w:val="00C90940"/>
    <w:rsid w:val="00C93626"/>
    <w:rsid w:val="00C93E74"/>
    <w:rsid w:val="00C94DF1"/>
    <w:rsid w:val="00CA1744"/>
    <w:rsid w:val="00CA4786"/>
    <w:rsid w:val="00CA6403"/>
    <w:rsid w:val="00CA6A29"/>
    <w:rsid w:val="00CB0156"/>
    <w:rsid w:val="00CB51BD"/>
    <w:rsid w:val="00CC2267"/>
    <w:rsid w:val="00CC4EC8"/>
    <w:rsid w:val="00CC5906"/>
    <w:rsid w:val="00CC5C91"/>
    <w:rsid w:val="00CC623A"/>
    <w:rsid w:val="00CC6C5E"/>
    <w:rsid w:val="00CD0F23"/>
    <w:rsid w:val="00CD0FE5"/>
    <w:rsid w:val="00CE59FF"/>
    <w:rsid w:val="00CE5DA3"/>
    <w:rsid w:val="00CF0DD2"/>
    <w:rsid w:val="00CF2052"/>
    <w:rsid w:val="00CF2F5F"/>
    <w:rsid w:val="00CF306A"/>
    <w:rsid w:val="00CF38A2"/>
    <w:rsid w:val="00CF4BE2"/>
    <w:rsid w:val="00D03D0B"/>
    <w:rsid w:val="00D04EF0"/>
    <w:rsid w:val="00D10854"/>
    <w:rsid w:val="00D12A01"/>
    <w:rsid w:val="00D14088"/>
    <w:rsid w:val="00D23B3A"/>
    <w:rsid w:val="00D30AD4"/>
    <w:rsid w:val="00D31BAF"/>
    <w:rsid w:val="00D35236"/>
    <w:rsid w:val="00D43F1B"/>
    <w:rsid w:val="00D50B12"/>
    <w:rsid w:val="00D551B9"/>
    <w:rsid w:val="00D60334"/>
    <w:rsid w:val="00D61049"/>
    <w:rsid w:val="00D74CD3"/>
    <w:rsid w:val="00D74D4E"/>
    <w:rsid w:val="00D76799"/>
    <w:rsid w:val="00D865E8"/>
    <w:rsid w:val="00D86CBD"/>
    <w:rsid w:val="00D87879"/>
    <w:rsid w:val="00D9011B"/>
    <w:rsid w:val="00D90A27"/>
    <w:rsid w:val="00D913F2"/>
    <w:rsid w:val="00D97F47"/>
    <w:rsid w:val="00DA1789"/>
    <w:rsid w:val="00DA2B4F"/>
    <w:rsid w:val="00DA30DC"/>
    <w:rsid w:val="00DA3383"/>
    <w:rsid w:val="00DA4F40"/>
    <w:rsid w:val="00DA7466"/>
    <w:rsid w:val="00DB03CA"/>
    <w:rsid w:val="00DB1F91"/>
    <w:rsid w:val="00DB48F1"/>
    <w:rsid w:val="00DB594A"/>
    <w:rsid w:val="00DC144D"/>
    <w:rsid w:val="00DC19FF"/>
    <w:rsid w:val="00DC1B38"/>
    <w:rsid w:val="00DC7F5C"/>
    <w:rsid w:val="00DD1EC5"/>
    <w:rsid w:val="00DD5B3C"/>
    <w:rsid w:val="00DE0147"/>
    <w:rsid w:val="00DE1CBE"/>
    <w:rsid w:val="00DE363F"/>
    <w:rsid w:val="00DE4C80"/>
    <w:rsid w:val="00DE531E"/>
    <w:rsid w:val="00DE5A05"/>
    <w:rsid w:val="00DE637B"/>
    <w:rsid w:val="00DE672F"/>
    <w:rsid w:val="00DE6AC5"/>
    <w:rsid w:val="00DF0BA8"/>
    <w:rsid w:val="00DF1C34"/>
    <w:rsid w:val="00DF25A8"/>
    <w:rsid w:val="00DF2C59"/>
    <w:rsid w:val="00DF54EE"/>
    <w:rsid w:val="00DF6E4A"/>
    <w:rsid w:val="00DF7CDB"/>
    <w:rsid w:val="00E02A22"/>
    <w:rsid w:val="00E03C5D"/>
    <w:rsid w:val="00E04749"/>
    <w:rsid w:val="00E07A12"/>
    <w:rsid w:val="00E113AF"/>
    <w:rsid w:val="00E13639"/>
    <w:rsid w:val="00E15D05"/>
    <w:rsid w:val="00E20AAC"/>
    <w:rsid w:val="00E2298C"/>
    <w:rsid w:val="00E230A4"/>
    <w:rsid w:val="00E2464C"/>
    <w:rsid w:val="00E3056E"/>
    <w:rsid w:val="00E30A83"/>
    <w:rsid w:val="00E32B4A"/>
    <w:rsid w:val="00E374BB"/>
    <w:rsid w:val="00E37A4B"/>
    <w:rsid w:val="00E40375"/>
    <w:rsid w:val="00E43A28"/>
    <w:rsid w:val="00E45249"/>
    <w:rsid w:val="00E465AC"/>
    <w:rsid w:val="00E53B39"/>
    <w:rsid w:val="00E57A6B"/>
    <w:rsid w:val="00E6399E"/>
    <w:rsid w:val="00E65022"/>
    <w:rsid w:val="00E70E3F"/>
    <w:rsid w:val="00E71663"/>
    <w:rsid w:val="00E726CD"/>
    <w:rsid w:val="00E72EC5"/>
    <w:rsid w:val="00E7462C"/>
    <w:rsid w:val="00E747BD"/>
    <w:rsid w:val="00E74FA5"/>
    <w:rsid w:val="00E772BD"/>
    <w:rsid w:val="00E80019"/>
    <w:rsid w:val="00E82BEF"/>
    <w:rsid w:val="00E9172E"/>
    <w:rsid w:val="00E97B2F"/>
    <w:rsid w:val="00EA2008"/>
    <w:rsid w:val="00EA53B5"/>
    <w:rsid w:val="00EB3E34"/>
    <w:rsid w:val="00EC073A"/>
    <w:rsid w:val="00EC3C6E"/>
    <w:rsid w:val="00ED2EDE"/>
    <w:rsid w:val="00EE2823"/>
    <w:rsid w:val="00EE4865"/>
    <w:rsid w:val="00EF3ABD"/>
    <w:rsid w:val="00F004AC"/>
    <w:rsid w:val="00F0065B"/>
    <w:rsid w:val="00F0475D"/>
    <w:rsid w:val="00F062B0"/>
    <w:rsid w:val="00F12D24"/>
    <w:rsid w:val="00F17016"/>
    <w:rsid w:val="00F214B2"/>
    <w:rsid w:val="00F23109"/>
    <w:rsid w:val="00F2357C"/>
    <w:rsid w:val="00F24EAF"/>
    <w:rsid w:val="00F307DC"/>
    <w:rsid w:val="00F30DEA"/>
    <w:rsid w:val="00F32355"/>
    <w:rsid w:val="00F33C4B"/>
    <w:rsid w:val="00F403B4"/>
    <w:rsid w:val="00F4144A"/>
    <w:rsid w:val="00F42E23"/>
    <w:rsid w:val="00F45576"/>
    <w:rsid w:val="00F5227C"/>
    <w:rsid w:val="00F620F0"/>
    <w:rsid w:val="00F631C4"/>
    <w:rsid w:val="00F639A2"/>
    <w:rsid w:val="00F645DD"/>
    <w:rsid w:val="00F67B7C"/>
    <w:rsid w:val="00F67F0E"/>
    <w:rsid w:val="00F72A75"/>
    <w:rsid w:val="00F734DC"/>
    <w:rsid w:val="00F7674E"/>
    <w:rsid w:val="00F76A19"/>
    <w:rsid w:val="00F82B07"/>
    <w:rsid w:val="00F83D5A"/>
    <w:rsid w:val="00F8544D"/>
    <w:rsid w:val="00F86567"/>
    <w:rsid w:val="00F905D4"/>
    <w:rsid w:val="00F93D0D"/>
    <w:rsid w:val="00F94DDE"/>
    <w:rsid w:val="00F9587B"/>
    <w:rsid w:val="00F95B07"/>
    <w:rsid w:val="00F96272"/>
    <w:rsid w:val="00F974D2"/>
    <w:rsid w:val="00FA1A00"/>
    <w:rsid w:val="00FA6E72"/>
    <w:rsid w:val="00FB1BC6"/>
    <w:rsid w:val="00FB33D1"/>
    <w:rsid w:val="00FB347B"/>
    <w:rsid w:val="00FB4586"/>
    <w:rsid w:val="00FB4CDE"/>
    <w:rsid w:val="00FB4D82"/>
    <w:rsid w:val="00FB67C5"/>
    <w:rsid w:val="00FC02DD"/>
    <w:rsid w:val="00FC09C5"/>
    <w:rsid w:val="00FC100A"/>
    <w:rsid w:val="00FC3884"/>
    <w:rsid w:val="00FD0800"/>
    <w:rsid w:val="00FD1727"/>
    <w:rsid w:val="00FD3FE7"/>
    <w:rsid w:val="00FD5AD0"/>
    <w:rsid w:val="00FE3848"/>
    <w:rsid w:val="00FF4EF8"/>
    <w:rsid w:val="00FF6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14729CA5"/>
  <w15:chartTrackingRefBased/>
  <w15:docId w15:val="{3F93AB2E-DFF3-4298-9E18-4788905F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8E"/>
    <w:pPr>
      <w:suppressAutoHyphens/>
    </w:pPr>
    <w:rPr>
      <w:sz w:val="24"/>
      <w:szCs w:val="24"/>
      <w:lang w:eastAsia="zh-CN"/>
    </w:rPr>
  </w:style>
  <w:style w:type="paragraph" w:styleId="Titre1">
    <w:name w:val="heading 1"/>
    <w:basedOn w:val="Normal"/>
    <w:next w:val="Normal"/>
    <w:link w:val="Titre1Car"/>
    <w:uiPriority w:val="9"/>
    <w:qFormat/>
    <w:pPr>
      <w:keepNext/>
      <w:numPr>
        <w:numId w:val="1"/>
      </w:numPr>
      <w:spacing w:before="240"/>
      <w:jc w:val="center"/>
      <w:outlineLvl w:val="0"/>
    </w:pPr>
    <w:rPr>
      <w:rFonts w:cs="Arial"/>
      <w:bCs/>
      <w:caps/>
      <w:kern w:val="1"/>
    </w:rPr>
  </w:style>
  <w:style w:type="paragraph" w:styleId="Titre2">
    <w:name w:val="heading 2"/>
    <w:basedOn w:val="Normal"/>
    <w:next w:val="Normal"/>
    <w:link w:val="Titre2Car"/>
    <w:uiPriority w:val="9"/>
    <w:qFormat/>
    <w:pPr>
      <w:keepNext/>
      <w:numPr>
        <w:ilvl w:val="1"/>
        <w:numId w:val="1"/>
      </w:numPr>
      <w:spacing w:before="240"/>
      <w:jc w:val="center"/>
      <w:outlineLvl w:val="1"/>
    </w:pPr>
    <w:rPr>
      <w:bCs/>
      <w:iCs/>
      <w:smallCaps/>
    </w:rPr>
  </w:style>
  <w:style w:type="paragraph" w:styleId="Titre3">
    <w:name w:val="heading 3"/>
    <w:basedOn w:val="Normal"/>
    <w:next w:val="Normal"/>
    <w:link w:val="Titre3Car"/>
    <w:uiPriority w:val="9"/>
    <w:qFormat/>
    <w:pPr>
      <w:keepNext/>
      <w:numPr>
        <w:ilvl w:val="2"/>
        <w:numId w:val="1"/>
      </w:numPr>
      <w:spacing w:before="120"/>
      <w:jc w:val="center"/>
      <w:outlineLvl w:val="2"/>
    </w:pPr>
    <w:rPr>
      <w:rFonts w:cs="Arial"/>
      <w:bCs/>
      <w:szCs w:val="26"/>
    </w:rPr>
  </w:style>
  <w:style w:type="paragraph" w:styleId="Titre4">
    <w:name w:val="heading 4"/>
    <w:basedOn w:val="Normal"/>
    <w:next w:val="Normal"/>
    <w:link w:val="Titre4Car"/>
    <w:uiPriority w:val="9"/>
    <w:unhideWhenUsed/>
    <w:qFormat/>
    <w:rsid w:val="00495E9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31C"/>
    <w:rPr>
      <w:rFonts w:cs="Arial"/>
      <w:bCs/>
      <w:caps/>
      <w:kern w:val="1"/>
      <w:sz w:val="24"/>
      <w:szCs w:val="24"/>
      <w:lang w:eastAsia="zh-CN"/>
    </w:rPr>
  </w:style>
  <w:style w:type="character" w:customStyle="1" w:styleId="Titre2Car">
    <w:name w:val="Titre 2 Car"/>
    <w:basedOn w:val="Policepardfaut"/>
    <w:link w:val="Titre2"/>
    <w:uiPriority w:val="9"/>
    <w:rsid w:val="0064331C"/>
    <w:rPr>
      <w:bCs/>
      <w:iCs/>
      <w:smallCaps/>
      <w:sz w:val="24"/>
      <w:szCs w:val="24"/>
      <w:lang w:eastAsia="zh-CN"/>
    </w:rPr>
  </w:style>
  <w:style w:type="character" w:customStyle="1" w:styleId="Titre3Car">
    <w:name w:val="Titre 3 Car"/>
    <w:basedOn w:val="Policepardfaut"/>
    <w:link w:val="Titre3"/>
    <w:uiPriority w:val="9"/>
    <w:rsid w:val="0064331C"/>
    <w:rPr>
      <w:rFonts w:cs="Arial"/>
      <w:bCs/>
      <w:sz w:val="24"/>
      <w:szCs w:val="26"/>
      <w:lang w:eastAsia="zh-CN"/>
    </w:rPr>
  </w:style>
  <w:style w:type="character" w:customStyle="1" w:styleId="Titre4Car">
    <w:name w:val="Titre 4 Car"/>
    <w:basedOn w:val="Policepardfaut"/>
    <w:link w:val="Titre4"/>
    <w:uiPriority w:val="9"/>
    <w:rsid w:val="00495E9C"/>
    <w:rPr>
      <w:rFonts w:asciiTheme="majorHAnsi" w:eastAsiaTheme="majorEastAsia" w:hAnsiTheme="majorHAnsi" w:cstheme="majorBidi"/>
      <w:i/>
      <w:iCs/>
      <w:color w:val="2E74B5" w:themeColor="accent1" w:themeShade="BF"/>
      <w:sz w:val="24"/>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color w:val="000000"/>
    </w:rPr>
  </w:style>
  <w:style w:type="character" w:customStyle="1" w:styleId="WW8Num4z0">
    <w:name w:val="WW8Num4z0"/>
    <w:rPr>
      <w:color w:val="000000"/>
    </w:rPr>
  </w:style>
  <w:style w:type="character" w:customStyle="1" w:styleId="WW8Num5z0">
    <w:name w:val="WW8Num5z0"/>
    <w:rPr>
      <w:color w:val="000000"/>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bCs/>
    </w:rPr>
  </w:style>
  <w:style w:type="character" w:customStyle="1" w:styleId="WW8Num10z0">
    <w:name w:val="WW8Num10z0"/>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olicepardfaut4">
    <w:name w:val="Police par défaut4"/>
  </w:style>
  <w:style w:type="character" w:customStyle="1" w:styleId="Policepardfaut3">
    <w:name w:val="Police par défaut3"/>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olicepardfaut2">
    <w:name w:val="Police par défaut2"/>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Car">
    <w:name w:val="SNDate Car"/>
    <w:rPr>
      <w:sz w:val="24"/>
      <w:szCs w:val="24"/>
      <w:lang w:val="fr-FR" w:bidi="ar-SA"/>
    </w:rPr>
  </w:style>
  <w:style w:type="character" w:customStyle="1" w:styleId="SNArticleCar">
    <w:name w:val="SNArticle Car"/>
    <w:rPr>
      <w:b/>
      <w:sz w:val="24"/>
      <w:szCs w:val="24"/>
      <w:lang w:val="fr-FR" w:bidi="ar-SA"/>
    </w:rPr>
  </w:style>
  <w:style w:type="character" w:customStyle="1" w:styleId="SNenProjet">
    <w:name w:val="SNenProjet"/>
    <w:basedOn w:val="Policepardfaut1"/>
  </w:style>
  <w:style w:type="character" w:styleId="Lienhypertexte">
    <w:name w:val="Hyperlink"/>
    <w:uiPriority w:val="99"/>
    <w:rPr>
      <w:color w:val="0000FF"/>
      <w:u w:val="single"/>
    </w:rPr>
  </w:style>
  <w:style w:type="character" w:customStyle="1" w:styleId="Marquedecommentaire1">
    <w:name w:val="Marque de commentaire1"/>
    <w:rPr>
      <w:sz w:val="16"/>
      <w:szCs w:val="16"/>
    </w:rPr>
  </w:style>
  <w:style w:type="character" w:customStyle="1" w:styleId="CommentaireCar">
    <w:name w:val="Commentaire Car"/>
    <w:uiPriority w:val="99"/>
    <w:qFormat/>
    <w:rPr>
      <w:lang w:eastAsia="zh-CN"/>
    </w:rPr>
  </w:style>
  <w:style w:type="character" w:customStyle="1" w:styleId="Marquedecommentaire2">
    <w:name w:val="Marque de commentaire2"/>
    <w:rPr>
      <w:sz w:val="16"/>
      <w:szCs w:val="16"/>
    </w:rPr>
  </w:style>
  <w:style w:type="character" w:styleId="lev">
    <w:name w:val="Strong"/>
    <w:uiPriority w:val="22"/>
    <w:qFormat/>
    <w:rPr>
      <w:b/>
      <w:bCs/>
    </w:rPr>
  </w:style>
  <w:style w:type="paragraph" w:customStyle="1" w:styleId="Titre40">
    <w:name w:val="Titre4"/>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30">
    <w:name w:val="Titre3"/>
    <w:basedOn w:val="Normal"/>
    <w:next w:val="Corpsdetexte"/>
    <w:pPr>
      <w:keepNext/>
      <w:spacing w:before="240" w:after="120"/>
    </w:pPr>
    <w:rPr>
      <w:rFonts w:ascii="Liberation Sans" w:eastAsia="Microsoft YaHei" w:hAnsi="Liberation Sans" w:cs="Arial"/>
      <w:sz w:val="28"/>
      <w:szCs w:val="28"/>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pPr>
      <w:jc w:val="center"/>
    </w:pPr>
    <w:rPr>
      <w:b/>
      <w:bCs/>
      <w:szCs w:val="20"/>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SNConsultation">
    <w:name w:val="SNConsultation"/>
    <w:basedOn w:val="Normal"/>
    <w:pPr>
      <w:widowControl w:val="0"/>
      <w:spacing w:before="120" w:after="120"/>
      <w:ind w:firstLine="709"/>
      <w:jc w:val="both"/>
    </w:pPr>
    <w:rPr>
      <w:rFonts w:eastAsia="Lucida Sans Unicode"/>
      <w:color w:val="0000FF"/>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SignatureDroite">
    <w:name w:val="SNSignatureDroite"/>
    <w:basedOn w:val="Normal"/>
    <w:next w:val="SNSignatureprnomnomDroite"/>
    <w:pPr>
      <w:spacing w:before="120" w:after="1680"/>
      <w:ind w:left="720"/>
      <w:jc w:val="right"/>
    </w:pPr>
    <w:rPr>
      <w:color w:val="000000"/>
    </w:rPr>
  </w:style>
  <w:style w:type="paragraph" w:customStyle="1" w:styleId="SNSignatureprnomnomDroite">
    <w:name w:val="SNSignature prénom+nom Droite"/>
    <w:basedOn w:val="SNSignatureDroite"/>
    <w:next w:val="SNSignatureGauche"/>
    <w:pPr>
      <w:spacing w:after="120"/>
      <w:ind w:left="5041"/>
    </w:pPr>
  </w:style>
  <w:style w:type="paragraph" w:customStyle="1" w:styleId="SNSignatureGauche">
    <w:name w:val="SNSignatureGauche"/>
    <w:basedOn w:val="Normal"/>
    <w:next w:val="SNSignatureprnomnomGauche"/>
    <w:pPr>
      <w:spacing w:before="120" w:after="1680"/>
      <w:ind w:left="720" w:right="4494"/>
    </w:pPr>
  </w:style>
  <w:style w:type="paragraph" w:customStyle="1" w:styleId="SNSignatureprnomnomGauche">
    <w:name w:val="SNSignature prénom+nom Gauche"/>
    <w:basedOn w:val="SNSignatureGauche"/>
    <w:next w:val="SNSignatureDroite"/>
    <w:pPr>
      <w:spacing w:after="120"/>
    </w:pPr>
    <w:rPr>
      <w:color w:val="000000"/>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
    <w:name w:val="SNDate"/>
    <w:basedOn w:val="Normal"/>
    <w:next w:val="SNContreseing"/>
    <w:pPr>
      <w:spacing w:before="480" w:after="2760"/>
      <w:ind w:firstLine="720"/>
    </w:pPr>
  </w:style>
  <w:style w:type="paragraph" w:customStyle="1" w:styleId="SNContreseing">
    <w:name w:val="SNContreseing"/>
    <w:basedOn w:val="Normal"/>
    <w:next w:val="SNSignatureGauche"/>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Adoption">
    <w:name w:val="SNAdoption"/>
    <w:basedOn w:val="Normal"/>
  </w:style>
  <w:style w:type="paragraph" w:customStyle="1" w:styleId="SNLibell">
    <w:name w:val="SNLibellé"/>
    <w:basedOn w:val="Normal"/>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sid w:val="0064331C"/>
    <w:rPr>
      <w:rFonts w:ascii="Tahoma" w:hAnsi="Tahoma" w:cs="Tahoma"/>
      <w:sz w:val="16"/>
      <w:szCs w:val="16"/>
      <w:lang w:eastAsia="zh-CN"/>
    </w:rPr>
  </w:style>
  <w:style w:type="paragraph" w:customStyle="1" w:styleId="Titre1objet">
    <w:name w:val="Titre 1 objet"/>
    <w:basedOn w:val="Titre1"/>
    <w:pPr>
      <w:numPr>
        <w:numId w:val="0"/>
      </w:numPr>
      <w:spacing w:before="0" w:after="120"/>
    </w:pPr>
    <w:rPr>
      <w:b/>
    </w:rPr>
  </w:style>
  <w:style w:type="paragraph" w:customStyle="1" w:styleId="Titre2objet">
    <w:name w:val="Titre 2 objet"/>
    <w:basedOn w:val="Titre2"/>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after="120"/>
    </w:pPr>
    <w:rPr>
      <w:b/>
    </w:rPr>
  </w:style>
  <w:style w:type="paragraph" w:customStyle="1" w:styleId="Nature">
    <w:name w:val="Nature"/>
    <w:basedOn w:val="Normal"/>
    <w:pPr>
      <w:widowControl w:val="0"/>
      <w:suppressLineNumbers/>
      <w:spacing w:before="720" w:after="240"/>
      <w:jc w:val="center"/>
    </w:pPr>
    <w:rPr>
      <w:rFonts w:eastAsia="Lucida Sans Unicode"/>
      <w:b/>
      <w:bCs/>
    </w:rPr>
  </w:style>
  <w:style w:type="paragraph" w:styleId="NormalWeb">
    <w:name w:val="Normal (Web)"/>
    <w:basedOn w:val="Normal"/>
    <w:uiPriority w:val="99"/>
    <w:qFormat/>
    <w:pPr>
      <w:spacing w:before="280" w:after="280"/>
    </w:pPr>
  </w:style>
  <w:style w:type="paragraph" w:customStyle="1" w:styleId="Commentaire1">
    <w:name w:val="Commentaire1"/>
    <w:basedOn w:val="Normal"/>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Default">
    <w:name w:val="Default"/>
    <w:pPr>
      <w:suppressAutoHyphens/>
      <w:autoSpaceDE w:val="0"/>
    </w:pPr>
    <w:rPr>
      <w:rFonts w:ascii="Univers LT Std" w:hAnsi="Univers LT Std" w:cs="Univers LT Std"/>
      <w:color w:val="000000"/>
      <w:sz w:val="24"/>
      <w:szCs w:val="24"/>
      <w:lang w:eastAsia="zh-CN"/>
    </w:rPr>
  </w:style>
  <w:style w:type="paragraph" w:customStyle="1" w:styleId="Commentaire2">
    <w:name w:val="Commentaire2"/>
    <w:basedOn w:val="Normal"/>
    <w:rPr>
      <w:sz w:val="20"/>
      <w:szCs w:val="20"/>
    </w:rPr>
  </w:style>
  <w:style w:type="paragraph" w:styleId="Objetducommentaire">
    <w:name w:val="annotation subject"/>
    <w:basedOn w:val="Commentaire2"/>
    <w:next w:val="Commentaire2"/>
    <w:link w:val="ObjetducommentaireCar"/>
    <w:uiPriority w:val="99"/>
    <w:rPr>
      <w:b/>
      <w:bCs/>
    </w:rPr>
  </w:style>
  <w:style w:type="character" w:customStyle="1" w:styleId="ObjetducommentaireCar">
    <w:name w:val="Objet du commentaire Car"/>
    <w:basedOn w:val="CommentaireCar"/>
    <w:link w:val="Objetducommentaire"/>
    <w:uiPriority w:val="99"/>
    <w:rsid w:val="0064331C"/>
    <w:rPr>
      <w:b/>
      <w:bCs/>
      <w:lang w:eastAsia="zh-CN"/>
    </w:rPr>
  </w:style>
  <w:style w:type="paragraph" w:customStyle="1" w:styleId="western">
    <w:name w:val="western"/>
    <w:basedOn w:val="Normal"/>
    <w:pPr>
      <w:suppressAutoHyphens w:val="0"/>
      <w:spacing w:before="280" w:after="119"/>
      <w:jc w:val="both"/>
    </w:pPr>
    <w:rPr>
      <w:color w:val="000000"/>
    </w:rPr>
  </w:style>
  <w:style w:type="paragraph" w:styleId="Paragraphedeliste">
    <w:name w:val="List Paragraph"/>
    <w:basedOn w:val="Normal"/>
    <w:uiPriority w:val="34"/>
    <w:qFormat/>
    <w:rsid w:val="008B1C67"/>
    <w:pPr>
      <w:suppressAutoHyphens w:val="0"/>
      <w:spacing w:after="200" w:line="276" w:lineRule="auto"/>
      <w:ind w:left="720"/>
      <w:contextualSpacing/>
    </w:pPr>
    <w:rPr>
      <w:rFonts w:asciiTheme="minorHAnsi" w:eastAsiaTheme="minorEastAsia" w:hAnsiTheme="minorHAnsi"/>
      <w:sz w:val="22"/>
      <w:szCs w:val="22"/>
      <w:lang w:eastAsia="fr-FR"/>
    </w:rPr>
  </w:style>
  <w:style w:type="character" w:styleId="Marquedecommentaire">
    <w:name w:val="annotation reference"/>
    <w:basedOn w:val="Policepardfaut"/>
    <w:uiPriority w:val="99"/>
    <w:unhideWhenUsed/>
    <w:qFormat/>
    <w:rsid w:val="00652F35"/>
    <w:rPr>
      <w:sz w:val="16"/>
      <w:szCs w:val="16"/>
    </w:rPr>
  </w:style>
  <w:style w:type="paragraph" w:styleId="Commentaire">
    <w:name w:val="annotation text"/>
    <w:basedOn w:val="Normal"/>
    <w:link w:val="CommentaireCar1"/>
    <w:uiPriority w:val="99"/>
    <w:unhideWhenUsed/>
    <w:qFormat/>
    <w:rsid w:val="00652F35"/>
    <w:rPr>
      <w:sz w:val="20"/>
      <w:szCs w:val="20"/>
    </w:rPr>
  </w:style>
  <w:style w:type="character" w:customStyle="1" w:styleId="CommentaireCar1">
    <w:name w:val="Commentaire Car1"/>
    <w:basedOn w:val="Policepardfaut"/>
    <w:link w:val="Commentaire"/>
    <w:uiPriority w:val="99"/>
    <w:rsid w:val="00652F35"/>
    <w:rPr>
      <w:lang w:eastAsia="zh-CN"/>
    </w:rPr>
  </w:style>
  <w:style w:type="paragraph" w:styleId="Listecontinue">
    <w:name w:val="List Continue"/>
    <w:basedOn w:val="Normal"/>
    <w:uiPriority w:val="99"/>
    <w:semiHidden/>
    <w:unhideWhenUsed/>
    <w:rsid w:val="00250D27"/>
    <w:pPr>
      <w:spacing w:after="120"/>
      <w:ind w:left="283"/>
      <w:contextualSpacing/>
    </w:pPr>
  </w:style>
  <w:style w:type="paragraph" w:styleId="Listecontinue2">
    <w:name w:val="List Continue 2"/>
    <w:basedOn w:val="Normal"/>
    <w:uiPriority w:val="99"/>
    <w:semiHidden/>
    <w:unhideWhenUsed/>
    <w:rsid w:val="00250D27"/>
    <w:pPr>
      <w:spacing w:after="120"/>
      <w:ind w:left="566"/>
      <w:contextualSpacing/>
    </w:pPr>
  </w:style>
  <w:style w:type="paragraph" w:styleId="Listecontinue3">
    <w:name w:val="List Continue 3"/>
    <w:basedOn w:val="Normal"/>
    <w:uiPriority w:val="99"/>
    <w:semiHidden/>
    <w:unhideWhenUsed/>
    <w:rsid w:val="00250D27"/>
    <w:pPr>
      <w:spacing w:after="120"/>
      <w:ind w:left="849"/>
      <w:contextualSpacing/>
    </w:pPr>
  </w:style>
  <w:style w:type="paragraph" w:styleId="Listepuces2">
    <w:name w:val="List Bullet 2"/>
    <w:basedOn w:val="Normal"/>
    <w:autoRedefine/>
    <w:uiPriority w:val="99"/>
    <w:rsid w:val="00250D27"/>
    <w:pPr>
      <w:numPr>
        <w:numId w:val="2"/>
      </w:numPr>
      <w:suppressAutoHyphens w:val="0"/>
      <w:spacing w:after="240" w:line="230" w:lineRule="atLeast"/>
      <w:jc w:val="both"/>
    </w:pPr>
    <w:rPr>
      <w:rFonts w:ascii="Cambria" w:eastAsia="MS Mincho" w:hAnsi="Cambria" w:cs="Cambria"/>
      <w:sz w:val="22"/>
      <w:szCs w:val="20"/>
      <w:lang w:val="en-GB" w:eastAsia="fr-FR"/>
    </w:rPr>
  </w:style>
  <w:style w:type="paragraph" w:customStyle="1" w:styleId="Tabletext11">
    <w:name w:val="Table text (11)"/>
    <w:basedOn w:val="Normal"/>
    <w:rsid w:val="008501B2"/>
    <w:pPr>
      <w:suppressAutoHyphens w:val="0"/>
      <w:spacing w:before="60" w:after="60" w:line="230" w:lineRule="atLeast"/>
      <w:jc w:val="both"/>
    </w:pPr>
    <w:rPr>
      <w:rFonts w:ascii="Cambria" w:eastAsia="MS Mincho" w:hAnsi="Cambria" w:cs="Cambria"/>
      <w:sz w:val="22"/>
      <w:szCs w:val="22"/>
      <w:lang w:val="en-GB" w:eastAsia="fr-FR"/>
    </w:rPr>
  </w:style>
  <w:style w:type="paragraph" w:customStyle="1" w:styleId="Tabletitle">
    <w:name w:val="Table title"/>
    <w:basedOn w:val="Normal"/>
    <w:next w:val="Normal"/>
    <w:rsid w:val="008501B2"/>
    <w:pPr>
      <w:keepNext/>
      <w:spacing w:before="120" w:after="120" w:line="230" w:lineRule="exact"/>
      <w:jc w:val="center"/>
    </w:pPr>
    <w:rPr>
      <w:rFonts w:ascii="Cambria" w:eastAsia="MS Mincho" w:hAnsi="Cambria" w:cs="Cambria"/>
      <w:b/>
      <w:sz w:val="22"/>
      <w:szCs w:val="20"/>
      <w:lang w:val="en-GB" w:eastAsia="fr-FR"/>
    </w:rPr>
  </w:style>
  <w:style w:type="paragraph" w:customStyle="1" w:styleId="Textbody">
    <w:name w:val="Text body"/>
    <w:basedOn w:val="Normal"/>
    <w:rsid w:val="005010BD"/>
    <w:pPr>
      <w:widowControl w:val="0"/>
      <w:autoSpaceDN w:val="0"/>
      <w:spacing w:after="140" w:line="288" w:lineRule="auto"/>
    </w:pPr>
    <w:rPr>
      <w:rFonts w:ascii="Liberation Serif" w:eastAsia="SimSun" w:hAnsi="Liberation Serif" w:cs="Mangal"/>
      <w:kern w:val="3"/>
      <w:lang w:bidi="hi-IN"/>
    </w:rPr>
  </w:style>
  <w:style w:type="paragraph" w:customStyle="1" w:styleId="Standard">
    <w:name w:val="Standard"/>
    <w:rsid w:val="00A85CC4"/>
    <w:pPr>
      <w:widowControl w:val="0"/>
      <w:suppressAutoHyphens/>
      <w:autoSpaceDN w:val="0"/>
    </w:pPr>
    <w:rPr>
      <w:rFonts w:ascii="Liberation Serif" w:eastAsia="SimSun" w:hAnsi="Liberation Serif" w:cs="Mangal"/>
      <w:kern w:val="3"/>
      <w:sz w:val="24"/>
      <w:szCs w:val="24"/>
      <w:lang w:eastAsia="zh-CN" w:bidi="hi-IN"/>
    </w:rPr>
  </w:style>
  <w:style w:type="paragraph" w:customStyle="1" w:styleId="name-article">
    <w:name w:val="name-article"/>
    <w:basedOn w:val="Normal"/>
    <w:rsid w:val="000F7077"/>
    <w:pPr>
      <w:suppressAutoHyphens w:val="0"/>
      <w:spacing w:before="100" w:beforeAutospacing="1" w:after="100" w:afterAutospacing="1"/>
      <w:jc w:val="both"/>
    </w:pPr>
    <w:rPr>
      <w:lang w:eastAsia="fr-FR"/>
    </w:rPr>
  </w:style>
  <w:style w:type="paragraph" w:styleId="En-tte">
    <w:name w:val="header"/>
    <w:basedOn w:val="Normal"/>
    <w:link w:val="En-tteCar"/>
    <w:uiPriority w:val="99"/>
    <w:unhideWhenUsed/>
    <w:rsid w:val="00727E38"/>
    <w:pPr>
      <w:tabs>
        <w:tab w:val="center" w:pos="4536"/>
        <w:tab w:val="right" w:pos="9072"/>
      </w:tabs>
    </w:pPr>
  </w:style>
  <w:style w:type="character" w:customStyle="1" w:styleId="En-tteCar">
    <w:name w:val="En-tête Car"/>
    <w:basedOn w:val="Policepardfaut"/>
    <w:link w:val="En-tte"/>
    <w:uiPriority w:val="99"/>
    <w:rsid w:val="00727E38"/>
    <w:rPr>
      <w:sz w:val="24"/>
      <w:szCs w:val="24"/>
      <w:lang w:eastAsia="zh-CN"/>
    </w:rPr>
  </w:style>
  <w:style w:type="paragraph" w:styleId="Pieddepage">
    <w:name w:val="footer"/>
    <w:basedOn w:val="Normal"/>
    <w:link w:val="PieddepageCar"/>
    <w:uiPriority w:val="99"/>
    <w:unhideWhenUsed/>
    <w:rsid w:val="00727E38"/>
    <w:pPr>
      <w:tabs>
        <w:tab w:val="center" w:pos="4536"/>
        <w:tab w:val="right" w:pos="9072"/>
      </w:tabs>
    </w:pPr>
  </w:style>
  <w:style w:type="character" w:customStyle="1" w:styleId="PieddepageCar">
    <w:name w:val="Pied de page Car"/>
    <w:basedOn w:val="Policepardfaut"/>
    <w:link w:val="Pieddepage"/>
    <w:uiPriority w:val="99"/>
    <w:rsid w:val="00727E38"/>
    <w:rPr>
      <w:sz w:val="24"/>
      <w:szCs w:val="24"/>
      <w:lang w:eastAsia="zh-CN"/>
    </w:rPr>
  </w:style>
  <w:style w:type="character" w:styleId="Accentuation">
    <w:name w:val="Emphasis"/>
    <w:basedOn w:val="Policepardfaut"/>
    <w:uiPriority w:val="20"/>
    <w:qFormat/>
    <w:rsid w:val="00A7640A"/>
    <w:rPr>
      <w:i/>
      <w:iCs/>
    </w:rPr>
  </w:style>
  <w:style w:type="paragraph" w:styleId="Rvision">
    <w:name w:val="Revision"/>
    <w:hidden/>
    <w:uiPriority w:val="99"/>
    <w:semiHidden/>
    <w:rsid w:val="00443032"/>
    <w:rPr>
      <w:sz w:val="24"/>
      <w:szCs w:val="24"/>
      <w:lang w:eastAsia="zh-CN"/>
    </w:rPr>
  </w:style>
  <w:style w:type="table" w:styleId="Grilledutableau">
    <w:name w:val="Table Grid"/>
    <w:basedOn w:val="TableauNormal"/>
    <w:uiPriority w:val="39"/>
    <w:rsid w:val="009B14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331C"/>
    <w:pPr>
      <w:suppressAutoHyphens w:val="0"/>
      <w:spacing w:before="100" w:beforeAutospacing="1" w:after="100" w:afterAutospacing="1"/>
    </w:pPr>
    <w:rPr>
      <w:lang w:eastAsia="fr-FR"/>
    </w:rPr>
  </w:style>
  <w:style w:type="character" w:customStyle="1" w:styleId="word-break-all">
    <w:name w:val="word-break-all"/>
    <w:basedOn w:val="Policepardfaut"/>
    <w:rsid w:val="0064331C"/>
  </w:style>
  <w:style w:type="character" w:customStyle="1" w:styleId="info-doc">
    <w:name w:val="info-doc"/>
    <w:basedOn w:val="Policepardfaut"/>
    <w:rsid w:val="0064331C"/>
  </w:style>
  <w:style w:type="paragraph" w:customStyle="1" w:styleId="nbresult">
    <w:name w:val="nbresult"/>
    <w:basedOn w:val="Normal"/>
    <w:rsid w:val="0064331C"/>
    <w:pPr>
      <w:suppressAutoHyphens w:val="0"/>
      <w:spacing w:before="100" w:beforeAutospacing="1" w:after="100" w:afterAutospacing="1"/>
    </w:pPr>
    <w:rPr>
      <w:lang w:eastAsia="fr-FR"/>
    </w:rPr>
  </w:style>
  <w:style w:type="character" w:customStyle="1" w:styleId="icon">
    <w:name w:val="icon"/>
    <w:basedOn w:val="Policepardfaut"/>
    <w:rsid w:val="0064331C"/>
  </w:style>
  <w:style w:type="character" w:customStyle="1" w:styleId="hidden-element">
    <w:name w:val="hidden-element"/>
    <w:basedOn w:val="Policepardfaut"/>
    <w:rsid w:val="0064331C"/>
  </w:style>
  <w:style w:type="character" w:customStyle="1" w:styleId="glyphicon">
    <w:name w:val="glyphicon"/>
    <w:basedOn w:val="Policepardfaut"/>
    <w:rsid w:val="0064331C"/>
  </w:style>
  <w:style w:type="paragraph" w:customStyle="1" w:styleId="vigor-title">
    <w:name w:val="vigor-title"/>
    <w:basedOn w:val="Normal"/>
    <w:rsid w:val="0064331C"/>
    <w:pPr>
      <w:suppressAutoHyphens w:val="0"/>
      <w:spacing w:before="100" w:beforeAutospacing="1" w:after="100" w:afterAutospacing="1"/>
    </w:pPr>
    <w:rPr>
      <w:lang w:eastAsia="fr-FR"/>
    </w:rPr>
  </w:style>
  <w:style w:type="character" w:customStyle="1" w:styleId="complement-titre-code">
    <w:name w:val="complement-titre-code"/>
    <w:basedOn w:val="Policepardfaut"/>
    <w:rsid w:val="0064331C"/>
  </w:style>
  <w:style w:type="paragraph" w:customStyle="1" w:styleId="note">
    <w:name w:val="note"/>
    <w:basedOn w:val="Normal"/>
    <w:rsid w:val="0064331C"/>
    <w:pPr>
      <w:suppressAutoHyphens w:val="0"/>
      <w:spacing w:before="100" w:beforeAutospacing="1" w:after="100" w:afterAutospacing="1"/>
    </w:pPr>
    <w:rPr>
      <w:lang w:eastAsia="fr-FR"/>
    </w:rPr>
  </w:style>
  <w:style w:type="character" w:customStyle="1" w:styleId="unnamed-article">
    <w:name w:val="unnamed-article"/>
    <w:basedOn w:val="Policepardfaut"/>
    <w:rsid w:val="0064331C"/>
  </w:style>
  <w:style w:type="paragraph" w:customStyle="1" w:styleId="Date1">
    <w:name w:val="Date1"/>
    <w:basedOn w:val="Normal"/>
    <w:rsid w:val="0064331C"/>
    <w:pPr>
      <w:suppressAutoHyphens w:val="0"/>
      <w:spacing w:before="100" w:beforeAutospacing="1" w:after="100" w:afterAutospacing="1"/>
    </w:pPr>
    <w:rPr>
      <w:lang w:eastAsia="fr-FR"/>
    </w:rPr>
  </w:style>
  <w:style w:type="paragraph" w:customStyle="1" w:styleId="info-maj">
    <w:name w:val="info-maj"/>
    <w:basedOn w:val="Normal"/>
    <w:rsid w:val="0064331C"/>
    <w:pPr>
      <w:suppressAutoHyphens w:val="0"/>
      <w:spacing w:before="100" w:beforeAutospacing="1" w:after="100" w:afterAutospacing="1"/>
    </w:pPr>
    <w:rPr>
      <w:lang w:eastAsia="fr-FR"/>
    </w:rPr>
  </w:style>
  <w:style w:type="paragraph" w:customStyle="1" w:styleId="Sous-titre1">
    <w:name w:val="Sous-titre1"/>
    <w:basedOn w:val="Normal"/>
    <w:rsid w:val="0064331C"/>
    <w:pPr>
      <w:suppressAutoHyphens w:val="0"/>
      <w:spacing w:before="100" w:beforeAutospacing="1" w:after="100" w:afterAutospacing="1"/>
    </w:pPr>
    <w:rPr>
      <w:lang w:eastAsia="fr-FR"/>
    </w:rPr>
  </w:style>
  <w:style w:type="paragraph" w:styleId="Notedebasdepage">
    <w:name w:val="footnote text"/>
    <w:basedOn w:val="Normal"/>
    <w:link w:val="NotedebasdepageCar"/>
    <w:uiPriority w:val="99"/>
    <w:semiHidden/>
    <w:unhideWhenUsed/>
    <w:rsid w:val="006A72C4"/>
    <w:rPr>
      <w:sz w:val="20"/>
      <w:szCs w:val="20"/>
    </w:rPr>
  </w:style>
  <w:style w:type="character" w:customStyle="1" w:styleId="NotedebasdepageCar">
    <w:name w:val="Note de bas de page Car"/>
    <w:basedOn w:val="Policepardfaut"/>
    <w:link w:val="Notedebasdepage"/>
    <w:uiPriority w:val="99"/>
    <w:semiHidden/>
    <w:rsid w:val="006A72C4"/>
    <w:rPr>
      <w:lang w:eastAsia="zh-CN"/>
    </w:rPr>
  </w:style>
  <w:style w:type="character" w:styleId="Appelnotedebasdep">
    <w:name w:val="footnote reference"/>
    <w:basedOn w:val="Policepardfaut"/>
    <w:uiPriority w:val="99"/>
    <w:semiHidden/>
    <w:unhideWhenUsed/>
    <w:rsid w:val="006A7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645">
      <w:bodyDiv w:val="1"/>
      <w:marLeft w:val="0"/>
      <w:marRight w:val="0"/>
      <w:marTop w:val="0"/>
      <w:marBottom w:val="0"/>
      <w:divBdr>
        <w:top w:val="none" w:sz="0" w:space="0" w:color="auto"/>
        <w:left w:val="none" w:sz="0" w:space="0" w:color="auto"/>
        <w:bottom w:val="none" w:sz="0" w:space="0" w:color="auto"/>
        <w:right w:val="none" w:sz="0" w:space="0" w:color="auto"/>
      </w:divBdr>
    </w:div>
    <w:div w:id="128087522">
      <w:bodyDiv w:val="1"/>
      <w:marLeft w:val="0"/>
      <w:marRight w:val="0"/>
      <w:marTop w:val="0"/>
      <w:marBottom w:val="0"/>
      <w:divBdr>
        <w:top w:val="none" w:sz="0" w:space="0" w:color="auto"/>
        <w:left w:val="none" w:sz="0" w:space="0" w:color="auto"/>
        <w:bottom w:val="none" w:sz="0" w:space="0" w:color="auto"/>
        <w:right w:val="none" w:sz="0" w:space="0" w:color="auto"/>
      </w:divBdr>
    </w:div>
    <w:div w:id="251546715">
      <w:bodyDiv w:val="1"/>
      <w:marLeft w:val="0"/>
      <w:marRight w:val="0"/>
      <w:marTop w:val="0"/>
      <w:marBottom w:val="0"/>
      <w:divBdr>
        <w:top w:val="none" w:sz="0" w:space="0" w:color="auto"/>
        <w:left w:val="none" w:sz="0" w:space="0" w:color="auto"/>
        <w:bottom w:val="none" w:sz="0" w:space="0" w:color="auto"/>
        <w:right w:val="none" w:sz="0" w:space="0" w:color="auto"/>
      </w:divBdr>
    </w:div>
    <w:div w:id="289363722">
      <w:bodyDiv w:val="1"/>
      <w:marLeft w:val="0"/>
      <w:marRight w:val="0"/>
      <w:marTop w:val="0"/>
      <w:marBottom w:val="0"/>
      <w:divBdr>
        <w:top w:val="none" w:sz="0" w:space="0" w:color="auto"/>
        <w:left w:val="none" w:sz="0" w:space="0" w:color="auto"/>
        <w:bottom w:val="none" w:sz="0" w:space="0" w:color="auto"/>
        <w:right w:val="none" w:sz="0" w:space="0" w:color="auto"/>
      </w:divBdr>
    </w:div>
    <w:div w:id="316423805">
      <w:bodyDiv w:val="1"/>
      <w:marLeft w:val="0"/>
      <w:marRight w:val="0"/>
      <w:marTop w:val="0"/>
      <w:marBottom w:val="0"/>
      <w:divBdr>
        <w:top w:val="none" w:sz="0" w:space="0" w:color="auto"/>
        <w:left w:val="none" w:sz="0" w:space="0" w:color="auto"/>
        <w:bottom w:val="none" w:sz="0" w:space="0" w:color="auto"/>
        <w:right w:val="none" w:sz="0" w:space="0" w:color="auto"/>
      </w:divBdr>
    </w:div>
    <w:div w:id="332143297">
      <w:bodyDiv w:val="1"/>
      <w:marLeft w:val="0"/>
      <w:marRight w:val="0"/>
      <w:marTop w:val="0"/>
      <w:marBottom w:val="0"/>
      <w:divBdr>
        <w:top w:val="none" w:sz="0" w:space="0" w:color="auto"/>
        <w:left w:val="none" w:sz="0" w:space="0" w:color="auto"/>
        <w:bottom w:val="none" w:sz="0" w:space="0" w:color="auto"/>
        <w:right w:val="none" w:sz="0" w:space="0" w:color="auto"/>
      </w:divBdr>
    </w:div>
    <w:div w:id="393697140">
      <w:bodyDiv w:val="1"/>
      <w:marLeft w:val="0"/>
      <w:marRight w:val="0"/>
      <w:marTop w:val="0"/>
      <w:marBottom w:val="0"/>
      <w:divBdr>
        <w:top w:val="none" w:sz="0" w:space="0" w:color="auto"/>
        <w:left w:val="none" w:sz="0" w:space="0" w:color="auto"/>
        <w:bottom w:val="none" w:sz="0" w:space="0" w:color="auto"/>
        <w:right w:val="none" w:sz="0" w:space="0" w:color="auto"/>
      </w:divBdr>
    </w:div>
    <w:div w:id="611716459">
      <w:bodyDiv w:val="1"/>
      <w:marLeft w:val="0"/>
      <w:marRight w:val="0"/>
      <w:marTop w:val="0"/>
      <w:marBottom w:val="0"/>
      <w:divBdr>
        <w:top w:val="none" w:sz="0" w:space="0" w:color="auto"/>
        <w:left w:val="none" w:sz="0" w:space="0" w:color="auto"/>
        <w:bottom w:val="none" w:sz="0" w:space="0" w:color="auto"/>
        <w:right w:val="none" w:sz="0" w:space="0" w:color="auto"/>
      </w:divBdr>
    </w:div>
    <w:div w:id="685012544">
      <w:bodyDiv w:val="1"/>
      <w:marLeft w:val="0"/>
      <w:marRight w:val="0"/>
      <w:marTop w:val="0"/>
      <w:marBottom w:val="0"/>
      <w:divBdr>
        <w:top w:val="none" w:sz="0" w:space="0" w:color="auto"/>
        <w:left w:val="none" w:sz="0" w:space="0" w:color="auto"/>
        <w:bottom w:val="none" w:sz="0" w:space="0" w:color="auto"/>
        <w:right w:val="none" w:sz="0" w:space="0" w:color="auto"/>
      </w:divBdr>
    </w:div>
    <w:div w:id="689917331">
      <w:bodyDiv w:val="1"/>
      <w:marLeft w:val="0"/>
      <w:marRight w:val="0"/>
      <w:marTop w:val="0"/>
      <w:marBottom w:val="0"/>
      <w:divBdr>
        <w:top w:val="none" w:sz="0" w:space="0" w:color="auto"/>
        <w:left w:val="none" w:sz="0" w:space="0" w:color="auto"/>
        <w:bottom w:val="none" w:sz="0" w:space="0" w:color="auto"/>
        <w:right w:val="none" w:sz="0" w:space="0" w:color="auto"/>
      </w:divBdr>
    </w:div>
    <w:div w:id="707801622">
      <w:bodyDiv w:val="1"/>
      <w:marLeft w:val="0"/>
      <w:marRight w:val="0"/>
      <w:marTop w:val="0"/>
      <w:marBottom w:val="0"/>
      <w:divBdr>
        <w:top w:val="none" w:sz="0" w:space="0" w:color="auto"/>
        <w:left w:val="none" w:sz="0" w:space="0" w:color="auto"/>
        <w:bottom w:val="none" w:sz="0" w:space="0" w:color="auto"/>
        <w:right w:val="none" w:sz="0" w:space="0" w:color="auto"/>
      </w:divBdr>
    </w:div>
    <w:div w:id="885600795">
      <w:bodyDiv w:val="1"/>
      <w:marLeft w:val="0"/>
      <w:marRight w:val="0"/>
      <w:marTop w:val="0"/>
      <w:marBottom w:val="0"/>
      <w:divBdr>
        <w:top w:val="none" w:sz="0" w:space="0" w:color="auto"/>
        <w:left w:val="none" w:sz="0" w:space="0" w:color="auto"/>
        <w:bottom w:val="none" w:sz="0" w:space="0" w:color="auto"/>
        <w:right w:val="none" w:sz="0" w:space="0" w:color="auto"/>
      </w:divBdr>
    </w:div>
    <w:div w:id="941568767">
      <w:bodyDiv w:val="1"/>
      <w:marLeft w:val="0"/>
      <w:marRight w:val="0"/>
      <w:marTop w:val="0"/>
      <w:marBottom w:val="0"/>
      <w:divBdr>
        <w:top w:val="none" w:sz="0" w:space="0" w:color="auto"/>
        <w:left w:val="none" w:sz="0" w:space="0" w:color="auto"/>
        <w:bottom w:val="none" w:sz="0" w:space="0" w:color="auto"/>
        <w:right w:val="none" w:sz="0" w:space="0" w:color="auto"/>
      </w:divBdr>
    </w:div>
    <w:div w:id="1090807895">
      <w:bodyDiv w:val="1"/>
      <w:marLeft w:val="0"/>
      <w:marRight w:val="0"/>
      <w:marTop w:val="0"/>
      <w:marBottom w:val="0"/>
      <w:divBdr>
        <w:top w:val="none" w:sz="0" w:space="0" w:color="auto"/>
        <w:left w:val="none" w:sz="0" w:space="0" w:color="auto"/>
        <w:bottom w:val="none" w:sz="0" w:space="0" w:color="auto"/>
        <w:right w:val="none" w:sz="0" w:space="0" w:color="auto"/>
      </w:divBdr>
    </w:div>
    <w:div w:id="1152335518">
      <w:bodyDiv w:val="1"/>
      <w:marLeft w:val="0"/>
      <w:marRight w:val="0"/>
      <w:marTop w:val="0"/>
      <w:marBottom w:val="0"/>
      <w:divBdr>
        <w:top w:val="none" w:sz="0" w:space="0" w:color="auto"/>
        <w:left w:val="none" w:sz="0" w:space="0" w:color="auto"/>
        <w:bottom w:val="none" w:sz="0" w:space="0" w:color="auto"/>
        <w:right w:val="none" w:sz="0" w:space="0" w:color="auto"/>
      </w:divBdr>
    </w:div>
    <w:div w:id="1230775362">
      <w:bodyDiv w:val="1"/>
      <w:marLeft w:val="0"/>
      <w:marRight w:val="0"/>
      <w:marTop w:val="0"/>
      <w:marBottom w:val="0"/>
      <w:divBdr>
        <w:top w:val="none" w:sz="0" w:space="0" w:color="auto"/>
        <w:left w:val="none" w:sz="0" w:space="0" w:color="auto"/>
        <w:bottom w:val="none" w:sz="0" w:space="0" w:color="auto"/>
        <w:right w:val="none" w:sz="0" w:space="0" w:color="auto"/>
      </w:divBdr>
    </w:div>
    <w:div w:id="1532263320">
      <w:bodyDiv w:val="1"/>
      <w:marLeft w:val="0"/>
      <w:marRight w:val="0"/>
      <w:marTop w:val="0"/>
      <w:marBottom w:val="0"/>
      <w:divBdr>
        <w:top w:val="none" w:sz="0" w:space="0" w:color="auto"/>
        <w:left w:val="none" w:sz="0" w:space="0" w:color="auto"/>
        <w:bottom w:val="none" w:sz="0" w:space="0" w:color="auto"/>
        <w:right w:val="none" w:sz="0" w:space="0" w:color="auto"/>
      </w:divBdr>
    </w:div>
    <w:div w:id="1609123698">
      <w:bodyDiv w:val="1"/>
      <w:marLeft w:val="0"/>
      <w:marRight w:val="0"/>
      <w:marTop w:val="0"/>
      <w:marBottom w:val="0"/>
      <w:divBdr>
        <w:top w:val="none" w:sz="0" w:space="0" w:color="auto"/>
        <w:left w:val="none" w:sz="0" w:space="0" w:color="auto"/>
        <w:bottom w:val="none" w:sz="0" w:space="0" w:color="auto"/>
        <w:right w:val="none" w:sz="0" w:space="0" w:color="auto"/>
      </w:divBdr>
    </w:div>
    <w:div w:id="1885097144">
      <w:bodyDiv w:val="1"/>
      <w:marLeft w:val="0"/>
      <w:marRight w:val="0"/>
      <w:marTop w:val="0"/>
      <w:marBottom w:val="0"/>
      <w:divBdr>
        <w:top w:val="none" w:sz="0" w:space="0" w:color="auto"/>
        <w:left w:val="none" w:sz="0" w:space="0" w:color="auto"/>
        <w:bottom w:val="none" w:sz="0" w:space="0" w:color="auto"/>
        <w:right w:val="none" w:sz="0" w:space="0" w:color="auto"/>
      </w:divBdr>
    </w:div>
    <w:div w:id="20344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a.ineris.fr/consultation_document/1759" TargetMode="External"/><Relationship Id="rId13" Type="http://schemas.openxmlformats.org/officeDocument/2006/relationships/hyperlink" Target="https://www.legifrance.gouv.fr/affichCodeArticle.do?cidTexte=LEGITEXT000006074220&amp;idArticle=LEGIARTI000006834227&amp;dateTexte=&amp;categorieLien=ci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gifrance.gouv.fr/affichCodeArticle.do?cidTexte=LEGITEXT000006074220&amp;idArticle=LEGIARTI000006834227&amp;dateTexte=&amp;categorieLien=c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france.gouv.fr/loda/article_lc/LEGIARTI0000372966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220&amp;idArticle=LEGIARTI000006834227&amp;dateTexte=&amp;categorieLien=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ida.ineris.fr/reglementation/livre-v-prevention-pollutions-risques-nuisances-titre-i-installations-classees" TargetMode="External"/><Relationship Id="rId23" Type="http://schemas.openxmlformats.org/officeDocument/2006/relationships/fontTable" Target="fontTable.xml"/><Relationship Id="rId10" Type="http://schemas.openxmlformats.org/officeDocument/2006/relationships/hyperlink" Target="https://www.legifrance.gouv.fr/affichCodeArticle.do?cidTexte=LEGITEXT000006074220&amp;idArticle=LEGIARTI000033929079&amp;dateTexte=&amp;categorieLien=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4220&amp;idArticle=LEGIARTI000033929079&amp;dateTexte=&amp;categorieLien=cid" TargetMode="External"/><Relationship Id="rId14" Type="http://schemas.openxmlformats.org/officeDocument/2006/relationships/hyperlink" Target="https://www.legifrance.gouv.fr/affichCodeArticle.do?cidTexte=LEGITEXT000006074220&amp;idArticle=LEGIARTI000006834227&amp;dateTexte=&amp;categorieLien=cid"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ATIFA~1.KHE\AppData\Local\Temp\5_decretC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6D514-2542-444B-9210-CA3B51DE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5_decretCE.dot</Template>
  <TotalTime>6</TotalTime>
  <Pages>84</Pages>
  <Words>29162</Words>
  <Characters>160396</Characters>
  <Application>Microsoft Office Word</Application>
  <DocSecurity>0</DocSecurity>
  <Lines>1336</Lines>
  <Paragraphs>378</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Company>
  <LinksUpToDate>false</LinksUpToDate>
  <CharactersWithSpaces>189180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latifa.khelladi</dc:creator>
  <cp:keywords/>
  <dc:description/>
  <cp:lastModifiedBy>EB</cp:lastModifiedBy>
  <cp:revision>6</cp:revision>
  <cp:lastPrinted>2024-11-06T13:46:00Z</cp:lastPrinted>
  <dcterms:created xsi:type="dcterms:W3CDTF">2024-11-06T13:46:00Z</dcterms:created>
  <dcterms:modified xsi:type="dcterms:W3CDTF">2024-11-06T15:16:00Z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-368239911</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