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75" w:type="dxa"/>
        <w:tblCellSpacing w:w="0" w:type="dxa"/>
        <w:tblCellMar>
          <w:top w:w="60" w:type="dxa"/>
          <w:left w:w="60" w:type="dxa"/>
          <w:bottom w:w="60" w:type="dxa"/>
          <w:right w:w="60" w:type="dxa"/>
        </w:tblCellMar>
        <w:tblLook w:val="04A0" w:firstRow="1" w:lastRow="0" w:firstColumn="1" w:lastColumn="0" w:noHBand="0" w:noVBand="1"/>
      </w:tblPr>
      <w:tblGrid>
        <w:gridCol w:w="1454"/>
        <w:gridCol w:w="882"/>
        <w:gridCol w:w="1639"/>
      </w:tblGrid>
      <w:tr w:rsidR="00E36ECE" w:rsidRPr="00E36ECE" w14:paraId="76BCA185" w14:textId="77777777" w:rsidTr="00E36ECE">
        <w:trPr>
          <w:tblCellSpacing w:w="0" w:type="dxa"/>
        </w:trPr>
        <w:tc>
          <w:tcPr>
            <w:tcW w:w="3855" w:type="dxa"/>
            <w:gridSpan w:val="3"/>
            <w:tcBorders>
              <w:top w:val="nil"/>
              <w:left w:val="nil"/>
              <w:bottom w:val="nil"/>
              <w:right w:val="nil"/>
            </w:tcBorders>
            <w:tcMar>
              <w:top w:w="0" w:type="dxa"/>
              <w:left w:w="0" w:type="dxa"/>
              <w:bottom w:w="0" w:type="dxa"/>
              <w:right w:w="0" w:type="dxa"/>
            </w:tcMar>
            <w:hideMark/>
          </w:tcPr>
          <w:p w14:paraId="36FF2F0C" w14:textId="77777777" w:rsidR="00E36ECE" w:rsidRPr="00E36ECE" w:rsidRDefault="00E36ECE" w:rsidP="00E36ECE">
            <w:pPr>
              <w:spacing w:before="100" w:beforeAutospacing="1" w:after="119" w:line="240" w:lineRule="auto"/>
              <w:jc w:val="center"/>
              <w:rPr>
                <w:rFonts w:eastAsia="Times New Roman" w:cs="Times New Roman"/>
                <w:color w:val="000000"/>
                <w:szCs w:val="24"/>
                <w:lang w:eastAsia="fr-FR"/>
              </w:rPr>
            </w:pPr>
            <w:r w:rsidRPr="00E36ECE">
              <w:rPr>
                <w:rFonts w:eastAsia="Times New Roman" w:cs="Times New Roman"/>
                <w:b/>
                <w:bCs/>
                <w:color w:val="000000"/>
                <w:szCs w:val="24"/>
                <w:lang w:eastAsia="fr-FR"/>
              </w:rPr>
              <w:t>RÉPUBLIQUE FRANÇAISE</w:t>
            </w:r>
          </w:p>
        </w:tc>
      </w:tr>
      <w:tr w:rsidR="00E36ECE" w:rsidRPr="00E36ECE" w14:paraId="34CE01AA" w14:textId="77777777" w:rsidTr="00E36ECE">
        <w:trPr>
          <w:tblCellSpacing w:w="0" w:type="dxa"/>
        </w:trPr>
        <w:tc>
          <w:tcPr>
            <w:tcW w:w="1410" w:type="dxa"/>
            <w:tcBorders>
              <w:top w:val="nil"/>
              <w:left w:val="nil"/>
              <w:bottom w:val="nil"/>
              <w:right w:val="nil"/>
            </w:tcBorders>
            <w:tcMar>
              <w:top w:w="0" w:type="dxa"/>
              <w:left w:w="0" w:type="dxa"/>
              <w:bottom w:w="0" w:type="dxa"/>
              <w:right w:w="0" w:type="dxa"/>
            </w:tcMar>
            <w:hideMark/>
          </w:tcPr>
          <w:p w14:paraId="3D8D5411" w14:textId="77777777" w:rsidR="00E36ECE" w:rsidRPr="00E36ECE" w:rsidRDefault="00E36ECE" w:rsidP="00E36ECE">
            <w:pPr>
              <w:spacing w:before="100" w:beforeAutospacing="1" w:after="119" w:line="240" w:lineRule="auto"/>
              <w:rPr>
                <w:rFonts w:eastAsia="Times New Roman" w:cs="Times New Roman"/>
                <w:color w:val="000000"/>
                <w:szCs w:val="24"/>
                <w:lang w:eastAsia="fr-FR"/>
              </w:rPr>
            </w:pPr>
            <w:r w:rsidRPr="00E36ECE">
              <w:rPr>
                <w:rFonts w:eastAsia="Times New Roman" w:cs="Times New Roman"/>
                <w:color w:val="000000"/>
                <w:szCs w:val="24"/>
                <w:lang w:eastAsia="fr-FR"/>
              </w:rPr>
              <w:br w:type="page"/>
            </w:r>
          </w:p>
        </w:tc>
        <w:tc>
          <w:tcPr>
            <w:tcW w:w="855" w:type="dxa"/>
            <w:tcBorders>
              <w:top w:val="nil"/>
              <w:left w:val="nil"/>
              <w:bottom w:val="single" w:sz="6" w:space="0" w:color="000000"/>
              <w:right w:val="nil"/>
            </w:tcBorders>
            <w:tcMar>
              <w:top w:w="0" w:type="dxa"/>
              <w:left w:w="0" w:type="dxa"/>
              <w:bottom w:w="57" w:type="dxa"/>
              <w:right w:w="0" w:type="dxa"/>
            </w:tcMar>
            <w:hideMark/>
          </w:tcPr>
          <w:p w14:paraId="71DEE79D" w14:textId="77777777" w:rsidR="00E36ECE" w:rsidRPr="00E36ECE" w:rsidRDefault="00E36ECE" w:rsidP="00E36ECE">
            <w:pPr>
              <w:spacing w:before="100" w:beforeAutospacing="1" w:after="119" w:line="240" w:lineRule="auto"/>
              <w:rPr>
                <w:rFonts w:eastAsia="Times New Roman" w:cs="Times New Roman"/>
                <w:color w:val="000000"/>
                <w:szCs w:val="24"/>
                <w:lang w:eastAsia="fr-FR"/>
              </w:rPr>
            </w:pPr>
            <w:r w:rsidRPr="00E36ECE">
              <w:rPr>
                <w:rFonts w:eastAsia="Times New Roman" w:cs="Times New Roman"/>
                <w:color w:val="000000"/>
                <w:szCs w:val="24"/>
                <w:lang w:eastAsia="fr-FR"/>
              </w:rPr>
              <w:br w:type="page"/>
            </w:r>
          </w:p>
        </w:tc>
        <w:tc>
          <w:tcPr>
            <w:tcW w:w="1365" w:type="dxa"/>
            <w:tcBorders>
              <w:top w:val="nil"/>
              <w:left w:val="nil"/>
              <w:bottom w:val="nil"/>
              <w:right w:val="nil"/>
            </w:tcBorders>
            <w:tcMar>
              <w:top w:w="0" w:type="dxa"/>
              <w:left w:w="0" w:type="dxa"/>
              <w:bottom w:w="0" w:type="dxa"/>
              <w:right w:w="0" w:type="dxa"/>
            </w:tcMar>
            <w:hideMark/>
          </w:tcPr>
          <w:p w14:paraId="0F687144" w14:textId="77777777" w:rsidR="00E36ECE" w:rsidRPr="00E36ECE" w:rsidRDefault="00E36ECE" w:rsidP="00E36ECE">
            <w:pPr>
              <w:spacing w:before="100" w:beforeAutospacing="1" w:after="119" w:line="240" w:lineRule="auto"/>
              <w:rPr>
                <w:rFonts w:eastAsia="Times New Roman" w:cs="Times New Roman"/>
                <w:color w:val="000000"/>
                <w:szCs w:val="24"/>
                <w:lang w:eastAsia="fr-FR"/>
              </w:rPr>
            </w:pPr>
            <w:r w:rsidRPr="00E36ECE">
              <w:rPr>
                <w:rFonts w:eastAsia="Times New Roman" w:cs="Times New Roman"/>
                <w:color w:val="000000"/>
                <w:szCs w:val="24"/>
                <w:lang w:eastAsia="fr-FR"/>
              </w:rPr>
              <w:br w:type="page"/>
            </w:r>
          </w:p>
        </w:tc>
      </w:tr>
      <w:tr w:rsidR="00E36ECE" w:rsidRPr="00E36ECE" w14:paraId="726ADFEF" w14:textId="77777777" w:rsidTr="00E36ECE">
        <w:trPr>
          <w:tblCellSpacing w:w="0" w:type="dxa"/>
        </w:trPr>
        <w:tc>
          <w:tcPr>
            <w:tcW w:w="3855" w:type="dxa"/>
            <w:gridSpan w:val="3"/>
            <w:tcBorders>
              <w:top w:val="nil"/>
              <w:left w:val="nil"/>
              <w:bottom w:val="nil"/>
              <w:right w:val="nil"/>
            </w:tcBorders>
            <w:tcMar>
              <w:top w:w="0" w:type="dxa"/>
              <w:left w:w="0" w:type="dxa"/>
              <w:bottom w:w="0" w:type="dxa"/>
              <w:right w:w="0" w:type="dxa"/>
            </w:tcMar>
            <w:hideMark/>
          </w:tcPr>
          <w:p w14:paraId="5E22A6EE" w14:textId="77777777" w:rsidR="00E36ECE" w:rsidRPr="00E36ECE" w:rsidRDefault="00E36ECE" w:rsidP="00E36ECE">
            <w:pPr>
              <w:spacing w:before="119" w:after="119" w:line="240" w:lineRule="auto"/>
              <w:jc w:val="center"/>
              <w:rPr>
                <w:rFonts w:eastAsia="Times New Roman" w:cs="Times New Roman"/>
                <w:color w:val="000000"/>
                <w:szCs w:val="24"/>
                <w:lang w:eastAsia="fr-FR"/>
              </w:rPr>
            </w:pPr>
            <w:r w:rsidRPr="00E36ECE">
              <w:rPr>
                <w:rFonts w:eastAsia="Times New Roman" w:cs="Times New Roman"/>
                <w:color w:val="000000"/>
                <w:szCs w:val="24"/>
                <w:lang w:eastAsia="fr-FR"/>
              </w:rPr>
              <w:t>Ministère de la transition écologique</w:t>
            </w:r>
          </w:p>
        </w:tc>
      </w:tr>
      <w:tr w:rsidR="00E36ECE" w:rsidRPr="00E36ECE" w14:paraId="62A017B7" w14:textId="77777777" w:rsidTr="00E36ECE">
        <w:trPr>
          <w:trHeight w:val="105"/>
          <w:tblCellSpacing w:w="0" w:type="dxa"/>
        </w:trPr>
        <w:tc>
          <w:tcPr>
            <w:tcW w:w="1410" w:type="dxa"/>
            <w:tcBorders>
              <w:top w:val="nil"/>
              <w:left w:val="nil"/>
              <w:bottom w:val="nil"/>
              <w:right w:val="nil"/>
            </w:tcBorders>
            <w:tcMar>
              <w:top w:w="0" w:type="dxa"/>
              <w:left w:w="0" w:type="dxa"/>
              <w:bottom w:w="0" w:type="dxa"/>
              <w:right w:w="0" w:type="dxa"/>
            </w:tcMar>
            <w:hideMark/>
          </w:tcPr>
          <w:p w14:paraId="091DCE1C" w14:textId="77777777" w:rsidR="00E36ECE" w:rsidRPr="00E36ECE" w:rsidRDefault="00E36ECE" w:rsidP="00E36ECE">
            <w:pPr>
              <w:spacing w:before="100" w:beforeAutospacing="1" w:after="119" w:line="240" w:lineRule="auto"/>
              <w:rPr>
                <w:rFonts w:eastAsia="Times New Roman" w:cs="Times New Roman"/>
                <w:color w:val="000000"/>
                <w:szCs w:val="24"/>
                <w:lang w:eastAsia="fr-FR"/>
              </w:rPr>
            </w:pPr>
            <w:r w:rsidRPr="00E36ECE">
              <w:rPr>
                <w:rFonts w:eastAsia="Times New Roman" w:cs="Times New Roman"/>
                <w:color w:val="000000"/>
                <w:szCs w:val="24"/>
                <w:lang w:eastAsia="fr-FR"/>
              </w:rPr>
              <w:br w:type="page"/>
            </w:r>
          </w:p>
        </w:tc>
        <w:tc>
          <w:tcPr>
            <w:tcW w:w="855" w:type="dxa"/>
            <w:tcBorders>
              <w:top w:val="nil"/>
              <w:left w:val="nil"/>
              <w:bottom w:val="single" w:sz="6" w:space="0" w:color="000000"/>
              <w:right w:val="nil"/>
            </w:tcBorders>
            <w:tcMar>
              <w:top w:w="0" w:type="dxa"/>
              <w:left w:w="0" w:type="dxa"/>
              <w:bottom w:w="57" w:type="dxa"/>
              <w:right w:w="0" w:type="dxa"/>
            </w:tcMar>
            <w:hideMark/>
          </w:tcPr>
          <w:p w14:paraId="5778CC6E" w14:textId="77777777" w:rsidR="00E36ECE" w:rsidRPr="00E36ECE" w:rsidRDefault="00E36ECE" w:rsidP="00E36ECE">
            <w:pPr>
              <w:spacing w:before="100" w:beforeAutospacing="1" w:after="119" w:line="240" w:lineRule="auto"/>
              <w:rPr>
                <w:rFonts w:eastAsia="Times New Roman" w:cs="Times New Roman"/>
                <w:color w:val="000000"/>
                <w:szCs w:val="24"/>
                <w:lang w:eastAsia="fr-FR"/>
              </w:rPr>
            </w:pPr>
            <w:r w:rsidRPr="00E36ECE">
              <w:rPr>
                <w:rFonts w:eastAsia="Times New Roman" w:cs="Times New Roman"/>
                <w:color w:val="000000"/>
                <w:szCs w:val="24"/>
                <w:lang w:eastAsia="fr-FR"/>
              </w:rPr>
              <w:br w:type="page"/>
            </w:r>
          </w:p>
        </w:tc>
        <w:tc>
          <w:tcPr>
            <w:tcW w:w="1365" w:type="dxa"/>
            <w:tcBorders>
              <w:top w:val="nil"/>
              <w:left w:val="nil"/>
              <w:bottom w:val="nil"/>
              <w:right w:val="nil"/>
            </w:tcBorders>
            <w:tcMar>
              <w:top w:w="0" w:type="dxa"/>
              <w:left w:w="0" w:type="dxa"/>
              <w:bottom w:w="0" w:type="dxa"/>
              <w:right w:w="0" w:type="dxa"/>
            </w:tcMar>
            <w:hideMark/>
          </w:tcPr>
          <w:p w14:paraId="50478402" w14:textId="77777777" w:rsidR="00E36ECE" w:rsidRPr="00E36ECE" w:rsidRDefault="00E36ECE" w:rsidP="00E36ECE">
            <w:pPr>
              <w:spacing w:before="100" w:beforeAutospacing="1" w:after="119" w:line="240" w:lineRule="auto"/>
              <w:rPr>
                <w:rFonts w:eastAsia="Times New Roman" w:cs="Times New Roman"/>
                <w:color w:val="000000"/>
                <w:szCs w:val="24"/>
                <w:lang w:eastAsia="fr-FR"/>
              </w:rPr>
            </w:pPr>
            <w:r w:rsidRPr="00E36ECE">
              <w:rPr>
                <w:rFonts w:eastAsia="Times New Roman" w:cs="Times New Roman"/>
                <w:color w:val="000000"/>
                <w:szCs w:val="24"/>
                <w:lang w:eastAsia="fr-FR"/>
              </w:rPr>
              <w:br w:type="page"/>
            </w:r>
          </w:p>
        </w:tc>
      </w:tr>
      <w:tr w:rsidR="00E36ECE" w:rsidRPr="00E36ECE" w14:paraId="467A5E0E" w14:textId="77777777" w:rsidTr="00E36ECE">
        <w:trPr>
          <w:trHeight w:val="105"/>
          <w:tblCellSpacing w:w="0" w:type="dxa"/>
        </w:trPr>
        <w:tc>
          <w:tcPr>
            <w:tcW w:w="1410" w:type="dxa"/>
            <w:tcBorders>
              <w:top w:val="nil"/>
              <w:left w:val="nil"/>
              <w:bottom w:val="nil"/>
              <w:right w:val="nil"/>
            </w:tcBorders>
            <w:tcMar>
              <w:top w:w="0" w:type="dxa"/>
              <w:left w:w="0" w:type="dxa"/>
              <w:bottom w:w="0" w:type="dxa"/>
              <w:right w:w="0" w:type="dxa"/>
            </w:tcMar>
            <w:hideMark/>
          </w:tcPr>
          <w:p w14:paraId="32BAC343" w14:textId="77777777" w:rsidR="00E36ECE" w:rsidRPr="00E36ECE" w:rsidRDefault="00E36ECE" w:rsidP="00E36ECE">
            <w:pPr>
              <w:spacing w:before="100" w:beforeAutospacing="1" w:after="119" w:line="240" w:lineRule="auto"/>
              <w:rPr>
                <w:rFonts w:eastAsia="Times New Roman" w:cs="Times New Roman"/>
                <w:color w:val="000000"/>
                <w:szCs w:val="24"/>
                <w:lang w:eastAsia="fr-FR"/>
              </w:rPr>
            </w:pPr>
            <w:r w:rsidRPr="00E36ECE">
              <w:rPr>
                <w:rFonts w:eastAsia="Times New Roman" w:cs="Times New Roman"/>
                <w:color w:val="000000"/>
                <w:szCs w:val="24"/>
                <w:lang w:eastAsia="fr-FR"/>
              </w:rPr>
              <w:br w:type="page"/>
            </w:r>
          </w:p>
        </w:tc>
        <w:tc>
          <w:tcPr>
            <w:tcW w:w="855" w:type="dxa"/>
            <w:tcBorders>
              <w:top w:val="nil"/>
              <w:left w:val="nil"/>
              <w:bottom w:val="nil"/>
              <w:right w:val="nil"/>
            </w:tcBorders>
            <w:tcMar>
              <w:top w:w="0" w:type="dxa"/>
              <w:left w:w="0" w:type="dxa"/>
              <w:bottom w:w="0" w:type="dxa"/>
              <w:right w:w="0" w:type="dxa"/>
            </w:tcMar>
            <w:hideMark/>
          </w:tcPr>
          <w:p w14:paraId="41E1BDE0" w14:textId="77777777" w:rsidR="00E36ECE" w:rsidRPr="00E36ECE" w:rsidRDefault="00E36ECE" w:rsidP="00E36ECE">
            <w:pPr>
              <w:spacing w:before="100" w:beforeAutospacing="1" w:after="119" w:line="240" w:lineRule="auto"/>
              <w:rPr>
                <w:rFonts w:eastAsia="Times New Roman" w:cs="Times New Roman"/>
                <w:color w:val="000000"/>
                <w:szCs w:val="24"/>
                <w:lang w:eastAsia="fr-FR"/>
              </w:rPr>
            </w:pPr>
            <w:r w:rsidRPr="00E36ECE">
              <w:rPr>
                <w:rFonts w:eastAsia="Times New Roman" w:cs="Times New Roman"/>
                <w:color w:val="000000"/>
                <w:szCs w:val="24"/>
                <w:lang w:eastAsia="fr-FR"/>
              </w:rPr>
              <w:br w:type="page"/>
            </w:r>
          </w:p>
        </w:tc>
        <w:tc>
          <w:tcPr>
            <w:tcW w:w="1365" w:type="dxa"/>
            <w:tcBorders>
              <w:top w:val="nil"/>
              <w:left w:val="nil"/>
              <w:bottom w:val="nil"/>
              <w:right w:val="nil"/>
            </w:tcBorders>
            <w:tcMar>
              <w:top w:w="0" w:type="dxa"/>
              <w:left w:w="0" w:type="dxa"/>
              <w:bottom w:w="0" w:type="dxa"/>
              <w:right w:w="0" w:type="dxa"/>
            </w:tcMar>
            <w:hideMark/>
          </w:tcPr>
          <w:p w14:paraId="0C3E20BB" w14:textId="77777777" w:rsidR="00E36ECE" w:rsidRPr="00E36ECE" w:rsidRDefault="00E36ECE" w:rsidP="00E36ECE">
            <w:pPr>
              <w:spacing w:before="100" w:beforeAutospacing="1" w:after="119" w:line="240" w:lineRule="auto"/>
              <w:rPr>
                <w:rFonts w:eastAsia="Times New Roman" w:cs="Times New Roman"/>
                <w:color w:val="000000"/>
                <w:szCs w:val="24"/>
                <w:lang w:eastAsia="fr-FR"/>
              </w:rPr>
            </w:pPr>
            <w:r w:rsidRPr="00E36ECE">
              <w:rPr>
                <w:rFonts w:eastAsia="Times New Roman" w:cs="Times New Roman"/>
                <w:color w:val="000000"/>
                <w:szCs w:val="24"/>
                <w:lang w:eastAsia="fr-FR"/>
              </w:rPr>
              <w:br w:type="page"/>
            </w:r>
          </w:p>
        </w:tc>
      </w:tr>
    </w:tbl>
    <w:p w14:paraId="4583AE67" w14:textId="77777777" w:rsidR="00E36ECE" w:rsidRDefault="00E36ECE" w:rsidP="00A4635E">
      <w:pPr>
        <w:tabs>
          <w:tab w:val="left" w:pos="285"/>
          <w:tab w:val="center" w:pos="4536"/>
        </w:tabs>
        <w:spacing w:after="0" w:line="240" w:lineRule="auto"/>
        <w:jc w:val="center"/>
        <w:rPr>
          <w:rFonts w:eastAsia="Times New Roman" w:cs="Times New Roman"/>
          <w:b/>
          <w:bCs/>
          <w:szCs w:val="24"/>
          <w:lang w:eastAsia="fr-FR"/>
        </w:rPr>
      </w:pPr>
    </w:p>
    <w:p w14:paraId="14EC0550" w14:textId="77777777" w:rsidR="00E36ECE" w:rsidRDefault="00E36ECE" w:rsidP="00A4635E">
      <w:pPr>
        <w:tabs>
          <w:tab w:val="left" w:pos="285"/>
          <w:tab w:val="center" w:pos="4536"/>
        </w:tabs>
        <w:spacing w:after="0" w:line="240" w:lineRule="auto"/>
        <w:jc w:val="center"/>
        <w:rPr>
          <w:rFonts w:eastAsia="Times New Roman" w:cs="Times New Roman"/>
          <w:b/>
          <w:bCs/>
          <w:szCs w:val="24"/>
          <w:lang w:eastAsia="fr-FR"/>
        </w:rPr>
      </w:pPr>
    </w:p>
    <w:p w14:paraId="3CC78CAD" w14:textId="5D5B5C2D" w:rsidR="00610FC6" w:rsidRDefault="002C32E5" w:rsidP="00A4635E">
      <w:pPr>
        <w:tabs>
          <w:tab w:val="left" w:pos="285"/>
          <w:tab w:val="center" w:pos="4536"/>
        </w:tabs>
        <w:spacing w:after="0" w:line="240" w:lineRule="auto"/>
        <w:jc w:val="center"/>
        <w:rPr>
          <w:rFonts w:eastAsia="Times New Roman" w:cs="Times New Roman"/>
          <w:szCs w:val="24"/>
          <w:lang w:eastAsia="fr-FR"/>
        </w:rPr>
      </w:pPr>
      <w:r>
        <w:rPr>
          <w:rFonts w:eastAsia="Times New Roman" w:cs="Times New Roman"/>
          <w:b/>
          <w:bCs/>
          <w:szCs w:val="24"/>
          <w:lang w:eastAsia="fr-FR"/>
        </w:rPr>
        <w:t xml:space="preserve">Arrêté du </w:t>
      </w:r>
      <w:r w:rsidRPr="002C32E5">
        <w:rPr>
          <w:rFonts w:eastAsia="Times New Roman" w:cs="Times New Roman"/>
          <w:b/>
          <w:bCs/>
          <w:szCs w:val="24"/>
          <w:highlight w:val="yellow"/>
          <w:lang w:eastAsia="fr-FR"/>
        </w:rPr>
        <w:t>XX XX</w:t>
      </w:r>
      <w:r>
        <w:rPr>
          <w:rFonts w:eastAsia="Times New Roman" w:cs="Times New Roman"/>
          <w:b/>
          <w:bCs/>
          <w:szCs w:val="24"/>
          <w:lang w:eastAsia="fr-FR"/>
        </w:rPr>
        <w:t xml:space="preserve"> 202</w:t>
      </w:r>
      <w:r w:rsidR="00610FC6" w:rsidRPr="00610FC6">
        <w:rPr>
          <w:rFonts w:eastAsia="Times New Roman" w:cs="Times New Roman"/>
          <w:b/>
          <w:bCs/>
          <w:szCs w:val="24"/>
          <w:lang w:eastAsia="fr-FR"/>
        </w:rPr>
        <w:t>0 relatif a</w:t>
      </w:r>
      <w:r>
        <w:rPr>
          <w:rFonts w:eastAsia="Times New Roman" w:cs="Times New Roman"/>
          <w:b/>
          <w:bCs/>
          <w:szCs w:val="24"/>
          <w:lang w:eastAsia="fr-FR"/>
        </w:rPr>
        <w:t xml:space="preserve">u stockage en </w:t>
      </w:r>
      <w:r w:rsidR="005B0A5B">
        <w:rPr>
          <w:rFonts w:eastAsia="Times New Roman" w:cs="Times New Roman"/>
          <w:b/>
          <w:bCs/>
          <w:szCs w:val="24"/>
          <w:lang w:eastAsia="fr-FR"/>
        </w:rPr>
        <w:t xml:space="preserve">récipients mobiles de liquides inflammables, </w:t>
      </w:r>
      <w:r w:rsidR="00610FC6" w:rsidRPr="00610FC6">
        <w:rPr>
          <w:rFonts w:eastAsia="Times New Roman" w:cs="Times New Roman"/>
          <w:b/>
          <w:bCs/>
          <w:szCs w:val="24"/>
          <w:lang w:eastAsia="fr-FR"/>
        </w:rPr>
        <w:t xml:space="preserve">exploités au sein d'une installation classée </w:t>
      </w:r>
      <w:r>
        <w:rPr>
          <w:rFonts w:eastAsia="Times New Roman" w:cs="Times New Roman"/>
          <w:b/>
          <w:bCs/>
          <w:szCs w:val="24"/>
          <w:lang w:eastAsia="fr-FR"/>
        </w:rPr>
        <w:t>pour</w:t>
      </w:r>
      <w:r w:rsidR="006B16C9">
        <w:rPr>
          <w:rFonts w:eastAsia="Times New Roman" w:cs="Times New Roman"/>
          <w:b/>
          <w:bCs/>
          <w:szCs w:val="24"/>
          <w:lang w:eastAsia="fr-FR"/>
        </w:rPr>
        <w:t xml:space="preserve"> la protection</w:t>
      </w:r>
      <w:r>
        <w:rPr>
          <w:rFonts w:eastAsia="Times New Roman" w:cs="Times New Roman"/>
          <w:b/>
          <w:bCs/>
          <w:szCs w:val="24"/>
          <w:lang w:eastAsia="fr-FR"/>
        </w:rPr>
        <w:t xml:space="preserve"> </w:t>
      </w:r>
      <w:r w:rsidR="00537EB7">
        <w:rPr>
          <w:rFonts w:eastAsia="Times New Roman" w:cs="Times New Roman"/>
          <w:b/>
          <w:bCs/>
          <w:szCs w:val="24"/>
          <w:lang w:eastAsia="fr-FR"/>
        </w:rPr>
        <w:t xml:space="preserve">de </w:t>
      </w:r>
      <w:r>
        <w:rPr>
          <w:rFonts w:eastAsia="Times New Roman" w:cs="Times New Roman"/>
          <w:b/>
          <w:bCs/>
          <w:szCs w:val="24"/>
          <w:lang w:eastAsia="fr-FR"/>
        </w:rPr>
        <w:t>l’environnement soumise à autorisation</w:t>
      </w:r>
      <w:r w:rsidR="0002703D">
        <w:rPr>
          <w:rFonts w:eastAsia="Times New Roman" w:cs="Times New Roman"/>
          <w:b/>
          <w:bCs/>
          <w:szCs w:val="24"/>
          <w:lang w:eastAsia="fr-FR"/>
        </w:rPr>
        <w:tab/>
      </w:r>
      <w:r w:rsidR="00610FC6" w:rsidRPr="00610FC6">
        <w:rPr>
          <w:rFonts w:eastAsia="Times New Roman" w:cs="Times New Roman"/>
          <w:szCs w:val="24"/>
          <w:lang w:eastAsia="fr-FR"/>
        </w:rPr>
        <w:br/>
      </w:r>
      <w:r w:rsidR="00610FC6" w:rsidRPr="00610FC6">
        <w:rPr>
          <w:rFonts w:eastAsia="Times New Roman" w:cs="Times New Roman"/>
          <w:szCs w:val="24"/>
          <w:lang w:eastAsia="fr-FR"/>
        </w:rPr>
        <w:br/>
        <w:t xml:space="preserve">NOR: </w:t>
      </w:r>
      <w:r w:rsidR="00667CFF">
        <w:t>TREP2021860A</w:t>
      </w:r>
      <w:r w:rsidR="00610FC6" w:rsidRPr="00610FC6">
        <w:rPr>
          <w:rFonts w:eastAsia="Times New Roman" w:cs="Times New Roman"/>
          <w:szCs w:val="24"/>
          <w:lang w:eastAsia="fr-FR"/>
        </w:rPr>
        <w:br/>
      </w:r>
    </w:p>
    <w:p w14:paraId="54434411" w14:textId="600A09DA" w:rsidR="000674D2" w:rsidRPr="000674D2" w:rsidRDefault="000674D2" w:rsidP="000674D2">
      <w:pPr>
        <w:spacing w:before="100" w:beforeAutospacing="1" w:after="0" w:line="240" w:lineRule="auto"/>
        <w:rPr>
          <w:rFonts w:eastAsia="Times New Roman" w:cs="Times New Roman"/>
          <w:color w:val="000000"/>
          <w:szCs w:val="24"/>
          <w:lang w:eastAsia="fr-FR"/>
        </w:rPr>
      </w:pPr>
      <w:r w:rsidRPr="000674D2">
        <w:rPr>
          <w:rFonts w:eastAsia="Times New Roman" w:cs="Times New Roman"/>
          <w:b/>
          <w:bCs/>
          <w:i/>
          <w:iCs/>
          <w:color w:val="000000"/>
          <w:szCs w:val="24"/>
          <w:lang w:eastAsia="fr-FR"/>
        </w:rPr>
        <w:t>Publics concernés :</w:t>
      </w:r>
      <w:r w:rsidRPr="000674D2">
        <w:rPr>
          <w:rFonts w:eastAsia="Times New Roman" w:cs="Times New Roman"/>
          <w:i/>
          <w:iCs/>
          <w:color w:val="000000"/>
          <w:szCs w:val="24"/>
          <w:lang w:eastAsia="fr-FR"/>
        </w:rPr>
        <w:t xml:space="preserve"> exploitants d’installations classées pour la protection de l’environnement (ICPE) stockant </w:t>
      </w:r>
      <w:r>
        <w:rPr>
          <w:rFonts w:eastAsia="Times New Roman" w:cs="Times New Roman"/>
          <w:i/>
          <w:iCs/>
          <w:color w:val="000000"/>
          <w:szCs w:val="24"/>
          <w:lang w:eastAsia="fr-FR"/>
        </w:rPr>
        <w:t>des liquides inflammables en récipients mobiles</w:t>
      </w:r>
      <w:r w:rsidR="00B177C6">
        <w:rPr>
          <w:rFonts w:eastAsia="Times New Roman" w:cs="Times New Roman"/>
          <w:i/>
          <w:iCs/>
          <w:color w:val="000000"/>
          <w:szCs w:val="24"/>
          <w:lang w:eastAsia="fr-FR"/>
        </w:rPr>
        <w:t xml:space="preserve"> au sein d’installations soumises à autorisation.</w:t>
      </w:r>
    </w:p>
    <w:p w14:paraId="459D2AD5" w14:textId="2C87D8B7" w:rsidR="000674D2" w:rsidRPr="000674D2" w:rsidRDefault="000674D2" w:rsidP="000674D2">
      <w:pPr>
        <w:spacing w:before="100" w:beforeAutospacing="1" w:after="0" w:line="240" w:lineRule="auto"/>
        <w:rPr>
          <w:rFonts w:eastAsia="Times New Roman" w:cs="Times New Roman"/>
          <w:i/>
          <w:iCs/>
          <w:color w:val="000000"/>
          <w:szCs w:val="24"/>
          <w:lang w:eastAsia="fr-FR"/>
        </w:rPr>
      </w:pPr>
      <w:r w:rsidRPr="000674D2">
        <w:rPr>
          <w:rFonts w:eastAsia="Times New Roman" w:cs="Times New Roman"/>
          <w:b/>
          <w:bCs/>
          <w:i/>
          <w:iCs/>
          <w:color w:val="000000"/>
          <w:szCs w:val="24"/>
          <w:lang w:eastAsia="fr-FR"/>
        </w:rPr>
        <w:t>Objet :</w:t>
      </w:r>
      <w:r w:rsidRPr="000674D2">
        <w:rPr>
          <w:rFonts w:eastAsia="Times New Roman" w:cs="Times New Roman"/>
          <w:i/>
          <w:iCs/>
          <w:color w:val="000000"/>
          <w:szCs w:val="24"/>
          <w:lang w:eastAsia="fr-FR"/>
        </w:rPr>
        <w:t xml:space="preserve"> </w:t>
      </w:r>
      <w:r w:rsidR="00A60DA7">
        <w:rPr>
          <w:rFonts w:eastAsia="Times New Roman" w:cs="Times New Roman"/>
          <w:i/>
          <w:iCs/>
          <w:color w:val="000000"/>
          <w:szCs w:val="24"/>
          <w:lang w:eastAsia="fr-FR"/>
        </w:rPr>
        <w:t>Le présent</w:t>
      </w:r>
      <w:r>
        <w:rPr>
          <w:rFonts w:eastAsia="Times New Roman" w:cs="Times New Roman"/>
          <w:i/>
          <w:iCs/>
          <w:color w:val="000000"/>
          <w:szCs w:val="24"/>
          <w:lang w:eastAsia="fr-FR"/>
        </w:rPr>
        <w:t xml:space="preserve"> arrêté </w:t>
      </w:r>
      <w:r w:rsidR="00A60DA7">
        <w:rPr>
          <w:rFonts w:eastAsia="Times New Roman" w:cs="Times New Roman"/>
          <w:i/>
          <w:iCs/>
          <w:color w:val="000000"/>
          <w:szCs w:val="24"/>
          <w:lang w:eastAsia="fr-FR"/>
        </w:rPr>
        <w:t xml:space="preserve">définit </w:t>
      </w:r>
      <w:r>
        <w:rPr>
          <w:rFonts w:eastAsia="Times New Roman" w:cs="Times New Roman"/>
          <w:i/>
          <w:iCs/>
          <w:color w:val="000000"/>
          <w:szCs w:val="24"/>
          <w:lang w:eastAsia="fr-FR"/>
        </w:rPr>
        <w:t xml:space="preserve">l’ensemble des prescriptions applicables au stockage de liquides inflammables en récipients mobiles au sein d’un site soumis à autorisation. </w:t>
      </w:r>
    </w:p>
    <w:p w14:paraId="2826A830" w14:textId="216ECBEF" w:rsidR="000674D2" w:rsidRPr="000674D2" w:rsidRDefault="000674D2" w:rsidP="000674D2">
      <w:pPr>
        <w:spacing w:before="100" w:beforeAutospacing="1" w:after="0" w:line="240" w:lineRule="auto"/>
        <w:rPr>
          <w:rFonts w:eastAsia="Times New Roman" w:cs="Times New Roman"/>
          <w:color w:val="000000"/>
          <w:szCs w:val="24"/>
          <w:lang w:eastAsia="fr-FR"/>
        </w:rPr>
      </w:pPr>
      <w:r w:rsidRPr="000674D2">
        <w:rPr>
          <w:rFonts w:eastAsia="Times New Roman" w:cs="Times New Roman"/>
          <w:b/>
          <w:bCs/>
          <w:i/>
          <w:iCs/>
          <w:color w:val="000000"/>
          <w:szCs w:val="24"/>
          <w:lang w:eastAsia="fr-FR"/>
        </w:rPr>
        <w:t>Entrée en vigueur :</w:t>
      </w:r>
      <w:r w:rsidRPr="000674D2">
        <w:rPr>
          <w:rFonts w:eastAsia="Times New Roman" w:cs="Times New Roman"/>
          <w:i/>
          <w:iCs/>
          <w:color w:val="000000"/>
          <w:szCs w:val="24"/>
          <w:lang w:eastAsia="fr-FR"/>
        </w:rPr>
        <w:t xml:space="preserve"> le texte entre en vigueur au 1er janvier 2021.</w:t>
      </w:r>
      <w:r w:rsidR="00A60DA7">
        <w:rPr>
          <w:rFonts w:eastAsia="Times New Roman" w:cs="Times New Roman"/>
          <w:i/>
          <w:iCs/>
          <w:color w:val="000000"/>
          <w:szCs w:val="24"/>
          <w:lang w:eastAsia="fr-FR"/>
        </w:rPr>
        <w:t xml:space="preserve"> Certaines de ses dispositions entrent en vigueur de manière différée, notamment pour permettre la mise en conformité des installations existantes.</w:t>
      </w:r>
    </w:p>
    <w:p w14:paraId="4281BE3C" w14:textId="22AE454F" w:rsidR="000674D2" w:rsidRPr="000674D2" w:rsidRDefault="000674D2" w:rsidP="000674D2">
      <w:pPr>
        <w:spacing w:before="100" w:beforeAutospacing="1" w:after="0" w:line="240" w:lineRule="auto"/>
        <w:rPr>
          <w:rFonts w:eastAsia="Times New Roman" w:cs="Times New Roman"/>
          <w:color w:val="000000"/>
          <w:szCs w:val="24"/>
          <w:lang w:eastAsia="fr-FR"/>
        </w:rPr>
      </w:pPr>
      <w:r w:rsidRPr="000674D2">
        <w:rPr>
          <w:rFonts w:eastAsia="Times New Roman" w:cs="Times New Roman"/>
          <w:b/>
          <w:bCs/>
          <w:i/>
          <w:iCs/>
          <w:color w:val="000000"/>
          <w:szCs w:val="24"/>
          <w:lang w:eastAsia="fr-FR"/>
        </w:rPr>
        <w:t>Notice</w:t>
      </w:r>
      <w:r w:rsidRPr="000674D2">
        <w:rPr>
          <w:rFonts w:eastAsia="Times New Roman" w:cs="Times New Roman"/>
          <w:b/>
          <w:bCs/>
          <w:color w:val="000000"/>
          <w:szCs w:val="24"/>
          <w:lang w:eastAsia="fr-FR"/>
        </w:rPr>
        <w:t> :</w:t>
      </w:r>
      <w:r w:rsidRPr="000674D2">
        <w:rPr>
          <w:rFonts w:eastAsia="Times New Roman" w:cs="Times New Roman"/>
          <w:color w:val="000000"/>
          <w:szCs w:val="24"/>
          <w:lang w:eastAsia="fr-FR"/>
        </w:rPr>
        <w:t xml:space="preserve"> </w:t>
      </w:r>
      <w:r w:rsidRPr="000674D2">
        <w:rPr>
          <w:rFonts w:eastAsia="Times New Roman" w:cs="Times New Roman"/>
          <w:i/>
          <w:iCs/>
          <w:color w:val="000000"/>
          <w:szCs w:val="24"/>
          <w:lang w:eastAsia="fr-FR"/>
        </w:rPr>
        <w:t xml:space="preserve">Le </w:t>
      </w:r>
      <w:r>
        <w:rPr>
          <w:rFonts w:eastAsia="Times New Roman" w:cs="Times New Roman"/>
          <w:i/>
          <w:iCs/>
          <w:color w:val="000000"/>
          <w:szCs w:val="24"/>
          <w:lang w:eastAsia="fr-FR"/>
        </w:rPr>
        <w:t>présent arrêté a pour objectifs d</w:t>
      </w:r>
      <w:r w:rsidRPr="000674D2">
        <w:rPr>
          <w:rFonts w:eastAsia="Times New Roman" w:cs="Times New Roman"/>
          <w:i/>
          <w:iCs/>
          <w:color w:val="000000"/>
          <w:szCs w:val="24"/>
          <w:lang w:eastAsia="fr-FR"/>
        </w:rPr>
        <w:t xml:space="preserve">e tirer le retour d’expérience de l’incendie de Lubrizol en renforçant les prescriptions relatives </w:t>
      </w:r>
      <w:r>
        <w:rPr>
          <w:rFonts w:eastAsia="Times New Roman" w:cs="Times New Roman"/>
          <w:i/>
          <w:iCs/>
          <w:color w:val="000000"/>
          <w:szCs w:val="24"/>
          <w:lang w:eastAsia="fr-FR"/>
        </w:rPr>
        <w:t>au stockage de liquides inflammables</w:t>
      </w:r>
      <w:r w:rsidR="00B177C6">
        <w:rPr>
          <w:rFonts w:eastAsia="Times New Roman" w:cs="Times New Roman"/>
          <w:i/>
          <w:iCs/>
          <w:color w:val="000000"/>
          <w:szCs w:val="24"/>
          <w:lang w:eastAsia="fr-FR"/>
        </w:rPr>
        <w:t xml:space="preserve"> et de liquides combustibles</w:t>
      </w:r>
      <w:r>
        <w:rPr>
          <w:rFonts w:eastAsia="Times New Roman" w:cs="Times New Roman"/>
          <w:i/>
          <w:iCs/>
          <w:color w:val="000000"/>
          <w:szCs w:val="24"/>
          <w:lang w:eastAsia="fr-FR"/>
        </w:rPr>
        <w:t xml:space="preserve"> en récipients mobiles, tant en extérieur que dans les bâtiments.</w:t>
      </w:r>
      <w:r w:rsidR="00A60DA7">
        <w:rPr>
          <w:rFonts w:eastAsia="Times New Roman" w:cs="Times New Roman"/>
          <w:i/>
          <w:iCs/>
          <w:color w:val="000000"/>
          <w:szCs w:val="24"/>
          <w:lang w:eastAsia="fr-FR"/>
        </w:rPr>
        <w:t xml:space="preserve"> Cet arrêté modifie l’arrêté ministériel du 3 octobre 2010 </w:t>
      </w:r>
      <w:r w:rsidR="00A60DA7" w:rsidRPr="000674D2">
        <w:rPr>
          <w:rFonts w:eastAsia="Times New Roman" w:cs="Times New Roman"/>
          <w:i/>
          <w:iCs/>
          <w:color w:val="000000"/>
          <w:szCs w:val="24"/>
          <w:lang w:eastAsia="fr-FR"/>
        </w:rPr>
        <w:t xml:space="preserve">relatif au stockage en réservoirs aériens manufacturés exploités au sein d'une installation classée soumise à autorisation au titre de l'une ou plusieurs des rubriques nos 1436, 4330, 4331, 4722, 4734, 4742, 4743, 4744, 4746, 4747 ou 4748, ou pour le pétrole brut au titre de l'une ou plusieurs des rubriques nos 4510 ou 4511 de la législation des installations classées pour la protection de l'environnement </w:t>
      </w:r>
      <w:r w:rsidR="00A60DA7">
        <w:rPr>
          <w:rFonts w:eastAsia="Times New Roman" w:cs="Times New Roman"/>
          <w:i/>
          <w:iCs/>
          <w:color w:val="000000"/>
          <w:szCs w:val="24"/>
          <w:lang w:eastAsia="fr-FR"/>
        </w:rPr>
        <w:t>et  abroge l’a</w:t>
      </w:r>
      <w:r w:rsidR="00A60DA7" w:rsidRPr="000674D2">
        <w:rPr>
          <w:rFonts w:eastAsia="Times New Roman" w:cs="Times New Roman"/>
          <w:i/>
          <w:iCs/>
          <w:color w:val="000000"/>
          <w:szCs w:val="24"/>
          <w:lang w:eastAsia="fr-FR"/>
        </w:rPr>
        <w:t>rrêté</w:t>
      </w:r>
      <w:r w:rsidR="00A60DA7">
        <w:rPr>
          <w:rFonts w:eastAsia="Times New Roman" w:cs="Times New Roman"/>
          <w:i/>
          <w:iCs/>
          <w:color w:val="000000"/>
          <w:szCs w:val="24"/>
          <w:lang w:eastAsia="fr-FR"/>
        </w:rPr>
        <w:t xml:space="preserve"> ministériel</w:t>
      </w:r>
      <w:r w:rsidR="00A60DA7" w:rsidRPr="000674D2">
        <w:rPr>
          <w:rFonts w:eastAsia="Times New Roman" w:cs="Times New Roman"/>
          <w:i/>
          <w:iCs/>
          <w:color w:val="000000"/>
          <w:szCs w:val="24"/>
          <w:lang w:eastAsia="fr-FR"/>
        </w:rPr>
        <w:t xml:space="preserve"> du 16 juillet 2012 relatif aux stockages en récipients mobiles de liquides inflammables exploités au sein d'une installation soumise à autorisation au titre de la rubrique 1432 de la nomenclature des installations classées pour la protection de l'environnement et présents dans un entrepôt couvert soumis au régime de l'enregistrement ou de l'autorisation au titre de la rubrique 1510 de cette même nomenclature</w:t>
      </w:r>
      <w:r w:rsidR="00A60DA7">
        <w:rPr>
          <w:rFonts w:eastAsia="Times New Roman" w:cs="Times New Roman"/>
          <w:i/>
          <w:iCs/>
          <w:color w:val="000000"/>
          <w:szCs w:val="24"/>
          <w:lang w:eastAsia="fr-FR"/>
        </w:rPr>
        <w:t>.</w:t>
      </w:r>
    </w:p>
    <w:p w14:paraId="74A9764C" w14:textId="286390A8" w:rsidR="000674D2" w:rsidRPr="000674D2" w:rsidRDefault="000674D2" w:rsidP="000674D2">
      <w:pPr>
        <w:spacing w:before="100" w:beforeAutospacing="1" w:after="0" w:line="240" w:lineRule="auto"/>
        <w:rPr>
          <w:rFonts w:eastAsia="Times New Roman" w:cs="Times New Roman"/>
          <w:color w:val="000000"/>
          <w:szCs w:val="24"/>
          <w:lang w:eastAsia="fr-FR"/>
        </w:rPr>
      </w:pPr>
      <w:r w:rsidRPr="000674D2">
        <w:rPr>
          <w:rFonts w:eastAsia="Times New Roman" w:cs="Times New Roman"/>
          <w:b/>
          <w:bCs/>
          <w:i/>
          <w:iCs/>
          <w:color w:val="000000"/>
          <w:szCs w:val="24"/>
          <w:lang w:eastAsia="fr-FR"/>
        </w:rPr>
        <w:t>Références :</w:t>
      </w:r>
      <w:r w:rsidRPr="000674D2">
        <w:rPr>
          <w:rFonts w:eastAsia="Times New Roman" w:cs="Times New Roman"/>
          <w:color w:val="000000"/>
          <w:szCs w:val="24"/>
          <w:lang w:eastAsia="fr-FR"/>
        </w:rPr>
        <w:t xml:space="preserve"> </w:t>
      </w:r>
      <w:r w:rsidRPr="000674D2">
        <w:rPr>
          <w:rFonts w:eastAsia="Times New Roman" w:cs="Times New Roman"/>
          <w:i/>
          <w:iCs/>
          <w:color w:val="000000"/>
          <w:szCs w:val="24"/>
          <w:lang w:eastAsia="fr-FR"/>
        </w:rPr>
        <w:t xml:space="preserve">le texte </w:t>
      </w:r>
      <w:r w:rsidR="00A60DA7">
        <w:rPr>
          <w:rFonts w:eastAsia="Times New Roman" w:cs="Times New Roman"/>
          <w:i/>
          <w:iCs/>
          <w:color w:val="000000"/>
          <w:szCs w:val="24"/>
          <w:lang w:eastAsia="fr-FR"/>
        </w:rPr>
        <w:t>du</w:t>
      </w:r>
      <w:r w:rsidRPr="000674D2">
        <w:rPr>
          <w:rFonts w:eastAsia="Times New Roman" w:cs="Times New Roman"/>
          <w:i/>
          <w:iCs/>
          <w:color w:val="000000"/>
          <w:szCs w:val="24"/>
          <w:lang w:eastAsia="fr-FR"/>
        </w:rPr>
        <w:t xml:space="preserve"> présent arrêté peut être consulté sur le site Légifrance (http://www.legifrance.gouv.fr).</w:t>
      </w:r>
    </w:p>
    <w:p w14:paraId="1B3108F2" w14:textId="77777777" w:rsidR="000674D2" w:rsidRPr="00610FC6" w:rsidRDefault="000674D2" w:rsidP="002C32E5">
      <w:pPr>
        <w:spacing w:after="0" w:line="240" w:lineRule="auto"/>
        <w:jc w:val="center"/>
        <w:rPr>
          <w:rFonts w:eastAsia="Times New Roman" w:cs="Times New Roman"/>
          <w:szCs w:val="24"/>
          <w:lang w:eastAsia="fr-FR"/>
        </w:rPr>
      </w:pPr>
    </w:p>
    <w:p w14:paraId="5F2833B1" w14:textId="288CC787" w:rsidR="00C10999" w:rsidRDefault="00C10999">
      <w:pPr>
        <w:rPr>
          <w:rFonts w:eastAsia="Times New Roman" w:cs="Times New Roman"/>
          <w:szCs w:val="24"/>
          <w:lang w:eastAsia="fr-FR"/>
        </w:rPr>
      </w:pPr>
    </w:p>
    <w:p w14:paraId="3436C911" w14:textId="77777777" w:rsidR="001C3192" w:rsidRDefault="001C3192" w:rsidP="003B44A6">
      <w:pPr>
        <w:spacing w:after="0" w:line="240" w:lineRule="auto"/>
        <w:rPr>
          <w:rFonts w:eastAsia="Times New Roman" w:cs="Times New Roman"/>
          <w:szCs w:val="24"/>
          <w:lang w:eastAsia="fr-FR"/>
        </w:rPr>
      </w:pPr>
    </w:p>
    <w:p w14:paraId="3F650B22" w14:textId="77777777" w:rsidR="001C3192" w:rsidRDefault="001C3192" w:rsidP="003B44A6">
      <w:pPr>
        <w:spacing w:after="0" w:line="240" w:lineRule="auto"/>
        <w:rPr>
          <w:rFonts w:eastAsia="Times New Roman" w:cs="Times New Roman"/>
          <w:szCs w:val="24"/>
          <w:lang w:eastAsia="fr-FR"/>
        </w:rPr>
      </w:pPr>
    </w:p>
    <w:p w14:paraId="495CA2E0" w14:textId="57D271D0" w:rsidR="008D131A" w:rsidRDefault="00610FC6" w:rsidP="003B44A6">
      <w:pPr>
        <w:spacing w:after="0" w:line="240" w:lineRule="auto"/>
        <w:rPr>
          <w:rFonts w:eastAsia="Times New Roman" w:cs="Times New Roman"/>
          <w:i/>
          <w:szCs w:val="24"/>
          <w:lang w:eastAsia="fr-FR"/>
        </w:rPr>
      </w:pPr>
      <w:r w:rsidRPr="00610FC6">
        <w:rPr>
          <w:rFonts w:eastAsia="Times New Roman" w:cs="Times New Roman"/>
          <w:szCs w:val="24"/>
          <w:lang w:eastAsia="fr-FR"/>
        </w:rPr>
        <w:lastRenderedPageBreak/>
        <w:br/>
      </w:r>
      <w:r w:rsidR="00C10999" w:rsidRPr="00C10999">
        <w:rPr>
          <w:rFonts w:eastAsia="Times New Roman" w:cs="Times New Roman"/>
          <w:i/>
          <w:szCs w:val="24"/>
          <w:lang w:eastAsia="fr-FR"/>
        </w:rPr>
        <w:t>La ministre de la transition écologique,</w:t>
      </w:r>
      <w:r w:rsidR="00C10999">
        <w:rPr>
          <w:rFonts w:eastAsia="Times New Roman" w:cs="Times New Roman"/>
          <w:i/>
          <w:szCs w:val="24"/>
          <w:lang w:eastAsia="fr-FR"/>
        </w:rPr>
        <w:t xml:space="preserve"> </w:t>
      </w:r>
    </w:p>
    <w:p w14:paraId="7AD7700B" w14:textId="2221FFAB" w:rsidR="00180150" w:rsidRDefault="008D131A" w:rsidP="001C3192">
      <w:pPr>
        <w:spacing w:before="119" w:after="119" w:line="240" w:lineRule="auto"/>
        <w:rPr>
          <w:rFonts w:eastAsia="Times New Roman" w:cs="Times New Roman"/>
          <w:color w:val="000000"/>
          <w:szCs w:val="24"/>
          <w:lang w:eastAsia="fr-FR"/>
        </w:rPr>
      </w:pPr>
      <w:r w:rsidRPr="001C3192">
        <w:rPr>
          <w:rFonts w:eastAsia="Times New Roman" w:cs="Times New Roman"/>
          <w:color w:val="000000"/>
          <w:szCs w:val="24"/>
          <w:lang w:eastAsia="fr-FR"/>
        </w:rPr>
        <w:t>Vu le règlement (CE) n° 1272/2008 du Parlement européen relatif à la classification, à l’étiquetage et à l’emballage des substances chimiques et des mélanges</w:t>
      </w:r>
      <w:r w:rsidR="00A60DA7" w:rsidRPr="001C3192">
        <w:rPr>
          <w:rFonts w:eastAsia="Times New Roman" w:cs="Times New Roman"/>
          <w:color w:val="000000"/>
          <w:szCs w:val="24"/>
          <w:lang w:eastAsia="fr-FR"/>
        </w:rPr>
        <w:t>, dit CLP</w:t>
      </w:r>
      <w:r w:rsidRPr="001C3192">
        <w:rPr>
          <w:rFonts w:eastAsia="Times New Roman" w:cs="Times New Roman"/>
          <w:color w:val="000000"/>
          <w:szCs w:val="24"/>
          <w:lang w:eastAsia="fr-FR"/>
        </w:rPr>
        <w:t> ;</w:t>
      </w:r>
    </w:p>
    <w:p w14:paraId="7A5C6BA2" w14:textId="65875BD1" w:rsidR="00AB1966" w:rsidRPr="001C3192" w:rsidRDefault="00610FC6" w:rsidP="001C3192">
      <w:pPr>
        <w:spacing w:before="119" w:after="119" w:line="240" w:lineRule="auto"/>
        <w:rPr>
          <w:rFonts w:eastAsia="Times New Roman" w:cs="Times New Roman"/>
          <w:color w:val="000000"/>
          <w:szCs w:val="24"/>
          <w:lang w:eastAsia="fr-FR"/>
        </w:rPr>
      </w:pPr>
      <w:r w:rsidRPr="001C3192">
        <w:rPr>
          <w:rFonts w:eastAsia="Times New Roman" w:cs="Times New Roman"/>
          <w:color w:val="000000"/>
          <w:szCs w:val="24"/>
          <w:lang w:eastAsia="fr-FR"/>
        </w:rPr>
        <w:t xml:space="preserve">Vu le code de l'environnement, notamment </w:t>
      </w:r>
      <w:r w:rsidR="00A60DA7" w:rsidRPr="001C3192">
        <w:rPr>
          <w:rFonts w:eastAsia="Times New Roman" w:cs="Times New Roman"/>
          <w:color w:val="000000"/>
          <w:szCs w:val="24"/>
          <w:lang w:eastAsia="fr-FR"/>
        </w:rPr>
        <w:t xml:space="preserve">l’article L181-1 et </w:t>
      </w:r>
      <w:r w:rsidRPr="001C3192">
        <w:rPr>
          <w:rFonts w:eastAsia="Times New Roman" w:cs="Times New Roman"/>
          <w:color w:val="000000"/>
          <w:szCs w:val="24"/>
          <w:lang w:eastAsia="fr-FR"/>
        </w:rPr>
        <w:t>le titre Ier de son livre V ;</w:t>
      </w:r>
      <w:r w:rsidR="0002703D" w:rsidRPr="001C3192">
        <w:rPr>
          <w:rFonts w:eastAsia="Times New Roman" w:cs="Times New Roman"/>
          <w:color w:val="000000"/>
          <w:szCs w:val="24"/>
          <w:lang w:eastAsia="fr-FR"/>
        </w:rPr>
        <w:tab/>
      </w:r>
    </w:p>
    <w:p w14:paraId="7495279A" w14:textId="372D516F" w:rsidR="00E36ECE" w:rsidRPr="001C3192" w:rsidRDefault="00180150" w:rsidP="001C3192">
      <w:pPr>
        <w:spacing w:before="119" w:after="119" w:line="240" w:lineRule="auto"/>
        <w:rPr>
          <w:rFonts w:eastAsia="Times New Roman" w:cs="Times New Roman"/>
          <w:color w:val="000000"/>
          <w:szCs w:val="24"/>
          <w:lang w:eastAsia="fr-FR"/>
        </w:rPr>
      </w:pPr>
      <w:r>
        <w:rPr>
          <w:rFonts w:eastAsia="Times New Roman" w:cs="Times New Roman"/>
          <w:color w:val="000000"/>
          <w:szCs w:val="24"/>
          <w:lang w:eastAsia="fr-FR"/>
        </w:rPr>
        <w:t>Vu l’a</w:t>
      </w:r>
      <w:r w:rsidR="00E36ECE" w:rsidRPr="001C3192">
        <w:rPr>
          <w:rFonts w:eastAsia="Times New Roman" w:cs="Times New Roman"/>
          <w:color w:val="000000"/>
          <w:szCs w:val="24"/>
          <w:lang w:eastAsia="fr-FR"/>
        </w:rPr>
        <w:t>rrêté du 3 octobre 2010 modifié relatif au stockage en réservoirs aériens manufacturés de liquides inflammables, exploités au sein d'une installation classée pour la protection de l’environnement soumise à autorisation ;</w:t>
      </w:r>
    </w:p>
    <w:p w14:paraId="5AC95A4C" w14:textId="6C5EF6E4" w:rsidR="000674D2" w:rsidRDefault="000674D2" w:rsidP="00656315">
      <w:pPr>
        <w:spacing w:before="119" w:after="119" w:line="240" w:lineRule="auto"/>
        <w:rPr>
          <w:rFonts w:eastAsia="Times New Roman" w:cs="Times New Roman"/>
          <w:color w:val="000000"/>
          <w:szCs w:val="24"/>
          <w:lang w:eastAsia="fr-FR"/>
        </w:rPr>
      </w:pPr>
      <w:r w:rsidRPr="000674D2">
        <w:rPr>
          <w:rFonts w:eastAsia="Times New Roman" w:cs="Times New Roman"/>
          <w:color w:val="000000"/>
          <w:szCs w:val="24"/>
          <w:lang w:eastAsia="fr-FR"/>
        </w:rPr>
        <w:t>Vu l’avis des ministres intéressés ;</w:t>
      </w:r>
    </w:p>
    <w:p w14:paraId="12E1EDD6" w14:textId="77777777" w:rsidR="00A60DA7" w:rsidRPr="000674D2" w:rsidRDefault="00A60DA7" w:rsidP="00A60DA7">
      <w:pPr>
        <w:spacing w:before="119" w:after="119" w:line="240" w:lineRule="auto"/>
        <w:rPr>
          <w:rFonts w:eastAsia="Times New Roman" w:cs="Times New Roman"/>
          <w:color w:val="000000"/>
          <w:szCs w:val="24"/>
          <w:lang w:eastAsia="fr-FR"/>
        </w:rPr>
      </w:pPr>
      <w:r w:rsidRPr="000674D2">
        <w:rPr>
          <w:rFonts w:eastAsia="Times New Roman" w:cs="Times New Roman"/>
          <w:color w:val="000000"/>
          <w:szCs w:val="24"/>
          <w:lang w:eastAsia="fr-FR"/>
        </w:rPr>
        <w:t>Vu l’avis des organisations professionnelles concernées ;</w:t>
      </w:r>
    </w:p>
    <w:p w14:paraId="7999EC4C" w14:textId="60AA5AC0" w:rsidR="000674D2" w:rsidRPr="000674D2" w:rsidRDefault="000674D2" w:rsidP="00656315">
      <w:pPr>
        <w:spacing w:before="119" w:after="119" w:line="240" w:lineRule="auto"/>
        <w:rPr>
          <w:rFonts w:eastAsia="Times New Roman" w:cs="Times New Roman"/>
          <w:color w:val="000000"/>
          <w:szCs w:val="24"/>
          <w:lang w:eastAsia="fr-FR"/>
        </w:rPr>
      </w:pPr>
      <w:r w:rsidRPr="000674D2">
        <w:rPr>
          <w:rFonts w:eastAsia="Times New Roman" w:cs="Times New Roman"/>
          <w:color w:val="000000"/>
          <w:szCs w:val="24"/>
          <w:lang w:eastAsia="fr-FR"/>
        </w:rPr>
        <w:t xml:space="preserve">Vu l’avis du conseil supérieur de la prévention des risques technologiques en date du </w:t>
      </w:r>
      <w:r w:rsidR="001736C0">
        <w:rPr>
          <w:rFonts w:eastAsia="Times New Roman" w:cs="Times New Roman"/>
          <w:color w:val="000000"/>
          <w:szCs w:val="24"/>
          <w:highlight w:val="yellow"/>
          <w:lang w:eastAsia="fr-FR"/>
        </w:rPr>
        <w:t>03/09</w:t>
      </w:r>
      <w:r w:rsidRPr="003F7312">
        <w:rPr>
          <w:rFonts w:eastAsia="Times New Roman" w:cs="Times New Roman"/>
          <w:color w:val="000000"/>
          <w:szCs w:val="24"/>
          <w:highlight w:val="yellow"/>
          <w:lang w:eastAsia="fr-FR"/>
        </w:rPr>
        <w:t>/</w:t>
      </w:r>
      <w:r w:rsidRPr="00656315">
        <w:rPr>
          <w:rFonts w:eastAsia="Times New Roman" w:cs="Times New Roman"/>
          <w:color w:val="000000"/>
          <w:szCs w:val="24"/>
          <w:highlight w:val="yellow"/>
          <w:lang w:eastAsia="fr-FR"/>
        </w:rPr>
        <w:t>2020</w:t>
      </w:r>
      <w:r w:rsidRPr="000674D2">
        <w:rPr>
          <w:rFonts w:eastAsia="Times New Roman" w:cs="Times New Roman"/>
          <w:color w:val="000000"/>
          <w:szCs w:val="24"/>
          <w:lang w:eastAsia="fr-FR"/>
        </w:rPr>
        <w:t>;</w:t>
      </w:r>
    </w:p>
    <w:p w14:paraId="43B915C2" w14:textId="428D63E8" w:rsidR="000674D2" w:rsidRPr="000674D2" w:rsidRDefault="000674D2" w:rsidP="00656315">
      <w:pPr>
        <w:spacing w:before="119" w:after="119" w:line="240" w:lineRule="auto"/>
        <w:rPr>
          <w:rFonts w:eastAsia="Times New Roman" w:cs="Times New Roman"/>
          <w:color w:val="000000"/>
          <w:szCs w:val="24"/>
          <w:lang w:eastAsia="fr-FR"/>
        </w:rPr>
      </w:pPr>
      <w:r w:rsidRPr="000674D2">
        <w:rPr>
          <w:rFonts w:eastAsia="Times New Roman" w:cs="Times New Roman"/>
          <w:color w:val="000000"/>
          <w:szCs w:val="24"/>
          <w:lang w:eastAsia="fr-FR"/>
        </w:rPr>
        <w:t xml:space="preserve">Vu les observations formulées lors de la consultation du public réalisée du </w:t>
      </w:r>
      <w:r w:rsidR="001736C0">
        <w:rPr>
          <w:rFonts w:eastAsia="Times New Roman" w:cs="Times New Roman"/>
          <w:color w:val="000000"/>
          <w:szCs w:val="24"/>
          <w:lang w:eastAsia="fr-FR"/>
        </w:rPr>
        <w:t>19/08</w:t>
      </w:r>
      <w:r w:rsidRPr="008D131A">
        <w:rPr>
          <w:rFonts w:eastAsia="Times New Roman" w:cs="Times New Roman"/>
          <w:color w:val="000000"/>
          <w:szCs w:val="24"/>
          <w:highlight w:val="yellow"/>
          <w:lang w:eastAsia="fr-FR"/>
        </w:rPr>
        <w:t xml:space="preserve">/2020 au </w:t>
      </w:r>
      <w:r w:rsidR="001736C0">
        <w:rPr>
          <w:rFonts w:eastAsia="Times New Roman" w:cs="Times New Roman"/>
          <w:color w:val="000000"/>
          <w:szCs w:val="24"/>
          <w:highlight w:val="yellow"/>
          <w:lang w:eastAsia="fr-FR"/>
        </w:rPr>
        <w:t>09/09</w:t>
      </w:r>
      <w:r w:rsidRPr="008D131A">
        <w:rPr>
          <w:rFonts w:eastAsia="Times New Roman" w:cs="Times New Roman"/>
          <w:color w:val="000000"/>
          <w:szCs w:val="24"/>
          <w:highlight w:val="yellow"/>
          <w:lang w:eastAsia="fr-FR"/>
        </w:rPr>
        <w:t>/2020</w:t>
      </w:r>
      <w:r w:rsidRPr="000674D2">
        <w:rPr>
          <w:rFonts w:eastAsia="Times New Roman" w:cs="Times New Roman"/>
          <w:color w:val="000000"/>
          <w:szCs w:val="24"/>
          <w:lang w:eastAsia="fr-FR"/>
        </w:rPr>
        <w:t xml:space="preserve"> en application de l’article L. 123-19-1 du code de l’environnement ;</w:t>
      </w:r>
    </w:p>
    <w:p w14:paraId="49A936F3" w14:textId="3ACBB91A" w:rsidR="000674D2" w:rsidRPr="00656315" w:rsidRDefault="000674D2" w:rsidP="00656315">
      <w:pPr>
        <w:spacing w:before="119" w:after="119" w:line="240" w:lineRule="auto"/>
        <w:rPr>
          <w:rFonts w:eastAsia="Times New Roman" w:cs="Times New Roman"/>
          <w:color w:val="000000"/>
          <w:szCs w:val="24"/>
          <w:lang w:eastAsia="fr-FR"/>
        </w:rPr>
      </w:pPr>
      <w:r w:rsidRPr="000674D2">
        <w:rPr>
          <w:rFonts w:eastAsia="Times New Roman" w:cs="Times New Roman"/>
          <w:color w:val="000000"/>
          <w:szCs w:val="24"/>
          <w:lang w:eastAsia="fr-FR"/>
        </w:rPr>
        <w:t>Considérant que les dispositions</w:t>
      </w:r>
      <w:r w:rsidR="001736C0">
        <w:rPr>
          <w:rFonts w:eastAsia="Times New Roman" w:cs="Times New Roman"/>
          <w:color w:val="000000"/>
          <w:szCs w:val="24"/>
          <w:lang w:eastAsia="fr-FR"/>
        </w:rPr>
        <w:t xml:space="preserve">, </w:t>
      </w:r>
      <w:r w:rsidRPr="000674D2">
        <w:rPr>
          <w:rFonts w:eastAsia="Times New Roman" w:cs="Times New Roman"/>
          <w:color w:val="000000"/>
          <w:szCs w:val="24"/>
          <w:lang w:eastAsia="fr-FR"/>
        </w:rPr>
        <w:t>qui sont susceptibles</w:t>
      </w:r>
      <w:r w:rsidR="00415640">
        <w:rPr>
          <w:rFonts w:eastAsia="Times New Roman" w:cs="Times New Roman"/>
          <w:color w:val="000000"/>
          <w:szCs w:val="24"/>
          <w:lang w:eastAsia="fr-FR"/>
        </w:rPr>
        <w:t>,</w:t>
      </w:r>
      <w:r w:rsidRPr="000674D2">
        <w:rPr>
          <w:rFonts w:eastAsia="Times New Roman" w:cs="Times New Roman"/>
          <w:color w:val="000000"/>
          <w:szCs w:val="24"/>
          <w:lang w:eastAsia="fr-FR"/>
        </w:rPr>
        <w:t xml:space="preserve"> selon la configuration d</w:t>
      </w:r>
      <w:r>
        <w:rPr>
          <w:rFonts w:eastAsia="Times New Roman" w:cs="Times New Roman"/>
          <w:color w:val="000000"/>
          <w:szCs w:val="24"/>
          <w:lang w:eastAsia="fr-FR"/>
        </w:rPr>
        <w:t>es stockages</w:t>
      </w:r>
      <w:r w:rsidR="00415640">
        <w:rPr>
          <w:rFonts w:eastAsia="Times New Roman" w:cs="Times New Roman"/>
          <w:color w:val="000000"/>
          <w:szCs w:val="24"/>
          <w:lang w:eastAsia="fr-FR"/>
        </w:rPr>
        <w:t>,</w:t>
      </w:r>
      <w:r w:rsidRPr="000674D2">
        <w:rPr>
          <w:rFonts w:eastAsia="Times New Roman" w:cs="Times New Roman"/>
          <w:color w:val="000000"/>
          <w:szCs w:val="24"/>
          <w:lang w:eastAsia="fr-FR"/>
        </w:rPr>
        <w:t xml:space="preserve"> d'affecter le gros </w:t>
      </w:r>
      <w:r w:rsidR="00A4635E" w:rsidRPr="000674D2">
        <w:rPr>
          <w:rFonts w:eastAsia="Times New Roman" w:cs="Times New Roman"/>
          <w:color w:val="000000"/>
          <w:szCs w:val="24"/>
          <w:lang w:eastAsia="fr-FR"/>
        </w:rPr>
        <w:t>œuvre</w:t>
      </w:r>
      <w:r w:rsidRPr="000674D2">
        <w:rPr>
          <w:rFonts w:eastAsia="Times New Roman" w:cs="Times New Roman"/>
          <w:color w:val="000000"/>
          <w:szCs w:val="24"/>
          <w:lang w:eastAsia="fr-FR"/>
        </w:rPr>
        <w:t xml:space="preserve"> de</w:t>
      </w:r>
      <w:r w:rsidR="001736C0">
        <w:rPr>
          <w:rFonts w:eastAsia="Times New Roman" w:cs="Times New Roman"/>
          <w:color w:val="000000"/>
          <w:szCs w:val="24"/>
          <w:lang w:eastAsia="fr-FR"/>
        </w:rPr>
        <w:t xml:space="preserve">s </w:t>
      </w:r>
      <w:r w:rsidRPr="000674D2">
        <w:rPr>
          <w:rFonts w:eastAsia="Times New Roman" w:cs="Times New Roman"/>
          <w:color w:val="000000"/>
          <w:szCs w:val="24"/>
          <w:lang w:eastAsia="fr-FR"/>
        </w:rPr>
        <w:t>installation</w:t>
      </w:r>
      <w:r w:rsidR="001736C0">
        <w:rPr>
          <w:rFonts w:eastAsia="Times New Roman" w:cs="Times New Roman"/>
          <w:color w:val="000000"/>
          <w:szCs w:val="24"/>
          <w:lang w:eastAsia="fr-FR"/>
        </w:rPr>
        <w:t>s existantes</w:t>
      </w:r>
      <w:r w:rsidRPr="000674D2">
        <w:rPr>
          <w:rFonts w:eastAsia="Times New Roman" w:cs="Times New Roman"/>
          <w:color w:val="000000"/>
          <w:szCs w:val="24"/>
          <w:lang w:eastAsia="fr-FR"/>
        </w:rPr>
        <w:t>, sont justifiées par un motif de sécurité publique,</w:t>
      </w:r>
    </w:p>
    <w:p w14:paraId="4E6C9D11" w14:textId="414B6CE1" w:rsidR="00610FC6" w:rsidRPr="00610FC6" w:rsidRDefault="00610FC6" w:rsidP="00B85633">
      <w:pPr>
        <w:spacing w:after="0" w:line="240" w:lineRule="auto"/>
        <w:rPr>
          <w:rFonts w:eastAsia="Times New Roman" w:cs="Times New Roman"/>
          <w:szCs w:val="24"/>
          <w:lang w:eastAsia="fr-FR"/>
        </w:rPr>
      </w:pPr>
      <w:r w:rsidRPr="00610FC6">
        <w:rPr>
          <w:rFonts w:eastAsia="Times New Roman" w:cs="Times New Roman"/>
          <w:szCs w:val="24"/>
          <w:lang w:eastAsia="fr-FR"/>
        </w:rPr>
        <w:br/>
        <w:t>Arrête :</w:t>
      </w:r>
    </w:p>
    <w:p w14:paraId="6927FD31" w14:textId="32C30927" w:rsidR="00E824E8" w:rsidRPr="00E824E8" w:rsidRDefault="00E824E8" w:rsidP="00E824E8">
      <w:pPr>
        <w:pStyle w:val="Titre1"/>
      </w:pPr>
      <w:bookmarkStart w:id="0" w:name="LEGIARTI000023100900"/>
      <w:bookmarkStart w:id="1" w:name="LEGIARTI000023797065"/>
      <w:bookmarkStart w:id="2" w:name="LEGIARTI000026256230"/>
      <w:bookmarkStart w:id="3" w:name="LEGIARTI000030829300"/>
      <w:bookmarkEnd w:id="0"/>
      <w:bookmarkEnd w:id="1"/>
      <w:bookmarkEnd w:id="2"/>
      <w:bookmarkEnd w:id="3"/>
      <w:r w:rsidRPr="00E824E8">
        <w:t>Généralités</w:t>
      </w:r>
    </w:p>
    <w:p w14:paraId="5F87EFE3" w14:textId="5CF4E58C" w:rsidR="00AB1966" w:rsidRPr="004C6B19" w:rsidRDefault="00E824E8" w:rsidP="004C6B19">
      <w:pPr>
        <w:pStyle w:val="Titre2"/>
      </w:pPr>
      <w:r w:rsidRPr="00E824E8">
        <w:t>Champ</w:t>
      </w:r>
      <w:r>
        <w:t xml:space="preserve"> d’application</w:t>
      </w:r>
      <w:r w:rsidR="00610FC6" w:rsidRPr="00E824E8">
        <w:t xml:space="preserve"> </w:t>
      </w:r>
    </w:p>
    <w:p w14:paraId="1D1A69D5" w14:textId="674BE6E8" w:rsidR="004F45FC" w:rsidRPr="0002703D" w:rsidRDefault="00A60DA7" w:rsidP="004C6B19">
      <w:pPr>
        <w:pStyle w:val="Titre3"/>
        <w:rPr>
          <w:rFonts w:eastAsia="Times New Roman"/>
          <w:lang w:eastAsia="fr-FR"/>
        </w:rPr>
      </w:pPr>
      <w:r>
        <w:rPr>
          <w:rFonts w:eastAsia="Times New Roman"/>
          <w:lang w:eastAsia="fr-FR"/>
        </w:rPr>
        <w:t>Relèvent</w:t>
      </w:r>
      <w:r w:rsidR="004F45FC" w:rsidRPr="0002703D">
        <w:rPr>
          <w:rFonts w:eastAsia="Times New Roman"/>
          <w:lang w:eastAsia="fr-FR"/>
        </w:rPr>
        <w:t xml:space="preserve"> du présent arrêté les stockages en récipients mobiles de liquides inflammables exploités :</w:t>
      </w:r>
    </w:p>
    <w:p w14:paraId="4C233052" w14:textId="3EEBFF69" w:rsidR="00AD6706" w:rsidRPr="001C3192" w:rsidRDefault="004F45FC" w:rsidP="006F21C4">
      <w:pPr>
        <w:pStyle w:val="Paragraphedeliste"/>
        <w:numPr>
          <w:ilvl w:val="0"/>
          <w:numId w:val="5"/>
        </w:numPr>
        <w:spacing w:before="100" w:beforeAutospacing="1" w:after="0" w:line="240" w:lineRule="auto"/>
        <w:rPr>
          <w:rFonts w:eastAsia="Times New Roman" w:cs="Times New Roman"/>
          <w:color w:val="000000" w:themeColor="text1"/>
          <w:szCs w:val="24"/>
          <w:lang w:eastAsia="fr-FR"/>
        </w:rPr>
      </w:pPr>
      <w:r w:rsidRPr="00E824E8">
        <w:rPr>
          <w:rFonts w:eastAsia="Times New Roman" w:cs="Times New Roman"/>
          <w:szCs w:val="24"/>
          <w:lang w:eastAsia="fr-FR"/>
        </w:rPr>
        <w:t>au sein d’une installation classée soumise à autorisation</w:t>
      </w:r>
      <w:r w:rsidR="00F32376" w:rsidRPr="00E824E8">
        <w:rPr>
          <w:rFonts w:eastAsia="Times New Roman" w:cs="Times New Roman"/>
          <w:szCs w:val="24"/>
          <w:lang w:eastAsia="fr-FR"/>
        </w:rPr>
        <w:t xml:space="preserve"> au titre de l'une ou plusieurs des rubriques n</w:t>
      </w:r>
      <w:r w:rsidR="00F32376" w:rsidRPr="00E824E8">
        <w:rPr>
          <w:rFonts w:eastAsia="Times New Roman" w:cs="Times New Roman"/>
          <w:szCs w:val="24"/>
          <w:vertAlign w:val="superscript"/>
          <w:lang w:eastAsia="fr-FR"/>
        </w:rPr>
        <w:t>os</w:t>
      </w:r>
      <w:r w:rsidR="00F32376" w:rsidRPr="00E824E8">
        <w:rPr>
          <w:rFonts w:eastAsia="Times New Roman" w:cs="Times New Roman"/>
          <w:szCs w:val="24"/>
          <w:lang w:eastAsia="fr-FR"/>
        </w:rPr>
        <w:t xml:space="preserve"> 1436, 4330, 4331, 4722, 4734, 4742, 4743, 4744, 4746, 4747 ou 4748, ou pour le </w:t>
      </w:r>
      <w:r w:rsidR="00F32376" w:rsidRPr="001C3192">
        <w:rPr>
          <w:rFonts w:eastAsia="Times New Roman" w:cs="Times New Roman"/>
          <w:color w:val="000000" w:themeColor="text1"/>
          <w:szCs w:val="24"/>
          <w:lang w:eastAsia="fr-FR"/>
        </w:rPr>
        <w:t>pétrole brut au titre de l'une ou plusieurs des rubriques n</w:t>
      </w:r>
      <w:r w:rsidR="00F32376" w:rsidRPr="001C3192">
        <w:rPr>
          <w:rFonts w:eastAsia="Times New Roman" w:cs="Times New Roman"/>
          <w:color w:val="000000" w:themeColor="text1"/>
          <w:szCs w:val="24"/>
          <w:vertAlign w:val="superscript"/>
          <w:lang w:eastAsia="fr-FR"/>
        </w:rPr>
        <w:t>os</w:t>
      </w:r>
      <w:r w:rsidR="00F32376" w:rsidRPr="001C3192">
        <w:rPr>
          <w:rFonts w:eastAsia="Times New Roman" w:cs="Times New Roman"/>
          <w:color w:val="000000" w:themeColor="text1"/>
          <w:szCs w:val="24"/>
          <w:lang w:eastAsia="fr-FR"/>
        </w:rPr>
        <w:t xml:space="preserve"> 4510 ou 4511 de la législation des installations classées pour la protection de l'environnement dites « </w:t>
      </w:r>
      <w:r w:rsidRPr="001C3192">
        <w:rPr>
          <w:rFonts w:eastAsia="Times New Roman" w:cs="Times New Roman"/>
          <w:color w:val="000000" w:themeColor="text1"/>
          <w:szCs w:val="24"/>
          <w:lang w:eastAsia="fr-FR"/>
        </w:rPr>
        <w:t>rubriques  liquides inflammables » ;</w:t>
      </w:r>
    </w:p>
    <w:p w14:paraId="4193CAB3" w14:textId="3E14EDD7" w:rsidR="00621901" w:rsidRPr="001C3192" w:rsidRDefault="004F45FC" w:rsidP="00621901">
      <w:pPr>
        <w:pStyle w:val="Paragraphedeliste"/>
        <w:numPr>
          <w:ilvl w:val="0"/>
          <w:numId w:val="5"/>
        </w:numPr>
        <w:spacing w:before="100" w:beforeAutospacing="1" w:after="0" w:line="240" w:lineRule="auto"/>
        <w:rPr>
          <w:rFonts w:eastAsia="Times New Roman" w:cs="Times New Roman"/>
          <w:color w:val="000000" w:themeColor="text1"/>
          <w:szCs w:val="24"/>
          <w:lang w:eastAsia="fr-FR"/>
        </w:rPr>
      </w:pPr>
      <w:r w:rsidRPr="001C3192">
        <w:rPr>
          <w:rFonts w:eastAsia="Times New Roman" w:cs="Times New Roman"/>
          <w:color w:val="000000" w:themeColor="text1"/>
          <w:szCs w:val="24"/>
          <w:lang w:eastAsia="fr-FR"/>
        </w:rPr>
        <w:t xml:space="preserve">au sein d’une installation classée </w:t>
      </w:r>
      <w:r w:rsidR="00736F4F" w:rsidRPr="001C3192">
        <w:rPr>
          <w:rFonts w:eastAsia="Times New Roman" w:cs="Times New Roman"/>
          <w:color w:val="000000" w:themeColor="text1"/>
          <w:szCs w:val="24"/>
          <w:lang w:eastAsia="fr-FR"/>
        </w:rPr>
        <w:t xml:space="preserve">soumise à autorisation </w:t>
      </w:r>
      <w:r w:rsidR="003F7312" w:rsidRPr="001C3192">
        <w:rPr>
          <w:rFonts w:eastAsia="Times New Roman" w:cs="Times New Roman"/>
          <w:color w:val="000000" w:themeColor="text1"/>
          <w:szCs w:val="24"/>
          <w:lang w:eastAsia="fr-FR"/>
        </w:rPr>
        <w:t>au titre d’</w:t>
      </w:r>
      <w:r w:rsidRPr="001C3192">
        <w:rPr>
          <w:rFonts w:eastAsia="Times New Roman" w:cs="Times New Roman"/>
          <w:color w:val="000000" w:themeColor="text1"/>
          <w:szCs w:val="24"/>
          <w:lang w:eastAsia="fr-FR"/>
        </w:rPr>
        <w:t>une ou plusieurs autres rubriques</w:t>
      </w:r>
      <w:r w:rsidR="00207096" w:rsidRPr="001C3192">
        <w:rPr>
          <w:rFonts w:eastAsia="Times New Roman" w:cs="Times New Roman"/>
          <w:color w:val="000000" w:themeColor="text1"/>
          <w:szCs w:val="24"/>
          <w:lang w:eastAsia="fr-FR"/>
        </w:rPr>
        <w:t xml:space="preserve"> que les rubriques dites « liquides inflammables »</w:t>
      </w:r>
      <w:r w:rsidRPr="001C3192">
        <w:rPr>
          <w:rFonts w:eastAsia="Times New Roman" w:cs="Times New Roman"/>
          <w:color w:val="000000" w:themeColor="text1"/>
          <w:szCs w:val="24"/>
          <w:lang w:eastAsia="fr-FR"/>
        </w:rPr>
        <w:t xml:space="preserve">, </w:t>
      </w:r>
      <w:r w:rsidR="004D5375" w:rsidRPr="001C3192">
        <w:rPr>
          <w:rFonts w:eastAsia="Times New Roman" w:cs="Times New Roman"/>
          <w:color w:val="000000" w:themeColor="text1"/>
          <w:szCs w:val="24"/>
          <w:lang w:eastAsia="fr-FR"/>
        </w:rPr>
        <w:t xml:space="preserve">dès lors que les quantités susceptibles d’être présentes de la substance ou du mélange dangereux avec une mention de danger H224, H225, H226 </w:t>
      </w:r>
      <w:r w:rsidR="006C451E" w:rsidRPr="001C3192">
        <w:rPr>
          <w:rFonts w:eastAsia="Times New Roman" w:cs="Times New Roman"/>
          <w:color w:val="000000" w:themeColor="text1"/>
          <w:szCs w:val="24"/>
          <w:lang w:eastAsia="fr-FR"/>
        </w:rPr>
        <w:t>et</w:t>
      </w:r>
      <w:r w:rsidR="004D5375" w:rsidRPr="001C3192">
        <w:rPr>
          <w:rFonts w:eastAsia="Times New Roman" w:cs="Times New Roman"/>
          <w:color w:val="000000" w:themeColor="text1"/>
          <w:szCs w:val="24"/>
          <w:lang w:eastAsia="fr-FR"/>
        </w:rPr>
        <w:t xml:space="preserve"> de déchets liquides inflammables catégorisés HP3 </w:t>
      </w:r>
      <w:r w:rsidRPr="001C3192">
        <w:rPr>
          <w:rFonts w:eastAsia="Times New Roman" w:cs="Times New Roman"/>
          <w:color w:val="000000" w:themeColor="text1"/>
          <w:szCs w:val="24"/>
          <w:lang w:eastAsia="fr-FR"/>
        </w:rPr>
        <w:t>dépasse</w:t>
      </w:r>
      <w:r w:rsidR="00F32376" w:rsidRPr="001C3192">
        <w:rPr>
          <w:rFonts w:eastAsia="Times New Roman" w:cs="Times New Roman"/>
          <w:color w:val="000000" w:themeColor="text1"/>
          <w:szCs w:val="24"/>
          <w:lang w:eastAsia="fr-FR"/>
        </w:rPr>
        <w:t>nt</w:t>
      </w:r>
      <w:r w:rsidRPr="001C3192">
        <w:rPr>
          <w:rFonts w:eastAsia="Times New Roman" w:cs="Times New Roman"/>
          <w:color w:val="000000" w:themeColor="text1"/>
          <w:szCs w:val="24"/>
          <w:lang w:eastAsia="fr-FR"/>
        </w:rPr>
        <w:t xml:space="preserve"> </w:t>
      </w:r>
      <w:r w:rsidR="00621901" w:rsidRPr="001C3192">
        <w:rPr>
          <w:rFonts w:eastAsia="Times New Roman" w:cs="Times New Roman"/>
          <w:color w:val="000000" w:themeColor="text1"/>
          <w:szCs w:val="24"/>
          <w:lang w:eastAsia="fr-FR"/>
        </w:rPr>
        <w:t>1000 tonnes au total, ou 100 tonnes en contenants fusibles.</w:t>
      </w:r>
    </w:p>
    <w:p w14:paraId="6366E774" w14:textId="77777777" w:rsidR="00A77752" w:rsidRPr="001C3192" w:rsidRDefault="00A77752" w:rsidP="00B563CA">
      <w:pPr>
        <w:spacing w:after="0" w:line="240" w:lineRule="auto"/>
        <w:rPr>
          <w:rFonts w:eastAsia="Times New Roman" w:cs="Times New Roman"/>
          <w:color w:val="000000" w:themeColor="text1"/>
          <w:szCs w:val="24"/>
          <w:lang w:eastAsia="fr-FR"/>
        </w:rPr>
      </w:pPr>
    </w:p>
    <w:p w14:paraId="7DCA4360" w14:textId="3A2777B9" w:rsidR="00A77752" w:rsidRPr="00B563CA" w:rsidRDefault="002C58F9" w:rsidP="004D05F1">
      <w:pPr>
        <w:pStyle w:val="Titre3"/>
        <w:rPr>
          <w:rFonts w:eastAsia="Times New Roman"/>
          <w:lang w:eastAsia="fr-FR"/>
        </w:rPr>
      </w:pPr>
      <w:r w:rsidRPr="001C3192">
        <w:rPr>
          <w:rFonts w:eastAsia="Times New Roman"/>
          <w:lang w:eastAsia="fr-FR"/>
        </w:rPr>
        <w:t xml:space="preserve">Pour </w:t>
      </w:r>
      <w:r w:rsidR="004F3C38" w:rsidRPr="001C3192">
        <w:rPr>
          <w:rFonts w:eastAsia="Times New Roman"/>
          <w:lang w:eastAsia="fr-FR"/>
        </w:rPr>
        <w:t>les</w:t>
      </w:r>
      <w:r w:rsidRPr="001C3192">
        <w:rPr>
          <w:rFonts w:eastAsia="Times New Roman"/>
          <w:lang w:eastAsia="fr-FR"/>
        </w:rPr>
        <w:t xml:space="preserve"> inst</w:t>
      </w:r>
      <w:r w:rsidR="0045174A" w:rsidRPr="001C3192">
        <w:rPr>
          <w:rFonts w:eastAsia="Times New Roman"/>
          <w:lang w:eastAsia="fr-FR"/>
        </w:rPr>
        <w:t>allations rele</w:t>
      </w:r>
      <w:r w:rsidRPr="001C3192">
        <w:rPr>
          <w:rFonts w:eastAsia="Times New Roman"/>
          <w:lang w:eastAsia="fr-FR"/>
        </w:rPr>
        <w:t>v</w:t>
      </w:r>
      <w:r w:rsidR="00BA3B27" w:rsidRPr="001C3192">
        <w:rPr>
          <w:rFonts w:eastAsia="Times New Roman"/>
          <w:lang w:eastAsia="fr-FR"/>
        </w:rPr>
        <w:t xml:space="preserve">ant </w:t>
      </w:r>
      <w:r w:rsidRPr="001C3192">
        <w:rPr>
          <w:rFonts w:eastAsia="Times New Roman"/>
          <w:lang w:eastAsia="fr-FR"/>
        </w:rPr>
        <w:t>du I, r</w:t>
      </w:r>
      <w:r w:rsidR="00A77752" w:rsidRPr="001C3192">
        <w:rPr>
          <w:rFonts w:eastAsia="Times New Roman"/>
          <w:lang w:eastAsia="fr-FR"/>
        </w:rPr>
        <w:t xml:space="preserve">elèvent également du présent arrêté les </w:t>
      </w:r>
      <w:r w:rsidR="00A60DA7" w:rsidRPr="001C3192">
        <w:rPr>
          <w:rFonts w:eastAsia="Times New Roman"/>
          <w:lang w:eastAsia="fr-FR"/>
        </w:rPr>
        <w:t xml:space="preserve">stockages de </w:t>
      </w:r>
      <w:r w:rsidR="00E674B3" w:rsidRPr="001C3192">
        <w:rPr>
          <w:rFonts w:eastAsia="Times New Roman"/>
          <w:lang w:eastAsia="fr-FR"/>
        </w:rPr>
        <w:t>liquides et solides liquéfiables combustibles</w:t>
      </w:r>
      <w:r w:rsidR="00A77752" w:rsidRPr="001C3192">
        <w:rPr>
          <w:rFonts w:eastAsia="Times New Roman"/>
          <w:lang w:eastAsia="fr-FR"/>
        </w:rPr>
        <w:t xml:space="preserve"> en récipients mobiles situés à proximité de liquides inflammables</w:t>
      </w:r>
      <w:r w:rsidR="00A77752" w:rsidRPr="00B563CA">
        <w:rPr>
          <w:rFonts w:eastAsia="Times New Roman"/>
          <w:lang w:eastAsia="fr-FR"/>
        </w:rPr>
        <w:t>,</w:t>
      </w:r>
      <w:r w:rsidR="00E10138">
        <w:rPr>
          <w:rFonts w:eastAsia="Times New Roman"/>
          <w:lang w:eastAsia="fr-FR"/>
        </w:rPr>
        <w:t xml:space="preserve"> </w:t>
      </w:r>
      <w:r w:rsidR="00463B43">
        <w:rPr>
          <w:rFonts w:eastAsia="Times New Roman"/>
          <w:lang w:eastAsia="fr-FR"/>
        </w:rPr>
        <w:t>quand ils répondent aux conditions de</w:t>
      </w:r>
      <w:r w:rsidR="00E10138">
        <w:rPr>
          <w:rFonts w:eastAsia="Times New Roman"/>
          <w:lang w:eastAsia="fr-FR"/>
        </w:rPr>
        <w:t xml:space="preserve"> proximité définie</w:t>
      </w:r>
      <w:r w:rsidR="00463B43">
        <w:rPr>
          <w:rFonts w:eastAsia="Times New Roman"/>
          <w:lang w:eastAsia="fr-FR"/>
        </w:rPr>
        <w:t>s</w:t>
      </w:r>
      <w:r w:rsidR="00E10138">
        <w:rPr>
          <w:rFonts w:eastAsia="Times New Roman"/>
          <w:lang w:eastAsia="fr-FR"/>
        </w:rPr>
        <w:t xml:space="preserve"> dans </w:t>
      </w:r>
      <w:r w:rsidR="00E10138" w:rsidRPr="00F60A46">
        <w:rPr>
          <w:rFonts w:eastAsia="Times New Roman"/>
          <w:highlight w:val="yellow"/>
          <w:lang w:eastAsia="fr-FR"/>
        </w:rPr>
        <w:t>l’article I-3.</w:t>
      </w:r>
      <w:r w:rsidR="00A77752" w:rsidRPr="00B563CA">
        <w:rPr>
          <w:rFonts w:eastAsia="Times New Roman"/>
          <w:lang w:eastAsia="fr-FR"/>
        </w:rPr>
        <w:t xml:space="preserve"> </w:t>
      </w:r>
    </w:p>
    <w:p w14:paraId="3BB265F3" w14:textId="77777777" w:rsidR="006044C7" w:rsidRDefault="006044C7" w:rsidP="00B563CA">
      <w:pPr>
        <w:spacing w:after="0" w:line="240" w:lineRule="auto"/>
        <w:rPr>
          <w:rFonts w:eastAsia="Times New Roman" w:cs="Times New Roman"/>
          <w:szCs w:val="24"/>
          <w:lang w:eastAsia="fr-FR"/>
        </w:rPr>
      </w:pPr>
    </w:p>
    <w:p w14:paraId="59762C9C" w14:textId="068CEA27" w:rsidR="00610FC6" w:rsidRDefault="002C58F9" w:rsidP="008008F7">
      <w:pPr>
        <w:pStyle w:val="Titre3"/>
        <w:rPr>
          <w:rFonts w:eastAsia="Times New Roman"/>
          <w:lang w:eastAsia="fr-FR"/>
        </w:rPr>
      </w:pPr>
      <w:r>
        <w:rPr>
          <w:rFonts w:eastAsia="Times New Roman"/>
          <w:lang w:eastAsia="fr-FR"/>
        </w:rPr>
        <w:lastRenderedPageBreak/>
        <w:t xml:space="preserve">Pour les </w:t>
      </w:r>
      <w:r w:rsidR="0045174A">
        <w:rPr>
          <w:rFonts w:eastAsia="Times New Roman"/>
          <w:lang w:eastAsia="fr-FR"/>
        </w:rPr>
        <w:t>installations rele</w:t>
      </w:r>
      <w:r>
        <w:rPr>
          <w:rFonts w:eastAsia="Times New Roman"/>
          <w:lang w:eastAsia="fr-FR"/>
        </w:rPr>
        <w:t>v</w:t>
      </w:r>
      <w:r w:rsidR="00BA3B27">
        <w:rPr>
          <w:rFonts w:eastAsia="Times New Roman"/>
          <w:lang w:eastAsia="fr-FR"/>
        </w:rPr>
        <w:t>ant</w:t>
      </w:r>
      <w:r>
        <w:rPr>
          <w:rFonts w:eastAsia="Times New Roman"/>
          <w:lang w:eastAsia="fr-FR"/>
        </w:rPr>
        <w:t xml:space="preserve"> du I., </w:t>
      </w:r>
      <w:r w:rsidR="001C3192">
        <w:rPr>
          <w:rFonts w:eastAsia="Times New Roman"/>
          <w:lang w:eastAsia="fr-FR"/>
        </w:rPr>
        <w:t>l</w:t>
      </w:r>
      <w:r w:rsidR="008008F7" w:rsidRPr="008008F7">
        <w:rPr>
          <w:rFonts w:eastAsia="Times New Roman"/>
          <w:lang w:eastAsia="fr-FR"/>
        </w:rPr>
        <w:t>es dispositions du présent arrêté so</w:t>
      </w:r>
      <w:r w:rsidR="008008F7">
        <w:rPr>
          <w:rFonts w:eastAsia="Times New Roman"/>
          <w:lang w:eastAsia="fr-FR"/>
        </w:rPr>
        <w:t>nt applicables à l’ensemble des liquides</w:t>
      </w:r>
      <w:r w:rsidR="008008F7" w:rsidRPr="008008F7">
        <w:rPr>
          <w:rFonts w:eastAsia="Times New Roman"/>
          <w:lang w:eastAsia="fr-FR"/>
        </w:rPr>
        <w:t xml:space="preserve"> de mention de danger H224, H225 et H226,  liquides de points éclair compris entre 60 et 93°C</w:t>
      </w:r>
      <w:r w:rsidR="00FB5EFE">
        <w:rPr>
          <w:rFonts w:eastAsia="Times New Roman"/>
          <w:lang w:eastAsia="fr-FR"/>
        </w:rPr>
        <w:t xml:space="preserve"> et </w:t>
      </w:r>
      <w:r w:rsidR="00FB5EFE" w:rsidRPr="008008F7">
        <w:rPr>
          <w:rFonts w:eastAsia="Times New Roman"/>
          <w:lang w:eastAsia="fr-FR"/>
        </w:rPr>
        <w:t>déchets liquides inflammables catégorisés HP3</w:t>
      </w:r>
      <w:r w:rsidR="00BA3B27">
        <w:rPr>
          <w:rFonts w:eastAsia="Times New Roman"/>
          <w:lang w:eastAsia="fr-FR"/>
        </w:rPr>
        <w:t>.</w:t>
      </w:r>
      <w:r w:rsidR="008008F7" w:rsidRPr="008008F7">
        <w:rPr>
          <w:rFonts w:eastAsia="Times New Roman"/>
          <w:lang w:eastAsia="fr-FR"/>
        </w:rPr>
        <w:t>.</w:t>
      </w:r>
      <w:r w:rsidR="00610FC6" w:rsidRPr="00B563CA" w:rsidDel="00FA57B7">
        <w:rPr>
          <w:rFonts w:eastAsia="Times New Roman"/>
          <w:lang w:eastAsia="fr-FR"/>
        </w:rPr>
        <w:t xml:space="preserve"> </w:t>
      </w:r>
    </w:p>
    <w:p w14:paraId="39B0BCF2" w14:textId="708468E0" w:rsidR="004D05F1" w:rsidRDefault="0061278F" w:rsidP="004C6B19">
      <w:pPr>
        <w:spacing w:after="0" w:line="240" w:lineRule="auto"/>
        <w:ind w:left="454"/>
        <w:rPr>
          <w:rFonts w:eastAsia="Times New Roman" w:cs="Times New Roman"/>
          <w:szCs w:val="24"/>
          <w:lang w:eastAsia="fr-FR"/>
        </w:rPr>
      </w:pPr>
      <w:r w:rsidRPr="00F8352D">
        <w:rPr>
          <w:rFonts w:eastAsia="Times New Roman" w:cs="Times New Roman"/>
          <w:szCs w:val="24"/>
          <w:lang w:eastAsia="fr-FR"/>
        </w:rPr>
        <w:t xml:space="preserve">Pour les </w:t>
      </w:r>
      <w:r w:rsidR="00E674B3">
        <w:rPr>
          <w:rFonts w:eastAsia="Times New Roman" w:cs="Times New Roman"/>
          <w:szCs w:val="24"/>
          <w:lang w:eastAsia="fr-FR"/>
        </w:rPr>
        <w:t>liquides et solides liquéfiables combustibles</w:t>
      </w:r>
      <w:r w:rsidRPr="00F8352D">
        <w:rPr>
          <w:rFonts w:eastAsia="Times New Roman" w:cs="Times New Roman"/>
          <w:szCs w:val="24"/>
          <w:lang w:eastAsia="fr-FR"/>
        </w:rPr>
        <w:t xml:space="preserve"> relevant du </w:t>
      </w:r>
      <w:r w:rsidRPr="00F60A46">
        <w:rPr>
          <w:rFonts w:eastAsia="Times New Roman" w:cs="Times New Roman"/>
          <w:szCs w:val="24"/>
          <w:highlight w:val="yellow"/>
          <w:lang w:eastAsia="fr-FR"/>
        </w:rPr>
        <w:t>II du présent article</w:t>
      </w:r>
      <w:r w:rsidR="00792D75">
        <w:rPr>
          <w:rFonts w:eastAsia="Times New Roman" w:cs="Times New Roman"/>
          <w:szCs w:val="24"/>
          <w:lang w:eastAsia="fr-FR"/>
        </w:rPr>
        <w:t>, l</w:t>
      </w:r>
      <w:r w:rsidR="00D554E3" w:rsidRPr="00F8352D">
        <w:rPr>
          <w:rFonts w:eastAsia="Times New Roman" w:cs="Times New Roman"/>
          <w:szCs w:val="24"/>
          <w:lang w:eastAsia="fr-FR"/>
        </w:rPr>
        <w:t xml:space="preserve">es </w:t>
      </w:r>
      <w:r w:rsidRPr="00F8352D">
        <w:rPr>
          <w:rFonts w:eastAsia="Times New Roman" w:cs="Times New Roman"/>
          <w:szCs w:val="24"/>
          <w:lang w:eastAsia="fr-FR"/>
        </w:rPr>
        <w:t>dispositions du présent arrêté sont applicables selon les modalités précisées dans les articles concernés.</w:t>
      </w:r>
    </w:p>
    <w:p w14:paraId="22B85ED3" w14:textId="77777777" w:rsidR="004C6B19" w:rsidRPr="004C6B19" w:rsidRDefault="004C6B19" w:rsidP="004C6B19">
      <w:pPr>
        <w:spacing w:after="0" w:line="240" w:lineRule="auto"/>
        <w:ind w:left="454"/>
        <w:rPr>
          <w:rFonts w:eastAsia="Times New Roman" w:cs="Times New Roman"/>
          <w:szCs w:val="24"/>
          <w:lang w:eastAsia="fr-FR"/>
        </w:rPr>
      </w:pPr>
    </w:p>
    <w:p w14:paraId="3F3F24D9" w14:textId="632F94A2" w:rsidR="0096320D" w:rsidRDefault="00A60DA7" w:rsidP="004D05F1">
      <w:pPr>
        <w:pStyle w:val="Titre3"/>
      </w:pPr>
      <w:r>
        <w:t>Pour l’application du présent arrêté, u</w:t>
      </w:r>
      <w:r w:rsidR="0096320D">
        <w:t xml:space="preserve">ne installation nouvelle est une installation dont le </w:t>
      </w:r>
      <w:r w:rsidR="0096320D" w:rsidRPr="0096320D">
        <w:t>dépôt du dossier complet</w:t>
      </w:r>
      <w:r w:rsidR="0096320D">
        <w:t xml:space="preserve"> d’</w:t>
      </w:r>
      <w:r w:rsidR="00FA588C">
        <w:t>autorisation est réalisé après</w:t>
      </w:r>
      <w:r w:rsidR="0096320D">
        <w:t xml:space="preserve"> le 1</w:t>
      </w:r>
      <w:r w:rsidR="0096320D" w:rsidRPr="00792D75">
        <w:rPr>
          <w:vertAlign w:val="superscript"/>
        </w:rPr>
        <w:t>er</w:t>
      </w:r>
      <w:r w:rsidR="0096320D">
        <w:t xml:space="preserve"> janvier 2021.</w:t>
      </w:r>
    </w:p>
    <w:p w14:paraId="4CC4BC41" w14:textId="3BDBB76B" w:rsidR="0096320D" w:rsidRDefault="0096320D" w:rsidP="004C6B19">
      <w:pPr>
        <w:pStyle w:val="NormalWeb"/>
        <w:spacing w:before="0" w:beforeAutospacing="0" w:after="0" w:afterAutospacing="0"/>
        <w:ind w:firstLine="454"/>
        <w:rPr>
          <w:color w:val="000000"/>
        </w:rPr>
      </w:pPr>
      <w:r>
        <w:rPr>
          <w:color w:val="000000"/>
        </w:rPr>
        <w:t>Les autres installations sont considérées comme existantes.</w:t>
      </w:r>
    </w:p>
    <w:p w14:paraId="77186174" w14:textId="1D850BE5" w:rsidR="0096320D" w:rsidRPr="0096320D" w:rsidRDefault="0096320D" w:rsidP="004C6B19">
      <w:pPr>
        <w:pStyle w:val="NormalWeb"/>
        <w:spacing w:before="0" w:beforeAutospacing="0" w:after="0"/>
        <w:ind w:left="454"/>
        <w:rPr>
          <w:color w:val="000000"/>
        </w:rPr>
      </w:pPr>
      <w:r>
        <w:rPr>
          <w:color w:val="000000"/>
        </w:rPr>
        <w:t>Les extensions ou modifications d’installations existantes définies ci-dessus régulièrement mises en services sont considérés comment installations nouvelles lorsqu’elles nécessite</w:t>
      </w:r>
      <w:r w:rsidR="00792D75">
        <w:rPr>
          <w:color w:val="000000"/>
        </w:rPr>
        <w:t>nt</w:t>
      </w:r>
      <w:r>
        <w:rPr>
          <w:color w:val="000000"/>
        </w:rPr>
        <w:t xml:space="preserve"> le dépôt d’une nouvelle autorisation en application de l’article R. 181-46 du code de l’environnement au-delà du 1</w:t>
      </w:r>
      <w:r w:rsidRPr="00792D75">
        <w:rPr>
          <w:color w:val="000000"/>
          <w:vertAlign w:val="superscript"/>
        </w:rPr>
        <w:t>er</w:t>
      </w:r>
      <w:r>
        <w:rPr>
          <w:color w:val="000000"/>
        </w:rPr>
        <w:t xml:space="preserve"> janvier 2021.</w:t>
      </w:r>
    </w:p>
    <w:p w14:paraId="246194FA" w14:textId="0B926232" w:rsidR="00AB1966" w:rsidRDefault="0096320D" w:rsidP="004C6B19">
      <w:pPr>
        <w:spacing w:after="0" w:line="240" w:lineRule="auto"/>
        <w:ind w:firstLine="454"/>
        <w:rPr>
          <w:rFonts w:eastAsia="Times New Roman" w:cs="Times New Roman"/>
          <w:szCs w:val="24"/>
          <w:lang w:eastAsia="fr-FR"/>
        </w:rPr>
      </w:pPr>
      <w:r>
        <w:rPr>
          <w:rFonts w:eastAsia="Times New Roman" w:cs="Times New Roman"/>
          <w:szCs w:val="24"/>
          <w:lang w:eastAsia="fr-FR"/>
        </w:rPr>
        <w:t xml:space="preserve">L’ensemble des </w:t>
      </w:r>
      <w:r w:rsidRPr="00F60A46">
        <w:rPr>
          <w:rFonts w:eastAsia="Times New Roman" w:cs="Times New Roman"/>
          <w:szCs w:val="24"/>
          <w:highlight w:val="yellow"/>
          <w:lang w:eastAsia="fr-FR"/>
        </w:rPr>
        <w:t xml:space="preserve">articles </w:t>
      </w:r>
      <w:r w:rsidR="00782605" w:rsidRPr="00F60A46">
        <w:rPr>
          <w:rFonts w:eastAsia="Times New Roman" w:cs="Times New Roman"/>
          <w:szCs w:val="24"/>
          <w:highlight w:val="yellow"/>
          <w:lang w:eastAsia="fr-FR"/>
        </w:rPr>
        <w:t>I-</w:t>
      </w:r>
      <w:r w:rsidR="00CE3370" w:rsidRPr="00F60A46">
        <w:rPr>
          <w:rFonts w:eastAsia="Times New Roman" w:cs="Times New Roman"/>
          <w:szCs w:val="24"/>
          <w:highlight w:val="yellow"/>
          <w:lang w:eastAsia="fr-FR"/>
        </w:rPr>
        <w:t xml:space="preserve">2 à </w:t>
      </w:r>
      <w:r w:rsidR="00CE3370">
        <w:rPr>
          <w:rFonts w:eastAsia="Times New Roman" w:cs="Times New Roman"/>
          <w:szCs w:val="24"/>
          <w:highlight w:val="yellow"/>
          <w:lang w:eastAsia="fr-FR"/>
        </w:rPr>
        <w:t>VII-1</w:t>
      </w:r>
      <w:r>
        <w:rPr>
          <w:rFonts w:eastAsia="Times New Roman" w:cs="Times New Roman"/>
          <w:szCs w:val="24"/>
          <w:lang w:eastAsia="fr-FR"/>
        </w:rPr>
        <w:t xml:space="preserve"> sont applicables aux installations nouvelles.</w:t>
      </w:r>
    </w:p>
    <w:p w14:paraId="0336CE07" w14:textId="15FFF87B" w:rsidR="0096320D" w:rsidRPr="00AB1966" w:rsidRDefault="0096320D" w:rsidP="004C6B19">
      <w:pPr>
        <w:spacing w:after="0" w:line="240" w:lineRule="auto"/>
        <w:ind w:left="454"/>
        <w:rPr>
          <w:rFonts w:eastAsia="Times New Roman" w:cs="Times New Roman"/>
          <w:szCs w:val="24"/>
          <w:lang w:eastAsia="fr-FR"/>
        </w:rPr>
      </w:pPr>
      <w:r>
        <w:rPr>
          <w:rFonts w:eastAsia="Times New Roman" w:cs="Times New Roman"/>
          <w:szCs w:val="24"/>
          <w:lang w:eastAsia="fr-FR"/>
        </w:rPr>
        <w:t>Pour les installations existantes, les annexes I,</w:t>
      </w:r>
      <w:r w:rsidR="00123105">
        <w:rPr>
          <w:rFonts w:eastAsia="Times New Roman" w:cs="Times New Roman"/>
          <w:szCs w:val="24"/>
          <w:lang w:eastAsia="fr-FR"/>
        </w:rPr>
        <w:t xml:space="preserve"> </w:t>
      </w:r>
      <w:r>
        <w:rPr>
          <w:rFonts w:eastAsia="Times New Roman" w:cs="Times New Roman"/>
          <w:szCs w:val="24"/>
          <w:lang w:eastAsia="fr-FR"/>
        </w:rPr>
        <w:t xml:space="preserve">II ou </w:t>
      </w:r>
      <w:r w:rsidR="00123105">
        <w:rPr>
          <w:rFonts w:eastAsia="Times New Roman" w:cs="Times New Roman"/>
          <w:szCs w:val="24"/>
          <w:lang w:eastAsia="fr-FR"/>
        </w:rPr>
        <w:t>III</w:t>
      </w:r>
      <w:r>
        <w:rPr>
          <w:rFonts w:eastAsia="Times New Roman" w:cs="Times New Roman"/>
          <w:szCs w:val="24"/>
          <w:lang w:eastAsia="fr-FR"/>
        </w:rPr>
        <w:t xml:space="preserve"> </w:t>
      </w:r>
      <w:r w:rsidR="001736C0">
        <w:rPr>
          <w:rFonts w:eastAsia="Times New Roman" w:cs="Times New Roman"/>
          <w:szCs w:val="24"/>
          <w:lang w:eastAsia="fr-FR"/>
        </w:rPr>
        <w:t xml:space="preserve">ainsi que les IV et V </w:t>
      </w:r>
      <w:r>
        <w:rPr>
          <w:rFonts w:eastAsia="Times New Roman" w:cs="Times New Roman"/>
          <w:szCs w:val="24"/>
          <w:lang w:eastAsia="fr-FR"/>
        </w:rPr>
        <w:t xml:space="preserve">définissent les prescriptions applicables en lieu et place des </w:t>
      </w:r>
      <w:r w:rsidR="00FA588C">
        <w:rPr>
          <w:rFonts w:eastAsia="Times New Roman" w:cs="Times New Roman"/>
          <w:szCs w:val="24"/>
          <w:lang w:eastAsia="fr-FR"/>
        </w:rPr>
        <w:t xml:space="preserve">dispositions correspondantes </w:t>
      </w:r>
      <w:r w:rsidR="00FA588C" w:rsidRPr="00F60A46">
        <w:rPr>
          <w:rFonts w:eastAsia="Times New Roman" w:cs="Times New Roman"/>
          <w:szCs w:val="24"/>
          <w:highlight w:val="yellow"/>
          <w:lang w:eastAsia="fr-FR"/>
        </w:rPr>
        <w:t xml:space="preserve">des </w:t>
      </w:r>
      <w:r w:rsidRPr="00F60A46">
        <w:rPr>
          <w:rFonts w:eastAsia="Times New Roman" w:cs="Times New Roman"/>
          <w:szCs w:val="24"/>
          <w:highlight w:val="yellow"/>
          <w:lang w:eastAsia="fr-FR"/>
        </w:rPr>
        <w:t xml:space="preserve">articles </w:t>
      </w:r>
      <w:r w:rsidR="00966A00" w:rsidRPr="00F60A46">
        <w:rPr>
          <w:rFonts w:eastAsia="Times New Roman" w:cs="Times New Roman"/>
          <w:szCs w:val="24"/>
          <w:highlight w:val="yellow"/>
          <w:lang w:eastAsia="fr-FR"/>
        </w:rPr>
        <w:t>I-</w:t>
      </w:r>
      <w:r w:rsidR="00CE3370" w:rsidRPr="00F60A46">
        <w:rPr>
          <w:rFonts w:eastAsia="Times New Roman" w:cs="Times New Roman"/>
          <w:szCs w:val="24"/>
          <w:highlight w:val="yellow"/>
          <w:lang w:eastAsia="fr-FR"/>
        </w:rPr>
        <w:t>2 à VII-1</w:t>
      </w:r>
      <w:r>
        <w:rPr>
          <w:rFonts w:eastAsia="Times New Roman" w:cs="Times New Roman"/>
          <w:szCs w:val="24"/>
          <w:lang w:eastAsia="fr-FR"/>
        </w:rPr>
        <w:t>.</w:t>
      </w:r>
    </w:p>
    <w:p w14:paraId="70A48AE1" w14:textId="77777777" w:rsidR="00FA57B7" w:rsidRPr="009A214B" w:rsidRDefault="00FA57B7" w:rsidP="009A214B">
      <w:pPr>
        <w:spacing w:after="0" w:line="240" w:lineRule="auto"/>
        <w:rPr>
          <w:rFonts w:eastAsia="Times New Roman" w:cs="Times New Roman"/>
          <w:szCs w:val="24"/>
          <w:lang w:eastAsia="fr-FR"/>
        </w:rPr>
      </w:pPr>
    </w:p>
    <w:p w14:paraId="52FE353E" w14:textId="2785C3A9" w:rsidR="002C1A5C" w:rsidRPr="0011375E" w:rsidRDefault="002C1A5C" w:rsidP="002C1A5C">
      <w:pPr>
        <w:pStyle w:val="Titre3"/>
        <w:rPr>
          <w:rFonts w:eastAsia="Times New Roman"/>
          <w:lang w:eastAsia="fr-FR"/>
        </w:rPr>
      </w:pPr>
      <w:r w:rsidRPr="0011375E">
        <w:rPr>
          <w:rFonts w:eastAsia="Times New Roman"/>
          <w:lang w:eastAsia="fr-FR"/>
        </w:rPr>
        <w:t>Po</w:t>
      </w:r>
      <w:r>
        <w:rPr>
          <w:rFonts w:eastAsia="Times New Roman"/>
          <w:lang w:eastAsia="fr-FR"/>
        </w:rPr>
        <w:t xml:space="preserve">ur les </w:t>
      </w:r>
      <w:r w:rsidRPr="0011375E">
        <w:rPr>
          <w:rFonts w:eastAsia="Times New Roman"/>
          <w:lang w:eastAsia="fr-FR"/>
        </w:rPr>
        <w:t xml:space="preserve">installations existantes relevant </w:t>
      </w:r>
      <w:r w:rsidRPr="00F60A46">
        <w:rPr>
          <w:rFonts w:eastAsia="Times New Roman"/>
          <w:highlight w:val="yellow"/>
          <w:lang w:eastAsia="fr-FR"/>
        </w:rPr>
        <w:t xml:space="preserve">du </w:t>
      </w:r>
      <w:r w:rsidR="00966A00" w:rsidRPr="00F60A46">
        <w:rPr>
          <w:rFonts w:eastAsia="Times New Roman"/>
          <w:highlight w:val="yellow"/>
          <w:lang w:eastAsia="fr-FR"/>
        </w:rPr>
        <w:t xml:space="preserve">point </w:t>
      </w:r>
      <w:r w:rsidRPr="00F60A46">
        <w:rPr>
          <w:rFonts w:eastAsia="Times New Roman"/>
          <w:highlight w:val="yellow"/>
          <w:lang w:eastAsia="fr-FR"/>
        </w:rPr>
        <w:t>I.2 du présent article</w:t>
      </w:r>
      <w:r w:rsidRPr="0011375E">
        <w:rPr>
          <w:rFonts w:eastAsia="Times New Roman"/>
          <w:lang w:eastAsia="fr-FR"/>
        </w:rPr>
        <w:t>, l’exploitant se fait connaître du Préfet et de l’inspection des installations classées au plus tard le 1</w:t>
      </w:r>
      <w:r w:rsidRPr="0011375E">
        <w:rPr>
          <w:rFonts w:eastAsia="Times New Roman"/>
          <w:vertAlign w:val="superscript"/>
          <w:lang w:eastAsia="fr-FR"/>
        </w:rPr>
        <w:t>er</w:t>
      </w:r>
      <w:r w:rsidRPr="0011375E">
        <w:rPr>
          <w:rFonts w:eastAsia="Times New Roman"/>
          <w:lang w:eastAsia="fr-FR"/>
        </w:rPr>
        <w:t xml:space="preserve"> janvier 2022. A cet effet, il fourni</w:t>
      </w:r>
      <w:r w:rsidR="00A60DA7">
        <w:rPr>
          <w:rFonts w:eastAsia="Times New Roman"/>
          <w:lang w:eastAsia="fr-FR"/>
        </w:rPr>
        <w:t>t</w:t>
      </w:r>
      <w:r w:rsidRPr="0011375E">
        <w:rPr>
          <w:rFonts w:eastAsia="Times New Roman"/>
          <w:lang w:eastAsia="fr-FR"/>
        </w:rPr>
        <w:t xml:space="preserve"> une description des quantités </w:t>
      </w:r>
      <w:r>
        <w:rPr>
          <w:rFonts w:eastAsia="Times New Roman"/>
          <w:lang w:eastAsia="fr-FR"/>
        </w:rPr>
        <w:t xml:space="preserve">de liquides inflammables </w:t>
      </w:r>
      <w:r w:rsidRPr="0011375E">
        <w:rPr>
          <w:rFonts w:eastAsia="Times New Roman"/>
          <w:lang w:eastAsia="fr-FR"/>
        </w:rPr>
        <w:t>susceptibles d’être présentes, des caractéristiques des installations ainsi qu’un bilan de conformité</w:t>
      </w:r>
      <w:r w:rsidR="0006300B">
        <w:rPr>
          <w:rFonts w:eastAsia="Times New Roman"/>
          <w:lang w:eastAsia="fr-FR"/>
        </w:rPr>
        <w:t xml:space="preserve"> aux prescriptions qui leur sont applicables du</w:t>
      </w:r>
      <w:r w:rsidRPr="0011375E">
        <w:rPr>
          <w:rFonts w:eastAsia="Times New Roman"/>
          <w:lang w:eastAsia="fr-FR"/>
        </w:rPr>
        <w:t xml:space="preserve"> présent arrêté.</w:t>
      </w:r>
    </w:p>
    <w:p w14:paraId="5C9DCC86" w14:textId="11B9FE65" w:rsidR="00A77752" w:rsidRDefault="00A77752" w:rsidP="009A214B">
      <w:pPr>
        <w:spacing w:after="0" w:line="240" w:lineRule="auto"/>
        <w:rPr>
          <w:rFonts w:eastAsia="Times New Roman" w:cs="Times New Roman"/>
          <w:szCs w:val="24"/>
          <w:lang w:eastAsia="fr-FR"/>
        </w:rPr>
      </w:pPr>
    </w:p>
    <w:p w14:paraId="276118B9" w14:textId="77777777" w:rsidR="002C1A5C" w:rsidRPr="00610FC6" w:rsidRDefault="002C1A5C" w:rsidP="009A214B">
      <w:pPr>
        <w:spacing w:after="0" w:line="240" w:lineRule="auto"/>
        <w:rPr>
          <w:rFonts w:eastAsia="Times New Roman" w:cs="Times New Roman"/>
          <w:szCs w:val="24"/>
          <w:lang w:eastAsia="fr-FR"/>
        </w:rPr>
      </w:pPr>
    </w:p>
    <w:p w14:paraId="2DACA0E7" w14:textId="5B0492C2" w:rsidR="00F8352D" w:rsidRPr="00CB0507" w:rsidRDefault="00CB0507" w:rsidP="00CB0507">
      <w:pPr>
        <w:pStyle w:val="Titre2"/>
      </w:pPr>
      <w:bookmarkStart w:id="4" w:name="LEGIARTI000023100753"/>
      <w:bookmarkStart w:id="5" w:name="LEGIARTI000023797063"/>
      <w:bookmarkStart w:id="6" w:name="LEGIARTI000030829284"/>
      <w:bookmarkEnd w:id="4"/>
      <w:bookmarkEnd w:id="5"/>
      <w:bookmarkEnd w:id="6"/>
      <w:r>
        <w:t>Définitions</w:t>
      </w:r>
    </w:p>
    <w:p w14:paraId="1161C800" w14:textId="1C6D719F" w:rsidR="00610FC6" w:rsidRPr="00610FC6" w:rsidRDefault="00610FC6" w:rsidP="009A214B">
      <w:pPr>
        <w:spacing w:after="0" w:line="240" w:lineRule="auto"/>
        <w:rPr>
          <w:rFonts w:eastAsia="Times New Roman" w:cs="Times New Roman"/>
          <w:szCs w:val="24"/>
          <w:lang w:eastAsia="fr-FR"/>
        </w:rPr>
      </w:pPr>
      <w:r w:rsidRPr="00610FC6">
        <w:rPr>
          <w:rFonts w:eastAsia="Times New Roman" w:cs="Times New Roman"/>
          <w:szCs w:val="24"/>
          <w:lang w:eastAsia="fr-FR"/>
        </w:rPr>
        <w:t>Au sens du présent arrêté, on entend par :</w:t>
      </w:r>
    </w:p>
    <w:p w14:paraId="6F4262AB" w14:textId="3ED65762" w:rsidR="001E19D2" w:rsidRDefault="00610FC6" w:rsidP="006F21C4">
      <w:pPr>
        <w:pStyle w:val="Paragraphedeliste"/>
        <w:numPr>
          <w:ilvl w:val="0"/>
          <w:numId w:val="3"/>
        </w:numPr>
        <w:spacing w:after="0" w:line="240" w:lineRule="auto"/>
        <w:rPr>
          <w:rFonts w:eastAsia="Times New Roman" w:cs="Times New Roman"/>
          <w:szCs w:val="24"/>
          <w:lang w:eastAsia="fr-FR"/>
        </w:rPr>
      </w:pPr>
      <w:r w:rsidRPr="001E19D2">
        <w:rPr>
          <w:rFonts w:eastAsia="Times New Roman" w:cs="Times New Roman"/>
          <w:szCs w:val="24"/>
          <w:lang w:eastAsia="fr-FR"/>
        </w:rPr>
        <w:t>accès au site : ouverture reliant la voie de desserte ou publique et l'intérieur du site suffisamment dimensionnée pour permettre l'entrée des engins de secours et leur mise en œuvre ;</w:t>
      </w:r>
    </w:p>
    <w:p w14:paraId="5909E0F9" w14:textId="17FAF19B" w:rsidR="001334A6" w:rsidRDefault="001334A6" w:rsidP="001334A6">
      <w:pPr>
        <w:pStyle w:val="Paragraphedeliste"/>
        <w:numPr>
          <w:ilvl w:val="0"/>
          <w:numId w:val="3"/>
        </w:numPr>
        <w:spacing w:after="0" w:line="240" w:lineRule="auto"/>
        <w:rPr>
          <w:rFonts w:eastAsia="Times New Roman" w:cs="Times New Roman"/>
          <w:szCs w:val="24"/>
          <w:lang w:eastAsia="fr-FR"/>
        </w:rPr>
      </w:pPr>
      <w:r>
        <w:rPr>
          <w:rFonts w:eastAsia="Times New Roman" w:cs="Times New Roman"/>
          <w:szCs w:val="24"/>
          <w:lang w:eastAsia="fr-FR"/>
        </w:rPr>
        <w:t xml:space="preserve">armoire de stockage : armoire </w:t>
      </w:r>
      <w:r w:rsidR="008B4387">
        <w:rPr>
          <w:rFonts w:eastAsia="Times New Roman" w:cs="Times New Roman"/>
          <w:szCs w:val="24"/>
          <w:lang w:eastAsia="fr-FR"/>
        </w:rPr>
        <w:t xml:space="preserve">close </w:t>
      </w:r>
      <w:r>
        <w:rPr>
          <w:rFonts w:eastAsia="Times New Roman" w:cs="Times New Roman"/>
          <w:szCs w:val="24"/>
          <w:lang w:eastAsia="fr-FR"/>
        </w:rPr>
        <w:t>dédiée au stockage de substances, mélanges ou déchets e</w:t>
      </w:r>
      <w:r w:rsidR="008B4387">
        <w:rPr>
          <w:rFonts w:eastAsia="Times New Roman" w:cs="Times New Roman"/>
          <w:szCs w:val="24"/>
          <w:lang w:eastAsia="fr-FR"/>
        </w:rPr>
        <w:t>n récipients mobiles, et</w:t>
      </w:r>
      <w:r w:rsidRPr="001334A6">
        <w:rPr>
          <w:rFonts w:eastAsia="Times New Roman" w:cs="Times New Roman"/>
          <w:szCs w:val="24"/>
          <w:lang w:eastAsia="fr-FR"/>
        </w:rPr>
        <w:t xml:space="preserve"> ne permettant aucune circulation des personnes.</w:t>
      </w:r>
    </w:p>
    <w:p w14:paraId="6D6B4876" w14:textId="229D6839" w:rsidR="002D5E70" w:rsidRDefault="002D5E70" w:rsidP="006F21C4">
      <w:pPr>
        <w:pStyle w:val="Paragraphedeliste"/>
        <w:numPr>
          <w:ilvl w:val="0"/>
          <w:numId w:val="3"/>
        </w:numPr>
        <w:spacing w:after="0" w:line="240" w:lineRule="auto"/>
        <w:rPr>
          <w:rFonts w:eastAsia="Times New Roman" w:cs="Times New Roman"/>
          <w:szCs w:val="24"/>
          <w:lang w:eastAsia="fr-FR"/>
        </w:rPr>
      </w:pPr>
      <w:r w:rsidRPr="002D5E70">
        <w:rPr>
          <w:rFonts w:eastAsia="Times New Roman" w:cs="Times New Roman"/>
          <w:szCs w:val="24"/>
          <w:lang w:eastAsia="fr-FR"/>
        </w:rPr>
        <w:t>bandes de protection : bandes disposées sur les revêtements d'étanchéité le long des murs séparatifs entre cellules, destinées à prévenir la propagation d'un sinistre d'une cellule à l'autre par la toiture ;</w:t>
      </w:r>
    </w:p>
    <w:p w14:paraId="488F1D34" w14:textId="5F4DBFC9" w:rsidR="00BF2F34" w:rsidRDefault="00BF2F34" w:rsidP="006F21C4">
      <w:pPr>
        <w:pStyle w:val="Paragraphedeliste"/>
        <w:numPr>
          <w:ilvl w:val="0"/>
          <w:numId w:val="3"/>
        </w:numPr>
        <w:spacing w:after="0" w:line="240" w:lineRule="auto"/>
        <w:rPr>
          <w:rFonts w:eastAsia="Times New Roman" w:cs="Times New Roman"/>
          <w:szCs w:val="24"/>
          <w:lang w:eastAsia="fr-FR"/>
        </w:rPr>
      </w:pPr>
      <w:r>
        <w:rPr>
          <w:rFonts w:eastAsia="Times New Roman" w:cs="Times New Roman"/>
          <w:szCs w:val="24"/>
          <w:lang w:eastAsia="fr-FR"/>
        </w:rPr>
        <w:t>bassin de confinement : zone étanche destinée à recueillir l</w:t>
      </w:r>
      <w:r w:rsidRPr="00203154">
        <w:rPr>
          <w:rFonts w:eastAsia="Times New Roman" w:cs="Times New Roman"/>
          <w:szCs w:val="24"/>
          <w:lang w:eastAsia="fr-FR"/>
        </w:rPr>
        <w:t xml:space="preserve">es eaux pluviales susceptibles d'être polluées </w:t>
      </w:r>
      <w:r>
        <w:rPr>
          <w:rFonts w:eastAsia="Times New Roman" w:cs="Times New Roman"/>
          <w:szCs w:val="24"/>
          <w:lang w:eastAsia="fr-FR"/>
        </w:rPr>
        <w:t xml:space="preserve">ainsi que </w:t>
      </w:r>
      <w:r w:rsidRPr="00203154">
        <w:rPr>
          <w:rFonts w:eastAsia="Times New Roman" w:cs="Times New Roman"/>
          <w:szCs w:val="24"/>
          <w:lang w:eastAsia="fr-FR"/>
        </w:rPr>
        <w:t>les eaux d'incendie</w:t>
      </w:r>
      <w:r>
        <w:rPr>
          <w:rFonts w:eastAsia="Times New Roman" w:cs="Times New Roman"/>
          <w:szCs w:val="24"/>
          <w:lang w:eastAsia="fr-FR"/>
        </w:rPr>
        <w:t>,</w:t>
      </w:r>
      <w:r w:rsidRPr="00203154">
        <w:rPr>
          <w:rFonts w:eastAsia="Times New Roman" w:cs="Times New Roman"/>
          <w:szCs w:val="24"/>
          <w:lang w:eastAsia="fr-FR"/>
        </w:rPr>
        <w:t xml:space="preserve"> </w:t>
      </w:r>
      <w:r>
        <w:rPr>
          <w:rFonts w:eastAsia="Times New Roman" w:cs="Times New Roman"/>
          <w:szCs w:val="24"/>
          <w:lang w:eastAsia="fr-FR"/>
        </w:rPr>
        <w:t>et le cas échéant, permettre leur confinement, par manœuvre d’un dispositif actif (vanne, …) pour caractérisation et traitement approprié avant rejet vers le milieu naturel ;</w:t>
      </w:r>
    </w:p>
    <w:p w14:paraId="3FE311C9" w14:textId="1C79CEB2" w:rsidR="002D5E70" w:rsidRPr="002D5E70" w:rsidRDefault="002D5E70" w:rsidP="006F21C4">
      <w:pPr>
        <w:pStyle w:val="Paragraphedeliste"/>
        <w:numPr>
          <w:ilvl w:val="0"/>
          <w:numId w:val="3"/>
        </w:numPr>
        <w:spacing w:after="0" w:line="240" w:lineRule="auto"/>
        <w:rPr>
          <w:rFonts w:eastAsia="Times New Roman" w:cs="Times New Roman"/>
          <w:szCs w:val="24"/>
          <w:lang w:eastAsia="fr-FR"/>
        </w:rPr>
      </w:pPr>
      <w:r w:rsidRPr="002D5E70">
        <w:rPr>
          <w:rFonts w:eastAsia="Times New Roman" w:cs="Times New Roman"/>
          <w:szCs w:val="24"/>
          <w:lang w:eastAsia="fr-FR"/>
        </w:rPr>
        <w:t>capacité d'un récipient mobile : contenance d'un récipient définie par le volume de liquide contenu ou le volume de remplissage quand ce dernier est connu ;</w:t>
      </w:r>
    </w:p>
    <w:p w14:paraId="33111981" w14:textId="3CCD5A04" w:rsidR="00610FC6" w:rsidRPr="003D7E58" w:rsidRDefault="00610FC6" w:rsidP="006F21C4">
      <w:pPr>
        <w:pStyle w:val="Paragraphedeliste"/>
        <w:numPr>
          <w:ilvl w:val="0"/>
          <w:numId w:val="4"/>
        </w:numPr>
        <w:spacing w:after="0" w:line="240" w:lineRule="auto"/>
        <w:rPr>
          <w:rFonts w:eastAsia="Times New Roman" w:cs="Times New Roman"/>
          <w:szCs w:val="24"/>
          <w:lang w:eastAsia="fr-FR"/>
        </w:rPr>
      </w:pPr>
      <w:r w:rsidRPr="003D7E58">
        <w:rPr>
          <w:rFonts w:eastAsia="Times New Roman" w:cs="Times New Roman"/>
          <w:szCs w:val="24"/>
          <w:lang w:eastAsia="fr-FR"/>
        </w:rPr>
        <w:t>capacité utile d'une rétention affé</w:t>
      </w:r>
      <w:r w:rsidR="0004284D">
        <w:rPr>
          <w:rFonts w:eastAsia="Times New Roman" w:cs="Times New Roman"/>
          <w:szCs w:val="24"/>
          <w:lang w:eastAsia="fr-FR"/>
        </w:rPr>
        <w:t xml:space="preserve">rente à </w:t>
      </w:r>
      <w:r w:rsidRPr="003D7E58">
        <w:rPr>
          <w:rFonts w:eastAsia="Times New Roman" w:cs="Times New Roman"/>
          <w:szCs w:val="24"/>
          <w:lang w:eastAsia="fr-FR"/>
        </w:rPr>
        <w:t>plusieurs</w:t>
      </w:r>
      <w:r w:rsidR="002F5E03">
        <w:rPr>
          <w:rFonts w:eastAsia="Times New Roman" w:cs="Times New Roman"/>
          <w:szCs w:val="24"/>
          <w:lang w:eastAsia="fr-FR"/>
        </w:rPr>
        <w:t xml:space="preserve"> réservoirs ou plusieurs</w:t>
      </w:r>
      <w:r w:rsidRPr="003D7E58">
        <w:rPr>
          <w:rFonts w:eastAsia="Times New Roman" w:cs="Times New Roman"/>
          <w:szCs w:val="24"/>
          <w:lang w:eastAsia="fr-FR"/>
        </w:rPr>
        <w:t xml:space="preserve"> récipients mobiles : capacité réputée égale :</w:t>
      </w:r>
    </w:p>
    <w:p w14:paraId="320C4940" w14:textId="37EFEF35" w:rsidR="003D7E58" w:rsidRDefault="00610FC6" w:rsidP="006F21C4">
      <w:pPr>
        <w:pStyle w:val="Paragraphedeliste"/>
        <w:numPr>
          <w:ilvl w:val="1"/>
          <w:numId w:val="4"/>
        </w:numPr>
        <w:spacing w:after="0" w:line="240" w:lineRule="auto"/>
        <w:rPr>
          <w:rFonts w:eastAsia="Times New Roman" w:cs="Times New Roman"/>
          <w:szCs w:val="24"/>
          <w:lang w:eastAsia="fr-FR"/>
        </w:rPr>
      </w:pPr>
      <w:r w:rsidRPr="003D7E58">
        <w:rPr>
          <w:rFonts w:eastAsia="Times New Roman" w:cs="Times New Roman"/>
          <w:szCs w:val="24"/>
          <w:lang w:eastAsia="fr-FR"/>
        </w:rPr>
        <w:lastRenderedPageBreak/>
        <w:t xml:space="preserve">à sa capacité réelle (géométrique), lorsque la capacité utile est calculée en fonction de la </w:t>
      </w:r>
      <w:r w:rsidR="0004284D">
        <w:rPr>
          <w:rFonts w:eastAsia="Times New Roman" w:cs="Times New Roman"/>
          <w:szCs w:val="24"/>
          <w:lang w:eastAsia="fr-FR"/>
        </w:rPr>
        <w:t xml:space="preserve">capacité totale des </w:t>
      </w:r>
      <w:r w:rsidR="002F5E03">
        <w:rPr>
          <w:rFonts w:eastAsia="Times New Roman" w:cs="Times New Roman"/>
          <w:szCs w:val="24"/>
          <w:lang w:eastAsia="fr-FR"/>
        </w:rPr>
        <w:t xml:space="preserve">réservoirs ou </w:t>
      </w:r>
      <w:r w:rsidRPr="003D7E58">
        <w:rPr>
          <w:rFonts w:eastAsia="Times New Roman" w:cs="Times New Roman"/>
          <w:szCs w:val="24"/>
          <w:lang w:eastAsia="fr-FR"/>
        </w:rPr>
        <w:t>récipients mobiles ;</w:t>
      </w:r>
    </w:p>
    <w:p w14:paraId="1C62D87F" w14:textId="5E83F94A" w:rsidR="00610FC6" w:rsidRPr="003D7E58" w:rsidRDefault="00610FC6" w:rsidP="006F21C4">
      <w:pPr>
        <w:pStyle w:val="Paragraphedeliste"/>
        <w:numPr>
          <w:ilvl w:val="1"/>
          <w:numId w:val="4"/>
        </w:numPr>
        <w:spacing w:after="0" w:line="240" w:lineRule="auto"/>
        <w:rPr>
          <w:rFonts w:eastAsia="Times New Roman" w:cs="Times New Roman"/>
          <w:szCs w:val="24"/>
          <w:lang w:eastAsia="fr-FR"/>
        </w:rPr>
      </w:pPr>
      <w:r w:rsidRPr="003D7E58">
        <w:rPr>
          <w:rFonts w:eastAsia="Times New Roman" w:cs="Times New Roman"/>
          <w:szCs w:val="24"/>
          <w:lang w:eastAsia="fr-FR"/>
        </w:rPr>
        <w:t xml:space="preserve">à sa capacité réelle diminuée du volume déplacé dans la rétention par </w:t>
      </w:r>
      <w:r w:rsidR="0004284D">
        <w:rPr>
          <w:rFonts w:eastAsia="Times New Roman" w:cs="Times New Roman"/>
          <w:szCs w:val="24"/>
          <w:lang w:eastAsia="fr-FR"/>
        </w:rPr>
        <w:t>les</w:t>
      </w:r>
      <w:r w:rsidRPr="003D7E58">
        <w:rPr>
          <w:rFonts w:eastAsia="Times New Roman" w:cs="Times New Roman"/>
          <w:szCs w:val="24"/>
          <w:lang w:eastAsia="fr-FR"/>
        </w:rPr>
        <w:t xml:space="preserve"> </w:t>
      </w:r>
      <w:r w:rsidR="002F5E03">
        <w:rPr>
          <w:rFonts w:eastAsia="Times New Roman" w:cs="Times New Roman"/>
          <w:szCs w:val="24"/>
          <w:lang w:eastAsia="fr-FR"/>
        </w:rPr>
        <w:t xml:space="preserve">réservoirs ou </w:t>
      </w:r>
      <w:r w:rsidRPr="003D7E58">
        <w:rPr>
          <w:rFonts w:eastAsia="Times New Roman" w:cs="Times New Roman"/>
          <w:szCs w:val="24"/>
          <w:lang w:eastAsia="fr-FR"/>
        </w:rPr>
        <w:t>récipients mobiles autres que le plus grand, lorsque la capacité utile est calculée en fonction de la cap</w:t>
      </w:r>
      <w:r w:rsidR="0004284D">
        <w:rPr>
          <w:rFonts w:eastAsia="Times New Roman" w:cs="Times New Roman"/>
          <w:szCs w:val="24"/>
          <w:lang w:eastAsia="fr-FR"/>
        </w:rPr>
        <w:t>acité du plus grand</w:t>
      </w:r>
      <w:r w:rsidRPr="003D7E58">
        <w:rPr>
          <w:rFonts w:eastAsia="Times New Roman" w:cs="Times New Roman"/>
          <w:szCs w:val="24"/>
          <w:lang w:eastAsia="fr-FR"/>
        </w:rPr>
        <w:t xml:space="preserve"> </w:t>
      </w:r>
      <w:r w:rsidR="002F5E03">
        <w:rPr>
          <w:rFonts w:eastAsia="Times New Roman" w:cs="Times New Roman"/>
          <w:szCs w:val="24"/>
          <w:lang w:eastAsia="fr-FR"/>
        </w:rPr>
        <w:t xml:space="preserve">réservoir ou </w:t>
      </w:r>
      <w:r w:rsidRPr="003D7E58">
        <w:rPr>
          <w:rFonts w:eastAsia="Times New Roman" w:cs="Times New Roman"/>
          <w:szCs w:val="24"/>
          <w:lang w:eastAsia="fr-FR"/>
        </w:rPr>
        <w:t>récipient mobile ;</w:t>
      </w:r>
    </w:p>
    <w:p w14:paraId="373B52AB" w14:textId="02E05776" w:rsidR="008F61DD" w:rsidRDefault="008F61DD" w:rsidP="006F21C4">
      <w:pPr>
        <w:pStyle w:val="Paragraphedeliste"/>
        <w:numPr>
          <w:ilvl w:val="0"/>
          <w:numId w:val="4"/>
        </w:numPr>
        <w:spacing w:after="0" w:line="240" w:lineRule="auto"/>
        <w:rPr>
          <w:rFonts w:eastAsia="Times New Roman" w:cs="Times New Roman"/>
          <w:szCs w:val="24"/>
          <w:lang w:eastAsia="fr-FR"/>
        </w:rPr>
      </w:pPr>
      <w:r w:rsidRPr="008F61DD">
        <w:rPr>
          <w:rFonts w:eastAsia="Times New Roman" w:cs="Times New Roman"/>
          <w:szCs w:val="24"/>
          <w:lang w:eastAsia="fr-FR"/>
        </w:rPr>
        <w:t xml:space="preserve">cellule : partie d'un </w:t>
      </w:r>
      <w:r w:rsidR="00C57FA3">
        <w:rPr>
          <w:rFonts w:eastAsia="Times New Roman" w:cs="Times New Roman"/>
          <w:szCs w:val="24"/>
          <w:lang w:eastAsia="fr-FR"/>
        </w:rPr>
        <w:t>bâtiment</w:t>
      </w:r>
      <w:r w:rsidRPr="008F61DD">
        <w:rPr>
          <w:rFonts w:eastAsia="Times New Roman" w:cs="Times New Roman"/>
          <w:szCs w:val="24"/>
          <w:lang w:eastAsia="fr-FR"/>
        </w:rPr>
        <w:t xml:space="preserve"> compartimenté, </w:t>
      </w:r>
      <w:r w:rsidR="006508EC">
        <w:rPr>
          <w:rFonts w:eastAsia="Times New Roman" w:cs="Times New Roman"/>
          <w:szCs w:val="24"/>
          <w:lang w:eastAsia="fr-FR"/>
        </w:rPr>
        <w:t>séparée des autres partie</w:t>
      </w:r>
      <w:r w:rsidR="004708C8">
        <w:rPr>
          <w:rFonts w:eastAsia="Times New Roman" w:cs="Times New Roman"/>
          <w:szCs w:val="24"/>
          <w:lang w:eastAsia="fr-FR"/>
        </w:rPr>
        <w:t>s</w:t>
      </w:r>
      <w:r w:rsidR="006508EC">
        <w:rPr>
          <w:rFonts w:eastAsia="Times New Roman" w:cs="Times New Roman"/>
          <w:szCs w:val="24"/>
          <w:lang w:eastAsia="fr-FR"/>
        </w:rPr>
        <w:t xml:space="preserve"> par un dispositif REI 120 et </w:t>
      </w:r>
      <w:r w:rsidRPr="008F61DD">
        <w:rPr>
          <w:rFonts w:eastAsia="Times New Roman" w:cs="Times New Roman"/>
          <w:szCs w:val="24"/>
          <w:lang w:eastAsia="fr-FR"/>
        </w:rPr>
        <w:t>destinée au stockage ;</w:t>
      </w:r>
    </w:p>
    <w:p w14:paraId="568155FA" w14:textId="776BE7EC" w:rsidR="008F61DD" w:rsidRPr="004C6B19" w:rsidRDefault="0004284D" w:rsidP="00752D03">
      <w:pPr>
        <w:pStyle w:val="Paragraphedeliste"/>
        <w:numPr>
          <w:ilvl w:val="0"/>
          <w:numId w:val="4"/>
        </w:numPr>
        <w:spacing w:after="0" w:line="240" w:lineRule="auto"/>
        <w:rPr>
          <w:rFonts w:eastAsia="Times New Roman" w:cs="Times New Roman"/>
          <w:szCs w:val="24"/>
          <w:lang w:eastAsia="fr-FR"/>
        </w:rPr>
      </w:pPr>
      <w:r w:rsidRPr="004C6B19">
        <w:rPr>
          <w:rFonts w:eastAsia="Times New Roman" w:cs="Times New Roman"/>
          <w:szCs w:val="24"/>
          <w:lang w:eastAsia="fr-FR"/>
        </w:rPr>
        <w:t>c</w:t>
      </w:r>
      <w:r w:rsidR="008F61DD" w:rsidRPr="004C6B19">
        <w:rPr>
          <w:rFonts w:eastAsia="Times New Roman" w:cs="Times New Roman"/>
          <w:szCs w:val="24"/>
          <w:lang w:eastAsia="fr-FR"/>
        </w:rPr>
        <w:t xml:space="preserve">ellule de liquides inflammables : </w:t>
      </w:r>
      <w:r w:rsidR="009357AC">
        <w:rPr>
          <w:rFonts w:eastAsia="Times New Roman" w:cs="Times New Roman"/>
          <w:szCs w:val="24"/>
          <w:lang w:eastAsia="fr-FR"/>
        </w:rPr>
        <w:t>cellule</w:t>
      </w:r>
      <w:r w:rsidR="00A461B7" w:rsidRPr="004C6B19">
        <w:rPr>
          <w:rFonts w:eastAsia="Times New Roman" w:cs="Times New Roman"/>
          <w:szCs w:val="24"/>
          <w:lang w:eastAsia="fr-FR"/>
        </w:rPr>
        <w:t>,</w:t>
      </w:r>
      <w:r w:rsidR="00752D03" w:rsidRPr="004C6B19">
        <w:rPr>
          <w:rFonts w:eastAsia="Times New Roman" w:cs="Times New Roman"/>
          <w:szCs w:val="24"/>
          <w:lang w:eastAsia="fr-FR"/>
        </w:rPr>
        <w:t xml:space="preserve"> susceptible de contenir une quantité supérieure ou égale à </w:t>
      </w:r>
      <w:r w:rsidR="00DA0978">
        <w:rPr>
          <w:rFonts w:eastAsia="Times New Roman" w:cs="Times New Roman"/>
          <w:szCs w:val="24"/>
          <w:lang w:eastAsia="fr-FR"/>
        </w:rPr>
        <w:t>2</w:t>
      </w:r>
      <w:r w:rsidR="00A43019">
        <w:rPr>
          <w:rFonts w:eastAsia="Times New Roman" w:cs="Times New Roman"/>
          <w:szCs w:val="24"/>
          <w:lang w:eastAsia="fr-FR"/>
        </w:rPr>
        <w:t xml:space="preserve"> mètres cube</w:t>
      </w:r>
      <w:r w:rsidR="00DA0978">
        <w:rPr>
          <w:rFonts w:eastAsia="Times New Roman" w:cs="Times New Roman"/>
          <w:szCs w:val="24"/>
          <w:lang w:eastAsia="fr-FR"/>
        </w:rPr>
        <w:t xml:space="preserve"> </w:t>
      </w:r>
      <w:r w:rsidR="00752D03" w:rsidRPr="004C6B19">
        <w:rPr>
          <w:rFonts w:eastAsia="Times New Roman" w:cs="Times New Roman"/>
          <w:szCs w:val="24"/>
          <w:lang w:eastAsia="fr-FR"/>
        </w:rPr>
        <w:t>de liquides inflammables</w:t>
      </w:r>
      <w:r w:rsidR="004C6B19">
        <w:rPr>
          <w:rFonts w:eastAsia="Times New Roman" w:cs="Times New Roman"/>
          <w:szCs w:val="24"/>
          <w:lang w:eastAsia="fr-FR"/>
        </w:rPr>
        <w:t> ;</w:t>
      </w:r>
      <w:r w:rsidR="00A461B7" w:rsidRPr="004C6B19">
        <w:rPr>
          <w:rFonts w:eastAsia="Times New Roman" w:cs="Times New Roman"/>
          <w:szCs w:val="24"/>
          <w:lang w:eastAsia="fr-FR"/>
        </w:rPr>
        <w:t xml:space="preserve"> </w:t>
      </w:r>
    </w:p>
    <w:p w14:paraId="5B62DF03" w14:textId="7295C60A" w:rsidR="00B87FAA" w:rsidRPr="00B87FAA" w:rsidRDefault="00B87FAA" w:rsidP="00B87FAA">
      <w:pPr>
        <w:numPr>
          <w:ilvl w:val="0"/>
          <w:numId w:val="4"/>
        </w:numPr>
        <w:spacing w:before="100" w:beforeAutospacing="1" w:after="0" w:line="240" w:lineRule="auto"/>
        <w:jc w:val="left"/>
        <w:rPr>
          <w:rFonts w:eastAsia="Times New Roman" w:cs="Times New Roman"/>
          <w:color w:val="000000"/>
          <w:szCs w:val="24"/>
          <w:lang w:eastAsia="fr-FR"/>
        </w:rPr>
      </w:pPr>
      <w:r w:rsidRPr="00B87FAA">
        <w:rPr>
          <w:rFonts w:eastAsia="Times New Roman" w:cs="Times New Roman"/>
          <w:color w:val="000000"/>
          <w:szCs w:val="24"/>
          <w:lang w:eastAsia="fr-FR"/>
        </w:rPr>
        <w:t>cellule de liquides et solides liquéfiables combustibles  : cellule, ne rentrant pas dans le champ de définition des cellules de liquides inflammables, qui contient une quantité de liquides et solides liquéfiables combustibles et liquides inflammables supérieure ou égale à 500 tonnes au total, ou supérieure ou égale à 100 tonnes en contenants fusibles dans des contenants de capacité supérieure à 2L, ou supérieure ou égale à 50 tonnes en contenants fusibles dans des contenants de capacité supérieure à 30L. Sont exclues les cellules frigorifiques à températur</w:t>
      </w:r>
      <w:r w:rsidR="004C6B19">
        <w:rPr>
          <w:rFonts w:eastAsia="Times New Roman" w:cs="Times New Roman"/>
          <w:color w:val="000000"/>
          <w:szCs w:val="24"/>
          <w:lang w:eastAsia="fr-FR"/>
        </w:rPr>
        <w:t>e négative ;</w:t>
      </w:r>
    </w:p>
    <w:p w14:paraId="380BF28F" w14:textId="21918A21" w:rsidR="0062682D" w:rsidRPr="004C6B19" w:rsidRDefault="008B4387" w:rsidP="00B87FAA">
      <w:pPr>
        <w:pStyle w:val="NormalWeb"/>
        <w:numPr>
          <w:ilvl w:val="0"/>
          <w:numId w:val="4"/>
        </w:numPr>
        <w:spacing w:before="0" w:beforeAutospacing="0" w:after="0" w:afterAutospacing="0"/>
      </w:pPr>
      <w:r w:rsidRPr="004C6B19">
        <w:t>c</w:t>
      </w:r>
      <w:r w:rsidR="006508EC" w:rsidRPr="004C6B19">
        <w:t>ellule frigorifique : cellule dans laquelle les conditions de température et/ou d’hygrométrie sont réglées et maintenues en fonction des critères de conservation propres aux produits, qu’ils soient réfrigérés (entrepôts à température positive de 0 °C à + 18°C) ou congelés ou surgelés (entrepôts à température négative) ;</w:t>
      </w:r>
    </w:p>
    <w:p w14:paraId="788F8A13" w14:textId="3A5EEDB9" w:rsidR="0062682D" w:rsidRPr="004C6B19" w:rsidRDefault="00610FC6" w:rsidP="00E853D4">
      <w:pPr>
        <w:pStyle w:val="NormalWeb"/>
        <w:numPr>
          <w:ilvl w:val="0"/>
          <w:numId w:val="4"/>
        </w:numPr>
        <w:spacing w:after="0" w:afterAutospacing="0"/>
      </w:pPr>
      <w:r w:rsidRPr="004C6B19">
        <w:t>classe d'émulseur :</w:t>
      </w:r>
      <w:r w:rsidR="0062682D" w:rsidRPr="004C6B19">
        <w:t xml:space="preserve"> </w:t>
      </w:r>
      <w:r w:rsidR="00330165" w:rsidRPr="004C6B19">
        <w:t>classe de performance d'extinction d'un émulseur</w:t>
      </w:r>
      <w:r w:rsidR="004C6B19" w:rsidRPr="004C6B19">
        <w:t xml:space="preserve"> </w:t>
      </w:r>
      <w:r w:rsidRPr="004C6B19">
        <w:t>;</w:t>
      </w:r>
    </w:p>
    <w:p w14:paraId="510E7A64" w14:textId="22501953" w:rsidR="0084577B" w:rsidRPr="004C6B19" w:rsidRDefault="0084577B" w:rsidP="00E0588A">
      <w:pPr>
        <w:pStyle w:val="Paragraphedeliste"/>
        <w:numPr>
          <w:ilvl w:val="0"/>
          <w:numId w:val="4"/>
        </w:numPr>
        <w:spacing w:before="100" w:beforeAutospacing="1" w:after="0" w:line="240" w:lineRule="auto"/>
        <w:rPr>
          <w:rFonts w:eastAsia="Times New Roman" w:cs="Times New Roman"/>
          <w:szCs w:val="24"/>
          <w:lang w:eastAsia="fr-FR"/>
        </w:rPr>
      </w:pPr>
      <w:r w:rsidRPr="004C6B19">
        <w:rPr>
          <w:rFonts w:eastAsia="Times New Roman" w:cs="Times New Roman"/>
          <w:szCs w:val="24"/>
          <w:lang w:eastAsia="fr-FR"/>
        </w:rPr>
        <w:t xml:space="preserve">contenant fusible : </w:t>
      </w:r>
      <w:r w:rsidR="00E0588A" w:rsidRPr="004C6B19">
        <w:rPr>
          <w:rFonts w:eastAsia="Times New Roman" w:cs="Times New Roman"/>
          <w:szCs w:val="24"/>
          <w:lang w:eastAsia="fr-FR"/>
        </w:rPr>
        <w:t xml:space="preserve">contenant qui, notamment pris dans un incendie, est susceptible de fondre et de libérer son contenu. Les contenants, dont l'enveloppe assurant </w:t>
      </w:r>
      <w:r w:rsidR="00940189" w:rsidRPr="004C6B19">
        <w:rPr>
          <w:rFonts w:eastAsia="Times New Roman" w:cs="Times New Roman"/>
          <w:szCs w:val="24"/>
          <w:lang w:eastAsia="fr-FR"/>
        </w:rPr>
        <w:t>le confinement du contenu</w:t>
      </w:r>
      <w:r w:rsidR="00E0588A" w:rsidRPr="004C6B19">
        <w:rPr>
          <w:rFonts w:eastAsia="Times New Roman" w:cs="Times New Roman"/>
          <w:szCs w:val="24"/>
          <w:lang w:eastAsia="fr-FR"/>
        </w:rPr>
        <w:t xml:space="preserve"> </w:t>
      </w:r>
      <w:r w:rsidR="004E2F17">
        <w:rPr>
          <w:rFonts w:eastAsia="Times New Roman" w:cs="Times New Roman"/>
          <w:szCs w:val="24"/>
          <w:lang w:eastAsia="fr-FR"/>
        </w:rPr>
        <w:t xml:space="preserve">en cas d’incendie </w:t>
      </w:r>
      <w:r w:rsidR="00E0588A" w:rsidRPr="004C6B19">
        <w:rPr>
          <w:rFonts w:eastAsia="Times New Roman" w:cs="Times New Roman"/>
          <w:szCs w:val="24"/>
          <w:lang w:eastAsia="fr-FR"/>
        </w:rPr>
        <w:t xml:space="preserve">est réalisée avec des matériaux dont le point de fusion est inférieur à 330°C, sont considérés comme fusibles. </w:t>
      </w:r>
      <w:r w:rsidR="00B21CCB">
        <w:rPr>
          <w:rFonts w:eastAsia="Times New Roman" w:cs="Times New Roman"/>
          <w:szCs w:val="24"/>
          <w:lang w:eastAsia="fr-FR"/>
        </w:rPr>
        <w:t>Néanmoins, s</w:t>
      </w:r>
      <w:r w:rsidR="00E0588A" w:rsidRPr="004C6B19">
        <w:rPr>
          <w:rFonts w:eastAsia="Times New Roman" w:cs="Times New Roman"/>
          <w:szCs w:val="24"/>
          <w:lang w:eastAsia="fr-FR"/>
        </w:rPr>
        <w:t>ont exclus les contenants dont le comportement physique en cas d'incendie satisfait à des tests de qualification selon un protocole reconnu par le ministère chargé des installations classées</w:t>
      </w:r>
      <w:r w:rsidR="004C6B19" w:rsidRPr="004C6B19">
        <w:rPr>
          <w:rFonts w:eastAsia="Times New Roman" w:cs="Times New Roman"/>
          <w:szCs w:val="24"/>
          <w:lang w:eastAsia="fr-FR"/>
        </w:rPr>
        <w:t> ;</w:t>
      </w:r>
    </w:p>
    <w:p w14:paraId="3D242B7D" w14:textId="18D87736" w:rsidR="008F61DD" w:rsidRDefault="008F61DD" w:rsidP="006F21C4">
      <w:pPr>
        <w:numPr>
          <w:ilvl w:val="0"/>
          <w:numId w:val="4"/>
        </w:numPr>
        <w:spacing w:before="100" w:beforeAutospacing="1" w:after="0" w:line="240" w:lineRule="auto"/>
        <w:rPr>
          <w:rFonts w:eastAsia="Times New Roman" w:cs="Times New Roman"/>
          <w:szCs w:val="24"/>
          <w:lang w:eastAsia="fr-FR"/>
        </w:rPr>
      </w:pPr>
      <w:r w:rsidRPr="008F61DD">
        <w:rPr>
          <w:rFonts w:eastAsia="Times New Roman" w:cs="Times New Roman"/>
          <w:szCs w:val="24"/>
          <w:lang w:eastAsia="fr-FR"/>
        </w:rPr>
        <w:t xml:space="preserve">distance libre : distance qualifiant une zone </w:t>
      </w:r>
      <w:r w:rsidR="00A60DA7">
        <w:rPr>
          <w:rFonts w:eastAsia="Times New Roman" w:cs="Times New Roman"/>
          <w:szCs w:val="24"/>
          <w:lang w:eastAsia="fr-FR"/>
        </w:rPr>
        <w:t>où</w:t>
      </w:r>
      <w:r w:rsidRPr="008F61DD">
        <w:rPr>
          <w:rFonts w:eastAsia="Times New Roman" w:cs="Times New Roman"/>
          <w:szCs w:val="24"/>
          <w:lang w:eastAsia="fr-FR"/>
        </w:rPr>
        <w:t xml:space="preserve"> tout stockage</w:t>
      </w:r>
      <w:r w:rsidR="00A60DA7">
        <w:rPr>
          <w:rFonts w:eastAsia="Times New Roman" w:cs="Times New Roman"/>
          <w:szCs w:val="24"/>
          <w:lang w:eastAsia="fr-FR"/>
        </w:rPr>
        <w:t xml:space="preserve"> est interdit</w:t>
      </w:r>
      <w:r w:rsidRPr="008F61DD">
        <w:rPr>
          <w:rFonts w:eastAsia="Times New Roman" w:cs="Times New Roman"/>
          <w:szCs w:val="24"/>
          <w:lang w:eastAsia="fr-FR"/>
        </w:rPr>
        <w:t xml:space="preserve"> ;</w:t>
      </w:r>
    </w:p>
    <w:p w14:paraId="1323860B" w14:textId="0788EEB8" w:rsidR="0083312D" w:rsidRPr="002C06FF" w:rsidRDefault="008B4387" w:rsidP="0083312D">
      <w:pPr>
        <w:pStyle w:val="Paragraphedeliste"/>
        <w:numPr>
          <w:ilvl w:val="0"/>
          <w:numId w:val="4"/>
        </w:numPr>
        <w:spacing w:after="0" w:line="240" w:lineRule="auto"/>
        <w:rPr>
          <w:rFonts w:eastAsia="Times New Roman" w:cs="Times New Roman"/>
          <w:szCs w:val="24"/>
          <w:lang w:eastAsia="fr-FR"/>
        </w:rPr>
      </w:pPr>
      <w:r>
        <w:rPr>
          <w:rFonts w:eastAsia="Times New Roman" w:cs="Times New Roman"/>
          <w:szCs w:val="24"/>
          <w:lang w:eastAsia="fr-FR"/>
        </w:rPr>
        <w:t>d</w:t>
      </w:r>
      <w:r w:rsidR="004C6B19">
        <w:rPr>
          <w:rFonts w:eastAsia="Times New Roman" w:cs="Times New Roman"/>
          <w:szCs w:val="24"/>
          <w:lang w:eastAsia="fr-FR"/>
        </w:rPr>
        <w:t>rainage : s</w:t>
      </w:r>
      <w:r w:rsidR="0083312D" w:rsidRPr="002C06FF">
        <w:rPr>
          <w:rFonts w:eastAsia="Times New Roman" w:cs="Times New Roman"/>
          <w:szCs w:val="24"/>
          <w:lang w:eastAsia="fr-FR"/>
        </w:rPr>
        <w:t>ystème d’évacuation (dispositif de collecte) et de transfert (réseau) des liquides vers une rétention déportée, le dispositif de drainage inclue les caniveaux, puisards, drains de sol, etc. ;</w:t>
      </w:r>
    </w:p>
    <w:p w14:paraId="54D9FD81" w14:textId="46458462" w:rsidR="0083312D" w:rsidRPr="002C06FF" w:rsidRDefault="008B4387" w:rsidP="0083312D">
      <w:pPr>
        <w:pStyle w:val="Paragraphedeliste"/>
        <w:numPr>
          <w:ilvl w:val="0"/>
          <w:numId w:val="4"/>
        </w:numPr>
        <w:spacing w:after="0" w:line="240" w:lineRule="auto"/>
        <w:rPr>
          <w:rFonts w:eastAsia="Times New Roman" w:cs="Times New Roman"/>
          <w:szCs w:val="24"/>
          <w:lang w:eastAsia="fr-FR"/>
        </w:rPr>
      </w:pPr>
      <w:r>
        <w:rPr>
          <w:rFonts w:eastAsia="Times New Roman" w:cs="Times New Roman"/>
          <w:szCs w:val="24"/>
          <w:lang w:eastAsia="fr-FR"/>
        </w:rPr>
        <w:t>d</w:t>
      </w:r>
      <w:r w:rsidR="0083312D" w:rsidRPr="002C06FF">
        <w:rPr>
          <w:rFonts w:eastAsia="Times New Roman" w:cs="Times New Roman"/>
          <w:szCs w:val="24"/>
          <w:lang w:eastAsia="fr-FR"/>
        </w:rPr>
        <w:t>rainage passif : système qui permet un écoulement gravitaire via des caniveaux, siphons de sol, puisard, etc.</w:t>
      </w:r>
      <w:r w:rsidR="004C6B19">
        <w:rPr>
          <w:rFonts w:eastAsia="Times New Roman" w:cs="Times New Roman"/>
          <w:szCs w:val="24"/>
          <w:lang w:eastAsia="fr-FR"/>
        </w:rPr>
        <w:t> ;</w:t>
      </w:r>
    </w:p>
    <w:p w14:paraId="3F8368D1" w14:textId="4C413A2F" w:rsidR="0083312D" w:rsidRPr="00553321" w:rsidRDefault="008B4387" w:rsidP="006B2407">
      <w:pPr>
        <w:pStyle w:val="Paragraphedeliste"/>
        <w:numPr>
          <w:ilvl w:val="0"/>
          <w:numId w:val="4"/>
        </w:numPr>
        <w:spacing w:before="100" w:beforeAutospacing="1" w:after="0" w:line="240" w:lineRule="auto"/>
        <w:rPr>
          <w:rFonts w:eastAsia="Times New Roman" w:cs="Times New Roman"/>
          <w:szCs w:val="24"/>
          <w:lang w:eastAsia="fr-FR"/>
        </w:rPr>
      </w:pPr>
      <w:r>
        <w:rPr>
          <w:rFonts w:eastAsia="Times New Roman" w:cs="Times New Roman"/>
          <w:szCs w:val="24"/>
          <w:lang w:eastAsia="fr-FR"/>
        </w:rPr>
        <w:t>d</w:t>
      </w:r>
      <w:r w:rsidR="0083312D" w:rsidRPr="0083312D">
        <w:rPr>
          <w:rFonts w:eastAsia="Times New Roman" w:cs="Times New Roman"/>
          <w:szCs w:val="24"/>
          <w:lang w:eastAsia="fr-FR"/>
        </w:rPr>
        <w:t>rainage actif</w:t>
      </w:r>
      <w:r w:rsidR="0083312D" w:rsidRPr="00C71DD3">
        <w:rPr>
          <w:rFonts w:eastAsia="Times New Roman" w:cs="Times New Roman"/>
          <w:szCs w:val="24"/>
          <w:lang w:eastAsia="fr-FR"/>
        </w:rPr>
        <w:t> : système mécanique qui permet un écoulement dynamique en canalisant le liquide déversé</w:t>
      </w:r>
      <w:r w:rsidR="0083312D" w:rsidRPr="0092185A">
        <w:rPr>
          <w:rFonts w:eastAsia="Times New Roman" w:cs="Times New Roman"/>
          <w:szCs w:val="24"/>
          <w:lang w:eastAsia="fr-FR"/>
        </w:rPr>
        <w:t> ;</w:t>
      </w:r>
    </w:p>
    <w:p w14:paraId="2FA5372C" w14:textId="12B8B020" w:rsidR="008F61DD" w:rsidRDefault="008F61DD" w:rsidP="006F21C4">
      <w:pPr>
        <w:numPr>
          <w:ilvl w:val="0"/>
          <w:numId w:val="4"/>
        </w:numPr>
        <w:spacing w:before="100" w:beforeAutospacing="1" w:after="0" w:line="240" w:lineRule="auto"/>
        <w:rPr>
          <w:rFonts w:eastAsia="Times New Roman" w:cs="Times New Roman"/>
          <w:szCs w:val="24"/>
          <w:lang w:eastAsia="fr-FR"/>
        </w:rPr>
      </w:pPr>
      <w:r w:rsidRPr="008F61DD">
        <w:rPr>
          <w:rFonts w:eastAsia="Times New Roman" w:cs="Times New Roman"/>
          <w:szCs w:val="24"/>
          <w:lang w:eastAsia="fr-FR"/>
        </w:rPr>
        <w:t xml:space="preserve">espace protégé : espace </w:t>
      </w:r>
      <w:r w:rsidR="006508EC">
        <w:rPr>
          <w:rFonts w:eastAsia="Times New Roman" w:cs="Times New Roman"/>
          <w:szCs w:val="24"/>
          <w:lang w:eastAsia="fr-FR"/>
        </w:rPr>
        <w:t xml:space="preserve">séparé d’une cellule en feu par un dispositif au moins REI 60 et </w:t>
      </w:r>
      <w:r w:rsidRPr="008F61DD">
        <w:rPr>
          <w:rFonts w:eastAsia="Times New Roman" w:cs="Times New Roman"/>
          <w:szCs w:val="24"/>
          <w:lang w:eastAsia="fr-FR"/>
        </w:rPr>
        <w:t>dans lequel le personnel est à l'abri des effets du sinistre. Il est constitué par un escalier encloisonné ou par une circulation encloisonnée. Les cellules adjacentes constituent également des espaces protégés ;</w:t>
      </w:r>
    </w:p>
    <w:p w14:paraId="019CD68F" w14:textId="77777777" w:rsidR="004C6B19" w:rsidRDefault="0083312D" w:rsidP="006F21C4">
      <w:pPr>
        <w:numPr>
          <w:ilvl w:val="0"/>
          <w:numId w:val="4"/>
        </w:numPr>
        <w:spacing w:before="100" w:beforeAutospacing="1" w:after="0" w:line="240" w:lineRule="auto"/>
        <w:rPr>
          <w:rFonts w:eastAsia="Times New Roman" w:cs="Times New Roman"/>
          <w:szCs w:val="24"/>
          <w:lang w:eastAsia="fr-FR"/>
        </w:rPr>
      </w:pPr>
      <w:r w:rsidRPr="0083312D">
        <w:rPr>
          <w:rFonts w:eastAsia="Times New Roman" w:cs="Times New Roman"/>
          <w:szCs w:val="24"/>
          <w:lang w:eastAsia="fr-FR"/>
        </w:rPr>
        <w:t>fosse d’extinction : dispositif constitué d’une fosse et de moyens d’extinction, qui permet d’éteindre les effluents enflammés avant qu’ils ne soient dirigés vers la rétention évitant</w:t>
      </w:r>
      <w:r w:rsidRPr="00C71DD3">
        <w:rPr>
          <w:rFonts w:eastAsia="Times New Roman" w:cs="Times New Roman"/>
          <w:szCs w:val="24"/>
          <w:lang w:eastAsia="fr-FR"/>
        </w:rPr>
        <w:t xml:space="preserve"> ainsi la propagation du feu ;</w:t>
      </w:r>
    </w:p>
    <w:p w14:paraId="6C4B5F63" w14:textId="2203A9FB" w:rsidR="006E0600" w:rsidRDefault="008F61DD" w:rsidP="004C6B19">
      <w:pPr>
        <w:numPr>
          <w:ilvl w:val="0"/>
          <w:numId w:val="4"/>
        </w:numPr>
        <w:spacing w:after="0" w:line="240" w:lineRule="auto"/>
        <w:rPr>
          <w:rFonts w:eastAsia="Times New Roman" w:cs="Times New Roman"/>
          <w:szCs w:val="24"/>
          <w:lang w:eastAsia="fr-FR"/>
        </w:rPr>
      </w:pPr>
      <w:r w:rsidRPr="008F61DD">
        <w:rPr>
          <w:rFonts w:eastAsia="Times New Roman" w:cs="Times New Roman"/>
          <w:szCs w:val="24"/>
          <w:lang w:eastAsia="fr-FR"/>
        </w:rPr>
        <w:t>hauteur (d'un bâtiment) : hauteur au faîtage, c'est-à-dire hauteur au point le plus haut de la toiture du bâtiment (hors murs séparatifs dépassant en toiture) ;</w:t>
      </w:r>
    </w:p>
    <w:p w14:paraId="05F780F7" w14:textId="6F9FE641" w:rsidR="00E674B3" w:rsidRPr="00E674B3" w:rsidRDefault="004C6B19" w:rsidP="004C6B19">
      <w:pPr>
        <w:pStyle w:val="Paragraphedeliste"/>
        <w:numPr>
          <w:ilvl w:val="0"/>
          <w:numId w:val="4"/>
        </w:numPr>
        <w:spacing w:after="119" w:line="240" w:lineRule="auto"/>
        <w:rPr>
          <w:rFonts w:eastAsia="Times New Roman" w:cs="Times New Roman"/>
          <w:color w:val="000000"/>
          <w:szCs w:val="24"/>
          <w:lang w:eastAsia="fr-FR"/>
        </w:rPr>
      </w:pPr>
      <w:r>
        <w:rPr>
          <w:rFonts w:eastAsia="Times New Roman" w:cs="Times New Roman"/>
          <w:color w:val="000000"/>
          <w:szCs w:val="24"/>
          <w:lang w:eastAsia="fr-FR"/>
        </w:rPr>
        <w:t>l</w:t>
      </w:r>
      <w:r w:rsidR="00E674B3" w:rsidRPr="00E674B3">
        <w:rPr>
          <w:rFonts w:eastAsia="Times New Roman" w:cs="Times New Roman"/>
          <w:color w:val="000000"/>
          <w:szCs w:val="24"/>
          <w:lang w:eastAsia="fr-FR"/>
        </w:rPr>
        <w:t>iquides et solides liquéfiables combustibles : liquides et solides dont la température de fusion est inférieure à 80°C dont le Pouvoir Calorifique Inférieur (PCI) est supérieur à 15MJ/kg. Sont exclus les liquides dont le point éclair es</w:t>
      </w:r>
      <w:r w:rsidR="00940189">
        <w:rPr>
          <w:rFonts w:eastAsia="Times New Roman" w:cs="Times New Roman"/>
          <w:color w:val="000000"/>
          <w:szCs w:val="24"/>
          <w:lang w:eastAsia="fr-FR"/>
        </w:rPr>
        <w:t>t inférieur à 93°C ainsi que les</w:t>
      </w:r>
      <w:r w:rsidR="00E674B3" w:rsidRPr="00E674B3">
        <w:rPr>
          <w:rFonts w:eastAsia="Times New Roman" w:cs="Times New Roman"/>
          <w:color w:val="000000"/>
          <w:szCs w:val="24"/>
          <w:lang w:eastAsia="fr-FR"/>
        </w:rPr>
        <w:t xml:space="preserve"> </w:t>
      </w:r>
      <w:r w:rsidR="00E674B3" w:rsidRPr="00E674B3">
        <w:rPr>
          <w:rFonts w:eastAsia="Times New Roman" w:cs="Times New Roman"/>
          <w:color w:val="000000"/>
          <w:szCs w:val="24"/>
          <w:lang w:eastAsia="fr-FR"/>
        </w:rPr>
        <w:lastRenderedPageBreak/>
        <w:t>liquides</w:t>
      </w:r>
      <w:r w:rsidR="00940189">
        <w:rPr>
          <w:rFonts w:eastAsia="Times New Roman" w:cs="Times New Roman"/>
          <w:color w:val="000000"/>
          <w:szCs w:val="24"/>
          <w:lang w:eastAsia="fr-FR"/>
        </w:rPr>
        <w:t xml:space="preserve"> et solides</w:t>
      </w:r>
      <w:r w:rsidR="00E674B3" w:rsidRPr="00E674B3">
        <w:rPr>
          <w:rFonts w:eastAsia="Times New Roman" w:cs="Times New Roman"/>
          <w:color w:val="000000"/>
          <w:szCs w:val="24"/>
          <w:lang w:eastAsia="fr-FR"/>
        </w:rPr>
        <w:t xml:space="preserve"> dont le comportement physique en cas d'incendie satisfait à des tests de qualification selon un protocole reconnu par le ministère chargé des installations classées montrant qu’ils ne sont pas susceptibles de générer une nappe enflammée lorsqu’ils sont pris dans un incendie</w:t>
      </w:r>
      <w:r w:rsidR="00E674B3" w:rsidRPr="004C6B19">
        <w:rPr>
          <w:rFonts w:eastAsia="Times New Roman" w:cs="Times New Roman"/>
          <w:szCs w:val="24"/>
          <w:lang w:eastAsia="fr-FR"/>
        </w:rPr>
        <w:t xml:space="preserve">. </w:t>
      </w:r>
      <w:r w:rsidRPr="004C6B19">
        <w:rPr>
          <w:rFonts w:eastAsia="Times New Roman" w:cs="Times New Roman"/>
          <w:szCs w:val="24"/>
          <w:lang w:eastAsia="fr-FR"/>
        </w:rPr>
        <w:t>A</w:t>
      </w:r>
      <w:r w:rsidR="00E674B3" w:rsidRPr="004C6B19">
        <w:rPr>
          <w:rFonts w:eastAsia="Times New Roman" w:cs="Times New Roman"/>
          <w:szCs w:val="24"/>
          <w:lang w:eastAsia="fr-FR"/>
        </w:rPr>
        <w:t xml:space="preserve">u sens </w:t>
      </w:r>
      <w:r w:rsidR="00E674B3" w:rsidRPr="001069B8">
        <w:rPr>
          <w:rFonts w:eastAsia="Times New Roman" w:cs="Times New Roman"/>
          <w:color w:val="000000"/>
          <w:szCs w:val="24"/>
          <w:lang w:eastAsia="fr-FR"/>
        </w:rPr>
        <w:t xml:space="preserve">de cette définition, sont exclus </w:t>
      </w:r>
      <w:r w:rsidR="00E674B3" w:rsidRPr="002C06FF">
        <w:rPr>
          <w:rFonts w:eastAsia="Times New Roman" w:cs="Times New Roman"/>
          <w:color w:val="000000"/>
          <w:szCs w:val="24"/>
          <w:lang w:eastAsia="fr-FR"/>
        </w:rPr>
        <w:t>les contenants et emballages</w:t>
      </w:r>
      <w:r w:rsidR="00E674B3" w:rsidRPr="00E674B3">
        <w:rPr>
          <w:rFonts w:eastAsia="Times New Roman" w:cs="Times New Roman"/>
          <w:color w:val="000000"/>
          <w:szCs w:val="24"/>
          <w:lang w:eastAsia="fr-FR"/>
        </w:rPr>
        <w:t xml:space="preserve"> ;</w:t>
      </w:r>
    </w:p>
    <w:p w14:paraId="0721B898" w14:textId="7BAB4514" w:rsidR="004C6B19" w:rsidRPr="004C6B19" w:rsidRDefault="00E440D4" w:rsidP="006F21C4">
      <w:pPr>
        <w:pStyle w:val="Paragraphedeliste"/>
        <w:numPr>
          <w:ilvl w:val="0"/>
          <w:numId w:val="4"/>
        </w:numPr>
        <w:spacing w:after="0" w:line="240" w:lineRule="auto"/>
        <w:rPr>
          <w:rFonts w:eastAsia="Times New Roman" w:cs="Times New Roman"/>
          <w:szCs w:val="24"/>
          <w:lang w:eastAsia="fr-FR"/>
        </w:rPr>
      </w:pPr>
      <w:r>
        <w:t xml:space="preserve">liquides inflammables : liquides inflammables </w:t>
      </w:r>
      <w:r w:rsidR="00E674B3">
        <w:t>de mention de de danger H224, H225 et H226,  liquides de points éclair compris entre 60 et 93°C</w:t>
      </w:r>
      <w:r w:rsidR="00FB5EFE">
        <w:t xml:space="preserve"> et déchets liquides inflammables catégorisés HP3</w:t>
      </w:r>
      <w:r w:rsidR="00E674B3">
        <w:t> ;</w:t>
      </w:r>
    </w:p>
    <w:p w14:paraId="1FA23C2A" w14:textId="2C48FD14" w:rsidR="00610FC6" w:rsidRPr="004D439C" w:rsidRDefault="00610FC6" w:rsidP="006F21C4">
      <w:pPr>
        <w:pStyle w:val="Paragraphedeliste"/>
        <w:numPr>
          <w:ilvl w:val="0"/>
          <w:numId w:val="4"/>
        </w:numPr>
        <w:spacing w:after="0" w:line="240" w:lineRule="auto"/>
        <w:rPr>
          <w:rFonts w:eastAsia="Times New Roman" w:cs="Times New Roman"/>
          <w:szCs w:val="24"/>
          <w:lang w:eastAsia="fr-FR"/>
        </w:rPr>
      </w:pPr>
      <w:r w:rsidRPr="004D439C">
        <w:rPr>
          <w:rFonts w:eastAsia="Times New Roman" w:cs="Times New Roman"/>
          <w:szCs w:val="24"/>
          <w:lang w:eastAsia="fr-FR"/>
        </w:rPr>
        <w:t>liquide non miscible à l'eau : liquide répondant à l'un des critères suivants :</w:t>
      </w:r>
    </w:p>
    <w:p w14:paraId="2DEAD35A" w14:textId="77777777" w:rsidR="004D439C" w:rsidRDefault="00610FC6" w:rsidP="006F21C4">
      <w:pPr>
        <w:pStyle w:val="Paragraphedeliste"/>
        <w:numPr>
          <w:ilvl w:val="1"/>
          <w:numId w:val="4"/>
        </w:numPr>
        <w:spacing w:after="0" w:line="240" w:lineRule="auto"/>
        <w:rPr>
          <w:rFonts w:eastAsia="Times New Roman" w:cs="Times New Roman"/>
          <w:szCs w:val="24"/>
          <w:lang w:eastAsia="fr-FR"/>
        </w:rPr>
      </w:pPr>
      <w:r w:rsidRPr="004D439C">
        <w:rPr>
          <w:rFonts w:eastAsia="Times New Roman" w:cs="Times New Roman"/>
          <w:szCs w:val="24"/>
          <w:lang w:eastAsia="fr-FR"/>
        </w:rPr>
        <w:t>liquide inflammable ayant une solubilité dans l'eau à 20 °C inférieure à 1 % ;</w:t>
      </w:r>
    </w:p>
    <w:p w14:paraId="24BAF119" w14:textId="77777777" w:rsidR="004D439C" w:rsidRDefault="00610FC6" w:rsidP="006F21C4">
      <w:pPr>
        <w:pStyle w:val="Paragraphedeliste"/>
        <w:numPr>
          <w:ilvl w:val="1"/>
          <w:numId w:val="4"/>
        </w:numPr>
        <w:spacing w:after="0" w:line="240" w:lineRule="auto"/>
        <w:rPr>
          <w:rFonts w:eastAsia="Times New Roman" w:cs="Times New Roman"/>
          <w:szCs w:val="24"/>
          <w:lang w:eastAsia="fr-FR"/>
        </w:rPr>
      </w:pPr>
      <w:r w:rsidRPr="004D439C">
        <w:rPr>
          <w:rFonts w:eastAsia="Times New Roman" w:cs="Times New Roman"/>
          <w:szCs w:val="24"/>
          <w:lang w:eastAsia="fr-FR"/>
        </w:rPr>
        <w:t>liquide inflammable dont la solubilité dans l'eau à 20 °C est comprise entre 1 % et 10 % et pour lequel des tests d'extinction ont montré qu'il se comporte comme un liquide ayant une faible affinité avec l'eau ;</w:t>
      </w:r>
    </w:p>
    <w:p w14:paraId="32C017E9" w14:textId="77777777" w:rsidR="004D439C" w:rsidRDefault="00610FC6" w:rsidP="006F21C4">
      <w:pPr>
        <w:pStyle w:val="Paragraphedeliste"/>
        <w:numPr>
          <w:ilvl w:val="1"/>
          <w:numId w:val="4"/>
        </w:numPr>
        <w:spacing w:after="0" w:line="240" w:lineRule="auto"/>
        <w:rPr>
          <w:rFonts w:eastAsia="Times New Roman" w:cs="Times New Roman"/>
          <w:szCs w:val="24"/>
          <w:lang w:eastAsia="fr-FR"/>
        </w:rPr>
      </w:pPr>
      <w:r w:rsidRPr="004D439C">
        <w:rPr>
          <w:rFonts w:eastAsia="Times New Roman" w:cs="Times New Roman"/>
          <w:szCs w:val="24"/>
          <w:lang w:eastAsia="fr-FR"/>
        </w:rPr>
        <w:t>carburant dans lequel sont incorporés au plus 15 % de produits oxygénés ;</w:t>
      </w:r>
    </w:p>
    <w:p w14:paraId="0E621898" w14:textId="56401F59" w:rsidR="004D439C" w:rsidRDefault="00610FC6" w:rsidP="006F21C4">
      <w:pPr>
        <w:pStyle w:val="Paragraphedeliste"/>
        <w:numPr>
          <w:ilvl w:val="0"/>
          <w:numId w:val="4"/>
        </w:numPr>
        <w:spacing w:after="0" w:line="240" w:lineRule="auto"/>
        <w:rPr>
          <w:rFonts w:eastAsia="Times New Roman" w:cs="Times New Roman"/>
          <w:szCs w:val="24"/>
          <w:lang w:eastAsia="fr-FR"/>
        </w:rPr>
      </w:pPr>
      <w:r w:rsidRPr="004D439C">
        <w:rPr>
          <w:rFonts w:eastAsia="Times New Roman" w:cs="Times New Roman"/>
          <w:szCs w:val="24"/>
          <w:lang w:eastAsia="fr-FR"/>
        </w:rPr>
        <w:t>liquide miscible à l'eau : liquide ne répondant pas à la définition d'un liquide non miscible à l'eau ;</w:t>
      </w:r>
    </w:p>
    <w:p w14:paraId="6CF27D28" w14:textId="77777777" w:rsidR="00B177C6" w:rsidRDefault="00B177C6" w:rsidP="00B177C6">
      <w:pPr>
        <w:pStyle w:val="Paragraphedeliste"/>
        <w:numPr>
          <w:ilvl w:val="0"/>
          <w:numId w:val="4"/>
        </w:numPr>
        <w:spacing w:after="0" w:line="240" w:lineRule="auto"/>
        <w:rPr>
          <w:rFonts w:eastAsia="Times New Roman" w:cs="Times New Roman"/>
          <w:szCs w:val="24"/>
          <w:lang w:eastAsia="fr-FR"/>
        </w:rPr>
      </w:pPr>
      <w:r>
        <w:rPr>
          <w:rFonts w:eastAsia="Times New Roman" w:cs="Times New Roman"/>
          <w:szCs w:val="24"/>
          <w:lang w:eastAsia="fr-FR"/>
        </w:rPr>
        <w:t>mezzanine :</w:t>
      </w:r>
      <w:r w:rsidRPr="00B177C6">
        <w:t xml:space="preserve"> </w:t>
      </w:r>
      <w:r w:rsidRPr="00B177C6">
        <w:rPr>
          <w:rFonts w:eastAsia="Times New Roman" w:cs="Times New Roman"/>
          <w:szCs w:val="24"/>
          <w:lang w:eastAsia="fr-FR"/>
        </w:rPr>
        <w:t>surface en hauteur qui occupe au maximum 50 % (ou 85 % pour le cas du textile) de la surface du niveau inférieur de la cellule et qui n</w:t>
      </w:r>
      <w:r>
        <w:rPr>
          <w:rFonts w:eastAsia="Times New Roman" w:cs="Times New Roman"/>
          <w:szCs w:val="24"/>
          <w:lang w:eastAsia="fr-FR"/>
        </w:rPr>
        <w:t>e comporte pas de local fermé ;</w:t>
      </w:r>
    </w:p>
    <w:p w14:paraId="74FF6A8D" w14:textId="3333F9A4" w:rsidR="00B177C6" w:rsidRDefault="008B4387" w:rsidP="00B177C6">
      <w:pPr>
        <w:pStyle w:val="Paragraphedeliste"/>
        <w:numPr>
          <w:ilvl w:val="0"/>
          <w:numId w:val="4"/>
        </w:numPr>
        <w:spacing w:after="0" w:line="240" w:lineRule="auto"/>
        <w:rPr>
          <w:rFonts w:eastAsia="Times New Roman" w:cs="Times New Roman"/>
          <w:szCs w:val="24"/>
          <w:lang w:eastAsia="fr-FR"/>
        </w:rPr>
      </w:pPr>
      <w:r>
        <w:rPr>
          <w:rFonts w:eastAsia="Times New Roman" w:cs="Times New Roman"/>
          <w:szCs w:val="24"/>
          <w:lang w:eastAsia="fr-FR"/>
        </w:rPr>
        <w:t>n</w:t>
      </w:r>
      <w:r w:rsidR="00B177C6" w:rsidRPr="00B177C6">
        <w:rPr>
          <w:rFonts w:eastAsia="Times New Roman" w:cs="Times New Roman"/>
          <w:szCs w:val="24"/>
          <w:lang w:eastAsia="fr-FR"/>
        </w:rPr>
        <w:t>iveau : surface d'un même plancher disponible pour un stockage ou une autre activité</w:t>
      </w:r>
      <w:r w:rsidR="00B177C6">
        <w:rPr>
          <w:rFonts w:eastAsia="Times New Roman" w:cs="Times New Roman"/>
          <w:szCs w:val="24"/>
          <w:lang w:eastAsia="fr-FR"/>
        </w:rPr>
        <w:t> ;</w:t>
      </w:r>
    </w:p>
    <w:p w14:paraId="6456359D" w14:textId="312A074F" w:rsidR="004D439C" w:rsidRDefault="00610FC6" w:rsidP="006F21C4">
      <w:pPr>
        <w:pStyle w:val="Paragraphedeliste"/>
        <w:numPr>
          <w:ilvl w:val="0"/>
          <w:numId w:val="4"/>
        </w:numPr>
        <w:spacing w:after="0" w:line="240" w:lineRule="auto"/>
        <w:rPr>
          <w:rFonts w:eastAsia="Times New Roman" w:cs="Times New Roman"/>
          <w:szCs w:val="24"/>
          <w:lang w:eastAsia="fr-FR"/>
        </w:rPr>
      </w:pPr>
      <w:r w:rsidRPr="004D439C">
        <w:rPr>
          <w:rFonts w:eastAsia="Times New Roman" w:cs="Times New Roman"/>
          <w:szCs w:val="24"/>
          <w:lang w:eastAsia="fr-FR"/>
        </w:rPr>
        <w:t>moyens nécessaires à l'extinction : moyens comprenant les équipements de lutte contre l'incendie (équipements fixes, semi-fixes et mobiles), les ressources en eau et en émulseur, les équipements hydrauliques ainsi que les moyens humains éventuellement nécessaires à leur mise en œuvre ;</w:t>
      </w:r>
    </w:p>
    <w:p w14:paraId="346730F9" w14:textId="230FB954" w:rsidR="00FC5366" w:rsidRDefault="008B4387" w:rsidP="006F21C4">
      <w:pPr>
        <w:pStyle w:val="Paragraphedeliste"/>
        <w:numPr>
          <w:ilvl w:val="0"/>
          <w:numId w:val="4"/>
        </w:numPr>
        <w:spacing w:after="0" w:line="240" w:lineRule="auto"/>
        <w:rPr>
          <w:rFonts w:eastAsia="Times New Roman" w:cs="Times New Roman"/>
          <w:szCs w:val="24"/>
          <w:lang w:eastAsia="fr-FR"/>
        </w:rPr>
      </w:pPr>
      <w:r>
        <w:t>n</w:t>
      </w:r>
      <w:r w:rsidR="00FC5366">
        <w:t>iveau de référence : niveau de la voirie interne au site située au pied du bâtiment et desservant la construction utilisable par les engins des services publics d'incendie et de secours. S'il y a deux accès par des voies situées à des niveaux différents, le niveau de référence est déte</w:t>
      </w:r>
      <w:r w:rsidR="004C6B19">
        <w:t>rminé par la voie la plus basse ;</w:t>
      </w:r>
    </w:p>
    <w:p w14:paraId="5A53C34A" w14:textId="77777777" w:rsidR="004D439C" w:rsidRDefault="00610FC6" w:rsidP="006F21C4">
      <w:pPr>
        <w:pStyle w:val="Paragraphedeliste"/>
        <w:numPr>
          <w:ilvl w:val="0"/>
          <w:numId w:val="4"/>
        </w:numPr>
        <w:spacing w:after="0" w:line="240" w:lineRule="auto"/>
        <w:rPr>
          <w:rFonts w:eastAsia="Times New Roman" w:cs="Times New Roman"/>
          <w:szCs w:val="24"/>
          <w:lang w:eastAsia="fr-FR"/>
        </w:rPr>
      </w:pPr>
      <w:r w:rsidRPr="004D439C">
        <w:rPr>
          <w:rFonts w:eastAsia="Times New Roman" w:cs="Times New Roman"/>
          <w:szCs w:val="24"/>
          <w:lang w:eastAsia="fr-FR"/>
        </w:rPr>
        <w:t>opérations d'extinction : ensemble des actions qui concourent à :</w:t>
      </w:r>
    </w:p>
    <w:p w14:paraId="5A77E65E" w14:textId="77777777" w:rsidR="004D439C" w:rsidRDefault="00610FC6" w:rsidP="006F21C4">
      <w:pPr>
        <w:pStyle w:val="Paragraphedeliste"/>
        <w:numPr>
          <w:ilvl w:val="1"/>
          <w:numId w:val="4"/>
        </w:numPr>
        <w:spacing w:after="0" w:line="240" w:lineRule="auto"/>
        <w:rPr>
          <w:rFonts w:eastAsia="Times New Roman" w:cs="Times New Roman"/>
          <w:szCs w:val="24"/>
          <w:lang w:eastAsia="fr-FR"/>
        </w:rPr>
      </w:pPr>
      <w:r w:rsidRPr="004D439C">
        <w:rPr>
          <w:rFonts w:eastAsia="Times New Roman" w:cs="Times New Roman"/>
          <w:szCs w:val="24"/>
          <w:lang w:eastAsia="fr-FR"/>
        </w:rPr>
        <w:t>éteindre l'incendie ;</w:t>
      </w:r>
    </w:p>
    <w:p w14:paraId="44CD80FC" w14:textId="77777777" w:rsidR="004D439C" w:rsidRDefault="00610FC6" w:rsidP="006F21C4">
      <w:pPr>
        <w:pStyle w:val="Paragraphedeliste"/>
        <w:numPr>
          <w:ilvl w:val="1"/>
          <w:numId w:val="4"/>
        </w:numPr>
        <w:spacing w:after="0" w:line="240" w:lineRule="auto"/>
        <w:rPr>
          <w:rFonts w:eastAsia="Times New Roman" w:cs="Times New Roman"/>
          <w:szCs w:val="24"/>
          <w:lang w:eastAsia="fr-FR"/>
        </w:rPr>
      </w:pPr>
      <w:r w:rsidRPr="004D439C">
        <w:rPr>
          <w:rFonts w:eastAsia="Times New Roman" w:cs="Times New Roman"/>
          <w:szCs w:val="24"/>
          <w:lang w:eastAsia="fr-FR"/>
        </w:rPr>
        <w:t>protéger les installations de l'exploitant susceptibles de propager le sinistre ou d'en augmenter ses effets ;</w:t>
      </w:r>
    </w:p>
    <w:p w14:paraId="1ADA1F69" w14:textId="77777777" w:rsidR="004D439C" w:rsidRDefault="00610FC6" w:rsidP="006F21C4">
      <w:pPr>
        <w:pStyle w:val="Paragraphedeliste"/>
        <w:numPr>
          <w:ilvl w:val="1"/>
          <w:numId w:val="4"/>
        </w:numPr>
        <w:spacing w:after="0" w:line="240" w:lineRule="auto"/>
        <w:rPr>
          <w:rFonts w:eastAsia="Times New Roman" w:cs="Times New Roman"/>
          <w:szCs w:val="24"/>
          <w:lang w:eastAsia="fr-FR"/>
        </w:rPr>
      </w:pPr>
      <w:r w:rsidRPr="004D439C">
        <w:rPr>
          <w:rFonts w:eastAsia="Times New Roman" w:cs="Times New Roman"/>
          <w:szCs w:val="24"/>
          <w:lang w:eastAsia="fr-FR"/>
        </w:rPr>
        <w:t>préserver les installations participant à la lutte contre l'incendie ;</w:t>
      </w:r>
    </w:p>
    <w:p w14:paraId="3CF3CD25" w14:textId="77777777" w:rsidR="004D439C" w:rsidRDefault="00610FC6" w:rsidP="006F21C4">
      <w:pPr>
        <w:pStyle w:val="Paragraphedeliste"/>
        <w:numPr>
          <w:ilvl w:val="1"/>
          <w:numId w:val="4"/>
        </w:numPr>
        <w:spacing w:after="0" w:line="240" w:lineRule="auto"/>
        <w:rPr>
          <w:rFonts w:eastAsia="Times New Roman" w:cs="Times New Roman"/>
          <w:szCs w:val="24"/>
          <w:lang w:eastAsia="fr-FR"/>
        </w:rPr>
      </w:pPr>
      <w:r w:rsidRPr="004D439C">
        <w:rPr>
          <w:rFonts w:eastAsia="Times New Roman" w:cs="Times New Roman"/>
          <w:szCs w:val="24"/>
          <w:lang w:eastAsia="fr-FR"/>
        </w:rPr>
        <w:t>réduire le flux thermique émis par l'incendie par la mise en œuvre de moyens adaptés aux risques à couvrir ;</w:t>
      </w:r>
    </w:p>
    <w:p w14:paraId="7011E1A6" w14:textId="77777777" w:rsidR="004D439C" w:rsidRDefault="00610FC6" w:rsidP="006F21C4">
      <w:pPr>
        <w:pStyle w:val="Paragraphedeliste"/>
        <w:numPr>
          <w:ilvl w:val="1"/>
          <w:numId w:val="4"/>
        </w:numPr>
        <w:spacing w:after="0" w:line="240" w:lineRule="auto"/>
        <w:rPr>
          <w:rFonts w:eastAsia="Times New Roman" w:cs="Times New Roman"/>
          <w:szCs w:val="24"/>
          <w:lang w:eastAsia="fr-FR"/>
        </w:rPr>
      </w:pPr>
      <w:r w:rsidRPr="004D439C">
        <w:rPr>
          <w:rFonts w:eastAsia="Times New Roman" w:cs="Times New Roman"/>
          <w:szCs w:val="24"/>
          <w:lang w:eastAsia="fr-FR"/>
        </w:rPr>
        <w:t>maintenir un dispositif de prévention en vue d'une éventuelle reprise de l'incendie à l'issue de la phase d'extinction totale ;</w:t>
      </w:r>
    </w:p>
    <w:p w14:paraId="2FAADD6A" w14:textId="77777777" w:rsidR="006330D8" w:rsidRPr="006330D8" w:rsidRDefault="006330D8" w:rsidP="006F21C4">
      <w:pPr>
        <w:pStyle w:val="Paragraphedeliste"/>
        <w:numPr>
          <w:ilvl w:val="0"/>
          <w:numId w:val="4"/>
        </w:numPr>
        <w:spacing w:after="0" w:line="240" w:lineRule="auto"/>
        <w:rPr>
          <w:rFonts w:eastAsia="Times New Roman" w:cs="Times New Roman"/>
          <w:szCs w:val="24"/>
          <w:lang w:eastAsia="fr-FR"/>
        </w:rPr>
      </w:pPr>
      <w:r w:rsidRPr="006330D8">
        <w:rPr>
          <w:rFonts w:eastAsia="Times New Roman" w:cs="Times New Roman"/>
          <w:szCs w:val="24"/>
          <w:lang w:eastAsia="fr-FR"/>
        </w:rPr>
        <w:t>réaction et résistance au feu des éléments de construction, classe et indice de toiture : ces définitions sont celles figurant dans les arrêtés du 21 novembre 2002, du 14 février 2003 et du 22 mars 2004 susvisés ;</w:t>
      </w:r>
    </w:p>
    <w:p w14:paraId="763059FB" w14:textId="773491AC" w:rsidR="006508EC" w:rsidRPr="006508EC" w:rsidRDefault="006508EC" w:rsidP="006508EC">
      <w:pPr>
        <w:pStyle w:val="Paragraphedeliste"/>
        <w:numPr>
          <w:ilvl w:val="0"/>
          <w:numId w:val="4"/>
        </w:numPr>
        <w:spacing w:after="0" w:line="240" w:lineRule="auto"/>
        <w:rPr>
          <w:rFonts w:eastAsia="Times New Roman" w:cs="Times New Roman"/>
          <w:szCs w:val="24"/>
          <w:lang w:eastAsia="fr-FR"/>
        </w:rPr>
      </w:pPr>
      <w:r>
        <w:rPr>
          <w:rFonts w:eastAsia="Times New Roman" w:cs="Times New Roman"/>
          <w:szCs w:val="24"/>
          <w:lang w:eastAsia="fr-FR"/>
        </w:rPr>
        <w:t>récipients en palettiers : récipients</w:t>
      </w:r>
      <w:r w:rsidRPr="006508EC">
        <w:rPr>
          <w:rFonts w:eastAsia="Times New Roman" w:cs="Times New Roman"/>
          <w:szCs w:val="24"/>
          <w:lang w:eastAsia="fr-FR"/>
        </w:rPr>
        <w:t xml:space="preserve"> stockés sur une palette disposée dans des râteliers (souvent dénommés racks)</w:t>
      </w:r>
      <w:r w:rsidR="00180150">
        <w:rPr>
          <w:rFonts w:eastAsia="Times New Roman" w:cs="Times New Roman"/>
          <w:szCs w:val="24"/>
          <w:lang w:eastAsia="fr-FR"/>
        </w:rPr>
        <w:t> ;</w:t>
      </w:r>
    </w:p>
    <w:p w14:paraId="25F3CC14" w14:textId="299F8CCB" w:rsidR="004D439C" w:rsidRDefault="00610FC6" w:rsidP="0096176E">
      <w:pPr>
        <w:pStyle w:val="Paragraphedeliste"/>
        <w:numPr>
          <w:ilvl w:val="0"/>
          <w:numId w:val="4"/>
        </w:numPr>
        <w:spacing w:after="0" w:line="240" w:lineRule="auto"/>
        <w:rPr>
          <w:rFonts w:eastAsia="Times New Roman" w:cs="Times New Roman"/>
          <w:szCs w:val="24"/>
          <w:lang w:eastAsia="fr-FR"/>
        </w:rPr>
      </w:pPr>
      <w:r w:rsidRPr="004D439C">
        <w:rPr>
          <w:rFonts w:eastAsia="Times New Roman" w:cs="Times New Roman"/>
          <w:szCs w:val="24"/>
          <w:lang w:eastAsia="fr-FR"/>
        </w:rPr>
        <w:t>récipient mobile : capacité mobile manutentionnable</w:t>
      </w:r>
      <w:r w:rsidR="00E744BB">
        <w:rPr>
          <w:rFonts w:eastAsia="Times New Roman" w:cs="Times New Roman"/>
          <w:szCs w:val="24"/>
          <w:lang w:eastAsia="fr-FR"/>
        </w:rPr>
        <w:t xml:space="preserve"> d’un volume inférieur ou égal à 3 mètres cube</w:t>
      </w:r>
      <w:r w:rsidR="006508EC">
        <w:rPr>
          <w:rFonts w:eastAsia="Times New Roman" w:cs="Times New Roman"/>
          <w:szCs w:val="24"/>
          <w:lang w:eastAsia="fr-FR"/>
        </w:rPr>
        <w:t> ;</w:t>
      </w:r>
      <w:r w:rsidR="0096176E">
        <w:rPr>
          <w:rFonts w:eastAsia="Times New Roman" w:cs="Times New Roman"/>
          <w:szCs w:val="24"/>
          <w:lang w:eastAsia="fr-FR"/>
        </w:rPr>
        <w:t xml:space="preserve"> </w:t>
      </w:r>
      <w:r w:rsidR="0096176E" w:rsidRPr="0096176E">
        <w:rPr>
          <w:rFonts w:eastAsia="Times New Roman" w:cs="Times New Roman"/>
          <w:szCs w:val="24"/>
          <w:lang w:eastAsia="fr-FR"/>
        </w:rPr>
        <w:t>Les réservoirs à carburant des véhicules et engins ne sont pas considérés comme des récipients mobiles</w:t>
      </w:r>
      <w:r w:rsidR="00180150">
        <w:rPr>
          <w:rFonts w:eastAsia="Times New Roman" w:cs="Times New Roman"/>
          <w:szCs w:val="24"/>
          <w:lang w:eastAsia="fr-FR"/>
        </w:rPr>
        <w:t> ;</w:t>
      </w:r>
    </w:p>
    <w:p w14:paraId="14E8E4D9" w14:textId="77777777" w:rsidR="004D439C" w:rsidRDefault="00610FC6" w:rsidP="006F21C4">
      <w:pPr>
        <w:pStyle w:val="Paragraphedeliste"/>
        <w:numPr>
          <w:ilvl w:val="0"/>
          <w:numId w:val="4"/>
        </w:numPr>
        <w:spacing w:after="0" w:line="240" w:lineRule="auto"/>
        <w:rPr>
          <w:rFonts w:eastAsia="Times New Roman" w:cs="Times New Roman"/>
          <w:szCs w:val="24"/>
          <w:lang w:eastAsia="fr-FR"/>
        </w:rPr>
      </w:pPr>
      <w:r w:rsidRPr="004D439C">
        <w:rPr>
          <w:rFonts w:eastAsia="Times New Roman" w:cs="Times New Roman"/>
          <w:szCs w:val="24"/>
          <w:lang w:eastAsia="fr-FR"/>
        </w:rPr>
        <w:t xml:space="preserve">réservoir : capacité fixe destinée au stockage de liquides. Les bassins de traitement des effluents, fosses, rétentions, ballons, appareils de procédé intégrés aux unités de fabrication ou aux postes de chargement et déchargement et réservoirs dédiés à certaines </w:t>
      </w:r>
      <w:r w:rsidRPr="004D439C">
        <w:rPr>
          <w:rFonts w:eastAsia="Times New Roman" w:cs="Times New Roman"/>
          <w:szCs w:val="24"/>
          <w:lang w:eastAsia="fr-FR"/>
        </w:rPr>
        <w:lastRenderedPageBreak/>
        <w:t>utilités (par exemple les groupes électrogènes et groupes de pomperie incendie) ne sont pas considérés comme des réservoirs ;</w:t>
      </w:r>
    </w:p>
    <w:p w14:paraId="5007AB86" w14:textId="77777777" w:rsidR="002C0B0A" w:rsidRDefault="00610FC6" w:rsidP="006F21C4">
      <w:pPr>
        <w:pStyle w:val="Paragraphedeliste"/>
        <w:numPr>
          <w:ilvl w:val="0"/>
          <w:numId w:val="4"/>
        </w:numPr>
        <w:spacing w:after="0" w:line="240" w:lineRule="auto"/>
        <w:rPr>
          <w:rFonts w:eastAsia="Times New Roman" w:cs="Times New Roman"/>
          <w:szCs w:val="24"/>
          <w:lang w:eastAsia="fr-FR"/>
        </w:rPr>
      </w:pPr>
      <w:r w:rsidRPr="002C0B0A">
        <w:rPr>
          <w:rFonts w:eastAsia="Times New Roman" w:cs="Times New Roman"/>
          <w:szCs w:val="24"/>
          <w:lang w:eastAsia="fr-FR"/>
        </w:rPr>
        <w:t>ressource hydraulique : réserve d'eau ou ressource alimentée en continu telle que mer et cours d'eau. Les bouches et poteaux de réseau public d'eau peuvent également être considérés comme ressource hydraulique lorsque l'exploitant peut justifier qu'ils sont en mesure de fournir le débit requis dans la stratégie de lutte contre l'incendie pendant toute l'intervention ;</w:t>
      </w:r>
    </w:p>
    <w:p w14:paraId="3651CD50" w14:textId="79C120E9" w:rsidR="0083312D" w:rsidRPr="002C06FF" w:rsidRDefault="000E38AD" w:rsidP="0083312D">
      <w:pPr>
        <w:pStyle w:val="Paragraphedeliste"/>
        <w:numPr>
          <w:ilvl w:val="0"/>
          <w:numId w:val="4"/>
        </w:numPr>
        <w:spacing w:after="0" w:line="240" w:lineRule="auto"/>
        <w:rPr>
          <w:rFonts w:eastAsia="Times New Roman" w:cs="Times New Roman"/>
          <w:szCs w:val="24"/>
          <w:lang w:eastAsia="fr-FR"/>
        </w:rPr>
      </w:pPr>
      <w:r>
        <w:rPr>
          <w:rFonts w:eastAsia="Times New Roman" w:cs="Times New Roman"/>
          <w:szCs w:val="24"/>
          <w:lang w:eastAsia="fr-FR"/>
        </w:rPr>
        <w:t>r</w:t>
      </w:r>
      <w:r w:rsidR="007141F4">
        <w:rPr>
          <w:rFonts w:eastAsia="Times New Roman" w:cs="Times New Roman"/>
          <w:szCs w:val="24"/>
          <w:lang w:eastAsia="fr-FR"/>
        </w:rPr>
        <w:t>étention :</w:t>
      </w:r>
      <w:r w:rsidR="0007563C">
        <w:rPr>
          <w:rFonts w:eastAsia="Times New Roman" w:cs="Times New Roman"/>
          <w:szCs w:val="24"/>
          <w:lang w:eastAsia="fr-FR"/>
        </w:rPr>
        <w:t xml:space="preserve"> d</w:t>
      </w:r>
      <w:r w:rsidR="0083312D" w:rsidRPr="002C06FF">
        <w:rPr>
          <w:rFonts w:eastAsia="Times New Roman" w:cs="Times New Roman"/>
          <w:szCs w:val="24"/>
          <w:lang w:eastAsia="fr-FR"/>
        </w:rPr>
        <w:t>ispositif de capacité utile suffisante permettant de co</w:t>
      </w:r>
      <w:r w:rsidR="007141F4">
        <w:rPr>
          <w:rFonts w:eastAsia="Times New Roman" w:cs="Times New Roman"/>
          <w:szCs w:val="24"/>
          <w:lang w:eastAsia="fr-FR"/>
        </w:rPr>
        <w:t>llecter et retenir des liquides ;</w:t>
      </w:r>
      <w:r w:rsidR="0083312D" w:rsidRPr="002C06FF">
        <w:rPr>
          <w:rFonts w:eastAsia="Times New Roman" w:cs="Times New Roman"/>
          <w:szCs w:val="24"/>
          <w:lang w:eastAsia="fr-FR"/>
        </w:rPr>
        <w:t xml:space="preserve"> </w:t>
      </w:r>
    </w:p>
    <w:p w14:paraId="7B3E3500" w14:textId="6FA01DE1" w:rsidR="0083312D" w:rsidRPr="002C06FF" w:rsidRDefault="008B4387" w:rsidP="0083312D">
      <w:pPr>
        <w:pStyle w:val="Paragraphedeliste"/>
        <w:numPr>
          <w:ilvl w:val="0"/>
          <w:numId w:val="4"/>
        </w:numPr>
        <w:spacing w:after="0" w:line="240" w:lineRule="auto"/>
        <w:rPr>
          <w:rFonts w:eastAsia="Times New Roman" w:cs="Times New Roman"/>
          <w:szCs w:val="24"/>
          <w:lang w:eastAsia="fr-FR"/>
        </w:rPr>
      </w:pPr>
      <w:r>
        <w:rPr>
          <w:rFonts w:eastAsia="Times New Roman" w:cs="Times New Roman"/>
          <w:szCs w:val="24"/>
          <w:lang w:eastAsia="fr-FR"/>
        </w:rPr>
        <w:t>r</w:t>
      </w:r>
      <w:r w:rsidR="0083312D" w:rsidRPr="002C06FF">
        <w:rPr>
          <w:rFonts w:eastAsia="Times New Roman" w:cs="Times New Roman"/>
          <w:szCs w:val="24"/>
          <w:lang w:eastAsia="fr-FR"/>
        </w:rPr>
        <w:t>étention locale : rétention permettant de collecter et retenir in situ les liquides des réservoirs ou récipients qui lui sont associés ;</w:t>
      </w:r>
    </w:p>
    <w:p w14:paraId="379B043A" w14:textId="6CA72E0E" w:rsidR="0083312D" w:rsidRPr="000E38AD" w:rsidRDefault="008B4387" w:rsidP="0083312D">
      <w:pPr>
        <w:pStyle w:val="Paragraphedeliste"/>
        <w:numPr>
          <w:ilvl w:val="0"/>
          <w:numId w:val="4"/>
        </w:numPr>
        <w:spacing w:after="0" w:line="240" w:lineRule="auto"/>
        <w:rPr>
          <w:rFonts w:eastAsia="Times New Roman" w:cs="Times New Roman"/>
          <w:szCs w:val="24"/>
          <w:lang w:eastAsia="fr-FR"/>
        </w:rPr>
      </w:pPr>
      <w:r>
        <w:rPr>
          <w:rFonts w:eastAsia="Times New Roman" w:cs="Times New Roman"/>
          <w:szCs w:val="24"/>
          <w:lang w:eastAsia="fr-FR"/>
        </w:rPr>
        <w:t>r</w:t>
      </w:r>
      <w:r w:rsidR="0083312D" w:rsidRPr="0083312D">
        <w:rPr>
          <w:rFonts w:eastAsia="Times New Roman" w:cs="Times New Roman"/>
          <w:szCs w:val="24"/>
          <w:lang w:eastAsia="fr-FR"/>
        </w:rPr>
        <w:t xml:space="preserve">étention déportée : rétention permettant de collecter et de retenir les liquides à distance </w:t>
      </w:r>
      <w:r w:rsidR="0083312D" w:rsidRPr="000E38AD">
        <w:rPr>
          <w:rFonts w:eastAsia="Times New Roman" w:cs="Times New Roman"/>
          <w:szCs w:val="24"/>
          <w:lang w:eastAsia="fr-FR"/>
        </w:rPr>
        <w:t>des réservoirs ou récipients associés, via un drainage ;</w:t>
      </w:r>
    </w:p>
    <w:p w14:paraId="70449B3E" w14:textId="46E82EF9" w:rsidR="009F3198" w:rsidRPr="000E38AD" w:rsidRDefault="009F3198" w:rsidP="006F21C4">
      <w:pPr>
        <w:numPr>
          <w:ilvl w:val="0"/>
          <w:numId w:val="4"/>
        </w:numPr>
        <w:spacing w:before="100" w:beforeAutospacing="1" w:after="0" w:line="240" w:lineRule="auto"/>
        <w:rPr>
          <w:rFonts w:eastAsia="Times New Roman" w:cs="Times New Roman"/>
          <w:szCs w:val="24"/>
          <w:lang w:eastAsia="fr-FR"/>
        </w:rPr>
      </w:pPr>
      <w:r w:rsidRPr="000E38AD">
        <w:rPr>
          <w:rFonts w:eastAsia="Times New Roman" w:cs="Times New Roman"/>
          <w:szCs w:val="24"/>
          <w:lang w:eastAsia="fr-FR"/>
        </w:rPr>
        <w:t>rubriques « liquides inflammables » : rubriques n</w:t>
      </w:r>
      <w:r w:rsidRPr="000E38AD">
        <w:rPr>
          <w:rFonts w:eastAsia="Times New Roman" w:cs="Times New Roman"/>
          <w:szCs w:val="24"/>
          <w:vertAlign w:val="superscript"/>
          <w:lang w:eastAsia="fr-FR"/>
        </w:rPr>
        <w:t>os</w:t>
      </w:r>
      <w:r w:rsidRPr="000E38AD">
        <w:rPr>
          <w:rFonts w:eastAsia="Times New Roman" w:cs="Times New Roman"/>
          <w:szCs w:val="24"/>
          <w:lang w:eastAsia="fr-FR"/>
        </w:rPr>
        <w:t xml:space="preserve"> 1436, 4330, 4331, 4722, 4734, 4742,</w:t>
      </w:r>
      <w:r w:rsidR="00A274A4" w:rsidRPr="000E38AD">
        <w:rPr>
          <w:rFonts w:eastAsia="Times New Roman" w:cs="Times New Roman"/>
          <w:szCs w:val="24"/>
          <w:lang w:eastAsia="fr-FR"/>
        </w:rPr>
        <w:t xml:space="preserve"> 4743, 4744, 4746, 4747 ou 4748 ;</w:t>
      </w:r>
    </w:p>
    <w:p w14:paraId="70AC096E" w14:textId="7599C9A5" w:rsidR="0083312D" w:rsidRPr="0066259D" w:rsidRDefault="008B4387" w:rsidP="0083312D">
      <w:pPr>
        <w:pStyle w:val="Paragraphedeliste"/>
        <w:numPr>
          <w:ilvl w:val="0"/>
          <w:numId w:val="4"/>
        </w:numPr>
        <w:spacing w:after="0" w:line="240" w:lineRule="auto"/>
        <w:rPr>
          <w:rFonts w:eastAsia="Times New Roman" w:cs="Times New Roman"/>
          <w:szCs w:val="24"/>
          <w:lang w:eastAsia="fr-FR"/>
        </w:rPr>
      </w:pPr>
      <w:r w:rsidRPr="000E38AD">
        <w:t>s</w:t>
      </w:r>
      <w:r w:rsidR="00035CFF" w:rsidRPr="000E38AD">
        <w:t>tockage couvert :</w:t>
      </w:r>
      <w:r w:rsidR="003B6032">
        <w:t xml:space="preserve"> stockage</w:t>
      </w:r>
      <w:r w:rsidR="003B6032" w:rsidRPr="001A2DBE">
        <w:rPr>
          <w:rFonts w:eastAsia="Times New Roman" w:cs="Times New Roman"/>
          <w:szCs w:val="24"/>
          <w:lang w:eastAsia="fr-FR"/>
        </w:rPr>
        <w:t xml:space="preserve"> doté d'une toiture,</w:t>
      </w:r>
      <w:r w:rsidR="003B6032">
        <w:rPr>
          <w:rFonts w:eastAsia="Times New Roman" w:cs="Times New Roman"/>
          <w:szCs w:val="24"/>
          <w:lang w:eastAsia="fr-FR"/>
        </w:rPr>
        <w:t xml:space="preserve"> y compris les auvents,</w:t>
      </w:r>
      <w:r w:rsidR="003B6032" w:rsidRPr="001A2DBE">
        <w:rPr>
          <w:rFonts w:eastAsia="Times New Roman" w:cs="Times New Roman"/>
          <w:szCs w:val="24"/>
          <w:lang w:eastAsia="fr-FR"/>
        </w:rPr>
        <w:t xml:space="preserve"> pouvant être</w:t>
      </w:r>
      <w:r w:rsidR="003B6032">
        <w:rPr>
          <w:rFonts w:eastAsia="Times New Roman" w:cs="Times New Roman"/>
          <w:szCs w:val="24"/>
          <w:lang w:eastAsia="fr-FR"/>
        </w:rPr>
        <w:t>, le cas échéant,</w:t>
      </w:r>
      <w:r w:rsidR="003B6032" w:rsidRPr="001A2DBE">
        <w:rPr>
          <w:rFonts w:eastAsia="Times New Roman" w:cs="Times New Roman"/>
          <w:szCs w:val="24"/>
          <w:lang w:eastAsia="fr-FR"/>
        </w:rPr>
        <w:t xml:space="preserve"> compartimenté (cellules, locaux)</w:t>
      </w:r>
      <w:r w:rsidR="003B6032">
        <w:rPr>
          <w:rFonts w:eastAsia="Times New Roman" w:cs="Times New Roman"/>
          <w:szCs w:val="24"/>
          <w:lang w:eastAsia="fr-FR"/>
        </w:rPr>
        <w:t>. Les armoires de stockage ne sont pas des stockages couverts;</w:t>
      </w:r>
    </w:p>
    <w:p w14:paraId="2449230E" w14:textId="229F8A5E" w:rsidR="003B6032" w:rsidRPr="000E38AD" w:rsidRDefault="003B6032" w:rsidP="0083312D">
      <w:pPr>
        <w:pStyle w:val="Paragraphedeliste"/>
        <w:numPr>
          <w:ilvl w:val="0"/>
          <w:numId w:val="4"/>
        </w:numPr>
        <w:spacing w:after="0" w:line="240" w:lineRule="auto"/>
        <w:rPr>
          <w:rFonts w:eastAsia="Times New Roman" w:cs="Times New Roman"/>
          <w:szCs w:val="24"/>
          <w:lang w:eastAsia="fr-FR"/>
        </w:rPr>
      </w:pPr>
      <w:r>
        <w:t>stockage couvert ouvert : stockage couvert qui n'est pas fermé sur au moins 70 % de son périmètre assurant une ventilation correcte évitant l'accumulation de fumée sous la toiture en cas d'incendie</w:t>
      </w:r>
      <w:r w:rsidR="00180150">
        <w:t> ;</w:t>
      </w:r>
    </w:p>
    <w:p w14:paraId="565AE7A0" w14:textId="7E0C0FFB" w:rsidR="00F90C1F" w:rsidRPr="000E38AD" w:rsidRDefault="008B4387" w:rsidP="0083312D">
      <w:pPr>
        <w:pStyle w:val="Paragraphedeliste"/>
        <w:numPr>
          <w:ilvl w:val="0"/>
          <w:numId w:val="4"/>
        </w:numPr>
        <w:spacing w:after="0" w:line="240" w:lineRule="auto"/>
        <w:rPr>
          <w:rFonts w:eastAsia="Times New Roman" w:cs="Times New Roman"/>
          <w:szCs w:val="24"/>
          <w:lang w:eastAsia="fr-FR"/>
        </w:rPr>
      </w:pPr>
      <w:r w:rsidRPr="000E38AD">
        <w:rPr>
          <w:rFonts w:eastAsia="Times New Roman" w:cs="Times New Roman"/>
          <w:szCs w:val="24"/>
          <w:lang w:eastAsia="fr-FR"/>
        </w:rPr>
        <w:t>s</w:t>
      </w:r>
      <w:r w:rsidR="0083312D" w:rsidRPr="000E38AD">
        <w:rPr>
          <w:rFonts w:eastAsia="Times New Roman" w:cs="Times New Roman"/>
          <w:szCs w:val="24"/>
          <w:lang w:eastAsia="fr-FR"/>
        </w:rPr>
        <w:t xml:space="preserve">tockage extérieur : stockage qui ne répond pas aux </w:t>
      </w:r>
      <w:r w:rsidR="001C3192">
        <w:rPr>
          <w:rFonts w:eastAsia="Times New Roman" w:cs="Times New Roman"/>
          <w:szCs w:val="24"/>
          <w:lang w:eastAsia="fr-FR"/>
        </w:rPr>
        <w:t>conditions de stockage couvert ;</w:t>
      </w:r>
    </w:p>
    <w:p w14:paraId="795649D7" w14:textId="77F50843" w:rsidR="006330D8" w:rsidRPr="000E38AD" w:rsidRDefault="006330D8" w:rsidP="006F21C4">
      <w:pPr>
        <w:pStyle w:val="Paragraphedeliste"/>
        <w:numPr>
          <w:ilvl w:val="0"/>
          <w:numId w:val="4"/>
        </w:numPr>
        <w:spacing w:after="0" w:line="240" w:lineRule="auto"/>
        <w:rPr>
          <w:rFonts w:eastAsia="Times New Roman" w:cs="Times New Roman"/>
          <w:szCs w:val="24"/>
          <w:lang w:eastAsia="fr-FR"/>
        </w:rPr>
      </w:pPr>
      <w:r w:rsidRPr="000E38AD">
        <w:rPr>
          <w:rFonts w:eastAsia="Times New Roman" w:cs="Times New Roman"/>
          <w:szCs w:val="24"/>
          <w:lang w:eastAsia="fr-FR"/>
        </w:rPr>
        <w:t>stockage en masse de récipients : empilement de récipients les uns sur les autres ;</w:t>
      </w:r>
    </w:p>
    <w:p w14:paraId="0E4AE2E3" w14:textId="39E0038F" w:rsidR="00383E85" w:rsidRPr="000E38AD" w:rsidRDefault="00CE67A8" w:rsidP="006F21C4">
      <w:pPr>
        <w:pStyle w:val="Paragraphedeliste"/>
        <w:numPr>
          <w:ilvl w:val="0"/>
          <w:numId w:val="4"/>
        </w:numPr>
        <w:spacing w:after="0" w:line="240" w:lineRule="auto"/>
        <w:rPr>
          <w:rFonts w:eastAsia="Times New Roman" w:cs="Times New Roman"/>
          <w:szCs w:val="24"/>
          <w:lang w:eastAsia="fr-FR"/>
        </w:rPr>
      </w:pPr>
      <w:r w:rsidRPr="000E38AD">
        <w:t>s</w:t>
      </w:r>
      <w:r w:rsidR="00383E85" w:rsidRPr="000E38AD">
        <w:t>ystème d'extinction automatique : système permettant, sans intervention humaine, d'éteindre le feu à ses débuts ou de le contenir de façon à ce que l'extinction puisse être menée à bien par les moyens de l'établissement protégé ou par les services de secours et d'incendie</w:t>
      </w:r>
      <w:r w:rsidR="00FA5E13" w:rsidRPr="000E38AD">
        <w:t> ;</w:t>
      </w:r>
    </w:p>
    <w:p w14:paraId="0858483D" w14:textId="41E52C50" w:rsidR="006330D8" w:rsidRPr="000E38AD" w:rsidRDefault="006330D8" w:rsidP="006F21C4">
      <w:pPr>
        <w:pStyle w:val="Paragraphedeliste"/>
        <w:numPr>
          <w:ilvl w:val="0"/>
          <w:numId w:val="4"/>
        </w:numPr>
        <w:spacing w:after="0" w:line="240" w:lineRule="auto"/>
        <w:rPr>
          <w:rFonts w:eastAsia="Times New Roman" w:cs="Times New Roman"/>
          <w:szCs w:val="24"/>
          <w:lang w:eastAsia="fr-FR"/>
        </w:rPr>
      </w:pPr>
      <w:r w:rsidRPr="000E38AD">
        <w:rPr>
          <w:rFonts w:eastAsia="Times New Roman" w:cs="Times New Roman"/>
          <w:szCs w:val="24"/>
          <w:lang w:eastAsia="fr-FR"/>
        </w:rPr>
        <w:t xml:space="preserve">structure : éléments qui concourent à la stabilité </w:t>
      </w:r>
      <w:r w:rsidR="003B6032">
        <w:rPr>
          <w:rFonts w:eastAsia="Times New Roman" w:cs="Times New Roman"/>
          <w:szCs w:val="24"/>
          <w:lang w:eastAsia="fr-FR"/>
        </w:rPr>
        <w:t>de la construction</w:t>
      </w:r>
      <w:r w:rsidRPr="000E38AD">
        <w:rPr>
          <w:rFonts w:eastAsia="Times New Roman" w:cs="Times New Roman"/>
          <w:szCs w:val="24"/>
          <w:lang w:eastAsia="fr-FR"/>
        </w:rPr>
        <w:t>, tels que les poteaux, les poutres, les planchers et les murs porteurs ;</w:t>
      </w:r>
    </w:p>
    <w:p w14:paraId="41F6A201" w14:textId="33BD11A2" w:rsidR="006330D8" w:rsidRPr="000E38AD" w:rsidRDefault="006330D8" w:rsidP="00816D49">
      <w:pPr>
        <w:pStyle w:val="Paragraphedeliste"/>
        <w:numPr>
          <w:ilvl w:val="0"/>
          <w:numId w:val="4"/>
        </w:numPr>
        <w:spacing w:after="0" w:line="240" w:lineRule="auto"/>
        <w:rPr>
          <w:rFonts w:eastAsia="Times New Roman" w:cs="Times New Roman"/>
          <w:szCs w:val="24"/>
          <w:lang w:eastAsia="fr-FR"/>
        </w:rPr>
      </w:pPr>
      <w:r w:rsidRPr="000E38AD">
        <w:rPr>
          <w:rFonts w:eastAsia="Times New Roman" w:cs="Times New Roman"/>
          <w:szCs w:val="24"/>
          <w:lang w:eastAsia="fr-FR"/>
        </w:rPr>
        <w:t xml:space="preserve">support de couverture : </w:t>
      </w:r>
      <w:r w:rsidR="00816D49" w:rsidRPr="000E38AD">
        <w:rPr>
          <w:rFonts w:eastAsia="Times New Roman" w:cs="Times New Roman"/>
          <w:szCs w:val="24"/>
          <w:lang w:eastAsia="fr-FR"/>
        </w:rPr>
        <w:t xml:space="preserve">éléments fixés sur la structure destinée à supporter la couverture du bâtiment </w:t>
      </w:r>
      <w:r w:rsidRPr="000E38AD">
        <w:rPr>
          <w:rFonts w:eastAsia="Times New Roman" w:cs="Times New Roman"/>
          <w:szCs w:val="24"/>
          <w:lang w:eastAsia="fr-FR"/>
        </w:rPr>
        <w:t>;</w:t>
      </w:r>
    </w:p>
    <w:p w14:paraId="6A3EAB81" w14:textId="61F55B44" w:rsidR="002C0B0A" w:rsidRDefault="002C0B0A" w:rsidP="006F21C4">
      <w:pPr>
        <w:pStyle w:val="Paragraphedeliste"/>
        <w:numPr>
          <w:ilvl w:val="0"/>
          <w:numId w:val="4"/>
        </w:numPr>
        <w:spacing w:after="0" w:line="240" w:lineRule="auto"/>
        <w:rPr>
          <w:rFonts w:eastAsia="Times New Roman" w:cs="Times New Roman"/>
          <w:szCs w:val="24"/>
          <w:lang w:eastAsia="fr-FR"/>
        </w:rPr>
      </w:pPr>
      <w:r w:rsidRPr="000E38AD">
        <w:rPr>
          <w:rFonts w:eastAsia="Times New Roman" w:cs="Times New Roman"/>
          <w:szCs w:val="24"/>
          <w:lang w:eastAsia="fr-FR"/>
        </w:rPr>
        <w:t>t</w:t>
      </w:r>
      <w:r w:rsidR="00610FC6" w:rsidRPr="000E38AD">
        <w:rPr>
          <w:rFonts w:eastAsia="Times New Roman" w:cs="Times New Roman"/>
          <w:szCs w:val="24"/>
          <w:lang w:eastAsia="fr-FR"/>
        </w:rPr>
        <w:t>aux d'application : quantité de solution moussante, en litres, appliquée par minute et par mètre carré de surface en feu ou potentiellement en feu</w:t>
      </w:r>
      <w:r w:rsidR="0083312D" w:rsidRPr="000E38AD">
        <w:rPr>
          <w:rFonts w:eastAsia="Times New Roman" w:cs="Times New Roman"/>
          <w:szCs w:val="24"/>
          <w:lang w:eastAsia="fr-FR"/>
        </w:rPr>
        <w:t> </w:t>
      </w:r>
      <w:r w:rsidR="0083312D">
        <w:rPr>
          <w:rFonts w:eastAsia="Times New Roman" w:cs="Times New Roman"/>
          <w:szCs w:val="24"/>
          <w:lang w:eastAsia="fr-FR"/>
        </w:rPr>
        <w:t>;</w:t>
      </w:r>
    </w:p>
    <w:p w14:paraId="29999559" w14:textId="523FAA9D" w:rsidR="0083312D" w:rsidRPr="00A74E96" w:rsidRDefault="00CE67A8" w:rsidP="0083312D">
      <w:pPr>
        <w:pStyle w:val="Paragraphedeliste"/>
        <w:numPr>
          <w:ilvl w:val="0"/>
          <w:numId w:val="4"/>
        </w:numPr>
        <w:spacing w:after="0" w:line="240" w:lineRule="auto"/>
        <w:rPr>
          <w:rFonts w:eastAsia="Times New Roman" w:cs="Times New Roman"/>
          <w:szCs w:val="24"/>
          <w:lang w:eastAsia="fr-FR"/>
        </w:rPr>
      </w:pPr>
      <w:r>
        <w:rPr>
          <w:rFonts w:eastAsia="Times New Roman" w:cs="Times New Roman"/>
          <w:szCs w:val="24"/>
          <w:lang w:eastAsia="fr-FR"/>
        </w:rPr>
        <w:t>z</w:t>
      </w:r>
      <w:r w:rsidR="0083312D" w:rsidRPr="00A74E96">
        <w:rPr>
          <w:rFonts w:eastAsia="Times New Roman" w:cs="Times New Roman"/>
          <w:szCs w:val="24"/>
          <w:lang w:eastAsia="fr-FR"/>
        </w:rPr>
        <w:t>one de collecte : surface délimitée servant à la récupération des liquides et permettant de contrôler la propagation de l</w:t>
      </w:r>
      <w:r w:rsidR="00053E48">
        <w:rPr>
          <w:rFonts w:eastAsia="Times New Roman" w:cs="Times New Roman"/>
          <w:szCs w:val="24"/>
          <w:lang w:eastAsia="fr-FR"/>
        </w:rPr>
        <w:t>a</w:t>
      </w:r>
      <w:r w:rsidR="0083312D" w:rsidRPr="00A74E96">
        <w:rPr>
          <w:rFonts w:eastAsia="Times New Roman" w:cs="Times New Roman"/>
          <w:szCs w:val="24"/>
          <w:lang w:eastAsia="fr-FR"/>
        </w:rPr>
        <w:t xml:space="preserve"> nappe ou de l’incendie en les transférant via un drainage vers des bassins de récupération (rétention déportée)</w:t>
      </w:r>
      <w:r w:rsidR="0083312D" w:rsidRPr="0083312D">
        <w:rPr>
          <w:rFonts w:eastAsia="Times New Roman" w:cs="Times New Roman"/>
          <w:szCs w:val="24"/>
          <w:lang w:eastAsia="fr-FR"/>
        </w:rPr>
        <w:t>.</w:t>
      </w:r>
    </w:p>
    <w:p w14:paraId="6826CA49" w14:textId="332B507A" w:rsidR="00FB4132" w:rsidRDefault="00FB4132" w:rsidP="009A214B">
      <w:pPr>
        <w:spacing w:after="0" w:line="240" w:lineRule="auto"/>
        <w:rPr>
          <w:rFonts w:eastAsia="Times New Roman" w:cs="Times New Roman"/>
          <w:szCs w:val="24"/>
          <w:lang w:eastAsia="fr-FR"/>
        </w:rPr>
      </w:pPr>
    </w:p>
    <w:p w14:paraId="6DD0C192" w14:textId="4C84FDBA" w:rsidR="00E10138" w:rsidRPr="00CB0507" w:rsidRDefault="00E10138" w:rsidP="00E10138">
      <w:pPr>
        <w:pStyle w:val="Titre2"/>
      </w:pPr>
      <w:r>
        <w:t>Notion de proximité</w:t>
      </w:r>
    </w:p>
    <w:p w14:paraId="279E5D97" w14:textId="7FAA1121" w:rsidR="007D508B" w:rsidRPr="00152CBA" w:rsidRDefault="007D508B" w:rsidP="00782E48">
      <w:pPr>
        <w:pStyle w:val="Titre3"/>
        <w:rPr>
          <w:rFonts w:eastAsia="Times New Roman"/>
          <w:color w:val="auto"/>
          <w:lang w:eastAsia="fr-FR"/>
        </w:rPr>
      </w:pPr>
      <w:r w:rsidRPr="00152CBA">
        <w:rPr>
          <w:rFonts w:eastAsia="Times New Roman"/>
          <w:color w:val="auto"/>
          <w:lang w:eastAsia="fr-FR"/>
        </w:rPr>
        <w:t xml:space="preserve">Les liquides et solides liquéfiables combustibles en récipients mobiles sont considérés comme étant à proximité de liquides inflammables, soit :  </w:t>
      </w:r>
    </w:p>
    <w:p w14:paraId="01793876" w14:textId="40187547" w:rsidR="007D508B" w:rsidRPr="00152CBA" w:rsidRDefault="007D508B" w:rsidP="00782E48">
      <w:pPr>
        <w:pStyle w:val="Paragraphedeliste"/>
        <w:numPr>
          <w:ilvl w:val="0"/>
          <w:numId w:val="2"/>
        </w:numPr>
        <w:spacing w:after="0" w:line="240" w:lineRule="auto"/>
        <w:rPr>
          <w:rFonts w:eastAsia="Times New Roman" w:cs="Times New Roman"/>
          <w:szCs w:val="24"/>
          <w:lang w:eastAsia="fr-FR"/>
        </w:rPr>
      </w:pPr>
      <w:r w:rsidRPr="00152CBA">
        <w:rPr>
          <w:rFonts w:eastAsia="Times New Roman" w:cs="Times New Roman"/>
          <w:szCs w:val="24"/>
          <w:lang w:eastAsia="fr-FR"/>
        </w:rPr>
        <w:t xml:space="preserve">lorsqu’ils sont situés dans la même rétention, ou la même zone de collecte extérieure, ou dans la même cellule, ou </w:t>
      </w:r>
      <w:r w:rsidR="003B6032">
        <w:rPr>
          <w:rFonts w:eastAsia="Times New Roman" w:cs="Times New Roman"/>
          <w:szCs w:val="24"/>
          <w:lang w:eastAsia="fr-FR"/>
        </w:rPr>
        <w:t>stockage couvert</w:t>
      </w:r>
      <w:r w:rsidRPr="00152CBA">
        <w:rPr>
          <w:rFonts w:eastAsia="Times New Roman" w:cs="Times New Roman"/>
          <w:szCs w:val="24"/>
          <w:lang w:eastAsia="fr-FR"/>
        </w:rPr>
        <w:t xml:space="preserve"> en l'absence de cellule ; </w:t>
      </w:r>
    </w:p>
    <w:p w14:paraId="2277A8BD" w14:textId="1A8A630F" w:rsidR="007D508B" w:rsidRPr="00152CBA" w:rsidRDefault="007D508B" w:rsidP="00782E48">
      <w:pPr>
        <w:pStyle w:val="Paragraphedeliste"/>
        <w:numPr>
          <w:ilvl w:val="0"/>
          <w:numId w:val="2"/>
        </w:numPr>
        <w:spacing w:after="0" w:line="240" w:lineRule="auto"/>
        <w:rPr>
          <w:rFonts w:eastAsia="Times New Roman" w:cs="Times New Roman"/>
          <w:szCs w:val="24"/>
          <w:lang w:eastAsia="fr-FR"/>
        </w:rPr>
      </w:pPr>
      <w:r w:rsidRPr="00152CBA">
        <w:rPr>
          <w:rFonts w:eastAsia="Times New Roman" w:cs="Times New Roman"/>
          <w:szCs w:val="24"/>
          <w:lang w:eastAsia="fr-FR"/>
        </w:rPr>
        <w:t>lorsqu’ils sont situés dans une rétention, ou une zone de collecte extérieure, dont le bord est situé à moins de 10m d’une autre rétention, ou une zone de collecte extérieure, contenant des liquides inflammables ;</w:t>
      </w:r>
    </w:p>
    <w:p w14:paraId="63911208" w14:textId="0E35C05E" w:rsidR="007D508B" w:rsidRPr="00152CBA" w:rsidRDefault="007D508B" w:rsidP="00782E48">
      <w:pPr>
        <w:pStyle w:val="Paragraphedeliste"/>
        <w:widowControl w:val="0"/>
        <w:numPr>
          <w:ilvl w:val="0"/>
          <w:numId w:val="2"/>
        </w:numPr>
        <w:autoSpaceDE w:val="0"/>
        <w:autoSpaceDN w:val="0"/>
        <w:adjustRightInd w:val="0"/>
        <w:spacing w:after="0" w:line="240" w:lineRule="auto"/>
        <w:rPr>
          <w:rFonts w:eastAsia="Times New Roman" w:cs="Times New Roman"/>
          <w:szCs w:val="24"/>
          <w:lang w:eastAsia="fr-FR"/>
        </w:rPr>
      </w:pPr>
      <w:r w:rsidRPr="00152CBA">
        <w:rPr>
          <w:rFonts w:eastAsia="Times New Roman" w:cs="Times New Roman"/>
          <w:szCs w:val="24"/>
          <w:lang w:eastAsia="fr-FR"/>
        </w:rPr>
        <w:t xml:space="preserve">lorsqu’ils sont situés dans une cellule, ou </w:t>
      </w:r>
      <w:r w:rsidR="003B6032">
        <w:rPr>
          <w:rFonts w:eastAsia="Times New Roman" w:cs="Times New Roman"/>
          <w:szCs w:val="24"/>
          <w:lang w:eastAsia="fr-FR"/>
        </w:rPr>
        <w:t xml:space="preserve">stockage couvert </w:t>
      </w:r>
      <w:r w:rsidRPr="00152CBA">
        <w:rPr>
          <w:rFonts w:eastAsia="Times New Roman" w:cs="Times New Roman"/>
          <w:szCs w:val="24"/>
          <w:lang w:eastAsia="fr-FR"/>
        </w:rPr>
        <w:t xml:space="preserve">en l'absence de </w:t>
      </w:r>
      <w:r w:rsidRPr="00152CBA">
        <w:rPr>
          <w:rFonts w:eastAsia="Times New Roman" w:cs="Times New Roman"/>
          <w:szCs w:val="24"/>
          <w:lang w:eastAsia="fr-FR"/>
        </w:rPr>
        <w:lastRenderedPageBreak/>
        <w:t>cellule,  située à moins de 10 mètres d’ une cellule d’un autre</w:t>
      </w:r>
      <w:r w:rsidR="003B6032">
        <w:rPr>
          <w:rFonts w:eastAsia="Times New Roman" w:cs="Times New Roman"/>
          <w:szCs w:val="24"/>
          <w:lang w:eastAsia="fr-FR"/>
        </w:rPr>
        <w:t xml:space="preserve"> stockage couvert</w:t>
      </w:r>
      <w:r w:rsidRPr="00152CBA">
        <w:rPr>
          <w:rFonts w:eastAsia="Times New Roman" w:cs="Times New Roman"/>
          <w:szCs w:val="24"/>
          <w:lang w:eastAsia="fr-FR"/>
        </w:rPr>
        <w:t>, ou</w:t>
      </w:r>
      <w:r w:rsidR="003B6032">
        <w:rPr>
          <w:rFonts w:eastAsia="Times New Roman" w:cs="Times New Roman"/>
          <w:szCs w:val="24"/>
          <w:lang w:eastAsia="fr-FR"/>
        </w:rPr>
        <w:t xml:space="preserve"> stockage couvert </w:t>
      </w:r>
      <w:r w:rsidRPr="00152CBA">
        <w:rPr>
          <w:rFonts w:eastAsia="Times New Roman" w:cs="Times New Roman"/>
          <w:szCs w:val="24"/>
          <w:lang w:eastAsia="fr-FR"/>
        </w:rPr>
        <w:t xml:space="preserve">en l'absence de cellule, ou d’une rétention, ou  une zone de collecte extérieure, contenant des liquides inflammables. </w:t>
      </w:r>
    </w:p>
    <w:p w14:paraId="4F6DAB2A" w14:textId="5DC85833" w:rsidR="007D508B" w:rsidRPr="00152CBA" w:rsidRDefault="007D508B" w:rsidP="00782E48">
      <w:pPr>
        <w:pStyle w:val="Paragraphedeliste"/>
        <w:widowControl w:val="0"/>
        <w:numPr>
          <w:ilvl w:val="0"/>
          <w:numId w:val="2"/>
        </w:numPr>
        <w:autoSpaceDE w:val="0"/>
        <w:autoSpaceDN w:val="0"/>
        <w:adjustRightInd w:val="0"/>
        <w:spacing w:after="0" w:line="240" w:lineRule="auto"/>
        <w:rPr>
          <w:rFonts w:eastAsia="Times New Roman" w:cs="Times New Roman"/>
          <w:szCs w:val="24"/>
          <w:lang w:eastAsia="fr-FR"/>
        </w:rPr>
      </w:pPr>
      <w:r w:rsidRPr="00152CBA">
        <w:rPr>
          <w:rFonts w:eastAsia="Times New Roman" w:cs="Times New Roman"/>
          <w:szCs w:val="24"/>
          <w:lang w:eastAsia="fr-FR"/>
        </w:rPr>
        <w:t xml:space="preserve">lorsqu’ils sont situés dans une rétention, ou une zone de collecte extérieure, dont le bord est situé à moins de 10 mètres d’une cellule ou </w:t>
      </w:r>
      <w:r w:rsidR="003B6032">
        <w:rPr>
          <w:rFonts w:eastAsia="Times New Roman" w:cs="Times New Roman"/>
          <w:szCs w:val="24"/>
          <w:lang w:eastAsia="fr-FR"/>
        </w:rPr>
        <w:t>stockage couvert</w:t>
      </w:r>
      <w:r w:rsidRPr="00152CBA">
        <w:rPr>
          <w:rFonts w:eastAsia="Times New Roman" w:cs="Times New Roman"/>
          <w:szCs w:val="24"/>
          <w:lang w:eastAsia="fr-FR"/>
        </w:rPr>
        <w:t xml:space="preserve"> en l'absence de cellule, abritant des liquides inflammables.</w:t>
      </w:r>
    </w:p>
    <w:p w14:paraId="77C85B9D" w14:textId="77777777" w:rsidR="006B2407" w:rsidRPr="00152CBA" w:rsidRDefault="006B2407" w:rsidP="009A214B">
      <w:pPr>
        <w:spacing w:after="0" w:line="240" w:lineRule="auto"/>
        <w:rPr>
          <w:rFonts w:eastAsia="Times New Roman" w:cs="Times New Roman"/>
          <w:szCs w:val="24"/>
          <w:lang w:eastAsia="fr-FR"/>
        </w:rPr>
      </w:pPr>
    </w:p>
    <w:p w14:paraId="1A9B41C6" w14:textId="3CAE9527" w:rsidR="007958E7" w:rsidRPr="00152CBA" w:rsidRDefault="00A60DA7" w:rsidP="00D435F9">
      <w:pPr>
        <w:pStyle w:val="Titre3"/>
        <w:rPr>
          <w:rFonts w:eastAsia="Times New Roman"/>
          <w:color w:val="auto"/>
          <w:lang w:eastAsia="fr-FR"/>
        </w:rPr>
      </w:pPr>
      <w:r>
        <w:rPr>
          <w:rFonts w:eastAsia="Times New Roman"/>
          <w:color w:val="auto"/>
          <w:lang w:eastAsia="fr-FR"/>
        </w:rPr>
        <w:t>Par dérogation au I., l</w:t>
      </w:r>
      <w:r w:rsidR="00851775" w:rsidRPr="00152CBA">
        <w:rPr>
          <w:rFonts w:eastAsia="Times New Roman"/>
          <w:color w:val="auto"/>
          <w:lang w:eastAsia="fr-FR"/>
        </w:rPr>
        <w:t xml:space="preserve">es </w:t>
      </w:r>
      <w:r w:rsidR="00E674B3" w:rsidRPr="00152CBA">
        <w:rPr>
          <w:color w:val="auto"/>
          <w:lang w:eastAsia="fr-FR"/>
        </w:rPr>
        <w:t>liquides et solides liquéfiables combustibles</w:t>
      </w:r>
      <w:r w:rsidR="00851775" w:rsidRPr="00152CBA">
        <w:rPr>
          <w:rFonts w:eastAsia="Times New Roman"/>
          <w:color w:val="auto"/>
          <w:lang w:eastAsia="fr-FR"/>
        </w:rPr>
        <w:t xml:space="preserve"> en récipients mobiles ne sont pas considérés comme à proximité </w:t>
      </w:r>
      <w:r>
        <w:rPr>
          <w:rFonts w:eastAsia="Times New Roman"/>
          <w:color w:val="auto"/>
          <w:lang w:eastAsia="fr-FR"/>
        </w:rPr>
        <w:t xml:space="preserve">de liquides inflammables </w:t>
      </w:r>
      <w:r w:rsidR="00851775" w:rsidRPr="00152CBA">
        <w:rPr>
          <w:rFonts w:eastAsia="Times New Roman"/>
          <w:color w:val="auto"/>
          <w:lang w:eastAsia="fr-FR"/>
        </w:rPr>
        <w:t>lors</w:t>
      </w:r>
      <w:r w:rsidR="007141F4" w:rsidRPr="00152CBA">
        <w:rPr>
          <w:rFonts w:eastAsia="Times New Roman"/>
          <w:color w:val="auto"/>
          <w:lang w:eastAsia="fr-FR"/>
        </w:rPr>
        <w:t>que l’une</w:t>
      </w:r>
      <w:r w:rsidR="00851775" w:rsidRPr="00152CBA">
        <w:rPr>
          <w:rFonts w:eastAsia="Times New Roman"/>
          <w:color w:val="auto"/>
          <w:lang w:eastAsia="fr-FR"/>
        </w:rPr>
        <w:t xml:space="preserve"> des conditions suivantes est respectée : </w:t>
      </w:r>
    </w:p>
    <w:p w14:paraId="5F553622" w14:textId="6212EAB9" w:rsidR="007958E7" w:rsidRPr="00152CBA" w:rsidRDefault="007958E7" w:rsidP="00372DF8">
      <w:pPr>
        <w:pStyle w:val="Paragraphedeliste"/>
        <w:numPr>
          <w:ilvl w:val="0"/>
          <w:numId w:val="38"/>
        </w:numPr>
        <w:spacing w:after="0" w:line="240" w:lineRule="auto"/>
        <w:rPr>
          <w:rFonts w:eastAsia="Times New Roman" w:cs="Times New Roman"/>
          <w:szCs w:val="24"/>
          <w:lang w:eastAsia="fr-FR"/>
        </w:rPr>
      </w:pPr>
      <w:r w:rsidRPr="00152CBA">
        <w:t xml:space="preserve">en cas de mise en place d’un mur coupe-feu EI 120 </w:t>
      </w:r>
      <w:r w:rsidR="004150F6" w:rsidRPr="00152CBA">
        <w:t xml:space="preserve">de dimensions suffisantes pour </w:t>
      </w:r>
      <w:r w:rsidR="00723122" w:rsidRPr="00152CBA">
        <w:t>contenir</w:t>
      </w:r>
      <w:r w:rsidRPr="00152CBA">
        <w:t xml:space="preserve"> les effets dominos</w:t>
      </w:r>
      <w:r w:rsidR="00900A93" w:rsidRPr="00152CBA">
        <w:t xml:space="preserve"> </w:t>
      </w:r>
      <w:r w:rsidR="00723122" w:rsidRPr="00152CBA">
        <w:t>de l’un des stockages vers l’autre stockage</w:t>
      </w:r>
      <w:r w:rsidR="00900A93" w:rsidRPr="00152CBA">
        <w:t xml:space="preserve"> et réciproquement</w:t>
      </w:r>
      <w:r w:rsidRPr="00152CBA">
        <w:t>. Les éléments de démonstration du respect des règles en vigueur le concernant sont tenus à la disposition de l’inspection des installations classées ;</w:t>
      </w:r>
    </w:p>
    <w:p w14:paraId="54F96C09" w14:textId="58055D08" w:rsidR="00851775" w:rsidRDefault="00152CBA" w:rsidP="00372DF8">
      <w:pPr>
        <w:pStyle w:val="Paragraphedeliste"/>
        <w:numPr>
          <w:ilvl w:val="0"/>
          <w:numId w:val="38"/>
        </w:numPr>
        <w:spacing w:after="0" w:line="240" w:lineRule="auto"/>
        <w:rPr>
          <w:rFonts w:eastAsia="Times New Roman" w:cs="Times New Roman"/>
          <w:szCs w:val="24"/>
          <w:lang w:eastAsia="fr-FR"/>
        </w:rPr>
      </w:pPr>
      <w:r>
        <w:rPr>
          <w:rFonts w:eastAsia="Times New Roman" w:cs="Times New Roman"/>
          <w:szCs w:val="24"/>
          <w:lang w:eastAsia="fr-FR"/>
        </w:rPr>
        <w:t>s</w:t>
      </w:r>
      <w:r w:rsidR="007958E7" w:rsidRPr="00152CBA">
        <w:rPr>
          <w:rFonts w:eastAsia="Times New Roman" w:cs="Times New Roman"/>
          <w:szCs w:val="24"/>
          <w:lang w:eastAsia="fr-FR"/>
        </w:rPr>
        <w:t>i l’exploitant justifie que les effets dominos (seuil des effets thermiques des 8</w:t>
      </w:r>
      <w:r w:rsidR="007141F4" w:rsidRPr="00152CBA">
        <w:rPr>
          <w:rFonts w:eastAsia="Times New Roman" w:cs="Times New Roman"/>
          <w:szCs w:val="24"/>
          <w:lang w:eastAsia="fr-FR"/>
        </w:rPr>
        <w:t> </w:t>
      </w:r>
      <w:r w:rsidR="007958E7" w:rsidRPr="00152CBA">
        <w:rPr>
          <w:rFonts w:eastAsia="Times New Roman" w:cs="Times New Roman"/>
          <w:szCs w:val="24"/>
          <w:lang w:eastAsia="fr-FR"/>
        </w:rPr>
        <w:t xml:space="preserve"> kw/m²</w:t>
      </w:r>
      <w:r w:rsidR="00782E48" w:rsidRPr="00152CBA">
        <w:rPr>
          <w:rFonts w:eastAsia="Times New Roman" w:cs="Times New Roman"/>
          <w:szCs w:val="24"/>
          <w:lang w:eastAsia="fr-FR"/>
        </w:rPr>
        <w:t>)</w:t>
      </w:r>
      <w:r w:rsidR="007958E7" w:rsidRPr="00152CBA">
        <w:rPr>
          <w:rFonts w:eastAsia="Times New Roman" w:cs="Times New Roman"/>
          <w:szCs w:val="24"/>
          <w:lang w:eastAsia="fr-FR"/>
        </w:rPr>
        <w:t xml:space="preserve"> ne sont pas atteints</w:t>
      </w:r>
      <w:r w:rsidR="0031141B" w:rsidRPr="001C3192">
        <w:rPr>
          <w:rFonts w:eastAsia="Times New Roman" w:cs="Times New Roman"/>
          <w:color w:val="000000" w:themeColor="text1"/>
          <w:szCs w:val="24"/>
          <w:lang w:eastAsia="fr-FR"/>
        </w:rPr>
        <w:t xml:space="preserve">, </w:t>
      </w:r>
      <w:r w:rsidR="0031141B" w:rsidRPr="001C3192">
        <w:rPr>
          <w:rFonts w:cs="Times New Roman"/>
          <w:color w:val="000000" w:themeColor="text1"/>
          <w:szCs w:val="24"/>
        </w:rPr>
        <w:t xml:space="preserve">par l’emploi de dispositions passives, </w:t>
      </w:r>
      <w:r w:rsidR="007958E7" w:rsidRPr="0031141B">
        <w:rPr>
          <w:rFonts w:eastAsia="Times New Roman" w:cs="Times New Roman"/>
          <w:szCs w:val="24"/>
          <w:lang w:eastAsia="fr-FR"/>
        </w:rPr>
        <w:t xml:space="preserve"> </w:t>
      </w:r>
      <w:r w:rsidR="007958E7" w:rsidRPr="00152CBA">
        <w:rPr>
          <w:rFonts w:eastAsia="Times New Roman" w:cs="Times New Roman"/>
          <w:szCs w:val="24"/>
          <w:lang w:eastAsia="fr-FR"/>
        </w:rPr>
        <w:t>ré</w:t>
      </w:r>
      <w:r w:rsidR="00851775" w:rsidRPr="00152CBA">
        <w:rPr>
          <w:rFonts w:eastAsia="Times New Roman" w:cs="Times New Roman"/>
          <w:szCs w:val="24"/>
          <w:lang w:eastAsia="fr-FR"/>
        </w:rPr>
        <w:t>ciproquement de</w:t>
      </w:r>
      <w:r w:rsidR="007958E7" w:rsidRPr="00152CBA">
        <w:rPr>
          <w:rFonts w:eastAsia="Times New Roman" w:cs="Times New Roman"/>
          <w:szCs w:val="24"/>
          <w:lang w:eastAsia="fr-FR"/>
        </w:rPr>
        <w:t xml:space="preserve"> l’un des stockages vers l’autre stockage.</w:t>
      </w:r>
    </w:p>
    <w:p w14:paraId="0F9EA7FB" w14:textId="4DD42636" w:rsidR="007958E7" w:rsidRPr="00C52D41" w:rsidRDefault="001320D4" w:rsidP="00C52D41">
      <w:pPr>
        <w:spacing w:after="0" w:line="240" w:lineRule="auto"/>
        <w:ind w:left="567"/>
        <w:rPr>
          <w:rFonts w:eastAsia="Times New Roman" w:cs="Times New Roman"/>
          <w:szCs w:val="24"/>
          <w:lang w:eastAsia="fr-FR"/>
        </w:rPr>
      </w:pPr>
      <w:r>
        <w:rPr>
          <w:rFonts w:eastAsia="Times New Roman" w:cs="Times New Roman"/>
          <w:szCs w:val="24"/>
          <w:lang w:eastAsia="fr-FR"/>
        </w:rPr>
        <w:t>Les éléments de justification sont tenus à la disposition de l’inspection des installations classées.</w:t>
      </w:r>
    </w:p>
    <w:p w14:paraId="4CB33A46" w14:textId="77777777" w:rsidR="00240228" w:rsidRPr="00C52D41" w:rsidRDefault="00240228" w:rsidP="00C52D41">
      <w:pPr>
        <w:spacing w:after="0" w:line="240" w:lineRule="auto"/>
        <w:rPr>
          <w:rFonts w:eastAsia="Times New Roman" w:cs="Times New Roman"/>
          <w:szCs w:val="24"/>
          <w:lang w:eastAsia="fr-FR"/>
        </w:rPr>
      </w:pPr>
    </w:p>
    <w:p w14:paraId="59DCDF0A" w14:textId="1E4AB4D6" w:rsidR="00FC313B" w:rsidRDefault="00FC313B" w:rsidP="0066259D">
      <w:pPr>
        <w:pStyle w:val="Titre2"/>
      </w:pPr>
      <w:r>
        <w:t xml:space="preserve">Dispositions particulières applicables aux stockages en </w:t>
      </w:r>
      <w:r w:rsidR="003B6032">
        <w:rPr>
          <w:szCs w:val="24"/>
        </w:rPr>
        <w:t>stockage couvert</w:t>
      </w:r>
      <w:r w:rsidR="003B6032">
        <w:t xml:space="preserve"> ouvert</w:t>
      </w:r>
    </w:p>
    <w:p w14:paraId="4608088A" w14:textId="711FF3F4" w:rsidR="00621901" w:rsidRDefault="00621901" w:rsidP="00621901">
      <w:r>
        <w:t>Dans le cas particulier d’un stockage couvert, dont les caractéristiques répondent à la définition de « </w:t>
      </w:r>
      <w:r w:rsidR="001736C0">
        <w:t>stockage couvert</w:t>
      </w:r>
      <w:r>
        <w:t xml:space="preserve"> ouvert », l’exploitant peut opter pour le respect de l’ensemble des dispositions des articles III.9, III.12 et VI.4 en lieu et place de l’ensemble des dispositions équivalentes applicables définies aux articles III.7, III.13 et VI.5.</w:t>
      </w:r>
    </w:p>
    <w:p w14:paraId="1A6CCE25" w14:textId="6ED9850D" w:rsidR="00621901" w:rsidRDefault="00621901" w:rsidP="00621901">
      <w:r>
        <w:t xml:space="preserve">Les autres dispositions applicables aux </w:t>
      </w:r>
      <w:r w:rsidR="001736C0">
        <w:t>stockages couverts</w:t>
      </w:r>
      <w:r>
        <w:t xml:space="preserve"> restent applicables.</w:t>
      </w:r>
    </w:p>
    <w:p w14:paraId="2F826F69" w14:textId="77777777" w:rsidR="00E0588A" w:rsidRPr="00E0588A" w:rsidRDefault="00E0588A" w:rsidP="00E0588A">
      <w:pPr>
        <w:spacing w:after="0" w:line="240" w:lineRule="auto"/>
        <w:rPr>
          <w:rFonts w:eastAsia="Times New Roman" w:cs="Times New Roman"/>
          <w:szCs w:val="24"/>
          <w:lang w:eastAsia="fr-FR"/>
        </w:rPr>
      </w:pPr>
    </w:p>
    <w:p w14:paraId="1399B7D2" w14:textId="1FF40C42" w:rsidR="00610FC6" w:rsidRPr="00565455" w:rsidRDefault="00610FC6" w:rsidP="00CB0507">
      <w:pPr>
        <w:pStyle w:val="Titre1"/>
        <w:rPr>
          <w:rFonts w:eastAsia="Times New Roman"/>
          <w:lang w:eastAsia="fr-FR"/>
        </w:rPr>
      </w:pPr>
      <w:r w:rsidRPr="00565455">
        <w:rPr>
          <w:rFonts w:eastAsia="Times New Roman"/>
          <w:lang w:eastAsia="fr-FR"/>
        </w:rPr>
        <w:t xml:space="preserve">IMPLANTATION ET ACCESSIBILITÉ </w:t>
      </w:r>
    </w:p>
    <w:p w14:paraId="262FFB22" w14:textId="0A4F7969" w:rsidR="00FB4132" w:rsidRPr="00CB0507" w:rsidRDefault="00CB0507" w:rsidP="00CB0507">
      <w:pPr>
        <w:pStyle w:val="Titre2"/>
      </w:pPr>
      <w:bookmarkStart w:id="7" w:name="LEGIARTI000023100755"/>
      <w:bookmarkStart w:id="8" w:name="LEGIARTI000030829297"/>
      <w:bookmarkEnd w:id="7"/>
      <w:bookmarkEnd w:id="8"/>
      <w:r>
        <w:t>Implantation</w:t>
      </w:r>
    </w:p>
    <w:p w14:paraId="528F1F68" w14:textId="624BE146" w:rsidR="00B5769E" w:rsidRDefault="00C71DD3" w:rsidP="00B5769E">
      <w:pPr>
        <w:rPr>
          <w:lang w:eastAsia="fr-FR"/>
        </w:rPr>
      </w:pPr>
      <w:r>
        <w:rPr>
          <w:lang w:eastAsia="fr-FR"/>
        </w:rPr>
        <w:t xml:space="preserve">Stockage extérieur : </w:t>
      </w:r>
      <w:r w:rsidR="00610FC6" w:rsidRPr="00610FC6">
        <w:rPr>
          <w:lang w:eastAsia="fr-FR"/>
        </w:rPr>
        <w:t>Les récipients mobiles sont disposés de façon à ce que leurs parois soient situées</w:t>
      </w:r>
      <w:r w:rsidR="00816D49">
        <w:rPr>
          <w:lang w:eastAsia="fr-FR"/>
        </w:rPr>
        <w:t xml:space="preserve"> au moins</w:t>
      </w:r>
      <w:r w:rsidR="00610FC6" w:rsidRPr="00610FC6">
        <w:rPr>
          <w:lang w:eastAsia="fr-FR"/>
        </w:rPr>
        <w:t xml:space="preserve"> à </w:t>
      </w:r>
      <w:r w:rsidR="00026303">
        <w:rPr>
          <w:lang w:eastAsia="fr-FR"/>
        </w:rPr>
        <w:t xml:space="preserve">20 </w:t>
      </w:r>
      <w:r w:rsidR="00610FC6" w:rsidRPr="00610FC6">
        <w:rPr>
          <w:lang w:eastAsia="fr-FR"/>
        </w:rPr>
        <w:t>mètres des limites du site</w:t>
      </w:r>
      <w:r w:rsidR="00B5769E">
        <w:rPr>
          <w:lang w:eastAsia="fr-FR"/>
        </w:rPr>
        <w:t>.</w:t>
      </w:r>
    </w:p>
    <w:p w14:paraId="5BBF20C7" w14:textId="6E65DEA8" w:rsidR="00FA3B7D" w:rsidRDefault="00C71DD3" w:rsidP="00FA3B7D">
      <w:pPr>
        <w:rPr>
          <w:rFonts w:eastAsia="Times New Roman" w:cs="Times New Roman"/>
          <w:szCs w:val="24"/>
          <w:lang w:eastAsia="fr-FR"/>
        </w:rPr>
      </w:pPr>
      <w:r>
        <w:rPr>
          <w:rFonts w:eastAsia="Times New Roman" w:cs="Times New Roman"/>
          <w:szCs w:val="24"/>
          <w:lang w:eastAsia="fr-FR"/>
        </w:rPr>
        <w:t xml:space="preserve">Stockage couvert : </w:t>
      </w:r>
      <w:r w:rsidR="00540182" w:rsidRPr="00540182">
        <w:rPr>
          <w:rFonts w:eastAsia="Times New Roman" w:cs="Times New Roman"/>
          <w:szCs w:val="24"/>
          <w:lang w:eastAsia="fr-FR"/>
        </w:rPr>
        <w:t>Les parois extérieures</w:t>
      </w:r>
      <w:r w:rsidR="00371945">
        <w:rPr>
          <w:rFonts w:eastAsia="Times New Roman" w:cs="Times New Roman"/>
          <w:szCs w:val="24"/>
          <w:lang w:eastAsia="fr-FR"/>
        </w:rPr>
        <w:t xml:space="preserve"> des</w:t>
      </w:r>
      <w:r w:rsidR="00540182" w:rsidRPr="00540182">
        <w:rPr>
          <w:rFonts w:eastAsia="Times New Roman" w:cs="Times New Roman"/>
          <w:szCs w:val="24"/>
          <w:lang w:eastAsia="fr-FR"/>
        </w:rPr>
        <w:t xml:space="preserve"> </w:t>
      </w:r>
      <w:r w:rsidR="00FA588C">
        <w:rPr>
          <w:rFonts w:eastAsia="Times New Roman" w:cs="Times New Roman"/>
          <w:szCs w:val="24"/>
          <w:lang w:eastAsia="fr-FR"/>
        </w:rPr>
        <w:t>bâtiments</w:t>
      </w:r>
      <w:r w:rsidR="00782605">
        <w:rPr>
          <w:rFonts w:eastAsia="Times New Roman" w:cs="Times New Roman"/>
          <w:szCs w:val="24"/>
          <w:lang w:eastAsia="fr-FR"/>
        </w:rPr>
        <w:t xml:space="preserve"> où sont susceptibles d’être présents des liquides inflammables</w:t>
      </w:r>
      <w:r w:rsidR="00540182" w:rsidRPr="00540182">
        <w:rPr>
          <w:rFonts w:eastAsia="Times New Roman" w:cs="Times New Roman"/>
          <w:szCs w:val="24"/>
          <w:lang w:eastAsia="fr-FR"/>
        </w:rPr>
        <w:t xml:space="preserve">, lorsque ces parois existent, ou les éléments de structure dans le cas d'un </w:t>
      </w:r>
      <w:r w:rsidR="003B6032">
        <w:rPr>
          <w:rFonts w:eastAsia="Times New Roman" w:cs="Times New Roman"/>
          <w:szCs w:val="24"/>
          <w:lang w:eastAsia="fr-FR"/>
        </w:rPr>
        <w:t xml:space="preserve">stockage couvert </w:t>
      </w:r>
      <w:r w:rsidR="00540182" w:rsidRPr="00540182">
        <w:rPr>
          <w:rFonts w:eastAsia="Times New Roman" w:cs="Times New Roman"/>
          <w:szCs w:val="24"/>
          <w:lang w:eastAsia="fr-FR"/>
        </w:rPr>
        <w:t>ouvert, sont implantés à une distance au moins égale à 1,5 fois la hauteur d</w:t>
      </w:r>
      <w:r w:rsidR="00FA588C">
        <w:rPr>
          <w:rFonts w:eastAsia="Times New Roman" w:cs="Times New Roman"/>
          <w:szCs w:val="24"/>
          <w:lang w:eastAsia="fr-FR"/>
        </w:rPr>
        <w:t xml:space="preserve">u bâtiment </w:t>
      </w:r>
      <w:r w:rsidR="00540182" w:rsidRPr="00540182">
        <w:rPr>
          <w:rFonts w:eastAsia="Times New Roman" w:cs="Times New Roman"/>
          <w:szCs w:val="24"/>
          <w:lang w:eastAsia="fr-FR"/>
        </w:rPr>
        <w:t>par rapport aux limites du site, sans être inférieure à 20 mètres.</w:t>
      </w:r>
      <w:r w:rsidR="00830607">
        <w:rPr>
          <w:rFonts w:eastAsia="Times New Roman" w:cs="Times New Roman"/>
          <w:szCs w:val="24"/>
          <w:lang w:eastAsia="fr-FR"/>
        </w:rPr>
        <w:t xml:space="preserve"> </w:t>
      </w:r>
    </w:p>
    <w:p w14:paraId="70429BDF" w14:textId="146F0C86" w:rsidR="00610FC6" w:rsidRPr="00610FC6" w:rsidRDefault="00610FC6" w:rsidP="00FA3B7D">
      <w:pPr>
        <w:rPr>
          <w:rFonts w:eastAsia="Times New Roman" w:cs="Times New Roman"/>
          <w:szCs w:val="24"/>
          <w:lang w:eastAsia="fr-FR"/>
        </w:rPr>
      </w:pPr>
      <w:r w:rsidRPr="00610FC6">
        <w:rPr>
          <w:rFonts w:eastAsia="Times New Roman" w:cs="Times New Roman"/>
          <w:szCs w:val="24"/>
          <w:lang w:eastAsia="fr-FR"/>
        </w:rPr>
        <w:br/>
        <w:t xml:space="preserve">Des distances inférieures peuvent être prévues sous réserve que </w:t>
      </w:r>
      <w:r w:rsidR="00A60DA7">
        <w:rPr>
          <w:rFonts w:eastAsia="Times New Roman" w:cs="Times New Roman"/>
          <w:szCs w:val="24"/>
          <w:lang w:eastAsia="fr-FR"/>
        </w:rPr>
        <w:t xml:space="preserve">l’exploitant démontre que </w:t>
      </w:r>
      <w:r w:rsidRPr="00610FC6">
        <w:rPr>
          <w:rFonts w:eastAsia="Times New Roman" w:cs="Times New Roman"/>
          <w:szCs w:val="24"/>
          <w:lang w:eastAsia="fr-FR"/>
        </w:rPr>
        <w:t xml:space="preserve">les zones de dangers graves pour la vie humaine </w:t>
      </w:r>
      <w:r w:rsidR="00C71DD3">
        <w:rPr>
          <w:rFonts w:eastAsia="Times New Roman" w:cs="Times New Roman"/>
          <w:szCs w:val="24"/>
          <w:lang w:eastAsia="fr-FR"/>
        </w:rPr>
        <w:t xml:space="preserve">à hauteur d’homme au sens de l’arrêté du 29 septembre 2005 </w:t>
      </w:r>
      <w:r w:rsidRPr="00610FC6">
        <w:rPr>
          <w:rFonts w:eastAsia="Times New Roman" w:cs="Times New Roman"/>
          <w:szCs w:val="24"/>
          <w:lang w:eastAsia="fr-FR"/>
        </w:rPr>
        <w:t>par effets directs et indirects ne dépassent pas les limites d</w:t>
      </w:r>
      <w:r w:rsidR="00BF56D9">
        <w:rPr>
          <w:rFonts w:eastAsia="Times New Roman" w:cs="Times New Roman"/>
          <w:szCs w:val="24"/>
          <w:lang w:eastAsia="fr-FR"/>
        </w:rPr>
        <w:t>u site</w:t>
      </w:r>
      <w:r w:rsidRPr="00610FC6">
        <w:rPr>
          <w:rFonts w:eastAsia="Times New Roman" w:cs="Times New Roman"/>
          <w:szCs w:val="24"/>
          <w:lang w:eastAsia="fr-FR"/>
        </w:rPr>
        <w:t>.</w:t>
      </w:r>
    </w:p>
    <w:p w14:paraId="46629EC1" w14:textId="77777777" w:rsidR="00565455" w:rsidRDefault="00565455" w:rsidP="009A214B">
      <w:pPr>
        <w:spacing w:after="0" w:line="240" w:lineRule="auto"/>
        <w:rPr>
          <w:rFonts w:eastAsia="Times New Roman" w:cs="Times New Roman"/>
          <w:szCs w:val="24"/>
          <w:lang w:eastAsia="fr-FR"/>
        </w:rPr>
      </w:pPr>
      <w:bookmarkStart w:id="9" w:name="LEGIARTI000023100757"/>
      <w:bookmarkEnd w:id="9"/>
    </w:p>
    <w:p w14:paraId="4F809F73" w14:textId="064130CB" w:rsidR="00B02196" w:rsidRDefault="004C7B7F" w:rsidP="004C7B7F">
      <w:pPr>
        <w:pStyle w:val="Titre2"/>
      </w:pPr>
      <w:r>
        <w:t>Limitation d’accès et clôtures</w:t>
      </w:r>
    </w:p>
    <w:p w14:paraId="6382C26F" w14:textId="77777777" w:rsidR="00BA6B0D" w:rsidRDefault="00610FC6" w:rsidP="00B02196">
      <w:pPr>
        <w:spacing w:after="0" w:line="240" w:lineRule="auto"/>
        <w:rPr>
          <w:rFonts w:eastAsia="Times New Roman" w:cs="Times New Roman"/>
          <w:szCs w:val="24"/>
          <w:lang w:eastAsia="fr-FR"/>
        </w:rPr>
      </w:pPr>
      <w:r w:rsidRPr="00610FC6">
        <w:rPr>
          <w:rFonts w:eastAsia="Times New Roman" w:cs="Times New Roman"/>
          <w:szCs w:val="24"/>
          <w:lang w:eastAsia="fr-FR"/>
        </w:rPr>
        <w:t>Toutes les dispositions sont prises afin d'empêcher les personnes non autorisées d'accéder aux installations.</w:t>
      </w:r>
    </w:p>
    <w:p w14:paraId="649DC6DF" w14:textId="3A019332" w:rsidR="00FA3B7D" w:rsidRDefault="00610FC6" w:rsidP="00B02196">
      <w:pPr>
        <w:spacing w:after="0" w:line="240" w:lineRule="auto"/>
        <w:rPr>
          <w:rFonts w:eastAsia="Times New Roman" w:cs="Times New Roman"/>
          <w:szCs w:val="24"/>
          <w:lang w:eastAsia="fr-FR"/>
        </w:rPr>
      </w:pPr>
      <w:r w:rsidRPr="00610FC6">
        <w:rPr>
          <w:rFonts w:eastAsia="Times New Roman" w:cs="Times New Roman"/>
          <w:szCs w:val="24"/>
          <w:lang w:eastAsia="fr-FR"/>
        </w:rPr>
        <w:t>Les</w:t>
      </w:r>
      <w:r w:rsidR="00B5769E">
        <w:rPr>
          <w:rFonts w:eastAsia="Times New Roman" w:cs="Times New Roman"/>
          <w:szCs w:val="24"/>
          <w:lang w:eastAsia="fr-FR"/>
        </w:rPr>
        <w:t xml:space="preserve"> récipients </w:t>
      </w:r>
      <w:r w:rsidR="00371945">
        <w:rPr>
          <w:rFonts w:eastAsia="Times New Roman" w:cs="Times New Roman"/>
          <w:szCs w:val="24"/>
          <w:lang w:eastAsia="fr-FR"/>
        </w:rPr>
        <w:t xml:space="preserve">mobiles </w:t>
      </w:r>
      <w:r w:rsidRPr="00610FC6">
        <w:rPr>
          <w:rFonts w:eastAsia="Times New Roman" w:cs="Times New Roman"/>
          <w:szCs w:val="24"/>
          <w:lang w:eastAsia="fr-FR"/>
        </w:rPr>
        <w:t xml:space="preserve">sont implantés sur un site clôturé. </w:t>
      </w:r>
    </w:p>
    <w:p w14:paraId="715A91B1" w14:textId="52E5D0AA" w:rsidR="00BA6B0D" w:rsidRDefault="00610FC6" w:rsidP="00B02196">
      <w:pPr>
        <w:spacing w:after="0" w:line="240" w:lineRule="auto"/>
        <w:rPr>
          <w:rFonts w:eastAsia="Times New Roman" w:cs="Times New Roman"/>
          <w:szCs w:val="24"/>
          <w:lang w:eastAsia="fr-FR"/>
        </w:rPr>
      </w:pPr>
      <w:r w:rsidRPr="00610FC6">
        <w:rPr>
          <w:rFonts w:eastAsia="Times New Roman" w:cs="Times New Roman"/>
          <w:szCs w:val="24"/>
          <w:lang w:eastAsia="fr-FR"/>
        </w:rPr>
        <w:t>L'exploitant s'assure du maintien de l'intégrité physique de la clôture dans le temps et réalise les opérations d'entretien des abords régulièrement.</w:t>
      </w:r>
      <w:r w:rsidR="007F0655">
        <w:rPr>
          <w:rFonts w:eastAsia="Times New Roman" w:cs="Times New Roman"/>
          <w:szCs w:val="24"/>
          <w:lang w:eastAsia="fr-FR"/>
        </w:rPr>
        <w:tab/>
      </w:r>
    </w:p>
    <w:p w14:paraId="50712129" w14:textId="24470B33" w:rsidR="00610FC6" w:rsidRDefault="00610FC6" w:rsidP="00B02196">
      <w:pPr>
        <w:spacing w:after="0" w:line="240" w:lineRule="auto"/>
        <w:rPr>
          <w:rFonts w:eastAsia="Times New Roman" w:cs="Times New Roman"/>
          <w:szCs w:val="24"/>
          <w:lang w:eastAsia="fr-FR"/>
        </w:rPr>
      </w:pPr>
      <w:r w:rsidRPr="00610FC6">
        <w:rPr>
          <w:rFonts w:eastAsia="Times New Roman" w:cs="Times New Roman"/>
          <w:szCs w:val="24"/>
          <w:lang w:eastAsia="fr-FR"/>
        </w:rPr>
        <w:t xml:space="preserve">La hauteur minimale de la clôture, mesurée à partir du sol du côté extérieur, est de </w:t>
      </w:r>
      <w:r w:rsidR="00B5769E">
        <w:rPr>
          <w:rFonts w:eastAsia="Times New Roman" w:cs="Times New Roman"/>
          <w:szCs w:val="24"/>
          <w:lang w:eastAsia="fr-FR"/>
        </w:rPr>
        <w:t xml:space="preserve">2 </w:t>
      </w:r>
      <w:r w:rsidRPr="00610FC6">
        <w:rPr>
          <w:rFonts w:eastAsia="Times New Roman" w:cs="Times New Roman"/>
          <w:szCs w:val="24"/>
          <w:lang w:eastAsia="fr-FR"/>
        </w:rPr>
        <w:t>mètres.</w:t>
      </w:r>
    </w:p>
    <w:p w14:paraId="01568939" w14:textId="68786360" w:rsidR="002C5DEF" w:rsidRPr="00610FC6" w:rsidRDefault="002C5DEF" w:rsidP="00B02196">
      <w:pPr>
        <w:spacing w:after="0" w:line="240" w:lineRule="auto"/>
        <w:rPr>
          <w:rFonts w:eastAsia="Times New Roman" w:cs="Times New Roman"/>
          <w:szCs w:val="24"/>
          <w:lang w:eastAsia="fr-FR"/>
        </w:rPr>
      </w:pPr>
      <w:r>
        <w:rPr>
          <w:rFonts w:eastAsia="Times New Roman" w:cs="Times New Roman"/>
          <w:szCs w:val="24"/>
          <w:lang w:eastAsia="fr-FR"/>
        </w:rPr>
        <w:t xml:space="preserve">Le préfet peut autoriser par arrêté préfectoral des dispositions alternatives, </w:t>
      </w:r>
      <w:r w:rsidR="00FA3B7D">
        <w:rPr>
          <w:rFonts w:eastAsia="Times New Roman" w:cs="Times New Roman"/>
          <w:szCs w:val="24"/>
          <w:lang w:eastAsia="fr-FR"/>
        </w:rPr>
        <w:t>tenant compte de</w:t>
      </w:r>
      <w:r>
        <w:rPr>
          <w:rFonts w:eastAsia="Times New Roman" w:cs="Times New Roman"/>
          <w:szCs w:val="24"/>
          <w:lang w:eastAsia="fr-FR"/>
        </w:rPr>
        <w:t xml:space="preserve"> la configuration du site.</w:t>
      </w:r>
    </w:p>
    <w:p w14:paraId="1F1213F0" w14:textId="77777777" w:rsidR="00565455" w:rsidRDefault="00565455" w:rsidP="00DC2C93">
      <w:pPr>
        <w:spacing w:after="0" w:line="240" w:lineRule="auto"/>
        <w:rPr>
          <w:rFonts w:eastAsia="Times New Roman" w:cs="Times New Roman"/>
          <w:szCs w:val="24"/>
          <w:lang w:eastAsia="fr-FR"/>
        </w:rPr>
      </w:pPr>
      <w:bookmarkStart w:id="10" w:name="LEGIARTI000023100759"/>
      <w:bookmarkEnd w:id="10"/>
    </w:p>
    <w:p w14:paraId="1393A333" w14:textId="53CB6202" w:rsidR="00610FC6" w:rsidRPr="004C7B7F" w:rsidRDefault="004C7B7F" w:rsidP="004C7B7F">
      <w:pPr>
        <w:pStyle w:val="Titre2"/>
      </w:pPr>
      <w:r>
        <w:t>Accès</w:t>
      </w:r>
      <w:r w:rsidR="00610FC6" w:rsidRPr="004C7B7F">
        <w:t xml:space="preserve"> </w:t>
      </w:r>
    </w:p>
    <w:p w14:paraId="7FD19065" w14:textId="38CA8B8A" w:rsidR="00A41AD1" w:rsidRDefault="00A41AD1" w:rsidP="00A41AD1">
      <w:pPr>
        <w:spacing w:after="0" w:line="240" w:lineRule="auto"/>
        <w:rPr>
          <w:rFonts w:eastAsia="Times New Roman" w:cs="Times New Roman"/>
          <w:szCs w:val="24"/>
          <w:lang w:eastAsia="fr-FR"/>
        </w:rPr>
      </w:pPr>
      <w:r w:rsidRPr="00862D0A">
        <w:rPr>
          <w:lang w:eastAsia="fr-FR"/>
        </w:rPr>
        <w:t xml:space="preserve">Des configurations différentes </w:t>
      </w:r>
      <w:r w:rsidR="00A60DA7">
        <w:rPr>
          <w:lang w:eastAsia="fr-FR"/>
        </w:rPr>
        <w:t xml:space="preserve">de celles prévues </w:t>
      </w:r>
      <w:r>
        <w:rPr>
          <w:lang w:eastAsia="fr-FR"/>
        </w:rPr>
        <w:t xml:space="preserve">au présent article </w:t>
      </w:r>
      <w:r w:rsidRPr="00862D0A">
        <w:rPr>
          <w:lang w:eastAsia="fr-FR"/>
        </w:rPr>
        <w:t>peuvent être prévues par arrêté préfectoral sous réserve de l'accord préalable des services publics d'incendie et de secours.</w:t>
      </w:r>
      <w:r>
        <w:rPr>
          <w:rStyle w:val="Marquedecommentaire"/>
        </w:rPr>
        <w:annotationRef/>
      </w:r>
    </w:p>
    <w:p w14:paraId="6C014CC8" w14:textId="37FD0B50" w:rsidR="002F45F9" w:rsidRDefault="00610FC6" w:rsidP="004D05F1">
      <w:pPr>
        <w:pStyle w:val="Titre3"/>
        <w:rPr>
          <w:rFonts w:eastAsia="Times New Roman"/>
          <w:lang w:eastAsia="fr-FR"/>
        </w:rPr>
      </w:pPr>
      <w:r w:rsidRPr="00610FC6">
        <w:rPr>
          <w:rFonts w:eastAsia="Times New Roman"/>
          <w:lang w:eastAsia="fr-FR"/>
        </w:rPr>
        <w:t>Le site dispose en permanence de deux accès au moins positionnés de telle sorte qu'ils soient toujours accessibles pour permettre l'intervention des services d'incendie et de secours, quelles que soient les conditions de vent.</w:t>
      </w:r>
      <w:r w:rsidR="00DC2C93">
        <w:rPr>
          <w:rFonts w:eastAsia="Times New Roman"/>
          <w:lang w:eastAsia="fr-FR"/>
        </w:rPr>
        <w:tab/>
      </w:r>
      <w:r w:rsidRPr="00610FC6">
        <w:rPr>
          <w:rFonts w:eastAsia="Times New Roman"/>
          <w:lang w:eastAsia="fr-FR"/>
        </w:rPr>
        <w:br/>
      </w:r>
    </w:p>
    <w:p w14:paraId="06C18339" w14:textId="4F6135D6" w:rsidR="002F45F9" w:rsidRDefault="00610FC6" w:rsidP="004D05F1">
      <w:pPr>
        <w:pStyle w:val="Titre3"/>
        <w:rPr>
          <w:rFonts w:eastAsia="Times New Roman"/>
          <w:lang w:eastAsia="fr-FR"/>
        </w:rPr>
      </w:pPr>
      <w:r w:rsidRPr="00610FC6">
        <w:rPr>
          <w:rFonts w:eastAsia="Times New Roman"/>
          <w:lang w:eastAsia="fr-FR"/>
        </w:rPr>
        <w:t>L'accès au site est conçu pour pouvoir être ouvert immédiatement sur demande des services d'incendie et de secours ou directement par ces derniers.</w:t>
      </w:r>
      <w:r w:rsidR="00DC2C93">
        <w:rPr>
          <w:rFonts w:eastAsia="Times New Roman"/>
          <w:lang w:eastAsia="fr-FR"/>
        </w:rPr>
        <w:tab/>
      </w:r>
      <w:r w:rsidRPr="00610FC6">
        <w:rPr>
          <w:rFonts w:eastAsia="Times New Roman"/>
          <w:lang w:eastAsia="fr-FR"/>
        </w:rPr>
        <w:br/>
        <w:t>Les véhicules dont la présence est liée à l'exploitation de l'installation stationnent sans causer de gêne pour l'accessibilité des engins des services de secours depuis les voies de circulation externes à l'installation, même en dehors des heures d'exploitation et d'ouverture de l'installation.</w:t>
      </w:r>
      <w:r w:rsidR="002F45F9">
        <w:rPr>
          <w:rFonts w:eastAsia="Times New Roman"/>
          <w:lang w:eastAsia="fr-FR"/>
        </w:rPr>
        <w:t xml:space="preserve"> </w:t>
      </w:r>
    </w:p>
    <w:p w14:paraId="641B01F3" w14:textId="4F99041E" w:rsidR="002F45F9" w:rsidRDefault="002F45F9" w:rsidP="00DC2C93">
      <w:pPr>
        <w:spacing w:after="0" w:line="240" w:lineRule="auto"/>
        <w:rPr>
          <w:rFonts w:eastAsia="Times New Roman" w:cs="Times New Roman"/>
          <w:szCs w:val="24"/>
          <w:lang w:eastAsia="fr-FR"/>
        </w:rPr>
      </w:pPr>
      <w:r>
        <w:rPr>
          <w:rFonts w:eastAsia="Times New Roman" w:cs="Times New Roman"/>
          <w:szCs w:val="24"/>
          <w:lang w:eastAsia="fr-FR"/>
        </w:rPr>
        <w:t>La voie d’accès des services public</w:t>
      </w:r>
      <w:r w:rsidR="00371945">
        <w:rPr>
          <w:rFonts w:eastAsia="Times New Roman" w:cs="Times New Roman"/>
          <w:szCs w:val="24"/>
          <w:lang w:eastAsia="fr-FR"/>
        </w:rPr>
        <w:t>s</w:t>
      </w:r>
      <w:r>
        <w:rPr>
          <w:rFonts w:eastAsia="Times New Roman" w:cs="Times New Roman"/>
          <w:szCs w:val="24"/>
          <w:lang w:eastAsia="fr-FR"/>
        </w:rPr>
        <w:t xml:space="preserve"> d’incendie et de secours est maintenue dégagée de tout stationnement. Elle comporte une matérialisation au sol faisant apparaître la mention « accès pompiers ». Ce dispositif peut être renforcé par une signalisation verticale de type « stationnement interdit ».</w:t>
      </w:r>
    </w:p>
    <w:p w14:paraId="739B65DF" w14:textId="77777777" w:rsidR="004D05F1" w:rsidRDefault="004D05F1" w:rsidP="00373BE1">
      <w:pPr>
        <w:spacing w:after="0" w:line="240" w:lineRule="auto"/>
        <w:rPr>
          <w:rFonts w:eastAsia="Times New Roman" w:cs="Times New Roman"/>
          <w:szCs w:val="24"/>
          <w:lang w:eastAsia="fr-FR"/>
        </w:rPr>
      </w:pPr>
    </w:p>
    <w:p w14:paraId="21E89A2B" w14:textId="51FF975E" w:rsidR="00610FC6" w:rsidRPr="00610FC6" w:rsidRDefault="00610FC6" w:rsidP="004D05F1">
      <w:pPr>
        <w:pStyle w:val="Titre3"/>
        <w:rPr>
          <w:rFonts w:eastAsia="Times New Roman"/>
          <w:lang w:eastAsia="fr-FR"/>
        </w:rPr>
      </w:pPr>
      <w:r w:rsidRPr="00610FC6">
        <w:rPr>
          <w:rFonts w:eastAsia="Times New Roman"/>
          <w:lang w:eastAsia="fr-FR"/>
        </w:rPr>
        <w:t xml:space="preserve">La voie d'accès aux installations jusqu'à la voie engins définie à </w:t>
      </w:r>
      <w:r w:rsidRPr="005D2992">
        <w:rPr>
          <w:rFonts w:eastAsia="Times New Roman"/>
          <w:highlight w:val="yellow"/>
          <w:lang w:eastAsia="fr-FR"/>
        </w:rPr>
        <w:t xml:space="preserve">l'article </w:t>
      </w:r>
      <w:r w:rsidR="00371945" w:rsidRPr="005D2992">
        <w:rPr>
          <w:rFonts w:eastAsia="Times New Roman"/>
          <w:highlight w:val="yellow"/>
          <w:lang w:eastAsia="fr-FR"/>
        </w:rPr>
        <w:t>II-4</w:t>
      </w:r>
      <w:r w:rsidR="00371945" w:rsidRPr="00610FC6">
        <w:rPr>
          <w:rFonts w:eastAsia="Times New Roman"/>
          <w:lang w:eastAsia="fr-FR"/>
        </w:rPr>
        <w:t xml:space="preserve"> </w:t>
      </w:r>
      <w:r w:rsidRPr="00610FC6">
        <w:rPr>
          <w:rFonts w:eastAsia="Times New Roman"/>
          <w:lang w:eastAsia="fr-FR"/>
        </w:rPr>
        <w:t>du présent arrêté respecte les caractéristiques suivantes :</w:t>
      </w:r>
      <w:r w:rsidR="00DC2C93">
        <w:rPr>
          <w:rFonts w:eastAsia="Times New Roman"/>
          <w:lang w:eastAsia="fr-FR"/>
        </w:rPr>
        <w:tab/>
      </w:r>
      <w:r w:rsidRPr="00610FC6">
        <w:rPr>
          <w:rFonts w:eastAsia="Times New Roman"/>
          <w:lang w:eastAsia="fr-FR"/>
        </w:rPr>
        <w:br/>
        <w:t>- la largeur utile est au minimum de 6 mètres, la hauteur libre, au minimum de 4,5 mètres et la pente, inférieure à 15 % ;</w:t>
      </w:r>
      <w:r w:rsidR="00DC2C93">
        <w:rPr>
          <w:rFonts w:eastAsia="Times New Roman"/>
          <w:lang w:eastAsia="fr-FR"/>
        </w:rPr>
        <w:tab/>
      </w:r>
      <w:r w:rsidRPr="00610FC6">
        <w:rPr>
          <w:rFonts w:eastAsia="Times New Roman"/>
          <w:lang w:eastAsia="fr-FR"/>
        </w:rPr>
        <w:br/>
        <w:t>- dans les virages de rayon intérieur inférieur à 50 mètres, un rayon intérieur R minimal de 13 mètres est maintenu et une surlargeur de S = 15/R mètres est ajoutée ;</w:t>
      </w:r>
      <w:r w:rsidRPr="00610FC6">
        <w:rPr>
          <w:rFonts w:eastAsia="Times New Roman"/>
          <w:lang w:eastAsia="fr-FR"/>
        </w:rPr>
        <w:br/>
        <w:t>- la voie résiste à la force portante calculée pour un véhicule de 320 kN avec un maximum de 130 kN par essieu, ceux-ci étant distants de 3,6 mètres au maximum.</w:t>
      </w:r>
      <w:r w:rsidR="00DC2C93">
        <w:rPr>
          <w:rFonts w:eastAsia="Times New Roman"/>
          <w:lang w:eastAsia="fr-FR"/>
        </w:rPr>
        <w:tab/>
      </w:r>
      <w:r w:rsidRPr="00610FC6">
        <w:rPr>
          <w:rFonts w:eastAsia="Times New Roman"/>
          <w:lang w:eastAsia="fr-FR"/>
        </w:rPr>
        <w:br/>
      </w:r>
    </w:p>
    <w:p w14:paraId="0CBB335F" w14:textId="51A37706" w:rsidR="00610FC6" w:rsidRPr="00565455" w:rsidRDefault="004C7B7F" w:rsidP="004C7B7F">
      <w:pPr>
        <w:pStyle w:val="Titre2"/>
      </w:pPr>
      <w:bookmarkStart w:id="11" w:name="LEGIARTI000023100761"/>
      <w:bookmarkEnd w:id="11"/>
      <w:r>
        <w:t>Voie « Engins »</w:t>
      </w:r>
      <w:r w:rsidR="00610FC6" w:rsidRPr="00565455">
        <w:t xml:space="preserve"> </w:t>
      </w:r>
    </w:p>
    <w:p w14:paraId="646F504C" w14:textId="3519DE6E" w:rsidR="00A41AD1" w:rsidRDefault="00A41AD1" w:rsidP="00A41AD1">
      <w:pPr>
        <w:spacing w:after="0" w:line="240" w:lineRule="auto"/>
        <w:rPr>
          <w:rFonts w:eastAsia="Times New Roman" w:cs="Times New Roman"/>
          <w:szCs w:val="24"/>
          <w:lang w:eastAsia="fr-FR"/>
        </w:rPr>
      </w:pPr>
      <w:r w:rsidRPr="00862D0A">
        <w:rPr>
          <w:lang w:eastAsia="fr-FR"/>
        </w:rPr>
        <w:lastRenderedPageBreak/>
        <w:t xml:space="preserve">Des configurations différentes </w:t>
      </w:r>
      <w:r w:rsidR="00A60DA7">
        <w:rPr>
          <w:lang w:eastAsia="fr-FR"/>
        </w:rPr>
        <w:t xml:space="preserve">de celles prévues </w:t>
      </w:r>
      <w:r>
        <w:rPr>
          <w:lang w:eastAsia="fr-FR"/>
        </w:rPr>
        <w:t xml:space="preserve">au présent article </w:t>
      </w:r>
      <w:r w:rsidRPr="00862D0A">
        <w:rPr>
          <w:lang w:eastAsia="fr-FR"/>
        </w:rPr>
        <w:t>peuvent être prévues par arrêté préfectoral sous réserve de l'accord préalable des services publics d'incendie et de secours.</w:t>
      </w:r>
      <w:r>
        <w:rPr>
          <w:rStyle w:val="Marquedecommentaire"/>
        </w:rPr>
        <w:annotationRef/>
      </w:r>
    </w:p>
    <w:p w14:paraId="3DCC76A1" w14:textId="77777777" w:rsidR="00A41AD1" w:rsidRDefault="00A41AD1" w:rsidP="001A1059">
      <w:pPr>
        <w:pStyle w:val="Titre3"/>
        <w:numPr>
          <w:ilvl w:val="0"/>
          <w:numId w:val="0"/>
        </w:numPr>
        <w:rPr>
          <w:rFonts w:eastAsia="Times New Roman"/>
          <w:lang w:eastAsia="fr-FR"/>
        </w:rPr>
      </w:pPr>
    </w:p>
    <w:p w14:paraId="5EDAAFFC" w14:textId="1FF2B9BE" w:rsidR="00862D0A" w:rsidRDefault="00862D0A" w:rsidP="009374F3">
      <w:pPr>
        <w:pStyle w:val="Titre3"/>
        <w:rPr>
          <w:rFonts w:eastAsia="Times New Roman"/>
          <w:lang w:eastAsia="fr-FR"/>
        </w:rPr>
      </w:pPr>
      <w:r>
        <w:rPr>
          <w:rFonts w:eastAsia="Times New Roman"/>
          <w:lang w:eastAsia="fr-FR"/>
        </w:rPr>
        <w:t>Stockage extérieur :</w:t>
      </w:r>
    </w:p>
    <w:p w14:paraId="197D9684" w14:textId="1C6A218A" w:rsidR="00B5769E" w:rsidRDefault="00610FC6" w:rsidP="00DC2C93">
      <w:pPr>
        <w:spacing w:after="0" w:line="240" w:lineRule="auto"/>
        <w:rPr>
          <w:rFonts w:eastAsia="Times New Roman" w:cs="Times New Roman"/>
          <w:szCs w:val="24"/>
          <w:lang w:eastAsia="fr-FR"/>
        </w:rPr>
      </w:pPr>
      <w:r w:rsidRPr="00610FC6">
        <w:rPr>
          <w:rFonts w:eastAsia="Times New Roman" w:cs="Times New Roman"/>
          <w:szCs w:val="24"/>
          <w:lang w:eastAsia="fr-FR"/>
        </w:rPr>
        <w:t xml:space="preserve">L'installation dispose d'une voie "engins" permettant de faire le tour de chaque rétention associée à un ou plusieurs </w:t>
      </w:r>
      <w:r w:rsidR="00B5769E">
        <w:rPr>
          <w:rFonts w:eastAsia="Times New Roman" w:cs="Times New Roman"/>
          <w:szCs w:val="24"/>
          <w:lang w:eastAsia="fr-FR"/>
        </w:rPr>
        <w:t>récipients mobiles.</w:t>
      </w:r>
    </w:p>
    <w:p w14:paraId="2E967B8D" w14:textId="3BFD02BF" w:rsidR="005D2992" w:rsidRDefault="00610FC6" w:rsidP="00CE3370">
      <w:pPr>
        <w:spacing w:after="0" w:line="240" w:lineRule="auto"/>
        <w:rPr>
          <w:rFonts w:eastAsia="Times New Roman"/>
          <w:lang w:eastAsia="fr-FR"/>
        </w:rPr>
      </w:pPr>
      <w:r w:rsidRPr="00610FC6">
        <w:rPr>
          <w:rFonts w:eastAsia="Times New Roman" w:cs="Times New Roman"/>
          <w:szCs w:val="24"/>
          <w:lang w:eastAsia="fr-FR"/>
        </w:rPr>
        <w:t>La voie "engins" respecte les caractéristiques suivantes :</w:t>
      </w:r>
      <w:r w:rsidR="00DC2C93">
        <w:rPr>
          <w:rFonts w:eastAsia="Times New Roman" w:cs="Times New Roman"/>
          <w:szCs w:val="24"/>
          <w:lang w:eastAsia="fr-FR"/>
        </w:rPr>
        <w:tab/>
      </w:r>
      <w:r w:rsidRPr="00610FC6">
        <w:rPr>
          <w:rFonts w:eastAsia="Times New Roman" w:cs="Times New Roman"/>
          <w:szCs w:val="24"/>
          <w:lang w:eastAsia="fr-FR"/>
        </w:rPr>
        <w:br/>
        <w:t xml:space="preserve">- la largeur utile est au minimum de 3 mètres, la hauteur libre, au minimum de 4,5 mètres et la force portante, identique à celle de la voie d'accès prévue à </w:t>
      </w:r>
      <w:r w:rsidRPr="005D2992">
        <w:rPr>
          <w:rFonts w:eastAsia="Times New Roman" w:cs="Times New Roman"/>
          <w:szCs w:val="24"/>
          <w:highlight w:val="yellow"/>
          <w:lang w:eastAsia="fr-FR"/>
        </w:rPr>
        <w:t xml:space="preserve">l'article </w:t>
      </w:r>
      <w:r w:rsidR="00371945" w:rsidRPr="005D2992">
        <w:rPr>
          <w:rFonts w:eastAsia="Times New Roman" w:cs="Times New Roman"/>
          <w:szCs w:val="24"/>
          <w:highlight w:val="yellow"/>
          <w:lang w:eastAsia="fr-FR"/>
        </w:rPr>
        <w:t>II-3</w:t>
      </w:r>
      <w:r w:rsidR="00371945" w:rsidRPr="00610FC6">
        <w:rPr>
          <w:rFonts w:eastAsia="Times New Roman" w:cs="Times New Roman"/>
          <w:szCs w:val="24"/>
          <w:lang w:eastAsia="fr-FR"/>
        </w:rPr>
        <w:t xml:space="preserve"> </w:t>
      </w:r>
      <w:r w:rsidRPr="00610FC6">
        <w:rPr>
          <w:rFonts w:eastAsia="Times New Roman" w:cs="Times New Roman"/>
          <w:szCs w:val="24"/>
          <w:lang w:eastAsia="fr-FR"/>
        </w:rPr>
        <w:t>du présent arrêté ;</w:t>
      </w:r>
      <w:r w:rsidR="00DC2C93">
        <w:rPr>
          <w:rFonts w:eastAsia="Times New Roman" w:cs="Times New Roman"/>
          <w:szCs w:val="24"/>
          <w:lang w:eastAsia="fr-FR"/>
        </w:rPr>
        <w:tab/>
      </w:r>
      <w:r w:rsidRPr="00610FC6">
        <w:rPr>
          <w:rFonts w:eastAsia="Times New Roman" w:cs="Times New Roman"/>
          <w:szCs w:val="24"/>
          <w:lang w:eastAsia="fr-FR"/>
        </w:rPr>
        <w:br/>
        <w:t>- elle comprend au moins deux aires de croisement tous les 100 mètres ; ces aires ont une longueur minimale de 15 mètres et une largeur minimale de 3 mètres en plus de la voie engins.</w:t>
      </w:r>
    </w:p>
    <w:p w14:paraId="102AB6F8" w14:textId="77777777" w:rsidR="005D2992" w:rsidRDefault="005D2992" w:rsidP="00CE3370">
      <w:pPr>
        <w:spacing w:after="0" w:line="240" w:lineRule="auto"/>
        <w:rPr>
          <w:rFonts w:eastAsia="Times New Roman"/>
          <w:lang w:eastAsia="fr-FR"/>
        </w:rPr>
      </w:pPr>
    </w:p>
    <w:p w14:paraId="1419D851" w14:textId="06E756A1" w:rsidR="004D05F1" w:rsidRDefault="00862D0A" w:rsidP="004D05F1">
      <w:pPr>
        <w:pStyle w:val="Titre3"/>
        <w:rPr>
          <w:rFonts w:eastAsia="Times New Roman"/>
          <w:lang w:eastAsia="fr-FR"/>
        </w:rPr>
      </w:pPr>
      <w:r>
        <w:rPr>
          <w:rFonts w:eastAsia="Times New Roman"/>
          <w:lang w:eastAsia="fr-FR"/>
        </w:rPr>
        <w:t xml:space="preserve">Stockage </w:t>
      </w:r>
      <w:r w:rsidR="000C4DE8">
        <w:rPr>
          <w:rFonts w:eastAsia="Times New Roman"/>
          <w:lang w:eastAsia="fr-FR"/>
        </w:rPr>
        <w:t>couvert</w:t>
      </w:r>
      <w:r>
        <w:rPr>
          <w:rFonts w:eastAsia="Times New Roman"/>
          <w:lang w:eastAsia="fr-FR"/>
        </w:rPr>
        <w:t> :</w:t>
      </w:r>
    </w:p>
    <w:p w14:paraId="4654EB91" w14:textId="2B02E01E" w:rsidR="00C92896" w:rsidRDefault="00C92896" w:rsidP="00CE3370">
      <w:pPr>
        <w:pStyle w:val="Paragraphedeliste"/>
        <w:numPr>
          <w:ilvl w:val="0"/>
          <w:numId w:val="30"/>
        </w:numPr>
        <w:rPr>
          <w:lang w:eastAsia="fr-FR"/>
        </w:rPr>
      </w:pPr>
      <w:r>
        <w:rPr>
          <w:lang w:eastAsia="fr-FR"/>
        </w:rPr>
        <w:t>Voies engins</w:t>
      </w:r>
    </w:p>
    <w:p w14:paraId="7CA2FB09" w14:textId="6063053B" w:rsidR="00862D0A" w:rsidRDefault="004D05F1" w:rsidP="004D05F1">
      <w:pPr>
        <w:rPr>
          <w:lang w:eastAsia="fr-FR"/>
        </w:rPr>
      </w:pPr>
      <w:r>
        <w:rPr>
          <w:lang w:eastAsia="fr-FR"/>
        </w:rPr>
        <w:t xml:space="preserve"> </w:t>
      </w:r>
      <w:r w:rsidR="00862D0A" w:rsidRPr="004D05F1">
        <w:rPr>
          <w:lang w:eastAsia="fr-FR"/>
        </w:rPr>
        <w:t xml:space="preserve">L'installation dispose d'une voie « engins » permettant de faire le tour de chaque </w:t>
      </w:r>
      <w:r w:rsidR="003B6032">
        <w:rPr>
          <w:lang w:eastAsia="fr-FR"/>
        </w:rPr>
        <w:t>stockage couvert</w:t>
      </w:r>
      <w:r w:rsidR="003B6032" w:rsidRPr="004D05F1">
        <w:rPr>
          <w:lang w:eastAsia="fr-FR"/>
        </w:rPr>
        <w:t xml:space="preserve"> </w:t>
      </w:r>
      <w:r w:rsidR="00862D0A" w:rsidRPr="004D05F1">
        <w:rPr>
          <w:lang w:eastAsia="fr-FR"/>
        </w:rPr>
        <w:t>et d'accéder à au moins</w:t>
      </w:r>
      <w:r w:rsidR="000C4DE8">
        <w:rPr>
          <w:lang w:eastAsia="fr-FR"/>
        </w:rPr>
        <w:t xml:space="preserve"> deux faces de chaque rétention déportée.</w:t>
      </w:r>
    </w:p>
    <w:p w14:paraId="7F036998" w14:textId="21BCCD8F" w:rsidR="00BF56D9" w:rsidRPr="004D05F1" w:rsidRDefault="00371945" w:rsidP="004D05F1">
      <w:pPr>
        <w:rPr>
          <w:rFonts w:cstheme="majorBidi"/>
          <w:lang w:eastAsia="fr-FR"/>
        </w:rPr>
      </w:pPr>
      <w:r>
        <w:t>La voie engins</w:t>
      </w:r>
      <w:r w:rsidR="00BF56D9">
        <w:t xml:space="preserve"> est positionnée de façon à ne pouvoir être obstruée par l'effondrement de tout ou partie </w:t>
      </w:r>
      <w:r w:rsidR="00497AED">
        <w:t>de la construction</w:t>
      </w:r>
      <w:r w:rsidR="00BF56D9">
        <w:t xml:space="preserve"> ou occupée par les eaux d'extinction.</w:t>
      </w:r>
    </w:p>
    <w:p w14:paraId="13857C1D" w14:textId="77777777" w:rsidR="00862D0A" w:rsidRPr="00862D0A" w:rsidRDefault="00862D0A" w:rsidP="00862D0A">
      <w:pPr>
        <w:spacing w:after="0" w:line="240" w:lineRule="auto"/>
        <w:rPr>
          <w:rFonts w:eastAsia="Times New Roman" w:cs="Times New Roman"/>
          <w:szCs w:val="24"/>
          <w:lang w:eastAsia="fr-FR"/>
        </w:rPr>
      </w:pPr>
      <w:r w:rsidRPr="00862D0A">
        <w:rPr>
          <w:rFonts w:eastAsia="Times New Roman" w:cs="Times New Roman"/>
          <w:szCs w:val="24"/>
          <w:lang w:eastAsia="fr-FR"/>
        </w:rPr>
        <w:t>La voie « engins » respecte les caractéristiques suivantes :</w:t>
      </w:r>
    </w:p>
    <w:p w14:paraId="7D150D3B" w14:textId="77777777" w:rsidR="00862D0A" w:rsidRDefault="00862D0A" w:rsidP="006F21C4">
      <w:pPr>
        <w:pStyle w:val="Paragraphedeliste"/>
        <w:numPr>
          <w:ilvl w:val="0"/>
          <w:numId w:val="6"/>
        </w:numPr>
        <w:spacing w:after="0" w:line="240" w:lineRule="auto"/>
        <w:rPr>
          <w:rFonts w:eastAsia="Times New Roman" w:cs="Times New Roman"/>
          <w:szCs w:val="24"/>
          <w:lang w:eastAsia="fr-FR"/>
        </w:rPr>
      </w:pPr>
      <w:r w:rsidRPr="00862D0A">
        <w:rPr>
          <w:rFonts w:eastAsia="Times New Roman" w:cs="Times New Roman"/>
          <w:szCs w:val="24"/>
          <w:lang w:eastAsia="fr-FR"/>
        </w:rPr>
        <w:t>la largeur utile est au minimum de 6 mètres, la pente au maximum de 15 % et la hauteur libre au minimum de 4,5 mètres ;</w:t>
      </w:r>
    </w:p>
    <w:p w14:paraId="680F294D" w14:textId="77777777" w:rsidR="00862D0A" w:rsidRDefault="00862D0A" w:rsidP="006F21C4">
      <w:pPr>
        <w:pStyle w:val="Paragraphedeliste"/>
        <w:numPr>
          <w:ilvl w:val="0"/>
          <w:numId w:val="6"/>
        </w:numPr>
        <w:spacing w:after="0" w:line="240" w:lineRule="auto"/>
        <w:rPr>
          <w:rFonts w:eastAsia="Times New Roman" w:cs="Times New Roman"/>
          <w:szCs w:val="24"/>
          <w:lang w:eastAsia="fr-FR"/>
        </w:rPr>
      </w:pPr>
      <w:r w:rsidRPr="00862D0A">
        <w:rPr>
          <w:rFonts w:eastAsia="Times New Roman" w:cs="Times New Roman"/>
          <w:szCs w:val="24"/>
          <w:lang w:eastAsia="fr-FR"/>
        </w:rPr>
        <w:t>elle résiste à la force portante calculée pour un véhicule de 320 kN avec un maximum de 130 kN par essieu, ceux-ci étant distants de 3,6 mètres au maximum ;</w:t>
      </w:r>
    </w:p>
    <w:p w14:paraId="2ECF5002" w14:textId="649AEDD1" w:rsidR="00862D0A" w:rsidRPr="00CE3370" w:rsidRDefault="00862D0A" w:rsidP="00BF56D9">
      <w:pPr>
        <w:pStyle w:val="Paragraphedeliste"/>
        <w:numPr>
          <w:ilvl w:val="0"/>
          <w:numId w:val="6"/>
        </w:numPr>
        <w:spacing w:after="0" w:line="240" w:lineRule="auto"/>
        <w:rPr>
          <w:rFonts w:eastAsia="Times New Roman" w:cs="Times New Roman"/>
          <w:szCs w:val="24"/>
          <w:lang w:eastAsia="fr-FR"/>
        </w:rPr>
      </w:pPr>
      <w:r w:rsidRPr="00862D0A">
        <w:rPr>
          <w:rFonts w:eastAsia="Times New Roman" w:cs="Times New Roman"/>
          <w:szCs w:val="24"/>
          <w:lang w:eastAsia="fr-FR"/>
        </w:rPr>
        <w:t>elle comprend au moins deux aires de croisement tous les 100 mètres ; ces aires ont une longueur minimale de 15 mètres et une largeur minimale de 3 mètres en plus de la voie « engins »</w:t>
      </w:r>
      <w:r w:rsidR="00BF56D9">
        <w:rPr>
          <w:rFonts w:eastAsia="Times New Roman" w:cs="Times New Roman"/>
          <w:szCs w:val="24"/>
          <w:lang w:eastAsia="fr-FR"/>
        </w:rPr>
        <w:t>.</w:t>
      </w:r>
    </w:p>
    <w:p w14:paraId="635DD294" w14:textId="77777777" w:rsidR="009374F3" w:rsidRDefault="009374F3" w:rsidP="009374F3">
      <w:pPr>
        <w:spacing w:after="0" w:line="240" w:lineRule="auto"/>
        <w:rPr>
          <w:rFonts w:eastAsia="Times New Roman" w:cs="Times New Roman"/>
          <w:szCs w:val="24"/>
          <w:lang w:eastAsia="fr-FR"/>
        </w:rPr>
      </w:pPr>
    </w:p>
    <w:p w14:paraId="4E324A43" w14:textId="10F0E8AE" w:rsidR="00830607" w:rsidRPr="00CE3370" w:rsidRDefault="00830607" w:rsidP="00CE3370">
      <w:pPr>
        <w:pStyle w:val="Paragraphedeliste"/>
        <w:numPr>
          <w:ilvl w:val="0"/>
          <w:numId w:val="30"/>
        </w:numPr>
        <w:spacing w:after="0" w:line="240" w:lineRule="auto"/>
        <w:rPr>
          <w:rFonts w:eastAsia="Times New Roman" w:cs="Times New Roman"/>
          <w:szCs w:val="24"/>
          <w:lang w:eastAsia="fr-FR"/>
        </w:rPr>
      </w:pPr>
      <w:r w:rsidRPr="00CE3370">
        <w:rPr>
          <w:rFonts w:eastAsia="Times New Roman" w:cs="Times New Roman"/>
          <w:szCs w:val="24"/>
          <w:lang w:eastAsia="fr-FR"/>
        </w:rPr>
        <w:t xml:space="preserve">Aires de mise en station des moyens aériens </w:t>
      </w:r>
    </w:p>
    <w:p w14:paraId="73DD8ACE" w14:textId="77777777" w:rsidR="00830607" w:rsidRDefault="00830607" w:rsidP="00830607">
      <w:pPr>
        <w:rPr>
          <w:lang w:eastAsia="fr-FR"/>
        </w:rPr>
      </w:pPr>
      <w:r w:rsidRPr="00830607">
        <w:rPr>
          <w:lang w:eastAsia="fr-FR"/>
        </w:rPr>
        <w:t xml:space="preserve">Les aires de mise en station des moyens aériens permettent aux engins de stationner pour déployer leurs moyens aériens (par exemple les échelles et les bras élévateurs articulés). Elles sont directement accessibles depuis la voie « engins » définie </w:t>
      </w:r>
      <w:r>
        <w:rPr>
          <w:lang w:eastAsia="fr-FR"/>
        </w:rPr>
        <w:t>au A du présent point</w:t>
      </w:r>
      <w:r w:rsidRPr="00830607">
        <w:rPr>
          <w:lang w:eastAsia="fr-FR"/>
        </w:rPr>
        <w:t>.</w:t>
      </w:r>
    </w:p>
    <w:p w14:paraId="7C1380B0" w14:textId="51C40D18" w:rsidR="00830607" w:rsidRDefault="00830607" w:rsidP="00830607">
      <w:pPr>
        <w:rPr>
          <w:lang w:eastAsia="fr-FR"/>
        </w:rPr>
      </w:pPr>
      <w:r w:rsidRPr="00830607">
        <w:rPr>
          <w:lang w:eastAsia="fr-FR"/>
        </w:rPr>
        <w:t xml:space="preserve">Elles sont positionnées de façon à ne pouvoir être obstruées par l'effondrement de tout ou partie du </w:t>
      </w:r>
      <w:r w:rsidR="00497AED">
        <w:rPr>
          <w:lang w:eastAsia="fr-FR"/>
        </w:rPr>
        <w:t>de la construction</w:t>
      </w:r>
      <w:r w:rsidR="00497AED" w:rsidRPr="00830607">
        <w:rPr>
          <w:lang w:eastAsia="fr-FR"/>
        </w:rPr>
        <w:t xml:space="preserve"> </w:t>
      </w:r>
      <w:r w:rsidRPr="00830607">
        <w:rPr>
          <w:lang w:eastAsia="fr-FR"/>
        </w:rPr>
        <w:t>ou occupées par les eaux d'extinction.</w:t>
      </w:r>
    </w:p>
    <w:p w14:paraId="4F9A0F15" w14:textId="2E3D41EC" w:rsidR="00830607" w:rsidRDefault="0086153D" w:rsidP="00830607">
      <w:pPr>
        <w:rPr>
          <w:lang w:eastAsia="fr-FR"/>
        </w:rPr>
      </w:pPr>
      <w:r>
        <w:rPr>
          <w:lang w:eastAsia="fr-FR"/>
        </w:rPr>
        <w:t xml:space="preserve">Pour tout </w:t>
      </w:r>
      <w:r w:rsidR="00497AED">
        <w:rPr>
          <w:lang w:eastAsia="fr-FR"/>
        </w:rPr>
        <w:t xml:space="preserve">stockage couvert </w:t>
      </w:r>
      <w:r>
        <w:rPr>
          <w:lang w:eastAsia="fr-FR"/>
        </w:rPr>
        <w:t>où sont susceptibles d’être présents des liquides inflammables,</w:t>
      </w:r>
      <w:r w:rsidR="00830607" w:rsidRPr="00830607">
        <w:rPr>
          <w:lang w:eastAsia="fr-FR"/>
        </w:rPr>
        <w:t xml:space="preserve"> au moins une façade est desservie par au moins une aire de mise en station des moyens aériens. Au moins deux façades sont desservies lorsque la longueur des murs coupe-feu reliant ces façades est supérieure à 50 mètres.</w:t>
      </w:r>
    </w:p>
    <w:p w14:paraId="2D73C39E" w14:textId="0699A6A0" w:rsidR="00830607" w:rsidRPr="00830607" w:rsidRDefault="00830607" w:rsidP="00830607">
      <w:pPr>
        <w:rPr>
          <w:lang w:eastAsia="fr-FR"/>
        </w:rPr>
      </w:pPr>
      <w:r w:rsidRPr="00830607">
        <w:rPr>
          <w:lang w:eastAsia="fr-FR"/>
        </w:rPr>
        <w:t>Les murs coupe-feu séparant une cellule d'autres cellules sont :</w:t>
      </w:r>
    </w:p>
    <w:p w14:paraId="3FF6FB72" w14:textId="77777777" w:rsidR="00830607" w:rsidRDefault="00830607" w:rsidP="00830607">
      <w:pPr>
        <w:rPr>
          <w:lang w:eastAsia="fr-FR"/>
        </w:rPr>
      </w:pPr>
      <w:r w:rsidRPr="00830607">
        <w:rPr>
          <w:lang w:eastAsia="fr-FR"/>
        </w:rPr>
        <w:t>- soit équipés d'une aire de mise en station des moyens aériens, positionnée au droit du mur coupe-feu à l'une de ses extrémités, ou à ses deux extrémités si la longueur du mur coupe-feu est supérieure à 50 mètres ;</w:t>
      </w:r>
    </w:p>
    <w:p w14:paraId="4D245638" w14:textId="2C5124A1" w:rsidR="00830607" w:rsidRPr="00830607" w:rsidRDefault="00830607" w:rsidP="00830607">
      <w:pPr>
        <w:rPr>
          <w:lang w:eastAsia="fr-FR"/>
        </w:rPr>
      </w:pPr>
      <w:r w:rsidRPr="00830607">
        <w:rPr>
          <w:lang w:eastAsia="fr-FR"/>
        </w:rPr>
        <w:lastRenderedPageBreak/>
        <w:t>- soit équipés de moyens fixes ou semi-fixes permettant d'assurer leur refroidissement. Ces moyens sont indépendants du système d'extinction automatique d'incendie et sont mis en œuvre par l'exploitant.</w:t>
      </w:r>
    </w:p>
    <w:p w14:paraId="060C89AC" w14:textId="51BFD88F" w:rsidR="00830607" w:rsidRPr="00830607" w:rsidRDefault="00830607" w:rsidP="00830607">
      <w:pPr>
        <w:rPr>
          <w:lang w:eastAsia="fr-FR"/>
        </w:rPr>
      </w:pPr>
      <w:r w:rsidRPr="00830607">
        <w:rPr>
          <w:lang w:eastAsia="fr-FR"/>
        </w:rPr>
        <w:t>Chaque aire de mise en station des moyens aériens respecte, par ailleurs, les caractéristiques suivantes :</w:t>
      </w:r>
    </w:p>
    <w:p w14:paraId="222EEA54" w14:textId="77777777" w:rsidR="00830607" w:rsidRDefault="00830607" w:rsidP="00830607">
      <w:pPr>
        <w:rPr>
          <w:lang w:eastAsia="fr-FR"/>
        </w:rPr>
      </w:pPr>
      <w:r w:rsidRPr="00830607">
        <w:rPr>
          <w:lang w:eastAsia="fr-FR"/>
        </w:rPr>
        <w:t>- la largeur utile est au minimum de 7 mètres, la longueur au minimum de 10 mètres, la pente au maximum de 10 % ;</w:t>
      </w:r>
    </w:p>
    <w:p w14:paraId="7E5EE297" w14:textId="77777777" w:rsidR="00830607" w:rsidRDefault="00830607" w:rsidP="00830607">
      <w:pPr>
        <w:rPr>
          <w:lang w:eastAsia="fr-FR"/>
        </w:rPr>
      </w:pPr>
      <w:r w:rsidRPr="00830607">
        <w:rPr>
          <w:lang w:eastAsia="fr-FR"/>
        </w:rPr>
        <w:t>- elle comporte une matérialisation au sol ;</w:t>
      </w:r>
    </w:p>
    <w:p w14:paraId="38A9AAA0" w14:textId="1A432BE3" w:rsidR="00830607" w:rsidRDefault="00830607" w:rsidP="00830607">
      <w:pPr>
        <w:rPr>
          <w:lang w:eastAsia="fr-FR"/>
        </w:rPr>
      </w:pPr>
      <w:r w:rsidRPr="00830607">
        <w:rPr>
          <w:lang w:eastAsia="fr-FR"/>
        </w:rPr>
        <w:t>- aucun obstacle aérien ne gêne la manœuvre de ces moyens aériens à la verticale de cette aire</w:t>
      </w:r>
      <w:r w:rsidR="00371945">
        <w:rPr>
          <w:lang w:eastAsia="fr-FR"/>
        </w:rPr>
        <w:t> ;</w:t>
      </w:r>
    </w:p>
    <w:p w14:paraId="3631EEF7" w14:textId="77777777" w:rsidR="00830607" w:rsidRDefault="00830607" w:rsidP="00830607">
      <w:pPr>
        <w:rPr>
          <w:lang w:eastAsia="fr-FR"/>
        </w:rPr>
      </w:pPr>
      <w:r w:rsidRPr="00830607">
        <w:rPr>
          <w:lang w:eastAsia="fr-FR"/>
        </w:rPr>
        <w:t>- la distance par rapport à la façade est de 1 mètre minimum et de 8 mètres maximum ;</w:t>
      </w:r>
    </w:p>
    <w:p w14:paraId="4883403A" w14:textId="33B0C15D" w:rsidR="00830607" w:rsidRDefault="00830607" w:rsidP="00830607">
      <w:pPr>
        <w:rPr>
          <w:lang w:eastAsia="fr-FR"/>
        </w:rPr>
      </w:pPr>
      <w:r w:rsidRPr="00830607">
        <w:rPr>
          <w:lang w:eastAsia="fr-FR"/>
        </w:rPr>
        <w:t xml:space="preserve">- elle est maintenue en permanence entretenue, dégagée et accessible aux services d'incendie et de secours. Si les conditions d'exploitation ne permettent pas de maintenir ces aires dégagées en permanence (présence de véhicules liés à l'exploitation), l'exploitant fixe les mesures organisationnelles permettant de libérer ces aires en cas de sinistre avant l'arrivée des services d'incendie et de secours. Ces mesures sont intégrées au plan de défense incendie </w:t>
      </w:r>
      <w:r w:rsidR="00171BD0">
        <w:rPr>
          <w:lang w:eastAsia="fr-FR"/>
        </w:rPr>
        <w:t>pris</w:t>
      </w:r>
      <w:r w:rsidRPr="00830607">
        <w:rPr>
          <w:lang w:eastAsia="fr-FR"/>
        </w:rPr>
        <w:t xml:space="preserve"> en application </w:t>
      </w:r>
      <w:r w:rsidRPr="00830607">
        <w:rPr>
          <w:highlight w:val="yellow"/>
          <w:lang w:eastAsia="fr-FR"/>
        </w:rPr>
        <w:t>d</w:t>
      </w:r>
      <w:r w:rsidR="00171BD0">
        <w:rPr>
          <w:highlight w:val="yellow"/>
          <w:lang w:eastAsia="fr-FR"/>
        </w:rPr>
        <w:t>u IV de</w:t>
      </w:r>
      <w:r w:rsidRPr="00830607">
        <w:rPr>
          <w:highlight w:val="yellow"/>
          <w:lang w:eastAsia="fr-FR"/>
        </w:rPr>
        <w:t xml:space="preserve"> l’article VI</w:t>
      </w:r>
      <w:r w:rsidR="00171BD0">
        <w:rPr>
          <w:lang w:eastAsia="fr-FR"/>
        </w:rPr>
        <w:t>-1</w:t>
      </w:r>
      <w:r>
        <w:rPr>
          <w:lang w:eastAsia="fr-FR"/>
        </w:rPr>
        <w:t xml:space="preserve"> du présent arrêté</w:t>
      </w:r>
      <w:r w:rsidRPr="00830607">
        <w:rPr>
          <w:lang w:eastAsia="fr-FR"/>
        </w:rPr>
        <w:t>.</w:t>
      </w:r>
    </w:p>
    <w:p w14:paraId="2A0A5178" w14:textId="5B182654" w:rsidR="00830607" w:rsidRPr="00830607" w:rsidRDefault="00830607" w:rsidP="00830607">
      <w:pPr>
        <w:rPr>
          <w:lang w:eastAsia="fr-FR"/>
        </w:rPr>
      </w:pPr>
      <w:r w:rsidRPr="00830607">
        <w:rPr>
          <w:lang w:eastAsia="fr-FR"/>
        </w:rPr>
        <w:t>- l'aire résiste à la force portante calculée pour un véhicule de 320 kN avec un maximum de 130 kN par essieu, ceux-ci étant distants de 3,6 mètres au minimum et présente une résistance au poinçonnement minimale de 88 N/cm2.</w:t>
      </w:r>
    </w:p>
    <w:p w14:paraId="1B8BFFEE" w14:textId="20AD3871" w:rsidR="00862D0A" w:rsidRPr="00862D0A" w:rsidRDefault="00862D0A" w:rsidP="00830607">
      <w:pPr>
        <w:rPr>
          <w:lang w:eastAsia="fr-FR"/>
        </w:rPr>
      </w:pPr>
      <w:r w:rsidRPr="00862D0A">
        <w:rPr>
          <w:lang w:eastAsia="fr-FR"/>
        </w:rPr>
        <w:t xml:space="preserve">Les dispositions </w:t>
      </w:r>
      <w:r w:rsidRPr="00656315">
        <w:rPr>
          <w:highlight w:val="yellow"/>
          <w:lang w:eastAsia="fr-FR"/>
        </w:rPr>
        <w:t xml:space="preserve">du </w:t>
      </w:r>
      <w:r w:rsidR="00CE3370">
        <w:rPr>
          <w:highlight w:val="yellow"/>
          <w:lang w:eastAsia="fr-FR"/>
        </w:rPr>
        <w:t>présent point</w:t>
      </w:r>
      <w:r w:rsidR="000A4398">
        <w:rPr>
          <w:lang w:eastAsia="fr-FR"/>
        </w:rPr>
        <w:t xml:space="preserve"> ne </w:t>
      </w:r>
      <w:r w:rsidRPr="00862D0A">
        <w:rPr>
          <w:lang w:eastAsia="fr-FR"/>
        </w:rPr>
        <w:t>sont pas exigées si la cellule de liquides inflammables a une surface de moins de 2 000 mètres carrés et qu'au moins un de ses murs séparatifs se situe à moins de 23 mètres d'une façade accessible.</w:t>
      </w:r>
    </w:p>
    <w:p w14:paraId="18A7A8C7" w14:textId="77777777" w:rsidR="00F131BC" w:rsidRDefault="00F131BC" w:rsidP="004D05F1">
      <w:pPr>
        <w:spacing w:after="0" w:line="240" w:lineRule="auto"/>
        <w:rPr>
          <w:rFonts w:eastAsia="Times New Roman" w:cs="Times New Roman"/>
          <w:szCs w:val="24"/>
          <w:lang w:eastAsia="fr-FR"/>
        </w:rPr>
      </w:pPr>
    </w:p>
    <w:p w14:paraId="676B4119" w14:textId="0933976E" w:rsidR="00862D0A" w:rsidRPr="00CE3370" w:rsidRDefault="00862D0A" w:rsidP="00CE3370">
      <w:pPr>
        <w:pStyle w:val="Paragraphedeliste"/>
        <w:numPr>
          <w:ilvl w:val="0"/>
          <w:numId w:val="30"/>
        </w:numPr>
        <w:spacing w:after="0" w:line="240" w:lineRule="auto"/>
        <w:rPr>
          <w:rFonts w:eastAsia="Times New Roman" w:cs="Times New Roman"/>
          <w:szCs w:val="24"/>
          <w:lang w:eastAsia="fr-FR"/>
        </w:rPr>
      </w:pPr>
      <w:r w:rsidRPr="00CE3370">
        <w:rPr>
          <w:rFonts w:eastAsia="Times New Roman" w:cs="Times New Roman"/>
          <w:szCs w:val="24"/>
          <w:lang w:eastAsia="fr-FR"/>
        </w:rPr>
        <w:t>A partir de chaque voie « engins » est prévu un accès aux issues des cellules de liquides inflammables par un chemin stabilisé de 1,8 mètre de large au minimum.</w:t>
      </w:r>
    </w:p>
    <w:p w14:paraId="3AD759D2" w14:textId="22623FC4" w:rsidR="00D17305" w:rsidRDefault="00862D0A" w:rsidP="00862D0A">
      <w:pPr>
        <w:spacing w:after="0" w:line="240" w:lineRule="auto"/>
        <w:rPr>
          <w:rFonts w:eastAsia="Times New Roman" w:cs="Times New Roman"/>
          <w:szCs w:val="24"/>
          <w:lang w:eastAsia="fr-FR"/>
        </w:rPr>
      </w:pPr>
      <w:r w:rsidRPr="00862D0A">
        <w:rPr>
          <w:rFonts w:eastAsia="Times New Roman" w:cs="Times New Roman"/>
          <w:szCs w:val="24"/>
          <w:lang w:eastAsia="fr-FR"/>
        </w:rPr>
        <w:t>Les quais de déchargement sont équipés d'une rampe dévidoir de 1,8 mètre de large</w:t>
      </w:r>
      <w:r w:rsidR="006F425F">
        <w:rPr>
          <w:rFonts w:eastAsia="Times New Roman" w:cs="Times New Roman"/>
          <w:szCs w:val="24"/>
          <w:lang w:eastAsia="fr-FR"/>
        </w:rPr>
        <w:t xml:space="preserve"> au minimum</w:t>
      </w:r>
      <w:r w:rsidRPr="00862D0A">
        <w:rPr>
          <w:rFonts w:eastAsia="Times New Roman" w:cs="Times New Roman"/>
          <w:szCs w:val="24"/>
          <w:lang w:eastAsia="fr-FR"/>
        </w:rPr>
        <w:t xml:space="preserve"> et de pente inférieure ou égale à 10 %, permettant l'accès à chaque cellule de liquides inflammables par une porte de largeur égale</w:t>
      </w:r>
      <w:r w:rsidR="006F425F">
        <w:rPr>
          <w:rFonts w:eastAsia="Times New Roman" w:cs="Times New Roman"/>
          <w:szCs w:val="24"/>
          <w:lang w:eastAsia="fr-FR"/>
        </w:rPr>
        <w:t xml:space="preserve"> au minimum</w:t>
      </w:r>
      <w:r w:rsidRPr="00862D0A">
        <w:rPr>
          <w:rFonts w:eastAsia="Times New Roman" w:cs="Times New Roman"/>
          <w:szCs w:val="24"/>
          <w:lang w:eastAsia="fr-FR"/>
        </w:rPr>
        <w:t xml:space="preserve"> à 0,9 mètre, sauf s'il </w:t>
      </w:r>
      <w:r w:rsidR="00D17305">
        <w:rPr>
          <w:rFonts w:eastAsia="Times New Roman" w:cs="Times New Roman"/>
          <w:szCs w:val="24"/>
          <w:lang w:eastAsia="fr-FR"/>
        </w:rPr>
        <w:t>existe des accès de plain-pied.</w:t>
      </w:r>
    </w:p>
    <w:p w14:paraId="25A2C8D8" w14:textId="77777777" w:rsidR="00D17305" w:rsidRDefault="00D17305" w:rsidP="00862D0A">
      <w:pPr>
        <w:spacing w:after="0" w:line="240" w:lineRule="auto"/>
        <w:rPr>
          <w:rFonts w:eastAsia="Times New Roman" w:cs="Times New Roman"/>
          <w:szCs w:val="24"/>
          <w:lang w:eastAsia="fr-FR"/>
        </w:rPr>
      </w:pPr>
    </w:p>
    <w:p w14:paraId="3C33AAB5" w14:textId="1AA1377D" w:rsidR="00862D0A" w:rsidRPr="00CE3370" w:rsidRDefault="00862D0A" w:rsidP="00CE3370">
      <w:pPr>
        <w:pStyle w:val="Paragraphedeliste"/>
        <w:numPr>
          <w:ilvl w:val="0"/>
          <w:numId w:val="30"/>
        </w:numPr>
        <w:spacing w:after="0" w:line="240" w:lineRule="auto"/>
        <w:rPr>
          <w:rFonts w:eastAsia="Times New Roman" w:cs="Times New Roman"/>
          <w:szCs w:val="24"/>
          <w:lang w:eastAsia="fr-FR"/>
        </w:rPr>
      </w:pPr>
      <w:r w:rsidRPr="00CE3370">
        <w:rPr>
          <w:rFonts w:eastAsia="Times New Roman" w:cs="Times New Roman"/>
          <w:szCs w:val="24"/>
          <w:lang w:eastAsia="fr-FR"/>
        </w:rPr>
        <w:t>Les accès des cellules de liquides inflammables permettent l'intervention rapide des secours. Leur nombre minimal permet que tout point des cellules de liquides inflammables ne soit pas distant de plus de 50 mètres effectifs de l'un de ces accès ; cette distance étant réduite à 25 mètres dans les parties des cellules de liquides inflammables formant cul-de-sac. Deux issues au moins donnant vers l'extérieur ou sur un espace protégé, dans deux directions opposées, sont prévues dans chaque cellule de liquides inflammables d'une surface supérieure à 1 000 mètres carrés.</w:t>
      </w:r>
    </w:p>
    <w:p w14:paraId="7E6CD9C5" w14:textId="77777777" w:rsidR="00565455" w:rsidRPr="00610FC6" w:rsidRDefault="00565455" w:rsidP="00DC2C93">
      <w:pPr>
        <w:spacing w:after="0" w:line="240" w:lineRule="auto"/>
        <w:rPr>
          <w:rFonts w:eastAsia="Times New Roman" w:cs="Times New Roman"/>
          <w:szCs w:val="24"/>
          <w:lang w:eastAsia="fr-FR"/>
        </w:rPr>
      </w:pPr>
    </w:p>
    <w:p w14:paraId="30EB46C4" w14:textId="0F5067F3" w:rsidR="00610FC6" w:rsidRPr="00A62257" w:rsidRDefault="00C25657" w:rsidP="004C7B7F">
      <w:pPr>
        <w:pStyle w:val="Titre1"/>
        <w:rPr>
          <w:rFonts w:eastAsia="Times New Roman"/>
          <w:lang w:eastAsia="fr-FR"/>
        </w:rPr>
      </w:pPr>
      <w:r>
        <w:rPr>
          <w:rFonts w:eastAsia="Times New Roman"/>
          <w:lang w:eastAsia="fr-FR"/>
        </w:rPr>
        <w:t xml:space="preserve">DISPOSITIONS </w:t>
      </w:r>
      <w:r w:rsidR="00610FC6" w:rsidRPr="00A62257">
        <w:rPr>
          <w:rFonts w:eastAsia="Times New Roman"/>
          <w:lang w:eastAsia="fr-FR"/>
        </w:rPr>
        <w:t xml:space="preserve">CONSTRUCTIVES, AMÉNAGEMENT ET ÉQUIPEMENTS </w:t>
      </w:r>
    </w:p>
    <w:p w14:paraId="395D8D1B" w14:textId="7D64ED61" w:rsidR="00A62257" w:rsidRPr="00D17305" w:rsidRDefault="00FB4132" w:rsidP="00DC2C93">
      <w:pPr>
        <w:spacing w:after="0" w:line="240" w:lineRule="auto"/>
        <w:rPr>
          <w:rFonts w:eastAsia="Times New Roman" w:cs="Times New Roman"/>
          <w:b/>
          <w:szCs w:val="24"/>
          <w:u w:val="single"/>
          <w:lang w:eastAsia="fr-FR"/>
        </w:rPr>
      </w:pPr>
      <w:bookmarkStart w:id="12" w:name="LEGIARTI000023100763"/>
      <w:bookmarkStart w:id="13" w:name="LEGIARTI000023797068"/>
      <w:bookmarkStart w:id="14" w:name="LEGIARTI000030829294"/>
      <w:bookmarkEnd w:id="12"/>
      <w:bookmarkEnd w:id="13"/>
      <w:bookmarkEnd w:id="14"/>
      <w:r>
        <w:rPr>
          <w:rFonts w:eastAsia="Times New Roman" w:cs="Times New Roman"/>
          <w:b/>
          <w:szCs w:val="24"/>
          <w:u w:val="single"/>
          <w:lang w:eastAsia="fr-FR"/>
        </w:rPr>
        <w:t>Section I : Généralités</w:t>
      </w:r>
      <w:bookmarkStart w:id="15" w:name="LEGIARTI000023100765"/>
      <w:bookmarkStart w:id="16" w:name="LEGIARTI000023100769"/>
      <w:bookmarkStart w:id="17" w:name="LEGIARTI000030829292"/>
      <w:bookmarkEnd w:id="15"/>
      <w:bookmarkEnd w:id="16"/>
      <w:bookmarkEnd w:id="17"/>
    </w:p>
    <w:p w14:paraId="13726B76" w14:textId="40B1A0D7" w:rsidR="00610FC6" w:rsidRPr="00154384" w:rsidRDefault="00E86B6E" w:rsidP="004C7B7F">
      <w:pPr>
        <w:pStyle w:val="Titre2"/>
      </w:pPr>
      <w:r>
        <w:lastRenderedPageBreak/>
        <w:t>Interdiction de s</w:t>
      </w:r>
      <w:r w:rsidR="004C7B7F">
        <w:t>tockages en contenants fusibles</w:t>
      </w:r>
    </w:p>
    <w:p w14:paraId="590BB164" w14:textId="77777777" w:rsidR="00F624BF" w:rsidRPr="00AF3F07" w:rsidRDefault="00F624BF" w:rsidP="0066259D">
      <w:pPr>
        <w:pStyle w:val="Titre3"/>
        <w:rPr>
          <w:rFonts w:eastAsia="Times New Roman"/>
          <w:lang w:eastAsia="fr-FR"/>
        </w:rPr>
      </w:pPr>
      <w:r w:rsidRPr="00F624BF">
        <w:rPr>
          <w:rFonts w:eastAsia="Times New Roman"/>
          <w:lang w:eastAsia="fr-FR"/>
        </w:rPr>
        <w:t xml:space="preserve">Le stockage de liquides inflammables de catégorie 1 (mention de danger H224) </w:t>
      </w:r>
      <w:r w:rsidRPr="00F624BF">
        <w:t>est interdit en contenants fusibles de type récipients mobiles de volume unitaire supérieur à 30L.</w:t>
      </w:r>
    </w:p>
    <w:p w14:paraId="30A134B4" w14:textId="77777777" w:rsidR="00F624BF" w:rsidRPr="0096176E" w:rsidRDefault="00F624BF" w:rsidP="00F624BF">
      <w:pPr>
        <w:rPr>
          <w:lang w:eastAsia="fr-FR"/>
        </w:rPr>
      </w:pPr>
      <w:r w:rsidRPr="00AF3F07">
        <w:rPr>
          <w:lang w:eastAsia="fr-FR"/>
        </w:rPr>
        <w:t xml:space="preserve">Cette disposition est applicable à compter du </w:t>
      </w:r>
      <w:r w:rsidRPr="0096176E">
        <w:rPr>
          <w:lang w:eastAsia="fr-FR"/>
        </w:rPr>
        <w:t>1</w:t>
      </w:r>
      <w:r w:rsidRPr="0096176E">
        <w:rPr>
          <w:vertAlign w:val="superscript"/>
          <w:lang w:eastAsia="fr-FR"/>
        </w:rPr>
        <w:t>er</w:t>
      </w:r>
      <w:r w:rsidRPr="0096176E">
        <w:rPr>
          <w:lang w:eastAsia="fr-FR"/>
        </w:rPr>
        <w:t xml:space="preserve"> janvier 2023.</w:t>
      </w:r>
    </w:p>
    <w:p w14:paraId="336F9C08" w14:textId="77777777" w:rsidR="00F624BF" w:rsidRPr="00F624BF" w:rsidRDefault="00F624BF" w:rsidP="0066259D">
      <w:pPr>
        <w:pStyle w:val="Titre3"/>
        <w:rPr>
          <w:lang w:eastAsia="fr-FR"/>
        </w:rPr>
      </w:pPr>
      <w:r w:rsidRPr="0066259D">
        <w:rPr>
          <w:rFonts w:eastAsia="Times New Roman"/>
          <w:lang w:eastAsia="fr-FR"/>
        </w:rPr>
        <w:t xml:space="preserve">Le stockage de liquides inflammables non miscibles à l’eau de catégorie 2 (mention de danger H225) est interdit en contenants fusibles de type récipients mobiles de </w:t>
      </w:r>
      <w:r w:rsidRPr="0066259D">
        <w:t>volume</w:t>
      </w:r>
      <w:r w:rsidRPr="0066259D">
        <w:rPr>
          <w:rFonts w:eastAsia="Times New Roman"/>
          <w:lang w:eastAsia="fr-FR"/>
        </w:rPr>
        <w:t xml:space="preserve"> unitaire supérieur à 30L en stockage couvert.</w:t>
      </w:r>
    </w:p>
    <w:p w14:paraId="5BC1B30D" w14:textId="77777777" w:rsidR="00F624BF" w:rsidRPr="00AF3F07" w:rsidRDefault="00F624BF" w:rsidP="00F624BF">
      <w:pPr>
        <w:spacing w:after="0" w:line="240" w:lineRule="auto"/>
        <w:rPr>
          <w:rFonts w:eastAsia="Times New Roman" w:cs="Times New Roman"/>
          <w:szCs w:val="24"/>
          <w:lang w:eastAsia="fr-FR"/>
        </w:rPr>
      </w:pPr>
      <w:r w:rsidRPr="00AF3F07">
        <w:rPr>
          <w:rFonts w:eastAsia="Times New Roman" w:cs="Times New Roman"/>
          <w:szCs w:val="24"/>
          <w:lang w:eastAsia="fr-FR"/>
        </w:rPr>
        <w:t>Le stockage de liquides inflammables miscibles à l’eau de catégorie 2 (mention de danger H225) est interdit en contenants fusibles de type récipients mobiles de volume unitaire supérieur à 230L en stockage couvert.</w:t>
      </w:r>
    </w:p>
    <w:p w14:paraId="30FED2E3" w14:textId="77777777" w:rsidR="00F624BF" w:rsidRPr="0096176E" w:rsidRDefault="00F624BF" w:rsidP="00F624BF">
      <w:pPr>
        <w:rPr>
          <w:lang w:eastAsia="fr-FR"/>
        </w:rPr>
      </w:pPr>
      <w:r w:rsidRPr="0096176E">
        <w:rPr>
          <w:lang w:eastAsia="fr-FR"/>
        </w:rPr>
        <w:t>Cette disposition est applicable à compter du 1</w:t>
      </w:r>
      <w:r w:rsidRPr="0096176E">
        <w:rPr>
          <w:vertAlign w:val="superscript"/>
          <w:lang w:eastAsia="fr-FR"/>
        </w:rPr>
        <w:t>er</w:t>
      </w:r>
      <w:r w:rsidRPr="0096176E">
        <w:rPr>
          <w:lang w:eastAsia="fr-FR"/>
        </w:rPr>
        <w:t xml:space="preserve"> janvier 2026.</w:t>
      </w:r>
    </w:p>
    <w:p w14:paraId="3AED2E26" w14:textId="77777777" w:rsidR="00F624BF" w:rsidRPr="001320D4" w:rsidRDefault="00F624BF" w:rsidP="00F624BF">
      <w:pPr>
        <w:spacing w:after="0" w:line="240" w:lineRule="auto"/>
        <w:rPr>
          <w:rFonts w:eastAsia="Times New Roman" w:cs="Times New Roman"/>
          <w:szCs w:val="24"/>
          <w:lang w:eastAsia="fr-FR"/>
        </w:rPr>
      </w:pPr>
    </w:p>
    <w:p w14:paraId="38103FEC" w14:textId="77777777" w:rsidR="00F624BF" w:rsidRPr="001C3192" w:rsidRDefault="00F624BF" w:rsidP="00F624BF">
      <w:pPr>
        <w:pStyle w:val="NormalWeb"/>
        <w:spacing w:before="0" w:beforeAutospacing="0" w:after="0" w:afterAutospacing="0"/>
        <w:rPr>
          <w:color w:val="000000" w:themeColor="text1"/>
        </w:rPr>
      </w:pPr>
      <w:r w:rsidRPr="001320D4">
        <w:t xml:space="preserve">Les dispositions </w:t>
      </w:r>
      <w:r w:rsidRPr="001C3192">
        <w:rPr>
          <w:color w:val="000000" w:themeColor="text1"/>
        </w:rPr>
        <w:t xml:space="preserve">des points I et II ne sont pas applicables si le stockage est muni de moyens de protection contre l'incendie adaptés et dont le dimensionnement satisfait à des tests de qualification selon un protocole reconnu par le ministère chargé des installations classées. </w:t>
      </w:r>
    </w:p>
    <w:p w14:paraId="62710B96" w14:textId="77777777" w:rsidR="00F624BF" w:rsidRPr="00AF3F07" w:rsidRDefault="00F624BF" w:rsidP="00F624BF">
      <w:pPr>
        <w:spacing w:after="0" w:line="240" w:lineRule="auto"/>
        <w:rPr>
          <w:rFonts w:eastAsia="Times New Roman" w:cs="Times New Roman"/>
          <w:szCs w:val="24"/>
          <w:lang w:eastAsia="fr-FR"/>
        </w:rPr>
      </w:pPr>
    </w:p>
    <w:p w14:paraId="25D664F1" w14:textId="77777777" w:rsidR="00F624BF" w:rsidRPr="001847A1" w:rsidRDefault="00F624BF" w:rsidP="00F624BF">
      <w:pPr>
        <w:spacing w:after="0" w:line="240" w:lineRule="auto"/>
        <w:rPr>
          <w:rFonts w:eastAsia="Times New Roman" w:cs="Times New Roman"/>
          <w:szCs w:val="24"/>
          <w:lang w:eastAsia="fr-FR"/>
        </w:rPr>
      </w:pPr>
      <w:r w:rsidRPr="00AF3F07">
        <w:rPr>
          <w:rFonts w:eastAsia="Times New Roman" w:cs="Times New Roman"/>
          <w:szCs w:val="24"/>
          <w:lang w:eastAsia="fr-FR"/>
        </w:rPr>
        <w:t xml:space="preserve">Les dispositions des points I et II ne s’appliquent pas au stockage </w:t>
      </w:r>
      <w:r w:rsidRPr="0066259D">
        <w:rPr>
          <w:rFonts w:eastAsia="Times New Roman" w:cs="Times New Roman"/>
          <w:szCs w:val="24"/>
          <w:lang w:eastAsia="fr-FR"/>
        </w:rPr>
        <w:t>d’un récipient mobile ou d’un groupe de récipients mobiles d’un volume total ne dépassant pas 2m3</w:t>
      </w:r>
      <w:r w:rsidRPr="00F624BF">
        <w:rPr>
          <w:rFonts w:eastAsia="Times New Roman" w:cs="Times New Roman"/>
          <w:szCs w:val="24"/>
          <w:lang w:eastAsia="fr-FR"/>
        </w:rPr>
        <w:t xml:space="preserve"> dans une armoire de stockage dédiée, sous réserve que cette armoire soit REI 120, qu’elle soit pourvue d’une rétention dont le volume est au moins égal à la capacité totale des récipients, et qu’elle soit équipée d’une détection de fuite.</w:t>
      </w:r>
    </w:p>
    <w:p w14:paraId="6E2B8F0A" w14:textId="4B28AA97" w:rsidR="002C5DEF" w:rsidRDefault="002C5DEF" w:rsidP="00D17305">
      <w:pPr>
        <w:pStyle w:val="NormalWeb"/>
        <w:spacing w:before="0" w:beforeAutospacing="0" w:after="0" w:afterAutospacing="0"/>
      </w:pPr>
    </w:p>
    <w:p w14:paraId="452947F6" w14:textId="77777777" w:rsidR="002C5DEF" w:rsidRPr="00B9372D" w:rsidRDefault="002C5DEF" w:rsidP="002C5DEF">
      <w:pPr>
        <w:pStyle w:val="Titre2"/>
      </w:pPr>
      <w:r>
        <w:t>Mise à la terre</w:t>
      </w:r>
    </w:p>
    <w:p w14:paraId="5BBA7AA3" w14:textId="2C0C8099" w:rsidR="002C5DEF" w:rsidRDefault="002C5DEF" w:rsidP="002C5DEF">
      <w:pPr>
        <w:spacing w:after="0" w:line="240" w:lineRule="auto"/>
        <w:rPr>
          <w:rFonts w:eastAsia="Times New Roman" w:cs="Times New Roman"/>
          <w:szCs w:val="24"/>
          <w:lang w:eastAsia="fr-FR"/>
        </w:rPr>
      </w:pPr>
      <w:r>
        <w:t>A l'exception des palettiers couverts d'une peinture époxy ou tout autre dispositif équivalent, les équipements métalliques fixes sont reliés par un réseau de liaisons équipotentielles qui est mis à la terre conformément aux règlements et aux normes applicables.</w:t>
      </w:r>
    </w:p>
    <w:p w14:paraId="722542B0" w14:textId="77777777" w:rsidR="002C5DEF" w:rsidRDefault="002C5DEF" w:rsidP="00D17305">
      <w:pPr>
        <w:pStyle w:val="NormalWeb"/>
        <w:spacing w:before="0" w:beforeAutospacing="0" w:after="0" w:afterAutospacing="0"/>
      </w:pPr>
    </w:p>
    <w:p w14:paraId="20CE0494" w14:textId="23F16CDB" w:rsidR="009A7267" w:rsidRDefault="009A7267" w:rsidP="00D17CDA">
      <w:pPr>
        <w:pStyle w:val="NormalWeb"/>
        <w:spacing w:before="0" w:beforeAutospacing="0" w:after="0" w:afterAutospacing="0"/>
      </w:pPr>
    </w:p>
    <w:p w14:paraId="57CDB596" w14:textId="6B1D9094" w:rsidR="002F50CD" w:rsidRDefault="002F50CD" w:rsidP="002F50CD">
      <w:pPr>
        <w:spacing w:after="0" w:line="240" w:lineRule="auto"/>
        <w:rPr>
          <w:rFonts w:eastAsia="Times New Roman" w:cs="Times New Roman"/>
          <w:b/>
          <w:szCs w:val="24"/>
          <w:u w:val="single"/>
          <w:lang w:eastAsia="fr-FR"/>
        </w:rPr>
      </w:pPr>
      <w:bookmarkStart w:id="18" w:name="LEGIARTI000023100787"/>
      <w:bookmarkStart w:id="19" w:name="LEGIARTI000023100789"/>
      <w:bookmarkStart w:id="20" w:name="LEGIARTI000023100791"/>
      <w:bookmarkStart w:id="21" w:name="LEGIARTI000023797070"/>
      <w:bookmarkStart w:id="22" w:name="LEGIARTI000023100793"/>
      <w:bookmarkStart w:id="23" w:name="LEGIARTI000023100795"/>
      <w:bookmarkStart w:id="24" w:name="LEGIARTI000023100797"/>
      <w:bookmarkStart w:id="25" w:name="LEGIARTI000023100799"/>
      <w:bookmarkStart w:id="26" w:name="LEGIARTI000023797072"/>
      <w:bookmarkStart w:id="27" w:name="LEGIARTI000023100801"/>
      <w:bookmarkEnd w:id="18"/>
      <w:bookmarkEnd w:id="19"/>
      <w:bookmarkEnd w:id="20"/>
      <w:bookmarkEnd w:id="21"/>
      <w:bookmarkEnd w:id="22"/>
      <w:bookmarkEnd w:id="23"/>
      <w:bookmarkEnd w:id="24"/>
      <w:bookmarkEnd w:id="25"/>
      <w:bookmarkEnd w:id="26"/>
      <w:bookmarkEnd w:id="27"/>
      <w:r>
        <w:rPr>
          <w:rFonts w:eastAsia="Times New Roman" w:cs="Times New Roman"/>
          <w:b/>
          <w:szCs w:val="24"/>
          <w:u w:val="single"/>
          <w:lang w:eastAsia="fr-FR"/>
        </w:rPr>
        <w:t>Section I</w:t>
      </w:r>
      <w:r w:rsidR="00CD34C3">
        <w:rPr>
          <w:rFonts w:eastAsia="Times New Roman" w:cs="Times New Roman"/>
          <w:b/>
          <w:szCs w:val="24"/>
          <w:u w:val="single"/>
          <w:lang w:eastAsia="fr-FR"/>
        </w:rPr>
        <w:t>I</w:t>
      </w:r>
      <w:r>
        <w:rPr>
          <w:rFonts w:eastAsia="Times New Roman" w:cs="Times New Roman"/>
          <w:b/>
          <w:szCs w:val="24"/>
          <w:u w:val="single"/>
          <w:lang w:eastAsia="fr-FR"/>
        </w:rPr>
        <w:t xml:space="preserve"> : Stockage </w:t>
      </w:r>
      <w:r w:rsidR="000C4DE8">
        <w:rPr>
          <w:rFonts w:eastAsia="Times New Roman" w:cs="Times New Roman"/>
          <w:b/>
          <w:szCs w:val="24"/>
          <w:u w:val="single"/>
          <w:lang w:eastAsia="fr-FR"/>
        </w:rPr>
        <w:t>couvert</w:t>
      </w:r>
    </w:p>
    <w:p w14:paraId="1ECB313A" w14:textId="3AD4437D" w:rsidR="00035CFF" w:rsidRDefault="00035CFF" w:rsidP="00035CFF">
      <w:pPr>
        <w:spacing w:after="0" w:line="240" w:lineRule="auto"/>
        <w:rPr>
          <w:rFonts w:eastAsia="Times New Roman" w:cs="Times New Roman"/>
          <w:szCs w:val="24"/>
          <w:lang w:eastAsia="fr-FR"/>
        </w:rPr>
      </w:pPr>
      <w:r w:rsidRPr="006E18F5">
        <w:rPr>
          <w:rFonts w:eastAsia="Times New Roman" w:cs="Times New Roman"/>
          <w:szCs w:val="24"/>
          <w:lang w:eastAsia="fr-FR"/>
        </w:rPr>
        <w:t xml:space="preserve">Les dispositions de la présente section sont applicables aux stockages </w:t>
      </w:r>
      <w:r>
        <w:rPr>
          <w:rFonts w:eastAsia="Times New Roman" w:cs="Times New Roman"/>
          <w:szCs w:val="24"/>
          <w:lang w:eastAsia="fr-FR"/>
        </w:rPr>
        <w:t>couverts</w:t>
      </w:r>
      <w:r w:rsidRPr="006E18F5">
        <w:rPr>
          <w:rFonts w:eastAsia="Times New Roman" w:cs="Times New Roman"/>
          <w:szCs w:val="24"/>
          <w:lang w:eastAsia="fr-FR"/>
        </w:rPr>
        <w:t xml:space="preserve"> de</w:t>
      </w:r>
      <w:r>
        <w:rPr>
          <w:rFonts w:eastAsia="Times New Roman" w:cs="Times New Roman"/>
          <w:szCs w:val="24"/>
          <w:lang w:eastAsia="fr-FR"/>
        </w:rPr>
        <w:t xml:space="preserve"> liquides inflammables en</w:t>
      </w:r>
      <w:r w:rsidRPr="006E18F5">
        <w:rPr>
          <w:rFonts w:eastAsia="Times New Roman" w:cs="Times New Roman"/>
          <w:szCs w:val="24"/>
          <w:lang w:eastAsia="fr-FR"/>
        </w:rPr>
        <w:t xml:space="preserve"> récipients mobiles.</w:t>
      </w:r>
    </w:p>
    <w:p w14:paraId="7C2DE308" w14:textId="161DDC39" w:rsidR="008008F7" w:rsidRDefault="008008F7" w:rsidP="00035CFF">
      <w:pPr>
        <w:spacing w:after="0" w:line="240" w:lineRule="auto"/>
        <w:rPr>
          <w:rFonts w:eastAsia="Times New Roman" w:cs="Times New Roman"/>
          <w:szCs w:val="24"/>
          <w:lang w:eastAsia="fr-FR"/>
        </w:rPr>
      </w:pPr>
      <w:r>
        <w:rPr>
          <w:rFonts w:eastAsia="Times New Roman" w:cs="Times New Roman"/>
          <w:szCs w:val="24"/>
          <w:lang w:eastAsia="fr-FR"/>
        </w:rPr>
        <w:t>Les dispositions de la présente section sont également applicable</w:t>
      </w:r>
      <w:r w:rsidR="0021752D">
        <w:rPr>
          <w:rFonts w:eastAsia="Times New Roman" w:cs="Times New Roman"/>
          <w:szCs w:val="24"/>
          <w:lang w:eastAsia="fr-FR"/>
        </w:rPr>
        <w:t>s</w:t>
      </w:r>
      <w:r>
        <w:rPr>
          <w:rFonts w:eastAsia="Times New Roman" w:cs="Times New Roman"/>
          <w:szCs w:val="24"/>
          <w:lang w:eastAsia="fr-FR"/>
        </w:rPr>
        <w:t xml:space="preserve"> aux stockages couverts de liquides et solides liquéfiables combustibles selon les modalités particulières précisées à </w:t>
      </w:r>
      <w:r w:rsidRPr="00FA3B7D">
        <w:rPr>
          <w:rFonts w:eastAsia="Times New Roman" w:cs="Times New Roman"/>
          <w:szCs w:val="24"/>
          <w:highlight w:val="yellow"/>
          <w:lang w:eastAsia="fr-FR"/>
        </w:rPr>
        <w:t>l’article III-8.</w:t>
      </w:r>
    </w:p>
    <w:p w14:paraId="4D85C89E" w14:textId="77777777" w:rsidR="00035CFF" w:rsidRDefault="00035CFF" w:rsidP="002F50CD">
      <w:pPr>
        <w:spacing w:after="0" w:line="240" w:lineRule="auto"/>
        <w:rPr>
          <w:rFonts w:eastAsia="Times New Roman" w:cs="Times New Roman"/>
          <w:b/>
          <w:szCs w:val="24"/>
          <w:u w:val="single"/>
          <w:lang w:eastAsia="fr-FR"/>
        </w:rPr>
      </w:pPr>
    </w:p>
    <w:p w14:paraId="09BC1197" w14:textId="49B748DA" w:rsidR="002F50CD" w:rsidRDefault="004C7B7F" w:rsidP="004C7B7F">
      <w:pPr>
        <w:pStyle w:val="Titre2"/>
      </w:pPr>
      <w:r>
        <w:t xml:space="preserve">Dispositions </w:t>
      </w:r>
      <w:r w:rsidR="00DC60BD">
        <w:t>constructives</w:t>
      </w:r>
      <w:r w:rsidR="002F50CD" w:rsidRPr="00681483">
        <w:t xml:space="preserve"> </w:t>
      </w:r>
    </w:p>
    <w:p w14:paraId="1AB96243" w14:textId="77777777" w:rsidR="00DF4101" w:rsidRDefault="00DF4101" w:rsidP="00CE3370">
      <w:pPr>
        <w:pStyle w:val="Titre3"/>
        <w:rPr>
          <w:rFonts w:eastAsia="Times New Roman"/>
          <w:lang w:eastAsia="fr-FR"/>
        </w:rPr>
      </w:pPr>
    </w:p>
    <w:p w14:paraId="41A138AB" w14:textId="36FFA80D" w:rsidR="00DF4101" w:rsidRPr="002A6FF0" w:rsidRDefault="0096176E" w:rsidP="00DF4101">
      <w:pPr>
        <w:rPr>
          <w:lang w:eastAsia="fr-FR"/>
        </w:rPr>
      </w:pPr>
      <w:r w:rsidRPr="0096176E">
        <w:rPr>
          <w:lang w:eastAsia="fr-FR"/>
        </w:rPr>
        <w:t xml:space="preserve">Les dispositions constructives visent à ce que la cinétique d’incendie soit compatible avec l’évacuation des personnes, l’intervention des services de secours et la protection de l’environnement. Elles visent notamment à ce que la ruine d’un élément de structure (murs, toiture, poteaux, poutres par exemple) suite à un sinistre n’entraîne pas la ruine en chaîne de la </w:t>
      </w:r>
      <w:r w:rsidRPr="0096176E">
        <w:rPr>
          <w:lang w:eastAsia="fr-FR"/>
        </w:rPr>
        <w:lastRenderedPageBreak/>
        <w:t xml:space="preserve">structure du </w:t>
      </w:r>
      <w:r w:rsidR="00497AED">
        <w:rPr>
          <w:lang w:eastAsia="fr-FR"/>
        </w:rPr>
        <w:t>stockage couvert</w:t>
      </w:r>
      <w:r w:rsidRPr="0096176E">
        <w:rPr>
          <w:lang w:eastAsia="fr-FR"/>
        </w:rPr>
        <w:t>, notamment les cellules de stockage avoisinantes, ni de leurs dispositifs de recoupement, et ne conduit pas à l’effondrement de la structure vers l’extérieur de la cellule en feu.</w:t>
      </w:r>
    </w:p>
    <w:p w14:paraId="0C3E0061" w14:textId="77777777" w:rsidR="00DF4101" w:rsidRPr="00CE3370" w:rsidRDefault="00DF4101" w:rsidP="00CE3370">
      <w:pPr>
        <w:rPr>
          <w:lang w:eastAsia="fr-FR"/>
        </w:rPr>
      </w:pPr>
    </w:p>
    <w:p w14:paraId="63AB641F" w14:textId="1E59B5B6"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 xml:space="preserve">Les </w:t>
      </w:r>
      <w:r w:rsidR="00497AED">
        <w:rPr>
          <w:rFonts w:eastAsia="Times New Roman" w:cs="Times New Roman"/>
          <w:szCs w:val="24"/>
          <w:lang w:eastAsia="fr-FR"/>
        </w:rPr>
        <w:t xml:space="preserve">stockages couverts </w:t>
      </w:r>
      <w:r w:rsidRPr="00F63890">
        <w:rPr>
          <w:rFonts w:eastAsia="Times New Roman" w:cs="Times New Roman"/>
          <w:szCs w:val="24"/>
          <w:lang w:eastAsia="fr-FR"/>
        </w:rPr>
        <w:t>abritant un stockage de liquides inflammables présentent les caractéristiques de réaction et de résistance au feu minimales suivantes :</w:t>
      </w:r>
    </w:p>
    <w:p w14:paraId="412CDBA5" w14:textId="0BB51984" w:rsidR="002F50CD" w:rsidRDefault="002F50CD" w:rsidP="006F21C4">
      <w:pPr>
        <w:pStyle w:val="Paragraphedeliste"/>
        <w:numPr>
          <w:ilvl w:val="0"/>
          <w:numId w:val="10"/>
        </w:numPr>
        <w:spacing w:after="0" w:line="240" w:lineRule="auto"/>
        <w:rPr>
          <w:rFonts w:eastAsia="Times New Roman" w:cs="Times New Roman"/>
          <w:szCs w:val="24"/>
          <w:lang w:eastAsia="fr-FR"/>
        </w:rPr>
      </w:pPr>
      <w:r w:rsidRPr="00AD2D6F">
        <w:rPr>
          <w:rFonts w:eastAsia="Times New Roman" w:cs="Times New Roman"/>
          <w:szCs w:val="24"/>
          <w:lang w:eastAsia="fr-FR"/>
        </w:rPr>
        <w:t>les parois extérieures</w:t>
      </w:r>
      <w:r w:rsidR="009C26AF">
        <w:rPr>
          <w:rFonts w:eastAsia="Times New Roman" w:cs="Times New Roman"/>
          <w:szCs w:val="24"/>
          <w:lang w:eastAsia="fr-FR"/>
        </w:rPr>
        <w:t>, si elles existent,</w:t>
      </w:r>
      <w:r w:rsidRPr="00AD2D6F">
        <w:rPr>
          <w:rFonts w:eastAsia="Times New Roman" w:cs="Times New Roman"/>
          <w:szCs w:val="24"/>
          <w:lang w:eastAsia="fr-FR"/>
        </w:rPr>
        <w:t xml:space="preserve"> sont construites en matériaux de classe A2s1d0 ;</w:t>
      </w:r>
    </w:p>
    <w:p w14:paraId="70F30F5F" w14:textId="1A8D8B10" w:rsidR="002F50CD" w:rsidRDefault="002F50CD" w:rsidP="006F21C4">
      <w:pPr>
        <w:pStyle w:val="Paragraphedeliste"/>
        <w:numPr>
          <w:ilvl w:val="0"/>
          <w:numId w:val="10"/>
        </w:numPr>
        <w:spacing w:after="0" w:line="240" w:lineRule="auto"/>
        <w:rPr>
          <w:rFonts w:eastAsia="Times New Roman" w:cs="Times New Roman"/>
          <w:szCs w:val="24"/>
          <w:lang w:eastAsia="fr-FR"/>
        </w:rPr>
      </w:pPr>
      <w:r w:rsidRPr="00AD2D6F">
        <w:rPr>
          <w:rFonts w:eastAsia="Times New Roman" w:cs="Times New Roman"/>
          <w:szCs w:val="24"/>
          <w:lang w:eastAsia="fr-FR"/>
        </w:rPr>
        <w:t>la structure est R 60 ;</w:t>
      </w:r>
    </w:p>
    <w:p w14:paraId="37A1A5D3" w14:textId="77777777" w:rsidR="002F50CD" w:rsidRDefault="002F50CD" w:rsidP="006F21C4">
      <w:pPr>
        <w:pStyle w:val="Paragraphedeliste"/>
        <w:numPr>
          <w:ilvl w:val="0"/>
          <w:numId w:val="10"/>
        </w:numPr>
        <w:spacing w:after="0" w:line="240" w:lineRule="auto"/>
        <w:rPr>
          <w:rFonts w:eastAsia="Times New Roman" w:cs="Times New Roman"/>
          <w:szCs w:val="24"/>
          <w:lang w:eastAsia="fr-FR"/>
        </w:rPr>
      </w:pPr>
      <w:r w:rsidRPr="00AD2D6F">
        <w:rPr>
          <w:rFonts w:eastAsia="Times New Roman" w:cs="Times New Roman"/>
          <w:szCs w:val="24"/>
          <w:lang w:eastAsia="fr-FR"/>
        </w:rPr>
        <w:t>les murs séparatifs entre les cellules de liquides inflammables et les éventuelles cellules de stockage de matières combustibles ou inflammables sont REI 120. Ces murs sont prolongés latéralement le long du mur extérieur sur une largeur de 1 mètre ou sont prolongés perpendiculairement au mur extérieur de 0,50 mètre en saillie de la façade ;</w:t>
      </w:r>
    </w:p>
    <w:p w14:paraId="4F63624C" w14:textId="77777777" w:rsidR="002F50CD" w:rsidRDefault="002F50CD" w:rsidP="006F21C4">
      <w:pPr>
        <w:pStyle w:val="Paragraphedeliste"/>
        <w:numPr>
          <w:ilvl w:val="0"/>
          <w:numId w:val="10"/>
        </w:numPr>
        <w:spacing w:after="0" w:line="240" w:lineRule="auto"/>
        <w:rPr>
          <w:rFonts w:eastAsia="Times New Roman" w:cs="Times New Roman"/>
          <w:szCs w:val="24"/>
          <w:lang w:eastAsia="fr-FR"/>
        </w:rPr>
      </w:pPr>
      <w:r w:rsidRPr="00AD2D6F">
        <w:rPr>
          <w:rFonts w:eastAsia="Times New Roman" w:cs="Times New Roman"/>
          <w:szCs w:val="24"/>
          <w:lang w:eastAsia="fr-FR"/>
        </w:rPr>
        <w:t>les éléments séparatifs entre cellules dépassent d'au moins 1 mètre la couverture du bâtiment au droit du franchissement. La toiture est recouverte d'une bande de protection sur une largeur minimale de 5 mètres de part et d'autre des parois séparatives. Cette bande est en matériaux classés A2s1d0 ou comporte en surface une feuille métallique de classe A2s1d0 ;</w:t>
      </w:r>
    </w:p>
    <w:p w14:paraId="32BEE4DD" w14:textId="77777777" w:rsidR="002F50CD" w:rsidRDefault="002F50CD" w:rsidP="006F21C4">
      <w:pPr>
        <w:pStyle w:val="Paragraphedeliste"/>
        <w:numPr>
          <w:ilvl w:val="0"/>
          <w:numId w:val="10"/>
        </w:numPr>
        <w:spacing w:after="0" w:line="240" w:lineRule="auto"/>
        <w:rPr>
          <w:rFonts w:eastAsia="Times New Roman" w:cs="Times New Roman"/>
          <w:szCs w:val="24"/>
          <w:lang w:eastAsia="fr-FR"/>
        </w:rPr>
      </w:pPr>
      <w:r w:rsidRPr="00AD2D6F">
        <w:rPr>
          <w:rFonts w:eastAsia="Times New Roman" w:cs="Times New Roman"/>
          <w:szCs w:val="24"/>
          <w:lang w:eastAsia="fr-FR"/>
        </w:rPr>
        <w:t>les murs séparatifs entre une cellule de liquides inflammables et un local technique (hors chaufferie et local de charge de batteries des chariots) sont REI 120 jusqu'en sous-face de toiture ou une distance libre de 10 mètres est respectée entre la cellule de liquides inflammables et le local technique à la condition qu'aucune source d'énergie susceptible d'enflammer de potentielles vapeurs de liquides inflammables n'y soit présente ;</w:t>
      </w:r>
    </w:p>
    <w:p w14:paraId="605EB14C" w14:textId="5D4B0061" w:rsidR="002F50CD" w:rsidRPr="00AD2D6F" w:rsidRDefault="002F50CD" w:rsidP="006F21C4">
      <w:pPr>
        <w:pStyle w:val="Paragraphedeliste"/>
        <w:numPr>
          <w:ilvl w:val="0"/>
          <w:numId w:val="10"/>
        </w:numPr>
        <w:spacing w:after="0" w:line="240" w:lineRule="auto"/>
        <w:rPr>
          <w:rFonts w:eastAsia="Times New Roman" w:cs="Times New Roman"/>
          <w:szCs w:val="24"/>
          <w:lang w:eastAsia="fr-FR"/>
        </w:rPr>
      </w:pPr>
      <w:r w:rsidRPr="00AD2D6F">
        <w:rPr>
          <w:rFonts w:eastAsia="Times New Roman" w:cs="Times New Roman"/>
          <w:szCs w:val="24"/>
          <w:lang w:eastAsia="fr-FR"/>
        </w:rPr>
        <w:t>les bureaux et les locaux sociaux, à l'exception des bureaux dits de quais destinés à accueillir le personnel travaillant directement sur les stockages et les quais, sont situés dans un local clos distant d'au moins 10 mètres des cellules de liquides inflammables. Ces bureaux et locaux sociaux peuvent être situés à une distance inférieure à 10 mètres s'ils sont isolés par une paroi jusqu'en sous-face de toiture et des portes d'intercommunication munies d'un ferme-porte, qui sont REI 120.</w:t>
      </w:r>
    </w:p>
    <w:p w14:paraId="2BC4A799"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Le sol des aires et locaux de stockage est de classe A1fl.</w:t>
      </w:r>
    </w:p>
    <w:p w14:paraId="325E5D25"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Les ouvertures effectuées dans les murs séparatifs (par exemple baies, convoyeurs, passages de gaines, câbles électriques, portes et tuyauteries) sont munies de dispositifs de fermeture ou de calfeutrement assurant un degré de résistance au feu équivalent à celui exigé pour ces parois. Les fermetures sont associées à un dispositif asservi à la détection automatique d'incendie assurant leur fermeture automatique. Ce dispositif est également manœuvrable à la main, que l'incendie soit d'un côté ou de l'autre de la paroi. Les portes situées dans un mur REI 120 présentent un classement EI2 120 C et les portes satisfont à une classe de durabilité C2.</w:t>
      </w:r>
    </w:p>
    <w:p w14:paraId="69280FA2"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La toiture répond aux dispositions suivantes :</w:t>
      </w:r>
    </w:p>
    <w:p w14:paraId="40ECA6B9" w14:textId="77777777" w:rsidR="002F50CD" w:rsidRDefault="002F50CD" w:rsidP="006F21C4">
      <w:pPr>
        <w:pStyle w:val="Paragraphedeliste"/>
        <w:numPr>
          <w:ilvl w:val="0"/>
          <w:numId w:val="11"/>
        </w:numPr>
        <w:spacing w:after="0" w:line="240" w:lineRule="auto"/>
        <w:rPr>
          <w:rFonts w:eastAsia="Times New Roman" w:cs="Times New Roman"/>
          <w:szCs w:val="24"/>
          <w:lang w:eastAsia="fr-FR"/>
        </w:rPr>
      </w:pPr>
      <w:r w:rsidRPr="00AD2D6F">
        <w:rPr>
          <w:rFonts w:eastAsia="Times New Roman" w:cs="Times New Roman"/>
          <w:szCs w:val="24"/>
          <w:lang w:eastAsia="fr-FR"/>
        </w:rPr>
        <w:t>les éléments de support de couverture de toiture, hors isolant, sont réalisés en matériaux A2s1d0 ;</w:t>
      </w:r>
    </w:p>
    <w:p w14:paraId="51C4DE20" w14:textId="77777777" w:rsidR="002F50CD" w:rsidRDefault="002F50CD" w:rsidP="006F21C4">
      <w:pPr>
        <w:pStyle w:val="Paragraphedeliste"/>
        <w:numPr>
          <w:ilvl w:val="0"/>
          <w:numId w:val="11"/>
        </w:numPr>
        <w:spacing w:after="0" w:line="240" w:lineRule="auto"/>
        <w:rPr>
          <w:rFonts w:eastAsia="Times New Roman" w:cs="Times New Roman"/>
          <w:szCs w:val="24"/>
          <w:lang w:eastAsia="fr-FR"/>
        </w:rPr>
      </w:pPr>
      <w:r w:rsidRPr="00AD2D6F">
        <w:rPr>
          <w:rFonts w:eastAsia="Times New Roman" w:cs="Times New Roman"/>
          <w:szCs w:val="24"/>
          <w:lang w:eastAsia="fr-FR"/>
        </w:rPr>
        <w:t>le système de couverture de toiture satisfait la classe et l'indice BROOF (t3) ;</w:t>
      </w:r>
    </w:p>
    <w:p w14:paraId="088A4014" w14:textId="77777777" w:rsidR="002F50CD" w:rsidRPr="00AD2D6F" w:rsidRDefault="002F50CD" w:rsidP="006F21C4">
      <w:pPr>
        <w:pStyle w:val="Paragraphedeliste"/>
        <w:numPr>
          <w:ilvl w:val="0"/>
          <w:numId w:val="11"/>
        </w:numPr>
        <w:spacing w:after="0" w:line="240" w:lineRule="auto"/>
        <w:rPr>
          <w:rFonts w:eastAsia="Times New Roman" w:cs="Times New Roman"/>
          <w:szCs w:val="24"/>
          <w:lang w:eastAsia="fr-FR"/>
        </w:rPr>
      </w:pPr>
      <w:r w:rsidRPr="00AD2D6F">
        <w:rPr>
          <w:rFonts w:eastAsia="Times New Roman" w:cs="Times New Roman"/>
          <w:szCs w:val="24"/>
          <w:lang w:eastAsia="fr-FR"/>
        </w:rPr>
        <w:t>les matériaux utilisés pour l'éclairage naturel satisfont à la classe d0.</w:t>
      </w:r>
    </w:p>
    <w:p w14:paraId="3AC8F98F"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Les isolants thermiques (ou l'isolant s'il n'y en a qu'un) sont de classe A2s1d0, sauf dans le cas d'un système comprenant un ensemble support et isolants de classe Bs1d0 qui respecte l'une des conditions ci-après :</w:t>
      </w:r>
    </w:p>
    <w:p w14:paraId="4B1AC8ED" w14:textId="77777777" w:rsidR="002F50CD" w:rsidRDefault="002F50CD" w:rsidP="006F21C4">
      <w:pPr>
        <w:pStyle w:val="Paragraphedeliste"/>
        <w:numPr>
          <w:ilvl w:val="0"/>
          <w:numId w:val="12"/>
        </w:numPr>
        <w:spacing w:after="0" w:line="240" w:lineRule="auto"/>
        <w:rPr>
          <w:rFonts w:eastAsia="Times New Roman" w:cs="Times New Roman"/>
          <w:szCs w:val="24"/>
          <w:lang w:eastAsia="fr-FR"/>
        </w:rPr>
      </w:pPr>
      <w:r w:rsidRPr="00AD2D6F">
        <w:rPr>
          <w:rFonts w:eastAsia="Times New Roman" w:cs="Times New Roman"/>
          <w:szCs w:val="24"/>
          <w:lang w:eastAsia="fr-FR"/>
        </w:rPr>
        <w:t>l'isolant, unique, a un PCS inférieur ou égal à 8,4 MJ/kg ;</w:t>
      </w:r>
    </w:p>
    <w:p w14:paraId="5D9B0E1A" w14:textId="77777777" w:rsidR="002F50CD" w:rsidRDefault="002F50CD" w:rsidP="006F21C4">
      <w:pPr>
        <w:pStyle w:val="Paragraphedeliste"/>
        <w:numPr>
          <w:ilvl w:val="0"/>
          <w:numId w:val="12"/>
        </w:numPr>
        <w:spacing w:after="0" w:line="240" w:lineRule="auto"/>
        <w:rPr>
          <w:rFonts w:eastAsia="Times New Roman" w:cs="Times New Roman"/>
          <w:szCs w:val="24"/>
          <w:lang w:eastAsia="fr-FR"/>
        </w:rPr>
      </w:pPr>
      <w:r w:rsidRPr="00AD2D6F">
        <w:rPr>
          <w:rFonts w:eastAsia="Times New Roman" w:cs="Times New Roman"/>
          <w:szCs w:val="24"/>
          <w:lang w:eastAsia="fr-FR"/>
        </w:rPr>
        <w:t xml:space="preserve">l'isolation thermique est composée de plusieurs couches dont la première (en contact avec le support de couverture), d'une épaisseur d'au moins 30 millimètres, de masse volumique supérieure à 110 kg/m³ et fixée mécaniquement, a un PCS inférieur ou égal à 8,4 MJ/kg et les couches supérieures sont constituées d'isolants, justifiant, en épaisseur </w:t>
      </w:r>
      <w:r w:rsidRPr="00AD2D6F">
        <w:rPr>
          <w:rFonts w:eastAsia="Times New Roman" w:cs="Times New Roman"/>
          <w:szCs w:val="24"/>
          <w:lang w:eastAsia="fr-FR"/>
        </w:rPr>
        <w:lastRenderedPageBreak/>
        <w:t>de 60 millimètres, d'une classe Ds3d2. Ces couches supérieures sont recoupées au droit de chaque écran de cantonnement par un isolant de PCS inférieur ou égal à 8,4 MJ/kg.</w:t>
      </w:r>
    </w:p>
    <w:p w14:paraId="2078EBC4" w14:textId="77777777" w:rsidR="002F50CD" w:rsidRPr="00AD2D6F" w:rsidRDefault="002F50CD" w:rsidP="002F50CD">
      <w:pPr>
        <w:spacing w:after="0" w:line="240" w:lineRule="auto"/>
        <w:rPr>
          <w:rFonts w:eastAsia="Times New Roman" w:cs="Times New Roman"/>
          <w:szCs w:val="24"/>
          <w:lang w:eastAsia="fr-FR"/>
        </w:rPr>
      </w:pPr>
    </w:p>
    <w:p w14:paraId="46E8DB50" w14:textId="4711B906" w:rsidR="0031141B" w:rsidRDefault="002F50CD" w:rsidP="009374F3">
      <w:pPr>
        <w:pStyle w:val="Titre3"/>
        <w:rPr>
          <w:rFonts w:eastAsia="Times New Roman"/>
          <w:lang w:eastAsia="fr-FR"/>
        </w:rPr>
      </w:pPr>
      <w:r w:rsidRPr="009374F3">
        <w:rPr>
          <w:rFonts w:eastAsia="Times New Roman"/>
          <w:lang w:eastAsia="fr-FR"/>
        </w:rPr>
        <w:t xml:space="preserve">Les cellules de liquides inflammables ont une surface maximale égale à 3 500 mètres carrés. </w:t>
      </w:r>
    </w:p>
    <w:p w14:paraId="0DF40116" w14:textId="6231C89F" w:rsidR="0031141B" w:rsidRDefault="0031141B" w:rsidP="0066259D">
      <w:pPr>
        <w:rPr>
          <w:lang w:eastAsia="fr-FR"/>
        </w:rPr>
      </w:pPr>
    </w:p>
    <w:p w14:paraId="59F97C64" w14:textId="2F07DCA8" w:rsidR="002F50CD" w:rsidRPr="00967B49" w:rsidRDefault="0031141B" w:rsidP="0066259D">
      <w:pPr>
        <w:pStyle w:val="Titre3"/>
        <w:rPr>
          <w:rFonts w:eastAsia="Times New Roman"/>
          <w:lang w:eastAsia="fr-FR"/>
        </w:rPr>
      </w:pPr>
      <w:r>
        <w:rPr>
          <w:lang w:eastAsia="fr-FR"/>
        </w:rPr>
        <w:t xml:space="preserve">Les </w:t>
      </w:r>
      <w:r w:rsidRPr="0066259D">
        <w:t>cellules</w:t>
      </w:r>
      <w:r>
        <w:rPr>
          <w:lang w:eastAsia="fr-FR"/>
        </w:rPr>
        <w:t xml:space="preserve"> de liquides inflammables sont à </w:t>
      </w:r>
      <w:r w:rsidR="002F50CD" w:rsidRPr="0031141B">
        <w:rPr>
          <w:rFonts w:eastAsia="Times New Roman"/>
          <w:lang w:eastAsia="fr-FR"/>
        </w:rPr>
        <w:t xml:space="preserve"> simple rez-de-chaussée et ne comportent pas de mezzanine</w:t>
      </w:r>
      <w:r w:rsidR="002F50CD" w:rsidRPr="006D3B8A">
        <w:rPr>
          <w:rFonts w:eastAsia="Times New Roman"/>
          <w:lang w:eastAsia="fr-FR"/>
        </w:rPr>
        <w:t>.</w:t>
      </w:r>
    </w:p>
    <w:p w14:paraId="5325FF63" w14:textId="77777777" w:rsidR="002F50CD"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Le stockage de liquides inflammables au-dessous du niveau de référence est interdit.</w:t>
      </w:r>
    </w:p>
    <w:p w14:paraId="73C36ADA" w14:textId="1B2B5BCE" w:rsidR="002F50CD" w:rsidRDefault="0031141B" w:rsidP="002F50CD">
      <w:pPr>
        <w:spacing w:after="0" w:line="240" w:lineRule="auto"/>
        <w:rPr>
          <w:rFonts w:eastAsia="Times New Roman"/>
          <w:lang w:eastAsia="fr-FR"/>
        </w:rPr>
      </w:pPr>
      <w:r>
        <w:rPr>
          <w:rFonts w:eastAsia="Times New Roman"/>
          <w:lang w:eastAsia="fr-FR"/>
        </w:rPr>
        <w:t>L</w:t>
      </w:r>
      <w:r w:rsidRPr="000C6B29">
        <w:rPr>
          <w:rFonts w:eastAsia="Times New Roman"/>
          <w:lang w:eastAsia="fr-FR"/>
        </w:rPr>
        <w:t xml:space="preserve">e préfet peut autoriser </w:t>
      </w:r>
      <w:r>
        <w:rPr>
          <w:rFonts w:eastAsia="Times New Roman"/>
          <w:lang w:eastAsia="fr-FR"/>
        </w:rPr>
        <w:t xml:space="preserve">par arrêté préfectoral </w:t>
      </w:r>
      <w:r w:rsidRPr="000C6B29">
        <w:rPr>
          <w:rFonts w:eastAsia="Times New Roman"/>
          <w:lang w:eastAsia="fr-FR"/>
        </w:rPr>
        <w:t>des dispositions alternatives au regard de l'étude de dangers</w:t>
      </w:r>
      <w:r w:rsidR="006064DE">
        <w:rPr>
          <w:rFonts w:eastAsia="Times New Roman"/>
          <w:lang w:eastAsia="fr-FR"/>
        </w:rPr>
        <w:t xml:space="preserve"> et après avis des services d’incendie et de secours</w:t>
      </w:r>
      <w:r w:rsidRPr="000C6B29">
        <w:rPr>
          <w:rFonts w:eastAsia="Times New Roman"/>
          <w:lang w:eastAsia="fr-FR"/>
        </w:rPr>
        <w:t>.</w:t>
      </w:r>
    </w:p>
    <w:p w14:paraId="3B9D8349" w14:textId="77777777" w:rsidR="0031141B" w:rsidRPr="00F63890" w:rsidRDefault="0031141B" w:rsidP="002F50CD">
      <w:pPr>
        <w:spacing w:after="0" w:line="240" w:lineRule="auto"/>
        <w:rPr>
          <w:rFonts w:eastAsia="Times New Roman" w:cs="Times New Roman"/>
          <w:szCs w:val="24"/>
          <w:lang w:eastAsia="fr-FR"/>
        </w:rPr>
      </w:pPr>
    </w:p>
    <w:p w14:paraId="2AE730FF" w14:textId="77777777" w:rsidR="002F50CD" w:rsidRPr="00AD2D6F" w:rsidRDefault="002F50CD" w:rsidP="009374F3">
      <w:pPr>
        <w:pStyle w:val="Titre3"/>
        <w:rPr>
          <w:rFonts w:eastAsia="Times New Roman"/>
          <w:lang w:eastAsia="fr-FR"/>
        </w:rPr>
      </w:pPr>
      <w:r w:rsidRPr="00AD2D6F">
        <w:rPr>
          <w:rFonts w:eastAsia="Times New Roman"/>
          <w:lang w:eastAsia="fr-FR"/>
        </w:rPr>
        <w:t>Lorsque leurs dimensions le permettent, les cellules de liquides inflammables sont divisées en cantons de désenfumage d'une superficie maximale de 1 600 mètres carrés et d'une longueur maximale de 60 mètres.</w:t>
      </w:r>
    </w:p>
    <w:p w14:paraId="024F6D99" w14:textId="5E055581"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Les écrans de cantonnement sont constitués soit par des éléments de la structure (couverture, poutre et murs), soit par des écrans fixes, rigides ou flexibles, soit par des écrans mobiles asservis à la détection incendie. Ces écrans sont DH 30</w:t>
      </w:r>
      <w:r w:rsidR="000C4DE8">
        <w:rPr>
          <w:rFonts w:eastAsia="Times New Roman" w:cs="Times New Roman"/>
          <w:szCs w:val="24"/>
          <w:lang w:eastAsia="fr-FR"/>
        </w:rPr>
        <w:t>, en référence aux normes en vigueur</w:t>
      </w:r>
      <w:r w:rsidRPr="00F63890">
        <w:rPr>
          <w:rFonts w:eastAsia="Times New Roman" w:cs="Times New Roman"/>
          <w:szCs w:val="24"/>
          <w:lang w:eastAsia="fr-FR"/>
        </w:rPr>
        <w:t>.</w:t>
      </w:r>
    </w:p>
    <w:p w14:paraId="3C2C3A95" w14:textId="36DA23B2" w:rsidR="002F50CD"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Chaque écran de cantonnement a une hauteur minimale de 1 mètre.</w:t>
      </w:r>
      <w:r w:rsidR="00136696">
        <w:rPr>
          <w:rFonts w:eastAsia="Times New Roman" w:cs="Times New Roman"/>
          <w:szCs w:val="24"/>
          <w:lang w:eastAsia="fr-FR"/>
        </w:rPr>
        <w:t xml:space="preserve">, </w:t>
      </w:r>
      <w:r w:rsidR="00136696">
        <w:rPr>
          <w:rFonts w:eastAsia="Times New Roman" w:cs="Times New Roman"/>
          <w:iCs/>
          <w:szCs w:val="24"/>
          <w:lang w:eastAsia="fr-FR"/>
        </w:rPr>
        <w:t>sans préjudice des dispositions applicables par ailleurs au titre des articles R. 4216-13 et suivants du code du travail</w:t>
      </w:r>
      <w:r w:rsidR="00136696">
        <w:rPr>
          <w:rFonts w:eastAsia="Times New Roman" w:cs="Times New Roman"/>
          <w:szCs w:val="24"/>
          <w:lang w:eastAsia="fr-FR"/>
        </w:rPr>
        <w:t xml:space="preserve">. </w:t>
      </w:r>
      <w:r w:rsidRPr="00F63890">
        <w:rPr>
          <w:rFonts w:eastAsia="Times New Roman" w:cs="Times New Roman"/>
          <w:szCs w:val="24"/>
          <w:lang w:eastAsia="fr-FR"/>
        </w:rPr>
        <w:t xml:space="preserve"> La distance entre le point bas de l'écran et le point le plus près du stockage est supérieure ou égale à 1 mètre. La différence de hauteur entre le point le plus haut du stockage et le point le plus bas de l'écran de cantonnement est supérieure ou égale à 0,5 mètre.</w:t>
      </w:r>
    </w:p>
    <w:p w14:paraId="699835A2" w14:textId="1EC462B7" w:rsidR="00035CFF" w:rsidRDefault="00AF713C" w:rsidP="002F50CD">
      <w:pPr>
        <w:spacing w:after="0" w:line="240" w:lineRule="auto"/>
        <w:rPr>
          <w:rFonts w:eastAsia="Times New Roman" w:cs="Times New Roman"/>
          <w:szCs w:val="24"/>
          <w:lang w:eastAsia="fr-FR"/>
        </w:rPr>
      </w:pPr>
      <w:r>
        <w:t xml:space="preserve">Les dispositions du </w:t>
      </w:r>
      <w:r w:rsidR="002A4566">
        <w:t xml:space="preserve">présent </w:t>
      </w:r>
      <w:r w:rsidRPr="00FA3B7D">
        <w:rPr>
          <w:highlight w:val="yellow"/>
        </w:rPr>
        <w:t>point</w:t>
      </w:r>
      <w:r>
        <w:t xml:space="preserve"> ne s'appliquent pas pour un </w:t>
      </w:r>
      <w:r w:rsidR="00497AED">
        <w:t xml:space="preserve">stockage couvert </w:t>
      </w:r>
      <w:r>
        <w:t>ouvert.</w:t>
      </w:r>
    </w:p>
    <w:p w14:paraId="07D04239" w14:textId="77777777" w:rsidR="002F50CD" w:rsidRPr="00F63890" w:rsidRDefault="002F50CD" w:rsidP="002F50CD">
      <w:pPr>
        <w:spacing w:after="0" w:line="240" w:lineRule="auto"/>
        <w:rPr>
          <w:rFonts w:eastAsia="Times New Roman" w:cs="Times New Roman"/>
          <w:szCs w:val="24"/>
          <w:lang w:eastAsia="fr-FR"/>
        </w:rPr>
      </w:pPr>
    </w:p>
    <w:p w14:paraId="5B8931E3" w14:textId="77777777" w:rsidR="002F50CD" w:rsidRPr="009374F3" w:rsidRDefault="002F50CD" w:rsidP="009374F3">
      <w:pPr>
        <w:pStyle w:val="Titre3"/>
        <w:rPr>
          <w:rFonts w:eastAsia="Times New Roman"/>
          <w:lang w:eastAsia="fr-FR"/>
        </w:rPr>
      </w:pPr>
      <w:r w:rsidRPr="009374F3">
        <w:rPr>
          <w:rFonts w:eastAsia="Times New Roman"/>
          <w:lang w:eastAsia="fr-FR"/>
        </w:rPr>
        <w:t>Les cantons de désenfumage sont équipés en partie haute de dispositifs d'évacuation naturelle des fumées et des chaleurs (DENFC).</w:t>
      </w:r>
    </w:p>
    <w:p w14:paraId="394BBF9C"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Un DENFC de superficie utile comprise entre 0,5 et 6 mètres carrés est prévu pour 250 mètres carrés de superficie projetée de toiture.</w:t>
      </w:r>
    </w:p>
    <w:p w14:paraId="2A029DF6"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Les DENFC ne sont pas implantés sur la toiture à moins de 7 mètres des murs coupe-feu séparant les cellules de stockage.</w:t>
      </w:r>
    </w:p>
    <w:p w14:paraId="4172BB7C"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Les dispositifs d'évacuation des fumées sont composés d'exutoires à commande manuelle et automatique. La surface utile de l'ensemble de ces exutoires n'est pas inférieure à 2 % de la superficie de chaque canton de désenfumage.</w:t>
      </w:r>
    </w:p>
    <w:p w14:paraId="698F6B12"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L'action d'une commande de mise en sécurité ne peut pas être inversée par une autre commande.</w:t>
      </w:r>
    </w:p>
    <w:p w14:paraId="3E0B8860" w14:textId="6A1BA38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 xml:space="preserve">En exploitation normale, le réarmement (fermeture) est possible depuis le sol du </w:t>
      </w:r>
      <w:r w:rsidR="00497AED">
        <w:rPr>
          <w:rFonts w:eastAsia="Times New Roman" w:cs="Times New Roman"/>
          <w:szCs w:val="24"/>
          <w:lang w:eastAsia="fr-FR"/>
        </w:rPr>
        <w:t>stockage couvert</w:t>
      </w:r>
      <w:r w:rsidRPr="00F63890">
        <w:rPr>
          <w:rFonts w:eastAsia="Times New Roman" w:cs="Times New Roman"/>
          <w:szCs w:val="24"/>
          <w:lang w:eastAsia="fr-FR"/>
        </w:rPr>
        <w:t xml:space="preserve">, depuis la zone de désenfumage ou depuis la cellule à désenfumer dans le cas d'un </w:t>
      </w:r>
      <w:r w:rsidR="00497AED">
        <w:rPr>
          <w:rFonts w:eastAsia="Times New Roman" w:cs="Times New Roman"/>
          <w:szCs w:val="24"/>
          <w:lang w:eastAsia="fr-FR"/>
        </w:rPr>
        <w:t xml:space="preserve">stockage couvert </w:t>
      </w:r>
      <w:r w:rsidRPr="00F63890">
        <w:rPr>
          <w:rFonts w:eastAsia="Times New Roman" w:cs="Times New Roman"/>
          <w:szCs w:val="24"/>
          <w:lang w:eastAsia="fr-FR"/>
        </w:rPr>
        <w:t>divisé en plusieurs cantons ou cellules.</w:t>
      </w:r>
    </w:p>
    <w:p w14:paraId="5B7BA7DC" w14:textId="3AB41EFC"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 xml:space="preserve">Les commandes manuelles des DENFC sont facilement accessibles depuis les issues du bâtiment ou des cellules de liquides inflammables. Ces commandes d'ouverture manuelle sont installées conformément </w:t>
      </w:r>
      <w:r w:rsidR="000C4DE8">
        <w:rPr>
          <w:rFonts w:eastAsia="Times New Roman" w:cs="Times New Roman"/>
          <w:szCs w:val="24"/>
          <w:lang w:eastAsia="fr-FR"/>
        </w:rPr>
        <w:t>aux normes en vigueur.</w:t>
      </w:r>
    </w:p>
    <w:p w14:paraId="31E38CB9" w14:textId="53249DF2"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 xml:space="preserve">Les DENFC, en référence </w:t>
      </w:r>
      <w:r w:rsidR="000C4DE8">
        <w:rPr>
          <w:rFonts w:eastAsia="Times New Roman" w:cs="Times New Roman"/>
          <w:szCs w:val="24"/>
          <w:lang w:eastAsia="fr-FR"/>
        </w:rPr>
        <w:t>aux normes en vigueur,</w:t>
      </w:r>
      <w:r w:rsidRPr="00F63890">
        <w:rPr>
          <w:rFonts w:eastAsia="Times New Roman" w:cs="Times New Roman"/>
          <w:szCs w:val="24"/>
          <w:lang w:eastAsia="fr-FR"/>
        </w:rPr>
        <w:t xml:space="preserve"> présentent les caractéristiques suivantes :</w:t>
      </w:r>
    </w:p>
    <w:p w14:paraId="019A5AF8" w14:textId="77777777" w:rsidR="002F50CD" w:rsidRDefault="002F50CD" w:rsidP="006F21C4">
      <w:pPr>
        <w:pStyle w:val="Paragraphedeliste"/>
        <w:numPr>
          <w:ilvl w:val="0"/>
          <w:numId w:val="13"/>
        </w:numPr>
        <w:spacing w:after="0" w:line="240" w:lineRule="auto"/>
        <w:rPr>
          <w:rFonts w:eastAsia="Times New Roman" w:cs="Times New Roman"/>
          <w:szCs w:val="24"/>
          <w:lang w:eastAsia="fr-FR"/>
        </w:rPr>
      </w:pPr>
      <w:r w:rsidRPr="00AD2D6F">
        <w:rPr>
          <w:rFonts w:eastAsia="Times New Roman" w:cs="Times New Roman"/>
          <w:szCs w:val="24"/>
          <w:lang w:eastAsia="fr-FR"/>
        </w:rPr>
        <w:t>système d'ouverture de type B (ouverture + fermeture) ;</w:t>
      </w:r>
    </w:p>
    <w:p w14:paraId="19A093B1" w14:textId="77777777" w:rsidR="002F50CD" w:rsidRDefault="002F50CD" w:rsidP="006F21C4">
      <w:pPr>
        <w:pStyle w:val="Paragraphedeliste"/>
        <w:numPr>
          <w:ilvl w:val="0"/>
          <w:numId w:val="13"/>
        </w:numPr>
        <w:spacing w:after="0" w:line="240" w:lineRule="auto"/>
        <w:rPr>
          <w:rFonts w:eastAsia="Times New Roman" w:cs="Times New Roman"/>
          <w:szCs w:val="24"/>
          <w:lang w:eastAsia="fr-FR"/>
        </w:rPr>
      </w:pPr>
      <w:r w:rsidRPr="00AD2D6F">
        <w:rPr>
          <w:rFonts w:eastAsia="Times New Roman" w:cs="Times New Roman"/>
          <w:szCs w:val="24"/>
          <w:lang w:eastAsia="fr-FR"/>
        </w:rPr>
        <w:t>fiabilité : classe RE 300 (300 cycles de mise en sécurité) ;</w:t>
      </w:r>
    </w:p>
    <w:p w14:paraId="404EBE99" w14:textId="77777777" w:rsidR="002F50CD" w:rsidRDefault="002F50CD" w:rsidP="006F21C4">
      <w:pPr>
        <w:pStyle w:val="Paragraphedeliste"/>
        <w:numPr>
          <w:ilvl w:val="0"/>
          <w:numId w:val="13"/>
        </w:numPr>
        <w:spacing w:after="0" w:line="240" w:lineRule="auto"/>
        <w:rPr>
          <w:rFonts w:eastAsia="Times New Roman" w:cs="Times New Roman"/>
          <w:szCs w:val="24"/>
          <w:lang w:eastAsia="fr-FR"/>
        </w:rPr>
      </w:pPr>
      <w:r w:rsidRPr="00AD2D6F">
        <w:rPr>
          <w:rFonts w:eastAsia="Times New Roman" w:cs="Times New Roman"/>
          <w:szCs w:val="24"/>
          <w:lang w:eastAsia="fr-FR"/>
        </w:rPr>
        <w:t xml:space="preserve">classification de la surcharge neige à l'ouverture : SL 250 (25 daN/m²) pour des altitudes inférieures ou égales à 400 mètres et SL 500 (50 daN/m²) pour des altitudes comprises entre 400 et 800 mètres. La classe SL 0 est utilisable si la région d'implantation n'est pas susceptible d'être enneigée ou si des dispositions constructives empêchent </w:t>
      </w:r>
      <w:r w:rsidRPr="00AD2D6F">
        <w:rPr>
          <w:rFonts w:eastAsia="Times New Roman" w:cs="Times New Roman"/>
          <w:szCs w:val="24"/>
          <w:lang w:eastAsia="fr-FR"/>
        </w:rPr>
        <w:lastRenderedPageBreak/>
        <w:t>l'accumulation de la neige. Au-dessus de 800 mètres, les exutoires sont de la classe SL 500 et installés avec des dispositions constructives empêchant l'accumulation de la neige ;</w:t>
      </w:r>
    </w:p>
    <w:p w14:paraId="27F2DBFF" w14:textId="77777777" w:rsidR="002F50CD" w:rsidRDefault="002F50CD" w:rsidP="006F21C4">
      <w:pPr>
        <w:pStyle w:val="Paragraphedeliste"/>
        <w:numPr>
          <w:ilvl w:val="0"/>
          <w:numId w:val="13"/>
        </w:numPr>
        <w:spacing w:after="0" w:line="240" w:lineRule="auto"/>
        <w:rPr>
          <w:rFonts w:eastAsia="Times New Roman" w:cs="Times New Roman"/>
          <w:szCs w:val="24"/>
          <w:lang w:eastAsia="fr-FR"/>
        </w:rPr>
      </w:pPr>
      <w:r w:rsidRPr="00AD2D6F">
        <w:rPr>
          <w:rFonts w:eastAsia="Times New Roman" w:cs="Times New Roman"/>
          <w:szCs w:val="24"/>
          <w:lang w:eastAsia="fr-FR"/>
        </w:rPr>
        <w:t>classe de température ambiante T(00) ;</w:t>
      </w:r>
    </w:p>
    <w:p w14:paraId="2AEE90B7" w14:textId="77777777" w:rsidR="002F50CD" w:rsidRPr="00AD2D6F" w:rsidRDefault="002F50CD" w:rsidP="006F21C4">
      <w:pPr>
        <w:pStyle w:val="Paragraphedeliste"/>
        <w:numPr>
          <w:ilvl w:val="0"/>
          <w:numId w:val="13"/>
        </w:numPr>
        <w:spacing w:after="0" w:line="240" w:lineRule="auto"/>
        <w:rPr>
          <w:rFonts w:eastAsia="Times New Roman" w:cs="Times New Roman"/>
          <w:szCs w:val="24"/>
          <w:lang w:eastAsia="fr-FR"/>
        </w:rPr>
      </w:pPr>
      <w:r w:rsidRPr="00AD2D6F">
        <w:rPr>
          <w:rFonts w:eastAsia="Times New Roman" w:cs="Times New Roman"/>
          <w:szCs w:val="24"/>
          <w:lang w:eastAsia="fr-FR"/>
        </w:rPr>
        <w:t>classe d'exposition à la chaleur B 300.</w:t>
      </w:r>
    </w:p>
    <w:p w14:paraId="1D329679" w14:textId="57A1BBE0"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 xml:space="preserve">Le déclenchement du désenfumage n'est pas asservi à la même détection que celle à laquelle est asservi le système d'extinction automatique </w:t>
      </w:r>
      <w:r w:rsidR="000A4398">
        <w:rPr>
          <w:rFonts w:eastAsia="Times New Roman" w:cs="Times New Roman"/>
          <w:szCs w:val="24"/>
          <w:highlight w:val="yellow"/>
          <w:lang w:eastAsia="fr-FR"/>
        </w:rPr>
        <w:t>visé à l’article VI-4</w:t>
      </w:r>
      <w:r w:rsidRPr="00F63890">
        <w:rPr>
          <w:rFonts w:eastAsia="Times New Roman" w:cs="Times New Roman"/>
          <w:szCs w:val="24"/>
          <w:lang w:eastAsia="fr-FR"/>
        </w:rPr>
        <w:t xml:space="preserve"> du présent arrêté.</w:t>
      </w:r>
    </w:p>
    <w:p w14:paraId="38C35934"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Les dispositifs d'ouverture automatique des exutoires sont réglés de telle façon que l'ouverture des organes de désenfumage ne puisse se produire avant le déclenchement de l'extinction automatique.</w:t>
      </w:r>
    </w:p>
    <w:p w14:paraId="447CB399" w14:textId="77777777" w:rsidR="00C71DD3" w:rsidRDefault="00C71DD3" w:rsidP="002F50CD">
      <w:pPr>
        <w:spacing w:after="0" w:line="240" w:lineRule="auto"/>
      </w:pPr>
    </w:p>
    <w:p w14:paraId="3941F10A" w14:textId="6BE21518" w:rsidR="002F50CD" w:rsidRDefault="00035CFF" w:rsidP="002F50CD">
      <w:pPr>
        <w:spacing w:after="0" w:line="240" w:lineRule="auto"/>
      </w:pPr>
      <w:r>
        <w:t>Les dispositions d</w:t>
      </w:r>
      <w:r w:rsidR="00AF713C">
        <w:t xml:space="preserve">u </w:t>
      </w:r>
      <w:r w:rsidR="002A4566">
        <w:t xml:space="preserve">présent </w:t>
      </w:r>
      <w:r w:rsidR="00AF713C">
        <w:t>point</w:t>
      </w:r>
      <w:r w:rsidR="00C71DD3" w:rsidRPr="00FA3B7D">
        <w:rPr>
          <w:highlight w:val="yellow"/>
        </w:rPr>
        <w:t xml:space="preserve"> IV</w:t>
      </w:r>
      <w:r>
        <w:t xml:space="preserve"> ne s'appliquent pas pour un </w:t>
      </w:r>
      <w:r w:rsidR="00497AED">
        <w:t xml:space="preserve">stockage couvert </w:t>
      </w:r>
      <w:r>
        <w:t>ouvert.</w:t>
      </w:r>
    </w:p>
    <w:p w14:paraId="5B9B0B0C" w14:textId="77777777" w:rsidR="00035CFF" w:rsidRDefault="00035CFF" w:rsidP="002F50CD">
      <w:pPr>
        <w:spacing w:after="0" w:line="240" w:lineRule="auto"/>
        <w:rPr>
          <w:rFonts w:eastAsia="Times New Roman" w:cs="Times New Roman"/>
          <w:szCs w:val="24"/>
          <w:lang w:eastAsia="fr-FR"/>
        </w:rPr>
      </w:pPr>
    </w:p>
    <w:p w14:paraId="31C8DB9C" w14:textId="5A553987" w:rsidR="002F50CD" w:rsidRPr="000C6B29" w:rsidRDefault="002F50CD" w:rsidP="000C6B29">
      <w:pPr>
        <w:pStyle w:val="Titre3"/>
        <w:rPr>
          <w:rFonts w:eastAsia="Times New Roman"/>
          <w:lang w:eastAsia="fr-FR"/>
        </w:rPr>
      </w:pPr>
      <w:r w:rsidRPr="000C6B29">
        <w:rPr>
          <w:rFonts w:eastAsia="Times New Roman"/>
          <w:lang w:eastAsia="fr-FR"/>
        </w:rPr>
        <w:t>Des amenées d'air frais d'une superficie égale à la surface</w:t>
      </w:r>
      <w:r w:rsidR="0047455C">
        <w:rPr>
          <w:rFonts w:eastAsia="Times New Roman"/>
          <w:lang w:eastAsia="fr-FR"/>
        </w:rPr>
        <w:t xml:space="preserve"> utile</w:t>
      </w:r>
      <w:r w:rsidRPr="000C6B29">
        <w:rPr>
          <w:rFonts w:eastAsia="Times New Roman"/>
          <w:lang w:eastAsia="fr-FR"/>
        </w:rPr>
        <w:t xml:space="preserve"> des exutoires du plus grand canton, cellule par cellule, sont réalisées soit par des ouvrants en façade, soit par des bouches raccordées à des conduits, soit par les portes des cellules à désenfumer donnant sur l'extérieur.</w:t>
      </w:r>
    </w:p>
    <w:p w14:paraId="3C99357B" w14:textId="77777777" w:rsidR="002F50CD" w:rsidRDefault="002F50CD" w:rsidP="002F50CD">
      <w:pPr>
        <w:spacing w:after="0" w:line="240" w:lineRule="auto"/>
        <w:rPr>
          <w:rFonts w:eastAsia="Times New Roman" w:cs="Times New Roman"/>
          <w:szCs w:val="24"/>
          <w:lang w:eastAsia="fr-FR"/>
        </w:rPr>
      </w:pPr>
    </w:p>
    <w:p w14:paraId="5CA585BD" w14:textId="76ECBBB6" w:rsidR="002F50CD" w:rsidRPr="000C6B29" w:rsidRDefault="002F50CD" w:rsidP="000C6B29">
      <w:pPr>
        <w:pStyle w:val="Titre3"/>
        <w:rPr>
          <w:rFonts w:eastAsia="Times New Roman"/>
          <w:lang w:eastAsia="fr-FR"/>
        </w:rPr>
      </w:pPr>
      <w:r w:rsidRPr="000C6B29">
        <w:rPr>
          <w:rFonts w:eastAsia="Times New Roman"/>
          <w:lang w:eastAsia="fr-FR"/>
        </w:rPr>
        <w:t xml:space="preserve">Les installations ne comprennent pas, ne surmontent pas, ni ne sont surmontées de locaux habités ou occupés par des tiers. Pour les extensions ou modifications d'installations existantes, le préfet peut autoriser </w:t>
      </w:r>
      <w:r w:rsidR="00DF4101">
        <w:rPr>
          <w:rFonts w:eastAsia="Times New Roman"/>
          <w:lang w:eastAsia="fr-FR"/>
        </w:rPr>
        <w:t xml:space="preserve">par arrêté préfectoral </w:t>
      </w:r>
      <w:r w:rsidRPr="000C6B29">
        <w:rPr>
          <w:rFonts w:eastAsia="Times New Roman"/>
          <w:lang w:eastAsia="fr-FR"/>
        </w:rPr>
        <w:t>des dispositions alternatives au regard de l'étude de dangers.</w:t>
      </w:r>
    </w:p>
    <w:p w14:paraId="731C0230" w14:textId="77777777" w:rsidR="00697EF4" w:rsidRDefault="00697EF4" w:rsidP="002F50CD">
      <w:pPr>
        <w:spacing w:after="0" w:line="240" w:lineRule="auto"/>
        <w:rPr>
          <w:rFonts w:eastAsia="Times New Roman" w:cs="Times New Roman"/>
          <w:b/>
          <w:szCs w:val="24"/>
          <w:u w:val="single"/>
          <w:lang w:eastAsia="fr-FR"/>
        </w:rPr>
      </w:pPr>
    </w:p>
    <w:p w14:paraId="27D73912" w14:textId="5CE07D5A" w:rsidR="00697EF4" w:rsidRDefault="003C4993" w:rsidP="003C4993">
      <w:pPr>
        <w:pStyle w:val="Titre2"/>
      </w:pPr>
      <w:r>
        <w:t>Détection incendie</w:t>
      </w:r>
    </w:p>
    <w:p w14:paraId="2248F682" w14:textId="776645B2" w:rsidR="00697EF4" w:rsidRPr="006E18F5" w:rsidRDefault="00697EF4" w:rsidP="00CE3370">
      <w:pPr>
        <w:rPr>
          <w:lang w:eastAsia="fr-FR"/>
        </w:rPr>
      </w:pPr>
      <w:r w:rsidRPr="006E18F5">
        <w:rPr>
          <w:lang w:eastAsia="fr-FR"/>
        </w:rPr>
        <w:t xml:space="preserve">Un dispositif de détection automatique d'incendie avec transmission, en tout temps, de l'alarme à l'exploitant est mis en place dans les cellules de liquides inflammables, les locaux techniques et les bureaux à proximité des stockages de liquides inflammables. Ce dispositif actionne une alarme perceptible en tout point du </w:t>
      </w:r>
      <w:r w:rsidR="00497AED">
        <w:rPr>
          <w:lang w:eastAsia="fr-FR"/>
        </w:rPr>
        <w:t>stockage couvert</w:t>
      </w:r>
      <w:r w:rsidR="00497AED" w:rsidRPr="006E18F5">
        <w:rPr>
          <w:lang w:eastAsia="fr-FR"/>
        </w:rPr>
        <w:t xml:space="preserve"> </w:t>
      </w:r>
      <w:r w:rsidRPr="006E18F5">
        <w:rPr>
          <w:lang w:eastAsia="fr-FR"/>
        </w:rPr>
        <w:t>et le compartimentage de la ou des cellules sinistrées dans le cas d'un système centralisé. En l'absence de système centralisé, le compartimentage est actionné par un système indépendant de type détecteur autonome déclencheur.</w:t>
      </w:r>
    </w:p>
    <w:p w14:paraId="6425A1C1" w14:textId="65A50919" w:rsidR="00697EF4" w:rsidRDefault="00697EF4" w:rsidP="00697EF4">
      <w:pPr>
        <w:spacing w:after="0" w:line="240" w:lineRule="auto"/>
        <w:rPr>
          <w:rFonts w:eastAsia="Times New Roman" w:cs="Times New Roman"/>
          <w:szCs w:val="24"/>
          <w:lang w:eastAsia="fr-FR"/>
        </w:rPr>
      </w:pPr>
      <w:r w:rsidRPr="00F63890">
        <w:rPr>
          <w:rFonts w:eastAsia="Times New Roman" w:cs="Times New Roman"/>
          <w:szCs w:val="24"/>
          <w:lang w:eastAsia="fr-FR"/>
        </w:rPr>
        <w:t>Pour chaque cellule de liquides inflammables, le dispositif de détection est distinct du système d'extinction automatique</w:t>
      </w:r>
      <w:r w:rsidR="0047455C">
        <w:rPr>
          <w:rFonts w:eastAsia="Times New Roman" w:cs="Times New Roman"/>
          <w:szCs w:val="24"/>
          <w:lang w:eastAsia="fr-FR"/>
        </w:rPr>
        <w:t>.</w:t>
      </w:r>
    </w:p>
    <w:p w14:paraId="337375CE" w14:textId="77777777" w:rsidR="00620A4C" w:rsidRPr="00F63890" w:rsidRDefault="00620A4C" w:rsidP="00697EF4">
      <w:pPr>
        <w:spacing w:after="0" w:line="240" w:lineRule="auto"/>
        <w:rPr>
          <w:rFonts w:eastAsia="Times New Roman" w:cs="Times New Roman"/>
          <w:szCs w:val="24"/>
          <w:lang w:eastAsia="fr-FR"/>
        </w:rPr>
      </w:pPr>
    </w:p>
    <w:p w14:paraId="426D018B" w14:textId="4F24D7AE" w:rsidR="002F50CD" w:rsidRPr="00681483" w:rsidRDefault="003C4993" w:rsidP="003C4993">
      <w:pPr>
        <w:pStyle w:val="Titre2"/>
      </w:pPr>
      <w:r>
        <w:t>Installation électrique / chauffage</w:t>
      </w:r>
    </w:p>
    <w:p w14:paraId="6DD2E70B" w14:textId="77777777" w:rsidR="002F50CD" w:rsidRPr="00AE3310" w:rsidRDefault="002F50CD" w:rsidP="00AE3310">
      <w:pPr>
        <w:pStyle w:val="Titre3"/>
        <w:rPr>
          <w:rFonts w:eastAsia="Times New Roman" w:cs="Times New Roman"/>
          <w:lang w:eastAsia="fr-FR"/>
        </w:rPr>
      </w:pPr>
      <w:r w:rsidRPr="00AE3310">
        <w:rPr>
          <w:rFonts w:eastAsia="Times New Roman" w:cs="Times New Roman"/>
          <w:lang w:eastAsia="fr-FR"/>
        </w:rPr>
        <w:t>Dans le cas d'un éclairage artificiel, seul l'éclairage électrique est autorisé.</w:t>
      </w:r>
    </w:p>
    <w:p w14:paraId="4EF66FDB" w14:textId="57EDA9A8"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 xml:space="preserve">Si l'éclairage met en œuvre des lampes à vapeur de sodium ou de mercure, l'exploitant prend les dispositions nécessaires pour qu'en cas d'éclatement de l'ampoule, tous les éléments soient confinés dans l'appareil. </w:t>
      </w:r>
    </w:p>
    <w:p w14:paraId="5F2DFCE6"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Les gainages électriques et autres canalisations ne sont pas une cause possible d'inflammation ou à l'origine d'un courant de fuite et sont convenablement protégés contre les chocs, contre la propagation des flammes et contre l'action des produits présents dans la partie de l'installation en cause.</w:t>
      </w:r>
    </w:p>
    <w:p w14:paraId="024BE351"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lastRenderedPageBreak/>
        <w:t>Dans chaque cellule de liquides inflammables, à proximité d'au moins une issue, est installé un interrupteur central, bien signalé, permettant de couper l'alimentation électrique générale ou de la cellule de liquides inflammables.</w:t>
      </w:r>
    </w:p>
    <w:p w14:paraId="345C5326" w14:textId="094B0B5F" w:rsidR="002F50CD"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Lorsqu'ils sont accolés ou à l'intérieur de</w:t>
      </w:r>
      <w:r w:rsidR="0086153D">
        <w:rPr>
          <w:rFonts w:eastAsia="Times New Roman" w:cs="Times New Roman"/>
          <w:szCs w:val="24"/>
          <w:lang w:eastAsia="fr-FR"/>
        </w:rPr>
        <w:t xml:space="preserve">s </w:t>
      </w:r>
      <w:r w:rsidR="00497AED">
        <w:rPr>
          <w:rFonts w:eastAsia="Times New Roman" w:cs="Times New Roman"/>
          <w:szCs w:val="24"/>
          <w:lang w:eastAsia="fr-FR"/>
        </w:rPr>
        <w:t xml:space="preserve">stockages couverts </w:t>
      </w:r>
      <w:r w:rsidR="00136696">
        <w:rPr>
          <w:rFonts w:eastAsia="Times New Roman" w:cs="Times New Roman"/>
          <w:szCs w:val="24"/>
          <w:lang w:eastAsia="fr-FR"/>
        </w:rPr>
        <w:t xml:space="preserve">dans lesquels </w:t>
      </w:r>
      <w:r w:rsidR="0086153D">
        <w:rPr>
          <w:rFonts w:eastAsia="Times New Roman" w:cs="Times New Roman"/>
          <w:szCs w:val="24"/>
          <w:lang w:eastAsia="fr-FR"/>
        </w:rPr>
        <w:t>sont susceptibles d’être présent des liquides inflammables</w:t>
      </w:r>
      <w:r w:rsidRPr="00F63890">
        <w:rPr>
          <w:rFonts w:eastAsia="Times New Roman" w:cs="Times New Roman"/>
          <w:szCs w:val="24"/>
          <w:lang w:eastAsia="fr-FR"/>
        </w:rPr>
        <w:t xml:space="preserve">, les transformateurs de courant électrique de puissance sont situés dans des locaux clos, largement ventilés par un dispositif dont les conduites ne communiquent pas avec les cellules de stockage et isolés de ces cellules par des parois répondant aux exigences du </w:t>
      </w:r>
      <w:r w:rsidRPr="00FA3B7D">
        <w:rPr>
          <w:rFonts w:eastAsia="Times New Roman" w:cs="Times New Roman"/>
          <w:szCs w:val="24"/>
          <w:highlight w:val="yellow"/>
          <w:lang w:eastAsia="fr-FR"/>
        </w:rPr>
        <w:t>sep</w:t>
      </w:r>
      <w:r w:rsidR="000A4398" w:rsidRPr="00FA3B7D">
        <w:rPr>
          <w:rFonts w:eastAsia="Times New Roman" w:cs="Times New Roman"/>
          <w:szCs w:val="24"/>
          <w:highlight w:val="yellow"/>
          <w:lang w:eastAsia="fr-FR"/>
        </w:rPr>
        <w:t>tiè</w:t>
      </w:r>
      <w:r w:rsidR="00D9335D" w:rsidRPr="00FA3B7D">
        <w:rPr>
          <w:rFonts w:eastAsia="Times New Roman" w:cs="Times New Roman"/>
          <w:szCs w:val="24"/>
          <w:highlight w:val="yellow"/>
          <w:lang w:eastAsia="fr-FR"/>
        </w:rPr>
        <w:t>me alinéa du I de l'article III-</w:t>
      </w:r>
      <w:r w:rsidR="00780B9C" w:rsidRPr="00FA3B7D">
        <w:rPr>
          <w:rFonts w:eastAsia="Times New Roman" w:cs="Times New Roman"/>
          <w:szCs w:val="24"/>
          <w:highlight w:val="yellow"/>
          <w:lang w:eastAsia="fr-FR"/>
        </w:rPr>
        <w:t>3</w:t>
      </w:r>
      <w:r w:rsidR="000A4398">
        <w:rPr>
          <w:rFonts w:eastAsia="Times New Roman" w:cs="Times New Roman"/>
          <w:szCs w:val="24"/>
          <w:lang w:eastAsia="fr-FR"/>
        </w:rPr>
        <w:t xml:space="preserve"> </w:t>
      </w:r>
      <w:r w:rsidRPr="00F63890">
        <w:rPr>
          <w:rFonts w:eastAsia="Times New Roman" w:cs="Times New Roman"/>
          <w:szCs w:val="24"/>
          <w:lang w:eastAsia="fr-FR"/>
        </w:rPr>
        <w:t xml:space="preserve">du présent arrêté et des portes EI2 120 C. </w:t>
      </w:r>
    </w:p>
    <w:p w14:paraId="5DBCAD78" w14:textId="77777777" w:rsidR="00342D96" w:rsidRPr="00F63890" w:rsidRDefault="00342D96" w:rsidP="002F50CD">
      <w:pPr>
        <w:spacing w:after="0" w:line="240" w:lineRule="auto"/>
        <w:rPr>
          <w:rFonts w:eastAsia="Times New Roman" w:cs="Times New Roman"/>
          <w:szCs w:val="24"/>
          <w:lang w:eastAsia="fr-FR"/>
        </w:rPr>
      </w:pPr>
    </w:p>
    <w:p w14:paraId="54EE9F8A" w14:textId="69724C06" w:rsidR="002F50CD" w:rsidRPr="00F63890" w:rsidRDefault="002F50CD" w:rsidP="000C6B29">
      <w:pPr>
        <w:pStyle w:val="Titre3"/>
        <w:rPr>
          <w:rFonts w:eastAsia="Times New Roman"/>
          <w:lang w:eastAsia="fr-FR"/>
        </w:rPr>
      </w:pPr>
      <w:r w:rsidRPr="00F63890">
        <w:rPr>
          <w:rFonts w:eastAsia="Times New Roman"/>
          <w:lang w:eastAsia="fr-FR"/>
        </w:rPr>
        <w:t>Le chauffage artific</w:t>
      </w:r>
      <w:r w:rsidR="000A4398">
        <w:rPr>
          <w:rFonts w:eastAsia="Times New Roman"/>
          <w:lang w:eastAsia="fr-FR"/>
        </w:rPr>
        <w:t xml:space="preserve">iel des </w:t>
      </w:r>
      <w:r w:rsidR="00497AED">
        <w:rPr>
          <w:rFonts w:eastAsia="Times New Roman"/>
          <w:lang w:eastAsia="fr-FR"/>
        </w:rPr>
        <w:t>stockages couverts</w:t>
      </w:r>
      <w:r w:rsidR="00497AED" w:rsidRPr="00F63890">
        <w:rPr>
          <w:rFonts w:eastAsia="Times New Roman"/>
          <w:lang w:eastAsia="fr-FR"/>
        </w:rPr>
        <w:t xml:space="preserve"> </w:t>
      </w:r>
      <w:r w:rsidRPr="00F63890">
        <w:rPr>
          <w:rFonts w:eastAsia="Times New Roman"/>
          <w:lang w:eastAsia="fr-FR"/>
        </w:rPr>
        <w:t>ne peut être réalisé que par eau chaude, vapeur produite par un générateur thermique, air chaud pulsé ou un autre système présentant un degré de sécurité équivalent.</w:t>
      </w:r>
      <w:r w:rsidR="00136696">
        <w:rPr>
          <w:rFonts w:eastAsia="Times New Roman"/>
          <w:lang w:eastAsia="fr-FR"/>
        </w:rPr>
        <w:t xml:space="preserve"> </w:t>
      </w:r>
      <w:r w:rsidR="00136696">
        <w:t xml:space="preserve">Le préfet peut autoriser la mise en place de systèmes de chauffage par aérothermes à gaz sous réserve de la démonstration des mesures de sécurité mises en place </w:t>
      </w:r>
    </w:p>
    <w:p w14:paraId="616B4D98"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Les moyens de chauffage des bureaux de quais, s'ils existent, répondent aux mêmes exigences de sécurité que celles prévues pour les équipements des locaux dans lesquels ils sont situés.</w:t>
      </w:r>
    </w:p>
    <w:p w14:paraId="6C8C9F9A" w14:textId="77777777" w:rsidR="002F50CD" w:rsidRDefault="002F50CD" w:rsidP="002F50CD">
      <w:pPr>
        <w:spacing w:after="0" w:line="240" w:lineRule="auto"/>
        <w:rPr>
          <w:rFonts w:eastAsia="Times New Roman" w:cs="Times New Roman"/>
          <w:szCs w:val="24"/>
          <w:lang w:eastAsia="fr-FR"/>
        </w:rPr>
      </w:pPr>
    </w:p>
    <w:p w14:paraId="69D3B98C" w14:textId="10223C76" w:rsidR="002F50CD" w:rsidRPr="00681483" w:rsidRDefault="003C4993" w:rsidP="003C4993">
      <w:pPr>
        <w:pStyle w:val="Titre2"/>
      </w:pPr>
      <w:r>
        <w:t>Dispositions applicables aux chaufferies et local de charge</w:t>
      </w:r>
    </w:p>
    <w:p w14:paraId="7A82318F" w14:textId="4D5255FE" w:rsidR="002F50CD" w:rsidRPr="00F63890" w:rsidRDefault="002F50CD" w:rsidP="000C6B29">
      <w:pPr>
        <w:pStyle w:val="Titre3"/>
        <w:rPr>
          <w:rFonts w:eastAsia="Times New Roman"/>
          <w:lang w:eastAsia="fr-FR"/>
        </w:rPr>
      </w:pPr>
      <w:r w:rsidRPr="00F63890">
        <w:rPr>
          <w:rFonts w:eastAsia="Times New Roman"/>
          <w:lang w:eastAsia="fr-FR"/>
        </w:rPr>
        <w:t xml:space="preserve">S'il existe une chaufferie ou un local de charge de batteries des chariots, ceux-ci sont situés dans un local exclusivement réservé à cet effet, extérieur </w:t>
      </w:r>
      <w:r w:rsidR="0086153D">
        <w:rPr>
          <w:rFonts w:eastAsia="Times New Roman"/>
          <w:lang w:eastAsia="fr-FR"/>
        </w:rPr>
        <w:t xml:space="preserve">au </w:t>
      </w:r>
      <w:r w:rsidR="00497AED">
        <w:rPr>
          <w:rFonts w:eastAsia="Times New Roman"/>
          <w:lang w:eastAsia="fr-FR"/>
        </w:rPr>
        <w:t xml:space="preserve">stockage couvert </w:t>
      </w:r>
      <w:r w:rsidR="0086153D">
        <w:rPr>
          <w:rFonts w:eastAsia="Times New Roman"/>
          <w:lang w:eastAsia="fr-FR"/>
        </w:rPr>
        <w:t xml:space="preserve">dans lesquels sont susceptibles d’être présents des liquides inflammables </w:t>
      </w:r>
      <w:r w:rsidRPr="00F63890">
        <w:rPr>
          <w:rFonts w:eastAsia="Times New Roman"/>
          <w:lang w:eastAsia="fr-FR"/>
        </w:rPr>
        <w:t>ou isolé par une paroi REI 120. Toute communication éventuelle entre le local et l</w:t>
      </w:r>
      <w:r w:rsidR="0086153D">
        <w:rPr>
          <w:rFonts w:eastAsia="Times New Roman"/>
          <w:lang w:eastAsia="fr-FR"/>
        </w:rPr>
        <w:t xml:space="preserve">e </w:t>
      </w:r>
      <w:r w:rsidR="00497AED">
        <w:rPr>
          <w:rFonts w:eastAsia="Times New Roman"/>
          <w:lang w:eastAsia="fr-FR"/>
        </w:rPr>
        <w:t xml:space="preserve">stockage couvert </w:t>
      </w:r>
      <w:r w:rsidRPr="00F63890">
        <w:rPr>
          <w:rFonts w:eastAsia="Times New Roman"/>
          <w:lang w:eastAsia="fr-FR"/>
        </w:rPr>
        <w:t>se fait soit par un sas équipé de deux blocs-portes E 120 C, soit par une porte EI2 120 C et de classe de durabilité C2.</w:t>
      </w:r>
    </w:p>
    <w:p w14:paraId="6CF85F66" w14:textId="7E60B939" w:rsidR="002F50CD" w:rsidRPr="00F63890" w:rsidRDefault="002F50CD" w:rsidP="000C6B29">
      <w:pPr>
        <w:pStyle w:val="Titre3"/>
        <w:rPr>
          <w:rFonts w:eastAsia="Times New Roman"/>
          <w:lang w:eastAsia="fr-FR"/>
        </w:rPr>
      </w:pPr>
      <w:r w:rsidRPr="00F63890">
        <w:rPr>
          <w:rFonts w:eastAsia="Times New Roman"/>
          <w:lang w:eastAsia="fr-FR"/>
        </w:rPr>
        <w:t>A l'extérieur de la chaufferie sont installés :</w:t>
      </w:r>
    </w:p>
    <w:p w14:paraId="0F70AFCA"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 une vanne sur la canalisation d'alimentation des brûleurs permettant d'arrêter l'arrivée du combustible ;</w:t>
      </w:r>
    </w:p>
    <w:p w14:paraId="711482DD"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 un coupe-circuit arrêtant le fonctionnement de la pompe d'alimentation en combustible ;</w:t>
      </w:r>
    </w:p>
    <w:p w14:paraId="3AED581D"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 un dispositif sonore et visuel d'avertissement en cas de mauvais fonctionnement des brûleurs, ou un autre système d'alerte d'efficacité équivalente.</w:t>
      </w:r>
    </w:p>
    <w:p w14:paraId="3E5A25E1" w14:textId="77777777" w:rsidR="002F50CD" w:rsidRPr="00F63890" w:rsidRDefault="002F50CD" w:rsidP="002F50CD">
      <w:pPr>
        <w:spacing w:after="0" w:line="240" w:lineRule="auto"/>
        <w:rPr>
          <w:rFonts w:eastAsia="Times New Roman" w:cs="Times New Roman"/>
          <w:szCs w:val="24"/>
          <w:lang w:eastAsia="fr-FR"/>
        </w:rPr>
      </w:pPr>
      <w:r w:rsidRPr="00F63890">
        <w:rPr>
          <w:rFonts w:eastAsia="Times New Roman" w:cs="Times New Roman"/>
          <w:szCs w:val="24"/>
          <w:lang w:eastAsia="fr-FR"/>
        </w:rPr>
        <w:t>Aucune tuyauterie de gaz inflammable n'est présente dans les cellules de stockage.</w:t>
      </w:r>
    </w:p>
    <w:p w14:paraId="236BFE4F" w14:textId="093EF61C" w:rsidR="002F50CD" w:rsidRPr="00F63890" w:rsidRDefault="002F50CD" w:rsidP="000C6B29">
      <w:pPr>
        <w:pStyle w:val="Titre3"/>
        <w:rPr>
          <w:rFonts w:eastAsia="Times New Roman"/>
          <w:lang w:eastAsia="fr-FR"/>
        </w:rPr>
      </w:pPr>
      <w:r w:rsidRPr="00F63890">
        <w:rPr>
          <w:rFonts w:eastAsia="Times New Roman"/>
          <w:lang w:eastAsia="fr-FR"/>
        </w:rPr>
        <w:t xml:space="preserve">La recharge de batteries est interdite hors des locaux de recharge. </w:t>
      </w:r>
    </w:p>
    <w:p w14:paraId="0107E0D0" w14:textId="61509A9C" w:rsidR="002F50CD" w:rsidRPr="00062154" w:rsidRDefault="003C4993" w:rsidP="003C4993">
      <w:pPr>
        <w:pStyle w:val="Titre2"/>
      </w:pPr>
      <w:r>
        <w:t>Conditions de stockage</w:t>
      </w:r>
    </w:p>
    <w:p w14:paraId="3D4B0CEF" w14:textId="49E8EF64" w:rsidR="002F50CD" w:rsidRPr="00062154" w:rsidRDefault="002F50CD" w:rsidP="000C6B29">
      <w:pPr>
        <w:pStyle w:val="Titre3"/>
        <w:rPr>
          <w:rFonts w:eastAsia="Times New Roman"/>
          <w:lang w:eastAsia="fr-FR"/>
        </w:rPr>
      </w:pPr>
      <w:r w:rsidRPr="00062154">
        <w:rPr>
          <w:rFonts w:eastAsia="Times New Roman"/>
          <w:lang w:eastAsia="fr-FR"/>
        </w:rPr>
        <w:t>Une distance minimale de 1 mètre est maintenue entre le sommet des stockages et la base de la toiture ou le plafond, ou de tout système de chauffage et d'éclairage. Cette distance est augmentée lorsque cela est nécessaire au bon fonctionnement du système d'extinction automatique d'incendie.</w:t>
      </w:r>
    </w:p>
    <w:p w14:paraId="61F3CE2D" w14:textId="29192349" w:rsidR="002F50CD" w:rsidRPr="005371ED" w:rsidRDefault="002F50CD" w:rsidP="005371ED">
      <w:pPr>
        <w:pStyle w:val="Titre3"/>
        <w:rPr>
          <w:rFonts w:eastAsia="Times New Roman"/>
          <w:lang w:eastAsia="fr-FR"/>
        </w:rPr>
      </w:pPr>
      <w:r w:rsidRPr="005371ED">
        <w:rPr>
          <w:rFonts w:eastAsia="Times New Roman" w:cs="Times New Roman"/>
          <w:lang w:eastAsia="fr-FR"/>
        </w:rPr>
        <w:t>Les produits stockés en masse (notamment en sac, récipient ou palette) forment des îlots limités selon les dimensions suivantes :</w:t>
      </w:r>
    </w:p>
    <w:p w14:paraId="6139881C" w14:textId="77777777" w:rsidR="002F50CD" w:rsidRPr="00062154" w:rsidRDefault="002F50CD" w:rsidP="002F50CD">
      <w:pPr>
        <w:spacing w:after="0" w:line="240" w:lineRule="auto"/>
        <w:rPr>
          <w:rFonts w:eastAsia="Times New Roman" w:cs="Times New Roman"/>
          <w:szCs w:val="24"/>
          <w:lang w:eastAsia="fr-FR"/>
        </w:rPr>
      </w:pPr>
      <w:r w:rsidRPr="00062154">
        <w:rPr>
          <w:rFonts w:eastAsia="Times New Roman" w:cs="Times New Roman"/>
          <w:szCs w:val="24"/>
          <w:lang w:eastAsia="fr-FR"/>
        </w:rPr>
        <w:t>― la surface au sol des îlots est au maximum égale à 500 mètres carrés ;</w:t>
      </w:r>
    </w:p>
    <w:p w14:paraId="77278C5C" w14:textId="77777777" w:rsidR="002F50CD" w:rsidRPr="00062154" w:rsidRDefault="002F50CD" w:rsidP="002F50CD">
      <w:pPr>
        <w:spacing w:after="0" w:line="240" w:lineRule="auto"/>
        <w:rPr>
          <w:rFonts w:eastAsia="Times New Roman" w:cs="Times New Roman"/>
          <w:szCs w:val="24"/>
          <w:lang w:eastAsia="fr-FR"/>
        </w:rPr>
      </w:pPr>
      <w:r w:rsidRPr="00062154">
        <w:rPr>
          <w:rFonts w:eastAsia="Times New Roman" w:cs="Times New Roman"/>
          <w:szCs w:val="24"/>
          <w:lang w:eastAsia="fr-FR"/>
        </w:rPr>
        <w:t>― la hauteur de stockage est au maximum égale à 5 mètres ;</w:t>
      </w:r>
    </w:p>
    <w:p w14:paraId="43409EBB" w14:textId="77777777" w:rsidR="002F50CD" w:rsidRPr="00062154" w:rsidRDefault="002F50CD" w:rsidP="002F50CD">
      <w:pPr>
        <w:spacing w:after="0" w:line="240" w:lineRule="auto"/>
        <w:rPr>
          <w:rFonts w:eastAsia="Times New Roman" w:cs="Times New Roman"/>
          <w:szCs w:val="24"/>
          <w:lang w:eastAsia="fr-FR"/>
        </w:rPr>
      </w:pPr>
      <w:r w:rsidRPr="00062154">
        <w:rPr>
          <w:rFonts w:eastAsia="Times New Roman" w:cs="Times New Roman"/>
          <w:szCs w:val="24"/>
          <w:lang w:eastAsia="fr-FR"/>
        </w:rPr>
        <w:lastRenderedPageBreak/>
        <w:t>― la distance entre deux îlots est au minimum égale à 2 mètres.</w:t>
      </w:r>
    </w:p>
    <w:p w14:paraId="406BDF7E" w14:textId="77777777" w:rsidR="005D2992" w:rsidRDefault="00641DB5" w:rsidP="005D2992">
      <w:pPr>
        <w:spacing w:after="0" w:line="240" w:lineRule="auto"/>
        <w:rPr>
          <w:rFonts w:eastAsia="Times New Roman" w:cs="Times New Roman"/>
          <w:szCs w:val="24"/>
          <w:lang w:eastAsia="fr-FR"/>
        </w:rPr>
      </w:pPr>
      <w:r>
        <w:rPr>
          <w:rFonts w:eastAsia="Times New Roman" w:cs="Times New Roman"/>
          <w:szCs w:val="24"/>
          <w:lang w:eastAsia="fr-FR"/>
        </w:rPr>
        <w:t>C</w:t>
      </w:r>
      <w:r w:rsidR="002F50CD" w:rsidRPr="00062154">
        <w:rPr>
          <w:rFonts w:eastAsia="Times New Roman" w:cs="Times New Roman"/>
          <w:szCs w:val="24"/>
          <w:lang w:eastAsia="fr-FR"/>
        </w:rPr>
        <w:t xml:space="preserve">es îlots sont associés aux zones de collecte telles que définies au </w:t>
      </w:r>
      <w:r w:rsidR="002F50CD" w:rsidRPr="00FA3B7D">
        <w:rPr>
          <w:rFonts w:eastAsia="Times New Roman" w:cs="Times New Roman"/>
          <w:szCs w:val="24"/>
          <w:highlight w:val="yellow"/>
          <w:lang w:eastAsia="fr-FR"/>
        </w:rPr>
        <w:t xml:space="preserve">I de l'article </w:t>
      </w:r>
      <w:r w:rsidR="00420188" w:rsidRPr="00FA3B7D">
        <w:rPr>
          <w:rFonts w:eastAsia="Times New Roman" w:cs="Times New Roman"/>
          <w:szCs w:val="24"/>
          <w:highlight w:val="yellow"/>
          <w:lang w:eastAsia="fr-FR"/>
        </w:rPr>
        <w:t>III-13</w:t>
      </w:r>
      <w:r w:rsidR="00420188" w:rsidRPr="00062154">
        <w:rPr>
          <w:rFonts w:eastAsia="Times New Roman" w:cs="Times New Roman"/>
          <w:szCs w:val="24"/>
          <w:lang w:eastAsia="fr-FR"/>
        </w:rPr>
        <w:t xml:space="preserve"> </w:t>
      </w:r>
      <w:r w:rsidR="002F50CD" w:rsidRPr="00062154">
        <w:rPr>
          <w:rFonts w:eastAsia="Times New Roman" w:cs="Times New Roman"/>
          <w:szCs w:val="24"/>
          <w:lang w:eastAsia="fr-FR"/>
        </w:rPr>
        <w:t>du présent arrêté.</w:t>
      </w:r>
    </w:p>
    <w:p w14:paraId="4BB37CD6" w14:textId="7702C2CB" w:rsidR="0047455C" w:rsidRDefault="0047455C" w:rsidP="0047455C">
      <w:pPr>
        <w:pStyle w:val="Titre3"/>
        <w:spacing w:line="256" w:lineRule="auto"/>
        <w:rPr>
          <w:rFonts w:eastAsia="Times New Roman"/>
          <w:lang w:eastAsia="fr-FR"/>
        </w:rPr>
      </w:pPr>
      <w:r>
        <w:rPr>
          <w:rFonts w:eastAsia="Times New Roman"/>
          <w:lang w:eastAsia="fr-FR"/>
        </w:rPr>
        <w:t xml:space="preserve">La hauteur de stockage </w:t>
      </w:r>
      <w:r>
        <w:rPr>
          <w:rFonts w:eastAsia="Times New Roman" w:cs="Times New Roman"/>
          <w:lang w:eastAsia="fr-FR"/>
        </w:rPr>
        <w:t>en rayonnage ou en palettier, pour les</w:t>
      </w:r>
      <w:r>
        <w:rPr>
          <w:rFonts w:eastAsia="Times New Roman"/>
          <w:lang w:eastAsia="fr-FR"/>
        </w:rPr>
        <w:t xml:space="preserve"> liquides inflammables en récipients mobiles est </w:t>
      </w:r>
      <w:r w:rsidR="00C87492">
        <w:rPr>
          <w:rFonts w:eastAsia="Times New Roman" w:cs="Times New Roman"/>
          <w:lang w:eastAsia="fr-FR"/>
        </w:rPr>
        <w:t xml:space="preserve">compatible avec le </w:t>
      </w:r>
      <w:r>
        <w:rPr>
          <w:rFonts w:eastAsia="Times New Roman" w:cs="Times New Roman"/>
          <w:lang w:eastAsia="fr-FR"/>
        </w:rPr>
        <w:t xml:space="preserve">dimensionnement du système d’extinction automatique prévu à </w:t>
      </w:r>
      <w:r>
        <w:rPr>
          <w:rFonts w:eastAsia="Times New Roman" w:cs="Times New Roman"/>
          <w:highlight w:val="yellow"/>
          <w:lang w:eastAsia="fr-FR"/>
        </w:rPr>
        <w:t>l’article VI-5</w:t>
      </w:r>
      <w:r>
        <w:rPr>
          <w:rFonts w:eastAsia="Times New Roman" w:cs="Times New Roman"/>
          <w:lang w:eastAsia="fr-FR"/>
        </w:rPr>
        <w:t xml:space="preserve"> du présent arrêté</w:t>
      </w:r>
      <w:r>
        <w:rPr>
          <w:rFonts w:eastAsia="Times New Roman"/>
          <w:lang w:eastAsia="fr-FR"/>
        </w:rPr>
        <w:t xml:space="preserve"> et : </w:t>
      </w:r>
    </w:p>
    <w:p w14:paraId="3FC8FE66" w14:textId="77777777" w:rsidR="0047455C" w:rsidRDefault="0047455C" w:rsidP="0047455C">
      <w:pPr>
        <w:pStyle w:val="Titre3"/>
        <w:numPr>
          <w:ilvl w:val="0"/>
          <w:numId w:val="51"/>
        </w:numPr>
        <w:spacing w:line="256" w:lineRule="auto"/>
        <w:rPr>
          <w:rFonts w:eastAsia="Times New Roman"/>
          <w:lang w:eastAsia="fr-FR"/>
        </w:rPr>
      </w:pPr>
      <w:r>
        <w:rPr>
          <w:rFonts w:eastAsia="Times New Roman"/>
          <w:lang w:eastAsia="fr-FR"/>
        </w:rPr>
        <w:t xml:space="preserve">limitée à 7,60 mètres pour les récipients de volume strictement supérieur à 30L et inférieur à 230L ; </w:t>
      </w:r>
    </w:p>
    <w:p w14:paraId="1CD47509" w14:textId="77777777" w:rsidR="0047455C" w:rsidRDefault="0047455C" w:rsidP="0047455C">
      <w:pPr>
        <w:pStyle w:val="Titre3"/>
        <w:numPr>
          <w:ilvl w:val="0"/>
          <w:numId w:val="51"/>
        </w:numPr>
        <w:spacing w:line="256" w:lineRule="auto"/>
        <w:rPr>
          <w:rFonts w:eastAsia="Times New Roman"/>
          <w:lang w:eastAsia="fr-FR"/>
        </w:rPr>
      </w:pPr>
      <w:r>
        <w:rPr>
          <w:rFonts w:eastAsia="Times New Roman"/>
          <w:lang w:eastAsia="fr-FR"/>
        </w:rPr>
        <w:t>limitée à 5 mètres par rapport au sol intérieur pour les récipients de volume strictement supérieur à 230L.</w:t>
      </w:r>
    </w:p>
    <w:p w14:paraId="4098FD5B" w14:textId="77777777" w:rsidR="0047455C" w:rsidRDefault="0047455C" w:rsidP="001C3192">
      <w:pPr>
        <w:pStyle w:val="Titre3"/>
        <w:numPr>
          <w:ilvl w:val="0"/>
          <w:numId w:val="0"/>
        </w:numPr>
        <w:rPr>
          <w:rFonts w:eastAsia="Times New Roman" w:cs="Times New Roman"/>
          <w:lang w:eastAsia="fr-FR"/>
        </w:rPr>
      </w:pPr>
    </w:p>
    <w:p w14:paraId="4E429344" w14:textId="2AFB6454" w:rsidR="009A0844" w:rsidRPr="005D2992" w:rsidRDefault="002F50CD" w:rsidP="005D2992">
      <w:pPr>
        <w:pStyle w:val="Titre3"/>
        <w:rPr>
          <w:rFonts w:eastAsia="Times New Roman" w:cs="Times New Roman"/>
          <w:lang w:eastAsia="fr-FR"/>
        </w:rPr>
      </w:pPr>
      <w:r w:rsidRPr="005D2992">
        <w:rPr>
          <w:rFonts w:eastAsia="Times New Roman" w:cs="Times New Roman"/>
          <w:lang w:eastAsia="fr-FR"/>
        </w:rPr>
        <w:t>La hauteur de stockage en rayonnage ou en palet</w:t>
      </w:r>
      <w:r w:rsidR="00420188" w:rsidRPr="005D2992">
        <w:rPr>
          <w:rFonts w:eastAsia="Times New Roman" w:cs="Times New Roman"/>
          <w:lang w:eastAsia="fr-FR"/>
        </w:rPr>
        <w:t>t</w:t>
      </w:r>
      <w:r w:rsidRPr="005D2992">
        <w:rPr>
          <w:rFonts w:eastAsia="Times New Roman" w:cs="Times New Roman"/>
          <w:lang w:eastAsia="fr-FR"/>
        </w:rPr>
        <w:t>ier</w:t>
      </w:r>
      <w:r w:rsidR="00C71DD3" w:rsidRPr="005D2992">
        <w:rPr>
          <w:rFonts w:eastAsia="Times New Roman" w:cs="Times New Roman"/>
          <w:lang w:eastAsia="fr-FR"/>
        </w:rPr>
        <w:t>, pour les liquides non inflammables et autres produits, substances, ou mélanges,</w:t>
      </w:r>
      <w:r w:rsidRPr="005D2992">
        <w:rPr>
          <w:rFonts w:eastAsia="Times New Roman" w:cs="Times New Roman"/>
          <w:lang w:eastAsia="fr-FR"/>
        </w:rPr>
        <w:t xml:space="preserve"> </w:t>
      </w:r>
      <w:r w:rsidR="00292D2C" w:rsidRPr="005D2992">
        <w:rPr>
          <w:rFonts w:eastAsia="Times New Roman" w:cs="Times New Roman"/>
          <w:lang w:eastAsia="fr-FR"/>
        </w:rPr>
        <w:t xml:space="preserve">est </w:t>
      </w:r>
      <w:r w:rsidR="00C87492">
        <w:rPr>
          <w:rFonts w:eastAsia="Times New Roman" w:cs="Times New Roman"/>
          <w:lang w:eastAsia="fr-FR"/>
        </w:rPr>
        <w:t>compatible avec le</w:t>
      </w:r>
      <w:r w:rsidR="00292D2C" w:rsidRPr="005D2992">
        <w:rPr>
          <w:rFonts w:eastAsia="Times New Roman" w:cs="Times New Roman"/>
          <w:lang w:eastAsia="fr-FR"/>
        </w:rPr>
        <w:t xml:space="preserve"> dimensionnement du système d’extinction automatique prévu à </w:t>
      </w:r>
      <w:r w:rsidR="00292D2C" w:rsidRPr="005D2992">
        <w:rPr>
          <w:rFonts w:eastAsia="Times New Roman" w:cs="Times New Roman"/>
          <w:highlight w:val="yellow"/>
          <w:lang w:eastAsia="fr-FR"/>
        </w:rPr>
        <w:t>l’article VI</w:t>
      </w:r>
      <w:r w:rsidR="00D9335D" w:rsidRPr="005D2992">
        <w:rPr>
          <w:rFonts w:eastAsia="Times New Roman" w:cs="Times New Roman"/>
          <w:highlight w:val="yellow"/>
          <w:lang w:eastAsia="fr-FR"/>
        </w:rPr>
        <w:t>-</w:t>
      </w:r>
      <w:r w:rsidR="007A1DAD">
        <w:rPr>
          <w:rFonts w:eastAsia="Times New Roman" w:cs="Times New Roman"/>
          <w:highlight w:val="yellow"/>
          <w:lang w:eastAsia="fr-FR"/>
        </w:rPr>
        <w:t>5</w:t>
      </w:r>
      <w:r w:rsidR="00292D2C" w:rsidRPr="005D2992">
        <w:rPr>
          <w:rFonts w:eastAsia="Times New Roman" w:cs="Times New Roman"/>
          <w:lang w:eastAsia="fr-FR"/>
        </w:rPr>
        <w:t xml:space="preserve"> du présent arrêté. </w:t>
      </w:r>
    </w:p>
    <w:p w14:paraId="4B0CD375" w14:textId="01FFD92D" w:rsidR="002F50CD" w:rsidRPr="00062154" w:rsidRDefault="002F50CD" w:rsidP="000C6B29">
      <w:pPr>
        <w:pStyle w:val="Titre3"/>
        <w:rPr>
          <w:rFonts w:eastAsia="Times New Roman"/>
          <w:lang w:eastAsia="fr-FR"/>
        </w:rPr>
      </w:pPr>
      <w:r w:rsidRPr="00062154">
        <w:rPr>
          <w:rFonts w:eastAsia="Times New Roman"/>
          <w:lang w:eastAsia="fr-FR"/>
        </w:rPr>
        <w:t>Une distance minimale de 1 mètre est respectée par rapport aux parois de la cellule. Cette distance est portée à 0,3 mètre pour les stockages en pale</w:t>
      </w:r>
      <w:r w:rsidR="00420188">
        <w:rPr>
          <w:rFonts w:eastAsia="Times New Roman"/>
          <w:lang w:eastAsia="fr-FR"/>
        </w:rPr>
        <w:t>t</w:t>
      </w:r>
      <w:r w:rsidRPr="00062154">
        <w:rPr>
          <w:rFonts w:eastAsia="Times New Roman"/>
          <w:lang w:eastAsia="fr-FR"/>
        </w:rPr>
        <w:t>tiers.</w:t>
      </w:r>
    </w:p>
    <w:p w14:paraId="4A5FDCF1" w14:textId="19658452" w:rsidR="002F50CD" w:rsidRDefault="002F50CD" w:rsidP="002F50CD">
      <w:pPr>
        <w:spacing w:after="0" w:line="240" w:lineRule="auto"/>
        <w:rPr>
          <w:rFonts w:eastAsia="Times New Roman" w:cs="Times New Roman"/>
          <w:szCs w:val="24"/>
          <w:lang w:eastAsia="fr-FR"/>
        </w:rPr>
      </w:pPr>
    </w:p>
    <w:p w14:paraId="0DDB99F6" w14:textId="0C80370C" w:rsidR="005D2992" w:rsidRDefault="005D2992" w:rsidP="00301816">
      <w:pPr>
        <w:spacing w:after="0" w:line="240" w:lineRule="auto"/>
        <w:rPr>
          <w:rFonts w:eastAsia="Times New Roman" w:cs="Times New Roman"/>
          <w:b/>
          <w:szCs w:val="24"/>
          <w:u w:val="single"/>
          <w:lang w:eastAsia="fr-FR"/>
        </w:rPr>
      </w:pPr>
    </w:p>
    <w:p w14:paraId="2F1BB80D" w14:textId="623979F0" w:rsidR="00301816" w:rsidRDefault="00301816" w:rsidP="00780B9C">
      <w:pPr>
        <w:pStyle w:val="Titre2"/>
      </w:pPr>
      <w:r>
        <w:t xml:space="preserve">Dispositions particulières aux </w:t>
      </w:r>
      <w:r w:rsidR="00497AED">
        <w:t xml:space="preserve">stockages couverts </w:t>
      </w:r>
      <w:r>
        <w:t xml:space="preserve">abritant des </w:t>
      </w:r>
      <w:r w:rsidR="00E674B3">
        <w:t>liquides et solides liquéfiables combustibles</w:t>
      </w:r>
      <w:r w:rsidR="00780B9C" w:rsidRPr="00780B9C">
        <w:t xml:space="preserve"> </w:t>
      </w:r>
    </w:p>
    <w:p w14:paraId="5A9A3A2F" w14:textId="5B06A951" w:rsidR="00301816" w:rsidRPr="006E18F5" w:rsidRDefault="00301816" w:rsidP="00301816">
      <w:pPr>
        <w:spacing w:after="0" w:line="240" w:lineRule="auto"/>
        <w:rPr>
          <w:rFonts w:eastAsia="Times New Roman" w:cs="Times New Roman"/>
          <w:szCs w:val="24"/>
          <w:lang w:eastAsia="fr-FR"/>
        </w:rPr>
      </w:pPr>
      <w:r w:rsidRPr="006E18F5">
        <w:rPr>
          <w:rFonts w:eastAsia="Times New Roman" w:cs="Times New Roman"/>
          <w:szCs w:val="24"/>
          <w:lang w:eastAsia="fr-FR"/>
        </w:rPr>
        <w:t>Les</w:t>
      </w:r>
      <w:r w:rsidR="00497AED">
        <w:rPr>
          <w:rFonts w:eastAsia="Times New Roman" w:cs="Times New Roman"/>
          <w:szCs w:val="24"/>
          <w:lang w:eastAsia="fr-FR"/>
        </w:rPr>
        <w:t xml:space="preserve"> stockages couverts</w:t>
      </w:r>
      <w:r w:rsidR="00C71DD3">
        <w:rPr>
          <w:rFonts w:eastAsia="Times New Roman" w:cs="Times New Roman"/>
          <w:szCs w:val="24"/>
          <w:lang w:eastAsia="fr-FR"/>
        </w:rPr>
        <w:t xml:space="preserve"> </w:t>
      </w:r>
      <w:r w:rsidRPr="006E18F5">
        <w:rPr>
          <w:rFonts w:eastAsia="Times New Roman" w:cs="Times New Roman"/>
          <w:szCs w:val="24"/>
          <w:lang w:eastAsia="fr-FR"/>
        </w:rPr>
        <w:t xml:space="preserve">abritant les cellules de </w:t>
      </w:r>
      <w:r w:rsidR="00E674B3">
        <w:rPr>
          <w:rFonts w:eastAsia="Times New Roman" w:cs="Times New Roman"/>
          <w:szCs w:val="24"/>
          <w:lang w:eastAsia="fr-FR"/>
        </w:rPr>
        <w:t>liquides et solides liquéfiables combustibles</w:t>
      </w:r>
      <w:r w:rsidR="00780B9C">
        <w:rPr>
          <w:rFonts w:eastAsia="Times New Roman" w:cs="Times New Roman"/>
          <w:szCs w:val="24"/>
          <w:lang w:eastAsia="fr-FR"/>
        </w:rPr>
        <w:t xml:space="preserve"> </w:t>
      </w:r>
      <w:r w:rsidRPr="006E18F5">
        <w:rPr>
          <w:rFonts w:eastAsia="Times New Roman" w:cs="Times New Roman"/>
          <w:szCs w:val="24"/>
          <w:lang w:eastAsia="fr-FR"/>
        </w:rPr>
        <w:t>sont conformes aux disposition</w:t>
      </w:r>
      <w:r>
        <w:rPr>
          <w:rFonts w:eastAsia="Times New Roman" w:cs="Times New Roman"/>
          <w:szCs w:val="24"/>
          <w:highlight w:val="yellow"/>
          <w:lang w:eastAsia="fr-FR"/>
        </w:rPr>
        <w:t xml:space="preserve">s du I. de </w:t>
      </w:r>
      <w:r w:rsidRPr="00FA3B7D">
        <w:rPr>
          <w:rFonts w:eastAsia="Times New Roman" w:cs="Times New Roman"/>
          <w:szCs w:val="24"/>
          <w:highlight w:val="yellow"/>
          <w:lang w:eastAsia="fr-FR"/>
        </w:rPr>
        <w:t>l’a</w:t>
      </w:r>
      <w:r w:rsidR="00D9335D" w:rsidRPr="00FA3B7D">
        <w:rPr>
          <w:rFonts w:eastAsia="Times New Roman" w:cs="Times New Roman"/>
          <w:szCs w:val="24"/>
          <w:highlight w:val="yellow"/>
          <w:lang w:eastAsia="fr-FR"/>
        </w:rPr>
        <w:t>rticle III-</w:t>
      </w:r>
      <w:r w:rsidR="00780B9C" w:rsidRPr="00FA3B7D">
        <w:rPr>
          <w:rFonts w:eastAsia="Times New Roman" w:cs="Times New Roman"/>
          <w:szCs w:val="24"/>
          <w:highlight w:val="yellow"/>
          <w:lang w:eastAsia="fr-FR"/>
        </w:rPr>
        <w:t>3</w:t>
      </w:r>
      <w:r w:rsidRPr="00FA3B7D">
        <w:rPr>
          <w:rFonts w:eastAsia="Times New Roman" w:cs="Times New Roman"/>
          <w:szCs w:val="24"/>
          <w:highlight w:val="yellow"/>
          <w:lang w:eastAsia="fr-FR"/>
        </w:rPr>
        <w:t xml:space="preserve"> </w:t>
      </w:r>
      <w:r w:rsidR="0020638B" w:rsidRPr="006D4DBC">
        <w:t>dès lors qu’il</w:t>
      </w:r>
      <w:r w:rsidR="0020638B">
        <w:t>s</w:t>
      </w:r>
      <w:r w:rsidR="0020638B" w:rsidRPr="006D4DBC">
        <w:t xml:space="preserve"> </w:t>
      </w:r>
      <w:r w:rsidR="00A41AD1">
        <w:t>répondent aux</w:t>
      </w:r>
      <w:r w:rsidR="0020638B" w:rsidRPr="006D4DBC">
        <w:t xml:space="preserve"> conditions de proximité avec un liquide in</w:t>
      </w:r>
      <w:r w:rsidR="0020638B">
        <w:t>flammable définies à l’article I</w:t>
      </w:r>
      <w:r w:rsidR="0020638B">
        <w:rPr>
          <w:highlight w:val="yellow"/>
        </w:rPr>
        <w:t>-3</w:t>
      </w:r>
      <w:r w:rsidRPr="006E18F5">
        <w:rPr>
          <w:rFonts w:eastAsia="Times New Roman" w:cs="Times New Roman"/>
          <w:szCs w:val="24"/>
          <w:lang w:eastAsia="fr-FR"/>
        </w:rPr>
        <w:t>.</w:t>
      </w:r>
    </w:p>
    <w:p w14:paraId="69B71329" w14:textId="77777777" w:rsidR="00301816" w:rsidRPr="006E18F5" w:rsidRDefault="00301816" w:rsidP="00301816">
      <w:pPr>
        <w:spacing w:after="0" w:line="240" w:lineRule="auto"/>
        <w:rPr>
          <w:rFonts w:eastAsia="Times New Roman" w:cs="Times New Roman"/>
          <w:szCs w:val="24"/>
          <w:lang w:eastAsia="fr-FR"/>
        </w:rPr>
      </w:pPr>
    </w:p>
    <w:p w14:paraId="2F66EFED" w14:textId="65D47275" w:rsidR="00301816" w:rsidRPr="006E18F5" w:rsidRDefault="00301816" w:rsidP="00301816">
      <w:pPr>
        <w:spacing w:after="0" w:line="240" w:lineRule="auto"/>
        <w:rPr>
          <w:rFonts w:eastAsia="Times New Roman" w:cs="Times New Roman"/>
          <w:szCs w:val="24"/>
          <w:lang w:eastAsia="fr-FR"/>
        </w:rPr>
      </w:pPr>
      <w:r w:rsidRPr="006E18F5">
        <w:rPr>
          <w:rFonts w:eastAsia="Times New Roman" w:cs="Times New Roman"/>
          <w:szCs w:val="24"/>
          <w:lang w:eastAsia="fr-FR"/>
        </w:rPr>
        <w:t xml:space="preserve">Les cellules de </w:t>
      </w:r>
      <w:r w:rsidR="00E674B3">
        <w:rPr>
          <w:rFonts w:eastAsia="Times New Roman" w:cs="Times New Roman"/>
          <w:szCs w:val="24"/>
          <w:lang w:eastAsia="fr-FR"/>
        </w:rPr>
        <w:t>liquides et solides liquéfiables combustibles</w:t>
      </w:r>
      <w:r w:rsidR="00780B9C">
        <w:rPr>
          <w:rFonts w:eastAsia="Times New Roman" w:cs="Times New Roman"/>
          <w:szCs w:val="24"/>
          <w:lang w:eastAsia="fr-FR"/>
        </w:rPr>
        <w:t xml:space="preserve"> </w:t>
      </w:r>
      <w:r w:rsidRPr="006E18F5">
        <w:rPr>
          <w:rFonts w:eastAsia="Times New Roman" w:cs="Times New Roman"/>
          <w:szCs w:val="24"/>
          <w:lang w:eastAsia="fr-FR"/>
        </w:rPr>
        <w:t xml:space="preserve">sont conformes aux dispositions </w:t>
      </w:r>
      <w:r>
        <w:rPr>
          <w:rFonts w:eastAsia="Times New Roman" w:cs="Times New Roman"/>
          <w:szCs w:val="24"/>
          <w:lang w:eastAsia="fr-FR"/>
        </w:rPr>
        <w:t xml:space="preserve">des </w:t>
      </w:r>
      <w:r w:rsidR="00D9335D">
        <w:rPr>
          <w:rFonts w:eastAsia="Times New Roman" w:cs="Times New Roman"/>
          <w:szCs w:val="24"/>
          <w:lang w:eastAsia="fr-FR"/>
        </w:rPr>
        <w:t xml:space="preserve">points </w:t>
      </w:r>
      <w:r w:rsidR="00D9335D" w:rsidRPr="00FA3B7D">
        <w:rPr>
          <w:rFonts w:eastAsia="Times New Roman" w:cs="Times New Roman"/>
          <w:szCs w:val="24"/>
          <w:highlight w:val="yellow"/>
          <w:lang w:eastAsia="fr-FR"/>
        </w:rPr>
        <w:t>II à VI</w:t>
      </w:r>
      <w:r w:rsidR="002A4566">
        <w:rPr>
          <w:rFonts w:eastAsia="Times New Roman" w:cs="Times New Roman"/>
          <w:szCs w:val="24"/>
          <w:highlight w:val="yellow"/>
          <w:lang w:eastAsia="fr-FR"/>
        </w:rPr>
        <w:t>I</w:t>
      </w:r>
      <w:r w:rsidR="00D9335D" w:rsidRPr="00FA3B7D">
        <w:rPr>
          <w:rFonts w:eastAsia="Times New Roman" w:cs="Times New Roman"/>
          <w:szCs w:val="24"/>
          <w:highlight w:val="yellow"/>
          <w:lang w:eastAsia="fr-FR"/>
        </w:rPr>
        <w:t xml:space="preserve"> de l’article III-</w:t>
      </w:r>
      <w:r w:rsidR="00780B9C" w:rsidRPr="00FA3B7D">
        <w:rPr>
          <w:rFonts w:eastAsia="Times New Roman" w:cs="Times New Roman"/>
          <w:szCs w:val="24"/>
          <w:highlight w:val="yellow"/>
          <w:lang w:eastAsia="fr-FR"/>
        </w:rPr>
        <w:t>3</w:t>
      </w:r>
      <w:r>
        <w:rPr>
          <w:rFonts w:eastAsia="Times New Roman" w:cs="Times New Roman"/>
          <w:szCs w:val="24"/>
          <w:lang w:eastAsia="fr-FR"/>
        </w:rPr>
        <w:t xml:space="preserve"> ainsi que </w:t>
      </w:r>
      <w:r w:rsidR="00D9335D" w:rsidRPr="00FA3B7D">
        <w:rPr>
          <w:rFonts w:eastAsia="Times New Roman" w:cs="Times New Roman"/>
          <w:szCs w:val="24"/>
          <w:highlight w:val="yellow"/>
          <w:lang w:eastAsia="fr-FR"/>
        </w:rPr>
        <w:t>des articles III-</w:t>
      </w:r>
      <w:r w:rsidR="007A1DAD">
        <w:rPr>
          <w:rFonts w:eastAsia="Times New Roman" w:cs="Times New Roman"/>
          <w:szCs w:val="24"/>
          <w:highlight w:val="yellow"/>
          <w:lang w:eastAsia="fr-FR"/>
        </w:rPr>
        <w:t>4</w:t>
      </w:r>
      <w:r w:rsidR="00D9335D" w:rsidRPr="00FA3B7D">
        <w:rPr>
          <w:rFonts w:eastAsia="Times New Roman" w:cs="Times New Roman"/>
          <w:szCs w:val="24"/>
          <w:highlight w:val="yellow"/>
          <w:lang w:eastAsia="fr-FR"/>
        </w:rPr>
        <w:t xml:space="preserve"> à III-</w:t>
      </w:r>
      <w:r w:rsidR="007A1DAD">
        <w:rPr>
          <w:rFonts w:eastAsia="Times New Roman" w:cs="Times New Roman"/>
          <w:szCs w:val="24"/>
          <w:highlight w:val="yellow"/>
          <w:lang w:eastAsia="fr-FR"/>
        </w:rPr>
        <w:t>7</w:t>
      </w:r>
      <w:r>
        <w:rPr>
          <w:rFonts w:eastAsia="Times New Roman" w:cs="Times New Roman"/>
          <w:szCs w:val="24"/>
          <w:lang w:eastAsia="fr-FR"/>
        </w:rPr>
        <w:t xml:space="preserve"> </w:t>
      </w:r>
      <w:r w:rsidRPr="00FA3B7D">
        <w:rPr>
          <w:rFonts w:eastAsia="Times New Roman" w:cs="Times New Roman"/>
          <w:szCs w:val="24"/>
          <w:lang w:eastAsia="fr-FR"/>
        </w:rPr>
        <w:t>applicables aux cellules de liquides inflammables,</w:t>
      </w:r>
      <w:r w:rsidRPr="006E18F5">
        <w:rPr>
          <w:rFonts w:eastAsia="Times New Roman" w:cs="Times New Roman"/>
          <w:szCs w:val="24"/>
          <w:lang w:eastAsia="fr-FR"/>
        </w:rPr>
        <w:t xml:space="preserve"> </w:t>
      </w:r>
      <w:r w:rsidR="0020638B">
        <w:t>dès lors qu’elles</w:t>
      </w:r>
      <w:r w:rsidR="0020638B" w:rsidRPr="006D4DBC">
        <w:t xml:space="preserve"> </w:t>
      </w:r>
      <w:r w:rsidR="00A41AD1">
        <w:t xml:space="preserve">répondent aux </w:t>
      </w:r>
      <w:r w:rsidR="0020638B" w:rsidRPr="006D4DBC">
        <w:t xml:space="preserve"> conditions de proximité avec un liquide in</w:t>
      </w:r>
      <w:r w:rsidR="0020638B">
        <w:t xml:space="preserve">flammable définies à </w:t>
      </w:r>
      <w:r w:rsidR="0020638B" w:rsidRPr="00FA3B7D">
        <w:rPr>
          <w:highlight w:val="yellow"/>
        </w:rPr>
        <w:t>l’article I-3</w:t>
      </w:r>
      <w:r w:rsidR="0020638B">
        <w:t>.</w:t>
      </w:r>
    </w:p>
    <w:p w14:paraId="712110FC" w14:textId="5D83FCD1" w:rsidR="00301816" w:rsidRDefault="00301816" w:rsidP="002F50CD">
      <w:pPr>
        <w:spacing w:after="0" w:line="240" w:lineRule="auto"/>
        <w:rPr>
          <w:rFonts w:eastAsia="Times New Roman" w:cs="Times New Roman"/>
          <w:szCs w:val="24"/>
          <w:lang w:eastAsia="fr-FR"/>
        </w:rPr>
      </w:pPr>
    </w:p>
    <w:p w14:paraId="46CCAE03" w14:textId="77777777" w:rsidR="002F50CD" w:rsidRDefault="002F50CD" w:rsidP="00282BF4">
      <w:pPr>
        <w:spacing w:after="0" w:line="240" w:lineRule="auto"/>
        <w:rPr>
          <w:rFonts w:eastAsia="Times New Roman" w:cs="Times New Roman"/>
          <w:szCs w:val="24"/>
          <w:lang w:eastAsia="fr-FR"/>
        </w:rPr>
      </w:pPr>
    </w:p>
    <w:p w14:paraId="5A670EE5" w14:textId="1C655B3A" w:rsidR="00BB14D1" w:rsidRDefault="00BB14D1" w:rsidP="00BB14D1">
      <w:pPr>
        <w:spacing w:after="0" w:line="240" w:lineRule="auto"/>
        <w:rPr>
          <w:rFonts w:eastAsia="Times New Roman" w:cs="Times New Roman"/>
          <w:b/>
          <w:szCs w:val="24"/>
          <w:u w:val="single"/>
          <w:lang w:eastAsia="fr-FR"/>
        </w:rPr>
      </w:pPr>
      <w:r>
        <w:rPr>
          <w:rFonts w:eastAsia="Times New Roman" w:cs="Times New Roman"/>
          <w:b/>
          <w:szCs w:val="24"/>
          <w:u w:val="single"/>
          <w:lang w:eastAsia="fr-FR"/>
        </w:rPr>
        <w:t>Section I</w:t>
      </w:r>
      <w:r w:rsidR="002F50CD">
        <w:rPr>
          <w:rFonts w:eastAsia="Times New Roman" w:cs="Times New Roman"/>
          <w:b/>
          <w:szCs w:val="24"/>
          <w:u w:val="single"/>
          <w:lang w:eastAsia="fr-FR"/>
        </w:rPr>
        <w:t>I</w:t>
      </w:r>
      <w:r>
        <w:rPr>
          <w:rFonts w:eastAsia="Times New Roman" w:cs="Times New Roman"/>
          <w:b/>
          <w:szCs w:val="24"/>
          <w:u w:val="single"/>
          <w:lang w:eastAsia="fr-FR"/>
        </w:rPr>
        <w:t>I : Stockage extérieur</w:t>
      </w:r>
    </w:p>
    <w:p w14:paraId="04F90A4E" w14:textId="1024EB18" w:rsidR="00596650" w:rsidRDefault="00596650" w:rsidP="00BB14D1">
      <w:pPr>
        <w:spacing w:after="0" w:line="240" w:lineRule="auto"/>
        <w:rPr>
          <w:rFonts w:eastAsia="Times New Roman" w:cs="Times New Roman"/>
          <w:szCs w:val="24"/>
          <w:lang w:eastAsia="fr-FR"/>
        </w:rPr>
      </w:pPr>
      <w:r w:rsidRPr="006E18F5">
        <w:rPr>
          <w:rFonts w:eastAsia="Times New Roman" w:cs="Times New Roman"/>
          <w:szCs w:val="24"/>
          <w:lang w:eastAsia="fr-FR"/>
        </w:rPr>
        <w:t>Les dispositions de la présente section sont applicables aux stockages extérieurs de</w:t>
      </w:r>
      <w:r w:rsidR="00420188">
        <w:rPr>
          <w:rFonts w:eastAsia="Times New Roman" w:cs="Times New Roman"/>
          <w:szCs w:val="24"/>
          <w:lang w:eastAsia="fr-FR"/>
        </w:rPr>
        <w:t xml:space="preserve"> liquides inflammables en</w:t>
      </w:r>
      <w:r w:rsidRPr="006E18F5">
        <w:rPr>
          <w:rFonts w:eastAsia="Times New Roman" w:cs="Times New Roman"/>
          <w:szCs w:val="24"/>
          <w:lang w:eastAsia="fr-FR"/>
        </w:rPr>
        <w:t xml:space="preserve"> récipients mobiles.</w:t>
      </w:r>
    </w:p>
    <w:p w14:paraId="613E1D1E" w14:textId="7FC9CFE6" w:rsidR="000C4DE8" w:rsidRPr="006E18F5" w:rsidRDefault="000C4DE8" w:rsidP="00BB14D1">
      <w:pPr>
        <w:spacing w:after="0" w:line="240" w:lineRule="auto"/>
        <w:rPr>
          <w:rFonts w:eastAsia="Times New Roman" w:cs="Times New Roman"/>
          <w:szCs w:val="24"/>
          <w:lang w:eastAsia="fr-FR"/>
        </w:rPr>
      </w:pPr>
      <w:r>
        <w:rPr>
          <w:rFonts w:eastAsia="Times New Roman" w:cs="Times New Roman"/>
          <w:szCs w:val="24"/>
          <w:lang w:eastAsia="fr-FR"/>
        </w:rPr>
        <w:t>Ces dispositions sont également applicables aux stockages</w:t>
      </w:r>
      <w:r w:rsidR="00FE3D9C">
        <w:rPr>
          <w:rFonts w:eastAsia="Times New Roman" w:cs="Times New Roman"/>
          <w:szCs w:val="24"/>
          <w:lang w:eastAsia="fr-FR"/>
        </w:rPr>
        <w:t xml:space="preserve"> extérieurs</w:t>
      </w:r>
      <w:r>
        <w:rPr>
          <w:rFonts w:eastAsia="Times New Roman" w:cs="Times New Roman"/>
          <w:szCs w:val="24"/>
          <w:lang w:eastAsia="fr-FR"/>
        </w:rPr>
        <w:t xml:space="preserve"> de </w:t>
      </w:r>
      <w:r w:rsidR="00E674B3">
        <w:rPr>
          <w:rFonts w:eastAsia="Times New Roman" w:cs="Times New Roman"/>
          <w:szCs w:val="24"/>
          <w:lang w:eastAsia="fr-FR"/>
        </w:rPr>
        <w:t>liquides et solides liquéfiables combustibles</w:t>
      </w:r>
      <w:r w:rsidR="00780B9C">
        <w:rPr>
          <w:rFonts w:eastAsia="Times New Roman" w:cs="Times New Roman"/>
          <w:szCs w:val="24"/>
          <w:lang w:eastAsia="fr-FR"/>
        </w:rPr>
        <w:t xml:space="preserve"> </w:t>
      </w:r>
      <w:r>
        <w:rPr>
          <w:rFonts w:eastAsia="Times New Roman" w:cs="Times New Roman"/>
          <w:szCs w:val="24"/>
          <w:lang w:eastAsia="fr-FR"/>
        </w:rPr>
        <w:t>en récipients mobiles</w:t>
      </w:r>
      <w:r w:rsidR="0020638B" w:rsidRPr="0020638B">
        <w:t xml:space="preserve"> </w:t>
      </w:r>
      <w:r w:rsidR="0020638B" w:rsidRPr="006D4DBC">
        <w:t>dès lors qu’il</w:t>
      </w:r>
      <w:r w:rsidR="0020638B">
        <w:t>s</w:t>
      </w:r>
      <w:r w:rsidR="00A41AD1">
        <w:t xml:space="preserve"> répondent aux </w:t>
      </w:r>
      <w:r w:rsidR="0020638B" w:rsidRPr="006D4DBC">
        <w:t>conditions de proximité avec un liquide in</w:t>
      </w:r>
      <w:r w:rsidR="0020638B">
        <w:t>flammable définies à l’article I</w:t>
      </w:r>
      <w:r w:rsidR="0020638B">
        <w:rPr>
          <w:highlight w:val="yellow"/>
        </w:rPr>
        <w:t>-3</w:t>
      </w:r>
      <w:r>
        <w:rPr>
          <w:rFonts w:eastAsia="Times New Roman" w:cs="Times New Roman"/>
          <w:szCs w:val="24"/>
          <w:lang w:eastAsia="fr-FR"/>
        </w:rPr>
        <w:t>.</w:t>
      </w:r>
    </w:p>
    <w:p w14:paraId="2CBF3C84" w14:textId="77777777" w:rsidR="00596650" w:rsidRDefault="00596650" w:rsidP="00BB14D1">
      <w:pPr>
        <w:spacing w:after="0" w:line="240" w:lineRule="auto"/>
        <w:rPr>
          <w:rFonts w:eastAsia="Times New Roman" w:cs="Times New Roman"/>
          <w:b/>
          <w:szCs w:val="24"/>
          <w:u w:val="single"/>
          <w:lang w:eastAsia="fr-FR"/>
        </w:rPr>
      </w:pPr>
    </w:p>
    <w:p w14:paraId="3EB3514A" w14:textId="74766C9A" w:rsidR="00BB14D1" w:rsidRDefault="003C4993" w:rsidP="003C4993">
      <w:pPr>
        <w:pStyle w:val="Titre2"/>
      </w:pPr>
      <w:r>
        <w:t>Conditions de stockage</w:t>
      </w:r>
    </w:p>
    <w:p w14:paraId="19FDA5DF" w14:textId="01D52B80" w:rsidR="00A67A54" w:rsidRPr="00AD47EF" w:rsidRDefault="00A67A54" w:rsidP="00782E48">
      <w:pPr>
        <w:pStyle w:val="Titre3"/>
        <w:numPr>
          <w:ilvl w:val="0"/>
          <w:numId w:val="0"/>
        </w:numPr>
        <w:rPr>
          <w:rFonts w:eastAsia="Times New Roman"/>
          <w:lang w:eastAsia="fr-FR"/>
        </w:rPr>
      </w:pPr>
      <w:r w:rsidRPr="00AD47EF">
        <w:rPr>
          <w:rFonts w:eastAsia="Times New Roman"/>
          <w:lang w:eastAsia="fr-FR"/>
        </w:rPr>
        <w:t>Les récipients mobiles stockés, y compris en palette, forment des îlots limités selon les dimensions suivantes :</w:t>
      </w:r>
    </w:p>
    <w:p w14:paraId="32D115C8" w14:textId="4BE682BF" w:rsidR="00A67A54" w:rsidRPr="00AD47EF" w:rsidRDefault="00A67A54" w:rsidP="00A67A54">
      <w:pPr>
        <w:spacing w:after="0" w:line="240" w:lineRule="auto"/>
        <w:rPr>
          <w:rFonts w:eastAsia="Times New Roman" w:cs="Times New Roman"/>
          <w:szCs w:val="24"/>
          <w:lang w:eastAsia="fr-FR"/>
        </w:rPr>
      </w:pPr>
      <w:r w:rsidRPr="00AD47EF">
        <w:rPr>
          <w:rFonts w:eastAsia="Times New Roman" w:cs="Times New Roman"/>
          <w:szCs w:val="24"/>
          <w:lang w:eastAsia="fr-FR"/>
        </w:rPr>
        <w:t xml:space="preserve">- la surface </w:t>
      </w:r>
      <w:r w:rsidR="009A3765">
        <w:rPr>
          <w:rFonts w:eastAsia="Times New Roman" w:cs="Times New Roman"/>
          <w:szCs w:val="24"/>
          <w:lang w:eastAsia="fr-FR"/>
        </w:rPr>
        <w:t>maximale susceptible d’être en feu</w:t>
      </w:r>
      <w:r w:rsidR="004E35CA">
        <w:rPr>
          <w:rFonts w:eastAsia="Times New Roman" w:cs="Times New Roman"/>
          <w:szCs w:val="24"/>
          <w:lang w:eastAsia="fr-FR"/>
        </w:rPr>
        <w:t xml:space="preserve"> </w:t>
      </w:r>
      <w:r w:rsidR="004E35CA" w:rsidRPr="004E35CA">
        <w:rPr>
          <w:rFonts w:eastAsia="Times New Roman" w:cs="Times New Roman"/>
          <w:szCs w:val="24"/>
          <w:lang w:eastAsia="fr-FR"/>
        </w:rPr>
        <w:t>est adaptée aux moyens d’intervention et d’extinction en cas d’incendie. Dans tous les cas, cette surface n’excède pas 500 m²</w:t>
      </w:r>
      <w:r w:rsidRPr="00AD47EF">
        <w:rPr>
          <w:rFonts w:eastAsia="Times New Roman" w:cs="Times New Roman"/>
          <w:szCs w:val="24"/>
          <w:lang w:eastAsia="fr-FR"/>
        </w:rPr>
        <w:t>;</w:t>
      </w:r>
    </w:p>
    <w:p w14:paraId="1A3D7539" w14:textId="77777777" w:rsidR="00A67A54" w:rsidRPr="00AD47EF" w:rsidRDefault="00A67A54" w:rsidP="00A67A54">
      <w:pPr>
        <w:spacing w:after="0" w:line="240" w:lineRule="auto"/>
        <w:rPr>
          <w:rFonts w:eastAsia="Times New Roman" w:cs="Times New Roman"/>
          <w:szCs w:val="24"/>
          <w:lang w:eastAsia="fr-FR"/>
        </w:rPr>
      </w:pPr>
      <w:r w:rsidRPr="00AD47EF">
        <w:rPr>
          <w:rFonts w:eastAsia="Times New Roman" w:cs="Times New Roman"/>
          <w:szCs w:val="24"/>
          <w:lang w:eastAsia="fr-FR"/>
        </w:rPr>
        <w:lastRenderedPageBreak/>
        <w:t>- la hauteur de stockage est au maximum égale à 5 mètres ;</w:t>
      </w:r>
    </w:p>
    <w:p w14:paraId="42C6BDD6" w14:textId="5A7108FA" w:rsidR="00A67A54" w:rsidRPr="001C3192" w:rsidRDefault="00A67A54" w:rsidP="00A67A54">
      <w:pPr>
        <w:spacing w:after="0" w:line="240" w:lineRule="auto"/>
        <w:rPr>
          <w:rFonts w:eastAsia="Times New Roman" w:cs="Times New Roman"/>
          <w:color w:val="000000" w:themeColor="text1"/>
          <w:szCs w:val="24"/>
          <w:lang w:eastAsia="fr-FR"/>
        </w:rPr>
      </w:pPr>
      <w:r w:rsidRPr="00AD47EF">
        <w:rPr>
          <w:rFonts w:eastAsia="Times New Roman" w:cs="Times New Roman"/>
          <w:szCs w:val="24"/>
          <w:lang w:eastAsia="fr-FR"/>
        </w:rPr>
        <w:t>- la distance entre deux îlots</w:t>
      </w:r>
      <w:r w:rsidR="00C045AD">
        <w:rPr>
          <w:rFonts w:eastAsia="Times New Roman" w:cs="Times New Roman"/>
          <w:szCs w:val="24"/>
          <w:lang w:eastAsia="fr-FR"/>
        </w:rPr>
        <w:t>, depuis le bord de chacune des rétentions</w:t>
      </w:r>
      <w:r w:rsidR="000D4FF2">
        <w:rPr>
          <w:rFonts w:eastAsia="Times New Roman" w:cs="Times New Roman"/>
          <w:szCs w:val="24"/>
          <w:lang w:eastAsia="fr-FR"/>
        </w:rPr>
        <w:t xml:space="preserve"> ou, le cas échéant, de la surface de drainage</w:t>
      </w:r>
      <w:r w:rsidR="00C045AD" w:rsidRPr="001C3192">
        <w:rPr>
          <w:rFonts w:eastAsia="Times New Roman" w:cs="Times New Roman"/>
          <w:color w:val="000000" w:themeColor="text1"/>
          <w:szCs w:val="24"/>
          <w:lang w:eastAsia="fr-FR"/>
        </w:rPr>
        <w:t>,</w:t>
      </w:r>
      <w:r w:rsidRPr="001C3192">
        <w:rPr>
          <w:rFonts w:eastAsia="Times New Roman" w:cs="Times New Roman"/>
          <w:color w:val="000000" w:themeColor="text1"/>
          <w:szCs w:val="24"/>
          <w:lang w:eastAsia="fr-FR"/>
        </w:rPr>
        <w:t xml:space="preserve"> est au minimum égale à 10 mètres, Cette distance peut être réduite si l’exploitant justifie que les effets dominos (seuil des effets thermiques de 8kW/m²) ne sont pas atteints</w:t>
      </w:r>
      <w:r w:rsidR="0031141B" w:rsidRPr="001C3192">
        <w:rPr>
          <w:rFonts w:eastAsia="Times New Roman" w:cs="Times New Roman"/>
          <w:color w:val="000000" w:themeColor="text1"/>
          <w:szCs w:val="24"/>
          <w:lang w:eastAsia="fr-FR"/>
        </w:rPr>
        <w:t xml:space="preserve">, </w:t>
      </w:r>
      <w:r w:rsidR="0031141B" w:rsidRPr="001C3192">
        <w:rPr>
          <w:rFonts w:cs="Times New Roman"/>
          <w:color w:val="000000" w:themeColor="text1"/>
          <w:szCs w:val="24"/>
        </w:rPr>
        <w:t>par l’emploi de dispositions passives,</w:t>
      </w:r>
      <w:r w:rsidR="0031141B" w:rsidRPr="001C3192">
        <w:rPr>
          <w:rFonts w:eastAsia="Times New Roman" w:cs="Times New Roman"/>
          <w:color w:val="000000" w:themeColor="text1"/>
          <w:szCs w:val="24"/>
          <w:lang w:eastAsia="fr-FR"/>
        </w:rPr>
        <w:t xml:space="preserve"> </w:t>
      </w:r>
      <w:r w:rsidRPr="001C3192">
        <w:rPr>
          <w:rFonts w:eastAsia="Times New Roman" w:cs="Times New Roman"/>
          <w:color w:val="000000" w:themeColor="text1"/>
          <w:szCs w:val="24"/>
          <w:lang w:eastAsia="fr-FR"/>
        </w:rPr>
        <w:t>d’une rétention vis-à-vis de l’autre.</w:t>
      </w:r>
    </w:p>
    <w:p w14:paraId="5D6D8213" w14:textId="61948AC4" w:rsidR="00A67A54" w:rsidRPr="001C3192" w:rsidRDefault="00A67A54" w:rsidP="00A67A54">
      <w:pPr>
        <w:spacing w:after="0" w:line="240" w:lineRule="auto"/>
        <w:rPr>
          <w:rFonts w:cs="Times New Roman"/>
          <w:color w:val="000000" w:themeColor="text1"/>
          <w:szCs w:val="24"/>
        </w:rPr>
      </w:pPr>
      <w:r w:rsidRPr="001C3192">
        <w:rPr>
          <w:rFonts w:eastAsia="Times New Roman" w:cs="Times New Roman"/>
          <w:color w:val="000000" w:themeColor="text1"/>
          <w:szCs w:val="24"/>
          <w:lang w:eastAsia="fr-FR"/>
        </w:rPr>
        <w:t xml:space="preserve">- la distance vis-à-vis </w:t>
      </w:r>
      <w:r w:rsidR="00DF159F" w:rsidRPr="001C3192">
        <w:rPr>
          <w:rFonts w:eastAsia="Times New Roman" w:cs="Times New Roman"/>
          <w:color w:val="000000" w:themeColor="text1"/>
          <w:szCs w:val="24"/>
          <w:lang w:eastAsia="fr-FR"/>
        </w:rPr>
        <w:t>de</w:t>
      </w:r>
      <w:r w:rsidR="00C045AD" w:rsidRPr="001C3192">
        <w:rPr>
          <w:rFonts w:eastAsia="Times New Roman" w:cs="Times New Roman"/>
          <w:color w:val="000000" w:themeColor="text1"/>
          <w:szCs w:val="24"/>
          <w:lang w:eastAsia="fr-FR"/>
        </w:rPr>
        <w:t xml:space="preserve"> </w:t>
      </w:r>
      <w:r w:rsidR="00DF159F" w:rsidRPr="001C3192">
        <w:rPr>
          <w:rFonts w:cs="Times New Roman"/>
          <w:color w:val="000000" w:themeColor="text1"/>
          <w:szCs w:val="24"/>
        </w:rPr>
        <w:t xml:space="preserve">toute autre rétention extérieure associée à des réservoirs, de toute autre activité ou </w:t>
      </w:r>
      <w:r w:rsidR="00497AED" w:rsidRPr="001C3192">
        <w:rPr>
          <w:rFonts w:cs="Times New Roman"/>
          <w:color w:val="000000" w:themeColor="text1"/>
          <w:szCs w:val="24"/>
        </w:rPr>
        <w:t>stockage couvert</w:t>
      </w:r>
      <w:r w:rsidR="00E0588A" w:rsidRPr="001C3192">
        <w:rPr>
          <w:rFonts w:cs="Times New Roman"/>
          <w:color w:val="000000" w:themeColor="text1"/>
          <w:szCs w:val="24"/>
        </w:rPr>
        <w:t>, ou de tout autre stockage</w:t>
      </w:r>
      <w:r w:rsidR="008008F7" w:rsidRPr="001C3192">
        <w:rPr>
          <w:rFonts w:cs="Times New Roman"/>
          <w:color w:val="000000" w:themeColor="text1"/>
          <w:szCs w:val="24"/>
        </w:rPr>
        <w:t xml:space="preserve"> </w:t>
      </w:r>
      <w:r w:rsidR="008008F7" w:rsidRPr="001C3192">
        <w:rPr>
          <w:color w:val="000000" w:themeColor="text1"/>
        </w:rPr>
        <w:t xml:space="preserve">susceptible de favoriser la naissance d'un incendie </w:t>
      </w:r>
      <w:r w:rsidRPr="001C3192">
        <w:rPr>
          <w:rFonts w:eastAsia="Times New Roman" w:cs="Times New Roman"/>
          <w:color w:val="000000" w:themeColor="text1"/>
          <w:szCs w:val="24"/>
          <w:lang w:eastAsia="fr-FR"/>
        </w:rPr>
        <w:t>est de minimum 10 mètres</w:t>
      </w:r>
      <w:r w:rsidR="009A3765" w:rsidRPr="001C3192">
        <w:rPr>
          <w:rFonts w:eastAsia="Times New Roman" w:cs="Times New Roman"/>
          <w:color w:val="000000" w:themeColor="text1"/>
          <w:szCs w:val="24"/>
          <w:lang w:eastAsia="fr-FR"/>
        </w:rPr>
        <w:t>.</w:t>
      </w:r>
      <w:r w:rsidRPr="001C3192">
        <w:rPr>
          <w:rFonts w:eastAsia="Times New Roman" w:cs="Times New Roman"/>
          <w:color w:val="000000" w:themeColor="text1"/>
          <w:szCs w:val="24"/>
          <w:lang w:eastAsia="fr-FR"/>
        </w:rPr>
        <w:t xml:space="preserve"> Cette distance peut être réduite si l’exploitant justifie que les effets domino (seuil des effets thermiques de 8kW/m²) ne sont pas atteints</w:t>
      </w:r>
      <w:r w:rsidR="0031141B" w:rsidRPr="001C3192">
        <w:rPr>
          <w:rFonts w:eastAsia="Times New Roman" w:cs="Times New Roman"/>
          <w:color w:val="000000" w:themeColor="text1"/>
          <w:szCs w:val="24"/>
          <w:lang w:eastAsia="fr-FR"/>
        </w:rPr>
        <w:t xml:space="preserve">, </w:t>
      </w:r>
      <w:r w:rsidR="0031141B" w:rsidRPr="001C3192">
        <w:rPr>
          <w:rFonts w:cs="Times New Roman"/>
          <w:color w:val="000000" w:themeColor="text1"/>
          <w:szCs w:val="24"/>
        </w:rPr>
        <w:t>par l’emploi de dispositions passives,</w:t>
      </w:r>
      <w:r w:rsidRPr="001C3192">
        <w:rPr>
          <w:rFonts w:eastAsia="Times New Roman" w:cs="Times New Roman"/>
          <w:color w:val="000000" w:themeColor="text1"/>
          <w:szCs w:val="24"/>
          <w:lang w:eastAsia="fr-FR"/>
        </w:rPr>
        <w:t xml:space="preserve"> du stockage vers l’autre activité et de l’autre activité vers le stockage.</w:t>
      </w:r>
    </w:p>
    <w:p w14:paraId="3B5E2928" w14:textId="11A591F2" w:rsidR="0050659C" w:rsidRPr="001C3192" w:rsidRDefault="0050659C" w:rsidP="0050659C">
      <w:pPr>
        <w:spacing w:after="0" w:line="240" w:lineRule="auto"/>
        <w:rPr>
          <w:rFonts w:eastAsia="Times New Roman" w:cs="Times New Roman"/>
          <w:color w:val="000000" w:themeColor="text1"/>
          <w:szCs w:val="24"/>
          <w:lang w:eastAsia="fr-FR"/>
        </w:rPr>
      </w:pPr>
    </w:p>
    <w:p w14:paraId="7517189A" w14:textId="5869B050" w:rsidR="0050659C" w:rsidRDefault="00D86779" w:rsidP="0050659C">
      <w:pPr>
        <w:spacing w:after="0" w:line="240" w:lineRule="auto"/>
        <w:rPr>
          <w:rFonts w:eastAsia="Times New Roman" w:cs="Times New Roman"/>
          <w:szCs w:val="24"/>
          <w:lang w:eastAsia="fr-FR"/>
        </w:rPr>
      </w:pPr>
      <w:r>
        <w:rPr>
          <w:rFonts w:eastAsia="Times New Roman" w:cs="Times New Roman"/>
          <w:szCs w:val="24"/>
          <w:lang w:eastAsia="fr-FR"/>
        </w:rPr>
        <w:t>C</w:t>
      </w:r>
      <w:r w:rsidR="00404B4A">
        <w:rPr>
          <w:rFonts w:eastAsia="Times New Roman" w:cs="Times New Roman"/>
          <w:szCs w:val="24"/>
          <w:lang w:eastAsia="fr-FR"/>
        </w:rPr>
        <w:t>es dispositions ne sont pas applicables aux</w:t>
      </w:r>
      <w:r w:rsidR="00404B4A" w:rsidRPr="00B9372D">
        <w:rPr>
          <w:rFonts w:eastAsia="Times New Roman" w:cs="Times New Roman"/>
          <w:szCs w:val="24"/>
          <w:lang w:eastAsia="fr-FR"/>
        </w:rPr>
        <w:t xml:space="preserve"> stockages extérieurs contenant </w:t>
      </w:r>
      <w:r w:rsidR="00A43019">
        <w:rPr>
          <w:rFonts w:eastAsia="Times New Roman" w:cs="Times New Roman"/>
          <w:szCs w:val="24"/>
          <w:lang w:eastAsia="fr-FR"/>
        </w:rPr>
        <w:t>2 mètres cube</w:t>
      </w:r>
      <w:r w:rsidR="00404B4A" w:rsidRPr="00B9372D">
        <w:rPr>
          <w:rFonts w:eastAsia="Times New Roman" w:cs="Times New Roman"/>
          <w:szCs w:val="24"/>
          <w:lang w:eastAsia="fr-FR"/>
        </w:rPr>
        <w:t xml:space="preserve"> </w:t>
      </w:r>
      <w:r w:rsidR="00E86B6E">
        <w:rPr>
          <w:rFonts w:eastAsia="Times New Roman" w:cs="Times New Roman"/>
          <w:szCs w:val="24"/>
          <w:lang w:eastAsia="fr-FR"/>
        </w:rPr>
        <w:t xml:space="preserve">ou moins </w:t>
      </w:r>
      <w:r w:rsidR="00404B4A" w:rsidRPr="00B9372D">
        <w:rPr>
          <w:rFonts w:eastAsia="Times New Roman" w:cs="Times New Roman"/>
          <w:szCs w:val="24"/>
          <w:lang w:eastAsia="fr-FR"/>
        </w:rPr>
        <w:t xml:space="preserve">de liquides inflammables </w:t>
      </w:r>
      <w:r w:rsidR="00404B4A">
        <w:rPr>
          <w:rFonts w:eastAsia="Times New Roman" w:cs="Times New Roman"/>
          <w:szCs w:val="24"/>
          <w:lang w:eastAsia="fr-FR"/>
        </w:rPr>
        <w:t xml:space="preserve">et </w:t>
      </w:r>
      <w:r w:rsidR="00404B4A" w:rsidRPr="00B9372D">
        <w:rPr>
          <w:rFonts w:eastAsia="Times New Roman" w:cs="Times New Roman"/>
          <w:szCs w:val="24"/>
          <w:lang w:eastAsia="fr-FR"/>
        </w:rPr>
        <w:t>de liquides ou solides liquéfiables combustibles</w:t>
      </w:r>
      <w:r w:rsidR="00E86B6E">
        <w:rPr>
          <w:rFonts w:eastAsia="Times New Roman" w:cs="Times New Roman"/>
          <w:szCs w:val="24"/>
          <w:lang w:eastAsia="fr-FR"/>
        </w:rPr>
        <w:t xml:space="preserve"> distants de plus de 10 mètres des autres stockages, ou en armoire de stockage</w:t>
      </w:r>
      <w:r w:rsidR="00404B4A">
        <w:rPr>
          <w:rFonts w:eastAsia="Times New Roman" w:cs="Times New Roman"/>
          <w:szCs w:val="24"/>
          <w:lang w:eastAsia="fr-FR"/>
        </w:rPr>
        <w:t>.</w:t>
      </w:r>
    </w:p>
    <w:p w14:paraId="281E2518" w14:textId="77777777" w:rsidR="001320D4" w:rsidRDefault="001320D4" w:rsidP="0050659C">
      <w:pPr>
        <w:spacing w:after="0" w:line="240" w:lineRule="auto"/>
        <w:rPr>
          <w:rFonts w:eastAsia="Times New Roman" w:cs="Times New Roman"/>
          <w:szCs w:val="24"/>
          <w:lang w:eastAsia="fr-FR"/>
        </w:rPr>
      </w:pPr>
    </w:p>
    <w:p w14:paraId="63F87974" w14:textId="2B138D3D" w:rsidR="001320D4" w:rsidRDefault="001320D4" w:rsidP="0050659C">
      <w:pPr>
        <w:spacing w:after="0" w:line="240" w:lineRule="auto"/>
        <w:rPr>
          <w:rFonts w:eastAsia="Times New Roman" w:cs="Times New Roman"/>
          <w:szCs w:val="24"/>
          <w:lang w:eastAsia="fr-FR"/>
        </w:rPr>
      </w:pPr>
      <w:r>
        <w:rPr>
          <w:rFonts w:eastAsia="Times New Roman" w:cs="Times New Roman"/>
          <w:szCs w:val="24"/>
          <w:lang w:eastAsia="fr-FR"/>
        </w:rPr>
        <w:t>Les éléments de justification sont tenus à la disposition de l’inspection des installations classées.</w:t>
      </w:r>
    </w:p>
    <w:p w14:paraId="4D23E9BE" w14:textId="2DC9465B" w:rsidR="00A67A54" w:rsidRDefault="00A67A54" w:rsidP="00A67A54">
      <w:pPr>
        <w:spacing w:after="0" w:line="240" w:lineRule="auto"/>
        <w:rPr>
          <w:rFonts w:eastAsia="Times New Roman" w:cs="Times New Roman"/>
          <w:szCs w:val="24"/>
          <w:lang w:eastAsia="fr-FR"/>
        </w:rPr>
      </w:pPr>
    </w:p>
    <w:p w14:paraId="1D9CD206" w14:textId="320F1340" w:rsidR="00641DB5" w:rsidRDefault="003C4993" w:rsidP="003C4993">
      <w:pPr>
        <w:pStyle w:val="Titre2"/>
      </w:pPr>
      <w:r>
        <w:t>Détection incendie</w:t>
      </w:r>
    </w:p>
    <w:p w14:paraId="141DB317" w14:textId="37064A15" w:rsidR="00351951" w:rsidRDefault="00361130" w:rsidP="00361130">
      <w:pPr>
        <w:spacing w:after="0" w:line="240" w:lineRule="auto"/>
        <w:rPr>
          <w:rFonts w:eastAsia="Times New Roman" w:cs="Times New Roman"/>
          <w:szCs w:val="24"/>
          <w:lang w:eastAsia="fr-FR"/>
        </w:rPr>
      </w:pPr>
      <w:r w:rsidRPr="00B9372D">
        <w:rPr>
          <w:rFonts w:eastAsia="Times New Roman" w:cs="Times New Roman"/>
          <w:szCs w:val="24"/>
          <w:lang w:eastAsia="fr-FR"/>
        </w:rPr>
        <w:t>Les stockages extérieurs en récipients mobiles sont équipées d’un système de détection incendie. Ce dispositif est conçu, dimensionné et installé de manière à détecter, à tout moment, tout départ de feu sur les zones de stockages concernées. Le dispositif est distinct d’autres dispositif</w:t>
      </w:r>
      <w:r w:rsidR="00420188">
        <w:rPr>
          <w:rFonts w:eastAsia="Times New Roman" w:cs="Times New Roman"/>
          <w:szCs w:val="24"/>
          <w:lang w:eastAsia="fr-FR"/>
        </w:rPr>
        <w:t>s</w:t>
      </w:r>
      <w:r w:rsidRPr="00B9372D">
        <w:rPr>
          <w:rFonts w:eastAsia="Times New Roman" w:cs="Times New Roman"/>
          <w:szCs w:val="24"/>
          <w:lang w:eastAsia="fr-FR"/>
        </w:rPr>
        <w:t xml:space="preserve"> de surveillance (telle que les surveillances anti-intrusion) et transmet une alerte dans les conditions prévues à </w:t>
      </w:r>
      <w:r w:rsidR="00351951" w:rsidRPr="00FA3B7D">
        <w:rPr>
          <w:rFonts w:eastAsia="Times New Roman" w:cs="Times New Roman"/>
          <w:szCs w:val="24"/>
          <w:highlight w:val="yellow"/>
          <w:lang w:eastAsia="fr-FR"/>
        </w:rPr>
        <w:t>l’article</w:t>
      </w:r>
      <w:r w:rsidR="00D9335D" w:rsidRPr="00FA3B7D">
        <w:rPr>
          <w:rFonts w:eastAsia="Times New Roman" w:cs="Times New Roman"/>
          <w:szCs w:val="24"/>
          <w:highlight w:val="yellow"/>
          <w:lang w:eastAsia="fr-FR"/>
        </w:rPr>
        <w:t xml:space="preserve"> IV-</w:t>
      </w:r>
      <w:r w:rsidR="00351951" w:rsidRPr="00FA3B7D">
        <w:rPr>
          <w:rFonts w:eastAsia="Times New Roman" w:cs="Times New Roman"/>
          <w:szCs w:val="24"/>
          <w:highlight w:val="yellow"/>
          <w:lang w:eastAsia="fr-FR"/>
        </w:rPr>
        <w:t>5</w:t>
      </w:r>
      <w:r w:rsidR="00351951">
        <w:rPr>
          <w:rFonts w:eastAsia="Times New Roman" w:cs="Times New Roman"/>
          <w:szCs w:val="24"/>
          <w:lang w:eastAsia="fr-FR"/>
        </w:rPr>
        <w:t xml:space="preserve"> du présent arrêté.</w:t>
      </w:r>
    </w:p>
    <w:p w14:paraId="638E1A63" w14:textId="37097608" w:rsidR="00604F74" w:rsidRPr="00604F74" w:rsidRDefault="00361130" w:rsidP="00604F74">
      <w:pPr>
        <w:spacing w:after="0" w:line="240" w:lineRule="auto"/>
        <w:rPr>
          <w:rFonts w:eastAsia="Times New Roman" w:cs="Times New Roman"/>
          <w:szCs w:val="24"/>
          <w:lang w:eastAsia="fr-FR"/>
        </w:rPr>
      </w:pPr>
      <w:r w:rsidRPr="00B9372D">
        <w:rPr>
          <w:rFonts w:eastAsia="Times New Roman" w:cs="Times New Roman"/>
          <w:szCs w:val="24"/>
          <w:lang w:eastAsia="fr-FR"/>
        </w:rPr>
        <w:t>Cette disposition ne s’applique pas aux stockages extérieurs contenant moins de 10 mètres cube de liquides inflammables</w:t>
      </w:r>
      <w:r w:rsidR="006B3C34">
        <w:rPr>
          <w:rFonts w:eastAsia="Times New Roman" w:cs="Times New Roman"/>
          <w:szCs w:val="24"/>
          <w:lang w:eastAsia="fr-FR"/>
        </w:rPr>
        <w:t xml:space="preserve"> et de </w:t>
      </w:r>
      <w:r w:rsidR="00E674B3">
        <w:rPr>
          <w:rFonts w:eastAsia="Times New Roman" w:cs="Times New Roman"/>
          <w:szCs w:val="24"/>
          <w:lang w:eastAsia="fr-FR"/>
        </w:rPr>
        <w:t>liquides et solides liquéfiables combustibles</w:t>
      </w:r>
      <w:r w:rsidRPr="00B9372D">
        <w:rPr>
          <w:rFonts w:eastAsia="Times New Roman" w:cs="Times New Roman"/>
          <w:szCs w:val="24"/>
          <w:lang w:eastAsia="fr-FR"/>
        </w:rPr>
        <w:t>,</w:t>
      </w:r>
      <w:r w:rsidR="00604F74">
        <w:rPr>
          <w:rFonts w:eastAsia="Times New Roman" w:cs="Times New Roman"/>
          <w:szCs w:val="24"/>
          <w:lang w:eastAsia="fr-FR"/>
        </w:rPr>
        <w:t xml:space="preserve"> et pour lesquels l</w:t>
      </w:r>
      <w:r w:rsidR="00DB5358">
        <w:rPr>
          <w:rFonts w:eastAsia="Times New Roman" w:cs="Times New Roman"/>
          <w:szCs w:val="24"/>
          <w:lang w:eastAsia="fr-FR"/>
        </w:rPr>
        <w:t>’une d</w:t>
      </w:r>
      <w:r w:rsidR="00604F74">
        <w:rPr>
          <w:rFonts w:eastAsia="Times New Roman" w:cs="Times New Roman"/>
          <w:szCs w:val="24"/>
          <w:lang w:eastAsia="fr-FR"/>
        </w:rPr>
        <w:t xml:space="preserve">es conditions suivantes </w:t>
      </w:r>
      <w:r w:rsidR="00DB5358">
        <w:rPr>
          <w:rFonts w:eastAsia="Times New Roman" w:cs="Times New Roman"/>
          <w:szCs w:val="24"/>
          <w:lang w:eastAsia="fr-FR"/>
        </w:rPr>
        <w:t xml:space="preserve">est </w:t>
      </w:r>
      <w:r w:rsidR="00604F74">
        <w:rPr>
          <w:rFonts w:eastAsia="Times New Roman" w:cs="Times New Roman"/>
          <w:szCs w:val="24"/>
          <w:lang w:eastAsia="fr-FR"/>
        </w:rPr>
        <w:t xml:space="preserve">respectée : </w:t>
      </w:r>
    </w:p>
    <w:p w14:paraId="5D973296" w14:textId="30F3C95E" w:rsidR="00604F74" w:rsidRDefault="00604F74" w:rsidP="00604F74">
      <w:pPr>
        <w:spacing w:after="0" w:line="240" w:lineRule="auto"/>
        <w:rPr>
          <w:rFonts w:cs="Times New Roman"/>
          <w:szCs w:val="24"/>
        </w:rPr>
      </w:pPr>
      <w:r>
        <w:rPr>
          <w:rFonts w:cs="Times New Roman"/>
          <w:szCs w:val="24"/>
        </w:rPr>
        <w:t>-</w:t>
      </w:r>
      <w:r w:rsidRPr="00B9372D">
        <w:rPr>
          <w:rFonts w:cs="Times New Roman"/>
          <w:szCs w:val="24"/>
        </w:rPr>
        <w:t xml:space="preserve"> chacun de ces stockages</w:t>
      </w:r>
      <w:r>
        <w:rPr>
          <w:rFonts w:cs="Times New Roman"/>
          <w:szCs w:val="24"/>
        </w:rPr>
        <w:t xml:space="preserve"> est </w:t>
      </w:r>
      <w:r w:rsidRPr="00B9372D">
        <w:rPr>
          <w:rFonts w:cs="Times New Roman"/>
          <w:szCs w:val="24"/>
        </w:rPr>
        <w:t>distant d'un espace libre d'au moins 10 mètres des autres stockages susceptibles d'abriter au moins un liquide inflammable</w:t>
      </w:r>
      <w:r w:rsidR="005D2992">
        <w:rPr>
          <w:rFonts w:cs="Times New Roman"/>
          <w:szCs w:val="24"/>
        </w:rPr>
        <w:t> ;</w:t>
      </w:r>
    </w:p>
    <w:p w14:paraId="0C7C908B" w14:textId="29498997" w:rsidR="00604F74" w:rsidRPr="00CA69A8" w:rsidRDefault="00DB5358" w:rsidP="00604F74">
      <w:pPr>
        <w:spacing w:after="0" w:line="240" w:lineRule="auto"/>
      </w:pPr>
      <w:r>
        <w:rPr>
          <w:rFonts w:cs="Times New Roman"/>
          <w:szCs w:val="24"/>
        </w:rPr>
        <w:t xml:space="preserve">- </w:t>
      </w:r>
      <w:r w:rsidR="00630C80">
        <w:rPr>
          <w:rFonts w:cs="Times New Roman"/>
          <w:szCs w:val="24"/>
        </w:rPr>
        <w:t>ou</w:t>
      </w:r>
      <w:r>
        <w:rPr>
          <w:rFonts w:cs="Times New Roman"/>
          <w:szCs w:val="24"/>
        </w:rPr>
        <w:t xml:space="preserve"> l’exploitant justifie que</w:t>
      </w:r>
      <w:r w:rsidR="0031141B">
        <w:rPr>
          <w:rFonts w:cs="Times New Roman"/>
          <w:szCs w:val="24"/>
        </w:rPr>
        <w:t xml:space="preserve"> </w:t>
      </w:r>
      <w:r>
        <w:rPr>
          <w:rFonts w:cs="Times New Roman"/>
          <w:szCs w:val="24"/>
        </w:rPr>
        <w:t>les effets dominos (seuil des effets thermiques de 8kW/m²) ne sont pa</w:t>
      </w:r>
      <w:r w:rsidR="00630C80">
        <w:rPr>
          <w:rFonts w:cs="Times New Roman"/>
          <w:szCs w:val="24"/>
        </w:rPr>
        <w:t xml:space="preserve">s </w:t>
      </w:r>
      <w:r w:rsidR="00630C80" w:rsidRPr="001C3192">
        <w:rPr>
          <w:rFonts w:cs="Times New Roman"/>
          <w:color w:val="000000" w:themeColor="text1"/>
          <w:szCs w:val="24"/>
        </w:rPr>
        <w:t>atteints</w:t>
      </w:r>
      <w:r w:rsidR="0031141B" w:rsidRPr="001C3192">
        <w:rPr>
          <w:rFonts w:eastAsia="Times New Roman" w:cs="Times New Roman"/>
          <w:color w:val="000000" w:themeColor="text1"/>
          <w:szCs w:val="24"/>
          <w:lang w:eastAsia="fr-FR"/>
        </w:rPr>
        <w:t xml:space="preserve">, </w:t>
      </w:r>
      <w:r w:rsidR="0031141B" w:rsidRPr="001C3192">
        <w:rPr>
          <w:rFonts w:cs="Times New Roman"/>
          <w:color w:val="000000" w:themeColor="text1"/>
          <w:szCs w:val="24"/>
        </w:rPr>
        <w:t>par l’emploi de dispositions passives,</w:t>
      </w:r>
      <w:r w:rsidR="00630C80" w:rsidRPr="001C3192">
        <w:rPr>
          <w:rFonts w:cs="Times New Roman"/>
          <w:color w:val="000000" w:themeColor="text1"/>
          <w:szCs w:val="24"/>
        </w:rPr>
        <w:t xml:space="preserve"> d’un stockage vers tout </w:t>
      </w:r>
      <w:r w:rsidRPr="001C3192">
        <w:rPr>
          <w:rFonts w:cs="Times New Roman"/>
          <w:color w:val="000000" w:themeColor="text1"/>
          <w:szCs w:val="24"/>
        </w:rPr>
        <w:t>autre stockage</w:t>
      </w:r>
      <w:r w:rsidR="00630C80" w:rsidRPr="001C3192">
        <w:rPr>
          <w:rFonts w:cs="Times New Roman"/>
          <w:color w:val="000000" w:themeColor="text1"/>
          <w:szCs w:val="24"/>
        </w:rPr>
        <w:t xml:space="preserve"> susceptible d’abriter au moins un liquide inflammable</w:t>
      </w:r>
      <w:r w:rsidRPr="001C3192">
        <w:rPr>
          <w:rFonts w:cs="Times New Roman"/>
          <w:color w:val="000000" w:themeColor="text1"/>
          <w:szCs w:val="24"/>
        </w:rPr>
        <w:t xml:space="preserve">, et réciproquement. La mise en place d’un mur </w:t>
      </w:r>
      <w:r w:rsidR="00604F74" w:rsidRPr="001C3192">
        <w:rPr>
          <w:color w:val="000000" w:themeColor="text1"/>
        </w:rPr>
        <w:t xml:space="preserve">coupe-feu EI 120 de dimensions suffisantes pour contenir les effets dominos </w:t>
      </w:r>
      <w:r w:rsidR="00CA69A8" w:rsidRPr="001C3192">
        <w:rPr>
          <w:color w:val="000000" w:themeColor="text1"/>
        </w:rPr>
        <w:t>perme</w:t>
      </w:r>
      <w:r w:rsidR="00630C80" w:rsidRPr="001C3192">
        <w:rPr>
          <w:color w:val="000000" w:themeColor="text1"/>
        </w:rPr>
        <w:t xml:space="preserve">t </w:t>
      </w:r>
      <w:r w:rsidR="00A8031F" w:rsidRPr="001C3192">
        <w:rPr>
          <w:color w:val="000000" w:themeColor="text1"/>
        </w:rPr>
        <w:t xml:space="preserve">de </w:t>
      </w:r>
      <w:r w:rsidR="00630C80" w:rsidRPr="001C3192">
        <w:rPr>
          <w:color w:val="000000" w:themeColor="text1"/>
        </w:rPr>
        <w:t>répondre</w:t>
      </w:r>
      <w:r w:rsidR="00CA69A8" w:rsidRPr="001C3192">
        <w:rPr>
          <w:color w:val="000000" w:themeColor="text1"/>
        </w:rPr>
        <w:t xml:space="preserve"> à cette exigence</w:t>
      </w:r>
      <w:r w:rsidRPr="001C3192">
        <w:rPr>
          <w:color w:val="000000" w:themeColor="text1"/>
        </w:rPr>
        <w:t xml:space="preserve">. Dans ce cas, les </w:t>
      </w:r>
      <w:r w:rsidR="00604F74" w:rsidRPr="001C3192">
        <w:rPr>
          <w:color w:val="000000" w:themeColor="text1"/>
        </w:rPr>
        <w:t xml:space="preserve">éléments de </w:t>
      </w:r>
      <w:r w:rsidR="00A15D32" w:rsidRPr="001C3192">
        <w:rPr>
          <w:color w:val="000000" w:themeColor="text1"/>
        </w:rPr>
        <w:t xml:space="preserve">justification et, le cas échéant, </w:t>
      </w:r>
      <w:r w:rsidR="00604F74" w:rsidRPr="001C3192">
        <w:rPr>
          <w:color w:val="000000" w:themeColor="text1"/>
        </w:rPr>
        <w:t xml:space="preserve">démonstration du </w:t>
      </w:r>
      <w:r w:rsidR="001C3192">
        <w:t>respect des règles en vigueur</w:t>
      </w:r>
      <w:r w:rsidR="00A15D32">
        <w:t xml:space="preserve"> </w:t>
      </w:r>
      <w:r w:rsidR="00604F74">
        <w:t>concernant</w:t>
      </w:r>
      <w:r w:rsidR="00A15D32">
        <w:t xml:space="preserve"> le mur coupe-feu</w:t>
      </w:r>
      <w:r w:rsidR="00604F74">
        <w:t xml:space="preserve"> sont tenus à la disposition de l’inspec</w:t>
      </w:r>
      <w:r w:rsidR="005D2992">
        <w:t>tion des installations classées</w:t>
      </w:r>
      <w:r w:rsidR="00604F74" w:rsidRPr="00B9372D">
        <w:rPr>
          <w:rFonts w:cs="Times New Roman"/>
          <w:szCs w:val="24"/>
        </w:rPr>
        <w:t xml:space="preserve">. </w:t>
      </w:r>
    </w:p>
    <w:p w14:paraId="3547F817" w14:textId="774CE285" w:rsidR="00361130" w:rsidRDefault="00361130" w:rsidP="00361130">
      <w:pPr>
        <w:spacing w:after="0" w:line="240" w:lineRule="auto"/>
        <w:rPr>
          <w:rFonts w:cs="Times New Roman"/>
          <w:szCs w:val="24"/>
        </w:rPr>
      </w:pPr>
      <w:r w:rsidRPr="00B9372D">
        <w:rPr>
          <w:rFonts w:cs="Times New Roman"/>
          <w:szCs w:val="24"/>
        </w:rPr>
        <w:t>Cette quantité maximale de 10 mètres cube est limitée au strict besoin d'exploitation.</w:t>
      </w:r>
    </w:p>
    <w:p w14:paraId="769D2C56" w14:textId="77777777" w:rsidR="00604F74" w:rsidRDefault="00604F74" w:rsidP="00361130">
      <w:pPr>
        <w:spacing w:after="0" w:line="240" w:lineRule="auto"/>
        <w:rPr>
          <w:rFonts w:cs="Times New Roman"/>
          <w:szCs w:val="24"/>
        </w:rPr>
      </w:pPr>
    </w:p>
    <w:p w14:paraId="63023371" w14:textId="0D8E52E1" w:rsidR="003C4993" w:rsidRDefault="003C4993" w:rsidP="003C4993">
      <w:pPr>
        <w:rPr>
          <w:lang w:eastAsia="fr-FR"/>
        </w:rPr>
      </w:pPr>
    </w:p>
    <w:p w14:paraId="6E8213A0" w14:textId="04317619" w:rsidR="003B59E1" w:rsidRPr="003C4993" w:rsidRDefault="003B59E1" w:rsidP="003C4993">
      <w:pPr>
        <w:rPr>
          <w:b/>
          <w:u w:val="single"/>
          <w:lang w:eastAsia="fr-FR"/>
        </w:rPr>
      </w:pPr>
      <w:r w:rsidRPr="003C4993">
        <w:rPr>
          <w:b/>
          <w:u w:val="single"/>
          <w:lang w:eastAsia="fr-FR"/>
        </w:rPr>
        <w:t>Section IV – Dispositions applicables aux rétentions</w:t>
      </w:r>
    </w:p>
    <w:p w14:paraId="5EFA0B8E" w14:textId="46158BDB" w:rsidR="003B59E1" w:rsidRPr="007532D6" w:rsidRDefault="00564869" w:rsidP="00564869">
      <w:pPr>
        <w:pStyle w:val="Titre2"/>
      </w:pPr>
      <w:r>
        <w:t>Dispositions générales</w:t>
      </w:r>
    </w:p>
    <w:p w14:paraId="399A3362" w14:textId="7254E3D7" w:rsidR="003B59E1" w:rsidRDefault="00AF7E3A" w:rsidP="000C6B29">
      <w:pPr>
        <w:pStyle w:val="Titre3"/>
      </w:pPr>
      <w:r>
        <w:t>C</w:t>
      </w:r>
      <w:r w:rsidR="003B59E1">
        <w:t>onception des rétentions</w:t>
      </w:r>
    </w:p>
    <w:p w14:paraId="4ECC7C84" w14:textId="57B81CC0" w:rsidR="003B59E1" w:rsidRDefault="003B59E1" w:rsidP="003C4993">
      <w:r>
        <w:t>Les rétentions sont étanches, c’est-à-dire qu’elles répondent aux dispositions suivantes :</w:t>
      </w:r>
    </w:p>
    <w:p w14:paraId="0B895906" w14:textId="77777777" w:rsidR="003B59E1" w:rsidRDefault="003B59E1" w:rsidP="006F21C4">
      <w:pPr>
        <w:pStyle w:val="NormalWeb"/>
        <w:numPr>
          <w:ilvl w:val="0"/>
          <w:numId w:val="13"/>
        </w:numPr>
        <w:spacing w:before="0" w:beforeAutospacing="0" w:after="0" w:afterAutospacing="0"/>
      </w:pPr>
      <w:r>
        <w:lastRenderedPageBreak/>
        <w:t>Elles sont pourvues d’un dispositif d’étanchéité constitué par un revêtement en béton ou tout autre revêtement présentant des caractéristiques d’étanchéité au moins équivalentes ;</w:t>
      </w:r>
    </w:p>
    <w:p w14:paraId="6E54B17C" w14:textId="5FB3F126" w:rsidR="0014041A" w:rsidRDefault="003B59E1" w:rsidP="006F21C4">
      <w:pPr>
        <w:pStyle w:val="NormalWeb"/>
        <w:numPr>
          <w:ilvl w:val="0"/>
          <w:numId w:val="13"/>
        </w:numPr>
        <w:spacing w:after="0"/>
      </w:pPr>
      <w:r>
        <w:t>Elles sont conçues et entretenues pour résister à la pression statique du liquide inflammable éventuellement répandu et à l’action physico-chimique des produits pouvant être recueillis.</w:t>
      </w:r>
      <w:r w:rsidR="007040F4">
        <w:t xml:space="preserve"> Il en est de même pour son dispositif d'obturation,</w:t>
      </w:r>
      <w:r w:rsidR="00E31DB7">
        <w:t xml:space="preserve"> si il existe</w:t>
      </w:r>
      <w:r w:rsidR="0014041A">
        <w:t>.</w:t>
      </w:r>
      <w:r w:rsidR="007040F4">
        <w:t xml:space="preserve"> </w:t>
      </w:r>
    </w:p>
    <w:p w14:paraId="636F6EF7" w14:textId="70BA7F68" w:rsidR="007040F4" w:rsidRDefault="0014041A" w:rsidP="0014041A">
      <w:pPr>
        <w:pStyle w:val="NormalWeb"/>
        <w:numPr>
          <w:ilvl w:val="0"/>
          <w:numId w:val="13"/>
        </w:numPr>
        <w:spacing w:after="0"/>
      </w:pPr>
      <w:r>
        <w:t>En cas de rétention</w:t>
      </w:r>
      <w:r w:rsidR="005D2992">
        <w:t xml:space="preserve"> </w:t>
      </w:r>
      <w:r w:rsidR="004C0595">
        <w:t>locale</w:t>
      </w:r>
      <w:r>
        <w:t xml:space="preserve">, le dispositif d’obturation, </w:t>
      </w:r>
      <w:r w:rsidR="007040F4">
        <w:t>est maintenu fermé, s'il existe</w:t>
      </w:r>
      <w:r>
        <w:t>. En cas de rétention déportée, celle-ci-</w:t>
      </w:r>
      <w:r w:rsidR="00420188">
        <w:t>est</w:t>
      </w:r>
      <w:r>
        <w:t xml:space="preserve"> conforme aux</w:t>
      </w:r>
      <w:r w:rsidR="005D2992">
        <w:t xml:space="preserve"> dispositions de l’article</w:t>
      </w:r>
      <w:r w:rsidR="00D9335D">
        <w:t xml:space="preserve"> </w:t>
      </w:r>
      <w:r w:rsidR="00D9335D" w:rsidRPr="00FA3B7D">
        <w:rPr>
          <w:highlight w:val="yellow"/>
        </w:rPr>
        <w:t>III-</w:t>
      </w:r>
      <w:r w:rsidRPr="00FA3B7D">
        <w:rPr>
          <w:highlight w:val="yellow"/>
        </w:rPr>
        <w:t>14</w:t>
      </w:r>
      <w:r>
        <w:t xml:space="preserve"> du présent arrêté.</w:t>
      </w:r>
    </w:p>
    <w:p w14:paraId="67308226" w14:textId="457C961A" w:rsidR="005443BB" w:rsidRDefault="005443BB" w:rsidP="006F21C4">
      <w:pPr>
        <w:pStyle w:val="NormalWeb"/>
        <w:numPr>
          <w:ilvl w:val="0"/>
          <w:numId w:val="13"/>
        </w:numPr>
        <w:spacing w:before="0" w:beforeAutospacing="0" w:after="0" w:afterAutospacing="0"/>
      </w:pPr>
      <w:r>
        <w:t xml:space="preserve">Les parois des rétentions sont incombustibles. </w:t>
      </w:r>
      <w:r w:rsidRPr="00610FC6">
        <w:t>Si le volume de ces rétentions est supérieur à 3 000 litres, les parois sont RE 30</w:t>
      </w:r>
      <w:r w:rsidR="004C0595">
        <w:t>, à l’exception de celles creusées</w:t>
      </w:r>
      <w:r w:rsidRPr="00610FC6">
        <w:t>.</w:t>
      </w:r>
    </w:p>
    <w:p w14:paraId="524CCBBA" w14:textId="77777777" w:rsidR="005443BB" w:rsidRDefault="005443BB" w:rsidP="003B59E1">
      <w:pPr>
        <w:pStyle w:val="NormalWeb"/>
        <w:spacing w:before="0" w:beforeAutospacing="0" w:after="0" w:afterAutospacing="0"/>
      </w:pPr>
    </w:p>
    <w:p w14:paraId="5011C185" w14:textId="5439EE12" w:rsidR="005443BB" w:rsidRDefault="005443BB" w:rsidP="003B59E1">
      <w:pPr>
        <w:pStyle w:val="NormalWeb"/>
        <w:spacing w:before="0" w:beforeAutospacing="0" w:after="0" w:afterAutospacing="0"/>
      </w:pPr>
      <w:r>
        <w:t>L’exploitant s’assure dans le temps de la pérennité de ce dispositif. L’étanchéité ne doit notamment pas être compromise par les produits pouvant être recueillis, par un éventuel incendie ou par les éventuelles agressions physiques liées à l’exploitation courante.</w:t>
      </w:r>
    </w:p>
    <w:p w14:paraId="2DF80092" w14:textId="5D965FC7" w:rsidR="006258D5" w:rsidRDefault="006258D5" w:rsidP="003B59E1">
      <w:pPr>
        <w:pStyle w:val="NormalWeb"/>
        <w:spacing w:before="0" w:beforeAutospacing="0" w:after="0" w:afterAutospacing="0"/>
      </w:pPr>
    </w:p>
    <w:p w14:paraId="0578AC80" w14:textId="3EA729E7" w:rsidR="005443BB" w:rsidRDefault="005443BB" w:rsidP="000C6B29">
      <w:pPr>
        <w:pStyle w:val="Titre3"/>
      </w:pPr>
      <w:r>
        <w:t>Entretien des rétentions</w:t>
      </w:r>
    </w:p>
    <w:p w14:paraId="2DFF52CB" w14:textId="3718015A" w:rsidR="00AF7E3A" w:rsidRDefault="00AF7E3A" w:rsidP="00AF7E3A">
      <w:pPr>
        <w:pStyle w:val="NormalWeb"/>
        <w:spacing w:before="0" w:beforeAutospacing="0" w:after="0" w:afterAutospacing="0"/>
      </w:pPr>
      <w:r w:rsidRPr="00610FC6">
        <w:t>L'exploitant veille à ce que les capacités de rétention soient disponibles en permanence</w:t>
      </w:r>
      <w:r>
        <w:t>.</w:t>
      </w:r>
    </w:p>
    <w:p w14:paraId="69ABDECB" w14:textId="3EADDAC8" w:rsidR="005443BB" w:rsidRDefault="005443BB" w:rsidP="005443BB">
      <w:pPr>
        <w:pStyle w:val="NormalWeb"/>
        <w:spacing w:before="0" w:beforeAutospacing="0" w:after="0" w:afterAutospacing="0"/>
      </w:pPr>
      <w:r>
        <w:t xml:space="preserve">Les rétentions prévues aux articles </w:t>
      </w:r>
      <w:r w:rsidR="000A4398">
        <w:rPr>
          <w:highlight w:val="yellow"/>
        </w:rPr>
        <w:t>III-12, III-13 et III-14</w:t>
      </w:r>
      <w:r>
        <w:t xml:space="preserve"> font l’objet d’une maintenance appropriée. L’exploitant définit par procédure d’exploitation les m</w:t>
      </w:r>
      <w:r w:rsidR="00342D96">
        <w:t xml:space="preserve">odalités de réalisation </w:t>
      </w:r>
      <w:r w:rsidR="0066099E">
        <w:t>du plan de surveillance des rétentions, comportant au minimum un</w:t>
      </w:r>
      <w:r w:rsidR="00342D96">
        <w:t xml:space="preserve"> exame</w:t>
      </w:r>
      <w:r>
        <w:t xml:space="preserve">n visuel régulier et d’un examen </w:t>
      </w:r>
      <w:r w:rsidR="0066099E">
        <w:t xml:space="preserve">visuel </w:t>
      </w:r>
      <w:r>
        <w:t xml:space="preserve">annuel approfondi. </w:t>
      </w:r>
    </w:p>
    <w:p w14:paraId="2C4CC866" w14:textId="77777777" w:rsidR="002F50CD" w:rsidRPr="006E18F5" w:rsidRDefault="002F50CD" w:rsidP="006E18F5">
      <w:pPr>
        <w:spacing w:after="0" w:line="240" w:lineRule="auto"/>
        <w:rPr>
          <w:rFonts w:eastAsia="Times New Roman" w:cs="Times New Roman"/>
          <w:szCs w:val="24"/>
          <w:lang w:eastAsia="fr-FR"/>
        </w:rPr>
      </w:pPr>
    </w:p>
    <w:p w14:paraId="51C50D42" w14:textId="0AED90CD" w:rsidR="002F50CD" w:rsidRPr="002F50CD" w:rsidRDefault="002F50CD" w:rsidP="000C6B29">
      <w:pPr>
        <w:pStyle w:val="Titre3"/>
        <w:rPr>
          <w:rFonts w:eastAsia="Times New Roman"/>
          <w:lang w:eastAsia="fr-FR"/>
        </w:rPr>
      </w:pPr>
      <w:r w:rsidRPr="006E18F5">
        <w:rPr>
          <w:rFonts w:eastAsia="Times New Roman"/>
          <w:lang w:eastAsia="fr-FR"/>
        </w:rPr>
        <w:t>A l'exception des cellules de liquides inflammables</w:t>
      </w:r>
      <w:r w:rsidR="002F7E1D">
        <w:rPr>
          <w:rFonts w:eastAsia="Times New Roman"/>
          <w:lang w:eastAsia="fr-FR"/>
        </w:rPr>
        <w:t xml:space="preserve"> et cellules de </w:t>
      </w:r>
      <w:r w:rsidR="00E674B3">
        <w:rPr>
          <w:rFonts w:eastAsia="Times New Roman"/>
          <w:lang w:eastAsia="fr-FR"/>
        </w:rPr>
        <w:t>liquides et solides liquéfiables combustibles</w:t>
      </w:r>
      <w:r w:rsidR="004C0595">
        <w:rPr>
          <w:rFonts w:eastAsia="Times New Roman"/>
          <w:lang w:eastAsia="fr-FR"/>
        </w:rPr>
        <w:t xml:space="preserve">, </w:t>
      </w:r>
      <w:r w:rsidR="0092185A">
        <w:rPr>
          <w:rFonts w:eastAsia="Times New Roman"/>
          <w:lang w:eastAsia="fr-FR"/>
        </w:rPr>
        <w:t xml:space="preserve">conformes </w:t>
      </w:r>
      <w:r w:rsidR="00775D54">
        <w:rPr>
          <w:rFonts w:eastAsia="Times New Roman"/>
          <w:lang w:eastAsia="fr-FR"/>
        </w:rPr>
        <w:t xml:space="preserve">aux dispositions de l’article </w:t>
      </w:r>
      <w:r w:rsidR="00D9335D">
        <w:rPr>
          <w:rFonts w:eastAsia="Times New Roman"/>
          <w:highlight w:val="yellow"/>
          <w:lang w:eastAsia="fr-FR"/>
        </w:rPr>
        <w:t>III-</w:t>
      </w:r>
      <w:r w:rsidR="00775D54" w:rsidRPr="004C0595">
        <w:rPr>
          <w:rFonts w:eastAsia="Times New Roman"/>
          <w:highlight w:val="yellow"/>
          <w:lang w:eastAsia="fr-FR"/>
        </w:rPr>
        <w:t>13</w:t>
      </w:r>
      <w:r w:rsidRPr="006E18F5">
        <w:rPr>
          <w:rFonts w:eastAsia="Times New Roman"/>
          <w:lang w:eastAsia="fr-FR"/>
        </w:rPr>
        <w:t xml:space="preserve"> du présent arrêté, le sol des aires et des locaux de stockage ou de manipulation des matières dangereuses pour l'homme ou susceptibles de créer une pollution de l'eau ou du sol est étanche et équipé de façon à pouvoir recueillir les éventuelles eaux de lavage et les matières répandues accidentellement</w:t>
      </w:r>
      <w:r w:rsidRPr="002F50CD">
        <w:rPr>
          <w:rFonts w:eastAsia="Times New Roman"/>
          <w:lang w:eastAsia="fr-FR"/>
        </w:rPr>
        <w:t>.</w:t>
      </w:r>
    </w:p>
    <w:p w14:paraId="5FC2DE1D" w14:textId="77777777" w:rsidR="006E18F5" w:rsidRPr="006E18F5" w:rsidRDefault="006E18F5" w:rsidP="006E18F5">
      <w:pPr>
        <w:spacing w:after="0" w:line="240" w:lineRule="auto"/>
        <w:rPr>
          <w:rFonts w:eastAsia="Times New Roman" w:cs="Times New Roman"/>
          <w:szCs w:val="24"/>
          <w:lang w:eastAsia="fr-FR"/>
        </w:rPr>
      </w:pPr>
    </w:p>
    <w:p w14:paraId="3351A96E" w14:textId="0AB3D7F8" w:rsidR="00052192" w:rsidRPr="000C6B29" w:rsidRDefault="00052192" w:rsidP="000C6B29">
      <w:pPr>
        <w:pStyle w:val="Titre3"/>
        <w:rPr>
          <w:rFonts w:eastAsia="Times New Roman"/>
          <w:lang w:eastAsia="fr-FR"/>
        </w:rPr>
      </w:pPr>
      <w:r w:rsidRPr="000C6B29">
        <w:rPr>
          <w:rFonts w:eastAsia="Times New Roman"/>
          <w:lang w:eastAsia="fr-FR"/>
        </w:rPr>
        <w:t>Les produits récupérés en cas d’accident ne peuvent être rejetés que dans des conditions conformes aux présent arrêté ou sont éliminés vers les filières de traitement des déchets appropriés.</w:t>
      </w:r>
    </w:p>
    <w:p w14:paraId="79ECCC4F" w14:textId="77777777" w:rsidR="00052192" w:rsidRPr="006E18F5" w:rsidRDefault="00052192" w:rsidP="006E18F5">
      <w:pPr>
        <w:spacing w:after="0" w:line="240" w:lineRule="auto"/>
        <w:rPr>
          <w:rFonts w:eastAsia="Times New Roman" w:cs="Times New Roman"/>
          <w:b/>
          <w:szCs w:val="24"/>
          <w:u w:val="single"/>
          <w:lang w:eastAsia="fr-FR"/>
        </w:rPr>
      </w:pPr>
    </w:p>
    <w:p w14:paraId="33045909" w14:textId="52AF7B5A" w:rsidR="006258D5" w:rsidRDefault="006258D5" w:rsidP="00564869">
      <w:pPr>
        <w:pStyle w:val="Titre2"/>
      </w:pPr>
      <w:r w:rsidRPr="009A3765">
        <w:t>Capacité de rétention</w:t>
      </w:r>
      <w:r w:rsidR="001736C0">
        <w:t xml:space="preserve"> – Cas général</w:t>
      </w:r>
    </w:p>
    <w:p w14:paraId="6C87C1C6" w14:textId="5D7D9C85" w:rsidR="00F97052" w:rsidRDefault="00F97052" w:rsidP="00F97052">
      <w:pPr>
        <w:pStyle w:val="NormalWeb"/>
        <w:spacing w:before="0" w:beforeAutospacing="0" w:after="0" w:afterAutospacing="0"/>
      </w:pPr>
      <w:r>
        <w:t xml:space="preserve">Les dispositions du présent article ne sont applicables </w:t>
      </w:r>
      <w:r w:rsidR="001736C0">
        <w:t xml:space="preserve">ni </w:t>
      </w:r>
      <w:r>
        <w:t xml:space="preserve">aux cellules de liquides et solides liquéfiables combustibles conformes aux dispositions du </w:t>
      </w:r>
      <w:r w:rsidRPr="00442B2A">
        <w:rPr>
          <w:highlight w:val="yellow"/>
        </w:rPr>
        <w:t>II</w:t>
      </w:r>
      <w:r w:rsidR="0003612E">
        <w:rPr>
          <w:highlight w:val="yellow"/>
        </w:rPr>
        <w:t>I</w:t>
      </w:r>
      <w:r w:rsidRPr="00442B2A">
        <w:rPr>
          <w:highlight w:val="yellow"/>
        </w:rPr>
        <w:t>. de l’article III-13</w:t>
      </w:r>
      <w:r>
        <w:t xml:space="preserve"> </w:t>
      </w:r>
      <w:r w:rsidR="001736C0">
        <w:t>ni aux</w:t>
      </w:r>
      <w:r>
        <w:t xml:space="preserve"> cellules de liquides inflammables.</w:t>
      </w:r>
    </w:p>
    <w:p w14:paraId="557C4448" w14:textId="5E145241" w:rsidR="006258D5" w:rsidRDefault="006258D5" w:rsidP="006E18F5">
      <w:pPr>
        <w:pStyle w:val="NormalWeb"/>
        <w:spacing w:before="0" w:beforeAutospacing="0" w:after="0" w:afterAutospacing="0"/>
      </w:pPr>
    </w:p>
    <w:p w14:paraId="42725CDE" w14:textId="6252C2C5" w:rsidR="00083C13" w:rsidRDefault="00083C13" w:rsidP="000C6B29">
      <w:pPr>
        <w:pStyle w:val="Titre3"/>
      </w:pPr>
      <w:r>
        <w:t xml:space="preserve">Dispositions pour les </w:t>
      </w:r>
      <w:r w:rsidR="000C4DE8">
        <w:t>stockages en récipients mobiles</w:t>
      </w:r>
    </w:p>
    <w:p w14:paraId="4B7B3495" w14:textId="3FEB82AA" w:rsidR="00083C13" w:rsidRDefault="00083C13" w:rsidP="006E18F5">
      <w:pPr>
        <w:pStyle w:val="NormalWeb"/>
        <w:spacing w:before="0" w:beforeAutospacing="0" w:after="0" w:afterAutospacing="0"/>
        <w:ind w:left="454"/>
      </w:pPr>
      <w:r>
        <w:t>Pour chaque récipient mobile ou groupe de récipients mobiles contenant au moin</w:t>
      </w:r>
      <w:r w:rsidR="00286A94">
        <w:t>s</w:t>
      </w:r>
      <w:r>
        <w:t xml:space="preserve"> un liquide inflammab</w:t>
      </w:r>
      <w:r w:rsidR="000C4DE8">
        <w:t>le ou</w:t>
      </w:r>
      <w:r w:rsidRPr="006D4DBC">
        <w:t xml:space="preserve"> un liquide ou solide liquéfiable combustible, dès lors qu’il entre dans les conditions de proximité avec un liquide in</w:t>
      </w:r>
      <w:r>
        <w:t xml:space="preserve">flammable définies à l’article </w:t>
      </w:r>
      <w:r w:rsidR="00AA5216">
        <w:rPr>
          <w:highlight w:val="yellow"/>
        </w:rPr>
        <w:t>I-3</w:t>
      </w:r>
      <w:r>
        <w:t>, le volume minimal de la rétention est au moins égal soit :</w:t>
      </w:r>
    </w:p>
    <w:p w14:paraId="6BA6DEF1" w14:textId="33DA8CDE" w:rsidR="00083C13" w:rsidRDefault="00083C13" w:rsidP="006F21C4">
      <w:pPr>
        <w:pStyle w:val="NormalWeb"/>
        <w:numPr>
          <w:ilvl w:val="0"/>
          <w:numId w:val="13"/>
        </w:numPr>
        <w:spacing w:before="0" w:beforeAutospacing="0" w:after="0" w:afterAutospacing="0"/>
      </w:pPr>
      <w:r>
        <w:t>A la capacité totale des récipients si cette capacité est inférieur</w:t>
      </w:r>
      <w:r w:rsidR="00577186">
        <w:t>e</w:t>
      </w:r>
      <w:r>
        <w:t xml:space="preserve"> à 800L ; </w:t>
      </w:r>
    </w:p>
    <w:p w14:paraId="41415E6E" w14:textId="498F0E7D" w:rsidR="00083C13" w:rsidRDefault="00083C13" w:rsidP="006F21C4">
      <w:pPr>
        <w:pStyle w:val="NormalWeb"/>
        <w:numPr>
          <w:ilvl w:val="0"/>
          <w:numId w:val="13"/>
        </w:numPr>
        <w:spacing w:before="0" w:beforeAutospacing="0" w:after="0" w:afterAutospacing="0"/>
      </w:pPr>
      <w:r>
        <w:lastRenderedPageBreak/>
        <w:t>à 50% de la capacité totale des récipients avec un minimum de 800L si cette capacité excède 800 L.</w:t>
      </w:r>
    </w:p>
    <w:p w14:paraId="0F440DDF" w14:textId="77777777" w:rsidR="00E31DB7" w:rsidRDefault="00E31DB7" w:rsidP="006E18F5">
      <w:pPr>
        <w:pStyle w:val="NormalWeb"/>
        <w:spacing w:before="0" w:beforeAutospacing="0" w:after="0" w:afterAutospacing="0"/>
      </w:pPr>
    </w:p>
    <w:p w14:paraId="51229219" w14:textId="48EBBC52" w:rsidR="00083C13" w:rsidRDefault="00083C13" w:rsidP="000C6B29">
      <w:pPr>
        <w:pStyle w:val="Titre3"/>
      </w:pPr>
      <w:r>
        <w:t>Dispositions particulières pour les stockages en récipients mobiles de type contenant fusible</w:t>
      </w:r>
    </w:p>
    <w:p w14:paraId="5558366E" w14:textId="3868834E" w:rsidR="006258D5" w:rsidRDefault="006258D5" w:rsidP="006E18F5">
      <w:pPr>
        <w:pStyle w:val="NormalWeb"/>
        <w:spacing w:before="0" w:beforeAutospacing="0" w:after="0" w:afterAutospacing="0"/>
        <w:ind w:left="454"/>
      </w:pPr>
      <w:r>
        <w:t xml:space="preserve">Pour chaque récipient mobile ou groupe de récipients mobiles de type contenant fusible </w:t>
      </w:r>
      <w:r w:rsidR="00083C13">
        <w:t>contenant au moins un liquide inflammable</w:t>
      </w:r>
      <w:r w:rsidRPr="006D4DBC">
        <w:t xml:space="preserve">, ou </w:t>
      </w:r>
      <w:r w:rsidR="00083C13">
        <w:t xml:space="preserve">un </w:t>
      </w:r>
      <w:r w:rsidRPr="006D4DBC">
        <w:t>liquide ou solide liquéfiable combustible, dès lors qu’il entre dans les conditions de proximité avec un liquide in</w:t>
      </w:r>
      <w:r w:rsidR="00083C13">
        <w:t xml:space="preserve">flammable définies à l’article </w:t>
      </w:r>
      <w:r w:rsidR="00CE3370">
        <w:t>I</w:t>
      </w:r>
      <w:r w:rsidR="00AA5216">
        <w:rPr>
          <w:highlight w:val="yellow"/>
        </w:rPr>
        <w:t>-3</w:t>
      </w:r>
      <w:r w:rsidR="00083C13">
        <w:t>,</w:t>
      </w:r>
      <w:r>
        <w:t xml:space="preserve"> le volume minimal de la rétention est au moins égal à la capacité totale des récipients.</w:t>
      </w:r>
    </w:p>
    <w:p w14:paraId="46D208C4" w14:textId="77777777" w:rsidR="00E31DB7" w:rsidRDefault="00E31DB7" w:rsidP="006258D5">
      <w:pPr>
        <w:pStyle w:val="NormalWeb"/>
        <w:spacing w:before="0" w:beforeAutospacing="0" w:after="0" w:afterAutospacing="0"/>
      </w:pPr>
    </w:p>
    <w:p w14:paraId="1642DE55" w14:textId="6C186876" w:rsidR="00967B49" w:rsidRDefault="00967B49" w:rsidP="000C4DE8">
      <w:pPr>
        <w:pStyle w:val="Titre3"/>
      </w:pPr>
      <w:r>
        <w:t>Prise en compte du volume des eaux d’extinction ou lié aux intempéries</w:t>
      </w:r>
    </w:p>
    <w:p w14:paraId="3585FE45" w14:textId="19419E3D" w:rsidR="00967B49" w:rsidRDefault="00967B49" w:rsidP="0066259D">
      <w:r>
        <w:t>Pour chaque récipient mobile ou groupe de récipients mobiles contenant au moins un liquide inflammable ou</w:t>
      </w:r>
      <w:r w:rsidRPr="006D4DBC">
        <w:t xml:space="preserve"> un liquide ou solide liquéfiable combustible, dès lors qu’il entre dans les conditions de proximité avec un liquide in</w:t>
      </w:r>
      <w:r>
        <w:t>flammable définies à l’article I</w:t>
      </w:r>
      <w:r>
        <w:rPr>
          <w:highlight w:val="yellow"/>
        </w:rPr>
        <w:t>-3</w:t>
      </w:r>
      <w:r>
        <w:t>, le volume minimal de la rétention calculé en application du I. ou du II. du présent article est majoré pour contenir également :</w:t>
      </w:r>
    </w:p>
    <w:p w14:paraId="615C1826" w14:textId="77777777" w:rsidR="00967B49" w:rsidRDefault="00967B49" w:rsidP="00967B49">
      <w:pPr>
        <w:pStyle w:val="NormalWeb"/>
        <w:numPr>
          <w:ilvl w:val="0"/>
          <w:numId w:val="9"/>
        </w:numPr>
        <w:spacing w:before="0" w:beforeAutospacing="0" w:after="0" w:afterAutospacing="0"/>
      </w:pPr>
      <w:r>
        <w:t xml:space="preserve">le volume des eaux d'extinction. L’exploitant prend en compte le volume nécessaire à la lutte contre l’incendie, déterminé au vu de la stratégie incendie définie à </w:t>
      </w:r>
      <w:r w:rsidRPr="00FA3B7D">
        <w:rPr>
          <w:highlight w:val="yellow"/>
        </w:rPr>
        <w:t>l’article VI-1</w:t>
      </w:r>
      <w:r>
        <w:t xml:space="preserve"> du présent arrêté, ou une hauteur supplémentaire forfaitaire des parois de rétention de 0,15 mètre en vue de contenir ces eaux d'extinction ;</w:t>
      </w:r>
    </w:p>
    <w:p w14:paraId="25175E8C" w14:textId="77777777" w:rsidR="00967B49" w:rsidRDefault="00967B49" w:rsidP="00967B49">
      <w:pPr>
        <w:pStyle w:val="NormalWeb"/>
        <w:numPr>
          <w:ilvl w:val="0"/>
          <w:numId w:val="9"/>
        </w:numPr>
        <w:spacing w:before="0" w:beforeAutospacing="0" w:after="0" w:afterAutospacing="0"/>
      </w:pPr>
      <w:r>
        <w:t>le volume d'eau lié aux intempéries à raison de 10 litres par mètre carré de surface de la rétention et du drainage menant à la rétention.</w:t>
      </w:r>
    </w:p>
    <w:p w14:paraId="1D9D3F96" w14:textId="24956DCD" w:rsidR="00CD1620" w:rsidRDefault="00967B49" w:rsidP="00CD1620">
      <w:pPr>
        <w:pStyle w:val="western"/>
        <w:spacing w:after="0"/>
      </w:pPr>
      <w:r>
        <w:t xml:space="preserve">Le </w:t>
      </w:r>
      <w:r w:rsidRPr="001C3192">
        <w:rPr>
          <w:color w:val="000000" w:themeColor="text1"/>
        </w:rPr>
        <w:t>volume nécessaire à la rétention est rendu disponible par une ou des rétentions locales et déportées. En cas de rétention déportée, celle-ci peut être commune à plusieurs stockages. Dans ce cas, son volume minimal est au moins égal au plus grand volume calculé pour chacun des stockages associés</w:t>
      </w:r>
      <w:r>
        <w:t xml:space="preserve">. </w:t>
      </w:r>
    </w:p>
    <w:p w14:paraId="28DCF11D" w14:textId="0AA64614" w:rsidR="00967B49" w:rsidRPr="0066259D" w:rsidRDefault="00967B49" w:rsidP="0066259D">
      <w:pPr>
        <w:rPr>
          <w:color w:val="FF0000"/>
        </w:rPr>
      </w:pPr>
      <w:r>
        <w:rPr>
          <w:rFonts w:eastAsia="Times New Roman" w:cs="Times New Roman"/>
          <w:szCs w:val="24"/>
          <w:lang w:eastAsia="fr-FR"/>
        </w:rPr>
        <w:t>Le dispositif de drainage ainsi que la rétention sont conformes aux dispositions de l’</w:t>
      </w:r>
      <w:r>
        <w:rPr>
          <w:rFonts w:eastAsia="Times New Roman" w:cs="Times New Roman"/>
          <w:color w:val="000000" w:themeColor="text1"/>
          <w:szCs w:val="24"/>
          <w:highlight w:val="yellow"/>
          <w:lang w:eastAsia="fr-FR"/>
        </w:rPr>
        <w:t>article III-</w:t>
      </w:r>
      <w:r w:rsidRPr="00682156">
        <w:rPr>
          <w:rFonts w:eastAsia="Times New Roman" w:cs="Times New Roman"/>
          <w:color w:val="000000" w:themeColor="text1"/>
          <w:szCs w:val="24"/>
          <w:highlight w:val="yellow"/>
          <w:lang w:eastAsia="fr-FR"/>
        </w:rPr>
        <w:t>14</w:t>
      </w:r>
      <w:r>
        <w:rPr>
          <w:rFonts w:eastAsia="Times New Roman" w:cs="Times New Roman"/>
          <w:szCs w:val="24"/>
          <w:lang w:eastAsia="fr-FR"/>
        </w:rPr>
        <w:t xml:space="preserve"> relatif aux rétentions déportées.</w:t>
      </w:r>
    </w:p>
    <w:p w14:paraId="4388D003" w14:textId="77777777" w:rsidR="00967B49" w:rsidRPr="00967B49" w:rsidRDefault="00967B49" w:rsidP="0066259D"/>
    <w:p w14:paraId="1C06FA3A" w14:textId="5272B97D" w:rsidR="000C4DE8" w:rsidRDefault="000C4DE8" w:rsidP="000C4DE8">
      <w:pPr>
        <w:pStyle w:val="Titre3"/>
      </w:pPr>
      <w:r>
        <w:t xml:space="preserve">Dispositions applicables aux stockages d’autres </w:t>
      </w:r>
      <w:r w:rsidR="009629D2">
        <w:t xml:space="preserve">liquides </w:t>
      </w:r>
    </w:p>
    <w:p w14:paraId="21C90268" w14:textId="7646E863" w:rsidR="00755D03" w:rsidRDefault="00755D03" w:rsidP="009437A2">
      <w:pPr>
        <w:pStyle w:val="NormalWeb"/>
        <w:spacing w:before="0" w:beforeAutospacing="0" w:after="0" w:afterAutospacing="0"/>
        <w:ind w:left="454"/>
      </w:pPr>
      <w:r>
        <w:t xml:space="preserve">Sont considérés comme autres </w:t>
      </w:r>
      <w:r w:rsidR="009629D2">
        <w:t>liquides</w:t>
      </w:r>
      <w:r w:rsidR="009437A2">
        <w:t>, les</w:t>
      </w:r>
      <w:r w:rsidRPr="006258D5">
        <w:t xml:space="preserve"> liquides susceptibles de créer une pollution de l'eau ou du sol</w:t>
      </w:r>
      <w:r>
        <w:t xml:space="preserve">, autres que les liquides inflammables et </w:t>
      </w:r>
      <w:r w:rsidR="00E674B3">
        <w:t>liquides et solides liquéfiables combustibles</w:t>
      </w:r>
      <w:r>
        <w:t xml:space="preserve"> visés à </w:t>
      </w:r>
      <w:r w:rsidRPr="00FA3B7D">
        <w:rPr>
          <w:highlight w:val="yellow"/>
        </w:rPr>
        <w:t>l’article I-1</w:t>
      </w:r>
      <w:r>
        <w:t xml:space="preserve"> du présent </w:t>
      </w:r>
      <w:r w:rsidR="00FA3B7D">
        <w:t>arrêté.</w:t>
      </w:r>
    </w:p>
    <w:p w14:paraId="52BA43CF" w14:textId="1CBFB954" w:rsidR="000C4DE8" w:rsidRPr="006258D5" w:rsidRDefault="000C4DE8" w:rsidP="009437A2">
      <w:pPr>
        <w:pStyle w:val="NormalWeb"/>
        <w:spacing w:before="0" w:beforeAutospacing="0" w:after="0" w:afterAutospacing="0"/>
        <w:ind w:left="360"/>
      </w:pPr>
      <w:r>
        <w:t>T</w:t>
      </w:r>
      <w:r w:rsidRPr="006258D5">
        <w:t xml:space="preserve">out stockage de </w:t>
      </w:r>
      <w:r w:rsidR="00755D03">
        <w:t xml:space="preserve">ces autres </w:t>
      </w:r>
      <w:r w:rsidR="0092185A">
        <w:t xml:space="preserve">liquides </w:t>
      </w:r>
      <w:r w:rsidRPr="006258D5">
        <w:t>est associé à une capacité de rétention dont le volume est au moins égal à la plus grande des deux valeurs suivantes :</w:t>
      </w:r>
    </w:p>
    <w:p w14:paraId="4EC833A4" w14:textId="572DDB59" w:rsidR="000C4DE8" w:rsidRPr="006258D5" w:rsidRDefault="000C4DE8" w:rsidP="000C4DE8">
      <w:pPr>
        <w:pStyle w:val="Paragraphedeliste"/>
        <w:numPr>
          <w:ilvl w:val="0"/>
          <w:numId w:val="13"/>
        </w:numPr>
        <w:spacing w:after="0" w:line="240" w:lineRule="auto"/>
        <w:rPr>
          <w:rFonts w:eastAsia="Times New Roman" w:cs="Times New Roman"/>
          <w:szCs w:val="24"/>
          <w:lang w:eastAsia="fr-FR"/>
        </w:rPr>
      </w:pPr>
      <w:r w:rsidRPr="006258D5">
        <w:rPr>
          <w:rFonts w:eastAsia="Times New Roman" w:cs="Times New Roman"/>
          <w:szCs w:val="24"/>
          <w:lang w:eastAsia="fr-FR"/>
        </w:rPr>
        <w:t>100 % de la capacité du plus grand réservoir ;</w:t>
      </w:r>
    </w:p>
    <w:p w14:paraId="7171F371" w14:textId="10DA9D53" w:rsidR="000C4DE8" w:rsidRPr="006258D5" w:rsidRDefault="000C4DE8" w:rsidP="000C4DE8">
      <w:pPr>
        <w:pStyle w:val="Paragraphedeliste"/>
        <w:numPr>
          <w:ilvl w:val="0"/>
          <w:numId w:val="13"/>
        </w:numPr>
        <w:spacing w:after="0" w:line="240" w:lineRule="auto"/>
        <w:rPr>
          <w:rFonts w:eastAsia="Times New Roman" w:cs="Times New Roman"/>
          <w:szCs w:val="24"/>
          <w:lang w:eastAsia="fr-FR"/>
        </w:rPr>
      </w:pPr>
      <w:r w:rsidRPr="006258D5">
        <w:rPr>
          <w:rFonts w:eastAsia="Times New Roman" w:cs="Times New Roman"/>
          <w:szCs w:val="24"/>
          <w:lang w:eastAsia="fr-FR"/>
        </w:rPr>
        <w:t xml:space="preserve">50 % de la capacité globale des réservoirs </w:t>
      </w:r>
      <w:r w:rsidR="00C53467">
        <w:rPr>
          <w:rFonts w:eastAsia="Times New Roman" w:cs="Times New Roman"/>
          <w:szCs w:val="24"/>
          <w:lang w:eastAsia="fr-FR"/>
        </w:rPr>
        <w:t xml:space="preserve">et récipients </w:t>
      </w:r>
      <w:r w:rsidRPr="006258D5">
        <w:rPr>
          <w:rFonts w:eastAsia="Times New Roman" w:cs="Times New Roman"/>
          <w:szCs w:val="24"/>
          <w:lang w:eastAsia="fr-FR"/>
        </w:rPr>
        <w:t>associés.</w:t>
      </w:r>
    </w:p>
    <w:p w14:paraId="3B95203A" w14:textId="07BE9F69" w:rsidR="000C4DE8" w:rsidRPr="006258D5" w:rsidRDefault="000C4DE8" w:rsidP="009437A2">
      <w:pPr>
        <w:pStyle w:val="Paragraphedeliste"/>
        <w:spacing w:after="0" w:line="240" w:lineRule="auto"/>
        <w:ind w:left="360"/>
        <w:rPr>
          <w:rFonts w:eastAsia="Times New Roman" w:cs="Times New Roman"/>
          <w:szCs w:val="24"/>
          <w:lang w:eastAsia="fr-FR"/>
        </w:rPr>
      </w:pPr>
      <w:r w:rsidRPr="006258D5">
        <w:rPr>
          <w:rFonts w:eastAsia="Times New Roman" w:cs="Times New Roman"/>
          <w:szCs w:val="24"/>
          <w:lang w:eastAsia="fr-FR"/>
        </w:rPr>
        <w:t>Lorsque le stockage est constitué exclusivement de récipients mobiles de capacité unitaire inférieure ou égale à 250 litres, le volume minimal de la rétention est égal soit à la capacité totale des récipients si cette capacité est inférieure à 800 litres, soit à 20 % de la capacité totale avec un minimum de 800 litres si cette capacité excède 800 litres.</w:t>
      </w:r>
    </w:p>
    <w:p w14:paraId="1604305F" w14:textId="66D5FAEB" w:rsidR="00E31DB7" w:rsidRDefault="00E31DB7" w:rsidP="00CE3370">
      <w:pPr>
        <w:pStyle w:val="NormalWeb"/>
        <w:spacing w:before="0" w:beforeAutospacing="0" w:after="0" w:afterAutospacing="0"/>
      </w:pPr>
    </w:p>
    <w:p w14:paraId="3CE39439" w14:textId="79975436" w:rsidR="00697649" w:rsidRDefault="006258D5" w:rsidP="000C6B29">
      <w:pPr>
        <w:pStyle w:val="Titre3"/>
      </w:pPr>
      <w:r>
        <w:lastRenderedPageBreak/>
        <w:t xml:space="preserve">Le cas échéant, les dispositifs de drainages </w:t>
      </w:r>
      <w:r w:rsidRPr="00E53A27" w:rsidDel="00BF1438">
        <w:t>sont suffisamment dimensionnés au regard des caractéristiques des produits et des débits attendus, en particulier en cas de déversements dans le cadre d’un ince</w:t>
      </w:r>
      <w:r>
        <w:t xml:space="preserve">ndie, pour assurer l’évacuation </w:t>
      </w:r>
      <w:r w:rsidRPr="00E53A27" w:rsidDel="00BF1438">
        <w:t xml:space="preserve">des produits </w:t>
      </w:r>
      <w:r>
        <w:t>et contenir la surface en feu.</w:t>
      </w:r>
    </w:p>
    <w:p w14:paraId="7FD36CD1" w14:textId="77777777" w:rsidR="006E18F5" w:rsidRDefault="006E18F5" w:rsidP="006E18F5">
      <w:pPr>
        <w:pStyle w:val="NormalWeb"/>
        <w:spacing w:before="0" w:beforeAutospacing="0" w:after="0" w:afterAutospacing="0"/>
      </w:pPr>
    </w:p>
    <w:p w14:paraId="1DF88E68" w14:textId="189A6344" w:rsidR="002F50CD" w:rsidRDefault="00697649" w:rsidP="00004A45">
      <w:pPr>
        <w:pStyle w:val="Titre3"/>
      </w:pPr>
      <w:r>
        <w:t xml:space="preserve">La distance entre les parois de la rétention et la paroi du stockage contenu (récipients mobiles) </w:t>
      </w:r>
      <w:r w:rsidR="003547CD">
        <w:t>est suffisante pour éviter tout phénomène d’écoulement hors de la rétention en cas de fuite</w:t>
      </w:r>
      <w:r w:rsidR="00004A45">
        <w:t>, ou de manière forfaitaire, c</w:t>
      </w:r>
      <w:r w:rsidR="003547CD">
        <w:t xml:space="preserve">ette distance </w:t>
      </w:r>
      <w:r>
        <w:t xml:space="preserve">est au moins égale à la hauteur </w:t>
      </w:r>
      <w:r w:rsidR="003547CD">
        <w:t>du plus grand récipient mobil</w:t>
      </w:r>
      <w:r w:rsidR="0062682D">
        <w:t>e stocké moins la hauteur de la</w:t>
      </w:r>
      <w:r>
        <w:t xml:space="preserve"> paroi de la rétention par rapport au sol côté rétention. </w:t>
      </w:r>
    </w:p>
    <w:p w14:paraId="41559461" w14:textId="32666525" w:rsidR="006258D5" w:rsidRDefault="006258D5" w:rsidP="006258D5">
      <w:pPr>
        <w:spacing w:after="0" w:line="240" w:lineRule="auto"/>
        <w:rPr>
          <w:rFonts w:eastAsia="Times New Roman" w:cs="Times New Roman"/>
          <w:szCs w:val="24"/>
          <w:lang w:eastAsia="fr-FR"/>
        </w:rPr>
      </w:pPr>
    </w:p>
    <w:p w14:paraId="78DDEB6F" w14:textId="217AEFB2" w:rsidR="002F50CD" w:rsidRDefault="002F50CD" w:rsidP="00564869">
      <w:pPr>
        <w:pStyle w:val="Titre2"/>
      </w:pPr>
      <w:r>
        <w:t>Dispositions particulières applicables aux cellules de liquides inflammables</w:t>
      </w:r>
      <w:r w:rsidR="00775D54">
        <w:t xml:space="preserve"> et cellules de </w:t>
      </w:r>
      <w:r w:rsidR="00E674B3">
        <w:t>liquides et solides liquéfiables combustibles</w:t>
      </w:r>
      <w:r w:rsidR="00780B9C">
        <w:t xml:space="preserve"> </w:t>
      </w:r>
    </w:p>
    <w:p w14:paraId="4E6EE6DF" w14:textId="1208C5CB" w:rsidR="00260D1A" w:rsidRPr="0066259D" w:rsidRDefault="002F50CD" w:rsidP="00260D1A">
      <w:pPr>
        <w:pStyle w:val="Titre3"/>
        <w:rPr>
          <w:rFonts w:eastAsia="Times New Roman"/>
          <w:lang w:eastAsia="fr-FR"/>
        </w:rPr>
      </w:pPr>
      <w:r w:rsidRPr="00F63890">
        <w:rPr>
          <w:rFonts w:eastAsia="Times New Roman"/>
          <w:lang w:eastAsia="fr-FR"/>
        </w:rPr>
        <w:t>Chaque cellule de liquides inflammables est divisée en zones de collecte d'une superficie unitaire maximale au sol égale à 500 mètres carrés</w:t>
      </w:r>
      <w:r w:rsidR="0072322C">
        <w:rPr>
          <w:rFonts w:eastAsia="Times New Roman"/>
          <w:lang w:eastAsia="fr-FR"/>
        </w:rPr>
        <w:t xml:space="preserve"> </w:t>
      </w:r>
      <w:r w:rsidR="0072322C" w:rsidRPr="0072322C">
        <w:rPr>
          <w:rFonts w:eastAsia="Times New Roman"/>
          <w:lang w:eastAsia="fr-FR"/>
        </w:rPr>
        <w:t xml:space="preserve">et </w:t>
      </w:r>
      <w:r w:rsidR="00FA0EC0">
        <w:rPr>
          <w:rFonts w:eastAsia="Times New Roman"/>
          <w:lang w:eastAsia="fr-FR"/>
        </w:rPr>
        <w:t xml:space="preserve">compatible avec </w:t>
      </w:r>
      <w:r w:rsidR="0072322C" w:rsidRPr="0072322C">
        <w:rPr>
          <w:rFonts w:eastAsia="Times New Roman"/>
          <w:lang w:eastAsia="fr-FR"/>
        </w:rPr>
        <w:t>l</w:t>
      </w:r>
      <w:r w:rsidR="00FA0EC0">
        <w:rPr>
          <w:rFonts w:eastAsia="Times New Roman"/>
          <w:lang w:eastAsia="fr-FR"/>
        </w:rPr>
        <w:t xml:space="preserve">e </w:t>
      </w:r>
      <w:r w:rsidR="0072322C">
        <w:rPr>
          <w:rFonts w:eastAsia="Times New Roman"/>
          <w:lang w:eastAsia="fr-FR"/>
        </w:rPr>
        <w:t>dimensionnement du système d’extinction automatique</w:t>
      </w:r>
      <w:r w:rsidR="0092185A">
        <w:rPr>
          <w:rFonts w:eastAsia="Times New Roman"/>
          <w:lang w:eastAsia="fr-FR"/>
        </w:rPr>
        <w:t xml:space="preserve"> prévu</w:t>
      </w:r>
      <w:r w:rsidR="0072322C" w:rsidRPr="0072322C">
        <w:rPr>
          <w:rFonts w:eastAsia="Times New Roman"/>
          <w:lang w:eastAsia="fr-FR"/>
        </w:rPr>
        <w:t xml:space="preserve"> à </w:t>
      </w:r>
      <w:r w:rsidR="0072322C" w:rsidRPr="00442B2A">
        <w:rPr>
          <w:rFonts w:eastAsia="Times New Roman"/>
          <w:highlight w:val="yellow"/>
          <w:lang w:eastAsia="fr-FR"/>
        </w:rPr>
        <w:t>l’article VI-</w:t>
      </w:r>
      <w:r w:rsidR="002A4566">
        <w:rPr>
          <w:rFonts w:eastAsia="Times New Roman"/>
          <w:highlight w:val="yellow"/>
          <w:lang w:eastAsia="fr-FR"/>
        </w:rPr>
        <w:t>5</w:t>
      </w:r>
      <w:r w:rsidR="0072322C">
        <w:rPr>
          <w:rFonts w:eastAsia="Times New Roman"/>
          <w:lang w:eastAsia="fr-FR"/>
        </w:rPr>
        <w:t xml:space="preserve"> du présent arrêté</w:t>
      </w:r>
      <w:r w:rsidRPr="00F63890">
        <w:rPr>
          <w:rFonts w:eastAsia="Times New Roman"/>
          <w:lang w:eastAsia="fr-FR"/>
        </w:rPr>
        <w:t xml:space="preserve">. A chacune de ces zones est associé un </w:t>
      </w:r>
      <w:r w:rsidR="00C25657">
        <w:rPr>
          <w:rFonts w:eastAsia="Times New Roman"/>
          <w:lang w:eastAsia="fr-FR"/>
        </w:rPr>
        <w:t>système de drainage et une</w:t>
      </w:r>
      <w:r w:rsidR="00535ED5">
        <w:rPr>
          <w:rFonts w:eastAsia="Times New Roman"/>
          <w:lang w:eastAsia="fr-FR"/>
        </w:rPr>
        <w:t xml:space="preserve"> ou des</w:t>
      </w:r>
      <w:r w:rsidR="00C25657">
        <w:rPr>
          <w:rFonts w:eastAsia="Times New Roman"/>
          <w:lang w:eastAsia="fr-FR"/>
        </w:rPr>
        <w:t xml:space="preserve"> rétention</w:t>
      </w:r>
      <w:r w:rsidR="00535ED5">
        <w:rPr>
          <w:rFonts w:eastAsia="Times New Roman"/>
          <w:lang w:eastAsia="fr-FR"/>
        </w:rPr>
        <w:t>s</w:t>
      </w:r>
      <w:r w:rsidR="00C25657">
        <w:rPr>
          <w:rFonts w:eastAsia="Times New Roman"/>
          <w:lang w:eastAsia="fr-FR"/>
        </w:rPr>
        <w:t xml:space="preserve"> déportée</w:t>
      </w:r>
      <w:r w:rsidR="00535ED5">
        <w:rPr>
          <w:rFonts w:eastAsia="Times New Roman"/>
          <w:lang w:eastAsia="fr-FR"/>
        </w:rPr>
        <w:t>s</w:t>
      </w:r>
      <w:r w:rsidR="0092185A" w:rsidRPr="00260D1A">
        <w:rPr>
          <w:rFonts w:eastAsia="Times New Roman"/>
          <w:lang w:eastAsia="fr-FR"/>
        </w:rPr>
        <w:t xml:space="preserve"> </w:t>
      </w:r>
      <w:r w:rsidRPr="00260D1A">
        <w:rPr>
          <w:rFonts w:eastAsia="Times New Roman"/>
          <w:lang w:eastAsia="fr-FR"/>
        </w:rPr>
        <w:t>dont la capacité utile est au moins égale à 100 % de la capacité des récipients mobiles associés, à laquelle est ajouté le volume d'eau d'extinction nécessaire à la lutte contre l'incendie de la zone de collecte</w:t>
      </w:r>
      <w:r w:rsidR="00C92896" w:rsidRPr="00260D1A">
        <w:rPr>
          <w:rFonts w:eastAsia="Times New Roman"/>
          <w:lang w:eastAsia="fr-FR"/>
        </w:rPr>
        <w:t xml:space="preserve"> déterminé </w:t>
      </w:r>
      <w:r w:rsidR="00C92896">
        <w:t>au vu de la stratégie incendie définie à l’article VI</w:t>
      </w:r>
      <w:r w:rsidR="00D9335D">
        <w:t>-</w:t>
      </w:r>
      <w:r w:rsidR="00C92896">
        <w:t>1 du présent arrêté.</w:t>
      </w:r>
      <w:r w:rsidR="00260D1A">
        <w:t xml:space="preserve"> </w:t>
      </w:r>
    </w:p>
    <w:p w14:paraId="3A7F8169" w14:textId="78DD7AAA" w:rsidR="00260D1A" w:rsidRPr="00260D1A" w:rsidRDefault="00535ED5" w:rsidP="00260D1A">
      <w:pPr>
        <w:rPr>
          <w:lang w:eastAsia="fr-FR"/>
        </w:rPr>
      </w:pPr>
      <w:r>
        <w:t>La ou les</w:t>
      </w:r>
      <w:r w:rsidR="00260D1A">
        <w:t xml:space="preserve"> rétention</w:t>
      </w:r>
      <w:r>
        <w:t>s</w:t>
      </w:r>
      <w:r w:rsidR="00260D1A">
        <w:t xml:space="preserve"> déportée</w:t>
      </w:r>
      <w:r>
        <w:t>s</w:t>
      </w:r>
      <w:r w:rsidR="00260D1A">
        <w:t xml:space="preserve"> </w:t>
      </w:r>
      <w:r>
        <w:rPr>
          <w:lang w:eastAsia="fr-FR"/>
        </w:rPr>
        <w:t>peuvent</w:t>
      </w:r>
      <w:r w:rsidR="00260D1A">
        <w:rPr>
          <w:lang w:eastAsia="fr-FR"/>
        </w:rPr>
        <w:t xml:space="preserve"> être commune</w:t>
      </w:r>
      <w:r>
        <w:rPr>
          <w:lang w:eastAsia="fr-FR"/>
        </w:rPr>
        <w:t>s</w:t>
      </w:r>
      <w:r w:rsidR="00260D1A">
        <w:rPr>
          <w:lang w:eastAsia="fr-FR"/>
        </w:rPr>
        <w:t xml:space="preserve"> à plusieurs zones de collecte. Dans ce cas, son volume minimal est au moins égal au plus grand volume calculé pour chacune des zones de collecte associées.</w:t>
      </w:r>
    </w:p>
    <w:p w14:paraId="718A4D34" w14:textId="7F58216A" w:rsidR="002F50CD" w:rsidRPr="00F63890" w:rsidRDefault="00682156" w:rsidP="009437A2">
      <w:pPr>
        <w:spacing w:after="0" w:line="240" w:lineRule="auto"/>
        <w:ind w:left="454"/>
        <w:rPr>
          <w:rFonts w:eastAsia="Times New Roman" w:cs="Times New Roman"/>
          <w:szCs w:val="24"/>
          <w:lang w:eastAsia="fr-FR"/>
        </w:rPr>
      </w:pPr>
      <w:r>
        <w:rPr>
          <w:rFonts w:eastAsia="Times New Roman" w:cs="Times New Roman"/>
          <w:szCs w:val="24"/>
          <w:lang w:eastAsia="fr-FR"/>
        </w:rPr>
        <w:t xml:space="preserve">Le dispositif de </w:t>
      </w:r>
      <w:r w:rsidR="0092185A">
        <w:rPr>
          <w:rFonts w:eastAsia="Times New Roman" w:cs="Times New Roman"/>
          <w:szCs w:val="24"/>
          <w:lang w:eastAsia="fr-FR"/>
        </w:rPr>
        <w:t>drainage</w:t>
      </w:r>
      <w:r>
        <w:rPr>
          <w:rFonts w:eastAsia="Times New Roman" w:cs="Times New Roman"/>
          <w:szCs w:val="24"/>
          <w:lang w:eastAsia="fr-FR"/>
        </w:rPr>
        <w:t xml:space="preserve"> ainsi que la rétention sont conformes aux dispositions de l’</w:t>
      </w:r>
      <w:r w:rsidR="00D9335D">
        <w:rPr>
          <w:rFonts w:eastAsia="Times New Roman" w:cs="Times New Roman"/>
          <w:color w:val="000000" w:themeColor="text1"/>
          <w:szCs w:val="24"/>
          <w:highlight w:val="yellow"/>
          <w:lang w:eastAsia="fr-FR"/>
        </w:rPr>
        <w:t>article III-</w:t>
      </w:r>
      <w:r w:rsidRPr="00682156">
        <w:rPr>
          <w:rFonts w:eastAsia="Times New Roman" w:cs="Times New Roman"/>
          <w:color w:val="000000" w:themeColor="text1"/>
          <w:szCs w:val="24"/>
          <w:highlight w:val="yellow"/>
          <w:lang w:eastAsia="fr-FR"/>
        </w:rPr>
        <w:t>14</w:t>
      </w:r>
      <w:r>
        <w:rPr>
          <w:rFonts w:eastAsia="Times New Roman" w:cs="Times New Roman"/>
          <w:szCs w:val="24"/>
          <w:lang w:eastAsia="fr-FR"/>
        </w:rPr>
        <w:t xml:space="preserve"> relatif aux rétentions déportées.</w:t>
      </w:r>
    </w:p>
    <w:p w14:paraId="1F3170D8" w14:textId="5779F5E5" w:rsidR="002F50CD" w:rsidRDefault="002F50CD" w:rsidP="009437A2">
      <w:pPr>
        <w:spacing w:after="0" w:line="240" w:lineRule="auto"/>
        <w:ind w:left="454"/>
        <w:rPr>
          <w:rFonts w:eastAsia="Times New Roman" w:cs="Times New Roman"/>
          <w:szCs w:val="24"/>
          <w:lang w:eastAsia="fr-FR"/>
        </w:rPr>
      </w:pPr>
      <w:r w:rsidRPr="00F63890">
        <w:rPr>
          <w:rFonts w:eastAsia="Times New Roman" w:cs="Times New Roman"/>
          <w:szCs w:val="24"/>
          <w:lang w:eastAsia="fr-FR"/>
        </w:rPr>
        <w:t xml:space="preserve">Les dispositions du </w:t>
      </w:r>
      <w:r w:rsidRPr="00442B2A">
        <w:rPr>
          <w:rFonts w:eastAsia="Times New Roman" w:cs="Times New Roman"/>
          <w:szCs w:val="24"/>
          <w:highlight w:val="yellow"/>
          <w:lang w:eastAsia="fr-FR"/>
        </w:rPr>
        <w:t>I du présent article</w:t>
      </w:r>
      <w:r>
        <w:rPr>
          <w:rFonts w:eastAsia="Times New Roman" w:cs="Times New Roman"/>
          <w:szCs w:val="24"/>
          <w:lang w:eastAsia="fr-FR"/>
        </w:rPr>
        <w:t xml:space="preserve"> ne sont pas applicables </w:t>
      </w:r>
      <w:r w:rsidRPr="00F63890">
        <w:rPr>
          <w:rFonts w:eastAsia="Times New Roman" w:cs="Times New Roman"/>
          <w:szCs w:val="24"/>
          <w:lang w:eastAsia="fr-FR"/>
        </w:rPr>
        <w:t xml:space="preserve">aux cellules de liquides inflammables contenant uniquement des liquides dont le comportement physique en cas d'incendie satisfait à des tests de qualification </w:t>
      </w:r>
      <w:r w:rsidRPr="00CE3370">
        <w:rPr>
          <w:rFonts w:eastAsia="Times New Roman" w:cs="Times New Roman"/>
          <w:szCs w:val="24"/>
          <w:lang w:eastAsia="fr-FR"/>
        </w:rPr>
        <w:t>selon un protocole reconnu par le ministère chargé</w:t>
      </w:r>
      <w:r w:rsidR="0014041A" w:rsidRPr="00CE3370">
        <w:rPr>
          <w:rFonts w:eastAsia="Times New Roman" w:cs="Times New Roman"/>
          <w:szCs w:val="24"/>
          <w:lang w:eastAsia="fr-FR"/>
        </w:rPr>
        <w:t xml:space="preserve"> des installations classées</w:t>
      </w:r>
      <w:r w:rsidR="001C5E18" w:rsidRPr="00CE3370">
        <w:rPr>
          <w:rFonts w:eastAsia="Times New Roman" w:cs="Times New Roman"/>
          <w:szCs w:val="24"/>
          <w:lang w:eastAsia="fr-FR"/>
        </w:rPr>
        <w:t xml:space="preserve"> </w:t>
      </w:r>
      <w:r w:rsidR="0014041A" w:rsidRPr="00CE3370">
        <w:rPr>
          <w:rFonts w:eastAsia="Times New Roman" w:cs="Times New Roman"/>
          <w:szCs w:val="24"/>
          <w:lang w:eastAsia="fr-FR"/>
        </w:rPr>
        <w:t>montrant qu’ils ne sont pas susceptibles de générer une nappe enflammée lorsqu’ils sont pris dans un incendie</w:t>
      </w:r>
      <w:r w:rsidR="00CE3370" w:rsidRPr="00CE3370">
        <w:rPr>
          <w:rFonts w:eastAsia="Times New Roman" w:cs="Times New Roman"/>
          <w:szCs w:val="24"/>
          <w:lang w:eastAsia="fr-FR"/>
        </w:rPr>
        <w:t>.</w:t>
      </w:r>
    </w:p>
    <w:p w14:paraId="6E95EF05" w14:textId="602DA10B" w:rsidR="00286A94" w:rsidRDefault="00286A94" w:rsidP="006258D5">
      <w:pPr>
        <w:spacing w:after="0" w:line="240" w:lineRule="auto"/>
        <w:rPr>
          <w:rFonts w:eastAsia="Times New Roman" w:cs="Times New Roman"/>
          <w:b/>
          <w:szCs w:val="24"/>
          <w:u w:val="single"/>
          <w:lang w:eastAsia="fr-FR"/>
        </w:rPr>
      </w:pPr>
    </w:p>
    <w:p w14:paraId="0F2CBECA" w14:textId="31B0CDB6" w:rsidR="002A6E80" w:rsidRDefault="002A6E80" w:rsidP="002A6E80">
      <w:pPr>
        <w:pStyle w:val="Titre3"/>
        <w:rPr>
          <w:rFonts w:eastAsia="Times New Roman"/>
          <w:lang w:eastAsia="fr-FR"/>
        </w:rPr>
      </w:pPr>
      <w:r>
        <w:rPr>
          <w:rFonts w:eastAsia="Times New Roman"/>
          <w:lang w:eastAsia="fr-FR"/>
        </w:rPr>
        <w:t xml:space="preserve">Les dispositions </w:t>
      </w:r>
      <w:r w:rsidR="00535ED5">
        <w:rPr>
          <w:rFonts w:eastAsia="Times New Roman"/>
          <w:lang w:eastAsia="fr-FR"/>
        </w:rPr>
        <w:t xml:space="preserve">relatives aux zones de collecte et rétention déportée </w:t>
      </w:r>
      <w:r>
        <w:rPr>
          <w:rFonts w:eastAsia="Times New Roman"/>
          <w:lang w:eastAsia="fr-FR"/>
        </w:rPr>
        <w:t>du point I ne sont pas applicables aux cellules de liquides inflammables d’une surface inférieure ou égale à 500 m².</w:t>
      </w:r>
    </w:p>
    <w:p w14:paraId="2FE4D0E5" w14:textId="2813B371" w:rsidR="00535ED5" w:rsidRDefault="00535ED5" w:rsidP="0066259D">
      <w:pPr>
        <w:rPr>
          <w:lang w:eastAsia="fr-FR"/>
        </w:rPr>
      </w:pPr>
      <w:r>
        <w:rPr>
          <w:lang w:eastAsia="fr-FR"/>
        </w:rPr>
        <w:t xml:space="preserve">Ces cellules sont associées à un dispositif de rétention, dont la capacité utile répond aux dispositions relatives aux capacités de rétention des points I, II et III de l’article III.12 du présent arrêté. Le volume nécessaire à la rétention est rendu disponible par une ou des rétentions locales et déportées. </w:t>
      </w:r>
    </w:p>
    <w:p w14:paraId="58FB32C6" w14:textId="77777777" w:rsidR="00621901" w:rsidRPr="00F63890" w:rsidRDefault="00535ED5" w:rsidP="00621901">
      <w:pPr>
        <w:spacing w:after="0" w:line="240" w:lineRule="auto"/>
        <w:ind w:left="454"/>
        <w:rPr>
          <w:rFonts w:eastAsia="Times New Roman" w:cs="Times New Roman"/>
          <w:szCs w:val="24"/>
          <w:lang w:eastAsia="fr-FR"/>
        </w:rPr>
      </w:pPr>
      <w:r>
        <w:rPr>
          <w:lang w:eastAsia="fr-FR"/>
        </w:rPr>
        <w:t>En cas de rétention déportée, celle-ci peut être commune à plusieurs cellules. Dans ce cas, son volume minimal est au moins égal au plus grand volume calculé pour chacune des cellules associées.</w:t>
      </w:r>
      <w:r w:rsidR="00621901">
        <w:rPr>
          <w:lang w:eastAsia="fr-FR"/>
        </w:rPr>
        <w:t xml:space="preserve"> </w:t>
      </w:r>
      <w:r w:rsidR="00621901">
        <w:rPr>
          <w:rFonts w:eastAsia="Times New Roman" w:cs="Times New Roman"/>
          <w:szCs w:val="24"/>
          <w:lang w:eastAsia="fr-FR"/>
        </w:rPr>
        <w:t>Le dispositif de drainage ainsi que la rétention sont conformes aux dispositions de l’</w:t>
      </w:r>
      <w:r w:rsidR="00621901">
        <w:rPr>
          <w:rFonts w:eastAsia="Times New Roman" w:cs="Times New Roman"/>
          <w:color w:val="000000" w:themeColor="text1"/>
          <w:szCs w:val="24"/>
          <w:highlight w:val="yellow"/>
          <w:lang w:eastAsia="fr-FR"/>
        </w:rPr>
        <w:t>article III-</w:t>
      </w:r>
      <w:r w:rsidR="00621901" w:rsidRPr="00682156">
        <w:rPr>
          <w:rFonts w:eastAsia="Times New Roman" w:cs="Times New Roman"/>
          <w:color w:val="000000" w:themeColor="text1"/>
          <w:szCs w:val="24"/>
          <w:highlight w:val="yellow"/>
          <w:lang w:eastAsia="fr-FR"/>
        </w:rPr>
        <w:t>14</w:t>
      </w:r>
      <w:r w:rsidR="00621901">
        <w:rPr>
          <w:rFonts w:eastAsia="Times New Roman" w:cs="Times New Roman"/>
          <w:szCs w:val="24"/>
          <w:lang w:eastAsia="fr-FR"/>
        </w:rPr>
        <w:t xml:space="preserve"> relatif aux rétentions déportées.</w:t>
      </w:r>
    </w:p>
    <w:p w14:paraId="31FD7318" w14:textId="77777777" w:rsidR="002A6E80" w:rsidRPr="0066259D" w:rsidRDefault="002A6E80" w:rsidP="0066259D">
      <w:pPr>
        <w:rPr>
          <w:lang w:eastAsia="fr-FR"/>
        </w:rPr>
      </w:pPr>
    </w:p>
    <w:p w14:paraId="788F727F" w14:textId="35801DA9" w:rsidR="00286A94" w:rsidRDefault="00535ED5" w:rsidP="000C6B29">
      <w:pPr>
        <w:pStyle w:val="Titre3"/>
      </w:pPr>
      <w:r>
        <w:t xml:space="preserve">Les cellules de liquides et solides liquéfiables combustibles, dès lors qu’elles sont conformes aux conditions de proximité avec un liquide inflammable définies à l’article I-3, sont conformes aux dispositions suivantes ; </w:t>
      </w:r>
    </w:p>
    <w:p w14:paraId="51E2FD6A" w14:textId="77777777" w:rsidR="00535ED5" w:rsidRPr="001C3192" w:rsidRDefault="00535ED5" w:rsidP="00535ED5">
      <w:pPr>
        <w:spacing w:before="100" w:beforeAutospacing="1" w:after="119" w:line="240" w:lineRule="auto"/>
        <w:rPr>
          <w:rFonts w:eastAsia="Times New Roman" w:cs="Times New Roman"/>
          <w:color w:val="000000" w:themeColor="text1"/>
          <w:szCs w:val="24"/>
          <w:lang w:eastAsia="fr-FR"/>
        </w:rPr>
      </w:pPr>
      <w:r w:rsidRPr="00535ED5">
        <w:rPr>
          <w:rFonts w:eastAsia="Times New Roman" w:cs="Times New Roman"/>
          <w:color w:val="000000"/>
          <w:szCs w:val="24"/>
          <w:lang w:eastAsia="fr-FR"/>
        </w:rPr>
        <w:t xml:space="preserve">Chaque cellule de liquides </w:t>
      </w:r>
      <w:r w:rsidRPr="001C3192">
        <w:rPr>
          <w:rFonts w:eastAsia="Times New Roman" w:cs="Times New Roman"/>
          <w:color w:val="000000" w:themeColor="text1"/>
          <w:szCs w:val="24"/>
          <w:lang w:eastAsia="fr-FR"/>
        </w:rPr>
        <w:t>et solides liquéfiables combustibles est divisée en zones de collecte.</w:t>
      </w:r>
    </w:p>
    <w:p w14:paraId="0C20B8FB" w14:textId="1F9BAF33" w:rsidR="00535ED5" w:rsidRPr="001C3192" w:rsidRDefault="00535ED5" w:rsidP="00535ED5">
      <w:pPr>
        <w:spacing w:before="100" w:beforeAutospacing="1" w:after="119" w:line="240" w:lineRule="auto"/>
        <w:rPr>
          <w:rFonts w:eastAsia="Times New Roman" w:cs="Times New Roman"/>
          <w:color w:val="000000" w:themeColor="text1"/>
          <w:szCs w:val="24"/>
          <w:lang w:eastAsia="fr-FR"/>
        </w:rPr>
      </w:pPr>
      <w:r w:rsidRPr="001C3192">
        <w:rPr>
          <w:rFonts w:eastAsia="Times New Roman" w:cs="Times New Roman"/>
          <w:color w:val="000000" w:themeColor="text1"/>
          <w:szCs w:val="24"/>
          <w:lang w:eastAsia="fr-FR"/>
        </w:rPr>
        <w:t>La surface unitaire de chaque zone de coll</w:t>
      </w:r>
      <w:r w:rsidR="006064DE" w:rsidRPr="001C3192">
        <w:rPr>
          <w:rFonts w:eastAsia="Times New Roman" w:cs="Times New Roman"/>
          <w:color w:val="000000" w:themeColor="text1"/>
          <w:szCs w:val="24"/>
          <w:lang w:eastAsia="fr-FR"/>
        </w:rPr>
        <w:t>ecte est inférieure ou égale à 10</w:t>
      </w:r>
      <w:r w:rsidRPr="001C3192">
        <w:rPr>
          <w:rFonts w:eastAsia="Times New Roman" w:cs="Times New Roman"/>
          <w:color w:val="000000" w:themeColor="text1"/>
          <w:szCs w:val="24"/>
          <w:lang w:eastAsia="fr-FR"/>
        </w:rPr>
        <w:t xml:space="preserve">00m² </w:t>
      </w:r>
      <w:r w:rsidR="006064DE" w:rsidRPr="001C3192">
        <w:rPr>
          <w:rFonts w:eastAsia="Times New Roman" w:cs="Times New Roman"/>
          <w:color w:val="000000" w:themeColor="text1"/>
          <w:szCs w:val="24"/>
          <w:lang w:eastAsia="fr-FR"/>
        </w:rPr>
        <w:t>et</w:t>
      </w:r>
      <w:r w:rsidRPr="001C3192">
        <w:rPr>
          <w:rFonts w:eastAsia="Times New Roman" w:cs="Times New Roman"/>
          <w:color w:val="000000" w:themeColor="text1"/>
          <w:szCs w:val="24"/>
          <w:lang w:eastAsia="fr-FR"/>
        </w:rPr>
        <w:t xml:space="preserve"> compatible avec le dimensionnement du système d’extinction automatique ou dispositif équivalent prévu </w:t>
      </w:r>
      <w:r w:rsidR="00621901" w:rsidRPr="001C3192">
        <w:rPr>
          <w:rFonts w:eastAsia="Times New Roman" w:cs="Times New Roman"/>
          <w:color w:val="000000" w:themeColor="text1"/>
          <w:szCs w:val="24"/>
          <w:lang w:eastAsia="fr-FR"/>
        </w:rPr>
        <w:t>à l’article VI.5 du présent arrêté.</w:t>
      </w:r>
      <w:r w:rsidRPr="001C3192">
        <w:rPr>
          <w:rFonts w:eastAsia="Times New Roman" w:cs="Times New Roman"/>
          <w:color w:val="000000" w:themeColor="text1"/>
          <w:szCs w:val="24"/>
          <w:lang w:eastAsia="fr-FR"/>
        </w:rPr>
        <w:t>.</w:t>
      </w:r>
    </w:p>
    <w:p w14:paraId="01CF6119" w14:textId="77777777" w:rsidR="00621901" w:rsidRPr="001C3192" w:rsidRDefault="00535ED5" w:rsidP="0066259D">
      <w:pPr>
        <w:spacing w:before="100" w:beforeAutospacing="1" w:after="119" w:line="240" w:lineRule="auto"/>
        <w:rPr>
          <w:rFonts w:eastAsia="Times New Roman" w:cs="Times New Roman"/>
          <w:color w:val="000000" w:themeColor="text1"/>
          <w:szCs w:val="24"/>
          <w:lang w:eastAsia="fr-FR"/>
        </w:rPr>
      </w:pPr>
      <w:r w:rsidRPr="001C3192">
        <w:rPr>
          <w:rFonts w:eastAsia="Times New Roman" w:cs="Times New Roman"/>
          <w:color w:val="000000" w:themeColor="text1"/>
          <w:szCs w:val="24"/>
          <w:lang w:eastAsia="fr-FR"/>
        </w:rPr>
        <w:t xml:space="preserve">A chacune des zones de collecte est associé un dispositif de rétention dont la capacité utile est au moins égale à 100 % de la capacité des récipients mobiles associés, à laquelle est ajouté le volume d'eau d'extinction nécessaire à la lutte contre l'incendie de la zone de collecte. Le volume nécessaire à la rétention est rendu disponible par une ou des rétentions locales et déportées. </w:t>
      </w:r>
    </w:p>
    <w:p w14:paraId="355CF262" w14:textId="3B6A8DD1" w:rsidR="00621901" w:rsidRPr="00F63890" w:rsidRDefault="00621901" w:rsidP="0066259D">
      <w:pPr>
        <w:spacing w:before="100" w:beforeAutospacing="1" w:after="119" w:line="240" w:lineRule="auto"/>
        <w:rPr>
          <w:rFonts w:eastAsia="Times New Roman" w:cs="Times New Roman"/>
          <w:szCs w:val="24"/>
          <w:lang w:eastAsia="fr-FR"/>
        </w:rPr>
      </w:pPr>
      <w:r w:rsidRPr="001C3192">
        <w:rPr>
          <w:rFonts w:eastAsia="Times New Roman" w:cs="Times New Roman"/>
          <w:color w:val="000000" w:themeColor="text1"/>
          <w:szCs w:val="24"/>
          <w:lang w:eastAsia="fr-FR"/>
        </w:rPr>
        <w:t>En cas de rétention déportée, Le dispositif de drainage ainsi que la rétention sont conformes aux dispositions de l’</w:t>
      </w:r>
      <w:r w:rsidRPr="003253DA">
        <w:rPr>
          <w:rFonts w:eastAsia="Times New Roman" w:cs="Times New Roman"/>
          <w:color w:val="000000" w:themeColor="text1"/>
          <w:szCs w:val="24"/>
          <w:highlight w:val="yellow"/>
          <w:lang w:eastAsia="fr-FR"/>
        </w:rPr>
        <w:t>article III-</w:t>
      </w:r>
      <w:r w:rsidRPr="006E1118">
        <w:rPr>
          <w:rFonts w:eastAsia="Times New Roman" w:cs="Times New Roman"/>
          <w:color w:val="000000" w:themeColor="text1"/>
          <w:szCs w:val="24"/>
          <w:highlight w:val="yellow"/>
          <w:lang w:eastAsia="fr-FR"/>
        </w:rPr>
        <w:t>14</w:t>
      </w:r>
      <w:r w:rsidRPr="001C3192">
        <w:rPr>
          <w:rFonts w:eastAsia="Times New Roman" w:cs="Times New Roman"/>
          <w:color w:val="000000" w:themeColor="text1"/>
          <w:szCs w:val="24"/>
          <w:lang w:eastAsia="fr-FR"/>
        </w:rPr>
        <w:t xml:space="preserve"> relatif </w:t>
      </w:r>
      <w:r>
        <w:rPr>
          <w:rFonts w:eastAsia="Times New Roman" w:cs="Times New Roman"/>
          <w:szCs w:val="24"/>
          <w:lang w:eastAsia="fr-FR"/>
        </w:rPr>
        <w:t>aux rétentions déportées.</w:t>
      </w:r>
    </w:p>
    <w:p w14:paraId="47554760" w14:textId="77777777" w:rsidR="002F50CD" w:rsidRPr="008D53C5" w:rsidRDefault="002F50CD" w:rsidP="006258D5">
      <w:pPr>
        <w:spacing w:after="0" w:line="240" w:lineRule="auto"/>
        <w:rPr>
          <w:rFonts w:eastAsia="Times New Roman" w:cs="Times New Roman"/>
          <w:b/>
          <w:szCs w:val="24"/>
          <w:u w:val="single"/>
          <w:lang w:eastAsia="fr-FR"/>
        </w:rPr>
      </w:pPr>
    </w:p>
    <w:p w14:paraId="407505BF" w14:textId="2E762A5E" w:rsidR="00564869" w:rsidRDefault="00697649" w:rsidP="00564869">
      <w:pPr>
        <w:pStyle w:val="Titre2"/>
      </w:pPr>
      <w:r>
        <w:t>Dispositions applicables aux r</w:t>
      </w:r>
      <w:r w:rsidR="003B59E1" w:rsidRPr="00610FC6">
        <w:t>étentions déportées.</w:t>
      </w:r>
    </w:p>
    <w:p w14:paraId="5641C5F1" w14:textId="2C12239A" w:rsidR="00D26E73" w:rsidRDefault="00D26E73" w:rsidP="00682156">
      <w:pPr>
        <w:pStyle w:val="Titre3"/>
        <w:rPr>
          <w:rFonts w:eastAsia="Times New Roman"/>
          <w:lang w:eastAsia="fr-FR"/>
        </w:rPr>
      </w:pPr>
      <w:r>
        <w:rPr>
          <w:rFonts w:eastAsia="Times New Roman"/>
          <w:lang w:eastAsia="fr-FR"/>
        </w:rPr>
        <w:t>Zone de collecte extérieure</w:t>
      </w:r>
    </w:p>
    <w:p w14:paraId="2F355B5F" w14:textId="21A87AF2" w:rsidR="00B043CB" w:rsidRDefault="00B043CB" w:rsidP="009437A2">
      <w:pPr>
        <w:pStyle w:val="Titre3"/>
        <w:numPr>
          <w:ilvl w:val="0"/>
          <w:numId w:val="0"/>
        </w:numPr>
        <w:rPr>
          <w:rFonts w:eastAsia="Times New Roman"/>
          <w:lang w:eastAsia="fr-FR"/>
        </w:rPr>
      </w:pPr>
      <w:r>
        <w:rPr>
          <w:rFonts w:eastAsia="Times New Roman"/>
          <w:lang w:eastAsia="fr-FR"/>
        </w:rPr>
        <w:t>Dans le cas d’une rétention déportée, c</w:t>
      </w:r>
      <w:r w:rsidR="00682156">
        <w:rPr>
          <w:rFonts w:eastAsia="Times New Roman"/>
          <w:lang w:eastAsia="fr-FR"/>
        </w:rPr>
        <w:t>haque îlo</w:t>
      </w:r>
      <w:r w:rsidR="00682156" w:rsidRPr="00682156">
        <w:rPr>
          <w:rFonts w:eastAsia="Times New Roman"/>
          <w:lang w:eastAsia="fr-FR"/>
        </w:rPr>
        <w:t>t de stockage</w:t>
      </w:r>
      <w:r w:rsidR="008008F7">
        <w:rPr>
          <w:rFonts w:eastAsia="Times New Roman"/>
          <w:lang w:eastAsia="fr-FR"/>
        </w:rPr>
        <w:t xml:space="preserve"> extérieur</w:t>
      </w:r>
      <w:r>
        <w:rPr>
          <w:rFonts w:eastAsia="Times New Roman"/>
          <w:lang w:eastAsia="fr-FR"/>
        </w:rPr>
        <w:t xml:space="preserve"> est</w:t>
      </w:r>
      <w:r w:rsidR="00682156" w:rsidRPr="00682156">
        <w:rPr>
          <w:rFonts w:eastAsia="Times New Roman"/>
          <w:lang w:eastAsia="fr-FR"/>
        </w:rPr>
        <w:t xml:space="preserve"> associé à une zone de collecte</w:t>
      </w:r>
      <w:r>
        <w:rPr>
          <w:rFonts w:eastAsia="Times New Roman"/>
          <w:lang w:eastAsia="fr-FR"/>
        </w:rPr>
        <w:t xml:space="preserve"> dédiée, qui permet de répondre aux disposition</w:t>
      </w:r>
      <w:r w:rsidR="00782E48">
        <w:rPr>
          <w:rFonts w:eastAsia="Times New Roman"/>
          <w:lang w:eastAsia="fr-FR"/>
        </w:rPr>
        <w:t>s</w:t>
      </w:r>
      <w:r>
        <w:rPr>
          <w:rFonts w:eastAsia="Times New Roman"/>
          <w:lang w:eastAsia="fr-FR"/>
        </w:rPr>
        <w:t xml:space="preserve"> de l’article </w:t>
      </w:r>
      <w:r w:rsidRPr="00B043CB">
        <w:rPr>
          <w:rFonts w:eastAsia="Times New Roman"/>
          <w:highlight w:val="yellow"/>
          <w:lang w:eastAsia="fr-FR"/>
        </w:rPr>
        <w:t>III-9</w:t>
      </w:r>
      <w:r>
        <w:rPr>
          <w:rFonts w:eastAsia="Times New Roman"/>
          <w:lang w:eastAsia="fr-FR"/>
        </w:rPr>
        <w:t xml:space="preserve"> du présent arrêté. </w:t>
      </w:r>
    </w:p>
    <w:p w14:paraId="6B49CCF5" w14:textId="77777777" w:rsidR="00611D11" w:rsidRPr="00152A67" w:rsidRDefault="00611D11" w:rsidP="00611D11">
      <w:pPr>
        <w:rPr>
          <w:lang w:eastAsia="fr-FR"/>
        </w:rPr>
      </w:pPr>
    </w:p>
    <w:p w14:paraId="2FF2119E" w14:textId="2C1F77CF" w:rsidR="00B043CB" w:rsidRDefault="00B043CB" w:rsidP="00611D11">
      <w:pPr>
        <w:pStyle w:val="Titre3"/>
        <w:rPr>
          <w:rFonts w:eastAsia="Times New Roman"/>
          <w:lang w:eastAsia="fr-FR"/>
        </w:rPr>
      </w:pPr>
      <w:r>
        <w:rPr>
          <w:rFonts w:eastAsia="Times New Roman"/>
          <w:lang w:eastAsia="fr-FR"/>
        </w:rPr>
        <w:t>Dispositif de drainage</w:t>
      </w:r>
    </w:p>
    <w:p w14:paraId="0C0033AA" w14:textId="6D253534" w:rsidR="00682156" w:rsidRPr="00682156" w:rsidRDefault="00B043CB" w:rsidP="00611D11">
      <w:pPr>
        <w:pStyle w:val="Titre3"/>
        <w:numPr>
          <w:ilvl w:val="0"/>
          <w:numId w:val="0"/>
        </w:numPr>
        <w:rPr>
          <w:rFonts w:eastAsia="Times New Roman"/>
          <w:lang w:eastAsia="fr-FR"/>
        </w:rPr>
      </w:pPr>
      <w:r>
        <w:rPr>
          <w:rFonts w:eastAsia="Times New Roman"/>
          <w:lang w:eastAsia="fr-FR"/>
        </w:rPr>
        <w:t>Chaque zone de collecte extérieure et chaque zone de collecte</w:t>
      </w:r>
      <w:r w:rsidR="00682156" w:rsidRPr="00682156">
        <w:rPr>
          <w:rFonts w:eastAsia="Times New Roman"/>
          <w:lang w:eastAsia="fr-FR"/>
        </w:rPr>
        <w:t xml:space="preserve"> </w:t>
      </w:r>
      <w:r w:rsidR="00E86B6E">
        <w:rPr>
          <w:rFonts w:eastAsia="Times New Roman"/>
          <w:lang w:eastAsia="fr-FR"/>
        </w:rPr>
        <w:t>mentionnée</w:t>
      </w:r>
      <w:r w:rsidR="00E86B6E" w:rsidRPr="00682156">
        <w:rPr>
          <w:rFonts w:eastAsia="Times New Roman"/>
          <w:lang w:eastAsia="fr-FR"/>
        </w:rPr>
        <w:t xml:space="preserve"> </w:t>
      </w:r>
      <w:r w:rsidR="00775D54">
        <w:rPr>
          <w:rFonts w:eastAsia="Times New Roman"/>
          <w:highlight w:val="yellow"/>
          <w:lang w:eastAsia="fr-FR"/>
        </w:rPr>
        <w:t>à l’article III</w:t>
      </w:r>
      <w:r w:rsidR="006803B0">
        <w:rPr>
          <w:rFonts w:eastAsia="Times New Roman"/>
          <w:highlight w:val="yellow"/>
          <w:lang w:eastAsia="fr-FR"/>
        </w:rPr>
        <w:t>-</w:t>
      </w:r>
      <w:r w:rsidR="00775D54">
        <w:rPr>
          <w:rFonts w:eastAsia="Times New Roman"/>
          <w:highlight w:val="yellow"/>
          <w:lang w:eastAsia="fr-FR"/>
        </w:rPr>
        <w:t>13 du présent arrêté</w:t>
      </w:r>
      <w:r w:rsidR="00D90714">
        <w:rPr>
          <w:rFonts w:eastAsia="Times New Roman"/>
          <w:highlight w:val="yellow"/>
          <w:lang w:eastAsia="fr-FR"/>
        </w:rPr>
        <w:t>,</w:t>
      </w:r>
      <w:r w:rsidR="00682156" w:rsidRPr="00682156">
        <w:rPr>
          <w:rFonts w:eastAsia="Times New Roman"/>
          <w:highlight w:val="yellow"/>
          <w:lang w:eastAsia="fr-FR"/>
        </w:rPr>
        <w:t xml:space="preserve"> e</w:t>
      </w:r>
      <w:r w:rsidR="00682156" w:rsidRPr="00682156">
        <w:rPr>
          <w:rFonts w:eastAsia="Times New Roman"/>
          <w:lang w:eastAsia="fr-FR"/>
        </w:rPr>
        <w:t>st pourvu</w:t>
      </w:r>
      <w:r>
        <w:rPr>
          <w:rFonts w:eastAsia="Times New Roman"/>
          <w:lang w:eastAsia="fr-FR"/>
        </w:rPr>
        <w:t>e</w:t>
      </w:r>
      <w:r w:rsidR="00682156" w:rsidRPr="00682156">
        <w:rPr>
          <w:rFonts w:eastAsia="Times New Roman"/>
          <w:lang w:eastAsia="fr-FR"/>
        </w:rPr>
        <w:t xml:space="preserve"> d’un </w:t>
      </w:r>
      <w:r w:rsidR="0092185A">
        <w:rPr>
          <w:rFonts w:eastAsia="Times New Roman"/>
          <w:lang w:eastAsia="fr-FR"/>
        </w:rPr>
        <w:t xml:space="preserve">dispositif de drainage </w:t>
      </w:r>
      <w:r w:rsidR="00682156" w:rsidRPr="00682156">
        <w:rPr>
          <w:rFonts w:eastAsia="Times New Roman"/>
          <w:lang w:eastAsia="fr-FR"/>
        </w:rPr>
        <w:t xml:space="preserve">permettant de récupérer et de canaliser les liquides </w:t>
      </w:r>
      <w:r w:rsidR="00682156" w:rsidRPr="00BF2F34">
        <w:rPr>
          <w:rFonts w:eastAsia="Times New Roman"/>
          <w:lang w:eastAsia="fr-FR"/>
        </w:rPr>
        <w:t>inflammables</w:t>
      </w:r>
      <w:r w:rsidR="00682156" w:rsidRPr="00682156">
        <w:rPr>
          <w:rFonts w:eastAsia="Times New Roman"/>
          <w:lang w:eastAsia="fr-FR"/>
        </w:rPr>
        <w:t xml:space="preserve"> et les eaux d’extinction d’incendie.</w:t>
      </w:r>
    </w:p>
    <w:p w14:paraId="7ECAB787" w14:textId="77777777" w:rsidR="00682156" w:rsidRPr="00682156" w:rsidRDefault="00682156" w:rsidP="00682156">
      <w:pPr>
        <w:spacing w:after="0" w:line="240" w:lineRule="auto"/>
        <w:rPr>
          <w:rFonts w:eastAsia="Times New Roman" w:cs="Times New Roman"/>
          <w:color w:val="000000" w:themeColor="text1"/>
          <w:szCs w:val="24"/>
          <w:lang w:eastAsia="fr-FR"/>
        </w:rPr>
      </w:pPr>
    </w:p>
    <w:p w14:paraId="41EFADC7" w14:textId="77777777" w:rsidR="00682156" w:rsidRPr="00682156" w:rsidRDefault="00682156" w:rsidP="00682156">
      <w:pPr>
        <w:spacing w:after="0" w:line="240" w:lineRule="auto"/>
        <w:rPr>
          <w:rFonts w:eastAsia="Times New Roman" w:cs="Times New Roman"/>
          <w:color w:val="000000" w:themeColor="text1"/>
          <w:szCs w:val="24"/>
          <w:lang w:eastAsia="fr-FR"/>
        </w:rPr>
      </w:pPr>
    </w:p>
    <w:p w14:paraId="22EA8F53" w14:textId="41F84950" w:rsidR="00682156" w:rsidRPr="00682156" w:rsidRDefault="00682156" w:rsidP="00682156">
      <w:pPr>
        <w:pStyle w:val="Titre3"/>
        <w:rPr>
          <w:rFonts w:eastAsia="Times New Roman"/>
          <w:lang w:eastAsia="fr-FR"/>
        </w:rPr>
      </w:pPr>
      <w:r w:rsidRPr="00682156">
        <w:rPr>
          <w:rFonts w:eastAsia="Times New Roman"/>
          <w:lang w:eastAsia="fr-FR"/>
        </w:rPr>
        <w:t>Dispositif d’extinction</w:t>
      </w:r>
      <w:r w:rsidR="00535ED5">
        <w:rPr>
          <w:rFonts w:eastAsia="Times New Roman"/>
          <w:lang w:eastAsia="fr-FR"/>
        </w:rPr>
        <w:t xml:space="preserve"> des effluents enflammés</w:t>
      </w:r>
    </w:p>
    <w:p w14:paraId="76CE47B7" w14:textId="77777777" w:rsidR="00AB6A7D" w:rsidRDefault="00AB6A7D" w:rsidP="009437A2">
      <w:pPr>
        <w:pStyle w:val="western"/>
        <w:spacing w:before="0" w:beforeAutospacing="0"/>
      </w:pPr>
      <w:r>
        <w:t>Les effluents ainsi canalisés sont dirigés à l’extérieur des zones de collecte vers un dispositif permettant l’extinction des effluents enflammés et évitant leur réinflammation avant qu’ils ne soient dirigés vers la rétention déportée. Ce dispositif peut être une fosse d’extinction, un plancher pareflamme, un siphon anti-feu ou tout autre dispositif équivalent.</w:t>
      </w:r>
    </w:p>
    <w:p w14:paraId="799674CF" w14:textId="77777777" w:rsidR="00682156" w:rsidRPr="00682156" w:rsidRDefault="00682156" w:rsidP="00682156">
      <w:pPr>
        <w:spacing w:after="0" w:line="240" w:lineRule="auto"/>
        <w:rPr>
          <w:rFonts w:eastAsia="Times New Roman" w:cs="Times New Roman"/>
          <w:color w:val="000000" w:themeColor="text1"/>
          <w:szCs w:val="24"/>
          <w:lang w:eastAsia="fr-FR"/>
        </w:rPr>
      </w:pPr>
    </w:p>
    <w:p w14:paraId="1C0C232F" w14:textId="7B1A7F88" w:rsidR="00682156" w:rsidRPr="00682156" w:rsidRDefault="00682156" w:rsidP="00682156">
      <w:pPr>
        <w:pStyle w:val="Titre3"/>
        <w:rPr>
          <w:rFonts w:eastAsia="Times New Roman"/>
          <w:lang w:eastAsia="fr-FR"/>
        </w:rPr>
      </w:pPr>
      <w:r w:rsidRPr="00682156">
        <w:rPr>
          <w:rFonts w:eastAsia="Times New Roman"/>
          <w:lang w:eastAsia="fr-FR"/>
        </w:rPr>
        <w:t>L</w:t>
      </w:r>
      <w:r w:rsidR="00B043CB">
        <w:rPr>
          <w:rFonts w:eastAsia="Times New Roman"/>
          <w:lang w:eastAsia="fr-FR"/>
        </w:rPr>
        <w:t>a zone de collecte, l</w:t>
      </w:r>
      <w:r w:rsidRPr="00682156">
        <w:rPr>
          <w:rFonts w:eastAsia="Times New Roman"/>
          <w:lang w:eastAsia="fr-FR"/>
        </w:rPr>
        <w:t xml:space="preserve">e </w:t>
      </w:r>
      <w:r w:rsidR="0092185A">
        <w:rPr>
          <w:rFonts w:eastAsia="Times New Roman"/>
          <w:lang w:eastAsia="fr-FR"/>
        </w:rPr>
        <w:t>drainage</w:t>
      </w:r>
      <w:r w:rsidRPr="00682156">
        <w:rPr>
          <w:rFonts w:eastAsia="Times New Roman"/>
          <w:lang w:eastAsia="fr-FR"/>
        </w:rPr>
        <w:t xml:space="preserve">, le dispositif d’extinction et la rétention </w:t>
      </w:r>
      <w:r w:rsidR="0092185A">
        <w:rPr>
          <w:rFonts w:eastAsia="Times New Roman"/>
          <w:lang w:eastAsia="fr-FR"/>
        </w:rPr>
        <w:t xml:space="preserve">déportée </w:t>
      </w:r>
      <w:r w:rsidRPr="00682156">
        <w:rPr>
          <w:rFonts w:eastAsia="Times New Roman"/>
          <w:lang w:eastAsia="fr-FR"/>
        </w:rPr>
        <w:t>sont conçus, dimensionnés et construits afin de :</w:t>
      </w:r>
    </w:p>
    <w:p w14:paraId="18AE90D4" w14:textId="51E8AD0F" w:rsidR="00682156" w:rsidRPr="00682156" w:rsidRDefault="00682156" w:rsidP="00AB6A7D">
      <w:pPr>
        <w:pStyle w:val="Paragraphedeliste"/>
        <w:numPr>
          <w:ilvl w:val="0"/>
          <w:numId w:val="19"/>
        </w:numPr>
        <w:spacing w:after="0" w:line="240" w:lineRule="auto"/>
        <w:rPr>
          <w:rFonts w:eastAsia="Times New Roman" w:cs="Times New Roman"/>
          <w:color w:val="000000" w:themeColor="text1"/>
          <w:szCs w:val="24"/>
          <w:lang w:eastAsia="fr-FR"/>
        </w:rPr>
      </w:pPr>
      <w:r w:rsidRPr="00682156">
        <w:rPr>
          <w:rFonts w:eastAsia="Times New Roman" w:cs="Times New Roman"/>
          <w:color w:val="000000" w:themeColor="text1"/>
          <w:szCs w:val="24"/>
          <w:lang w:eastAsia="fr-FR"/>
        </w:rPr>
        <w:t xml:space="preserve">Ne pas communiquer le feu directement ou indirectement aux autres installations situées sur le site ainsi qu’à l’extérieur du site, en particulier le </w:t>
      </w:r>
      <w:r w:rsidR="00AB6A7D">
        <w:rPr>
          <w:rFonts w:eastAsia="Times New Roman" w:cs="Times New Roman"/>
          <w:color w:val="000000" w:themeColor="text1"/>
          <w:szCs w:val="24"/>
          <w:lang w:eastAsia="fr-FR"/>
        </w:rPr>
        <w:t>trajet aérien</w:t>
      </w:r>
      <w:r w:rsidR="009437A2">
        <w:rPr>
          <w:rFonts w:eastAsia="Times New Roman" w:cs="Times New Roman"/>
          <w:color w:val="000000" w:themeColor="text1"/>
          <w:szCs w:val="24"/>
          <w:lang w:eastAsia="fr-FR"/>
        </w:rPr>
        <w:t xml:space="preserve"> </w:t>
      </w:r>
      <w:r w:rsidRPr="00682156">
        <w:rPr>
          <w:rFonts w:eastAsia="Times New Roman"/>
          <w:color w:val="000000" w:themeColor="text1"/>
          <w:lang w:eastAsia="fr-FR"/>
        </w:rPr>
        <w:t xml:space="preserve">ne traverse pas de zone comportant des feux nus et ne coupe pas les voies d'accès aux récipients mobiles </w:t>
      </w:r>
      <w:r w:rsidRPr="00682156">
        <w:rPr>
          <w:rFonts w:eastAsia="Times New Roman"/>
          <w:color w:val="000000" w:themeColor="text1"/>
          <w:lang w:eastAsia="fr-FR"/>
        </w:rPr>
        <w:lastRenderedPageBreak/>
        <w:t xml:space="preserve">ou </w:t>
      </w:r>
      <w:r w:rsidR="00497AED">
        <w:rPr>
          <w:rFonts w:eastAsia="Times New Roman"/>
          <w:color w:val="000000" w:themeColor="text1"/>
          <w:lang w:eastAsia="fr-FR"/>
        </w:rPr>
        <w:t>stockage couvert</w:t>
      </w:r>
      <w:r w:rsidRPr="00682156">
        <w:rPr>
          <w:rFonts w:eastAsia="Times New Roman" w:cs="Times New Roman"/>
          <w:color w:val="000000" w:themeColor="text1"/>
          <w:szCs w:val="24"/>
          <w:lang w:eastAsia="fr-FR"/>
        </w:rPr>
        <w:t>.</w:t>
      </w:r>
      <w:r w:rsidR="00AB6A7D">
        <w:rPr>
          <w:rFonts w:eastAsia="Times New Roman" w:cs="Times New Roman"/>
          <w:color w:val="000000" w:themeColor="text1"/>
          <w:szCs w:val="24"/>
          <w:lang w:eastAsia="fr-FR"/>
        </w:rPr>
        <w:t xml:space="preserve"> </w:t>
      </w:r>
      <w:r w:rsidR="00AB6A7D" w:rsidRPr="00AB6A7D">
        <w:rPr>
          <w:rFonts w:eastAsia="Times New Roman" w:cs="Times New Roman"/>
          <w:color w:val="000000" w:themeColor="text1"/>
          <w:szCs w:val="24"/>
          <w:lang w:eastAsia="fr-FR"/>
        </w:rPr>
        <w:t>Le réseau est protégé de tout risque d’agression mécanique au droit des circulations d’engins ;</w:t>
      </w:r>
      <w:r w:rsidRPr="00682156">
        <w:rPr>
          <w:rFonts w:eastAsia="Times New Roman" w:cs="Times New Roman"/>
          <w:color w:val="000000" w:themeColor="text1"/>
          <w:szCs w:val="24"/>
          <w:lang w:eastAsia="fr-FR"/>
        </w:rPr>
        <w:t xml:space="preserve"> </w:t>
      </w:r>
    </w:p>
    <w:p w14:paraId="23F666D4" w14:textId="26F523D4" w:rsidR="00775D54" w:rsidRPr="0066259D" w:rsidRDefault="00682156" w:rsidP="00BA6B0D">
      <w:pPr>
        <w:pStyle w:val="Paragraphedeliste"/>
        <w:numPr>
          <w:ilvl w:val="0"/>
          <w:numId w:val="19"/>
        </w:numPr>
        <w:spacing w:after="0" w:line="240" w:lineRule="auto"/>
        <w:rPr>
          <w:rFonts w:eastAsia="Times New Roman"/>
          <w:lang w:eastAsia="fr-FR"/>
        </w:rPr>
      </w:pPr>
      <w:r w:rsidRPr="00775D54">
        <w:rPr>
          <w:rFonts w:eastAsia="Times New Roman" w:cs="Times New Roman"/>
          <w:color w:val="000000" w:themeColor="text1"/>
          <w:szCs w:val="24"/>
          <w:lang w:eastAsia="fr-FR"/>
        </w:rPr>
        <w:t>Éviter tout débordement</w:t>
      </w:r>
      <w:r w:rsidR="000842F5" w:rsidRPr="00775D54">
        <w:rPr>
          <w:rFonts w:eastAsia="Times New Roman" w:cs="Times New Roman"/>
          <w:color w:val="000000" w:themeColor="text1"/>
          <w:szCs w:val="24"/>
          <w:lang w:eastAsia="fr-FR"/>
        </w:rPr>
        <w:t xml:space="preserve"> des réseaux</w:t>
      </w:r>
      <w:r w:rsidRPr="00775D54">
        <w:rPr>
          <w:rFonts w:eastAsia="Times New Roman" w:cs="Times New Roman"/>
          <w:color w:val="000000" w:themeColor="text1"/>
          <w:szCs w:val="24"/>
          <w:lang w:eastAsia="fr-FR"/>
        </w:rPr>
        <w:t xml:space="preserve">, pour cela ils sont adaptés aux débits ainsi qu’aux volumes attendus d’effluents enflammés et des eaux d’extinction d’incendie, </w:t>
      </w:r>
      <w:r w:rsidRPr="00775D54" w:rsidDel="00BF1438">
        <w:rPr>
          <w:rFonts w:eastAsia="Times New Roman" w:cs="Times New Roman"/>
          <w:color w:val="000000" w:themeColor="text1"/>
          <w:szCs w:val="24"/>
          <w:lang w:eastAsia="fr-FR"/>
        </w:rPr>
        <w:t>pour assurer l’éc</w:t>
      </w:r>
      <w:r w:rsidR="00775D54" w:rsidRPr="00775D54">
        <w:rPr>
          <w:rFonts w:eastAsia="Times New Roman" w:cs="Times New Roman"/>
          <w:color w:val="000000" w:themeColor="text1"/>
          <w:szCs w:val="24"/>
          <w:lang w:eastAsia="fr-FR"/>
        </w:rPr>
        <w:t>oulement vers la rétention</w:t>
      </w:r>
      <w:r w:rsidR="0092185A">
        <w:rPr>
          <w:rFonts w:eastAsia="Times New Roman" w:cs="Times New Roman"/>
          <w:color w:val="000000" w:themeColor="text1"/>
          <w:szCs w:val="24"/>
          <w:lang w:eastAsia="fr-FR"/>
        </w:rPr>
        <w:t xml:space="preserve"> déportée</w:t>
      </w:r>
      <w:r w:rsidR="00775D54" w:rsidRPr="00775D54">
        <w:rPr>
          <w:rFonts w:eastAsia="Times New Roman" w:cs="Times New Roman"/>
          <w:color w:val="000000" w:themeColor="text1"/>
          <w:szCs w:val="24"/>
          <w:lang w:eastAsia="fr-FR"/>
        </w:rPr>
        <w:t> ;</w:t>
      </w:r>
    </w:p>
    <w:p w14:paraId="256C38B6" w14:textId="4E5E8AB9" w:rsidR="00AF3F07" w:rsidRPr="00AF3F07" w:rsidRDefault="00AF3F07" w:rsidP="0066259D">
      <w:pPr>
        <w:pStyle w:val="western"/>
        <w:numPr>
          <w:ilvl w:val="0"/>
          <w:numId w:val="19"/>
        </w:numPr>
        <w:spacing w:after="0"/>
      </w:pPr>
      <w:r>
        <w:t xml:space="preserve">Eviter le colmatage du réseau d'évacuation par </w:t>
      </w:r>
      <w:r w:rsidR="00C81DF7">
        <w:t>les</w:t>
      </w:r>
      <w:r>
        <w:t xml:space="preserve"> liquides et solides liquéfiables combustibles</w:t>
      </w:r>
      <w:r w:rsidR="00C81DF7">
        <w:t> ;</w:t>
      </w:r>
    </w:p>
    <w:p w14:paraId="7E0D8BE9" w14:textId="6153451F" w:rsidR="00775D54" w:rsidRPr="00775D54" w:rsidRDefault="00775D54" w:rsidP="00BA6B0D">
      <w:pPr>
        <w:pStyle w:val="Paragraphedeliste"/>
        <w:numPr>
          <w:ilvl w:val="0"/>
          <w:numId w:val="19"/>
        </w:numPr>
        <w:spacing w:after="0" w:line="240" w:lineRule="auto"/>
        <w:rPr>
          <w:rFonts w:eastAsia="Times New Roman" w:cs="Times New Roman"/>
          <w:color w:val="000000" w:themeColor="text1"/>
          <w:szCs w:val="24"/>
          <w:lang w:eastAsia="fr-FR"/>
        </w:rPr>
      </w:pPr>
      <w:r w:rsidRPr="00775D54">
        <w:rPr>
          <w:rFonts w:eastAsia="Times New Roman" w:cs="Times New Roman"/>
          <w:color w:val="000000" w:themeColor="text1"/>
          <w:szCs w:val="24"/>
          <w:lang w:eastAsia="fr-FR"/>
        </w:rPr>
        <w:t>Eviter tout débordement de la rétention</w:t>
      </w:r>
      <w:r w:rsidR="0092185A">
        <w:rPr>
          <w:rFonts w:eastAsia="Times New Roman" w:cs="Times New Roman"/>
          <w:color w:val="000000" w:themeColor="text1"/>
          <w:szCs w:val="24"/>
          <w:lang w:eastAsia="fr-FR"/>
        </w:rPr>
        <w:t xml:space="preserve"> déportée</w:t>
      </w:r>
      <w:r w:rsidRPr="00775D54">
        <w:rPr>
          <w:rFonts w:eastAsia="Times New Roman" w:cs="Times New Roman"/>
          <w:color w:val="000000" w:themeColor="text1"/>
          <w:szCs w:val="24"/>
          <w:lang w:eastAsia="fr-FR"/>
        </w:rPr>
        <w:t xml:space="preserve">, </w:t>
      </w:r>
      <w:r w:rsidR="00CD1620">
        <w:rPr>
          <w:rFonts w:eastAsia="Times New Roman" w:cs="Times New Roman"/>
          <w:color w:val="000000" w:themeColor="text1"/>
          <w:szCs w:val="24"/>
          <w:lang w:eastAsia="fr-FR"/>
        </w:rPr>
        <w:t xml:space="preserve">une rétention déportée peut être commune a plusieurs stockages, </w:t>
      </w:r>
      <w:r w:rsidR="00782E48">
        <w:t>l</w:t>
      </w:r>
      <w:r w:rsidR="00C045AD">
        <w:rPr>
          <w:rFonts w:eastAsia="Times New Roman"/>
          <w:lang w:eastAsia="fr-FR"/>
        </w:rPr>
        <w:t xml:space="preserve">e volume minimal </w:t>
      </w:r>
      <w:r w:rsidRPr="00775D54">
        <w:rPr>
          <w:rFonts w:eastAsia="Times New Roman"/>
          <w:lang w:eastAsia="fr-FR"/>
        </w:rPr>
        <w:t xml:space="preserve">de la rétention déportée </w:t>
      </w:r>
      <w:r w:rsidR="00C045AD">
        <w:rPr>
          <w:rFonts w:eastAsia="Times New Roman"/>
          <w:lang w:eastAsia="fr-FR"/>
        </w:rPr>
        <w:t>est au moins égal au plus grand volume calculé en application d</w:t>
      </w:r>
      <w:r w:rsidRPr="00775D54">
        <w:rPr>
          <w:rFonts w:eastAsia="Times New Roman"/>
          <w:lang w:eastAsia="fr-FR"/>
        </w:rPr>
        <w:t xml:space="preserve">es dispositions </w:t>
      </w:r>
      <w:r w:rsidRPr="00775D54">
        <w:rPr>
          <w:rFonts w:eastAsia="Times New Roman"/>
          <w:highlight w:val="yellow"/>
          <w:lang w:eastAsia="fr-FR"/>
        </w:rPr>
        <w:t>de</w:t>
      </w:r>
      <w:r w:rsidR="00FB0721">
        <w:rPr>
          <w:rFonts w:eastAsia="Times New Roman"/>
          <w:highlight w:val="yellow"/>
          <w:lang w:eastAsia="fr-FR"/>
        </w:rPr>
        <w:t xml:space="preserve">s </w:t>
      </w:r>
      <w:r w:rsidRPr="00775D54">
        <w:rPr>
          <w:rFonts w:eastAsia="Times New Roman"/>
          <w:highlight w:val="yellow"/>
          <w:lang w:eastAsia="fr-FR"/>
        </w:rPr>
        <w:t>article</w:t>
      </w:r>
      <w:r w:rsidR="006803B0">
        <w:rPr>
          <w:rFonts w:eastAsia="Times New Roman"/>
          <w:highlight w:val="yellow"/>
          <w:lang w:eastAsia="fr-FR"/>
        </w:rPr>
        <w:t>s III-</w:t>
      </w:r>
      <w:r w:rsidR="00FB0721">
        <w:rPr>
          <w:rFonts w:eastAsia="Times New Roman"/>
          <w:highlight w:val="yellow"/>
          <w:lang w:eastAsia="fr-FR"/>
        </w:rPr>
        <w:t>11</w:t>
      </w:r>
      <w:r w:rsidR="00FB0721" w:rsidRPr="00442B2A">
        <w:rPr>
          <w:rFonts w:eastAsia="Times New Roman"/>
          <w:highlight w:val="yellow"/>
          <w:lang w:eastAsia="fr-FR"/>
        </w:rPr>
        <w:t>,</w:t>
      </w:r>
      <w:r w:rsidRPr="00442B2A">
        <w:rPr>
          <w:rFonts w:eastAsia="Times New Roman"/>
          <w:highlight w:val="yellow"/>
          <w:lang w:eastAsia="fr-FR"/>
        </w:rPr>
        <w:t xml:space="preserve"> </w:t>
      </w:r>
      <w:r w:rsidR="006803B0" w:rsidRPr="00442B2A">
        <w:rPr>
          <w:rFonts w:eastAsia="Times New Roman"/>
          <w:highlight w:val="yellow"/>
          <w:lang w:eastAsia="fr-FR"/>
        </w:rPr>
        <w:t>III-</w:t>
      </w:r>
      <w:r w:rsidRPr="00442B2A">
        <w:rPr>
          <w:rFonts w:eastAsia="Times New Roman"/>
          <w:highlight w:val="yellow"/>
          <w:lang w:eastAsia="fr-FR"/>
        </w:rPr>
        <w:t>12</w:t>
      </w:r>
      <w:r w:rsidR="006803B0" w:rsidRPr="00442B2A">
        <w:rPr>
          <w:rFonts w:eastAsia="Times New Roman"/>
          <w:highlight w:val="yellow"/>
          <w:lang w:eastAsia="fr-FR"/>
        </w:rPr>
        <w:t xml:space="preserve"> et III-</w:t>
      </w:r>
      <w:r w:rsidR="00FB0721" w:rsidRPr="00442B2A">
        <w:rPr>
          <w:rFonts w:eastAsia="Times New Roman"/>
          <w:highlight w:val="yellow"/>
          <w:lang w:eastAsia="fr-FR"/>
        </w:rPr>
        <w:t>13</w:t>
      </w:r>
      <w:r w:rsidRPr="00775D54">
        <w:rPr>
          <w:rFonts w:eastAsia="Times New Roman"/>
          <w:lang w:eastAsia="fr-FR"/>
        </w:rPr>
        <w:t xml:space="preserve"> du présent arrêté</w:t>
      </w:r>
      <w:r w:rsidR="00C045AD">
        <w:rPr>
          <w:rFonts w:eastAsia="Times New Roman"/>
          <w:lang w:eastAsia="fr-FR"/>
        </w:rPr>
        <w:t xml:space="preserve"> pour chaque stockage associé</w:t>
      </w:r>
      <w:r w:rsidRPr="00775D54">
        <w:rPr>
          <w:rFonts w:eastAsia="Times New Roman"/>
          <w:lang w:eastAsia="fr-FR"/>
        </w:rPr>
        <w:t>.</w:t>
      </w:r>
    </w:p>
    <w:p w14:paraId="4D24B93C" w14:textId="17144EA2" w:rsidR="00682156" w:rsidRPr="00682156" w:rsidRDefault="00682156" w:rsidP="00682156">
      <w:pPr>
        <w:pStyle w:val="Paragraphedeliste"/>
        <w:numPr>
          <w:ilvl w:val="0"/>
          <w:numId w:val="19"/>
        </w:numPr>
        <w:spacing w:after="0" w:line="240" w:lineRule="auto"/>
        <w:rPr>
          <w:rFonts w:eastAsia="Times New Roman" w:cs="Times New Roman"/>
          <w:color w:val="000000" w:themeColor="text1"/>
          <w:szCs w:val="24"/>
          <w:lang w:eastAsia="fr-FR"/>
        </w:rPr>
      </w:pPr>
      <w:r w:rsidRPr="00682156">
        <w:rPr>
          <w:rFonts w:eastAsia="Times New Roman" w:cs="Times New Roman"/>
          <w:color w:val="000000" w:themeColor="text1"/>
          <w:szCs w:val="24"/>
          <w:lang w:eastAsia="fr-FR"/>
        </w:rPr>
        <w:t>Eviter toute surverse de liquide inflammable lors de son arrivée éventuelle dans la rétention</w:t>
      </w:r>
      <w:r w:rsidR="0092185A">
        <w:rPr>
          <w:rFonts w:eastAsia="Times New Roman" w:cs="Times New Roman"/>
          <w:color w:val="000000" w:themeColor="text1"/>
          <w:szCs w:val="24"/>
          <w:lang w:eastAsia="fr-FR"/>
        </w:rPr>
        <w:t xml:space="preserve"> déportée</w:t>
      </w:r>
      <w:r w:rsidRPr="00682156">
        <w:rPr>
          <w:rFonts w:eastAsia="Times New Roman" w:cs="Times New Roman"/>
          <w:color w:val="000000" w:themeColor="text1"/>
          <w:szCs w:val="24"/>
          <w:lang w:eastAsia="fr-FR"/>
        </w:rPr>
        <w:t> ;</w:t>
      </w:r>
    </w:p>
    <w:p w14:paraId="14E31C00" w14:textId="0CCC33B6" w:rsidR="00682156" w:rsidRPr="00682156" w:rsidRDefault="00682156" w:rsidP="00682156">
      <w:pPr>
        <w:pStyle w:val="Paragraphedeliste"/>
        <w:numPr>
          <w:ilvl w:val="0"/>
          <w:numId w:val="19"/>
        </w:numPr>
        <w:spacing w:after="0" w:line="240" w:lineRule="auto"/>
        <w:rPr>
          <w:rFonts w:eastAsia="Times New Roman" w:cs="Times New Roman"/>
          <w:color w:val="000000" w:themeColor="text1"/>
          <w:szCs w:val="24"/>
          <w:lang w:eastAsia="fr-FR"/>
        </w:rPr>
      </w:pPr>
      <w:r w:rsidRPr="00682156">
        <w:rPr>
          <w:rFonts w:eastAsia="Times New Roman" w:cs="Times New Roman"/>
          <w:color w:val="000000" w:themeColor="text1"/>
          <w:szCs w:val="24"/>
          <w:lang w:eastAsia="fr-FR"/>
        </w:rPr>
        <w:t>Résister aux effluents enflammés</w:t>
      </w:r>
      <w:r w:rsidR="00AB6A7D">
        <w:rPr>
          <w:rFonts w:eastAsia="Times New Roman" w:cs="Times New Roman"/>
          <w:color w:val="000000" w:themeColor="text1"/>
          <w:szCs w:val="24"/>
          <w:lang w:eastAsia="fr-FR"/>
        </w:rPr>
        <w:t> : e</w:t>
      </w:r>
      <w:r w:rsidRPr="00682156">
        <w:rPr>
          <w:rFonts w:eastAsia="Times New Roman" w:cs="Times New Roman"/>
          <w:color w:val="000000" w:themeColor="text1"/>
          <w:szCs w:val="24"/>
          <w:lang w:eastAsia="fr-FR"/>
        </w:rPr>
        <w:t xml:space="preserve">n amont </w:t>
      </w:r>
      <w:r w:rsidR="00AB6A7D">
        <w:rPr>
          <w:rFonts w:eastAsia="Times New Roman" w:cs="Times New Roman"/>
          <w:color w:val="000000" w:themeColor="text1"/>
          <w:szCs w:val="24"/>
          <w:lang w:eastAsia="fr-FR"/>
        </w:rPr>
        <w:t>du dispositif d’extinction,</w:t>
      </w:r>
      <w:r w:rsidR="00AE3310" w:rsidRPr="00682156">
        <w:rPr>
          <w:rFonts w:eastAsia="Times New Roman" w:cs="Times New Roman"/>
          <w:color w:val="000000" w:themeColor="text1"/>
          <w:szCs w:val="24"/>
          <w:lang w:eastAsia="fr-FR"/>
        </w:rPr>
        <w:t xml:space="preserve"> </w:t>
      </w:r>
      <w:r w:rsidRPr="00682156">
        <w:rPr>
          <w:rFonts w:eastAsia="Times New Roman" w:cs="Times New Roman"/>
          <w:color w:val="000000" w:themeColor="text1"/>
          <w:szCs w:val="24"/>
          <w:lang w:eastAsia="fr-FR"/>
        </w:rPr>
        <w:t>les réseaux sont en matériaux incombustibles</w:t>
      </w:r>
      <w:r w:rsidR="00D024A4">
        <w:rPr>
          <w:rFonts w:eastAsia="Times New Roman" w:cs="Times New Roman"/>
          <w:color w:val="000000" w:themeColor="text1"/>
          <w:szCs w:val="24"/>
          <w:lang w:eastAsia="fr-FR"/>
        </w:rPr>
        <w:t> ;</w:t>
      </w:r>
    </w:p>
    <w:p w14:paraId="6EE62249" w14:textId="77777777" w:rsidR="00604F74" w:rsidRPr="00604F74" w:rsidRDefault="00604F74" w:rsidP="00604F74">
      <w:pPr>
        <w:pStyle w:val="Paragraphedeliste"/>
        <w:spacing w:after="0" w:line="240" w:lineRule="auto"/>
        <w:rPr>
          <w:rFonts w:eastAsia="Times New Roman" w:cs="Times New Roman"/>
          <w:color w:val="000000" w:themeColor="text1"/>
          <w:szCs w:val="24"/>
          <w:lang w:eastAsia="fr-FR"/>
        </w:rPr>
      </w:pPr>
    </w:p>
    <w:p w14:paraId="7B6B93C9" w14:textId="77777777" w:rsidR="00CD1620" w:rsidRDefault="00CD1620" w:rsidP="00604F74">
      <w:pPr>
        <w:spacing w:after="0" w:line="240" w:lineRule="auto"/>
      </w:pPr>
      <w:r>
        <w:t>Le cas échéant, la rétention déportée peut être commune avec le bassin de confinement prévu à l’article VII.1.</w:t>
      </w:r>
    </w:p>
    <w:p w14:paraId="476D9B71" w14:textId="41588177" w:rsidR="00682156" w:rsidRPr="00604F74" w:rsidRDefault="00AB6A7D" w:rsidP="00604F74">
      <w:pPr>
        <w:spacing w:after="0" w:line="240" w:lineRule="auto"/>
        <w:rPr>
          <w:rFonts w:eastAsia="Times New Roman" w:cs="Times New Roman"/>
          <w:color w:val="000000" w:themeColor="text1"/>
          <w:szCs w:val="24"/>
          <w:lang w:eastAsia="fr-FR"/>
        </w:rPr>
      </w:pPr>
      <w:r w:rsidRPr="00604F74">
        <w:rPr>
          <w:rFonts w:eastAsia="Times New Roman" w:cs="Times New Roman"/>
          <w:color w:val="000000" w:themeColor="text1"/>
          <w:szCs w:val="24"/>
          <w:lang w:eastAsia="fr-FR"/>
        </w:rPr>
        <w:t>La rétention déportée et, si elle existe, la fosse d’extinction sont</w:t>
      </w:r>
      <w:r w:rsidR="00682156" w:rsidRPr="00604F74">
        <w:rPr>
          <w:rFonts w:eastAsia="Times New Roman" w:cs="Times New Roman"/>
          <w:color w:val="000000" w:themeColor="text1"/>
          <w:szCs w:val="24"/>
          <w:lang w:eastAsia="fr-FR"/>
        </w:rPr>
        <w:t xml:space="preserve"> accessible</w:t>
      </w:r>
      <w:r w:rsidRPr="00604F74">
        <w:rPr>
          <w:rFonts w:eastAsia="Times New Roman" w:cs="Times New Roman"/>
          <w:color w:val="000000" w:themeColor="text1"/>
          <w:szCs w:val="24"/>
          <w:lang w:eastAsia="fr-FR"/>
        </w:rPr>
        <w:t>s</w:t>
      </w:r>
      <w:r w:rsidR="00682156" w:rsidRPr="00604F74">
        <w:rPr>
          <w:rFonts w:eastAsia="Times New Roman" w:cs="Times New Roman"/>
          <w:color w:val="000000" w:themeColor="text1"/>
          <w:szCs w:val="24"/>
          <w:lang w:eastAsia="fr-FR"/>
        </w:rPr>
        <w:t xml:space="preserve"> aux services d’intervention lors de l’incendie.</w:t>
      </w:r>
    </w:p>
    <w:p w14:paraId="6448FE54" w14:textId="18D92678" w:rsidR="00D93F3E" w:rsidRPr="00D93F3E" w:rsidRDefault="00D93F3E" w:rsidP="00D93F3E">
      <w:pPr>
        <w:spacing w:after="0" w:line="240" w:lineRule="auto"/>
        <w:rPr>
          <w:rFonts w:eastAsia="Times New Roman" w:cs="Times New Roman"/>
          <w:color w:val="000000" w:themeColor="text1"/>
          <w:szCs w:val="24"/>
          <w:lang w:eastAsia="fr-FR"/>
        </w:rPr>
      </w:pPr>
      <w:r>
        <w:rPr>
          <w:rFonts w:eastAsia="Times New Roman" w:cs="Times New Roman"/>
          <w:color w:val="000000" w:themeColor="text1"/>
          <w:szCs w:val="24"/>
          <w:lang w:eastAsia="fr-FR"/>
        </w:rPr>
        <w:t xml:space="preserve">Les </w:t>
      </w:r>
      <w:r w:rsidR="002429CC">
        <w:rPr>
          <w:rFonts w:eastAsia="Times New Roman" w:cs="Times New Roman"/>
          <w:color w:val="000000" w:themeColor="text1"/>
          <w:szCs w:val="24"/>
          <w:lang w:eastAsia="fr-FR"/>
        </w:rPr>
        <w:t xml:space="preserve">hypothèses et </w:t>
      </w:r>
      <w:r>
        <w:rPr>
          <w:rFonts w:eastAsia="Times New Roman" w:cs="Times New Roman"/>
          <w:color w:val="000000" w:themeColor="text1"/>
          <w:szCs w:val="24"/>
          <w:lang w:eastAsia="fr-FR"/>
        </w:rPr>
        <w:t>justificatifs de dimensionnement sont tenus à disposition de l’inspection des installations classés.</w:t>
      </w:r>
    </w:p>
    <w:p w14:paraId="1F7DD1CB" w14:textId="678E2D6C" w:rsidR="00682156" w:rsidRPr="002A44DB" w:rsidRDefault="00682156" w:rsidP="00682156">
      <w:pPr>
        <w:spacing w:after="0" w:line="240" w:lineRule="auto"/>
        <w:rPr>
          <w:rFonts w:eastAsia="Times New Roman" w:cs="Times New Roman"/>
          <w:color w:val="00B0F0"/>
          <w:szCs w:val="24"/>
          <w:lang w:eastAsia="fr-FR"/>
        </w:rPr>
      </w:pPr>
    </w:p>
    <w:p w14:paraId="29D63249" w14:textId="7196599B" w:rsidR="000F2A4C" w:rsidRDefault="00621901" w:rsidP="00621901">
      <w:pPr>
        <w:pStyle w:val="Titre3"/>
      </w:pPr>
      <w:r>
        <w:rPr>
          <w:rFonts w:eastAsia="Times New Roman"/>
          <w:lang w:eastAsia="fr-FR"/>
        </w:rPr>
        <w:t>S</w:t>
      </w:r>
      <w:r w:rsidRPr="00621901">
        <w:rPr>
          <w:rFonts w:eastAsia="Times New Roman"/>
          <w:lang w:eastAsia="fr-FR"/>
        </w:rPr>
        <w:t xml:space="preserve">auf en cas d’un système de drainage actif dimensionné pour l’évacuation rapide des produits associé tel que prévu </w:t>
      </w:r>
      <w:r>
        <w:rPr>
          <w:rFonts w:eastAsia="Times New Roman"/>
          <w:lang w:eastAsia="fr-FR"/>
        </w:rPr>
        <w:t>à l’article VI.5</w:t>
      </w:r>
      <w:r w:rsidRPr="00621901">
        <w:rPr>
          <w:rFonts w:eastAsia="Times New Roman"/>
          <w:lang w:eastAsia="fr-FR"/>
        </w:rPr>
        <w:t>,</w:t>
      </w:r>
      <w:r>
        <w:rPr>
          <w:rFonts w:eastAsia="Times New Roman"/>
          <w:lang w:eastAsia="fr-FR"/>
        </w:rPr>
        <w:t xml:space="preserve"> le</w:t>
      </w:r>
      <w:r w:rsidR="00682156" w:rsidRPr="00682156">
        <w:rPr>
          <w:rFonts w:eastAsia="Times New Roman"/>
          <w:lang w:eastAsia="fr-FR"/>
        </w:rPr>
        <w:t xml:space="preserve"> liquide recueilli est dirigé de manière gravitaire vers la rétention</w:t>
      </w:r>
      <w:r w:rsidR="0092185A">
        <w:rPr>
          <w:rFonts w:eastAsia="Times New Roman"/>
          <w:lang w:eastAsia="fr-FR"/>
        </w:rPr>
        <w:t xml:space="preserve"> déportée</w:t>
      </w:r>
      <w:r w:rsidR="00682156" w:rsidRPr="00682156">
        <w:rPr>
          <w:rFonts w:eastAsia="Times New Roman"/>
          <w:lang w:eastAsia="fr-FR"/>
        </w:rPr>
        <w:t xml:space="preserve">. </w:t>
      </w:r>
      <w:r w:rsidR="00682156" w:rsidRPr="00682156">
        <w:t xml:space="preserve">En cas d'impossibilité technique </w:t>
      </w:r>
      <w:r w:rsidR="00C731AE" w:rsidRPr="00682156">
        <w:t xml:space="preserve">justifiée </w:t>
      </w:r>
      <w:r w:rsidR="00682156" w:rsidRPr="00682156">
        <w:t xml:space="preserve">de disposer d'un dispositif </w:t>
      </w:r>
      <w:r w:rsidR="0092185A">
        <w:t xml:space="preserve">de drainage </w:t>
      </w:r>
      <w:r w:rsidR="00682156" w:rsidRPr="00682156">
        <w:t xml:space="preserve">passif, l’écoulement vers la rétention associée peut être constitué d'un dispositif </w:t>
      </w:r>
      <w:r w:rsidR="0092185A">
        <w:t xml:space="preserve">de drainage </w:t>
      </w:r>
      <w:r w:rsidR="00682156" w:rsidRPr="00682156">
        <w:t xml:space="preserve">commandable manuellement et automatiquement sur déclenchement du système de détection d’incendie ou d’écoulement. Dans ce cas, la pertinence, le dimensionnement et l'efficacité du dispositif </w:t>
      </w:r>
      <w:r w:rsidR="0092185A">
        <w:t xml:space="preserve">de drainage </w:t>
      </w:r>
      <w:r w:rsidR="00682156" w:rsidRPr="00682156">
        <w:t>sont démontrés au regard des conditions et de la configuration des stockages.</w:t>
      </w:r>
    </w:p>
    <w:p w14:paraId="77995DCA" w14:textId="4203E0DC" w:rsidR="00682156" w:rsidRPr="000F2A4C" w:rsidRDefault="00682156" w:rsidP="000F2A4C">
      <w:pPr>
        <w:pStyle w:val="Titre3"/>
        <w:numPr>
          <w:ilvl w:val="0"/>
          <w:numId w:val="0"/>
        </w:numPr>
        <w:ind w:left="454"/>
      </w:pPr>
      <w:r w:rsidRPr="000F2A4C">
        <w:rPr>
          <w:rFonts w:eastAsia="Times New Roman"/>
          <w:lang w:eastAsia="fr-FR"/>
        </w:rPr>
        <w:t>En cas de mise en place d’un dispositif actif, les équipements nécessaires au dispositif (pompes, etc .) sont conçus pour résister aux effets auxquels ils sont soumis</w:t>
      </w:r>
      <w:r w:rsidR="00C45102" w:rsidRPr="000F2A4C">
        <w:rPr>
          <w:rFonts w:eastAsia="Times New Roman"/>
          <w:lang w:eastAsia="fr-FR"/>
        </w:rPr>
        <w:t>. Ils disposent, d’une alimentation électrique de secours</w:t>
      </w:r>
      <w:r w:rsidRPr="000F2A4C">
        <w:rPr>
          <w:rFonts w:eastAsia="Times New Roman"/>
          <w:lang w:eastAsia="fr-FR"/>
        </w:rPr>
        <w:t xml:space="preserve"> et, le cas échéant, d’équipement empêchant la propagation éventuel</w:t>
      </w:r>
      <w:r w:rsidR="00C731AE" w:rsidRPr="000F2A4C">
        <w:rPr>
          <w:rFonts w:eastAsia="Times New Roman"/>
          <w:lang w:eastAsia="fr-FR"/>
        </w:rPr>
        <w:t>le</w:t>
      </w:r>
      <w:r w:rsidRPr="000F2A4C">
        <w:rPr>
          <w:rFonts w:eastAsia="Times New Roman"/>
          <w:lang w:eastAsia="fr-FR"/>
        </w:rPr>
        <w:t xml:space="preserve"> d’un incendie.</w:t>
      </w:r>
    </w:p>
    <w:p w14:paraId="2B317E3C" w14:textId="77777777" w:rsidR="000F2A4C" w:rsidRPr="00682156" w:rsidRDefault="000F2A4C" w:rsidP="00682156">
      <w:pPr>
        <w:spacing w:after="0" w:line="240" w:lineRule="auto"/>
        <w:rPr>
          <w:rFonts w:cs="Times New Roman"/>
          <w:color w:val="000000" w:themeColor="text1"/>
          <w:szCs w:val="24"/>
        </w:rPr>
      </w:pPr>
    </w:p>
    <w:p w14:paraId="66D98884" w14:textId="3BAD32E7" w:rsidR="00682156" w:rsidRPr="00682156" w:rsidRDefault="00AB6A7D" w:rsidP="00AB6A7D">
      <w:pPr>
        <w:pStyle w:val="Titre3"/>
        <w:rPr>
          <w:rFonts w:eastAsia="Times New Roman"/>
          <w:lang w:eastAsia="fr-FR"/>
        </w:rPr>
      </w:pPr>
      <w:r w:rsidRPr="00AB6A7D">
        <w:t>Le dispositif d’extinction ainsi que le dispositif de drainage font</w:t>
      </w:r>
      <w:r w:rsidRPr="00AB6A7D" w:rsidDel="00AB6A7D">
        <w:t xml:space="preserve"> </w:t>
      </w:r>
      <w:r w:rsidR="00682156" w:rsidRPr="00682156">
        <w:t>l'objet d'un examen visuel approfondi périodiquement et d'une maintenance appropriée. En cas de dispositif</w:t>
      </w:r>
      <w:r w:rsidR="0092185A">
        <w:t xml:space="preserve"> de drainage</w:t>
      </w:r>
      <w:r w:rsidR="00682156" w:rsidRPr="00682156">
        <w:t xml:space="preserve"> actif, celui-ci fait l’objet de tests de fonctionnement périodiques, à une fréquence </w:t>
      </w:r>
      <w:r w:rsidR="00816D49">
        <w:t>au moins</w:t>
      </w:r>
      <w:r w:rsidR="00682156" w:rsidRPr="00682156">
        <w:t xml:space="preserve"> semestrielle. Les dates et résultats des tests réalisés sont consignés dans un registre éventuellement informatisé qui est tenu à la disposition de l'inspection des installations classées.</w:t>
      </w:r>
    </w:p>
    <w:p w14:paraId="2E01DC24" w14:textId="77777777" w:rsidR="00682156" w:rsidRPr="00682156" w:rsidRDefault="00682156" w:rsidP="00682156">
      <w:pPr>
        <w:spacing w:after="0" w:line="240" w:lineRule="auto"/>
        <w:rPr>
          <w:rFonts w:eastAsia="Times New Roman" w:cs="Times New Roman"/>
          <w:color w:val="000000" w:themeColor="text1"/>
          <w:szCs w:val="24"/>
          <w:lang w:eastAsia="fr-FR"/>
        </w:rPr>
      </w:pPr>
    </w:p>
    <w:p w14:paraId="186718F0" w14:textId="3B3ABCEF" w:rsidR="00682156" w:rsidRPr="00682156" w:rsidRDefault="00682156" w:rsidP="00682156">
      <w:pPr>
        <w:pStyle w:val="Titre3"/>
        <w:spacing w:line="240" w:lineRule="auto"/>
        <w:rPr>
          <w:rFonts w:eastAsia="Times New Roman" w:cs="Times New Roman"/>
          <w:lang w:eastAsia="fr-FR"/>
        </w:rPr>
      </w:pPr>
      <w:r w:rsidRPr="00682156">
        <w:rPr>
          <w:rFonts w:eastAsia="Times New Roman"/>
          <w:lang w:eastAsia="fr-FR"/>
        </w:rPr>
        <w:lastRenderedPageBreak/>
        <w:t xml:space="preserve">L’exploitant intègre au plan d’intervention et consignes incendies prévues </w:t>
      </w:r>
      <w:r w:rsidR="00775D54">
        <w:rPr>
          <w:rFonts w:eastAsia="Times New Roman"/>
          <w:highlight w:val="yellow"/>
          <w:lang w:eastAsia="fr-FR"/>
        </w:rPr>
        <w:t xml:space="preserve">à </w:t>
      </w:r>
      <w:r w:rsidR="00775D54" w:rsidRPr="00442B2A">
        <w:rPr>
          <w:rFonts w:eastAsia="Times New Roman"/>
          <w:highlight w:val="yellow"/>
          <w:lang w:eastAsia="fr-FR"/>
        </w:rPr>
        <w:t>l’article VI-</w:t>
      </w:r>
      <w:r w:rsidR="002A4566">
        <w:rPr>
          <w:rFonts w:eastAsia="Times New Roman"/>
          <w:highlight w:val="yellow"/>
          <w:lang w:eastAsia="fr-FR"/>
        </w:rPr>
        <w:t>7</w:t>
      </w:r>
      <w:r w:rsidR="00775D54">
        <w:rPr>
          <w:rFonts w:eastAsia="Times New Roman"/>
          <w:lang w:eastAsia="fr-FR"/>
        </w:rPr>
        <w:t xml:space="preserve"> du présent arrêté,</w:t>
      </w:r>
      <w:r w:rsidRPr="00682156">
        <w:rPr>
          <w:rFonts w:eastAsia="Times New Roman"/>
          <w:lang w:eastAsia="fr-FR"/>
        </w:rPr>
        <w:t xml:space="preserve"> les moyens à mettre en place et les </w:t>
      </w:r>
      <w:r w:rsidR="001E5837" w:rsidRPr="00682156">
        <w:rPr>
          <w:rFonts w:eastAsia="Times New Roman"/>
          <w:lang w:eastAsia="fr-FR"/>
        </w:rPr>
        <w:t>manœuvres</w:t>
      </w:r>
      <w:r w:rsidRPr="00682156">
        <w:rPr>
          <w:rFonts w:eastAsia="Times New Roman"/>
          <w:lang w:eastAsia="fr-FR"/>
        </w:rPr>
        <w:t xml:space="preserve"> à effectuer pour canaliser et maîtriser les écoulements des eaux d’extinction d’incendie, notamment en ce qui concerne la mise en </w:t>
      </w:r>
      <w:r w:rsidR="001E5837" w:rsidRPr="00682156">
        <w:rPr>
          <w:rFonts w:eastAsia="Times New Roman"/>
          <w:lang w:eastAsia="fr-FR"/>
        </w:rPr>
        <w:t>œuvre</w:t>
      </w:r>
      <w:r w:rsidRPr="00682156">
        <w:rPr>
          <w:rFonts w:eastAsia="Times New Roman"/>
          <w:lang w:eastAsia="fr-FR"/>
        </w:rPr>
        <w:t xml:space="preserve"> de dispositifs</w:t>
      </w:r>
      <w:r w:rsidR="0092185A">
        <w:rPr>
          <w:rFonts w:eastAsia="Times New Roman"/>
          <w:lang w:eastAsia="fr-FR"/>
        </w:rPr>
        <w:t xml:space="preserve"> de drainage</w:t>
      </w:r>
      <w:r w:rsidRPr="00682156">
        <w:rPr>
          <w:rFonts w:eastAsia="Times New Roman"/>
          <w:lang w:eastAsia="fr-FR"/>
        </w:rPr>
        <w:t xml:space="preserve"> actif</w:t>
      </w:r>
      <w:r w:rsidR="00C731AE">
        <w:rPr>
          <w:rFonts w:eastAsia="Times New Roman"/>
          <w:lang w:eastAsia="fr-FR"/>
        </w:rPr>
        <w:t>s</w:t>
      </w:r>
      <w:r w:rsidR="000C4820">
        <w:rPr>
          <w:rFonts w:eastAsia="Times New Roman"/>
          <w:lang w:eastAsia="fr-FR"/>
        </w:rPr>
        <w:t>, le cas échéant</w:t>
      </w:r>
      <w:r w:rsidRPr="00682156">
        <w:rPr>
          <w:rFonts w:eastAsia="Times New Roman"/>
          <w:lang w:eastAsia="fr-FR"/>
        </w:rPr>
        <w:t>.</w:t>
      </w:r>
    </w:p>
    <w:p w14:paraId="46346A15" w14:textId="77777777" w:rsidR="00682156" w:rsidRPr="00682156" w:rsidRDefault="00682156" w:rsidP="000F2A4C">
      <w:pPr>
        <w:pStyle w:val="Titre3"/>
        <w:numPr>
          <w:ilvl w:val="0"/>
          <w:numId w:val="0"/>
        </w:numPr>
        <w:spacing w:line="240" w:lineRule="auto"/>
        <w:ind w:left="454"/>
        <w:rPr>
          <w:rFonts w:eastAsia="Times New Roman" w:cs="Times New Roman"/>
          <w:lang w:eastAsia="fr-FR"/>
        </w:rPr>
      </w:pPr>
      <w:r w:rsidRPr="00682156">
        <w:rPr>
          <w:rFonts w:eastAsia="Times New Roman" w:cs="Times New Roman"/>
          <w:lang w:eastAsia="fr-FR"/>
        </w:rPr>
        <w:t>Le délai d’exécution de ce plan ne peut excéder le délai de remplissage de la rétention.</w:t>
      </w:r>
    </w:p>
    <w:p w14:paraId="2F3E8B05" w14:textId="77777777" w:rsidR="00682156" w:rsidRPr="00682156" w:rsidRDefault="00682156" w:rsidP="00682156">
      <w:pPr>
        <w:rPr>
          <w:color w:val="000000" w:themeColor="text1"/>
          <w:lang w:eastAsia="fr-FR"/>
        </w:rPr>
      </w:pPr>
    </w:p>
    <w:p w14:paraId="0D680421" w14:textId="77777777" w:rsidR="00682156" w:rsidRPr="00682156" w:rsidRDefault="00682156" w:rsidP="00682156">
      <w:pPr>
        <w:pStyle w:val="Titre3"/>
        <w:rPr>
          <w:rFonts w:eastAsia="Times New Roman"/>
          <w:lang w:eastAsia="fr-FR"/>
        </w:rPr>
      </w:pPr>
      <w:r w:rsidRPr="00682156">
        <w:rPr>
          <w:rFonts w:eastAsia="Times New Roman"/>
          <w:lang w:eastAsia="fr-FR"/>
        </w:rPr>
        <w:t xml:space="preserve"> Implantation des rétentions déportées</w:t>
      </w:r>
    </w:p>
    <w:p w14:paraId="6A731A23" w14:textId="00846590" w:rsidR="00682156" w:rsidRPr="00682156" w:rsidRDefault="00682156" w:rsidP="00682156">
      <w:pPr>
        <w:pStyle w:val="Titre3"/>
        <w:numPr>
          <w:ilvl w:val="0"/>
          <w:numId w:val="0"/>
        </w:numPr>
        <w:ind w:left="357"/>
        <w:rPr>
          <w:rFonts w:eastAsia="Times New Roman"/>
          <w:lang w:eastAsia="fr-FR"/>
        </w:rPr>
      </w:pPr>
      <w:r w:rsidRPr="00682156">
        <w:rPr>
          <w:rFonts w:eastAsia="Times New Roman"/>
          <w:lang w:eastAsia="fr-FR"/>
        </w:rPr>
        <w:t>Les rétentions</w:t>
      </w:r>
      <w:r w:rsidR="007757F1">
        <w:rPr>
          <w:rFonts w:eastAsia="Times New Roman"/>
          <w:lang w:eastAsia="fr-FR"/>
        </w:rPr>
        <w:t xml:space="preserve"> déportées</w:t>
      </w:r>
      <w:r w:rsidRPr="00682156">
        <w:rPr>
          <w:rFonts w:eastAsia="Times New Roman"/>
          <w:lang w:eastAsia="fr-FR"/>
        </w:rPr>
        <w:t xml:space="preserve"> :</w:t>
      </w:r>
    </w:p>
    <w:p w14:paraId="05252123" w14:textId="34FCBC03" w:rsidR="00C71DD3" w:rsidRPr="00682156" w:rsidRDefault="00682156" w:rsidP="000F2A4C">
      <w:pPr>
        <w:spacing w:after="0" w:line="240" w:lineRule="auto"/>
        <w:ind w:left="357"/>
        <w:rPr>
          <w:rFonts w:eastAsia="Times New Roman" w:cs="Times New Roman"/>
          <w:color w:val="000000" w:themeColor="text1"/>
          <w:szCs w:val="24"/>
          <w:lang w:eastAsia="fr-FR"/>
        </w:rPr>
      </w:pPr>
      <w:r w:rsidRPr="00682156">
        <w:rPr>
          <w:rFonts w:eastAsia="Times New Roman" w:cs="Times New Roman"/>
          <w:color w:val="000000" w:themeColor="text1"/>
          <w:szCs w:val="24"/>
          <w:lang w:eastAsia="fr-FR"/>
        </w:rPr>
        <w:t>― sont implantées hors des zones d'effet thermique d'intensité supérieure à 5 kW/m² identifiées dans l'étude de dangers</w:t>
      </w:r>
      <w:r w:rsidR="007757F1" w:rsidRPr="00682156">
        <w:rPr>
          <w:rFonts w:eastAsia="Times New Roman" w:cs="Times New Roman"/>
          <w:color w:val="000000" w:themeColor="text1"/>
          <w:szCs w:val="24"/>
          <w:lang w:eastAsia="fr-FR"/>
        </w:rPr>
        <w:t xml:space="preserve"> au regard des potentiels incendies susceptibles de survenir</w:t>
      </w:r>
      <w:r w:rsidR="007757F1">
        <w:rPr>
          <w:rFonts w:eastAsia="Times New Roman" w:cs="Times New Roman"/>
          <w:color w:val="000000" w:themeColor="text1"/>
          <w:szCs w:val="24"/>
          <w:lang w:eastAsia="fr-FR"/>
        </w:rPr>
        <w:t xml:space="preserve"> au niveau de chaque </w:t>
      </w:r>
      <w:r w:rsidR="00C71DD3">
        <w:rPr>
          <w:rFonts w:eastAsia="Times New Roman" w:cs="Times New Roman"/>
          <w:color w:val="000000" w:themeColor="text1"/>
          <w:szCs w:val="24"/>
          <w:lang w:eastAsia="fr-FR"/>
        </w:rPr>
        <w:t>zone de stockage de récipients mobiles, cellule de l</w:t>
      </w:r>
      <w:r w:rsidR="007757F1">
        <w:rPr>
          <w:rFonts w:eastAsia="Times New Roman" w:cs="Times New Roman"/>
          <w:color w:val="000000" w:themeColor="text1"/>
          <w:szCs w:val="24"/>
          <w:lang w:eastAsia="fr-FR"/>
        </w:rPr>
        <w:t>iquides inflammables ou cellule</w:t>
      </w:r>
      <w:r w:rsidR="00C71DD3">
        <w:rPr>
          <w:rFonts w:eastAsia="Times New Roman" w:cs="Times New Roman"/>
          <w:color w:val="000000" w:themeColor="text1"/>
          <w:szCs w:val="24"/>
          <w:lang w:eastAsia="fr-FR"/>
        </w:rPr>
        <w:t xml:space="preserve"> de </w:t>
      </w:r>
      <w:r w:rsidR="00E674B3">
        <w:rPr>
          <w:rFonts w:eastAsia="Times New Roman" w:cs="Times New Roman"/>
          <w:color w:val="000000" w:themeColor="text1"/>
          <w:szCs w:val="24"/>
          <w:lang w:eastAsia="fr-FR"/>
        </w:rPr>
        <w:t>liquides et solides liquéfiables combustibles</w:t>
      </w:r>
      <w:r w:rsidR="00C71DD3">
        <w:rPr>
          <w:rFonts w:eastAsia="Times New Roman" w:cs="Times New Roman"/>
          <w:color w:val="000000" w:themeColor="text1"/>
          <w:szCs w:val="24"/>
          <w:lang w:eastAsia="fr-FR"/>
        </w:rPr>
        <w:t xml:space="preserve"> associés</w:t>
      </w:r>
      <w:r w:rsidR="0047455C">
        <w:rPr>
          <w:rFonts w:eastAsia="Times New Roman" w:cs="Times New Roman"/>
          <w:color w:val="000000" w:themeColor="text1"/>
          <w:szCs w:val="24"/>
          <w:lang w:eastAsia="fr-FR"/>
        </w:rPr>
        <w:t xml:space="preserve"> prise individuellement.</w:t>
      </w:r>
      <w:r w:rsidR="00C71DD3">
        <w:rPr>
          <w:rFonts w:eastAsia="Times New Roman" w:cs="Times New Roman"/>
          <w:color w:val="000000" w:themeColor="text1"/>
          <w:szCs w:val="24"/>
          <w:lang w:eastAsia="fr-FR"/>
        </w:rPr>
        <w:t xml:space="preserve">. Cette disposition n’est pas applicable aux rétentions </w:t>
      </w:r>
      <w:r w:rsidR="007757F1">
        <w:rPr>
          <w:rFonts w:eastAsia="Times New Roman" w:cs="Times New Roman"/>
          <w:color w:val="000000" w:themeColor="text1"/>
          <w:szCs w:val="24"/>
          <w:lang w:eastAsia="fr-FR"/>
        </w:rPr>
        <w:t xml:space="preserve">déportées </w:t>
      </w:r>
      <w:r w:rsidR="00C71DD3">
        <w:rPr>
          <w:rFonts w:eastAsia="Times New Roman" w:cs="Times New Roman"/>
          <w:color w:val="000000" w:themeColor="text1"/>
          <w:szCs w:val="24"/>
          <w:lang w:eastAsia="fr-FR"/>
        </w:rPr>
        <w:t>enterrées ;</w:t>
      </w:r>
    </w:p>
    <w:p w14:paraId="17431F54" w14:textId="27806893" w:rsidR="00682156" w:rsidRPr="00682156" w:rsidRDefault="00682156" w:rsidP="000F2A4C">
      <w:pPr>
        <w:spacing w:after="0" w:line="240" w:lineRule="auto"/>
        <w:ind w:left="357"/>
        <w:rPr>
          <w:rFonts w:eastAsia="Times New Roman" w:cs="Times New Roman"/>
          <w:color w:val="000000" w:themeColor="text1"/>
          <w:szCs w:val="24"/>
          <w:lang w:eastAsia="fr-FR"/>
        </w:rPr>
      </w:pPr>
      <w:r w:rsidRPr="00682156">
        <w:rPr>
          <w:rFonts w:eastAsia="Times New Roman" w:cs="Times New Roman"/>
          <w:color w:val="000000" w:themeColor="text1"/>
          <w:szCs w:val="24"/>
          <w:lang w:eastAsia="fr-FR"/>
        </w:rPr>
        <w:t>― sont implantées à moins de 100 mètres d'au moins un appareil d'incendie (bouche ou poteau d'incendie) d'un diamètre nominal de 100 ou 150 millimètres (DN100 ou DN150), dont l'emplacement est défini dans l'étude de dangers au regard des potentiels incendies susceptibles de survenir</w:t>
      </w:r>
      <w:r w:rsidR="000F2A4C">
        <w:rPr>
          <w:rFonts w:eastAsia="Times New Roman" w:cs="Times New Roman"/>
          <w:color w:val="000000" w:themeColor="text1"/>
          <w:szCs w:val="24"/>
          <w:lang w:eastAsia="fr-FR"/>
        </w:rPr>
        <w:t xml:space="preserve"> </w:t>
      </w:r>
      <w:r w:rsidR="007757F1">
        <w:rPr>
          <w:rFonts w:eastAsia="Times New Roman" w:cs="Times New Roman"/>
          <w:color w:val="000000" w:themeColor="text1"/>
          <w:szCs w:val="24"/>
          <w:lang w:eastAsia="fr-FR"/>
        </w:rPr>
        <w:t xml:space="preserve">au niveau de chaque zone de stockages de récipients mobiles, cellule de liquides inflammables ou cellule de </w:t>
      </w:r>
      <w:r w:rsidR="00E674B3">
        <w:rPr>
          <w:rFonts w:eastAsia="Times New Roman" w:cs="Times New Roman"/>
          <w:color w:val="000000" w:themeColor="text1"/>
          <w:szCs w:val="24"/>
          <w:lang w:eastAsia="fr-FR"/>
        </w:rPr>
        <w:t>liquides et solides liquéfiables combustibles</w:t>
      </w:r>
      <w:r w:rsidR="007757F1">
        <w:rPr>
          <w:rFonts w:eastAsia="Times New Roman" w:cs="Times New Roman"/>
          <w:color w:val="000000" w:themeColor="text1"/>
          <w:szCs w:val="24"/>
          <w:lang w:eastAsia="fr-FR"/>
        </w:rPr>
        <w:t xml:space="preserve"> associés</w:t>
      </w:r>
      <w:r w:rsidRPr="00682156">
        <w:rPr>
          <w:rFonts w:eastAsia="Times New Roman" w:cs="Times New Roman"/>
          <w:color w:val="000000" w:themeColor="text1"/>
          <w:szCs w:val="24"/>
          <w:lang w:eastAsia="fr-FR"/>
        </w:rPr>
        <w:t>. Une réserve d'émulseur destinée à des moyens de pompage fixes ou mobiles, dont la quantité et l'emplacement sont également définis dans l'étude de dangers, est également implantée à proximité de la rétention</w:t>
      </w:r>
      <w:r w:rsidR="007757F1">
        <w:rPr>
          <w:rFonts w:eastAsia="Times New Roman" w:cs="Times New Roman"/>
          <w:color w:val="000000" w:themeColor="text1"/>
          <w:szCs w:val="24"/>
          <w:lang w:eastAsia="fr-FR"/>
        </w:rPr>
        <w:t xml:space="preserve"> déportée</w:t>
      </w:r>
      <w:r w:rsidRPr="00682156">
        <w:rPr>
          <w:rFonts w:eastAsia="Times New Roman" w:cs="Times New Roman"/>
          <w:color w:val="000000" w:themeColor="text1"/>
          <w:szCs w:val="24"/>
          <w:lang w:eastAsia="fr-FR"/>
        </w:rPr>
        <w:t>, si nécessaire.</w:t>
      </w:r>
    </w:p>
    <w:p w14:paraId="2343764C" w14:textId="77777777" w:rsidR="00682156" w:rsidRDefault="00682156" w:rsidP="00682156">
      <w:pPr>
        <w:spacing w:after="0" w:line="240" w:lineRule="auto"/>
        <w:rPr>
          <w:rFonts w:eastAsia="Times New Roman" w:cs="Times New Roman"/>
          <w:color w:val="000000" w:themeColor="text1"/>
          <w:szCs w:val="24"/>
          <w:lang w:eastAsia="fr-FR"/>
        </w:rPr>
      </w:pPr>
    </w:p>
    <w:p w14:paraId="1D6D29A7" w14:textId="1C53D2A8" w:rsidR="00C71DD3" w:rsidRPr="00682156" w:rsidRDefault="00C71DD3" w:rsidP="000F2A4C">
      <w:pPr>
        <w:spacing w:after="0" w:line="240" w:lineRule="auto"/>
        <w:ind w:left="357"/>
        <w:rPr>
          <w:rFonts w:eastAsia="Times New Roman" w:cs="Times New Roman"/>
          <w:color w:val="000000" w:themeColor="text1"/>
          <w:szCs w:val="24"/>
          <w:lang w:eastAsia="fr-FR"/>
        </w:rPr>
      </w:pPr>
      <w:r>
        <w:rPr>
          <w:rFonts w:eastAsia="Times New Roman" w:cs="Times New Roman"/>
          <w:color w:val="000000" w:themeColor="text1"/>
          <w:szCs w:val="24"/>
          <w:lang w:eastAsia="fr-FR"/>
        </w:rPr>
        <w:t>Si elle existe,</w:t>
      </w:r>
      <w:r w:rsidR="00682156" w:rsidRPr="00682156">
        <w:rPr>
          <w:rFonts w:eastAsia="Times New Roman" w:cs="Times New Roman"/>
          <w:color w:val="000000" w:themeColor="text1"/>
          <w:szCs w:val="24"/>
          <w:lang w:eastAsia="fr-FR"/>
        </w:rPr>
        <w:t xml:space="preserve"> la fosse d’extinction est située en dehors des zones de flux thermiques de </w:t>
      </w:r>
      <w:r>
        <w:rPr>
          <w:rFonts w:eastAsia="Times New Roman" w:cs="Times New Roman"/>
          <w:color w:val="000000" w:themeColor="text1"/>
          <w:szCs w:val="24"/>
          <w:lang w:eastAsia="fr-FR"/>
        </w:rPr>
        <w:t xml:space="preserve">5 </w:t>
      </w:r>
      <w:r w:rsidR="00682156" w:rsidRPr="00682156">
        <w:rPr>
          <w:rFonts w:eastAsia="Times New Roman" w:cs="Times New Roman"/>
          <w:color w:val="000000" w:themeColor="text1"/>
          <w:szCs w:val="24"/>
          <w:lang w:eastAsia="fr-FR"/>
        </w:rPr>
        <w:t>kw/m²</w:t>
      </w:r>
      <w:r w:rsidRPr="00C71DD3">
        <w:rPr>
          <w:rFonts w:eastAsia="Times New Roman" w:cs="Times New Roman"/>
          <w:color w:val="000000" w:themeColor="text1"/>
          <w:szCs w:val="24"/>
          <w:lang w:eastAsia="fr-FR"/>
        </w:rPr>
        <w:t xml:space="preserve"> </w:t>
      </w:r>
      <w:r w:rsidRPr="00682156">
        <w:rPr>
          <w:rFonts w:eastAsia="Times New Roman" w:cs="Times New Roman"/>
          <w:color w:val="000000" w:themeColor="text1"/>
          <w:szCs w:val="24"/>
          <w:lang w:eastAsia="fr-FR"/>
        </w:rPr>
        <w:t>identifiées dans l'étude de dangers</w:t>
      </w:r>
      <w:r w:rsidR="00F5016F">
        <w:rPr>
          <w:rFonts w:eastAsia="Times New Roman" w:cs="Times New Roman"/>
          <w:color w:val="000000" w:themeColor="text1"/>
          <w:szCs w:val="24"/>
          <w:lang w:eastAsia="fr-FR"/>
        </w:rPr>
        <w:t xml:space="preserve"> pour chaque incendie de zone de</w:t>
      </w:r>
      <w:r>
        <w:rPr>
          <w:rFonts w:eastAsia="Times New Roman" w:cs="Times New Roman"/>
          <w:color w:val="000000" w:themeColor="text1"/>
          <w:szCs w:val="24"/>
          <w:lang w:eastAsia="fr-FR"/>
        </w:rPr>
        <w:t xml:space="preserve"> de stockages de récipients mobiles, cellule de liquides inflammables ou cellules de </w:t>
      </w:r>
      <w:r w:rsidR="00E674B3">
        <w:rPr>
          <w:rFonts w:eastAsia="Times New Roman" w:cs="Times New Roman"/>
          <w:color w:val="000000" w:themeColor="text1"/>
          <w:szCs w:val="24"/>
          <w:lang w:eastAsia="fr-FR"/>
        </w:rPr>
        <w:t>liquides et solides liquéfiables combustibles</w:t>
      </w:r>
      <w:r w:rsidR="00780B9C">
        <w:rPr>
          <w:rFonts w:eastAsia="Times New Roman" w:cs="Times New Roman"/>
          <w:color w:val="000000" w:themeColor="text1"/>
          <w:szCs w:val="24"/>
          <w:lang w:eastAsia="fr-FR"/>
        </w:rPr>
        <w:t xml:space="preserve"> </w:t>
      </w:r>
      <w:r>
        <w:rPr>
          <w:rFonts w:eastAsia="Times New Roman" w:cs="Times New Roman"/>
          <w:color w:val="000000" w:themeColor="text1"/>
          <w:szCs w:val="24"/>
          <w:lang w:eastAsia="fr-FR"/>
        </w:rPr>
        <w:t>associés</w:t>
      </w:r>
      <w:r w:rsidR="0047455C">
        <w:rPr>
          <w:rFonts w:eastAsia="Times New Roman" w:cs="Times New Roman"/>
          <w:color w:val="000000" w:themeColor="text1"/>
          <w:szCs w:val="24"/>
          <w:lang w:eastAsia="fr-FR"/>
        </w:rPr>
        <w:t xml:space="preserve"> prise individuellement</w:t>
      </w:r>
      <w:r>
        <w:rPr>
          <w:rFonts w:eastAsia="Times New Roman" w:cs="Times New Roman"/>
          <w:color w:val="000000" w:themeColor="text1"/>
          <w:szCs w:val="24"/>
          <w:lang w:eastAsia="fr-FR"/>
        </w:rPr>
        <w:t>. Cette disposition n’est pas applicable aux fosses d’extinction enterrées</w:t>
      </w:r>
      <w:r w:rsidR="00A87598">
        <w:rPr>
          <w:rFonts w:eastAsia="Times New Roman" w:cs="Times New Roman"/>
          <w:color w:val="000000" w:themeColor="text1"/>
          <w:szCs w:val="24"/>
          <w:lang w:eastAsia="fr-FR"/>
        </w:rPr>
        <w:t>.</w:t>
      </w:r>
    </w:p>
    <w:p w14:paraId="02184656" w14:textId="2AC2C23A" w:rsidR="00682156" w:rsidRPr="00682156" w:rsidRDefault="00682156" w:rsidP="00682156">
      <w:pPr>
        <w:spacing w:after="0" w:line="240" w:lineRule="auto"/>
        <w:rPr>
          <w:rFonts w:eastAsia="Times New Roman" w:cs="Times New Roman"/>
          <w:color w:val="000000" w:themeColor="text1"/>
          <w:szCs w:val="24"/>
          <w:lang w:eastAsia="fr-FR"/>
        </w:rPr>
      </w:pPr>
    </w:p>
    <w:p w14:paraId="62038D03" w14:textId="77777777" w:rsidR="007040F4" w:rsidRDefault="003B59E1" w:rsidP="00564869">
      <w:pPr>
        <w:pStyle w:val="Titre2"/>
      </w:pPr>
      <w:r>
        <w:t>Partage de rétention</w:t>
      </w:r>
      <w:r>
        <w:tab/>
      </w:r>
    </w:p>
    <w:p w14:paraId="49F19CC2" w14:textId="166575BC" w:rsidR="007040F4" w:rsidRDefault="003B59E1" w:rsidP="006E18F5">
      <w:pPr>
        <w:pStyle w:val="NormalWeb"/>
        <w:spacing w:before="0" w:beforeAutospacing="0" w:after="0" w:afterAutospacing="0"/>
      </w:pPr>
      <w:r w:rsidRPr="00610FC6">
        <w:t xml:space="preserve">Les rétentions affectées aux </w:t>
      </w:r>
      <w:r w:rsidR="00E86B6E">
        <w:t xml:space="preserve">récipients </w:t>
      </w:r>
      <w:r w:rsidR="00AF7E3A">
        <w:t xml:space="preserve">mobiles ne peuvent </w:t>
      </w:r>
      <w:r w:rsidR="0047455C">
        <w:t xml:space="preserve">pas être </w:t>
      </w:r>
      <w:r w:rsidR="00AF7E3A">
        <w:t>également affecté</w:t>
      </w:r>
      <w:r w:rsidR="00C731AE">
        <w:t>e</w:t>
      </w:r>
      <w:r w:rsidR="00AF7E3A">
        <w:t xml:space="preserve">s aux réservoirs fixes, sauf dans </w:t>
      </w:r>
      <w:r w:rsidRPr="00610FC6">
        <w:t>le cas des rétentions déportées.</w:t>
      </w:r>
      <w:r>
        <w:tab/>
      </w:r>
    </w:p>
    <w:p w14:paraId="6590102A" w14:textId="7C3D434F" w:rsidR="007040F4" w:rsidRPr="006E18F5" w:rsidRDefault="007040F4" w:rsidP="006E18F5">
      <w:pPr>
        <w:pStyle w:val="NormalWeb"/>
        <w:spacing w:before="0" w:beforeAutospacing="0" w:after="0" w:afterAutospacing="0"/>
        <w:rPr>
          <w:highlight w:val="yellow"/>
        </w:rPr>
      </w:pPr>
      <w:r>
        <w:t xml:space="preserve">Des réservoirs ou récipients contenant des produits susceptibles de réagir dangereusement ensemble ne sont pas associés à la même rétention. Cette disposition ne s'applique pas aux bassins de confinement des eaux d'extinction d'un éventuel incendie prévus au </w:t>
      </w:r>
      <w:r w:rsidR="00CE3370">
        <w:rPr>
          <w:highlight w:val="yellow"/>
        </w:rPr>
        <w:t>à l’article VII-1</w:t>
      </w:r>
      <w:r w:rsidR="00775D54">
        <w:rPr>
          <w:highlight w:val="yellow"/>
        </w:rPr>
        <w:t xml:space="preserve"> </w:t>
      </w:r>
      <w:r w:rsidRPr="006E18F5">
        <w:rPr>
          <w:highlight w:val="yellow"/>
        </w:rPr>
        <w:t>du présent arrêté.</w:t>
      </w:r>
    </w:p>
    <w:p w14:paraId="27EDBB65" w14:textId="3D259348" w:rsidR="003B59E1" w:rsidRPr="00610FC6" w:rsidRDefault="003B59E1" w:rsidP="003B59E1">
      <w:pPr>
        <w:spacing w:after="0" w:line="240" w:lineRule="auto"/>
        <w:rPr>
          <w:rFonts w:eastAsia="Times New Roman" w:cs="Times New Roman"/>
          <w:szCs w:val="24"/>
          <w:lang w:eastAsia="fr-FR"/>
        </w:rPr>
      </w:pPr>
    </w:p>
    <w:p w14:paraId="009E021C" w14:textId="77777777" w:rsidR="003B59E1" w:rsidRDefault="003B59E1" w:rsidP="00564869">
      <w:pPr>
        <w:pStyle w:val="Titre2"/>
      </w:pPr>
      <w:r>
        <w:t>Evacuation des eaux des rétentions</w:t>
      </w:r>
    </w:p>
    <w:p w14:paraId="656FD515" w14:textId="77777777" w:rsidR="000F2A4C" w:rsidRDefault="003B59E1" w:rsidP="003B59E1">
      <w:pPr>
        <w:spacing w:after="0" w:line="240" w:lineRule="auto"/>
        <w:rPr>
          <w:rFonts w:eastAsia="Times New Roman" w:cs="Times New Roman"/>
          <w:szCs w:val="24"/>
          <w:lang w:eastAsia="fr-FR"/>
        </w:rPr>
      </w:pPr>
      <w:r w:rsidRPr="00610FC6">
        <w:rPr>
          <w:rFonts w:eastAsia="Times New Roman" w:cs="Times New Roman"/>
          <w:szCs w:val="24"/>
          <w:lang w:eastAsia="fr-FR"/>
        </w:rPr>
        <w:t>L'exploitant met en place les dispositifs et procédures appropriés pour assurer l'évacuation des eaux pouvant s'accumuler dans les rétentions.</w:t>
      </w:r>
      <w:r>
        <w:rPr>
          <w:rFonts w:eastAsia="Times New Roman" w:cs="Times New Roman"/>
          <w:szCs w:val="24"/>
          <w:lang w:eastAsia="fr-FR"/>
        </w:rPr>
        <w:tab/>
      </w:r>
      <w:r w:rsidRPr="00610FC6">
        <w:rPr>
          <w:rFonts w:eastAsia="Times New Roman" w:cs="Times New Roman"/>
          <w:szCs w:val="24"/>
          <w:lang w:eastAsia="fr-FR"/>
        </w:rPr>
        <w:br/>
        <w:t>Ces dispositifs :</w:t>
      </w:r>
      <w:r>
        <w:rPr>
          <w:rFonts w:eastAsia="Times New Roman" w:cs="Times New Roman"/>
          <w:szCs w:val="24"/>
          <w:lang w:eastAsia="fr-FR"/>
        </w:rPr>
        <w:tab/>
      </w:r>
      <w:r w:rsidRPr="00610FC6">
        <w:rPr>
          <w:rFonts w:eastAsia="Times New Roman" w:cs="Times New Roman"/>
          <w:szCs w:val="24"/>
          <w:lang w:eastAsia="fr-FR"/>
        </w:rPr>
        <w:br/>
        <w:t>- sont étanches aux liquides inflammables susceptibles d'être retenus ;</w:t>
      </w:r>
    </w:p>
    <w:p w14:paraId="48C38C77" w14:textId="26E2CA18" w:rsidR="003B59E1" w:rsidRPr="00610FC6" w:rsidRDefault="003B59E1" w:rsidP="003B59E1">
      <w:pPr>
        <w:spacing w:after="0" w:line="240" w:lineRule="auto"/>
        <w:rPr>
          <w:rFonts w:eastAsia="Times New Roman" w:cs="Times New Roman"/>
          <w:szCs w:val="24"/>
          <w:lang w:eastAsia="fr-FR"/>
        </w:rPr>
      </w:pPr>
      <w:r w:rsidRPr="00610FC6">
        <w:rPr>
          <w:rFonts w:eastAsia="Times New Roman" w:cs="Times New Roman"/>
          <w:szCs w:val="24"/>
          <w:lang w:eastAsia="fr-FR"/>
        </w:rPr>
        <w:t>- sont fermés (ou à l'arrêt s'il s'agit de dispositifs actifs) sauf pendant les phases de vidange ;</w:t>
      </w:r>
      <w:r w:rsidRPr="00610FC6">
        <w:rPr>
          <w:rFonts w:eastAsia="Times New Roman" w:cs="Times New Roman"/>
          <w:szCs w:val="24"/>
          <w:lang w:eastAsia="fr-FR"/>
        </w:rPr>
        <w:br/>
        <w:t>- peuvent être commandés sans avoir à pénétrer dans la rétention.</w:t>
      </w:r>
      <w:r>
        <w:rPr>
          <w:rFonts w:eastAsia="Times New Roman" w:cs="Times New Roman"/>
          <w:szCs w:val="24"/>
          <w:lang w:eastAsia="fr-FR"/>
        </w:rPr>
        <w:tab/>
      </w:r>
      <w:r w:rsidRPr="00610FC6">
        <w:rPr>
          <w:rFonts w:eastAsia="Times New Roman" w:cs="Times New Roman"/>
          <w:szCs w:val="24"/>
          <w:lang w:eastAsia="fr-FR"/>
        </w:rPr>
        <w:br/>
      </w:r>
      <w:r w:rsidRPr="00610FC6">
        <w:rPr>
          <w:rFonts w:eastAsia="Times New Roman" w:cs="Times New Roman"/>
          <w:szCs w:val="24"/>
          <w:lang w:eastAsia="fr-FR"/>
        </w:rPr>
        <w:lastRenderedPageBreak/>
        <w:t>La position ouverte ou fermée de ces dispositifs est clairement identifiable sans avoir à pénétrer dans la rétention.</w:t>
      </w:r>
    </w:p>
    <w:p w14:paraId="10F09617" w14:textId="77777777" w:rsidR="003B59E1" w:rsidRDefault="003B59E1" w:rsidP="003B59E1">
      <w:pPr>
        <w:spacing w:after="0" w:line="240" w:lineRule="auto"/>
        <w:rPr>
          <w:rFonts w:eastAsia="Times New Roman" w:cs="Times New Roman"/>
          <w:szCs w:val="24"/>
          <w:lang w:eastAsia="fr-FR"/>
        </w:rPr>
      </w:pPr>
    </w:p>
    <w:p w14:paraId="604B261B" w14:textId="77777777" w:rsidR="007341EA" w:rsidRDefault="003B59E1" w:rsidP="00564869">
      <w:pPr>
        <w:pStyle w:val="Titre2"/>
      </w:pPr>
      <w:r w:rsidRPr="007532D6">
        <w:t xml:space="preserve">Equipements présents dans les rétentions </w:t>
      </w:r>
    </w:p>
    <w:p w14:paraId="7E43AFA7" w14:textId="5123FA22" w:rsidR="00F21210" w:rsidRDefault="00F21210" w:rsidP="003B59E1">
      <w:pPr>
        <w:spacing w:after="0" w:line="240" w:lineRule="auto"/>
        <w:rPr>
          <w:rFonts w:eastAsia="Times New Roman" w:cs="Times New Roman"/>
          <w:szCs w:val="24"/>
          <w:lang w:eastAsia="fr-FR"/>
        </w:rPr>
      </w:pPr>
      <w:r>
        <w:t>Les tuyauteries existantes, situées à l'intérieur des rétentions mais étrangères à leur exploitation, sont tolérées sous réserve de la possibilité de les isoler par des dispositifs situés en dehors de la rétention. Ces dispositifs d'isolement sont identifiés et facilement accessibles en cas d'incendie de rétention. Leur mise en œuvre fait l'objet de consignes particulières.</w:t>
      </w:r>
    </w:p>
    <w:p w14:paraId="29F2A226" w14:textId="1E3D374C" w:rsidR="003B59E1" w:rsidRPr="007532D6" w:rsidRDefault="007341EA" w:rsidP="003B59E1">
      <w:pPr>
        <w:spacing w:after="0" w:line="240" w:lineRule="auto"/>
        <w:rPr>
          <w:rFonts w:eastAsia="Times New Roman" w:cs="Times New Roman"/>
          <w:szCs w:val="24"/>
          <w:lang w:eastAsia="fr-FR"/>
        </w:rPr>
      </w:pPr>
      <w:r>
        <w:rPr>
          <w:rFonts w:eastAsia="Times New Roman" w:cs="Times New Roman"/>
          <w:szCs w:val="24"/>
          <w:lang w:eastAsia="fr-FR"/>
        </w:rPr>
        <w:t xml:space="preserve">Les </w:t>
      </w:r>
      <w:r w:rsidR="00F21210">
        <w:rPr>
          <w:rFonts w:eastAsia="Times New Roman" w:cs="Times New Roman"/>
          <w:szCs w:val="24"/>
          <w:lang w:eastAsia="fr-FR"/>
        </w:rPr>
        <w:t xml:space="preserve">nouvelles </w:t>
      </w:r>
      <w:r>
        <w:rPr>
          <w:rFonts w:eastAsia="Times New Roman" w:cs="Times New Roman"/>
          <w:szCs w:val="24"/>
          <w:lang w:eastAsia="fr-FR"/>
        </w:rPr>
        <w:t>tuyauteries tant aériennes qu’enterrées, les canalisations électriques ainsi que les pompes de transfert de liquide inflammable qui ne sont pas strictement nécessaires à l’exploitation de la rétention ou à sa sécurité sont exclues de celle-ci</w:t>
      </w:r>
    </w:p>
    <w:p w14:paraId="06C1F542" w14:textId="77777777" w:rsidR="00AD2D6F" w:rsidRPr="00610FC6" w:rsidRDefault="00AD2D6F" w:rsidP="00282BF4">
      <w:pPr>
        <w:spacing w:after="0" w:line="240" w:lineRule="auto"/>
        <w:rPr>
          <w:rFonts w:eastAsia="Times New Roman" w:cs="Times New Roman"/>
          <w:szCs w:val="24"/>
          <w:lang w:eastAsia="fr-FR"/>
        </w:rPr>
      </w:pPr>
    </w:p>
    <w:p w14:paraId="42679DEE" w14:textId="20AA8481" w:rsidR="00BE5956" w:rsidRPr="00AD2D6F" w:rsidRDefault="00610FC6" w:rsidP="00564869">
      <w:pPr>
        <w:pStyle w:val="Titre1"/>
        <w:rPr>
          <w:rFonts w:eastAsia="Times New Roman"/>
          <w:lang w:eastAsia="fr-FR"/>
        </w:rPr>
      </w:pPr>
      <w:r w:rsidRPr="00621C02">
        <w:rPr>
          <w:rFonts w:eastAsia="Times New Roman"/>
          <w:lang w:eastAsia="fr-FR"/>
        </w:rPr>
        <w:t xml:space="preserve">EXPLOITATION ET ENTRETIEN </w:t>
      </w:r>
      <w:bookmarkStart w:id="28" w:name="LEGIARTI000023100805"/>
      <w:bookmarkStart w:id="29" w:name="LEGIARTI000023100809"/>
      <w:bookmarkEnd w:id="28"/>
      <w:bookmarkEnd w:id="29"/>
    </w:p>
    <w:p w14:paraId="5940A3B0" w14:textId="65065AF0" w:rsidR="0015631D" w:rsidRDefault="00D435F9" w:rsidP="000F2A4C">
      <w:pPr>
        <w:pStyle w:val="Titre2"/>
      </w:pPr>
      <w:r>
        <w:t>Information sur les matières dangereuses</w:t>
      </w:r>
    </w:p>
    <w:p w14:paraId="4069BCA1" w14:textId="59010093" w:rsidR="0015631D" w:rsidRDefault="008008F7" w:rsidP="0015631D">
      <w:pPr>
        <w:spacing w:after="0" w:line="240" w:lineRule="auto"/>
      </w:pPr>
      <w:r>
        <w:t>Les récipients mobiles, conformément à la législation relative à l'étiquetage des substances</w:t>
      </w:r>
      <w:r w:rsidR="00C87492">
        <w:t xml:space="preserve">, </w:t>
      </w:r>
      <w:r>
        <w:t xml:space="preserve"> mélanges dangereux</w:t>
      </w:r>
      <w:r w:rsidR="00C87492">
        <w:t xml:space="preserve"> ou déchets le cas échéant</w:t>
      </w:r>
      <w:r>
        <w:t xml:space="preserve">, </w:t>
      </w:r>
      <w:r w:rsidR="0015631D">
        <w:t>portent en caractères lisibles le nom des produits qu’ils contiennent et, s'il y a lieu, les symboles de danger.</w:t>
      </w:r>
      <w:r w:rsidR="00667CFF">
        <w:t xml:space="preserve"> </w:t>
      </w:r>
      <w:r w:rsidR="00667CFF" w:rsidRPr="00667CFF">
        <w:t>Dans le cas de déchets, les dispositions de l'article L. 541-7-1 du code de l'environnement sont prises en compte.</w:t>
      </w:r>
    </w:p>
    <w:p w14:paraId="2AA96F7E" w14:textId="796A40B8" w:rsidR="0015631D" w:rsidRDefault="0015631D" w:rsidP="00282BF4">
      <w:pPr>
        <w:spacing w:after="0" w:line="240" w:lineRule="auto"/>
        <w:rPr>
          <w:rFonts w:eastAsia="Times New Roman" w:cs="Times New Roman"/>
          <w:szCs w:val="24"/>
          <w:lang w:eastAsia="fr-FR"/>
        </w:rPr>
      </w:pPr>
      <w:bookmarkStart w:id="30" w:name="LEGIARTI000023100811"/>
      <w:bookmarkEnd w:id="30"/>
    </w:p>
    <w:p w14:paraId="5815E428" w14:textId="0DBCCA37" w:rsidR="003F44E4" w:rsidRDefault="003F44E4" w:rsidP="00564869">
      <w:pPr>
        <w:pStyle w:val="Titre2"/>
      </w:pPr>
      <w:r>
        <w:t>Consignes</w:t>
      </w:r>
    </w:p>
    <w:p w14:paraId="4BD2118A" w14:textId="53274BBE" w:rsidR="00A55CB5" w:rsidRPr="00A55CB5" w:rsidRDefault="00610FC6" w:rsidP="00A55CB5">
      <w:pPr>
        <w:spacing w:after="0" w:line="240" w:lineRule="auto"/>
        <w:rPr>
          <w:rFonts w:eastAsia="Times New Roman" w:cs="Times New Roman"/>
          <w:szCs w:val="24"/>
          <w:lang w:eastAsia="fr-FR"/>
        </w:rPr>
      </w:pPr>
      <w:r w:rsidRPr="00610FC6">
        <w:rPr>
          <w:rFonts w:eastAsia="Times New Roman" w:cs="Times New Roman"/>
          <w:szCs w:val="24"/>
          <w:lang w:eastAsia="fr-FR"/>
        </w:rPr>
        <w:t xml:space="preserve">Sans préjudice des dispositions du </w:t>
      </w:r>
      <w:hyperlink r:id="rId8" w:history="1">
        <w:r w:rsidRPr="00610FC6">
          <w:rPr>
            <w:rFonts w:eastAsia="Times New Roman" w:cs="Times New Roman"/>
            <w:color w:val="0000FF"/>
            <w:szCs w:val="24"/>
            <w:u w:val="single"/>
            <w:lang w:eastAsia="fr-FR"/>
          </w:rPr>
          <w:t>code du travail</w:t>
        </w:r>
      </w:hyperlink>
      <w:r w:rsidRPr="00610FC6">
        <w:rPr>
          <w:rFonts w:eastAsia="Times New Roman" w:cs="Times New Roman"/>
          <w:szCs w:val="24"/>
          <w:lang w:eastAsia="fr-FR"/>
        </w:rPr>
        <w:t>, des consignes précisant les modalités d'application des dispositions du présent arrêté sont établies, tenues à jour et portées à la connaissance du personnel, y compris du personnel des entreprises extérieures amenées à travailler dans l'installation, pour ce qui les concerne.</w:t>
      </w:r>
      <w:r w:rsidR="0007181B">
        <w:rPr>
          <w:rFonts w:eastAsia="Times New Roman" w:cs="Times New Roman"/>
          <w:szCs w:val="24"/>
          <w:lang w:eastAsia="fr-FR"/>
        </w:rPr>
        <w:tab/>
      </w:r>
      <w:r w:rsidRPr="00610FC6">
        <w:rPr>
          <w:rFonts w:eastAsia="Times New Roman" w:cs="Times New Roman"/>
          <w:szCs w:val="24"/>
          <w:lang w:eastAsia="fr-FR"/>
        </w:rPr>
        <w:br/>
        <w:t>Ces consignes indiquent notamment :</w:t>
      </w:r>
      <w:r w:rsidR="0007181B">
        <w:rPr>
          <w:rFonts w:eastAsia="Times New Roman" w:cs="Times New Roman"/>
          <w:szCs w:val="24"/>
          <w:lang w:eastAsia="fr-FR"/>
        </w:rPr>
        <w:tab/>
      </w:r>
      <w:r w:rsidRPr="00610FC6">
        <w:rPr>
          <w:rFonts w:eastAsia="Times New Roman" w:cs="Times New Roman"/>
          <w:szCs w:val="24"/>
          <w:lang w:eastAsia="fr-FR"/>
        </w:rPr>
        <w:br/>
      </w:r>
      <w:r w:rsidR="00A55CB5" w:rsidRPr="00A55CB5">
        <w:rPr>
          <w:rFonts w:eastAsia="Times New Roman" w:cs="Times New Roman"/>
          <w:szCs w:val="24"/>
          <w:lang w:eastAsia="fr-FR"/>
        </w:rPr>
        <w:t>- l'interdiction de fumer ;</w:t>
      </w:r>
    </w:p>
    <w:p w14:paraId="54F7C4C8" w14:textId="77777777" w:rsidR="00A55CB5" w:rsidRPr="00A55CB5" w:rsidRDefault="00A55CB5" w:rsidP="00A55CB5">
      <w:pPr>
        <w:spacing w:after="0" w:line="240" w:lineRule="auto"/>
        <w:rPr>
          <w:rFonts w:eastAsia="Times New Roman" w:cs="Times New Roman"/>
          <w:szCs w:val="24"/>
          <w:lang w:eastAsia="fr-FR"/>
        </w:rPr>
      </w:pPr>
      <w:r w:rsidRPr="00A55CB5">
        <w:rPr>
          <w:rFonts w:eastAsia="Times New Roman" w:cs="Times New Roman"/>
          <w:szCs w:val="24"/>
          <w:lang w:eastAsia="fr-FR"/>
        </w:rPr>
        <w:t>- l'interdiction de tout brûlage à l'air libre ;</w:t>
      </w:r>
    </w:p>
    <w:p w14:paraId="40450AD7" w14:textId="77777777" w:rsidR="00A55CB5" w:rsidRPr="00A55CB5" w:rsidRDefault="00A55CB5" w:rsidP="00A55CB5">
      <w:pPr>
        <w:spacing w:after="0" w:line="240" w:lineRule="auto"/>
        <w:rPr>
          <w:rFonts w:eastAsia="Times New Roman" w:cs="Times New Roman"/>
          <w:szCs w:val="24"/>
          <w:lang w:eastAsia="fr-FR"/>
        </w:rPr>
      </w:pPr>
      <w:r w:rsidRPr="00A55CB5">
        <w:rPr>
          <w:rFonts w:eastAsia="Times New Roman" w:cs="Times New Roman"/>
          <w:szCs w:val="24"/>
          <w:lang w:eastAsia="fr-FR"/>
        </w:rPr>
        <w:t>- l'interdiction d'apporter du feu sous une forme quelconque, hormis, le cas échéant dans les bureaux séparés des cellules de stockages ;</w:t>
      </w:r>
    </w:p>
    <w:p w14:paraId="33BDC04F" w14:textId="64C1D718" w:rsidR="00A55CB5" w:rsidRDefault="00A55CB5" w:rsidP="00A55CB5">
      <w:pPr>
        <w:spacing w:after="0" w:line="240" w:lineRule="auto"/>
        <w:rPr>
          <w:rFonts w:eastAsia="Times New Roman" w:cs="Times New Roman"/>
          <w:szCs w:val="24"/>
          <w:lang w:eastAsia="fr-FR"/>
        </w:rPr>
      </w:pPr>
      <w:r w:rsidRPr="00A55CB5">
        <w:rPr>
          <w:rFonts w:eastAsia="Times New Roman" w:cs="Times New Roman"/>
          <w:szCs w:val="24"/>
          <w:lang w:eastAsia="fr-FR"/>
        </w:rPr>
        <w:t>- l'obligation</w:t>
      </w:r>
      <w:r>
        <w:rPr>
          <w:rFonts w:eastAsia="Times New Roman" w:cs="Times New Roman"/>
          <w:szCs w:val="24"/>
          <w:lang w:eastAsia="fr-FR"/>
        </w:rPr>
        <w:t xml:space="preserve"> du document ou dossier </w:t>
      </w:r>
      <w:r w:rsidR="000C4820">
        <w:rPr>
          <w:rFonts w:eastAsia="Times New Roman" w:cs="Times New Roman"/>
          <w:szCs w:val="24"/>
          <w:lang w:eastAsia="fr-FR"/>
        </w:rPr>
        <w:t xml:space="preserve">évoqué à </w:t>
      </w:r>
      <w:r w:rsidR="000C4820" w:rsidRPr="00442B2A">
        <w:rPr>
          <w:rFonts w:eastAsia="Times New Roman" w:cs="Times New Roman"/>
          <w:szCs w:val="24"/>
          <w:highlight w:val="yellow"/>
          <w:lang w:eastAsia="fr-FR"/>
        </w:rPr>
        <w:t>l’article V-</w:t>
      </w:r>
      <w:r w:rsidR="008008F7" w:rsidRPr="00442B2A">
        <w:rPr>
          <w:rFonts w:eastAsia="Times New Roman" w:cs="Times New Roman"/>
          <w:szCs w:val="24"/>
          <w:highlight w:val="yellow"/>
          <w:lang w:eastAsia="fr-FR"/>
        </w:rPr>
        <w:t>5</w:t>
      </w:r>
      <w:r>
        <w:rPr>
          <w:rFonts w:eastAsia="Times New Roman" w:cs="Times New Roman"/>
          <w:szCs w:val="24"/>
          <w:lang w:eastAsia="fr-FR"/>
        </w:rPr>
        <w:t xml:space="preserve"> du présent arrêté ;</w:t>
      </w:r>
    </w:p>
    <w:p w14:paraId="5C99D327" w14:textId="77777777" w:rsidR="00A55CB5" w:rsidRPr="00A55CB5" w:rsidRDefault="00A55CB5" w:rsidP="00A55CB5">
      <w:pPr>
        <w:spacing w:after="0" w:line="240" w:lineRule="auto"/>
        <w:rPr>
          <w:rFonts w:eastAsia="Times New Roman" w:cs="Times New Roman"/>
          <w:szCs w:val="24"/>
          <w:lang w:eastAsia="fr-FR"/>
        </w:rPr>
      </w:pPr>
      <w:r w:rsidRPr="00A55CB5">
        <w:rPr>
          <w:rFonts w:eastAsia="Times New Roman" w:cs="Times New Roman"/>
          <w:szCs w:val="24"/>
          <w:lang w:eastAsia="fr-FR"/>
        </w:rPr>
        <w:t>- les précautions à prendre pour l'emploi et le stockage de produits incompatibles ;</w:t>
      </w:r>
    </w:p>
    <w:p w14:paraId="35736B89" w14:textId="2FC2B7DB" w:rsidR="0086153D" w:rsidRDefault="00610FC6" w:rsidP="00282BF4">
      <w:pPr>
        <w:spacing w:after="0" w:line="240" w:lineRule="auto"/>
        <w:rPr>
          <w:rFonts w:eastAsia="Times New Roman" w:cs="Times New Roman"/>
          <w:szCs w:val="24"/>
          <w:lang w:eastAsia="fr-FR"/>
        </w:rPr>
      </w:pPr>
      <w:r w:rsidRPr="00610FC6">
        <w:rPr>
          <w:rFonts w:eastAsia="Times New Roman" w:cs="Times New Roman"/>
          <w:szCs w:val="24"/>
          <w:lang w:eastAsia="fr-FR"/>
        </w:rPr>
        <w:t xml:space="preserve">- les procédures d'arrêt d'urgence et de mise en sécurité de l'installation </w:t>
      </w:r>
      <w:r w:rsidR="00A55CB5" w:rsidRPr="00A55CB5">
        <w:rPr>
          <w:rFonts w:eastAsia="Times New Roman" w:cs="Times New Roman"/>
          <w:szCs w:val="24"/>
          <w:lang w:eastAsia="fr-FR"/>
        </w:rPr>
        <w:t>(électricité, ventilation, climatisation, chauffage, fermeture des portes coupe-feu, obturation des é</w:t>
      </w:r>
      <w:r w:rsidR="00A55CB5">
        <w:rPr>
          <w:rFonts w:eastAsia="Times New Roman" w:cs="Times New Roman"/>
          <w:szCs w:val="24"/>
          <w:lang w:eastAsia="fr-FR"/>
        </w:rPr>
        <w:t xml:space="preserve">coulements d'égouts notamment) </w:t>
      </w:r>
      <w:r w:rsidRPr="00610FC6">
        <w:rPr>
          <w:rFonts w:eastAsia="Times New Roman" w:cs="Times New Roman"/>
          <w:szCs w:val="24"/>
          <w:lang w:eastAsia="fr-FR"/>
        </w:rPr>
        <w:t>;</w:t>
      </w:r>
      <w:r w:rsidR="0007181B">
        <w:rPr>
          <w:rFonts w:eastAsia="Times New Roman" w:cs="Times New Roman"/>
          <w:szCs w:val="24"/>
          <w:lang w:eastAsia="fr-FR"/>
        </w:rPr>
        <w:tab/>
      </w:r>
      <w:r w:rsidRPr="00610FC6">
        <w:rPr>
          <w:rFonts w:eastAsia="Times New Roman" w:cs="Times New Roman"/>
          <w:szCs w:val="24"/>
          <w:lang w:eastAsia="fr-FR"/>
        </w:rPr>
        <w:br/>
        <w:t xml:space="preserve">- les mesures à prendre </w:t>
      </w:r>
      <w:r w:rsidRPr="0086153D">
        <w:rPr>
          <w:rFonts w:eastAsia="Times New Roman" w:cs="Times New Roman"/>
          <w:szCs w:val="24"/>
          <w:lang w:eastAsia="fr-FR"/>
        </w:rPr>
        <w:t>en cas de fuite sur un récipient mobile</w:t>
      </w:r>
      <w:r w:rsidR="000F2A4C">
        <w:rPr>
          <w:rFonts w:eastAsia="Times New Roman" w:cs="Times New Roman"/>
          <w:szCs w:val="24"/>
          <w:lang w:eastAsia="fr-FR"/>
        </w:rPr>
        <w:t>,</w:t>
      </w:r>
      <w:r w:rsidR="00604F74">
        <w:rPr>
          <w:rFonts w:eastAsia="Times New Roman" w:cs="Times New Roman"/>
          <w:szCs w:val="24"/>
          <w:lang w:eastAsia="fr-FR"/>
        </w:rPr>
        <w:t xml:space="preserve"> ou groupe de récipients mobiles</w:t>
      </w:r>
      <w:r w:rsidR="000F2A4C">
        <w:rPr>
          <w:rFonts w:eastAsia="Times New Roman" w:cs="Times New Roman"/>
          <w:szCs w:val="24"/>
          <w:lang w:eastAsia="fr-FR"/>
        </w:rPr>
        <w:t>,</w:t>
      </w:r>
      <w:r w:rsidRPr="0086153D">
        <w:rPr>
          <w:rFonts w:eastAsia="Times New Roman" w:cs="Times New Roman"/>
          <w:szCs w:val="24"/>
          <w:lang w:eastAsia="fr-FR"/>
        </w:rPr>
        <w:t xml:space="preserve"> ou une </w:t>
      </w:r>
      <w:r w:rsidR="00027669">
        <w:rPr>
          <w:rFonts w:eastAsia="Times New Roman" w:cs="Times New Roman"/>
          <w:szCs w:val="24"/>
          <w:lang w:eastAsia="fr-FR"/>
        </w:rPr>
        <w:t>tuyauterie</w:t>
      </w:r>
      <w:r w:rsidR="00027669" w:rsidRPr="0086153D">
        <w:rPr>
          <w:rFonts w:eastAsia="Times New Roman" w:cs="Times New Roman"/>
          <w:szCs w:val="24"/>
          <w:lang w:eastAsia="fr-FR"/>
        </w:rPr>
        <w:t xml:space="preserve"> </w:t>
      </w:r>
      <w:r w:rsidRPr="0086153D">
        <w:rPr>
          <w:rFonts w:eastAsia="Times New Roman" w:cs="Times New Roman"/>
          <w:szCs w:val="24"/>
          <w:lang w:eastAsia="fr-FR"/>
        </w:rPr>
        <w:t xml:space="preserve">contenant des substances </w:t>
      </w:r>
      <w:r w:rsidR="00027669">
        <w:rPr>
          <w:rFonts w:eastAsia="Times New Roman" w:cs="Times New Roman"/>
          <w:szCs w:val="24"/>
          <w:lang w:eastAsia="fr-FR"/>
        </w:rPr>
        <w:t xml:space="preserve">ou mélanges </w:t>
      </w:r>
      <w:r w:rsidRPr="0086153D">
        <w:rPr>
          <w:rFonts w:eastAsia="Times New Roman" w:cs="Times New Roman"/>
          <w:szCs w:val="24"/>
          <w:lang w:eastAsia="fr-FR"/>
        </w:rPr>
        <w:t>dangereu</w:t>
      </w:r>
      <w:r w:rsidR="00027669">
        <w:rPr>
          <w:rFonts w:eastAsia="Times New Roman" w:cs="Times New Roman"/>
          <w:szCs w:val="24"/>
          <w:lang w:eastAsia="fr-FR"/>
        </w:rPr>
        <w:t xml:space="preserve">x </w:t>
      </w:r>
      <w:r w:rsidR="00A55CB5">
        <w:rPr>
          <w:rFonts w:eastAsia="Times New Roman" w:cs="Times New Roman"/>
          <w:szCs w:val="24"/>
          <w:lang w:eastAsia="fr-FR"/>
        </w:rPr>
        <w:t xml:space="preserve">et le cas échéant, </w:t>
      </w:r>
      <w:r w:rsidR="00A55CB5" w:rsidRPr="00A55CB5">
        <w:rPr>
          <w:rFonts w:eastAsia="Times New Roman" w:cs="Times New Roman"/>
          <w:szCs w:val="24"/>
          <w:lang w:eastAsia="fr-FR"/>
        </w:rPr>
        <w:t xml:space="preserve">les modalités de mise en œuvre des dispositifs d'isolement du réseau </w:t>
      </w:r>
      <w:r w:rsidR="00A55CB5">
        <w:rPr>
          <w:rFonts w:eastAsia="Times New Roman" w:cs="Times New Roman"/>
          <w:szCs w:val="24"/>
          <w:lang w:eastAsia="fr-FR"/>
        </w:rPr>
        <w:t xml:space="preserve">de collecte, prévues à </w:t>
      </w:r>
      <w:r w:rsidR="00A55CB5" w:rsidRPr="00442B2A">
        <w:rPr>
          <w:rFonts w:eastAsia="Times New Roman" w:cs="Times New Roman"/>
          <w:szCs w:val="24"/>
          <w:highlight w:val="yellow"/>
          <w:lang w:eastAsia="fr-FR"/>
        </w:rPr>
        <w:t>l</w:t>
      </w:r>
      <w:r w:rsidR="00CE3370" w:rsidRPr="00442B2A">
        <w:rPr>
          <w:rFonts w:eastAsia="Times New Roman" w:cs="Times New Roman"/>
          <w:szCs w:val="24"/>
          <w:highlight w:val="yellow"/>
          <w:lang w:eastAsia="fr-FR"/>
        </w:rPr>
        <w:t>’article VII-1</w:t>
      </w:r>
      <w:r w:rsidR="00A55CB5">
        <w:rPr>
          <w:rFonts w:eastAsia="Times New Roman" w:cs="Times New Roman"/>
          <w:szCs w:val="24"/>
          <w:lang w:eastAsia="fr-FR"/>
        </w:rPr>
        <w:t xml:space="preserve"> du présent arrêté</w:t>
      </w:r>
      <w:r w:rsidR="00A55CB5" w:rsidRPr="00A55CB5">
        <w:rPr>
          <w:rFonts w:eastAsia="Times New Roman" w:cs="Times New Roman"/>
          <w:szCs w:val="24"/>
          <w:lang w:eastAsia="fr-FR"/>
        </w:rPr>
        <w:t xml:space="preserve"> </w:t>
      </w:r>
      <w:r w:rsidRPr="00610FC6">
        <w:rPr>
          <w:rFonts w:eastAsia="Times New Roman" w:cs="Times New Roman"/>
          <w:szCs w:val="24"/>
          <w:lang w:eastAsia="fr-FR"/>
        </w:rPr>
        <w:t xml:space="preserve"> ;</w:t>
      </w:r>
      <w:r w:rsidR="0007181B">
        <w:rPr>
          <w:rFonts w:eastAsia="Times New Roman" w:cs="Times New Roman"/>
          <w:szCs w:val="24"/>
          <w:lang w:eastAsia="fr-FR"/>
        </w:rPr>
        <w:tab/>
      </w:r>
      <w:r w:rsidRPr="00610FC6">
        <w:rPr>
          <w:rFonts w:eastAsia="Times New Roman" w:cs="Times New Roman"/>
          <w:szCs w:val="24"/>
          <w:lang w:eastAsia="fr-FR"/>
        </w:rPr>
        <w:br/>
        <w:t>- les moyens d'intervention à utiliser en cas d'incendie ;</w:t>
      </w:r>
    </w:p>
    <w:p w14:paraId="03806840" w14:textId="30F8C214" w:rsidR="00A55CB5" w:rsidRPr="00A55CB5" w:rsidRDefault="0086153D" w:rsidP="00A55CB5">
      <w:pPr>
        <w:spacing w:after="0" w:line="240" w:lineRule="auto"/>
        <w:rPr>
          <w:rFonts w:eastAsia="Times New Roman" w:cs="Times New Roman"/>
          <w:szCs w:val="24"/>
          <w:lang w:eastAsia="fr-FR"/>
        </w:rPr>
      </w:pPr>
      <w:r w:rsidRPr="00A55CB5">
        <w:rPr>
          <w:rFonts w:eastAsia="Times New Roman" w:cs="Times New Roman"/>
          <w:szCs w:val="24"/>
          <w:lang w:eastAsia="fr-FR"/>
        </w:rPr>
        <w:lastRenderedPageBreak/>
        <w:t>- les dispositions à mettre en œuvre lors de l'indisponib</w:t>
      </w:r>
      <w:r>
        <w:rPr>
          <w:rFonts w:eastAsia="Times New Roman" w:cs="Times New Roman"/>
          <w:szCs w:val="24"/>
          <w:lang w:eastAsia="fr-FR"/>
        </w:rPr>
        <w:t>ilité (maintenance…) de ceux-ci ;</w:t>
      </w:r>
      <w:r w:rsidR="00610FC6" w:rsidRPr="00610FC6">
        <w:rPr>
          <w:rFonts w:eastAsia="Times New Roman" w:cs="Times New Roman"/>
          <w:szCs w:val="24"/>
          <w:lang w:eastAsia="fr-FR"/>
        </w:rPr>
        <w:br/>
        <w:t>- la procédure d'alerte avec les numéros de téléphone du responsable d'intervention de l'établissement, des services d'incendie et de secours ;</w:t>
      </w:r>
    </w:p>
    <w:p w14:paraId="4D00AD8E" w14:textId="391B3EE5" w:rsidR="003F44E4" w:rsidRPr="003F44E4" w:rsidRDefault="00A55CB5" w:rsidP="003F44E4">
      <w:pPr>
        <w:spacing w:after="0" w:line="240" w:lineRule="auto"/>
        <w:rPr>
          <w:rFonts w:eastAsia="Times New Roman" w:cs="Times New Roman"/>
          <w:szCs w:val="24"/>
          <w:lang w:eastAsia="fr-FR"/>
        </w:rPr>
      </w:pPr>
      <w:r w:rsidRPr="00A55CB5">
        <w:rPr>
          <w:rFonts w:eastAsia="Times New Roman" w:cs="Times New Roman"/>
          <w:szCs w:val="24"/>
          <w:lang w:eastAsia="fr-FR"/>
        </w:rPr>
        <w:t>- les mesures permettant de tenir à jour en permanence et de porter à la connaissance des services d'incendie et de secours la localisation des matières</w:t>
      </w:r>
      <w:r w:rsidR="0086153D">
        <w:rPr>
          <w:rFonts w:eastAsia="Times New Roman" w:cs="Times New Roman"/>
          <w:szCs w:val="24"/>
          <w:lang w:eastAsia="fr-FR"/>
        </w:rPr>
        <w:t xml:space="preserve"> dangereuses</w:t>
      </w:r>
      <w:r w:rsidR="001C6A82">
        <w:rPr>
          <w:rFonts w:eastAsia="Times New Roman" w:cs="Times New Roman"/>
          <w:szCs w:val="24"/>
          <w:lang w:eastAsia="fr-FR"/>
        </w:rPr>
        <w:t>.</w:t>
      </w:r>
      <w:r w:rsidR="0007181B">
        <w:rPr>
          <w:rFonts w:eastAsia="Times New Roman" w:cs="Times New Roman"/>
          <w:szCs w:val="24"/>
          <w:lang w:eastAsia="fr-FR"/>
        </w:rPr>
        <w:tab/>
      </w:r>
      <w:r w:rsidR="00610FC6" w:rsidRPr="00610FC6">
        <w:rPr>
          <w:rFonts w:eastAsia="Times New Roman" w:cs="Times New Roman"/>
          <w:szCs w:val="24"/>
          <w:lang w:eastAsia="fr-FR"/>
        </w:rPr>
        <w:br/>
      </w:r>
      <w:bookmarkStart w:id="31" w:name="LEGIARTI000023100813"/>
      <w:bookmarkEnd w:id="31"/>
    </w:p>
    <w:p w14:paraId="3D2DB318" w14:textId="5CF5932D" w:rsidR="00D41DB7" w:rsidRPr="00D41DB7" w:rsidRDefault="00D41DB7" w:rsidP="00564869">
      <w:pPr>
        <w:pStyle w:val="Titre2"/>
      </w:pPr>
      <w:r w:rsidRPr="00D41DB7">
        <w:t>Dispositions en cas de fuite</w:t>
      </w:r>
    </w:p>
    <w:p w14:paraId="62D67ECE" w14:textId="77777777" w:rsidR="003F44E4" w:rsidRPr="003F44E4" w:rsidRDefault="003F44E4" w:rsidP="003F44E4">
      <w:pPr>
        <w:spacing w:after="0" w:line="240" w:lineRule="auto"/>
        <w:rPr>
          <w:rFonts w:eastAsia="Times New Roman" w:cs="Times New Roman"/>
          <w:szCs w:val="24"/>
          <w:lang w:eastAsia="fr-FR"/>
        </w:rPr>
      </w:pPr>
      <w:r w:rsidRPr="003F44E4">
        <w:rPr>
          <w:rFonts w:eastAsia="Times New Roman" w:cs="Times New Roman"/>
          <w:szCs w:val="24"/>
          <w:lang w:eastAsia="fr-FR"/>
        </w:rPr>
        <w:t>En cas de fuite d'un récipient mobile ou sur un groupe de récipients mobiles, les dispositions suivantes sont mises en œuvre :</w:t>
      </w:r>
    </w:p>
    <w:p w14:paraId="59CB9873" w14:textId="77777777" w:rsidR="003F44E4" w:rsidRPr="003F44E4" w:rsidRDefault="003F44E4" w:rsidP="003F44E4">
      <w:pPr>
        <w:spacing w:after="0" w:line="240" w:lineRule="auto"/>
        <w:rPr>
          <w:rFonts w:eastAsia="Times New Roman" w:cs="Times New Roman"/>
          <w:szCs w:val="24"/>
          <w:lang w:eastAsia="fr-FR"/>
        </w:rPr>
      </w:pPr>
      <w:r w:rsidRPr="003F44E4">
        <w:rPr>
          <w:rFonts w:eastAsia="Times New Roman" w:cs="Times New Roman"/>
          <w:szCs w:val="24"/>
          <w:lang w:eastAsia="fr-FR"/>
        </w:rPr>
        <w:t>― analyse de la situation et évaluation des risques potentiels ;</w:t>
      </w:r>
    </w:p>
    <w:p w14:paraId="72A45807" w14:textId="77777777" w:rsidR="003F44E4" w:rsidRPr="003F44E4" w:rsidRDefault="003F44E4" w:rsidP="003F44E4">
      <w:pPr>
        <w:spacing w:after="0" w:line="240" w:lineRule="auto"/>
        <w:rPr>
          <w:rFonts w:eastAsia="Times New Roman" w:cs="Times New Roman"/>
          <w:szCs w:val="24"/>
          <w:lang w:eastAsia="fr-FR"/>
        </w:rPr>
      </w:pPr>
      <w:r w:rsidRPr="003F44E4">
        <w:rPr>
          <w:rFonts w:eastAsia="Times New Roman" w:cs="Times New Roman"/>
          <w:szCs w:val="24"/>
          <w:lang w:eastAsia="fr-FR"/>
        </w:rPr>
        <w:t>― isolement du récipient ou de la palette dans les meilleurs délais si la fuite ne peut pas être interrompue ;</w:t>
      </w:r>
    </w:p>
    <w:p w14:paraId="25D20619" w14:textId="77777777" w:rsidR="003F44E4" w:rsidRPr="003F44E4" w:rsidRDefault="003F44E4" w:rsidP="003F44E4">
      <w:pPr>
        <w:spacing w:after="0" w:line="240" w:lineRule="auto"/>
        <w:rPr>
          <w:rFonts w:eastAsia="Times New Roman" w:cs="Times New Roman"/>
          <w:szCs w:val="24"/>
          <w:lang w:eastAsia="fr-FR"/>
        </w:rPr>
      </w:pPr>
      <w:r w:rsidRPr="003F44E4">
        <w:rPr>
          <w:rFonts w:eastAsia="Times New Roman" w:cs="Times New Roman"/>
          <w:szCs w:val="24"/>
          <w:lang w:eastAsia="fr-FR"/>
        </w:rPr>
        <w:t>― mise en œuvre de moyens en vue de prévenir les risques identifiés dans l'étude de dangers ;</w:t>
      </w:r>
    </w:p>
    <w:p w14:paraId="0540A2CF" w14:textId="4E258CC2" w:rsidR="003F44E4" w:rsidRDefault="003F44E4" w:rsidP="003F44E4">
      <w:pPr>
        <w:spacing w:after="0" w:line="240" w:lineRule="auto"/>
        <w:rPr>
          <w:rFonts w:eastAsia="Times New Roman" w:cs="Times New Roman"/>
          <w:szCs w:val="24"/>
          <w:lang w:eastAsia="fr-FR"/>
        </w:rPr>
      </w:pPr>
      <w:r w:rsidRPr="003F44E4">
        <w:rPr>
          <w:rFonts w:eastAsia="Times New Roman" w:cs="Times New Roman"/>
          <w:szCs w:val="24"/>
          <w:lang w:eastAsia="fr-FR"/>
        </w:rPr>
        <w:t>― application des consignes prévues pour récupérer, neutraliser, traiter ou éliminer le liquide perdu</w:t>
      </w:r>
      <w:r w:rsidR="00027669">
        <w:rPr>
          <w:rFonts w:eastAsia="Times New Roman" w:cs="Times New Roman"/>
          <w:szCs w:val="24"/>
          <w:lang w:eastAsia="fr-FR"/>
        </w:rPr>
        <w:t xml:space="preserve"> et le récipient mobile ou groupe de récipients mobiles</w:t>
      </w:r>
      <w:r w:rsidRPr="003F44E4">
        <w:rPr>
          <w:rFonts w:eastAsia="Times New Roman" w:cs="Times New Roman"/>
          <w:szCs w:val="24"/>
          <w:lang w:eastAsia="fr-FR"/>
        </w:rPr>
        <w:t>.</w:t>
      </w:r>
    </w:p>
    <w:p w14:paraId="058B6BE0" w14:textId="77777777" w:rsidR="003F44E4" w:rsidRPr="003F44E4" w:rsidRDefault="003F44E4" w:rsidP="003F44E4">
      <w:pPr>
        <w:spacing w:after="0" w:line="240" w:lineRule="auto"/>
        <w:rPr>
          <w:rFonts w:eastAsia="Times New Roman" w:cs="Times New Roman"/>
          <w:szCs w:val="24"/>
          <w:lang w:eastAsia="fr-FR"/>
        </w:rPr>
      </w:pPr>
    </w:p>
    <w:p w14:paraId="52B7AA7D" w14:textId="31B5C8F1" w:rsidR="00D41DB7" w:rsidRPr="00D41DB7" w:rsidRDefault="00D41DB7" w:rsidP="00564869">
      <w:pPr>
        <w:pStyle w:val="Titre2"/>
      </w:pPr>
      <w:r w:rsidRPr="00D41DB7">
        <w:t>Analyse des événements</w:t>
      </w:r>
    </w:p>
    <w:p w14:paraId="72EA2983" w14:textId="77777777" w:rsidR="003F44E4" w:rsidRPr="003F44E4" w:rsidRDefault="003F44E4" w:rsidP="003F44E4">
      <w:pPr>
        <w:spacing w:after="0" w:line="240" w:lineRule="auto"/>
        <w:rPr>
          <w:rFonts w:eastAsia="Times New Roman" w:cs="Times New Roman"/>
          <w:szCs w:val="24"/>
          <w:lang w:eastAsia="fr-FR"/>
        </w:rPr>
      </w:pPr>
      <w:r w:rsidRPr="003F44E4">
        <w:rPr>
          <w:rFonts w:eastAsia="Times New Roman" w:cs="Times New Roman"/>
          <w:szCs w:val="24"/>
          <w:lang w:eastAsia="fr-FR"/>
        </w:rPr>
        <w:t>L'exploitant enregistre et analyse les événements liés à une perte de confinement d'un récipient ou une défaillance d'un des dispositifs de sécurité mentionnés dans le présent arrêté.</w:t>
      </w:r>
    </w:p>
    <w:p w14:paraId="77B0D1A9" w14:textId="40A4EA30" w:rsidR="00BE5956" w:rsidRDefault="003F44E4" w:rsidP="00282BF4">
      <w:pPr>
        <w:spacing w:after="0" w:line="240" w:lineRule="auto"/>
        <w:rPr>
          <w:rFonts w:eastAsia="Times New Roman" w:cs="Times New Roman"/>
          <w:szCs w:val="24"/>
          <w:lang w:eastAsia="fr-FR"/>
        </w:rPr>
      </w:pPr>
      <w:r w:rsidRPr="003F44E4">
        <w:rPr>
          <w:rFonts w:eastAsia="Times New Roman" w:cs="Times New Roman"/>
          <w:szCs w:val="24"/>
          <w:lang w:eastAsia="fr-FR"/>
        </w:rPr>
        <w:t>Ce registre et l'analyse associée sont tenus à disposition de l'inspection des installations classées.</w:t>
      </w:r>
      <w:bookmarkStart w:id="32" w:name="LEGIARTI000023100817"/>
      <w:bookmarkStart w:id="33" w:name="LEGIARTI000023100819"/>
      <w:bookmarkEnd w:id="32"/>
      <w:bookmarkEnd w:id="33"/>
    </w:p>
    <w:p w14:paraId="11B8FD3F" w14:textId="77777777" w:rsidR="00564869" w:rsidRDefault="00564869" w:rsidP="00282BF4">
      <w:pPr>
        <w:spacing w:after="0" w:line="240" w:lineRule="auto"/>
        <w:rPr>
          <w:rFonts w:eastAsia="Times New Roman" w:cs="Times New Roman"/>
          <w:szCs w:val="24"/>
          <w:lang w:eastAsia="fr-FR"/>
        </w:rPr>
      </w:pPr>
    </w:p>
    <w:p w14:paraId="44D1CF6A" w14:textId="675803B5" w:rsidR="00A23023" w:rsidRDefault="00A23023" w:rsidP="00564869">
      <w:pPr>
        <w:pStyle w:val="Titre2"/>
      </w:pPr>
      <w:bookmarkStart w:id="34" w:name="LEGIARTI000023100821"/>
      <w:bookmarkStart w:id="35" w:name="LEGIARTI000023797077"/>
      <w:bookmarkEnd w:id="34"/>
      <w:bookmarkEnd w:id="35"/>
      <w:r>
        <w:t>Surveillance</w:t>
      </w:r>
    </w:p>
    <w:p w14:paraId="66C992FC" w14:textId="6B6FA3B5" w:rsidR="000C5428" w:rsidRPr="000C6B29" w:rsidRDefault="00610FC6" w:rsidP="000C6B29">
      <w:pPr>
        <w:pStyle w:val="Titre3"/>
        <w:rPr>
          <w:rFonts w:eastAsia="Times New Roman"/>
          <w:lang w:eastAsia="fr-FR"/>
        </w:rPr>
      </w:pPr>
      <w:r w:rsidRPr="000C6B29">
        <w:rPr>
          <w:rFonts w:eastAsia="Times New Roman"/>
          <w:lang w:eastAsia="fr-FR"/>
        </w:rPr>
        <w:t xml:space="preserve">En dehors des heures d'exploitation de l'installation, une surveillance </w:t>
      </w:r>
      <w:r w:rsidR="004966F3" w:rsidRPr="000C6B29">
        <w:rPr>
          <w:rFonts w:eastAsia="Times New Roman"/>
          <w:lang w:eastAsia="fr-FR"/>
        </w:rPr>
        <w:t xml:space="preserve">de </w:t>
      </w:r>
      <w:r w:rsidR="004932BF">
        <w:rPr>
          <w:rFonts w:eastAsia="Times New Roman"/>
          <w:lang w:eastAsia="fr-FR"/>
        </w:rPr>
        <w:t xml:space="preserve">toute </w:t>
      </w:r>
      <w:r w:rsidR="004966F3" w:rsidRPr="000C6B29">
        <w:rPr>
          <w:rFonts w:eastAsia="Times New Roman"/>
          <w:lang w:eastAsia="fr-FR"/>
        </w:rPr>
        <w:t>installation</w:t>
      </w:r>
      <w:r w:rsidR="004932BF">
        <w:rPr>
          <w:rFonts w:eastAsia="Times New Roman"/>
          <w:lang w:eastAsia="fr-FR"/>
        </w:rPr>
        <w:t xml:space="preserve"> contenant plus de 10</w:t>
      </w:r>
      <w:r w:rsidR="00A43019">
        <w:rPr>
          <w:rFonts w:eastAsia="Times New Roman"/>
          <w:lang w:eastAsia="fr-FR"/>
        </w:rPr>
        <w:t xml:space="preserve"> mètres cube</w:t>
      </w:r>
      <w:r w:rsidR="004932BF">
        <w:rPr>
          <w:rFonts w:eastAsia="Times New Roman"/>
          <w:lang w:eastAsia="fr-FR"/>
        </w:rPr>
        <w:t xml:space="preserve"> de liquides inflammables en récipients mobiles</w:t>
      </w:r>
      <w:r w:rsidRPr="000C6B29">
        <w:rPr>
          <w:rFonts w:eastAsia="Times New Roman"/>
          <w:lang w:eastAsia="fr-FR"/>
        </w:rPr>
        <w:t>, par gardiennage ou télésurveillance, est mise en place en permanence afin de transmettre l'alerte en cas de sinistre. Si cette alerte est directement transmise aux services d'incendie et de secours, l'exploitant définit les mesures permettant l'accès et l'intervention des moyens publics dans les m</w:t>
      </w:r>
      <w:r w:rsidR="00BE5956" w:rsidRPr="000C6B29">
        <w:rPr>
          <w:rFonts w:eastAsia="Times New Roman"/>
          <w:lang w:eastAsia="fr-FR"/>
        </w:rPr>
        <w:t>eilleures conditions possibles.</w:t>
      </w:r>
    </w:p>
    <w:p w14:paraId="0C3877C5" w14:textId="77777777" w:rsidR="000C6B29" w:rsidRDefault="000C6B29" w:rsidP="00715D6B">
      <w:pPr>
        <w:spacing w:after="0" w:line="240" w:lineRule="auto"/>
        <w:rPr>
          <w:rFonts w:eastAsia="Times New Roman" w:cs="Times New Roman"/>
          <w:szCs w:val="24"/>
          <w:lang w:eastAsia="fr-FR"/>
        </w:rPr>
      </w:pPr>
    </w:p>
    <w:p w14:paraId="0A5DD44D" w14:textId="6AEDD290" w:rsidR="00775D54" w:rsidRDefault="00610FC6" w:rsidP="00027669">
      <w:pPr>
        <w:pStyle w:val="Titre3"/>
        <w:rPr>
          <w:rFonts w:eastAsia="Times New Roman"/>
          <w:lang w:eastAsia="fr-FR"/>
        </w:rPr>
      </w:pPr>
      <w:r w:rsidRPr="00610FC6">
        <w:rPr>
          <w:rFonts w:eastAsia="Times New Roman"/>
          <w:lang w:eastAsia="fr-FR"/>
        </w:rPr>
        <w:t>Dans le cas d'une présence permanente sur un sit</w:t>
      </w:r>
      <w:r w:rsidR="004966F3">
        <w:rPr>
          <w:rFonts w:eastAsia="Times New Roman"/>
          <w:lang w:eastAsia="fr-FR"/>
        </w:rPr>
        <w:t>e,</w:t>
      </w:r>
      <w:r w:rsidRPr="00610FC6">
        <w:rPr>
          <w:rFonts w:eastAsia="Times New Roman"/>
          <w:lang w:eastAsia="fr-FR"/>
        </w:rPr>
        <w:t xml:space="preserve"> une intervention suite à un déclenchement d'une alarme incendie ou une détection de fuite, est effective dans un délai maxi</w:t>
      </w:r>
      <w:r w:rsidR="00BE5956">
        <w:rPr>
          <w:rFonts w:eastAsia="Times New Roman"/>
          <w:lang w:eastAsia="fr-FR"/>
        </w:rPr>
        <w:t>mum de quinze minutes</w:t>
      </w:r>
      <w:r w:rsidR="00027669">
        <w:rPr>
          <w:rFonts w:eastAsia="Times New Roman"/>
          <w:lang w:eastAsia="fr-FR"/>
        </w:rPr>
        <w:t xml:space="preserve"> </w:t>
      </w:r>
      <w:r w:rsidR="00027669" w:rsidRPr="00027669">
        <w:rPr>
          <w:rFonts w:eastAsia="Times New Roman"/>
          <w:lang w:eastAsia="fr-FR"/>
        </w:rPr>
        <w:t>par une personne apte, formée et autorisée à la mise en œuvre d</w:t>
      </w:r>
      <w:r w:rsidR="00027669">
        <w:rPr>
          <w:rFonts w:eastAsia="Times New Roman"/>
          <w:lang w:eastAsia="fr-FR"/>
        </w:rPr>
        <w:t>es premiers moyens d’extinction</w:t>
      </w:r>
      <w:r w:rsidR="00BE5956">
        <w:rPr>
          <w:rFonts w:eastAsia="Times New Roman"/>
          <w:lang w:eastAsia="fr-FR"/>
        </w:rPr>
        <w:t>.</w:t>
      </w:r>
      <w:r w:rsidR="00B9372D">
        <w:rPr>
          <w:rFonts w:eastAsia="Times New Roman"/>
          <w:lang w:eastAsia="fr-FR"/>
        </w:rPr>
        <w:tab/>
      </w:r>
      <w:r w:rsidRPr="00610FC6">
        <w:rPr>
          <w:rFonts w:eastAsia="Times New Roman"/>
          <w:lang w:eastAsia="fr-FR"/>
        </w:rPr>
        <w:br/>
        <w:t xml:space="preserve">Dans le cas d'un site </w:t>
      </w:r>
      <w:r w:rsidR="00775D54">
        <w:rPr>
          <w:rFonts w:eastAsia="Times New Roman"/>
          <w:lang w:eastAsia="fr-FR"/>
        </w:rPr>
        <w:t>sous télésurveillance :</w:t>
      </w:r>
    </w:p>
    <w:p w14:paraId="1427EC97" w14:textId="3E448BEB" w:rsidR="00715D6B" w:rsidRPr="00775D54" w:rsidRDefault="00775D54" w:rsidP="00775D54">
      <w:pPr>
        <w:pStyle w:val="Paragraphedeliste"/>
        <w:numPr>
          <w:ilvl w:val="0"/>
          <w:numId w:val="9"/>
        </w:numPr>
        <w:spacing w:after="0" w:line="240" w:lineRule="auto"/>
        <w:rPr>
          <w:rFonts w:eastAsia="Times New Roman"/>
          <w:lang w:eastAsia="fr-FR"/>
        </w:rPr>
      </w:pPr>
      <w:r>
        <w:rPr>
          <w:rFonts w:eastAsia="Times New Roman"/>
          <w:lang w:eastAsia="fr-FR"/>
        </w:rPr>
        <w:t>l</w:t>
      </w:r>
      <w:r w:rsidR="00715D6B" w:rsidRPr="00775D54">
        <w:rPr>
          <w:rFonts w:eastAsia="Times New Roman"/>
          <w:lang w:eastAsia="fr-FR"/>
        </w:rPr>
        <w:t>e système de détection d’incendie actionne automatiquement un dispositif d’extinction automatique</w:t>
      </w:r>
      <w:r>
        <w:rPr>
          <w:rFonts w:eastAsia="Times New Roman"/>
          <w:lang w:eastAsia="fr-FR"/>
        </w:rPr>
        <w:t xml:space="preserve"> des stockages couverts</w:t>
      </w:r>
      <w:r w:rsidR="00715D6B" w:rsidRPr="00775D54">
        <w:rPr>
          <w:rFonts w:eastAsia="Times New Roman"/>
          <w:lang w:eastAsia="fr-FR"/>
        </w:rPr>
        <w:t> ;</w:t>
      </w:r>
    </w:p>
    <w:p w14:paraId="7ACFB079" w14:textId="585D9D09" w:rsidR="00715D6B" w:rsidRPr="000C6B29" w:rsidRDefault="00715D6B" w:rsidP="006F21C4">
      <w:pPr>
        <w:pStyle w:val="Paragraphedeliste"/>
        <w:numPr>
          <w:ilvl w:val="0"/>
          <w:numId w:val="9"/>
        </w:numPr>
        <w:spacing w:after="0" w:line="240" w:lineRule="auto"/>
        <w:rPr>
          <w:rFonts w:eastAsia="Times New Roman" w:cs="Times New Roman"/>
          <w:szCs w:val="24"/>
          <w:lang w:eastAsia="fr-FR"/>
        </w:rPr>
      </w:pPr>
      <w:r w:rsidRPr="000C6B29">
        <w:rPr>
          <w:rFonts w:eastAsia="Times New Roman" w:cs="Times New Roman"/>
          <w:szCs w:val="24"/>
          <w:lang w:eastAsia="fr-FR"/>
        </w:rPr>
        <w:t xml:space="preserve">le </w:t>
      </w:r>
      <w:r w:rsidR="00610FC6" w:rsidRPr="000C6B29">
        <w:rPr>
          <w:rFonts w:eastAsia="Times New Roman" w:cs="Times New Roman"/>
          <w:szCs w:val="24"/>
          <w:lang w:eastAsia="fr-FR"/>
        </w:rPr>
        <w:t>système de détection d'incendie actionne automatiquement le refroidissement des installations voisines</w:t>
      </w:r>
      <w:r w:rsidR="00F21210">
        <w:rPr>
          <w:rFonts w:eastAsia="Times New Roman" w:cs="Times New Roman"/>
          <w:szCs w:val="24"/>
          <w:lang w:eastAsia="fr-FR"/>
        </w:rPr>
        <w:t xml:space="preserve"> identifiées en application du </w:t>
      </w:r>
      <w:r w:rsidR="00F21210" w:rsidRPr="00793531">
        <w:rPr>
          <w:rFonts w:eastAsia="Times New Roman" w:cs="Times New Roman"/>
          <w:szCs w:val="24"/>
          <w:highlight w:val="yellow"/>
          <w:lang w:eastAsia="fr-FR"/>
        </w:rPr>
        <w:t>point IX de</w:t>
      </w:r>
      <w:r w:rsidR="00F21210">
        <w:rPr>
          <w:rFonts w:eastAsia="Times New Roman" w:cs="Times New Roman"/>
          <w:szCs w:val="24"/>
          <w:lang w:eastAsia="fr-FR"/>
        </w:rPr>
        <w:t xml:space="preserve"> </w:t>
      </w:r>
      <w:r w:rsidR="00F21210" w:rsidRPr="00250443">
        <w:rPr>
          <w:rFonts w:eastAsia="Times New Roman" w:cs="Times New Roman"/>
          <w:szCs w:val="24"/>
          <w:highlight w:val="yellow"/>
          <w:lang w:eastAsia="fr-FR"/>
        </w:rPr>
        <w:t>l’article VI-2</w:t>
      </w:r>
      <w:r w:rsidR="00F21210">
        <w:rPr>
          <w:rFonts w:eastAsia="Times New Roman" w:cs="Times New Roman"/>
          <w:szCs w:val="24"/>
          <w:lang w:eastAsia="fr-FR"/>
        </w:rPr>
        <w:t xml:space="preserve"> du présent arrêté</w:t>
      </w:r>
      <w:r w:rsidR="00610FC6" w:rsidRPr="000C6B29">
        <w:rPr>
          <w:rFonts w:eastAsia="Times New Roman" w:cs="Times New Roman"/>
          <w:szCs w:val="24"/>
          <w:lang w:eastAsia="fr-FR"/>
        </w:rPr>
        <w:t xml:space="preserve">. Une personne apte, formée et autorisée à la mise en œuvre des premiers moyens </w:t>
      </w:r>
      <w:r w:rsidR="00610FC6" w:rsidRPr="000C6B29">
        <w:rPr>
          <w:rFonts w:eastAsia="Times New Roman" w:cs="Times New Roman"/>
          <w:szCs w:val="24"/>
          <w:lang w:eastAsia="fr-FR"/>
        </w:rPr>
        <w:lastRenderedPageBreak/>
        <w:t xml:space="preserve">d'extinction est présente dans un délai inférieur à trente minutes après </w:t>
      </w:r>
      <w:r w:rsidR="00BE5956" w:rsidRPr="000C6B29">
        <w:rPr>
          <w:rFonts w:eastAsia="Times New Roman" w:cs="Times New Roman"/>
          <w:szCs w:val="24"/>
          <w:lang w:eastAsia="fr-FR"/>
        </w:rPr>
        <w:t>déclenchement de ce dispositif.</w:t>
      </w:r>
    </w:p>
    <w:p w14:paraId="3D12BD30" w14:textId="595D46DB" w:rsidR="00CA69A8" w:rsidRPr="001C3192" w:rsidRDefault="00FC2422" w:rsidP="004E6B59">
      <w:pPr>
        <w:spacing w:after="0" w:line="240" w:lineRule="auto"/>
        <w:rPr>
          <w:rFonts w:eastAsia="Times New Roman" w:cs="Times New Roman"/>
          <w:color w:val="000000" w:themeColor="text1"/>
          <w:szCs w:val="24"/>
          <w:lang w:eastAsia="fr-FR"/>
        </w:rPr>
      </w:pPr>
      <w:r>
        <w:rPr>
          <w:rFonts w:eastAsia="Times New Roman" w:cs="Times New Roman"/>
          <w:szCs w:val="24"/>
          <w:lang w:eastAsia="fr-FR"/>
        </w:rPr>
        <w:t>Les</w:t>
      </w:r>
      <w:r w:rsidR="00715D6B">
        <w:rPr>
          <w:rFonts w:eastAsia="Times New Roman" w:cs="Times New Roman"/>
          <w:szCs w:val="24"/>
          <w:lang w:eastAsia="fr-FR"/>
        </w:rPr>
        <w:t xml:space="preserve"> dispositions</w:t>
      </w:r>
      <w:r>
        <w:rPr>
          <w:rFonts w:eastAsia="Times New Roman" w:cs="Times New Roman"/>
          <w:szCs w:val="24"/>
          <w:lang w:eastAsia="fr-FR"/>
        </w:rPr>
        <w:t xml:space="preserve"> du présent II.</w:t>
      </w:r>
      <w:r w:rsidR="00715D6B">
        <w:rPr>
          <w:rFonts w:eastAsia="Times New Roman" w:cs="Times New Roman"/>
          <w:szCs w:val="24"/>
          <w:lang w:eastAsia="fr-FR"/>
        </w:rPr>
        <w:t xml:space="preserve"> ne sont pas applicables aux</w:t>
      </w:r>
      <w:r w:rsidR="00715D6B" w:rsidRPr="00B9372D">
        <w:rPr>
          <w:rFonts w:eastAsia="Times New Roman" w:cs="Times New Roman"/>
          <w:szCs w:val="24"/>
          <w:lang w:eastAsia="fr-FR"/>
        </w:rPr>
        <w:t xml:space="preserve"> stockages extérieurs contenants moins </w:t>
      </w:r>
      <w:r w:rsidR="00715D6B" w:rsidRPr="001C3192">
        <w:rPr>
          <w:rFonts w:eastAsia="Times New Roman" w:cs="Times New Roman"/>
          <w:color w:val="000000" w:themeColor="text1"/>
          <w:szCs w:val="24"/>
          <w:lang w:eastAsia="fr-FR"/>
        </w:rPr>
        <w:t xml:space="preserve">de 10 mètres cube de liquides inflammables </w:t>
      </w:r>
      <w:r w:rsidR="006B3C34" w:rsidRPr="001C3192">
        <w:rPr>
          <w:rFonts w:eastAsia="Times New Roman" w:cs="Times New Roman"/>
          <w:color w:val="000000" w:themeColor="text1"/>
          <w:szCs w:val="24"/>
          <w:lang w:eastAsia="fr-FR"/>
        </w:rPr>
        <w:t xml:space="preserve">et </w:t>
      </w:r>
      <w:r w:rsidR="00715D6B" w:rsidRPr="001C3192">
        <w:rPr>
          <w:rFonts w:eastAsia="Times New Roman" w:cs="Times New Roman"/>
          <w:color w:val="000000" w:themeColor="text1"/>
          <w:szCs w:val="24"/>
          <w:lang w:eastAsia="fr-FR"/>
        </w:rPr>
        <w:t>de liquides ou solides liquéfiables combustibles</w:t>
      </w:r>
      <w:r w:rsidR="008008F7" w:rsidRPr="001C3192">
        <w:rPr>
          <w:rFonts w:eastAsia="Times New Roman" w:cs="Times New Roman"/>
          <w:color w:val="000000" w:themeColor="text1"/>
          <w:szCs w:val="24"/>
          <w:lang w:eastAsia="fr-FR"/>
        </w:rPr>
        <w:t xml:space="preserve"> </w:t>
      </w:r>
      <w:r w:rsidR="00CA69A8" w:rsidRPr="001C3192">
        <w:rPr>
          <w:rFonts w:eastAsia="Times New Roman" w:cs="Times New Roman"/>
          <w:color w:val="000000" w:themeColor="text1"/>
          <w:szCs w:val="24"/>
          <w:lang w:eastAsia="fr-FR"/>
        </w:rPr>
        <w:t xml:space="preserve">et pour lesquels l’une des conditions suivantes est respectée : </w:t>
      </w:r>
    </w:p>
    <w:p w14:paraId="12F0BBEC" w14:textId="7A64991D" w:rsidR="00CA69A8" w:rsidRPr="001C3192" w:rsidRDefault="00CA69A8" w:rsidP="00CA69A8">
      <w:pPr>
        <w:spacing w:after="0" w:line="240" w:lineRule="auto"/>
        <w:rPr>
          <w:rFonts w:cs="Times New Roman"/>
          <w:color w:val="000000" w:themeColor="text1"/>
          <w:szCs w:val="24"/>
        </w:rPr>
      </w:pPr>
      <w:r w:rsidRPr="001C3192">
        <w:rPr>
          <w:rFonts w:cs="Times New Roman"/>
          <w:color w:val="000000" w:themeColor="text1"/>
          <w:szCs w:val="24"/>
        </w:rPr>
        <w:t>- chacun de ces stockages est distant d'un espace libre d'au moins 10 mètres des autres stockages susceptibles d'abriter au moins un liquide inflammable ;</w:t>
      </w:r>
    </w:p>
    <w:p w14:paraId="38660C46" w14:textId="1A8AE430" w:rsidR="00CA69A8" w:rsidRPr="001C3192" w:rsidRDefault="00CA69A8" w:rsidP="00CA69A8">
      <w:pPr>
        <w:spacing w:after="0" w:line="240" w:lineRule="auto"/>
        <w:rPr>
          <w:color w:val="000000" w:themeColor="text1"/>
        </w:rPr>
      </w:pPr>
      <w:r w:rsidRPr="001C3192">
        <w:rPr>
          <w:rFonts w:cs="Times New Roman"/>
          <w:color w:val="000000" w:themeColor="text1"/>
          <w:szCs w:val="24"/>
        </w:rPr>
        <w:t>- ou l’exploitant justifie qu</w:t>
      </w:r>
      <w:r w:rsidR="00A8031F" w:rsidRPr="001C3192">
        <w:rPr>
          <w:rFonts w:cs="Times New Roman"/>
          <w:color w:val="000000" w:themeColor="text1"/>
          <w:szCs w:val="24"/>
        </w:rPr>
        <w:t>e</w:t>
      </w:r>
      <w:r w:rsidR="0031141B" w:rsidRPr="001C3192">
        <w:rPr>
          <w:rFonts w:cs="Times New Roman"/>
          <w:color w:val="000000" w:themeColor="text1"/>
          <w:szCs w:val="24"/>
        </w:rPr>
        <w:t xml:space="preserve"> </w:t>
      </w:r>
      <w:r w:rsidRPr="001C3192">
        <w:rPr>
          <w:rFonts w:cs="Times New Roman"/>
          <w:color w:val="000000" w:themeColor="text1"/>
          <w:szCs w:val="24"/>
        </w:rPr>
        <w:t>les effets dominos (seuil des effets thermiques de 8kW/m²) ne sont pas atteints</w:t>
      </w:r>
      <w:r w:rsidR="0031141B" w:rsidRPr="001C3192">
        <w:rPr>
          <w:rFonts w:eastAsia="Times New Roman" w:cs="Times New Roman"/>
          <w:color w:val="000000" w:themeColor="text1"/>
          <w:szCs w:val="24"/>
          <w:lang w:eastAsia="fr-FR"/>
        </w:rPr>
        <w:t xml:space="preserve">, </w:t>
      </w:r>
      <w:r w:rsidR="0031141B" w:rsidRPr="001C3192">
        <w:rPr>
          <w:rFonts w:cs="Times New Roman"/>
          <w:color w:val="000000" w:themeColor="text1"/>
          <w:szCs w:val="24"/>
        </w:rPr>
        <w:t>par l’emploi de dispositions passives,</w:t>
      </w:r>
      <w:r w:rsidRPr="001C3192">
        <w:rPr>
          <w:rFonts w:cs="Times New Roman"/>
          <w:color w:val="000000" w:themeColor="text1"/>
          <w:szCs w:val="24"/>
        </w:rPr>
        <w:t xml:space="preserve"> d’un stockage vers tout autre stockage susceptible d’abriter au moins un liquide inflammable, et réciproquement. La mise en place d’un mur </w:t>
      </w:r>
      <w:r w:rsidRPr="001C3192">
        <w:rPr>
          <w:color w:val="000000" w:themeColor="text1"/>
        </w:rPr>
        <w:t xml:space="preserve">coupe-feu EI 120 de dimensions suffisantes pour contenir les effets dominos permet </w:t>
      </w:r>
      <w:r w:rsidR="00A8031F" w:rsidRPr="001C3192">
        <w:rPr>
          <w:color w:val="000000" w:themeColor="text1"/>
        </w:rPr>
        <w:t xml:space="preserve">de </w:t>
      </w:r>
      <w:r w:rsidRPr="001C3192">
        <w:rPr>
          <w:color w:val="000000" w:themeColor="text1"/>
        </w:rPr>
        <w:t xml:space="preserve">répondre à cette exigence. Dans ce cas, les éléments de </w:t>
      </w:r>
      <w:r w:rsidR="00A15D32" w:rsidRPr="001C3192">
        <w:rPr>
          <w:color w:val="000000" w:themeColor="text1"/>
        </w:rPr>
        <w:t xml:space="preserve">justification, et le cas échéant de </w:t>
      </w:r>
      <w:r w:rsidRPr="001C3192">
        <w:rPr>
          <w:color w:val="000000" w:themeColor="text1"/>
        </w:rPr>
        <w:t>démonstration du r</w:t>
      </w:r>
      <w:r w:rsidR="00A15D32" w:rsidRPr="001C3192">
        <w:rPr>
          <w:color w:val="000000" w:themeColor="text1"/>
        </w:rPr>
        <w:t xml:space="preserve">espect des règles en vigueur </w:t>
      </w:r>
      <w:r w:rsidRPr="001C3192">
        <w:rPr>
          <w:color w:val="000000" w:themeColor="text1"/>
        </w:rPr>
        <w:t>concernant</w:t>
      </w:r>
      <w:r w:rsidR="00A15D32" w:rsidRPr="001C3192">
        <w:rPr>
          <w:color w:val="000000" w:themeColor="text1"/>
        </w:rPr>
        <w:t xml:space="preserve"> le mur coupe-feu</w:t>
      </w:r>
      <w:r w:rsidRPr="001C3192">
        <w:rPr>
          <w:color w:val="000000" w:themeColor="text1"/>
        </w:rPr>
        <w:t xml:space="preserve"> sont tenus à la disposition de l’inspection des installations classées</w:t>
      </w:r>
      <w:r w:rsidRPr="001C3192">
        <w:rPr>
          <w:rFonts w:cs="Times New Roman"/>
          <w:color w:val="000000" w:themeColor="text1"/>
          <w:szCs w:val="24"/>
        </w:rPr>
        <w:t xml:space="preserve">. </w:t>
      </w:r>
    </w:p>
    <w:p w14:paraId="5C59A0FB" w14:textId="613791AE" w:rsidR="00715D6B" w:rsidRPr="00B9372D" w:rsidRDefault="00715D6B" w:rsidP="00715D6B">
      <w:pPr>
        <w:spacing w:after="0" w:line="240" w:lineRule="auto"/>
        <w:rPr>
          <w:rFonts w:eastAsia="Times New Roman" w:cs="Times New Roman"/>
          <w:szCs w:val="24"/>
          <w:lang w:eastAsia="fr-FR"/>
        </w:rPr>
      </w:pPr>
      <w:r w:rsidRPr="00B9372D">
        <w:rPr>
          <w:rFonts w:cs="Times New Roman"/>
          <w:szCs w:val="24"/>
        </w:rPr>
        <w:t>Cette quantité maximale de 10 mètres cube est limitée au strict besoin d'exploitation.</w:t>
      </w:r>
    </w:p>
    <w:p w14:paraId="6F7FF219" w14:textId="77777777" w:rsidR="001065D6" w:rsidRPr="001065D6" w:rsidRDefault="001065D6" w:rsidP="001065D6">
      <w:pPr>
        <w:spacing w:after="0" w:line="240" w:lineRule="auto"/>
        <w:rPr>
          <w:rFonts w:eastAsia="Times New Roman" w:cs="Times New Roman"/>
          <w:szCs w:val="24"/>
          <w:lang w:eastAsia="fr-FR"/>
        </w:rPr>
      </w:pPr>
    </w:p>
    <w:p w14:paraId="441B5B71" w14:textId="473A5BFA" w:rsidR="00A23023" w:rsidRDefault="00A23023" w:rsidP="00564869">
      <w:pPr>
        <w:pStyle w:val="Titre2"/>
      </w:pPr>
      <w:bookmarkStart w:id="36" w:name="LEGIARTI000023100823"/>
      <w:bookmarkEnd w:id="36"/>
      <w:r>
        <w:t>Vérifications périodiques</w:t>
      </w:r>
      <w:r w:rsidR="00E86B6E">
        <w:t xml:space="preserve"> et</w:t>
      </w:r>
      <w:r>
        <w:t xml:space="preserve"> contrôles</w:t>
      </w:r>
    </w:p>
    <w:p w14:paraId="6B82363F" w14:textId="073A9DF7" w:rsidR="00553321" w:rsidRPr="00793531" w:rsidRDefault="00610FC6" w:rsidP="00793531">
      <w:pPr>
        <w:spacing w:after="0" w:line="240" w:lineRule="auto"/>
        <w:rPr>
          <w:rFonts w:eastAsia="Times New Roman" w:cs="Times New Roman"/>
          <w:szCs w:val="24"/>
          <w:lang w:eastAsia="fr-FR"/>
        </w:rPr>
      </w:pPr>
      <w:r w:rsidRPr="00610FC6">
        <w:rPr>
          <w:rFonts w:eastAsia="Times New Roman" w:cs="Times New Roman"/>
          <w:szCs w:val="24"/>
          <w:lang w:eastAsia="fr-FR"/>
        </w:rPr>
        <w:t>L'exploitant s'assure de la vérification périodique et de la maintenance des matériels de sécurité et de lutte contre l'incendie mis en place ainsi que des installations électriques, conformément aux référentiels en vigueur. L'exploitant tient à la disposition de l'inspection des installations classées les éléments justifiant de ces vérifications et maintenance.</w:t>
      </w:r>
    </w:p>
    <w:p w14:paraId="18FBE4D6" w14:textId="77777777" w:rsidR="0027774F" w:rsidRDefault="0027774F" w:rsidP="00B9372D">
      <w:pPr>
        <w:spacing w:after="0" w:line="240" w:lineRule="auto"/>
        <w:rPr>
          <w:rFonts w:eastAsia="Times New Roman" w:cs="Times New Roman"/>
          <w:color w:val="000000"/>
          <w:szCs w:val="24"/>
          <w:lang w:eastAsia="fr-FR"/>
        </w:rPr>
      </w:pPr>
    </w:p>
    <w:p w14:paraId="3916DC0B" w14:textId="601A64FF" w:rsidR="00D83F78" w:rsidRDefault="0027774F" w:rsidP="00B9372D">
      <w:pPr>
        <w:spacing w:after="0" w:line="240" w:lineRule="auto"/>
        <w:rPr>
          <w:rFonts w:eastAsia="Times New Roman" w:cs="Times New Roman"/>
          <w:szCs w:val="24"/>
          <w:lang w:eastAsia="fr-FR"/>
        </w:rPr>
      </w:pPr>
      <w:r w:rsidRPr="0027774F">
        <w:rPr>
          <w:rFonts w:eastAsia="Times New Roman" w:cs="Times New Roman"/>
          <w:szCs w:val="24"/>
          <w:lang w:eastAsia="fr-FR"/>
        </w:rPr>
        <w:t xml:space="preserve">Les éléments des rapports de visites de risques qui portent sur les </w:t>
      </w:r>
      <w:r w:rsidR="009816C3">
        <w:rPr>
          <w:rFonts w:eastAsia="Times New Roman" w:cs="Times New Roman"/>
          <w:szCs w:val="24"/>
          <w:lang w:eastAsia="fr-FR"/>
        </w:rPr>
        <w:t>constats et</w:t>
      </w:r>
      <w:r w:rsidR="008B0CB9">
        <w:rPr>
          <w:rFonts w:eastAsia="Times New Roman" w:cs="Times New Roman"/>
          <w:szCs w:val="24"/>
          <w:lang w:eastAsia="fr-FR"/>
        </w:rPr>
        <w:t xml:space="preserve"> sur les</w:t>
      </w:r>
      <w:r w:rsidR="009816C3">
        <w:rPr>
          <w:rFonts w:eastAsia="Times New Roman" w:cs="Times New Roman"/>
          <w:szCs w:val="24"/>
          <w:lang w:eastAsia="fr-FR"/>
        </w:rPr>
        <w:t xml:space="preserve"> </w:t>
      </w:r>
      <w:r w:rsidRPr="0027774F">
        <w:rPr>
          <w:rFonts w:eastAsia="Times New Roman" w:cs="Times New Roman"/>
          <w:szCs w:val="24"/>
          <w:lang w:eastAsia="fr-FR"/>
        </w:rPr>
        <w:t>recommandations issues de l’analyse des risques menés par l’assureur dans</w:t>
      </w:r>
      <w:r>
        <w:rPr>
          <w:rFonts w:eastAsia="Times New Roman" w:cs="Times New Roman"/>
          <w:szCs w:val="24"/>
          <w:lang w:eastAsia="fr-FR"/>
        </w:rPr>
        <w:t xml:space="preserve"> l’installation</w:t>
      </w:r>
      <w:r w:rsidRPr="0027774F">
        <w:rPr>
          <w:rFonts w:eastAsia="Times New Roman" w:cs="Times New Roman"/>
          <w:szCs w:val="24"/>
          <w:lang w:eastAsia="fr-FR"/>
        </w:rPr>
        <w:t xml:space="preserve"> sont également tenus à la disposition de l’inspect</w:t>
      </w:r>
      <w:r>
        <w:rPr>
          <w:rFonts w:eastAsia="Times New Roman" w:cs="Times New Roman"/>
          <w:szCs w:val="24"/>
          <w:lang w:eastAsia="fr-FR"/>
        </w:rPr>
        <w:t>ion des installations classées.</w:t>
      </w:r>
    </w:p>
    <w:p w14:paraId="52A13732" w14:textId="2E3827C9" w:rsidR="00BE5956" w:rsidRDefault="00BE5956" w:rsidP="00B9372D">
      <w:pPr>
        <w:spacing w:after="0" w:line="240" w:lineRule="auto"/>
        <w:rPr>
          <w:rFonts w:eastAsia="Times New Roman" w:cs="Times New Roman"/>
          <w:szCs w:val="24"/>
          <w:lang w:eastAsia="fr-FR"/>
        </w:rPr>
      </w:pPr>
    </w:p>
    <w:p w14:paraId="7F5466B4" w14:textId="30525EF6" w:rsidR="00793531" w:rsidRPr="00610FC6" w:rsidRDefault="00793531" w:rsidP="00B9372D">
      <w:pPr>
        <w:spacing w:after="0" w:line="240" w:lineRule="auto"/>
        <w:rPr>
          <w:rFonts w:eastAsia="Times New Roman" w:cs="Times New Roman"/>
          <w:szCs w:val="24"/>
          <w:lang w:eastAsia="fr-FR"/>
        </w:rPr>
      </w:pPr>
    </w:p>
    <w:p w14:paraId="0DCF6870" w14:textId="56C2A5B0" w:rsidR="00610FC6" w:rsidRPr="00BE5956" w:rsidRDefault="00610FC6" w:rsidP="00564869">
      <w:pPr>
        <w:pStyle w:val="Titre1"/>
        <w:rPr>
          <w:rFonts w:eastAsia="Times New Roman"/>
          <w:lang w:eastAsia="fr-FR"/>
        </w:rPr>
      </w:pPr>
      <w:r w:rsidRPr="00BE5956">
        <w:rPr>
          <w:rFonts w:eastAsia="Times New Roman"/>
          <w:lang w:eastAsia="fr-FR"/>
        </w:rPr>
        <w:t xml:space="preserve">AUTRES DISPOSITIONS DE PRÉVENTION DES RISQUES </w:t>
      </w:r>
    </w:p>
    <w:p w14:paraId="3F6D1A83" w14:textId="6B550740" w:rsidR="00485C0F" w:rsidRDefault="00485C0F" w:rsidP="00564869">
      <w:pPr>
        <w:pStyle w:val="Titre2"/>
      </w:pPr>
      <w:bookmarkStart w:id="37" w:name="LEGIARTI000023100831"/>
      <w:bookmarkEnd w:id="37"/>
      <w:r>
        <w:t>Zones à risques</w:t>
      </w:r>
    </w:p>
    <w:p w14:paraId="68E63A0C" w14:textId="65606E1C" w:rsidR="00610FC6" w:rsidRPr="00BE5956" w:rsidRDefault="00610FC6" w:rsidP="00B9372D">
      <w:pPr>
        <w:spacing w:after="0" w:line="240" w:lineRule="auto"/>
        <w:rPr>
          <w:rFonts w:eastAsia="Times New Roman" w:cs="Times New Roman"/>
          <w:b/>
          <w:szCs w:val="24"/>
          <w:u w:val="single"/>
          <w:lang w:eastAsia="fr-FR"/>
        </w:rPr>
      </w:pPr>
      <w:r w:rsidRPr="00610FC6">
        <w:rPr>
          <w:rFonts w:eastAsia="Times New Roman" w:cs="Times New Roman"/>
          <w:szCs w:val="24"/>
          <w:lang w:eastAsia="fr-FR"/>
        </w:rPr>
        <w:t>L'exploitant recense, sous sa responsabilité, les parties (locaux ou emplacements) de l'installation ou les équipements et appareils qui, en raison des caractéristiques qualitatives et quantitatives des matières mises en œuvre, stockées, utilisées, produites ou transformées, sont susceptibles d'être à l'origine d'un incendie ou d'une explosion pouvant présenter des dangers pour les intérêts visés à l'article L. 511-1 du code de l'environnement.</w:t>
      </w:r>
    </w:p>
    <w:p w14:paraId="634DC263" w14:textId="77777777" w:rsidR="00BE5956" w:rsidRDefault="00BE5956" w:rsidP="00B9372D">
      <w:pPr>
        <w:spacing w:after="0" w:line="240" w:lineRule="auto"/>
        <w:rPr>
          <w:rFonts w:eastAsia="Times New Roman" w:cs="Times New Roman"/>
          <w:szCs w:val="24"/>
          <w:lang w:eastAsia="fr-FR"/>
        </w:rPr>
      </w:pPr>
      <w:bookmarkStart w:id="38" w:name="LEGIARTI000023100825"/>
      <w:bookmarkEnd w:id="38"/>
    </w:p>
    <w:p w14:paraId="54B4E25D" w14:textId="35F4478B" w:rsidR="00485C0F" w:rsidRDefault="00485C0F" w:rsidP="00564869">
      <w:pPr>
        <w:pStyle w:val="Titre2"/>
      </w:pPr>
      <w:r>
        <w:t>Equipements à risques</w:t>
      </w:r>
    </w:p>
    <w:p w14:paraId="4FC6654E" w14:textId="087E7B4E" w:rsidR="005E2777" w:rsidRPr="00610FC6" w:rsidRDefault="00610FC6" w:rsidP="000B0816">
      <w:pPr>
        <w:spacing w:after="0" w:line="240" w:lineRule="auto"/>
        <w:rPr>
          <w:rFonts w:eastAsia="Times New Roman" w:cs="Times New Roman"/>
          <w:szCs w:val="24"/>
          <w:lang w:eastAsia="fr-FR"/>
        </w:rPr>
      </w:pPr>
      <w:r w:rsidRPr="00610FC6">
        <w:rPr>
          <w:rFonts w:eastAsia="Times New Roman" w:cs="Times New Roman"/>
          <w:szCs w:val="24"/>
          <w:lang w:eastAsia="fr-FR"/>
        </w:rPr>
        <w:t>Dans un</w:t>
      </w:r>
      <w:r w:rsidR="00577186">
        <w:rPr>
          <w:rFonts w:eastAsia="Times New Roman" w:cs="Times New Roman"/>
          <w:szCs w:val="24"/>
          <w:lang w:eastAsia="fr-FR"/>
        </w:rPr>
        <w:t xml:space="preserve"> </w:t>
      </w:r>
      <w:r w:rsidR="0062682D">
        <w:rPr>
          <w:rFonts w:eastAsia="Times New Roman" w:cs="Times New Roman"/>
          <w:szCs w:val="24"/>
          <w:lang w:eastAsia="fr-FR"/>
        </w:rPr>
        <w:t>rayon</w:t>
      </w:r>
      <w:r w:rsidR="00577186">
        <w:rPr>
          <w:rFonts w:eastAsia="Times New Roman" w:cs="Times New Roman"/>
          <w:szCs w:val="24"/>
          <w:lang w:eastAsia="fr-FR"/>
        </w:rPr>
        <w:t xml:space="preserve"> de</w:t>
      </w:r>
      <w:r w:rsidRPr="00610FC6">
        <w:rPr>
          <w:rFonts w:eastAsia="Times New Roman" w:cs="Times New Roman"/>
          <w:szCs w:val="24"/>
          <w:lang w:eastAsia="fr-FR"/>
        </w:rPr>
        <w:t xml:space="preserve"> 20 mètres </w:t>
      </w:r>
      <w:r w:rsidR="00577186">
        <w:rPr>
          <w:rFonts w:eastAsia="Times New Roman" w:cs="Times New Roman"/>
          <w:szCs w:val="24"/>
          <w:lang w:eastAsia="fr-FR"/>
        </w:rPr>
        <w:t xml:space="preserve">autour </w:t>
      </w:r>
      <w:r w:rsidRPr="00610FC6">
        <w:rPr>
          <w:rFonts w:eastAsia="Times New Roman" w:cs="Times New Roman"/>
          <w:szCs w:val="24"/>
          <w:lang w:eastAsia="fr-FR"/>
        </w:rPr>
        <w:t xml:space="preserve">des parties (locaux ou emplacements) de l'installation ou des équipements et appareils visés à </w:t>
      </w:r>
      <w:r w:rsidRPr="00250443">
        <w:rPr>
          <w:rFonts w:eastAsia="Times New Roman" w:cs="Times New Roman"/>
          <w:szCs w:val="24"/>
          <w:highlight w:val="yellow"/>
          <w:lang w:eastAsia="fr-FR"/>
        </w:rPr>
        <w:t>l'article précédent</w:t>
      </w:r>
      <w:r w:rsidRPr="00610FC6">
        <w:rPr>
          <w:rFonts w:eastAsia="Times New Roman" w:cs="Times New Roman"/>
          <w:szCs w:val="24"/>
          <w:lang w:eastAsia="fr-FR"/>
        </w:rPr>
        <w:t xml:space="preserve">, l'exploitant recense les équipements et matériels susceptibles, en cas d'explosion ou d'incendie les impactant, de présenter des dangers pour les intérêts visés à l'article L. 511-1 du code de l'environnement. Ce recensement est tenu </w:t>
      </w:r>
      <w:r w:rsidRPr="00610FC6">
        <w:rPr>
          <w:rFonts w:eastAsia="Times New Roman" w:cs="Times New Roman"/>
          <w:szCs w:val="24"/>
          <w:lang w:eastAsia="fr-FR"/>
        </w:rPr>
        <w:lastRenderedPageBreak/>
        <w:t>à disposition de l'inspection des installations classées.</w:t>
      </w:r>
      <w:r w:rsidR="00B9372D">
        <w:rPr>
          <w:rFonts w:eastAsia="Times New Roman" w:cs="Times New Roman"/>
          <w:szCs w:val="24"/>
          <w:lang w:eastAsia="fr-FR"/>
        </w:rPr>
        <w:tab/>
      </w:r>
      <w:r w:rsidRPr="00610FC6">
        <w:rPr>
          <w:rFonts w:eastAsia="Times New Roman" w:cs="Times New Roman"/>
          <w:szCs w:val="24"/>
          <w:lang w:eastAsia="fr-FR"/>
        </w:rPr>
        <w:br/>
      </w:r>
    </w:p>
    <w:p w14:paraId="4BD5ABCD" w14:textId="267815C3" w:rsidR="005E2777" w:rsidRDefault="005D53FB" w:rsidP="005D53FB">
      <w:pPr>
        <w:pStyle w:val="Titre2"/>
      </w:pPr>
      <w:r>
        <w:t>Tuyauteries, robinetteries et accessoires</w:t>
      </w:r>
    </w:p>
    <w:p w14:paraId="6224CB26" w14:textId="77777777" w:rsidR="005D53FB" w:rsidRPr="00FD643E" w:rsidRDefault="005D53FB" w:rsidP="005D53FB">
      <w:pPr>
        <w:spacing w:after="0" w:line="240" w:lineRule="auto"/>
        <w:rPr>
          <w:rFonts w:eastAsia="Times New Roman" w:cs="Times New Roman"/>
          <w:szCs w:val="24"/>
          <w:lang w:eastAsia="fr-FR"/>
        </w:rPr>
      </w:pPr>
      <w:r w:rsidRPr="00FD643E">
        <w:rPr>
          <w:rFonts w:eastAsia="Times New Roman" w:cs="Times New Roman"/>
          <w:szCs w:val="24"/>
          <w:lang w:eastAsia="fr-FR"/>
        </w:rPr>
        <w:t>Les tuyauteries, robinetteries et accessoires sont conformes aux normes et codes en vigueur lors de leur fabrication, sous réserve des prescriptions du présent arrêté. Pour les organes de sectionnement à fermeture manuelle, le sens de fermeture est signalé de manière visible.</w:t>
      </w:r>
    </w:p>
    <w:p w14:paraId="389263BF" w14:textId="77777777" w:rsidR="005D53FB" w:rsidRDefault="005D53FB" w:rsidP="005D53FB">
      <w:pPr>
        <w:spacing w:after="0" w:line="240" w:lineRule="auto"/>
        <w:rPr>
          <w:rFonts w:eastAsia="Times New Roman" w:cs="Times New Roman"/>
          <w:szCs w:val="24"/>
          <w:lang w:eastAsia="fr-FR"/>
        </w:rPr>
      </w:pPr>
      <w:r w:rsidRPr="00FD643E">
        <w:rPr>
          <w:rFonts w:eastAsia="Times New Roman" w:cs="Times New Roman"/>
          <w:szCs w:val="24"/>
          <w:lang w:eastAsia="fr-FR"/>
        </w:rPr>
        <w:t>Les différentes tuyauteries accessibles sont repérées conformément à des règles définies par l'exploitant, sans préjudice des exigences fixées par le code du travail.</w:t>
      </w:r>
    </w:p>
    <w:p w14:paraId="578D6E80" w14:textId="241771BE" w:rsidR="00793531" w:rsidRDefault="00793531" w:rsidP="00B9372D">
      <w:pPr>
        <w:spacing w:after="0" w:line="240" w:lineRule="auto"/>
        <w:rPr>
          <w:rFonts w:eastAsia="Times New Roman" w:cs="Times New Roman"/>
          <w:szCs w:val="24"/>
          <w:lang w:eastAsia="fr-FR"/>
        </w:rPr>
      </w:pPr>
      <w:bookmarkStart w:id="39" w:name="LEGIARTI000023100827"/>
      <w:bookmarkEnd w:id="39"/>
    </w:p>
    <w:p w14:paraId="4E7E7262" w14:textId="108FDC30" w:rsidR="00485C0F" w:rsidRDefault="00485C0F" w:rsidP="00564869">
      <w:pPr>
        <w:pStyle w:val="Titre2"/>
      </w:pPr>
      <w:r>
        <w:t>Ventilation</w:t>
      </w:r>
    </w:p>
    <w:p w14:paraId="752D482B" w14:textId="43E8A13D" w:rsidR="00610FC6" w:rsidRPr="00610FC6" w:rsidRDefault="00610FC6" w:rsidP="00B9372D">
      <w:pPr>
        <w:spacing w:after="0" w:line="240" w:lineRule="auto"/>
        <w:rPr>
          <w:rFonts w:eastAsia="Times New Roman" w:cs="Times New Roman"/>
          <w:szCs w:val="24"/>
          <w:lang w:eastAsia="fr-FR"/>
        </w:rPr>
      </w:pPr>
      <w:r w:rsidRPr="00610FC6">
        <w:rPr>
          <w:rFonts w:eastAsia="Times New Roman" w:cs="Times New Roman"/>
          <w:szCs w:val="24"/>
          <w:lang w:eastAsia="fr-FR"/>
        </w:rPr>
        <w:t>Les locaux dans lesquels sont présents des liquides inflammables sont convenablement ventilés pour éviter l'accumulation dangereuse de vapeurs de liquides inflammables.</w:t>
      </w:r>
      <w:r w:rsidR="00B9372D">
        <w:rPr>
          <w:rFonts w:eastAsia="Times New Roman" w:cs="Times New Roman"/>
          <w:szCs w:val="24"/>
          <w:lang w:eastAsia="fr-FR"/>
        </w:rPr>
        <w:tab/>
      </w:r>
      <w:r w:rsidRPr="00610FC6">
        <w:rPr>
          <w:rFonts w:eastAsia="Times New Roman" w:cs="Times New Roman"/>
          <w:szCs w:val="24"/>
          <w:lang w:eastAsia="fr-FR"/>
        </w:rPr>
        <w:br/>
        <w:t>Toutes les dispositions sont prises pour éviter l'accumulation de vapeurs de liquides inflammables dans les parties basses des installations, et notamment dans les fosses et caniveaux.</w:t>
      </w:r>
      <w:r w:rsidRPr="00610FC6">
        <w:rPr>
          <w:rFonts w:eastAsia="Times New Roman" w:cs="Times New Roman"/>
          <w:szCs w:val="24"/>
          <w:lang w:eastAsia="fr-FR"/>
        </w:rPr>
        <w:br/>
        <w:t>Le réseau de vapeur d'eau est efficacement protégé contre toute introduction de liquide inflammable.</w:t>
      </w:r>
    </w:p>
    <w:p w14:paraId="65369F84" w14:textId="79FEE750" w:rsidR="00BE5956" w:rsidRDefault="00BE5956" w:rsidP="00B9372D">
      <w:pPr>
        <w:spacing w:after="0" w:line="240" w:lineRule="auto"/>
        <w:rPr>
          <w:rFonts w:eastAsia="Times New Roman" w:cs="Times New Roman"/>
          <w:szCs w:val="24"/>
          <w:lang w:eastAsia="fr-FR"/>
        </w:rPr>
      </w:pPr>
      <w:bookmarkStart w:id="40" w:name="LEGIARTI000023100833"/>
      <w:bookmarkEnd w:id="40"/>
    </w:p>
    <w:p w14:paraId="42FCEC03" w14:textId="0948F277" w:rsidR="00564869" w:rsidRDefault="00564869" w:rsidP="00564869">
      <w:pPr>
        <w:pStyle w:val="Titre2"/>
      </w:pPr>
      <w:r>
        <w:t>Travaux</w:t>
      </w:r>
    </w:p>
    <w:p w14:paraId="73665805" w14:textId="77777777" w:rsidR="00563BA9" w:rsidRPr="00563BA9" w:rsidRDefault="00563BA9" w:rsidP="00563BA9">
      <w:pPr>
        <w:spacing w:after="0" w:line="240" w:lineRule="auto"/>
        <w:rPr>
          <w:rFonts w:eastAsia="Times New Roman" w:cs="Times New Roman"/>
          <w:szCs w:val="24"/>
          <w:lang w:eastAsia="fr-FR"/>
        </w:rPr>
      </w:pPr>
      <w:bookmarkStart w:id="41" w:name="LEGIARTI000023100829"/>
      <w:bookmarkStart w:id="42" w:name="LEGIARTI000030829282"/>
      <w:bookmarkEnd w:id="41"/>
      <w:bookmarkEnd w:id="42"/>
      <w:r w:rsidRPr="00563BA9">
        <w:rPr>
          <w:rFonts w:eastAsia="Times New Roman" w:cs="Times New Roman"/>
          <w:szCs w:val="24"/>
          <w:lang w:eastAsia="fr-FR"/>
        </w:rPr>
        <w:t>Dans les parties de l'installation présentant des risques d'incendie ou d'explosion, les travaux de réparation ou d'aménagement ne peuvent être effectués qu'après élaboration d'un document ou dossier comprenant les éléments suivants :</w:t>
      </w:r>
    </w:p>
    <w:p w14:paraId="384BA596" w14:textId="77777777" w:rsidR="00563BA9" w:rsidRPr="00563BA9" w:rsidRDefault="00563BA9" w:rsidP="00563BA9">
      <w:pPr>
        <w:spacing w:after="0" w:line="240" w:lineRule="auto"/>
        <w:rPr>
          <w:rFonts w:eastAsia="Times New Roman" w:cs="Times New Roman"/>
          <w:szCs w:val="24"/>
          <w:lang w:eastAsia="fr-FR"/>
        </w:rPr>
      </w:pPr>
      <w:r w:rsidRPr="00563BA9">
        <w:rPr>
          <w:rFonts w:eastAsia="Times New Roman" w:cs="Times New Roman"/>
          <w:szCs w:val="24"/>
          <w:lang w:eastAsia="fr-FR"/>
        </w:rPr>
        <w:t>― la définition des phases d'activité dangereuses et des moyens de prévention spécifiques correspondants ;</w:t>
      </w:r>
    </w:p>
    <w:p w14:paraId="491C4961" w14:textId="77777777" w:rsidR="00563BA9" w:rsidRPr="00563BA9" w:rsidRDefault="00563BA9" w:rsidP="00563BA9">
      <w:pPr>
        <w:spacing w:after="0" w:line="240" w:lineRule="auto"/>
        <w:rPr>
          <w:rFonts w:eastAsia="Times New Roman" w:cs="Times New Roman"/>
          <w:szCs w:val="24"/>
          <w:lang w:eastAsia="fr-FR"/>
        </w:rPr>
      </w:pPr>
      <w:r w:rsidRPr="00563BA9">
        <w:rPr>
          <w:rFonts w:eastAsia="Times New Roman" w:cs="Times New Roman"/>
          <w:szCs w:val="24"/>
          <w:lang w:eastAsia="fr-FR"/>
        </w:rPr>
        <w:t>― l'adaptation des matériels, installations et dispositifs à la nature des opérations à réaliser ainsi que la définition de leurs conditions d'entretien ;</w:t>
      </w:r>
    </w:p>
    <w:p w14:paraId="5D37D891" w14:textId="77777777" w:rsidR="00563BA9" w:rsidRPr="00563BA9" w:rsidRDefault="00563BA9" w:rsidP="00563BA9">
      <w:pPr>
        <w:spacing w:after="0" w:line="240" w:lineRule="auto"/>
        <w:rPr>
          <w:rFonts w:eastAsia="Times New Roman" w:cs="Times New Roman"/>
          <w:szCs w:val="24"/>
          <w:lang w:eastAsia="fr-FR"/>
        </w:rPr>
      </w:pPr>
      <w:r w:rsidRPr="00563BA9">
        <w:rPr>
          <w:rFonts w:eastAsia="Times New Roman" w:cs="Times New Roman"/>
          <w:szCs w:val="24"/>
          <w:lang w:eastAsia="fr-FR"/>
        </w:rPr>
        <w:t>― les instructions à donner aux personnes en charge des travaux ;</w:t>
      </w:r>
    </w:p>
    <w:p w14:paraId="427C13B5" w14:textId="77777777" w:rsidR="00563BA9" w:rsidRPr="00563BA9" w:rsidRDefault="00563BA9" w:rsidP="00563BA9">
      <w:pPr>
        <w:spacing w:after="0" w:line="240" w:lineRule="auto"/>
        <w:rPr>
          <w:rFonts w:eastAsia="Times New Roman" w:cs="Times New Roman"/>
          <w:szCs w:val="24"/>
          <w:lang w:eastAsia="fr-FR"/>
        </w:rPr>
      </w:pPr>
      <w:r w:rsidRPr="00563BA9">
        <w:rPr>
          <w:rFonts w:eastAsia="Times New Roman" w:cs="Times New Roman"/>
          <w:szCs w:val="24"/>
          <w:lang w:eastAsia="fr-FR"/>
        </w:rPr>
        <w:t>― l'organisation mise en place pour assurer les premiers secours en cas d'urgence ;</w:t>
      </w:r>
    </w:p>
    <w:p w14:paraId="2D0CE936" w14:textId="77777777" w:rsidR="00563BA9" w:rsidRPr="00563BA9" w:rsidRDefault="00563BA9" w:rsidP="00563BA9">
      <w:pPr>
        <w:spacing w:after="0" w:line="240" w:lineRule="auto"/>
        <w:rPr>
          <w:rFonts w:eastAsia="Times New Roman" w:cs="Times New Roman"/>
          <w:szCs w:val="24"/>
          <w:lang w:eastAsia="fr-FR"/>
        </w:rPr>
      </w:pPr>
      <w:r w:rsidRPr="00563BA9">
        <w:rPr>
          <w:rFonts w:eastAsia="Times New Roman" w:cs="Times New Roman"/>
          <w:szCs w:val="24"/>
          <w:lang w:eastAsia="fr-FR"/>
        </w:rPr>
        <w:t>― lorsque les travaux sont effectués par une entreprise extérieure, les conditions de recours par cette dernière à de la sous-traitance et l'organisation mise en place dans un tel cas pour assurer le maintien de la sécurité.</w:t>
      </w:r>
    </w:p>
    <w:p w14:paraId="635B8A04" w14:textId="77777777" w:rsidR="00563BA9" w:rsidRPr="00563BA9" w:rsidRDefault="00563BA9" w:rsidP="00563BA9">
      <w:pPr>
        <w:spacing w:after="0" w:line="240" w:lineRule="auto"/>
        <w:rPr>
          <w:rFonts w:eastAsia="Times New Roman" w:cs="Times New Roman"/>
          <w:szCs w:val="24"/>
          <w:lang w:eastAsia="fr-FR"/>
        </w:rPr>
      </w:pPr>
      <w:r w:rsidRPr="00563BA9">
        <w:rPr>
          <w:rFonts w:eastAsia="Times New Roman" w:cs="Times New Roman"/>
          <w:szCs w:val="24"/>
          <w:lang w:eastAsia="fr-FR"/>
        </w:rPr>
        <w:t>Ce document ou dossier est établi sur la base d'une analyse des risques liés aux travaux et visé par l'exploitant ou par une personne qu'il aura nommément désignée. Lorsque les travaux sont effectués par une entreprise extérieure, le document ou dossier est signé par l'exploitant et l'entreprise extérieure ou les personnes qu'ils auront nommément désignées.</w:t>
      </w:r>
    </w:p>
    <w:p w14:paraId="49CAADA5" w14:textId="77777777" w:rsidR="00563BA9" w:rsidRPr="00563BA9" w:rsidRDefault="00563BA9" w:rsidP="00563BA9">
      <w:pPr>
        <w:spacing w:after="0" w:line="240" w:lineRule="auto"/>
        <w:rPr>
          <w:rFonts w:eastAsia="Times New Roman" w:cs="Times New Roman"/>
          <w:szCs w:val="24"/>
          <w:lang w:eastAsia="fr-FR"/>
        </w:rPr>
      </w:pPr>
      <w:r w:rsidRPr="00563BA9">
        <w:rPr>
          <w:rFonts w:eastAsia="Times New Roman" w:cs="Times New Roman"/>
          <w:szCs w:val="24"/>
          <w:lang w:eastAsia="fr-FR"/>
        </w:rPr>
        <w:t>Le respect des dispositions précédentes peut être assuré par l'élaboration du plan de prévention défini aux articles R. 4512-6 et suivants du code du travail, lorsque ce plan est exigé.</w:t>
      </w:r>
    </w:p>
    <w:p w14:paraId="7F7465E2" w14:textId="77777777" w:rsidR="00563BA9" w:rsidRPr="00563BA9" w:rsidRDefault="00563BA9" w:rsidP="00563BA9">
      <w:pPr>
        <w:spacing w:after="0" w:line="240" w:lineRule="auto"/>
        <w:rPr>
          <w:rFonts w:eastAsia="Times New Roman" w:cs="Times New Roman"/>
          <w:szCs w:val="24"/>
          <w:lang w:eastAsia="fr-FR"/>
        </w:rPr>
      </w:pPr>
      <w:r w:rsidRPr="00563BA9">
        <w:rPr>
          <w:rFonts w:eastAsia="Times New Roman" w:cs="Times New Roman"/>
          <w:szCs w:val="24"/>
          <w:lang w:eastAsia="fr-FR"/>
        </w:rPr>
        <w:t>Dans les parties de l'installation présentant des risques d'incendie ou d'explosion, il est interdit d'apporter du feu sous une forme quelconque, sauf pour la réalisation de travaux ayant fait l'objet d'un document ou dossier spécifique conforme aux dispositions précédentes. Cette interdiction est affichée en caractères apparents.</w:t>
      </w:r>
    </w:p>
    <w:p w14:paraId="3D9B6A1A" w14:textId="18ADACE6" w:rsidR="00BE5956" w:rsidRDefault="00563BA9" w:rsidP="00563BA9">
      <w:pPr>
        <w:spacing w:after="0" w:line="240" w:lineRule="auto"/>
        <w:rPr>
          <w:rFonts w:eastAsia="Times New Roman" w:cs="Times New Roman"/>
          <w:szCs w:val="24"/>
          <w:lang w:eastAsia="fr-FR"/>
        </w:rPr>
      </w:pPr>
      <w:r w:rsidRPr="00563BA9">
        <w:rPr>
          <w:rFonts w:eastAsia="Times New Roman" w:cs="Times New Roman"/>
          <w:szCs w:val="24"/>
          <w:lang w:eastAsia="fr-FR"/>
        </w:rPr>
        <w:lastRenderedPageBreak/>
        <w:t>Après la fin des travaux et avant la reprise de l'activité, une vérification des travaux réalisés est effectuée par l'exploitant ou son représentant. Elle fait l'objet d'un enregistrement et est tenue à la disposition de l'inspection des installations classées.</w:t>
      </w:r>
    </w:p>
    <w:p w14:paraId="6EB11168" w14:textId="138AA25B" w:rsidR="00E72EF2" w:rsidRPr="00610FC6" w:rsidRDefault="00E72EF2" w:rsidP="00B9372D">
      <w:pPr>
        <w:spacing w:after="0" w:line="240" w:lineRule="auto"/>
        <w:rPr>
          <w:rFonts w:eastAsia="Times New Roman" w:cs="Times New Roman"/>
          <w:szCs w:val="24"/>
          <w:lang w:eastAsia="fr-FR"/>
        </w:rPr>
      </w:pPr>
    </w:p>
    <w:p w14:paraId="52EA6CE7" w14:textId="52D8807A" w:rsidR="00610FC6" w:rsidRDefault="00610FC6" w:rsidP="00564869">
      <w:pPr>
        <w:pStyle w:val="Titre1"/>
        <w:rPr>
          <w:rFonts w:eastAsia="Times New Roman"/>
          <w:lang w:eastAsia="fr-FR"/>
        </w:rPr>
      </w:pPr>
      <w:r w:rsidRPr="00F34802">
        <w:rPr>
          <w:rFonts w:eastAsia="Times New Roman"/>
          <w:lang w:eastAsia="fr-FR"/>
        </w:rPr>
        <w:t xml:space="preserve">DÉFENSE CONTRE L'INCENDIE </w:t>
      </w:r>
    </w:p>
    <w:p w14:paraId="6B334707" w14:textId="77777777" w:rsidR="00FD643E" w:rsidRPr="00F34802" w:rsidRDefault="00FD643E" w:rsidP="00FD643E">
      <w:pPr>
        <w:pStyle w:val="Titre2"/>
      </w:pPr>
      <w:r>
        <w:t>Défense contre l’incendie</w:t>
      </w:r>
    </w:p>
    <w:p w14:paraId="2938BC79" w14:textId="211D7A9E" w:rsidR="00FD643E" w:rsidRDefault="00FD643E" w:rsidP="001A1059">
      <w:pPr>
        <w:pStyle w:val="Titre3"/>
        <w:rPr>
          <w:rFonts w:cs="Times New Roman"/>
        </w:rPr>
      </w:pPr>
      <w:r>
        <w:rPr>
          <w:rFonts w:cs="Times New Roman"/>
        </w:rPr>
        <w:t xml:space="preserve">Les installations disposant de stockages en récipients mobiles soumis au présent </w:t>
      </w:r>
      <w:r w:rsidRPr="008D131A">
        <w:rPr>
          <w:rFonts w:cs="Times New Roman"/>
        </w:rPr>
        <w:t xml:space="preserve">arrêté et </w:t>
      </w:r>
      <w:r w:rsidR="00C731AE" w:rsidRPr="008D131A">
        <w:rPr>
          <w:rFonts w:cs="Times New Roman"/>
        </w:rPr>
        <w:t xml:space="preserve">de </w:t>
      </w:r>
      <w:r w:rsidRPr="008D131A">
        <w:rPr>
          <w:rFonts w:cs="Times New Roman"/>
        </w:rPr>
        <w:t>réservoirs fixes soumis à l’arrêté</w:t>
      </w:r>
      <w:r w:rsidR="00027669">
        <w:rPr>
          <w:rFonts w:cs="Times New Roman"/>
        </w:rPr>
        <w:t xml:space="preserve"> modifié </w:t>
      </w:r>
      <w:r w:rsidRPr="008D131A">
        <w:rPr>
          <w:rFonts w:cs="Times New Roman"/>
        </w:rPr>
        <w:t>du 3 octobre 2010 appliquent les dis</w:t>
      </w:r>
      <w:r w:rsidRPr="00CE3370">
        <w:rPr>
          <w:rFonts w:cs="Times New Roman"/>
        </w:rPr>
        <w:t>positions de l’article 43 de l’arrêté</w:t>
      </w:r>
      <w:r w:rsidR="00027669">
        <w:rPr>
          <w:rFonts w:cs="Times New Roman"/>
        </w:rPr>
        <w:t xml:space="preserve"> modifié</w:t>
      </w:r>
      <w:r w:rsidRPr="00CE3370">
        <w:rPr>
          <w:rFonts w:cs="Times New Roman"/>
        </w:rPr>
        <w:t xml:space="preserve"> du 3 octobre 2010 en lieu et place des dispositions du présent </w:t>
      </w:r>
      <w:r w:rsidR="00E86B6E">
        <w:rPr>
          <w:rFonts w:cs="Times New Roman"/>
        </w:rPr>
        <w:t>titre</w:t>
      </w:r>
      <w:r w:rsidRPr="008D131A">
        <w:rPr>
          <w:rFonts w:cs="Times New Roman"/>
        </w:rPr>
        <w:t>.</w:t>
      </w:r>
    </w:p>
    <w:p w14:paraId="00A33B36" w14:textId="77777777" w:rsidR="00FD643E" w:rsidRDefault="00FD643E" w:rsidP="00FD643E">
      <w:pPr>
        <w:spacing w:after="0" w:line="240" w:lineRule="auto"/>
        <w:rPr>
          <w:rFonts w:eastAsia="Times New Roman" w:cs="Times New Roman"/>
          <w:szCs w:val="24"/>
          <w:lang w:eastAsia="fr-FR"/>
        </w:rPr>
      </w:pPr>
    </w:p>
    <w:p w14:paraId="11234483" w14:textId="77777777" w:rsidR="00FD643E" w:rsidRPr="00610FC6" w:rsidRDefault="00FD643E" w:rsidP="00FD643E">
      <w:pPr>
        <w:pStyle w:val="Titre3"/>
        <w:rPr>
          <w:rFonts w:eastAsia="Times New Roman"/>
          <w:lang w:eastAsia="fr-FR"/>
        </w:rPr>
      </w:pPr>
      <w:r w:rsidRPr="00610FC6">
        <w:rPr>
          <w:rFonts w:eastAsia="Times New Roman"/>
          <w:lang w:eastAsia="fr-FR"/>
        </w:rPr>
        <w:t>Stratégie de lutte contre l'incendie.</w:t>
      </w:r>
    </w:p>
    <w:p w14:paraId="11080A6B" w14:textId="77777777" w:rsidR="00FD643E" w:rsidRPr="00610FC6" w:rsidRDefault="00FD643E" w:rsidP="00793531">
      <w:pPr>
        <w:spacing w:after="0" w:line="240" w:lineRule="auto"/>
        <w:ind w:left="454"/>
        <w:rPr>
          <w:rFonts w:eastAsia="Times New Roman" w:cs="Times New Roman"/>
          <w:szCs w:val="24"/>
          <w:lang w:eastAsia="fr-FR"/>
        </w:rPr>
      </w:pPr>
      <w:r w:rsidRPr="00610FC6">
        <w:rPr>
          <w:rFonts w:eastAsia="Times New Roman" w:cs="Times New Roman"/>
          <w:szCs w:val="24"/>
          <w:lang w:eastAsia="fr-FR"/>
        </w:rPr>
        <w:t xml:space="preserve">L'exploitant élabore une stratégie de lutte contre l'incendie pour faire face aux incendies susceptibles de se produire dans ses installations et pouvant porter atteinte, de façon directe ou indirecte, aux intérêts mentionnés à </w:t>
      </w:r>
      <w:hyperlink r:id="rId9" w:history="1">
        <w:r w:rsidRPr="00610FC6">
          <w:rPr>
            <w:rFonts w:eastAsia="Times New Roman" w:cs="Times New Roman"/>
            <w:color w:val="0000FF"/>
            <w:szCs w:val="24"/>
            <w:u w:val="single"/>
            <w:lang w:eastAsia="fr-FR"/>
          </w:rPr>
          <w:t xml:space="preserve">l'article L. 511-1 </w:t>
        </w:r>
      </w:hyperlink>
      <w:r w:rsidRPr="00610FC6">
        <w:rPr>
          <w:rFonts w:eastAsia="Times New Roman" w:cs="Times New Roman"/>
          <w:szCs w:val="24"/>
          <w:lang w:eastAsia="fr-FR"/>
        </w:rPr>
        <w:t>du code de l'environnement.</w:t>
      </w:r>
    </w:p>
    <w:p w14:paraId="7E65E721" w14:textId="1D596875" w:rsidR="005D0513" w:rsidRPr="003B456B" w:rsidRDefault="00FD643E" w:rsidP="00793531">
      <w:pPr>
        <w:spacing w:after="0" w:line="240" w:lineRule="auto"/>
        <w:ind w:left="454"/>
        <w:rPr>
          <w:rFonts w:eastAsia="Times New Roman" w:cs="Times New Roman"/>
          <w:szCs w:val="24"/>
          <w:lang w:eastAsia="fr-FR"/>
        </w:rPr>
      </w:pPr>
      <w:r w:rsidRPr="00610FC6">
        <w:rPr>
          <w:rFonts w:eastAsia="Times New Roman" w:cs="Times New Roman"/>
          <w:szCs w:val="24"/>
          <w:lang w:eastAsia="fr-FR"/>
        </w:rPr>
        <w:t xml:space="preserve">Dans le cadre de cette stratégie, l'exploitant s'assure de la disponibilité des moyens nécessaires à l'extinction de scénarios de référence calculés au regard du plus défavorable de chacun des scénarios </w:t>
      </w:r>
      <w:r w:rsidR="005D0513">
        <w:rPr>
          <w:rFonts w:eastAsia="Times New Roman" w:cs="Times New Roman"/>
          <w:szCs w:val="24"/>
          <w:lang w:eastAsia="fr-FR"/>
        </w:rPr>
        <w:t xml:space="preserve">définis au </w:t>
      </w:r>
      <w:r w:rsidR="005D0513" w:rsidRPr="00793531">
        <w:rPr>
          <w:rFonts w:eastAsia="Times New Roman" w:cs="Times New Roman"/>
          <w:szCs w:val="24"/>
          <w:highlight w:val="yellow"/>
          <w:lang w:eastAsia="fr-FR"/>
        </w:rPr>
        <w:t>I</w:t>
      </w:r>
      <w:r w:rsidR="00A95E52" w:rsidRPr="00793531">
        <w:rPr>
          <w:rFonts w:eastAsia="Times New Roman" w:cs="Times New Roman"/>
          <w:szCs w:val="24"/>
          <w:highlight w:val="yellow"/>
          <w:lang w:eastAsia="fr-FR"/>
        </w:rPr>
        <w:t>I</w:t>
      </w:r>
      <w:r w:rsidR="005D0513" w:rsidRPr="00793531">
        <w:rPr>
          <w:rFonts w:eastAsia="Times New Roman" w:cs="Times New Roman"/>
          <w:szCs w:val="24"/>
          <w:highlight w:val="yellow"/>
          <w:lang w:eastAsia="fr-FR"/>
        </w:rPr>
        <w:t>I</w:t>
      </w:r>
      <w:r w:rsidR="005D0513">
        <w:rPr>
          <w:rFonts w:eastAsia="Times New Roman" w:cs="Times New Roman"/>
          <w:szCs w:val="24"/>
          <w:lang w:eastAsia="fr-FR"/>
        </w:rPr>
        <w:t>. ci-dess</w:t>
      </w:r>
      <w:r w:rsidR="00591B66">
        <w:rPr>
          <w:rFonts w:eastAsia="Times New Roman" w:cs="Times New Roman"/>
          <w:szCs w:val="24"/>
          <w:lang w:eastAsia="fr-FR"/>
        </w:rPr>
        <w:t>o</w:t>
      </w:r>
      <w:r w:rsidR="00793531">
        <w:rPr>
          <w:rFonts w:eastAsia="Times New Roman" w:cs="Times New Roman"/>
          <w:szCs w:val="24"/>
          <w:lang w:eastAsia="fr-FR"/>
        </w:rPr>
        <w:t>us,</w:t>
      </w:r>
      <w:r w:rsidRPr="00610FC6">
        <w:rPr>
          <w:rFonts w:eastAsia="Times New Roman" w:cs="Times New Roman"/>
          <w:szCs w:val="24"/>
          <w:lang w:eastAsia="fr-FR"/>
        </w:rPr>
        <w:t xml:space="preserve"> pris individuellement</w:t>
      </w:r>
      <w:r>
        <w:rPr>
          <w:rFonts w:eastAsia="Times New Roman" w:cs="Times New Roman"/>
          <w:szCs w:val="24"/>
          <w:lang w:eastAsia="fr-FR"/>
        </w:rPr>
        <w:t xml:space="preserve">, </w:t>
      </w:r>
      <w:r w:rsidR="005D0513">
        <w:rPr>
          <w:rFonts w:eastAsia="Times New Roman" w:cs="Times New Roman"/>
          <w:szCs w:val="24"/>
          <w:lang w:eastAsia="fr-FR"/>
        </w:rPr>
        <w:t xml:space="preserve">et </w:t>
      </w:r>
      <w:r w:rsidR="005D0513" w:rsidRPr="003B456B">
        <w:rPr>
          <w:rFonts w:eastAsia="Times New Roman" w:cs="Times New Roman"/>
          <w:szCs w:val="24"/>
          <w:lang w:eastAsia="fr-FR"/>
        </w:rPr>
        <w:t>nécessitant les moyens les plus importants</w:t>
      </w:r>
      <w:r w:rsidR="005D0513">
        <w:rPr>
          <w:rFonts w:eastAsia="Times New Roman" w:cs="Times New Roman"/>
          <w:szCs w:val="24"/>
          <w:lang w:eastAsia="fr-FR"/>
        </w:rPr>
        <w:t>, que ce soit en eau, en émulseurs, en moyens humains ou moyens</w:t>
      </w:r>
      <w:r w:rsidR="00ED32FB">
        <w:rPr>
          <w:rFonts w:eastAsia="Times New Roman" w:cs="Times New Roman"/>
          <w:szCs w:val="24"/>
          <w:lang w:eastAsia="fr-FR"/>
        </w:rPr>
        <w:t xml:space="preserve"> de mise en </w:t>
      </w:r>
      <w:r w:rsidR="00793531">
        <w:rPr>
          <w:rFonts w:eastAsia="Times New Roman" w:cs="Times New Roman"/>
          <w:szCs w:val="24"/>
          <w:lang w:eastAsia="fr-FR"/>
        </w:rPr>
        <w:t>œuvre</w:t>
      </w:r>
      <w:r w:rsidR="005D0513">
        <w:rPr>
          <w:rFonts w:eastAsia="Times New Roman" w:cs="Times New Roman"/>
          <w:szCs w:val="24"/>
          <w:lang w:eastAsia="fr-FR"/>
        </w:rPr>
        <w:t>,</w:t>
      </w:r>
      <w:r w:rsidR="005D0513" w:rsidRPr="003B456B">
        <w:rPr>
          <w:rFonts w:eastAsia="Times New Roman" w:cs="Times New Roman"/>
          <w:szCs w:val="24"/>
          <w:lang w:eastAsia="fr-FR"/>
        </w:rPr>
        <w:t xml:space="preserve"> de par :</w:t>
      </w:r>
    </w:p>
    <w:p w14:paraId="2660C9C9" w14:textId="46999925" w:rsidR="005D0513" w:rsidRDefault="005D0513" w:rsidP="005D0513">
      <w:pPr>
        <w:pStyle w:val="Paragraphedeliste"/>
        <w:numPr>
          <w:ilvl w:val="0"/>
          <w:numId w:val="22"/>
        </w:numPr>
        <w:spacing w:after="0" w:line="240" w:lineRule="auto"/>
        <w:rPr>
          <w:rFonts w:eastAsia="Times New Roman" w:cs="Times New Roman"/>
          <w:szCs w:val="24"/>
          <w:lang w:eastAsia="fr-FR"/>
        </w:rPr>
      </w:pPr>
      <w:r w:rsidRPr="003B456B">
        <w:rPr>
          <w:rFonts w:eastAsia="Times New Roman" w:cs="Times New Roman"/>
          <w:szCs w:val="24"/>
          <w:lang w:eastAsia="fr-FR"/>
        </w:rPr>
        <w:t>la nature et la quantité des liquides inflammables</w:t>
      </w:r>
      <w:r>
        <w:rPr>
          <w:rFonts w:eastAsia="Times New Roman" w:cs="Times New Roman"/>
          <w:szCs w:val="24"/>
          <w:lang w:eastAsia="fr-FR"/>
        </w:rPr>
        <w:t xml:space="preserve"> </w:t>
      </w:r>
      <w:r w:rsidRPr="00CE3370">
        <w:rPr>
          <w:rFonts w:eastAsia="Times New Roman" w:cs="Times New Roman"/>
          <w:szCs w:val="24"/>
          <w:lang w:eastAsia="fr-FR"/>
        </w:rPr>
        <w:t xml:space="preserve">et </w:t>
      </w:r>
      <w:r w:rsidR="00E674B3">
        <w:rPr>
          <w:rFonts w:eastAsia="Times New Roman" w:cs="Times New Roman"/>
          <w:szCs w:val="24"/>
          <w:lang w:eastAsia="fr-FR"/>
        </w:rPr>
        <w:t>liquides et solides liquéfiables combustibles</w:t>
      </w:r>
      <w:r>
        <w:rPr>
          <w:rFonts w:eastAsia="Times New Roman" w:cs="Times New Roman"/>
          <w:szCs w:val="24"/>
          <w:lang w:eastAsia="fr-FR"/>
        </w:rPr>
        <w:t xml:space="preserve"> </w:t>
      </w:r>
      <w:r w:rsidRPr="008D131A">
        <w:rPr>
          <w:rFonts w:eastAsia="Times New Roman" w:cs="Times New Roman"/>
          <w:szCs w:val="24"/>
          <w:lang w:eastAsia="fr-FR"/>
        </w:rPr>
        <w:t xml:space="preserve"> stockés ;</w:t>
      </w:r>
    </w:p>
    <w:p w14:paraId="6A29F3F7" w14:textId="7A4DD7BE" w:rsidR="005D0513" w:rsidRDefault="005D0513" w:rsidP="005D0513">
      <w:pPr>
        <w:pStyle w:val="Paragraphedeliste"/>
        <w:numPr>
          <w:ilvl w:val="0"/>
          <w:numId w:val="22"/>
        </w:numPr>
        <w:spacing w:after="0" w:line="240" w:lineRule="auto"/>
        <w:rPr>
          <w:rFonts w:eastAsia="Times New Roman" w:cs="Times New Roman"/>
          <w:szCs w:val="24"/>
          <w:lang w:eastAsia="fr-FR"/>
        </w:rPr>
      </w:pPr>
      <w:r>
        <w:rPr>
          <w:rFonts w:eastAsia="Times New Roman" w:cs="Times New Roman"/>
          <w:szCs w:val="24"/>
          <w:lang w:eastAsia="fr-FR"/>
        </w:rPr>
        <w:t>la configuration des stockages (stockage en masse, en rack, etc..) ainsi que la surface associée susceptible d’être en feu (feu de nappe) ;</w:t>
      </w:r>
    </w:p>
    <w:p w14:paraId="668143AA" w14:textId="77777777" w:rsidR="005D0513" w:rsidRPr="003B456B" w:rsidRDefault="005D0513" w:rsidP="005D0513">
      <w:pPr>
        <w:pStyle w:val="Paragraphedeliste"/>
        <w:numPr>
          <w:ilvl w:val="0"/>
          <w:numId w:val="22"/>
        </w:numPr>
        <w:spacing w:after="0" w:line="240" w:lineRule="auto"/>
        <w:rPr>
          <w:rFonts w:eastAsia="Times New Roman" w:cs="Times New Roman"/>
          <w:szCs w:val="24"/>
          <w:lang w:eastAsia="fr-FR"/>
        </w:rPr>
      </w:pPr>
      <w:r w:rsidRPr="003B456B">
        <w:rPr>
          <w:rFonts w:eastAsia="Times New Roman" w:cs="Times New Roman"/>
          <w:szCs w:val="24"/>
          <w:lang w:eastAsia="fr-FR"/>
        </w:rPr>
        <w:t>la surface, l'emplacement et l'encombrement en équipements de l'installation.</w:t>
      </w:r>
    </w:p>
    <w:p w14:paraId="592CDB75" w14:textId="45CCAB95" w:rsidR="00793531" w:rsidRDefault="00793531" w:rsidP="00FD643E">
      <w:pPr>
        <w:spacing w:after="0" w:line="240" w:lineRule="auto"/>
        <w:rPr>
          <w:rFonts w:eastAsia="Times New Roman" w:cs="Times New Roman"/>
          <w:szCs w:val="24"/>
          <w:lang w:eastAsia="fr-FR"/>
        </w:rPr>
      </w:pPr>
    </w:p>
    <w:p w14:paraId="084902C0" w14:textId="77777777" w:rsidR="00793531" w:rsidRPr="00793531" w:rsidRDefault="005D0513" w:rsidP="00793531">
      <w:pPr>
        <w:pStyle w:val="Titre3"/>
        <w:rPr>
          <w:rFonts w:eastAsia="Times New Roman" w:cs="Times New Roman"/>
          <w:lang w:eastAsia="fr-FR"/>
        </w:rPr>
      </w:pPr>
      <w:r w:rsidRPr="00793531">
        <w:rPr>
          <w:rFonts w:eastAsia="Times New Roman"/>
          <w:lang w:eastAsia="fr-FR"/>
        </w:rPr>
        <w:t xml:space="preserve">Scénarios de référence : </w:t>
      </w:r>
    </w:p>
    <w:p w14:paraId="5FDC4DED" w14:textId="5996C679" w:rsidR="005D0513" w:rsidRPr="00793531" w:rsidRDefault="005D0513" w:rsidP="00793531">
      <w:pPr>
        <w:pStyle w:val="Paragraphedeliste"/>
        <w:numPr>
          <w:ilvl w:val="0"/>
          <w:numId w:val="21"/>
        </w:numPr>
        <w:spacing w:after="0" w:line="240" w:lineRule="auto"/>
        <w:rPr>
          <w:rFonts w:eastAsia="Times New Roman" w:cs="Times New Roman"/>
          <w:szCs w:val="24"/>
          <w:lang w:eastAsia="fr-FR"/>
        </w:rPr>
      </w:pPr>
      <w:r w:rsidRPr="00793531">
        <w:rPr>
          <w:rFonts w:eastAsia="Times New Roman" w:cs="Times New Roman"/>
          <w:szCs w:val="24"/>
          <w:lang w:eastAsia="fr-FR"/>
        </w:rPr>
        <w:t>Feu de récipients mobiles de liquides inflammables en stockage extérieur ;</w:t>
      </w:r>
    </w:p>
    <w:p w14:paraId="1D977116" w14:textId="291F627B" w:rsidR="005D0513" w:rsidRDefault="005D0513" w:rsidP="00FD643E">
      <w:pPr>
        <w:pStyle w:val="Paragraphedeliste"/>
        <w:numPr>
          <w:ilvl w:val="0"/>
          <w:numId w:val="21"/>
        </w:numPr>
        <w:spacing w:after="0" w:line="240" w:lineRule="auto"/>
        <w:rPr>
          <w:rFonts w:eastAsia="Times New Roman" w:cs="Times New Roman"/>
          <w:szCs w:val="24"/>
          <w:lang w:eastAsia="fr-FR"/>
        </w:rPr>
      </w:pPr>
      <w:r>
        <w:rPr>
          <w:rFonts w:eastAsia="Times New Roman" w:cs="Times New Roman"/>
          <w:szCs w:val="24"/>
          <w:lang w:eastAsia="fr-FR"/>
        </w:rPr>
        <w:t xml:space="preserve">Feu de récipients mobiles de </w:t>
      </w:r>
      <w:r w:rsidR="00E674B3">
        <w:rPr>
          <w:rFonts w:eastAsia="Times New Roman" w:cs="Times New Roman"/>
          <w:szCs w:val="24"/>
          <w:lang w:eastAsia="fr-FR"/>
        </w:rPr>
        <w:t>liquides et solides liquéfiables combustibles</w:t>
      </w:r>
      <w:r>
        <w:rPr>
          <w:rFonts w:eastAsia="Times New Roman" w:cs="Times New Roman"/>
          <w:szCs w:val="24"/>
          <w:lang w:eastAsia="fr-FR"/>
        </w:rPr>
        <w:t xml:space="preserve"> en stockage extérieur ;</w:t>
      </w:r>
    </w:p>
    <w:p w14:paraId="65ED1BDD" w14:textId="688DA019" w:rsidR="005D0513" w:rsidRDefault="005D0513" w:rsidP="005D0513">
      <w:pPr>
        <w:pStyle w:val="Paragraphedeliste"/>
        <w:numPr>
          <w:ilvl w:val="0"/>
          <w:numId w:val="21"/>
        </w:numPr>
        <w:spacing w:after="0" w:line="240" w:lineRule="auto"/>
        <w:rPr>
          <w:rFonts w:eastAsia="Times New Roman" w:cs="Times New Roman"/>
          <w:szCs w:val="24"/>
          <w:lang w:eastAsia="fr-FR"/>
        </w:rPr>
      </w:pPr>
      <w:r>
        <w:rPr>
          <w:rFonts w:eastAsia="Times New Roman" w:cs="Times New Roman"/>
          <w:szCs w:val="24"/>
          <w:lang w:eastAsia="fr-FR"/>
        </w:rPr>
        <w:t>Feu de récipients mobiles de liquides inflammables en stockage couvert ;</w:t>
      </w:r>
    </w:p>
    <w:p w14:paraId="5452CE77" w14:textId="7592E150" w:rsidR="005D0513" w:rsidRDefault="005D0513" w:rsidP="005D0513">
      <w:pPr>
        <w:pStyle w:val="Paragraphedeliste"/>
        <w:numPr>
          <w:ilvl w:val="0"/>
          <w:numId w:val="21"/>
        </w:numPr>
        <w:spacing w:after="0" w:line="240" w:lineRule="auto"/>
        <w:rPr>
          <w:rFonts w:eastAsia="Times New Roman" w:cs="Times New Roman"/>
          <w:szCs w:val="24"/>
          <w:lang w:eastAsia="fr-FR"/>
        </w:rPr>
      </w:pPr>
      <w:r>
        <w:rPr>
          <w:rFonts w:eastAsia="Times New Roman" w:cs="Times New Roman"/>
          <w:szCs w:val="24"/>
          <w:lang w:eastAsia="fr-FR"/>
        </w:rPr>
        <w:t xml:space="preserve">Feu de récipients mobiles de </w:t>
      </w:r>
      <w:r w:rsidR="00E674B3">
        <w:rPr>
          <w:rFonts w:eastAsia="Times New Roman" w:cs="Times New Roman"/>
          <w:szCs w:val="24"/>
          <w:lang w:eastAsia="fr-FR"/>
        </w:rPr>
        <w:t>liquides et solides liquéfiables combustibles</w:t>
      </w:r>
      <w:r>
        <w:rPr>
          <w:rFonts w:eastAsia="Times New Roman" w:cs="Times New Roman"/>
          <w:szCs w:val="24"/>
          <w:lang w:eastAsia="fr-FR"/>
        </w:rPr>
        <w:t xml:space="preserve"> en stockage couvert ;</w:t>
      </w:r>
    </w:p>
    <w:p w14:paraId="62CE3E05" w14:textId="77777777" w:rsidR="00FD643E" w:rsidRDefault="00FD643E" w:rsidP="00FD643E">
      <w:pPr>
        <w:pStyle w:val="Paragraphedeliste"/>
        <w:numPr>
          <w:ilvl w:val="0"/>
          <w:numId w:val="21"/>
        </w:numPr>
        <w:spacing w:after="0" w:line="240" w:lineRule="auto"/>
        <w:rPr>
          <w:rFonts w:eastAsia="Times New Roman" w:cs="Times New Roman"/>
          <w:szCs w:val="24"/>
          <w:lang w:eastAsia="fr-FR"/>
        </w:rPr>
      </w:pPr>
      <w:r w:rsidRPr="003B456B">
        <w:rPr>
          <w:rFonts w:eastAsia="Times New Roman" w:cs="Times New Roman"/>
          <w:szCs w:val="24"/>
          <w:lang w:eastAsia="fr-FR"/>
        </w:rPr>
        <w:t>feu d'engin de transport (principalement les camions),</w:t>
      </w:r>
    </w:p>
    <w:p w14:paraId="2698EE2C" w14:textId="5611E57A" w:rsidR="005D0513" w:rsidRDefault="005D0513" w:rsidP="00FD643E">
      <w:pPr>
        <w:spacing w:after="0" w:line="240" w:lineRule="auto"/>
        <w:rPr>
          <w:rFonts w:eastAsia="Times New Roman" w:cs="Times New Roman"/>
          <w:szCs w:val="24"/>
          <w:lang w:eastAsia="fr-FR"/>
        </w:rPr>
      </w:pPr>
    </w:p>
    <w:p w14:paraId="1DB43221" w14:textId="0FF8D960" w:rsidR="00FD643E" w:rsidRPr="00610FC6" w:rsidRDefault="002429CC" w:rsidP="00D435F9">
      <w:pPr>
        <w:pStyle w:val="Titre3"/>
        <w:rPr>
          <w:rFonts w:eastAsia="Times New Roman"/>
          <w:lang w:eastAsia="fr-FR"/>
        </w:rPr>
      </w:pPr>
      <w:r>
        <w:rPr>
          <w:rFonts w:eastAsia="Times New Roman"/>
          <w:lang w:eastAsia="fr-FR"/>
        </w:rPr>
        <w:t xml:space="preserve"> </w:t>
      </w:r>
      <w:r w:rsidR="00FD643E" w:rsidRPr="00610FC6">
        <w:rPr>
          <w:rFonts w:eastAsia="Times New Roman"/>
          <w:lang w:eastAsia="fr-FR"/>
        </w:rPr>
        <w:t xml:space="preserve">La stratégie est dimensionnée pour une extinction des incendies des scénarios de référence définis aux alinéas précédents en moins de trois heures après le </w:t>
      </w:r>
      <w:r w:rsidR="00966A00">
        <w:rPr>
          <w:rFonts w:eastAsia="Times New Roman"/>
          <w:lang w:eastAsia="fr-FR"/>
        </w:rPr>
        <w:t>départ de feu</w:t>
      </w:r>
      <w:r w:rsidR="00FD643E">
        <w:rPr>
          <w:rFonts w:eastAsia="Times New Roman"/>
          <w:lang w:eastAsia="fr-FR"/>
        </w:rPr>
        <w:t xml:space="preserve">, pour les stockages extérieurs, et </w:t>
      </w:r>
      <w:r w:rsidR="00FD643E" w:rsidRPr="003B456B">
        <w:rPr>
          <w:rFonts w:eastAsia="Times New Roman"/>
          <w:lang w:eastAsia="fr-FR"/>
        </w:rPr>
        <w:t xml:space="preserve">dans un délai maximal après le </w:t>
      </w:r>
      <w:r w:rsidR="00966A00">
        <w:rPr>
          <w:rFonts w:eastAsia="Times New Roman"/>
          <w:lang w:eastAsia="fr-FR"/>
        </w:rPr>
        <w:t>départ de feu</w:t>
      </w:r>
      <w:r w:rsidR="00FD643E" w:rsidRPr="003B456B">
        <w:rPr>
          <w:rFonts w:eastAsia="Times New Roman"/>
          <w:lang w:eastAsia="fr-FR"/>
        </w:rPr>
        <w:t xml:space="preserve"> équivalent au degré de résistance au feu des murs séparatifs</w:t>
      </w:r>
      <w:r w:rsidR="00FD643E">
        <w:rPr>
          <w:rFonts w:eastAsia="Times New Roman"/>
          <w:lang w:eastAsia="fr-FR"/>
        </w:rPr>
        <w:t xml:space="preserve">, pour les stockages </w:t>
      </w:r>
      <w:r w:rsidR="00604D4E">
        <w:rPr>
          <w:rFonts w:eastAsia="Times New Roman"/>
          <w:lang w:eastAsia="fr-FR"/>
        </w:rPr>
        <w:t>couverts</w:t>
      </w:r>
      <w:r w:rsidR="00FD643E" w:rsidRPr="00610FC6">
        <w:rPr>
          <w:rFonts w:eastAsia="Times New Roman"/>
          <w:lang w:eastAsia="fr-FR"/>
        </w:rPr>
        <w:t>.</w:t>
      </w:r>
    </w:p>
    <w:p w14:paraId="24F3DD07" w14:textId="77777777" w:rsidR="00FD643E" w:rsidRPr="00610FC6" w:rsidRDefault="00FD643E" w:rsidP="00793531">
      <w:pPr>
        <w:spacing w:after="0" w:line="240" w:lineRule="auto"/>
        <w:ind w:firstLine="454"/>
        <w:rPr>
          <w:rFonts w:eastAsia="Times New Roman" w:cs="Times New Roman"/>
          <w:szCs w:val="24"/>
          <w:lang w:eastAsia="fr-FR"/>
        </w:rPr>
      </w:pPr>
      <w:r w:rsidRPr="00610FC6">
        <w:rPr>
          <w:rFonts w:eastAsia="Times New Roman" w:cs="Times New Roman"/>
          <w:szCs w:val="24"/>
          <w:lang w:eastAsia="fr-FR"/>
        </w:rPr>
        <w:t>Cette stratégie est formalisée dans un plan de défense incendie. Ce plan comprend :</w:t>
      </w:r>
    </w:p>
    <w:p w14:paraId="3A73227F" w14:textId="77777777" w:rsidR="00FD643E" w:rsidRDefault="00FD643E" w:rsidP="00FD643E">
      <w:pPr>
        <w:pStyle w:val="Paragraphedeliste"/>
        <w:numPr>
          <w:ilvl w:val="0"/>
          <w:numId w:val="20"/>
        </w:numPr>
        <w:spacing w:after="0" w:line="240" w:lineRule="auto"/>
        <w:rPr>
          <w:rFonts w:eastAsia="Times New Roman" w:cs="Times New Roman"/>
          <w:szCs w:val="24"/>
          <w:lang w:eastAsia="fr-FR"/>
        </w:rPr>
      </w:pPr>
      <w:r w:rsidRPr="00F12A4A">
        <w:rPr>
          <w:rFonts w:eastAsia="Times New Roman" w:cs="Times New Roman"/>
          <w:szCs w:val="24"/>
          <w:lang w:eastAsia="fr-FR"/>
        </w:rPr>
        <w:t xml:space="preserve">les procédures organisationnelles associées à la stratégie de lutte contre l'incendie. Cette partie peut être incluse dans le plan d'opération interne prévu par </w:t>
      </w:r>
      <w:r>
        <w:rPr>
          <w:rFonts w:eastAsia="Times New Roman" w:cs="Times New Roman"/>
          <w:color w:val="0000FF"/>
          <w:szCs w:val="24"/>
          <w:u w:val="single"/>
          <w:lang w:eastAsia="fr-FR"/>
        </w:rPr>
        <w:t>l'article R. 181-54</w:t>
      </w:r>
      <w:r w:rsidRPr="00F12A4A">
        <w:rPr>
          <w:rFonts w:eastAsia="Times New Roman" w:cs="Times New Roman"/>
          <w:szCs w:val="24"/>
          <w:lang w:eastAsia="fr-FR"/>
        </w:rPr>
        <w:t xml:space="preserve"> du code de l'environnement, lorsque l'exploitant est soumis à l'obligation d'établir un tel document ;</w:t>
      </w:r>
    </w:p>
    <w:p w14:paraId="6DFF2A84" w14:textId="77777777" w:rsidR="00FD643E" w:rsidRPr="00F12A4A" w:rsidRDefault="00FD643E" w:rsidP="00FD643E">
      <w:pPr>
        <w:pStyle w:val="Paragraphedeliste"/>
        <w:numPr>
          <w:ilvl w:val="0"/>
          <w:numId w:val="20"/>
        </w:numPr>
        <w:spacing w:after="0" w:line="240" w:lineRule="auto"/>
        <w:rPr>
          <w:rFonts w:eastAsia="Times New Roman" w:cs="Times New Roman"/>
          <w:szCs w:val="24"/>
          <w:lang w:eastAsia="fr-FR"/>
        </w:rPr>
      </w:pPr>
      <w:r w:rsidRPr="00F12A4A">
        <w:rPr>
          <w:rFonts w:eastAsia="Times New Roman" w:cs="Times New Roman"/>
          <w:szCs w:val="24"/>
          <w:lang w:eastAsia="fr-FR"/>
        </w:rPr>
        <w:lastRenderedPageBreak/>
        <w:t>les démonstrations de la disponibilité et de l'adéquation des moyens de lutte contre l'incendie vis-à-vis de la stratégie définie, demandées</w:t>
      </w:r>
      <w:r>
        <w:rPr>
          <w:rFonts w:eastAsia="Times New Roman" w:cs="Times New Roman"/>
          <w:szCs w:val="24"/>
          <w:lang w:eastAsia="fr-FR"/>
        </w:rPr>
        <w:t xml:space="preserve"> à l’</w:t>
      </w:r>
      <w:r w:rsidRPr="00BD2650">
        <w:rPr>
          <w:rFonts w:eastAsia="Times New Roman" w:cs="Times New Roman"/>
          <w:szCs w:val="24"/>
          <w:highlight w:val="yellow"/>
          <w:lang w:eastAsia="fr-FR"/>
        </w:rPr>
        <w:t>article VI-2</w:t>
      </w:r>
      <w:r w:rsidRPr="00F12A4A">
        <w:rPr>
          <w:rFonts w:eastAsia="Times New Roman" w:cs="Times New Roman"/>
          <w:szCs w:val="24"/>
          <w:lang w:eastAsia="fr-FR"/>
        </w:rPr>
        <w:t>. Cette partie peut être incluse dans l'étude de dangers du site ou dans le plan d'opération interne de l'établissement lorsque l'exploitant est soumis à l'obligation d'établir un tel document.</w:t>
      </w:r>
    </w:p>
    <w:p w14:paraId="710EF59F" w14:textId="77777777" w:rsidR="00FD643E" w:rsidRDefault="00FD643E" w:rsidP="00FD643E">
      <w:pPr>
        <w:spacing w:after="0" w:line="240" w:lineRule="auto"/>
        <w:rPr>
          <w:rFonts w:eastAsia="Times New Roman" w:cs="Times New Roman"/>
          <w:szCs w:val="24"/>
          <w:lang w:eastAsia="fr-FR"/>
        </w:rPr>
      </w:pPr>
    </w:p>
    <w:p w14:paraId="65F1D5B6" w14:textId="77777777" w:rsidR="00FD643E" w:rsidRDefault="00FD643E" w:rsidP="00FD643E">
      <w:pPr>
        <w:spacing w:after="0" w:line="240" w:lineRule="auto"/>
        <w:rPr>
          <w:rFonts w:eastAsia="Times New Roman" w:cs="Times New Roman"/>
          <w:szCs w:val="24"/>
          <w:lang w:eastAsia="fr-FR"/>
        </w:rPr>
      </w:pPr>
    </w:p>
    <w:p w14:paraId="09A09830" w14:textId="77777777" w:rsidR="00FD643E" w:rsidRPr="00610FC6" w:rsidRDefault="00FD643E" w:rsidP="00FD643E">
      <w:pPr>
        <w:pStyle w:val="Titre2"/>
      </w:pPr>
      <w:r w:rsidRPr="00610FC6">
        <w:t>Moyens en équipements et en personnel.</w:t>
      </w:r>
    </w:p>
    <w:p w14:paraId="70FB2095" w14:textId="1B0E2032" w:rsidR="00FD643E" w:rsidRDefault="00FD643E" w:rsidP="00FD643E">
      <w:pPr>
        <w:pStyle w:val="Titre3"/>
        <w:rPr>
          <w:rFonts w:eastAsia="Times New Roman"/>
          <w:lang w:eastAsia="fr-FR"/>
        </w:rPr>
      </w:pPr>
      <w:r w:rsidRPr="00610FC6">
        <w:rPr>
          <w:rFonts w:eastAsia="Times New Roman"/>
          <w:lang w:eastAsia="fr-FR"/>
        </w:rPr>
        <w:t xml:space="preserve">Afin d'atteindre les </w:t>
      </w:r>
      <w:r>
        <w:rPr>
          <w:rFonts w:eastAsia="Times New Roman"/>
          <w:lang w:eastAsia="fr-FR"/>
        </w:rPr>
        <w:t>o</w:t>
      </w:r>
      <w:r w:rsidR="006803B0">
        <w:rPr>
          <w:rFonts w:eastAsia="Times New Roman"/>
          <w:lang w:eastAsia="fr-FR"/>
        </w:rPr>
        <w:t xml:space="preserve">bjectifs définis à </w:t>
      </w:r>
      <w:r w:rsidR="006803B0" w:rsidRPr="00250443">
        <w:rPr>
          <w:rFonts w:eastAsia="Times New Roman"/>
          <w:highlight w:val="yellow"/>
          <w:lang w:eastAsia="fr-FR"/>
        </w:rPr>
        <w:t>l'article VI-</w:t>
      </w:r>
      <w:r>
        <w:rPr>
          <w:rFonts w:eastAsia="Times New Roman"/>
          <w:lang w:eastAsia="fr-FR"/>
        </w:rPr>
        <w:t>1</w:t>
      </w:r>
      <w:r w:rsidRPr="00610FC6">
        <w:rPr>
          <w:rFonts w:eastAsia="Times New Roman"/>
          <w:lang w:eastAsia="fr-FR"/>
        </w:rPr>
        <w:t xml:space="preserve"> du présent arrêté, l'exploitant dispose de moyens de lutte contre l'incendie qui lui sont propres et qui peuvent être complétés par des protocoles d'aide mutuelle</w:t>
      </w:r>
      <w:r w:rsidR="00447583">
        <w:rPr>
          <w:rFonts w:eastAsia="Times New Roman"/>
          <w:lang w:eastAsia="fr-FR"/>
        </w:rPr>
        <w:t xml:space="preserve"> ou</w:t>
      </w:r>
      <w:r w:rsidRPr="00610FC6">
        <w:rPr>
          <w:rFonts w:eastAsia="Times New Roman"/>
          <w:lang w:eastAsia="fr-FR"/>
        </w:rPr>
        <w:t xml:space="preserve"> des conventions. </w:t>
      </w:r>
    </w:p>
    <w:p w14:paraId="10664FB8" w14:textId="6817AD43" w:rsidR="003A7E53" w:rsidRDefault="003A7E53" w:rsidP="00793531">
      <w:pPr>
        <w:spacing w:after="0" w:line="240" w:lineRule="auto"/>
        <w:ind w:left="454"/>
        <w:rPr>
          <w:rFonts w:eastAsia="Times New Roman" w:cs="Times New Roman"/>
          <w:szCs w:val="24"/>
          <w:lang w:eastAsia="fr-FR"/>
        </w:rPr>
      </w:pPr>
      <w:r>
        <w:rPr>
          <w:rFonts w:eastAsia="Times New Roman" w:cs="Times New Roman"/>
          <w:szCs w:val="24"/>
          <w:lang w:eastAsia="fr-FR"/>
        </w:rPr>
        <w:t>Le pr</w:t>
      </w:r>
      <w:r w:rsidR="00B618C6">
        <w:rPr>
          <w:rFonts w:eastAsia="Times New Roman" w:cs="Times New Roman"/>
          <w:szCs w:val="24"/>
          <w:lang w:eastAsia="fr-FR"/>
        </w:rPr>
        <w:t xml:space="preserve">éfet peut autoriser des dispositions alternatives </w:t>
      </w:r>
      <w:r>
        <w:rPr>
          <w:rFonts w:eastAsia="Times New Roman" w:cs="Times New Roman"/>
          <w:szCs w:val="24"/>
          <w:lang w:eastAsia="fr-FR"/>
        </w:rPr>
        <w:t>par arrêté préfectoral après avis des services d’incendie et de secours.</w:t>
      </w:r>
      <w:r w:rsidR="00FB5EFE">
        <w:rPr>
          <w:rFonts w:eastAsia="Times New Roman" w:cs="Times New Roman"/>
          <w:szCs w:val="24"/>
          <w:lang w:eastAsia="fr-FR"/>
        </w:rPr>
        <w:t xml:space="preserve"> </w:t>
      </w:r>
      <w:r w:rsidR="00FB5EFE" w:rsidRPr="00FB5EFE">
        <w:rPr>
          <w:rFonts w:eastAsia="Times New Roman" w:cs="Times New Roman"/>
          <w:szCs w:val="24"/>
          <w:lang w:eastAsia="fr-FR"/>
        </w:rPr>
        <w:t>En cas de recours aux moyens des services d'incendie et de secours,</w:t>
      </w:r>
      <w:r w:rsidR="00FB5EFE">
        <w:rPr>
          <w:rFonts w:eastAsia="Times New Roman" w:cs="Times New Roman"/>
          <w:szCs w:val="24"/>
          <w:lang w:eastAsia="fr-FR"/>
        </w:rPr>
        <w:t xml:space="preserve"> </w:t>
      </w:r>
      <w:r w:rsidR="00FB5EFE" w:rsidRPr="00FB5EFE">
        <w:rPr>
          <w:rFonts w:eastAsia="Times New Roman" w:cs="Times New Roman"/>
          <w:szCs w:val="24"/>
          <w:lang w:eastAsia="fr-FR"/>
        </w:rPr>
        <w:t xml:space="preserve">les taux d'application d'extinction et les durées pour les stratégies de lutte contre l'incendie sont </w:t>
      </w:r>
      <w:r w:rsidR="00447583">
        <w:rPr>
          <w:rFonts w:eastAsia="Times New Roman" w:cs="Times New Roman"/>
          <w:szCs w:val="24"/>
          <w:lang w:eastAsia="fr-FR"/>
        </w:rPr>
        <w:t>soumis à l’accord d</w:t>
      </w:r>
      <w:r w:rsidR="00FB5EFE" w:rsidRPr="00FB5EFE">
        <w:rPr>
          <w:rFonts w:eastAsia="Times New Roman" w:cs="Times New Roman"/>
          <w:szCs w:val="24"/>
          <w:lang w:eastAsia="fr-FR"/>
        </w:rPr>
        <w:t>es services d'incendie et de secours</w:t>
      </w:r>
      <w:r w:rsidR="00FB5EFE">
        <w:rPr>
          <w:rFonts w:eastAsia="Times New Roman" w:cs="Times New Roman"/>
          <w:szCs w:val="24"/>
          <w:lang w:eastAsia="fr-FR"/>
        </w:rPr>
        <w:t>.</w:t>
      </w:r>
    </w:p>
    <w:p w14:paraId="5718FBEA" w14:textId="77777777" w:rsidR="003A7E53" w:rsidRDefault="003A7E53" w:rsidP="00FD643E">
      <w:pPr>
        <w:spacing w:after="0" w:line="240" w:lineRule="auto"/>
        <w:rPr>
          <w:rFonts w:eastAsia="Times New Roman" w:cs="Times New Roman"/>
          <w:szCs w:val="24"/>
          <w:lang w:eastAsia="fr-FR"/>
        </w:rPr>
      </w:pPr>
    </w:p>
    <w:p w14:paraId="6D1DE857" w14:textId="513E1E30" w:rsidR="00FD643E" w:rsidRPr="00774D5E" w:rsidRDefault="00FD643E" w:rsidP="00793531">
      <w:pPr>
        <w:spacing w:after="0" w:line="240" w:lineRule="auto"/>
        <w:ind w:left="454"/>
        <w:rPr>
          <w:rFonts w:eastAsia="Times New Roman" w:cs="Times New Roman"/>
          <w:szCs w:val="24"/>
          <w:lang w:eastAsia="fr-FR"/>
        </w:rPr>
      </w:pPr>
      <w:r w:rsidRPr="00774D5E">
        <w:rPr>
          <w:rFonts w:eastAsia="Times New Roman" w:cs="Times New Roman"/>
          <w:szCs w:val="24"/>
          <w:lang w:eastAsia="fr-FR"/>
        </w:rPr>
        <w:t>Les moyens fixes sont composés des moyens d'extinction et de refroidissement, quand ces derniers existent. Les moyens humains comprennent le personnel de première intervention, quand ce personnel est prévu, et le personnel de surveillance dans le cas d'une présence permanente sur site, telle que prévue à l'a</w:t>
      </w:r>
      <w:r>
        <w:rPr>
          <w:rFonts w:eastAsia="Times New Roman" w:cs="Times New Roman"/>
          <w:szCs w:val="24"/>
          <w:highlight w:val="yellow"/>
          <w:lang w:eastAsia="fr-FR"/>
        </w:rPr>
        <w:t>rticle IV-5</w:t>
      </w:r>
      <w:r w:rsidRPr="00774D5E">
        <w:rPr>
          <w:rFonts w:eastAsia="Times New Roman" w:cs="Times New Roman"/>
          <w:szCs w:val="24"/>
          <w:lang w:eastAsia="fr-FR"/>
        </w:rPr>
        <w:t xml:space="preserve"> du présent arrêté.</w:t>
      </w:r>
    </w:p>
    <w:p w14:paraId="2F674752" w14:textId="223F7BA7" w:rsidR="00FD643E" w:rsidRDefault="00FD643E" w:rsidP="00793531">
      <w:pPr>
        <w:spacing w:after="0" w:line="240" w:lineRule="auto"/>
        <w:ind w:left="454"/>
        <w:rPr>
          <w:rFonts w:eastAsia="Times New Roman" w:cs="Times New Roman"/>
          <w:szCs w:val="24"/>
          <w:lang w:eastAsia="fr-FR"/>
        </w:rPr>
      </w:pPr>
      <w:r>
        <w:rPr>
          <w:rFonts w:eastAsia="Times New Roman" w:cs="Times New Roman"/>
          <w:szCs w:val="24"/>
          <w:lang w:eastAsia="fr-FR"/>
        </w:rPr>
        <w:t xml:space="preserve">Les protocoles d’aide mutuelle ou convention précisent les moyens ainsi que les délais auxquels s’engagent les parties impliquées, notamment : nature et quantité des moyens de lutte contre l’incendie mis à disposition, délais et conditions dans lesquels les dits moyens sont mis à disposition, période de disponibilité (permanente, heures ouvrées, jours ouvrables etc.). Ces documents sont tenus à la disposition des services de secours et de l’inspection des installations classées. </w:t>
      </w:r>
      <w:r w:rsidRPr="00610FC6">
        <w:rPr>
          <w:rFonts w:eastAsia="Times New Roman" w:cs="Times New Roman"/>
          <w:szCs w:val="24"/>
          <w:lang w:eastAsia="fr-FR"/>
        </w:rPr>
        <w:t>L'exploitant informe les services d'incendie et de secours et l'inspection des installations classées dès lors que ces protocoles et conventions nécessitent une mise à jour.</w:t>
      </w:r>
    </w:p>
    <w:p w14:paraId="2827D60E" w14:textId="77777777" w:rsidR="00FD643E" w:rsidRDefault="00FD643E" w:rsidP="00FD643E">
      <w:pPr>
        <w:spacing w:after="0" w:line="240" w:lineRule="auto"/>
        <w:rPr>
          <w:rFonts w:eastAsia="Times New Roman" w:cs="Times New Roman"/>
          <w:szCs w:val="24"/>
          <w:lang w:eastAsia="fr-FR"/>
        </w:rPr>
      </w:pPr>
    </w:p>
    <w:p w14:paraId="1B4B9295" w14:textId="77777777" w:rsidR="00FD643E" w:rsidRPr="00610FC6" w:rsidRDefault="00FD643E" w:rsidP="00FD643E">
      <w:pPr>
        <w:pStyle w:val="Titre3"/>
        <w:rPr>
          <w:rFonts w:eastAsia="Times New Roman"/>
          <w:lang w:eastAsia="fr-FR"/>
        </w:rPr>
      </w:pPr>
      <w:r>
        <w:rPr>
          <w:rFonts w:eastAsia="Times New Roman"/>
          <w:lang w:eastAsia="fr-FR"/>
        </w:rPr>
        <w:t>L</w:t>
      </w:r>
      <w:r w:rsidRPr="00610FC6">
        <w:rPr>
          <w:rFonts w:eastAsia="Times New Roman"/>
          <w:lang w:eastAsia="fr-FR"/>
        </w:rPr>
        <w:t>a disponibilité des moyens de lutte contre l'incendie et leur adéquation vis-à-vis de la stratégie définie par l'exploitant est démontrée dans les</w:t>
      </w:r>
      <w:r>
        <w:rPr>
          <w:rFonts w:eastAsia="Times New Roman"/>
          <w:lang w:eastAsia="fr-FR"/>
        </w:rPr>
        <w:t xml:space="preserve"> conditions définies à l</w:t>
      </w:r>
      <w:r w:rsidRPr="00BA74EE">
        <w:rPr>
          <w:rFonts w:eastAsia="Times New Roman"/>
          <w:highlight w:val="yellow"/>
          <w:lang w:eastAsia="fr-FR"/>
        </w:rPr>
        <w:t>’article VI-I du présent arrê</w:t>
      </w:r>
      <w:r>
        <w:rPr>
          <w:rFonts w:eastAsia="Times New Roman"/>
          <w:lang w:eastAsia="fr-FR"/>
        </w:rPr>
        <w:t>té</w:t>
      </w:r>
      <w:r w:rsidRPr="00610FC6">
        <w:rPr>
          <w:rFonts w:eastAsia="Times New Roman"/>
          <w:lang w:eastAsia="fr-FR"/>
        </w:rPr>
        <w:t>. En particulier, en cas d'usage par l'exploitant de moyens semi-fixes ou mobiles dans le cadre de cette stratégie, l'adéquation aux moyens humains associés est démontrée, notamment en ce qui concerne :</w:t>
      </w:r>
    </w:p>
    <w:p w14:paraId="3D431A26" w14:textId="77777777" w:rsidR="00FD643E" w:rsidRDefault="00FD643E" w:rsidP="00FD643E">
      <w:pPr>
        <w:pStyle w:val="Paragraphedeliste"/>
        <w:numPr>
          <w:ilvl w:val="0"/>
          <w:numId w:val="24"/>
        </w:numPr>
        <w:spacing w:after="0" w:line="240" w:lineRule="auto"/>
        <w:rPr>
          <w:rFonts w:eastAsia="Times New Roman" w:cs="Times New Roman"/>
          <w:szCs w:val="24"/>
          <w:lang w:eastAsia="fr-FR"/>
        </w:rPr>
      </w:pPr>
      <w:r w:rsidRPr="00C11EFC">
        <w:rPr>
          <w:rFonts w:eastAsia="Times New Roman" w:cs="Times New Roman"/>
          <w:szCs w:val="24"/>
          <w:lang w:eastAsia="fr-FR"/>
        </w:rPr>
        <w:t>la cinétique de mise en œuvre eu égard à la cinétique de développement des phénomènes dangereux ;</w:t>
      </w:r>
    </w:p>
    <w:p w14:paraId="524EEA3D" w14:textId="77777777" w:rsidR="00FD643E" w:rsidRDefault="00FD643E" w:rsidP="00FD643E">
      <w:pPr>
        <w:pStyle w:val="Paragraphedeliste"/>
        <w:numPr>
          <w:ilvl w:val="0"/>
          <w:numId w:val="24"/>
        </w:numPr>
        <w:spacing w:after="0" w:line="240" w:lineRule="auto"/>
        <w:rPr>
          <w:rFonts w:eastAsia="Times New Roman" w:cs="Times New Roman"/>
          <w:szCs w:val="24"/>
          <w:lang w:eastAsia="fr-FR"/>
        </w:rPr>
      </w:pPr>
      <w:r w:rsidRPr="00C11EFC">
        <w:rPr>
          <w:rFonts w:eastAsia="Times New Roman" w:cs="Times New Roman"/>
          <w:szCs w:val="24"/>
          <w:lang w:eastAsia="fr-FR"/>
        </w:rPr>
        <w:t>l'exposition au flux thermique du personnel amené à intervenir qui ne peut excéder 5 kW/m</w:t>
      </w:r>
      <w:r w:rsidRPr="00C11EFC">
        <w:rPr>
          <w:rFonts w:eastAsia="Times New Roman" w:cs="Times New Roman"/>
          <w:szCs w:val="24"/>
          <w:vertAlign w:val="superscript"/>
          <w:lang w:eastAsia="fr-FR"/>
        </w:rPr>
        <w:t>2</w:t>
      </w:r>
      <w:r w:rsidRPr="00C11EFC">
        <w:rPr>
          <w:rFonts w:eastAsia="Times New Roman" w:cs="Times New Roman"/>
          <w:szCs w:val="24"/>
          <w:lang w:eastAsia="fr-FR"/>
        </w:rPr>
        <w:t xml:space="preserve"> compte tenu de la surface en feu. Une valeur supérieure de flux thermique peut être acceptée, sans toutefois dépasser la dose de 1 800 (kW/m</w:t>
      </w:r>
      <w:r w:rsidRPr="00C11EFC">
        <w:rPr>
          <w:rFonts w:eastAsia="Times New Roman" w:cs="Times New Roman"/>
          <w:szCs w:val="24"/>
          <w:vertAlign w:val="superscript"/>
          <w:lang w:eastAsia="fr-FR"/>
        </w:rPr>
        <w:t>2</w:t>
      </w:r>
      <w:r w:rsidRPr="00C11EFC">
        <w:rPr>
          <w:rFonts w:eastAsia="Times New Roman" w:cs="Times New Roman"/>
          <w:szCs w:val="24"/>
          <w:lang w:eastAsia="fr-FR"/>
        </w:rPr>
        <w:t>)</w:t>
      </w:r>
      <w:r w:rsidRPr="00C11EFC">
        <w:rPr>
          <w:rFonts w:eastAsia="Times New Roman" w:cs="Times New Roman"/>
          <w:szCs w:val="24"/>
          <w:vertAlign w:val="superscript"/>
          <w:lang w:eastAsia="fr-FR"/>
        </w:rPr>
        <w:t>4/3</w:t>
      </w:r>
      <w:r w:rsidRPr="00C11EFC">
        <w:rPr>
          <w:rFonts w:eastAsia="Times New Roman" w:cs="Times New Roman"/>
          <w:szCs w:val="24"/>
          <w:lang w:eastAsia="fr-FR"/>
        </w:rPr>
        <w:t>. s ni la valeur de 8 kW/m</w:t>
      </w:r>
      <w:r w:rsidRPr="00C11EFC">
        <w:rPr>
          <w:rFonts w:eastAsia="Times New Roman" w:cs="Times New Roman"/>
          <w:szCs w:val="24"/>
          <w:vertAlign w:val="superscript"/>
          <w:lang w:eastAsia="fr-FR"/>
        </w:rPr>
        <w:t>2</w:t>
      </w:r>
      <w:r w:rsidRPr="00C11EFC">
        <w:rPr>
          <w:rFonts w:eastAsia="Times New Roman" w:cs="Times New Roman"/>
          <w:szCs w:val="24"/>
          <w:lang w:eastAsia="fr-FR"/>
        </w:rPr>
        <w:t>, sous réserve que l'exploitant démontre qu'il possède l'équipement et l'entraînement nécessaires pour une telle intervention ;</w:t>
      </w:r>
    </w:p>
    <w:p w14:paraId="387CF61C" w14:textId="77777777" w:rsidR="00FD643E" w:rsidRPr="00C11EFC" w:rsidRDefault="00FD643E" w:rsidP="00FD643E">
      <w:pPr>
        <w:pStyle w:val="Paragraphedeliste"/>
        <w:numPr>
          <w:ilvl w:val="0"/>
          <w:numId w:val="24"/>
        </w:numPr>
        <w:spacing w:after="0" w:line="240" w:lineRule="auto"/>
        <w:rPr>
          <w:rFonts w:eastAsia="Times New Roman" w:cs="Times New Roman"/>
          <w:szCs w:val="24"/>
          <w:lang w:eastAsia="fr-FR"/>
        </w:rPr>
      </w:pPr>
      <w:r w:rsidRPr="00C11EFC">
        <w:rPr>
          <w:rFonts w:eastAsia="Times New Roman" w:cs="Times New Roman"/>
          <w:szCs w:val="24"/>
          <w:lang w:eastAsia="fr-FR"/>
        </w:rPr>
        <w:t>la portée des moyens d'extinction par rapport aux flux thermiques engendrés.</w:t>
      </w:r>
    </w:p>
    <w:p w14:paraId="2CFA62BF" w14:textId="77777777" w:rsidR="00FD643E" w:rsidRDefault="00FD643E" w:rsidP="00FD643E">
      <w:pPr>
        <w:spacing w:after="0" w:line="240" w:lineRule="auto"/>
        <w:rPr>
          <w:rFonts w:eastAsia="Times New Roman" w:cs="Times New Roman"/>
          <w:szCs w:val="24"/>
          <w:lang w:eastAsia="fr-FR"/>
        </w:rPr>
      </w:pPr>
    </w:p>
    <w:p w14:paraId="1CAAF34F" w14:textId="77777777" w:rsidR="00FD643E" w:rsidRPr="00610FC6" w:rsidRDefault="00FD643E" w:rsidP="00FD643E">
      <w:pPr>
        <w:pStyle w:val="Titre3"/>
        <w:rPr>
          <w:rFonts w:eastAsia="Times New Roman"/>
          <w:lang w:eastAsia="fr-FR"/>
        </w:rPr>
      </w:pPr>
      <w:r w:rsidRPr="00610FC6">
        <w:rPr>
          <w:rFonts w:eastAsia="Times New Roman"/>
          <w:lang w:eastAsia="fr-FR"/>
        </w:rPr>
        <w:lastRenderedPageBreak/>
        <w:t xml:space="preserve">Sans préjudice des dispositions prévues à l'article </w:t>
      </w:r>
      <w:r>
        <w:rPr>
          <w:rFonts w:eastAsia="Times New Roman"/>
          <w:highlight w:val="yellow"/>
          <w:lang w:eastAsia="fr-FR"/>
        </w:rPr>
        <w:t>IV-5</w:t>
      </w:r>
      <w:r w:rsidRPr="00610FC6">
        <w:rPr>
          <w:rFonts w:eastAsia="Times New Roman"/>
          <w:lang w:eastAsia="fr-FR"/>
        </w:rPr>
        <w:t xml:space="preserve"> du présent arrêté, l'exploitant s'assure qu'en cas d'incendie :</w:t>
      </w:r>
    </w:p>
    <w:p w14:paraId="6544E0D5" w14:textId="77777777" w:rsidR="00FD643E" w:rsidRDefault="00FD643E" w:rsidP="00FD643E">
      <w:pPr>
        <w:pStyle w:val="Paragraphedeliste"/>
        <w:numPr>
          <w:ilvl w:val="0"/>
          <w:numId w:val="23"/>
        </w:numPr>
        <w:spacing w:after="0" w:line="240" w:lineRule="auto"/>
        <w:rPr>
          <w:rFonts w:eastAsia="Times New Roman" w:cs="Times New Roman"/>
          <w:szCs w:val="24"/>
          <w:lang w:eastAsia="fr-FR"/>
        </w:rPr>
      </w:pPr>
      <w:r w:rsidRPr="00C11EFC">
        <w:rPr>
          <w:rFonts w:eastAsia="Times New Roman" w:cs="Times New Roman"/>
          <w:szCs w:val="24"/>
          <w:lang w:eastAsia="fr-FR"/>
        </w:rPr>
        <w:t>en cas d'usage de moyens fixes d'extinction pouvant être endommagés par l'incendie (y compris leurs supportages), leur mise en œuvre intervient dans un délai maximum de quinze minutes ;</w:t>
      </w:r>
    </w:p>
    <w:p w14:paraId="1E7241FE" w14:textId="050EC8A4" w:rsidR="00FD643E" w:rsidRDefault="00FD643E" w:rsidP="00FD643E">
      <w:pPr>
        <w:pStyle w:val="Paragraphedeliste"/>
        <w:numPr>
          <w:ilvl w:val="0"/>
          <w:numId w:val="23"/>
        </w:numPr>
        <w:spacing w:after="0" w:line="240" w:lineRule="auto"/>
        <w:rPr>
          <w:rFonts w:eastAsia="Times New Roman" w:cs="Times New Roman"/>
          <w:szCs w:val="24"/>
          <w:lang w:eastAsia="fr-FR"/>
        </w:rPr>
      </w:pPr>
      <w:r w:rsidRPr="00C11EFC">
        <w:rPr>
          <w:rFonts w:eastAsia="Times New Roman" w:cs="Times New Roman"/>
          <w:szCs w:val="24"/>
          <w:lang w:eastAsia="fr-FR"/>
        </w:rPr>
        <w:t>une personne apte, formée et autorisée à la mise en œuvre des premiers moyens d'extinction est sur place dans un délai maximum de trente minutes. Le préfet peut porter par arrêté préfectoral ce délai à soixante minutes pour les stockages d'une capacité réelle inférieure à 1 500 mètres cubes, au regard de la sensibilité des enjeux potentiellement impactés autour du site tels que décrits dans l'étude de dangers</w:t>
      </w:r>
      <w:r w:rsidR="00966A00">
        <w:rPr>
          <w:rFonts w:eastAsia="Times New Roman" w:cs="Times New Roman"/>
          <w:szCs w:val="24"/>
          <w:lang w:eastAsia="fr-FR"/>
        </w:rPr>
        <w:t xml:space="preserve"> et sous réserve : </w:t>
      </w:r>
    </w:p>
    <w:p w14:paraId="4A17D56A" w14:textId="77777777" w:rsidR="00966A00" w:rsidRDefault="00966A00" w:rsidP="00966A00">
      <w:pPr>
        <w:pStyle w:val="Paragraphedeliste"/>
        <w:numPr>
          <w:ilvl w:val="1"/>
          <w:numId w:val="23"/>
        </w:numPr>
        <w:spacing w:after="0" w:line="240" w:lineRule="auto"/>
        <w:rPr>
          <w:rFonts w:eastAsia="Times New Roman" w:cs="Times New Roman"/>
          <w:szCs w:val="24"/>
          <w:lang w:eastAsia="fr-FR"/>
        </w:rPr>
      </w:pPr>
      <w:r>
        <w:rPr>
          <w:rFonts w:eastAsia="Times New Roman" w:cs="Times New Roman"/>
          <w:szCs w:val="24"/>
          <w:lang w:eastAsia="fr-FR"/>
        </w:rPr>
        <w:t xml:space="preserve">que des moyens fixes assurent une protection efficace des structures et des murs séparatifs ou autres équipements en vue d'éviter la ruine du bâtiment ou la propagation du sinistre ; </w:t>
      </w:r>
    </w:p>
    <w:p w14:paraId="0F63127C" w14:textId="77777777" w:rsidR="00966A00" w:rsidRDefault="00966A00" w:rsidP="00966A00">
      <w:pPr>
        <w:pStyle w:val="Paragraphedeliste"/>
        <w:numPr>
          <w:ilvl w:val="1"/>
          <w:numId w:val="23"/>
        </w:numPr>
        <w:spacing w:after="0" w:line="240" w:lineRule="auto"/>
        <w:rPr>
          <w:rFonts w:eastAsia="Times New Roman" w:cs="Times New Roman"/>
          <w:szCs w:val="24"/>
          <w:lang w:eastAsia="fr-FR"/>
        </w:rPr>
      </w:pPr>
      <w:r>
        <w:rPr>
          <w:rFonts w:eastAsia="Times New Roman" w:cs="Times New Roman"/>
          <w:szCs w:val="24"/>
          <w:lang w:eastAsia="fr-FR"/>
        </w:rPr>
        <w:t>que la durée de l'incendie soit inférieure à la durée de tenue au feu des murs séparatifs.</w:t>
      </w:r>
    </w:p>
    <w:p w14:paraId="10621E93" w14:textId="77777777" w:rsidR="00966A00" w:rsidRPr="00966A00" w:rsidRDefault="00966A00" w:rsidP="0062682D">
      <w:pPr>
        <w:spacing w:after="0" w:line="240" w:lineRule="auto"/>
        <w:rPr>
          <w:rFonts w:eastAsia="Times New Roman" w:cs="Times New Roman"/>
          <w:szCs w:val="24"/>
          <w:lang w:eastAsia="fr-FR"/>
        </w:rPr>
      </w:pPr>
    </w:p>
    <w:p w14:paraId="205A755B" w14:textId="77777777" w:rsidR="00FD643E" w:rsidRDefault="00FD643E" w:rsidP="00FD643E">
      <w:pPr>
        <w:pStyle w:val="Paragraphedeliste"/>
        <w:numPr>
          <w:ilvl w:val="0"/>
          <w:numId w:val="25"/>
        </w:numPr>
        <w:spacing w:after="0" w:line="240" w:lineRule="auto"/>
        <w:rPr>
          <w:rFonts w:eastAsia="Times New Roman" w:cs="Times New Roman"/>
          <w:szCs w:val="24"/>
          <w:lang w:eastAsia="fr-FR"/>
        </w:rPr>
      </w:pPr>
      <w:r w:rsidRPr="00774D5E">
        <w:rPr>
          <w:rFonts w:eastAsia="Times New Roman" w:cs="Times New Roman"/>
          <w:szCs w:val="24"/>
          <w:lang w:eastAsia="fr-FR"/>
        </w:rPr>
        <w:t>Dans le cas d'une présence permanente sur site, telle q</w:t>
      </w:r>
      <w:r>
        <w:rPr>
          <w:rFonts w:eastAsia="Times New Roman" w:cs="Times New Roman"/>
          <w:szCs w:val="24"/>
          <w:lang w:eastAsia="fr-FR"/>
        </w:rPr>
        <w:t xml:space="preserve">ue prévue à l'article </w:t>
      </w:r>
      <w:r w:rsidRPr="00BA74EE">
        <w:rPr>
          <w:rFonts w:eastAsia="Times New Roman" w:cs="Times New Roman"/>
          <w:szCs w:val="24"/>
          <w:highlight w:val="yellow"/>
          <w:lang w:eastAsia="fr-FR"/>
        </w:rPr>
        <w:t>IV-5</w:t>
      </w:r>
      <w:r w:rsidRPr="00774D5E">
        <w:rPr>
          <w:rFonts w:eastAsia="Times New Roman" w:cs="Times New Roman"/>
          <w:szCs w:val="24"/>
          <w:lang w:eastAsia="fr-FR"/>
        </w:rPr>
        <w:t xml:space="preserve"> du présent arrêté, le délai mentionné dans l'alinéa précédent est réduit à quinze minutes. </w:t>
      </w:r>
      <w:r>
        <w:rPr>
          <w:rFonts w:eastAsia="Times New Roman" w:cs="Times New Roman"/>
          <w:szCs w:val="24"/>
          <w:lang w:eastAsia="fr-FR"/>
        </w:rPr>
        <w:t>Le préfet peut porter par arrêté préfectoral c</w:t>
      </w:r>
      <w:r w:rsidRPr="00774D5E">
        <w:rPr>
          <w:rFonts w:eastAsia="Times New Roman" w:cs="Times New Roman"/>
          <w:szCs w:val="24"/>
          <w:lang w:eastAsia="fr-FR"/>
        </w:rPr>
        <w:t>e délai à soixante minutes pour les stockages d'une capacité réelle inférieure à 1 500 mètres cubes, sous réserve :</w:t>
      </w:r>
      <w:r>
        <w:rPr>
          <w:rFonts w:eastAsia="Times New Roman" w:cs="Times New Roman"/>
          <w:szCs w:val="24"/>
          <w:lang w:eastAsia="fr-FR"/>
        </w:rPr>
        <w:t xml:space="preserve"> </w:t>
      </w:r>
    </w:p>
    <w:p w14:paraId="4954F3DB" w14:textId="77777777" w:rsidR="00FD643E" w:rsidRDefault="00FD643E" w:rsidP="00FD643E">
      <w:pPr>
        <w:pStyle w:val="Paragraphedeliste"/>
        <w:numPr>
          <w:ilvl w:val="1"/>
          <w:numId w:val="25"/>
        </w:numPr>
        <w:spacing w:after="0" w:line="240" w:lineRule="auto"/>
        <w:rPr>
          <w:rFonts w:eastAsia="Times New Roman" w:cs="Times New Roman"/>
          <w:szCs w:val="24"/>
          <w:lang w:eastAsia="fr-FR"/>
        </w:rPr>
      </w:pPr>
      <w:r w:rsidRPr="00774D5E">
        <w:rPr>
          <w:rFonts w:eastAsia="Times New Roman" w:cs="Times New Roman"/>
          <w:szCs w:val="24"/>
          <w:lang w:eastAsia="fr-FR"/>
        </w:rPr>
        <w:t xml:space="preserve">que des moyens fixes assurent une protection efficace des structures et des murs séparatifs ou autres équipements en vue d'éviter la ruine du bâtiment ou la propagation du sinistre ; </w:t>
      </w:r>
    </w:p>
    <w:p w14:paraId="5B1C038E" w14:textId="77777777" w:rsidR="00FD643E" w:rsidRPr="00774D5E" w:rsidRDefault="00FD643E" w:rsidP="00FD643E">
      <w:pPr>
        <w:pStyle w:val="Paragraphedeliste"/>
        <w:numPr>
          <w:ilvl w:val="1"/>
          <w:numId w:val="25"/>
        </w:numPr>
        <w:spacing w:after="0" w:line="240" w:lineRule="auto"/>
        <w:rPr>
          <w:rFonts w:eastAsia="Times New Roman" w:cs="Times New Roman"/>
          <w:szCs w:val="24"/>
          <w:lang w:eastAsia="fr-FR"/>
        </w:rPr>
      </w:pPr>
      <w:r w:rsidRPr="00774D5E">
        <w:rPr>
          <w:rFonts w:eastAsia="Times New Roman" w:cs="Times New Roman"/>
          <w:szCs w:val="24"/>
          <w:lang w:eastAsia="fr-FR"/>
        </w:rPr>
        <w:t>que la durée de l'incendie soit inférieure à la durée de tenue au feu des murs séparatifs.</w:t>
      </w:r>
    </w:p>
    <w:p w14:paraId="5CC1471C" w14:textId="77777777" w:rsidR="00FD643E" w:rsidRPr="00C11EFC" w:rsidRDefault="00FD643E" w:rsidP="00FD643E">
      <w:pPr>
        <w:pStyle w:val="Paragraphedeliste"/>
        <w:numPr>
          <w:ilvl w:val="0"/>
          <w:numId w:val="23"/>
        </w:numPr>
        <w:spacing w:after="0" w:line="240" w:lineRule="auto"/>
        <w:rPr>
          <w:rFonts w:eastAsia="Times New Roman" w:cs="Times New Roman"/>
          <w:szCs w:val="24"/>
          <w:lang w:eastAsia="fr-FR"/>
        </w:rPr>
      </w:pPr>
      <w:r w:rsidRPr="00C11EFC">
        <w:rPr>
          <w:rFonts w:eastAsia="Times New Roman" w:cs="Times New Roman"/>
          <w:szCs w:val="24"/>
          <w:lang w:eastAsia="fr-FR"/>
        </w:rPr>
        <w:t>en l'absence de moyens fixes, le délai de mise en œuvre des moyens mobiles d'extinction est défini dans la stratégie de lutte contre l'incendie et la mise en œuvre des premiers moyens mobiles est effectuée dans un délai maximum de soixante minutes.</w:t>
      </w:r>
    </w:p>
    <w:p w14:paraId="7DD1E5EB" w14:textId="2F0AF8E0" w:rsidR="00FD643E" w:rsidRPr="00610FC6" w:rsidRDefault="00FD643E" w:rsidP="00793531">
      <w:pPr>
        <w:spacing w:after="0" w:line="240" w:lineRule="auto"/>
        <w:ind w:firstLine="360"/>
        <w:rPr>
          <w:rFonts w:eastAsia="Times New Roman" w:cs="Times New Roman"/>
          <w:szCs w:val="24"/>
          <w:lang w:eastAsia="fr-FR"/>
        </w:rPr>
      </w:pPr>
      <w:r w:rsidRPr="00610FC6">
        <w:rPr>
          <w:rFonts w:eastAsia="Times New Roman" w:cs="Times New Roman"/>
          <w:szCs w:val="24"/>
          <w:lang w:eastAsia="fr-FR"/>
        </w:rPr>
        <w:t xml:space="preserve">Les délais mentionnés aux trois alinéas précédents courent à partir du </w:t>
      </w:r>
      <w:r w:rsidR="00966A00">
        <w:rPr>
          <w:rFonts w:eastAsia="Times New Roman" w:cs="Times New Roman"/>
          <w:szCs w:val="24"/>
          <w:lang w:eastAsia="fr-FR"/>
        </w:rPr>
        <w:t>départ de feu</w:t>
      </w:r>
      <w:r w:rsidRPr="00610FC6">
        <w:rPr>
          <w:rFonts w:eastAsia="Times New Roman" w:cs="Times New Roman"/>
          <w:szCs w:val="24"/>
          <w:lang w:eastAsia="fr-FR"/>
        </w:rPr>
        <w:t>.</w:t>
      </w:r>
    </w:p>
    <w:p w14:paraId="786E6606" w14:textId="77777777" w:rsidR="00FD643E" w:rsidRDefault="00FD643E" w:rsidP="00FD643E">
      <w:pPr>
        <w:spacing w:after="0" w:line="240" w:lineRule="auto"/>
        <w:rPr>
          <w:rFonts w:eastAsia="Times New Roman" w:cs="Times New Roman"/>
          <w:szCs w:val="24"/>
          <w:lang w:eastAsia="fr-FR"/>
        </w:rPr>
      </w:pPr>
    </w:p>
    <w:p w14:paraId="295B9744" w14:textId="77777777" w:rsidR="00793531" w:rsidRDefault="00553321" w:rsidP="00793531">
      <w:pPr>
        <w:pStyle w:val="Titre3"/>
        <w:rPr>
          <w:rFonts w:eastAsia="Times New Roman"/>
          <w:lang w:eastAsia="fr-FR"/>
        </w:rPr>
      </w:pPr>
      <w:r w:rsidRPr="00553321">
        <w:rPr>
          <w:rFonts w:eastAsia="Times New Roman" w:cs="Times New Roman"/>
          <w:color w:val="000000"/>
          <w:lang w:eastAsia="fr-FR"/>
        </w:rPr>
        <w:t xml:space="preserve">Les différents opérateurs et intervenants dans l’établissement, y compris le personnel des entreprises extérieures, reçoivent une formation sur les risques des installations, la conduite à tenir en cas de sinistre et, s’ils y contribuent, sur la mise en œuvre des moyens d’intervention. </w:t>
      </w:r>
      <w:r>
        <w:rPr>
          <w:rFonts w:eastAsia="Times New Roman"/>
          <w:lang w:eastAsia="fr-FR"/>
        </w:rPr>
        <w:t>Des personnes désignées par</w:t>
      </w:r>
      <w:r w:rsidR="00FD643E" w:rsidRPr="00610FC6">
        <w:rPr>
          <w:rFonts w:eastAsia="Times New Roman"/>
          <w:lang w:eastAsia="fr-FR"/>
        </w:rPr>
        <w:t xml:space="preserve"> l'exploitant chargé</w:t>
      </w:r>
      <w:r>
        <w:rPr>
          <w:rFonts w:eastAsia="Times New Roman"/>
          <w:lang w:eastAsia="fr-FR"/>
        </w:rPr>
        <w:t>es</w:t>
      </w:r>
      <w:r w:rsidR="00FD643E" w:rsidRPr="00610FC6">
        <w:rPr>
          <w:rFonts w:eastAsia="Times New Roman"/>
          <w:lang w:eastAsia="fr-FR"/>
        </w:rPr>
        <w:t xml:space="preserve"> de la mise en œuvre des moyens de lutte contre l'incendie </w:t>
      </w:r>
      <w:r>
        <w:rPr>
          <w:rFonts w:eastAsia="Times New Roman"/>
          <w:lang w:eastAsia="fr-FR"/>
        </w:rPr>
        <w:t>sont</w:t>
      </w:r>
      <w:r w:rsidR="00FD643E" w:rsidRPr="00610FC6">
        <w:rPr>
          <w:rFonts w:eastAsia="Times New Roman"/>
          <w:lang w:eastAsia="fr-FR"/>
        </w:rPr>
        <w:t xml:space="preserve"> apte</w:t>
      </w:r>
      <w:r>
        <w:rPr>
          <w:rFonts w:eastAsia="Times New Roman"/>
          <w:lang w:eastAsia="fr-FR"/>
        </w:rPr>
        <w:t>s</w:t>
      </w:r>
      <w:r w:rsidR="00FD643E" w:rsidRPr="00610FC6">
        <w:rPr>
          <w:rFonts w:eastAsia="Times New Roman"/>
          <w:lang w:eastAsia="fr-FR"/>
        </w:rPr>
        <w:t xml:space="preserve"> à manœuvrer ces équipements et à faire face aux éventuelles situations dégradées.</w:t>
      </w:r>
    </w:p>
    <w:p w14:paraId="4F82F534" w14:textId="6DC7E9A7" w:rsidR="00553321" w:rsidRPr="00793531" w:rsidRDefault="00553321" w:rsidP="00793531">
      <w:pPr>
        <w:pStyle w:val="Titre3"/>
        <w:numPr>
          <w:ilvl w:val="0"/>
          <w:numId w:val="0"/>
        </w:numPr>
        <w:ind w:left="454"/>
        <w:rPr>
          <w:rFonts w:eastAsia="Times New Roman"/>
          <w:lang w:eastAsia="fr-FR"/>
        </w:rPr>
      </w:pPr>
      <w:r w:rsidRPr="00793531">
        <w:rPr>
          <w:rFonts w:cs="Times New Roman"/>
        </w:rPr>
        <w:t>Ces personnes</w:t>
      </w:r>
      <w:r w:rsidRPr="00793531">
        <w:rPr>
          <w:rFonts w:eastAsia="Times New Roman" w:cs="Times New Roman"/>
          <w:color w:val="000000"/>
          <w:lang w:eastAsia="fr-FR"/>
        </w:rPr>
        <w:t xml:space="preserve"> sont entraînées à la manœuvre de ces moyens.</w:t>
      </w:r>
    </w:p>
    <w:p w14:paraId="0557C158" w14:textId="77777777" w:rsidR="00FD643E" w:rsidRDefault="00FD643E" w:rsidP="00FD643E">
      <w:pPr>
        <w:spacing w:after="0" w:line="240" w:lineRule="auto"/>
        <w:rPr>
          <w:rFonts w:eastAsia="Times New Roman" w:cs="Times New Roman"/>
          <w:szCs w:val="24"/>
          <w:lang w:eastAsia="fr-FR"/>
        </w:rPr>
      </w:pPr>
    </w:p>
    <w:p w14:paraId="12A0F343" w14:textId="2349FE08" w:rsidR="00FD643E" w:rsidRPr="00610FC6" w:rsidRDefault="00FD643E" w:rsidP="00FD643E">
      <w:pPr>
        <w:pStyle w:val="Titre3"/>
        <w:rPr>
          <w:rFonts w:eastAsia="Times New Roman"/>
          <w:lang w:eastAsia="fr-FR"/>
        </w:rPr>
      </w:pPr>
      <w:r w:rsidRPr="00610FC6">
        <w:rPr>
          <w:rFonts w:eastAsia="Times New Roman"/>
          <w:lang w:eastAsia="fr-FR"/>
        </w:rPr>
        <w:t>L'exploitant dispose des ressources et réserves en eau et en émulseur nécessaires à la lutte contre l</w:t>
      </w:r>
      <w:r>
        <w:rPr>
          <w:rFonts w:eastAsia="Times New Roman"/>
          <w:lang w:eastAsia="fr-FR"/>
        </w:rPr>
        <w:t xml:space="preserve">es incendies définis à l’article </w:t>
      </w:r>
      <w:r w:rsidRPr="00BA74EE">
        <w:rPr>
          <w:rFonts w:eastAsia="Times New Roman"/>
          <w:highlight w:val="yellow"/>
          <w:lang w:eastAsia="fr-FR"/>
        </w:rPr>
        <w:t>VI-I</w:t>
      </w:r>
      <w:r>
        <w:rPr>
          <w:rFonts w:eastAsia="Times New Roman"/>
          <w:lang w:eastAsia="fr-FR"/>
        </w:rPr>
        <w:t xml:space="preserve"> du présent </w:t>
      </w:r>
      <w:r w:rsidR="00250443">
        <w:rPr>
          <w:rFonts w:eastAsia="Times New Roman"/>
          <w:lang w:eastAsia="fr-FR"/>
        </w:rPr>
        <w:t>arrêté</w:t>
      </w:r>
      <w:r>
        <w:rPr>
          <w:rFonts w:eastAsia="Times New Roman"/>
          <w:lang w:eastAsia="fr-FR"/>
        </w:rPr>
        <w:t xml:space="preserve"> </w:t>
      </w:r>
      <w:r w:rsidRPr="00610FC6">
        <w:rPr>
          <w:rFonts w:eastAsia="Times New Roman"/>
          <w:lang w:eastAsia="fr-FR"/>
        </w:rPr>
        <w:t>et à la prévention d'une éventuelle reprise de ces incendies. L'exploitant peut avoir recours à des protocoles ou conventions et, dans ce cas, il veille à la compatibilité et à la continuité de l'alimentation en eau ou en émulseur en cas de sinistre.</w:t>
      </w:r>
    </w:p>
    <w:p w14:paraId="43A0FDD9" w14:textId="77777777" w:rsidR="00FD643E" w:rsidRPr="00610FC6" w:rsidRDefault="00FD643E" w:rsidP="00793531">
      <w:pPr>
        <w:spacing w:after="0" w:line="240" w:lineRule="auto"/>
        <w:ind w:left="454"/>
        <w:rPr>
          <w:rFonts w:eastAsia="Times New Roman" w:cs="Times New Roman"/>
          <w:szCs w:val="24"/>
          <w:lang w:eastAsia="fr-FR"/>
        </w:rPr>
      </w:pPr>
      <w:r w:rsidRPr="00610FC6">
        <w:rPr>
          <w:rFonts w:eastAsia="Times New Roman" w:cs="Times New Roman"/>
          <w:szCs w:val="24"/>
          <w:lang w:eastAsia="fr-FR"/>
        </w:rPr>
        <w:t>L'exploitant définit et justifie, en fonction de la stratégie de lutte contre l'incendie retenue, le positionnement des réserves d'émulseur, dans le</w:t>
      </w:r>
      <w:r>
        <w:rPr>
          <w:rFonts w:eastAsia="Times New Roman" w:cs="Times New Roman"/>
          <w:szCs w:val="24"/>
          <w:lang w:eastAsia="fr-FR"/>
        </w:rPr>
        <w:t xml:space="preserve">s conditions définies </w:t>
      </w:r>
      <w:r>
        <w:rPr>
          <w:rFonts w:eastAsia="Times New Roman" w:cs="Times New Roman"/>
          <w:szCs w:val="24"/>
          <w:highlight w:val="yellow"/>
          <w:lang w:eastAsia="fr-FR"/>
        </w:rPr>
        <w:t>à l’article VI-1 du présent arrêté</w:t>
      </w:r>
      <w:r w:rsidRPr="00610FC6">
        <w:rPr>
          <w:rFonts w:eastAsia="Times New Roman" w:cs="Times New Roman"/>
          <w:szCs w:val="24"/>
          <w:lang w:eastAsia="fr-FR"/>
        </w:rPr>
        <w:t xml:space="preserve">. </w:t>
      </w:r>
    </w:p>
    <w:p w14:paraId="123743A1" w14:textId="77777777" w:rsidR="00FD643E" w:rsidRPr="00251B00" w:rsidRDefault="00FD643E" w:rsidP="00793531">
      <w:pPr>
        <w:spacing w:after="0" w:line="240" w:lineRule="auto"/>
        <w:ind w:left="454"/>
        <w:rPr>
          <w:rFonts w:eastAsia="Times New Roman" w:cs="Times New Roman"/>
          <w:szCs w:val="24"/>
          <w:lang w:eastAsia="fr-FR"/>
        </w:rPr>
      </w:pPr>
      <w:r>
        <w:rPr>
          <w:rFonts w:eastAsia="Times New Roman" w:cs="Times New Roman"/>
          <w:szCs w:val="24"/>
          <w:lang w:eastAsia="fr-FR"/>
        </w:rPr>
        <w:t>L</w:t>
      </w:r>
      <w:r w:rsidRPr="00610FC6">
        <w:rPr>
          <w:rFonts w:eastAsia="Times New Roman" w:cs="Times New Roman"/>
          <w:szCs w:val="24"/>
          <w:lang w:eastAsia="fr-FR"/>
        </w:rPr>
        <w:t xml:space="preserve">es pomperies, réserves d'émulseur et points de raccordement de moyens de pompage mobiles aux ressources en eau sont implantés hors des zones d'effet thermique d'intensité </w:t>
      </w:r>
      <w:r w:rsidRPr="00610FC6">
        <w:rPr>
          <w:rFonts w:eastAsia="Times New Roman" w:cs="Times New Roman"/>
          <w:szCs w:val="24"/>
          <w:lang w:eastAsia="fr-FR"/>
        </w:rPr>
        <w:lastRenderedPageBreak/>
        <w:t>supérieure à 5 kW/m</w:t>
      </w:r>
      <w:r w:rsidRPr="00610FC6">
        <w:rPr>
          <w:rFonts w:eastAsia="Times New Roman" w:cs="Times New Roman"/>
          <w:szCs w:val="24"/>
          <w:vertAlign w:val="superscript"/>
          <w:lang w:eastAsia="fr-FR"/>
        </w:rPr>
        <w:t>2</w:t>
      </w:r>
      <w:r w:rsidRPr="00610FC6">
        <w:rPr>
          <w:rFonts w:eastAsia="Times New Roman" w:cs="Times New Roman"/>
          <w:szCs w:val="24"/>
          <w:lang w:eastAsia="fr-FR"/>
        </w:rPr>
        <w:t xml:space="preserve"> identifiées dans l'étude de dangers. </w:t>
      </w:r>
      <w:r w:rsidRPr="00251B00">
        <w:rPr>
          <w:rFonts w:eastAsia="Times New Roman" w:cs="Times New Roman"/>
          <w:szCs w:val="24"/>
          <w:lang w:eastAsia="fr-FR"/>
        </w:rPr>
        <w:t>Cette prescription n'est pas applicable pour chacun des cas suivants :</w:t>
      </w:r>
    </w:p>
    <w:p w14:paraId="6D2A2A23" w14:textId="77777777" w:rsidR="00FD643E" w:rsidRPr="00251B00" w:rsidRDefault="00FD643E" w:rsidP="00793531">
      <w:pPr>
        <w:spacing w:after="0" w:line="240" w:lineRule="auto"/>
        <w:ind w:left="454"/>
        <w:rPr>
          <w:rFonts w:eastAsia="Times New Roman" w:cs="Times New Roman"/>
          <w:szCs w:val="24"/>
          <w:lang w:eastAsia="fr-FR"/>
        </w:rPr>
      </w:pPr>
      <w:r w:rsidRPr="00251B00">
        <w:rPr>
          <w:rFonts w:eastAsia="Times New Roman" w:cs="Times New Roman"/>
          <w:szCs w:val="24"/>
          <w:lang w:eastAsia="fr-FR"/>
        </w:rPr>
        <w:t>― lorsqu'un équipement peut être sollicité à distance par du personnel de l'exploitant formé à sa manœuvre ;</w:t>
      </w:r>
    </w:p>
    <w:p w14:paraId="059F78D4" w14:textId="77777777" w:rsidR="00FD643E" w:rsidRPr="00251B00" w:rsidRDefault="00FD643E" w:rsidP="00793531">
      <w:pPr>
        <w:spacing w:after="0" w:line="240" w:lineRule="auto"/>
        <w:ind w:left="454"/>
        <w:rPr>
          <w:rFonts w:eastAsia="Times New Roman" w:cs="Times New Roman"/>
          <w:szCs w:val="24"/>
          <w:lang w:eastAsia="fr-FR"/>
        </w:rPr>
      </w:pPr>
      <w:r w:rsidRPr="00251B00">
        <w:rPr>
          <w:rFonts w:eastAsia="Times New Roman" w:cs="Times New Roman"/>
          <w:szCs w:val="24"/>
          <w:lang w:eastAsia="fr-FR"/>
        </w:rPr>
        <w:t>― lorsque, pour un scénario d'incendie considéré, l'équipement est doublé et l'équipement redondant est situé hors des zones d'effets thermiques susmentionnées ;</w:t>
      </w:r>
    </w:p>
    <w:p w14:paraId="51EB1716" w14:textId="77777777" w:rsidR="00FD643E" w:rsidRPr="00251B00" w:rsidRDefault="00FD643E" w:rsidP="00793531">
      <w:pPr>
        <w:spacing w:after="0" w:line="240" w:lineRule="auto"/>
        <w:ind w:left="454"/>
        <w:rPr>
          <w:rFonts w:eastAsia="Times New Roman" w:cs="Times New Roman"/>
          <w:szCs w:val="24"/>
          <w:lang w:eastAsia="fr-FR"/>
        </w:rPr>
      </w:pPr>
      <w:r w:rsidRPr="00251B00">
        <w:rPr>
          <w:rFonts w:eastAsia="Times New Roman" w:cs="Times New Roman"/>
          <w:szCs w:val="24"/>
          <w:lang w:eastAsia="fr-FR"/>
        </w:rPr>
        <w:t>― lorsque la présence de l'équipement dans la cellule de liquides inflammables à l'origine de l'incendie est justifiée du fait de sa conception et de sa fonction vis-à-vis de la lutte contre cet incendie.</w:t>
      </w:r>
    </w:p>
    <w:p w14:paraId="42E17811" w14:textId="77777777" w:rsidR="00FD643E" w:rsidRDefault="00FD643E" w:rsidP="00FD643E">
      <w:pPr>
        <w:spacing w:after="0" w:line="240" w:lineRule="auto"/>
        <w:rPr>
          <w:rFonts w:eastAsia="Times New Roman" w:cs="Times New Roman"/>
          <w:szCs w:val="24"/>
          <w:lang w:eastAsia="fr-FR"/>
        </w:rPr>
      </w:pPr>
    </w:p>
    <w:p w14:paraId="5EC7EC2E" w14:textId="6A50BD3E" w:rsidR="00FD643E" w:rsidRPr="00610FC6" w:rsidRDefault="00FD643E" w:rsidP="00FD643E">
      <w:pPr>
        <w:pStyle w:val="Titre3"/>
        <w:rPr>
          <w:rFonts w:eastAsia="Times New Roman"/>
          <w:lang w:eastAsia="fr-FR"/>
        </w:rPr>
      </w:pPr>
      <w:r w:rsidRPr="00610FC6">
        <w:rPr>
          <w:rFonts w:eastAsia="Times New Roman"/>
          <w:lang w:eastAsia="fr-FR"/>
        </w:rPr>
        <w:t>Le débit d'eau incendie, de solution moussante et les moyens en émulseur et en eau sont déterminés, justifiés par l'exploitant en fonction d</w:t>
      </w:r>
      <w:r>
        <w:rPr>
          <w:rFonts w:eastAsia="Times New Roman"/>
          <w:lang w:eastAsia="fr-FR"/>
        </w:rPr>
        <w:t xml:space="preserve">es scénarios définis à </w:t>
      </w:r>
      <w:r w:rsidRPr="00250443">
        <w:rPr>
          <w:rFonts w:eastAsia="Times New Roman"/>
          <w:highlight w:val="yellow"/>
          <w:lang w:eastAsia="fr-FR"/>
        </w:rPr>
        <w:t>l’article VI-I</w:t>
      </w:r>
      <w:r>
        <w:rPr>
          <w:rFonts w:eastAsia="Times New Roman"/>
          <w:lang w:eastAsia="fr-FR"/>
        </w:rPr>
        <w:t xml:space="preserve"> du présent arrêté</w:t>
      </w:r>
      <w:r w:rsidRPr="00610FC6">
        <w:rPr>
          <w:rFonts w:eastAsia="Times New Roman"/>
          <w:lang w:eastAsia="fr-FR"/>
        </w:rPr>
        <w:t xml:space="preserve"> et tenus à la disposition de l'inspection des installations classées en annexe du plan de d</w:t>
      </w:r>
      <w:r>
        <w:rPr>
          <w:rFonts w:eastAsia="Times New Roman"/>
          <w:lang w:eastAsia="fr-FR"/>
        </w:rPr>
        <w:t xml:space="preserve">éfense incendie prévu à </w:t>
      </w:r>
      <w:r w:rsidRPr="00250443">
        <w:rPr>
          <w:rFonts w:eastAsia="Times New Roman"/>
          <w:highlight w:val="yellow"/>
          <w:lang w:eastAsia="fr-FR"/>
        </w:rPr>
        <w:t>l’article VI-I</w:t>
      </w:r>
      <w:r w:rsidRPr="00610FC6">
        <w:rPr>
          <w:rFonts w:eastAsia="Times New Roman"/>
          <w:lang w:eastAsia="fr-FR"/>
        </w:rPr>
        <w:t xml:space="preserve"> du présent arrêté. Ils tiennent compte de la production de solution moussante dans le</w:t>
      </w:r>
      <w:r>
        <w:rPr>
          <w:rFonts w:eastAsia="Times New Roman"/>
          <w:lang w:eastAsia="fr-FR"/>
        </w:rPr>
        <w:t xml:space="preserve">s conditions </w:t>
      </w:r>
      <w:r w:rsidRPr="00250443">
        <w:rPr>
          <w:rFonts w:eastAsia="Times New Roman"/>
          <w:lang w:eastAsia="fr-FR"/>
        </w:rPr>
        <w:t xml:space="preserve">définies aux </w:t>
      </w:r>
      <w:r w:rsidRPr="00250443">
        <w:rPr>
          <w:rFonts w:eastAsia="Times New Roman"/>
          <w:highlight w:val="yellow"/>
          <w:lang w:eastAsia="fr-FR"/>
        </w:rPr>
        <w:t>articles VI-</w:t>
      </w:r>
      <w:r w:rsidR="002A4566">
        <w:rPr>
          <w:rFonts w:eastAsia="Times New Roman"/>
          <w:highlight w:val="yellow"/>
          <w:lang w:eastAsia="fr-FR"/>
        </w:rPr>
        <w:t>4</w:t>
      </w:r>
      <w:r w:rsidRPr="00250443">
        <w:rPr>
          <w:rFonts w:eastAsia="Times New Roman"/>
          <w:highlight w:val="yellow"/>
          <w:lang w:eastAsia="fr-FR"/>
        </w:rPr>
        <w:t xml:space="preserve"> et VI-</w:t>
      </w:r>
      <w:r w:rsidR="002A4566">
        <w:rPr>
          <w:rFonts w:eastAsia="Times New Roman"/>
          <w:highlight w:val="yellow"/>
          <w:lang w:eastAsia="fr-FR"/>
        </w:rPr>
        <w:t>5</w:t>
      </w:r>
      <w:r>
        <w:rPr>
          <w:rFonts w:eastAsia="Times New Roman"/>
          <w:lang w:eastAsia="fr-FR"/>
        </w:rPr>
        <w:t xml:space="preserve"> </w:t>
      </w:r>
      <w:r w:rsidRPr="00610FC6">
        <w:rPr>
          <w:rFonts w:eastAsia="Times New Roman"/>
          <w:lang w:eastAsia="fr-FR"/>
        </w:rPr>
        <w:t>du présent arrêté et du refroidissement des installations menacées dans le</w:t>
      </w:r>
      <w:r>
        <w:rPr>
          <w:rFonts w:eastAsia="Times New Roman"/>
          <w:lang w:eastAsia="fr-FR"/>
        </w:rPr>
        <w:t xml:space="preserve">s conditions définies au </w:t>
      </w:r>
      <w:r w:rsidRPr="00BD2650">
        <w:rPr>
          <w:rFonts w:eastAsia="Times New Roman"/>
          <w:highlight w:val="yellow"/>
          <w:lang w:eastAsia="fr-FR"/>
        </w:rPr>
        <w:t xml:space="preserve">point </w:t>
      </w:r>
      <w:r>
        <w:rPr>
          <w:rFonts w:eastAsia="Times New Roman"/>
          <w:highlight w:val="yellow"/>
          <w:lang w:eastAsia="fr-FR"/>
        </w:rPr>
        <w:t>IX</w:t>
      </w:r>
      <w:r>
        <w:rPr>
          <w:rFonts w:eastAsia="Times New Roman"/>
          <w:lang w:eastAsia="fr-FR"/>
        </w:rPr>
        <w:t xml:space="preserve"> du présent article</w:t>
      </w:r>
      <w:r w:rsidRPr="00610FC6">
        <w:rPr>
          <w:rFonts w:eastAsia="Times New Roman"/>
          <w:lang w:eastAsia="fr-FR"/>
        </w:rPr>
        <w:t>.</w:t>
      </w:r>
    </w:p>
    <w:p w14:paraId="36BC8FE8" w14:textId="77777777" w:rsidR="00FD643E" w:rsidRDefault="00FD643E" w:rsidP="00FD643E">
      <w:pPr>
        <w:spacing w:after="0" w:line="240" w:lineRule="auto"/>
        <w:rPr>
          <w:rFonts w:eastAsia="Times New Roman" w:cs="Times New Roman"/>
          <w:szCs w:val="24"/>
          <w:lang w:eastAsia="fr-FR"/>
        </w:rPr>
      </w:pPr>
    </w:p>
    <w:p w14:paraId="7AE98009" w14:textId="77777777" w:rsidR="00FD643E" w:rsidRPr="00610FC6" w:rsidRDefault="00FD643E" w:rsidP="00FD643E">
      <w:pPr>
        <w:pStyle w:val="Titre3"/>
        <w:rPr>
          <w:rFonts w:eastAsia="Times New Roman"/>
          <w:lang w:eastAsia="fr-FR"/>
        </w:rPr>
      </w:pPr>
      <w:r w:rsidRPr="00610FC6">
        <w:rPr>
          <w:rFonts w:eastAsia="Times New Roman"/>
          <w:lang w:eastAsia="fr-FR"/>
        </w:rPr>
        <w:t>Si un arrêté préfectoral, applicable au site à la date d'entrée en vigueur des présentes dispositions, prévoit des quantités supérieures, l'exploitant s'assure du respect de ces quantités dans le temps, sauf si une modification est justifiée par un changement lié :</w:t>
      </w:r>
    </w:p>
    <w:p w14:paraId="6AE1C16B" w14:textId="5086E130" w:rsidR="00FD643E" w:rsidRDefault="00FD643E" w:rsidP="00FD643E">
      <w:pPr>
        <w:pStyle w:val="Paragraphedeliste"/>
        <w:numPr>
          <w:ilvl w:val="0"/>
          <w:numId w:val="26"/>
        </w:numPr>
        <w:spacing w:after="0" w:line="240" w:lineRule="auto"/>
        <w:rPr>
          <w:rFonts w:eastAsia="Times New Roman" w:cs="Times New Roman"/>
          <w:szCs w:val="24"/>
          <w:lang w:eastAsia="fr-FR"/>
        </w:rPr>
      </w:pPr>
      <w:r w:rsidRPr="006742E9">
        <w:rPr>
          <w:rFonts w:eastAsia="Times New Roman" w:cs="Times New Roman"/>
          <w:szCs w:val="24"/>
          <w:lang w:eastAsia="fr-FR"/>
        </w:rPr>
        <w:t xml:space="preserve">à la nature ou aux quantités de liquides inflammables </w:t>
      </w:r>
      <w:r>
        <w:rPr>
          <w:rFonts w:eastAsia="Times New Roman" w:cs="Times New Roman"/>
          <w:szCs w:val="24"/>
          <w:lang w:eastAsia="fr-FR"/>
        </w:rPr>
        <w:t xml:space="preserve">et </w:t>
      </w:r>
      <w:r w:rsidR="00E674B3">
        <w:rPr>
          <w:rFonts w:eastAsia="Times New Roman" w:cs="Times New Roman"/>
          <w:szCs w:val="24"/>
          <w:lang w:eastAsia="fr-FR"/>
        </w:rPr>
        <w:t>liquides et solides liquéfiables combustibles</w:t>
      </w:r>
      <w:r w:rsidR="00780B9C">
        <w:rPr>
          <w:rFonts w:eastAsia="Times New Roman" w:cs="Times New Roman"/>
          <w:szCs w:val="24"/>
          <w:lang w:eastAsia="fr-FR"/>
        </w:rPr>
        <w:t xml:space="preserve"> </w:t>
      </w:r>
      <w:r>
        <w:rPr>
          <w:rFonts w:eastAsia="Times New Roman" w:cs="Times New Roman"/>
          <w:szCs w:val="24"/>
          <w:lang w:eastAsia="fr-FR"/>
        </w:rPr>
        <w:t xml:space="preserve"> </w:t>
      </w:r>
      <w:r w:rsidRPr="006742E9">
        <w:rPr>
          <w:rFonts w:eastAsia="Times New Roman" w:cs="Times New Roman"/>
          <w:szCs w:val="24"/>
          <w:lang w:eastAsia="fr-FR"/>
        </w:rPr>
        <w:t>stockés ;</w:t>
      </w:r>
    </w:p>
    <w:p w14:paraId="71C6124A" w14:textId="09B055EA" w:rsidR="00FD643E" w:rsidRDefault="00FD643E" w:rsidP="00FD643E">
      <w:pPr>
        <w:pStyle w:val="Paragraphedeliste"/>
        <w:numPr>
          <w:ilvl w:val="0"/>
          <w:numId w:val="26"/>
        </w:numPr>
        <w:spacing w:after="0" w:line="240" w:lineRule="auto"/>
        <w:rPr>
          <w:rFonts w:eastAsia="Times New Roman" w:cs="Times New Roman"/>
          <w:szCs w:val="24"/>
          <w:lang w:eastAsia="fr-FR"/>
        </w:rPr>
      </w:pPr>
      <w:r w:rsidRPr="006742E9">
        <w:rPr>
          <w:rFonts w:eastAsia="Times New Roman" w:cs="Times New Roman"/>
          <w:szCs w:val="24"/>
          <w:lang w:eastAsia="fr-FR"/>
        </w:rPr>
        <w:t xml:space="preserve">à la façon dont les liquides inflammables </w:t>
      </w:r>
      <w:r>
        <w:rPr>
          <w:rFonts w:eastAsia="Times New Roman" w:cs="Times New Roman"/>
          <w:szCs w:val="24"/>
          <w:lang w:eastAsia="fr-FR"/>
        </w:rPr>
        <w:t xml:space="preserve">et </w:t>
      </w:r>
      <w:r w:rsidR="00E674B3">
        <w:rPr>
          <w:rFonts w:eastAsia="Times New Roman" w:cs="Times New Roman"/>
          <w:szCs w:val="24"/>
          <w:lang w:eastAsia="fr-FR"/>
        </w:rPr>
        <w:t>liquides et solides liquéfiables combustibles</w:t>
      </w:r>
      <w:r w:rsidR="00780B9C">
        <w:rPr>
          <w:rFonts w:eastAsia="Times New Roman" w:cs="Times New Roman"/>
          <w:szCs w:val="24"/>
          <w:lang w:eastAsia="fr-FR"/>
        </w:rPr>
        <w:t xml:space="preserve"> </w:t>
      </w:r>
      <w:r>
        <w:rPr>
          <w:rFonts w:eastAsia="Times New Roman" w:cs="Times New Roman"/>
          <w:szCs w:val="24"/>
          <w:lang w:eastAsia="fr-FR"/>
        </w:rPr>
        <w:t xml:space="preserve"> </w:t>
      </w:r>
      <w:r w:rsidRPr="006742E9">
        <w:rPr>
          <w:rFonts w:eastAsia="Times New Roman" w:cs="Times New Roman"/>
          <w:szCs w:val="24"/>
          <w:lang w:eastAsia="fr-FR"/>
        </w:rPr>
        <w:t>sont stockés (taille des réservoirs ou des rétentions) ;</w:t>
      </w:r>
    </w:p>
    <w:p w14:paraId="56B89ACA" w14:textId="77777777" w:rsidR="00FD643E" w:rsidRDefault="00FD643E" w:rsidP="00FD643E">
      <w:pPr>
        <w:pStyle w:val="Paragraphedeliste"/>
        <w:numPr>
          <w:ilvl w:val="0"/>
          <w:numId w:val="26"/>
        </w:numPr>
        <w:spacing w:after="0" w:line="240" w:lineRule="auto"/>
        <w:rPr>
          <w:rFonts w:eastAsia="Times New Roman" w:cs="Times New Roman"/>
          <w:szCs w:val="24"/>
          <w:lang w:eastAsia="fr-FR"/>
        </w:rPr>
      </w:pPr>
      <w:r w:rsidRPr="006742E9">
        <w:rPr>
          <w:rFonts w:eastAsia="Times New Roman" w:cs="Times New Roman"/>
          <w:szCs w:val="24"/>
          <w:lang w:eastAsia="fr-FR"/>
        </w:rPr>
        <w:t>à la qualité des émulseurs employés ;</w:t>
      </w:r>
    </w:p>
    <w:p w14:paraId="0317259B" w14:textId="77777777" w:rsidR="00FD643E" w:rsidRPr="006742E9" w:rsidRDefault="00FD643E" w:rsidP="00FD643E">
      <w:pPr>
        <w:pStyle w:val="Paragraphedeliste"/>
        <w:numPr>
          <w:ilvl w:val="0"/>
          <w:numId w:val="26"/>
        </w:numPr>
        <w:spacing w:after="0" w:line="240" w:lineRule="auto"/>
        <w:rPr>
          <w:rFonts w:eastAsia="Times New Roman" w:cs="Times New Roman"/>
          <w:szCs w:val="24"/>
          <w:lang w:eastAsia="fr-FR"/>
        </w:rPr>
      </w:pPr>
      <w:r w:rsidRPr="006742E9">
        <w:rPr>
          <w:rFonts w:eastAsia="Times New Roman" w:cs="Times New Roman"/>
          <w:szCs w:val="24"/>
          <w:lang w:eastAsia="fr-FR"/>
        </w:rPr>
        <w:t>au type de moyens d'extinction employés.</w:t>
      </w:r>
    </w:p>
    <w:p w14:paraId="2A0A6634" w14:textId="77777777" w:rsidR="00FD643E" w:rsidRPr="00610FC6" w:rsidRDefault="00FD643E" w:rsidP="00793531">
      <w:pPr>
        <w:spacing w:after="0" w:line="240" w:lineRule="auto"/>
        <w:ind w:firstLine="360"/>
        <w:rPr>
          <w:rFonts w:eastAsia="Times New Roman" w:cs="Times New Roman"/>
          <w:szCs w:val="24"/>
          <w:lang w:eastAsia="fr-FR"/>
        </w:rPr>
      </w:pPr>
      <w:r w:rsidRPr="00610FC6">
        <w:rPr>
          <w:rFonts w:eastAsia="Times New Roman" w:cs="Times New Roman"/>
          <w:szCs w:val="24"/>
          <w:lang w:eastAsia="fr-FR"/>
        </w:rPr>
        <w:t>L'exploitant détermine dans son étude de dangers ou dans son plan de défense incendie :</w:t>
      </w:r>
    </w:p>
    <w:p w14:paraId="6BFFA9E3" w14:textId="77777777" w:rsidR="00FD643E" w:rsidRDefault="00FD643E" w:rsidP="00FD643E">
      <w:pPr>
        <w:pStyle w:val="Paragraphedeliste"/>
        <w:numPr>
          <w:ilvl w:val="0"/>
          <w:numId w:val="27"/>
        </w:numPr>
        <w:spacing w:after="0" w:line="240" w:lineRule="auto"/>
        <w:rPr>
          <w:rFonts w:eastAsia="Times New Roman" w:cs="Times New Roman"/>
          <w:szCs w:val="24"/>
          <w:lang w:eastAsia="fr-FR"/>
        </w:rPr>
      </w:pPr>
      <w:r w:rsidRPr="006742E9">
        <w:rPr>
          <w:rFonts w:eastAsia="Times New Roman" w:cs="Times New Roman"/>
          <w:szCs w:val="24"/>
          <w:lang w:eastAsia="fr-FR"/>
        </w:rPr>
        <w:t>la chronologie de mise en œuvre des opérations d'extinction ;</w:t>
      </w:r>
    </w:p>
    <w:p w14:paraId="4A2567DE" w14:textId="77777777" w:rsidR="00FD643E" w:rsidRDefault="00FD643E" w:rsidP="00FD643E">
      <w:pPr>
        <w:pStyle w:val="Paragraphedeliste"/>
        <w:numPr>
          <w:ilvl w:val="0"/>
          <w:numId w:val="27"/>
        </w:numPr>
        <w:spacing w:after="0" w:line="240" w:lineRule="auto"/>
        <w:rPr>
          <w:rFonts w:eastAsia="Times New Roman" w:cs="Times New Roman"/>
          <w:szCs w:val="24"/>
          <w:lang w:eastAsia="fr-FR"/>
        </w:rPr>
      </w:pPr>
      <w:r w:rsidRPr="006742E9">
        <w:rPr>
          <w:rFonts w:eastAsia="Times New Roman" w:cs="Times New Roman"/>
          <w:szCs w:val="24"/>
          <w:lang w:eastAsia="fr-FR"/>
        </w:rPr>
        <w:t>la durée de chacune des étapes des opérations d'extinction ;</w:t>
      </w:r>
    </w:p>
    <w:p w14:paraId="180E99F9" w14:textId="77777777" w:rsidR="00FD643E" w:rsidRDefault="00FD643E" w:rsidP="00FD643E">
      <w:pPr>
        <w:pStyle w:val="Paragraphedeliste"/>
        <w:numPr>
          <w:ilvl w:val="0"/>
          <w:numId w:val="27"/>
        </w:numPr>
        <w:spacing w:after="0" w:line="240" w:lineRule="auto"/>
        <w:rPr>
          <w:rFonts w:eastAsia="Times New Roman" w:cs="Times New Roman"/>
          <w:szCs w:val="24"/>
          <w:lang w:eastAsia="fr-FR"/>
        </w:rPr>
      </w:pPr>
      <w:r w:rsidRPr="006742E9">
        <w:rPr>
          <w:rFonts w:eastAsia="Times New Roman" w:cs="Times New Roman"/>
          <w:szCs w:val="24"/>
          <w:lang w:eastAsia="fr-FR"/>
        </w:rPr>
        <w:t>la provenance et le délai de mise en œuvre des moyens nécessaires à l'extinction ;</w:t>
      </w:r>
    </w:p>
    <w:p w14:paraId="0335B5A2" w14:textId="77777777" w:rsidR="00FD643E" w:rsidRPr="006742E9" w:rsidRDefault="00FD643E" w:rsidP="00FD643E">
      <w:pPr>
        <w:pStyle w:val="Paragraphedeliste"/>
        <w:numPr>
          <w:ilvl w:val="0"/>
          <w:numId w:val="27"/>
        </w:numPr>
        <w:spacing w:after="0" w:line="240" w:lineRule="auto"/>
        <w:rPr>
          <w:rFonts w:eastAsia="Times New Roman" w:cs="Times New Roman"/>
          <w:szCs w:val="24"/>
          <w:lang w:eastAsia="fr-FR"/>
        </w:rPr>
      </w:pPr>
      <w:r w:rsidRPr="006742E9">
        <w:rPr>
          <w:rFonts w:eastAsia="Times New Roman" w:cs="Times New Roman"/>
          <w:szCs w:val="24"/>
          <w:lang w:eastAsia="fr-FR"/>
        </w:rPr>
        <w:t>la disponibilité des moyens en eau et en émulseur nécessaires pour l'accomplissement des opérations d'extinction.</w:t>
      </w:r>
    </w:p>
    <w:p w14:paraId="2D7B7FA7" w14:textId="77777777" w:rsidR="00FD643E" w:rsidRDefault="00FD643E" w:rsidP="00FD643E">
      <w:pPr>
        <w:spacing w:after="0" w:line="240" w:lineRule="auto"/>
        <w:rPr>
          <w:rFonts w:eastAsia="Times New Roman" w:cs="Times New Roman"/>
          <w:szCs w:val="24"/>
          <w:lang w:eastAsia="fr-FR"/>
        </w:rPr>
      </w:pPr>
    </w:p>
    <w:p w14:paraId="75DD04ED" w14:textId="77777777" w:rsidR="00FD643E" w:rsidRPr="00610FC6" w:rsidRDefault="00FD643E" w:rsidP="00FD643E">
      <w:pPr>
        <w:pStyle w:val="Titre3"/>
        <w:rPr>
          <w:rFonts w:eastAsia="Times New Roman"/>
          <w:lang w:eastAsia="fr-FR"/>
        </w:rPr>
      </w:pPr>
      <w:r w:rsidRPr="00610FC6">
        <w:rPr>
          <w:rFonts w:eastAsia="Times New Roman"/>
          <w:lang w:eastAsia="fr-FR"/>
        </w:rPr>
        <w:t>Si la stratégie de lutte contre l'incendie prévoit la mise en œuvre de plusieurs moyens d'extinction (par exemple mobiles et fixes), le taux d'application retenu pour leur dimensionnement est calculé au prorata de la contributi</w:t>
      </w:r>
      <w:r>
        <w:rPr>
          <w:rFonts w:eastAsia="Times New Roman"/>
          <w:lang w:eastAsia="fr-FR"/>
        </w:rPr>
        <w:t>on de chacun des moyens calculés</w:t>
      </w:r>
      <w:r w:rsidRPr="00610FC6">
        <w:rPr>
          <w:rFonts w:eastAsia="Times New Roman"/>
          <w:lang w:eastAsia="fr-FR"/>
        </w:rPr>
        <w:t xml:space="preserve"> par rapport au taux nécessaire correspondant.</w:t>
      </w:r>
    </w:p>
    <w:p w14:paraId="3B130171" w14:textId="77777777" w:rsidR="00FD643E" w:rsidRPr="00610FC6" w:rsidRDefault="00FD643E" w:rsidP="00793531">
      <w:pPr>
        <w:spacing w:after="0" w:line="240" w:lineRule="auto"/>
        <w:ind w:left="454"/>
        <w:rPr>
          <w:rFonts w:eastAsia="Times New Roman" w:cs="Times New Roman"/>
          <w:szCs w:val="24"/>
          <w:lang w:eastAsia="fr-FR"/>
        </w:rPr>
      </w:pPr>
      <w:r w:rsidRPr="00610FC6">
        <w:rPr>
          <w:rFonts w:eastAsia="Times New Roman" w:cs="Times New Roman"/>
          <w:szCs w:val="24"/>
          <w:lang w:eastAsia="fr-FR"/>
        </w:rPr>
        <w:t>Si la stratégie de lutte contre l'incendie prévoit l'utilisation de plusieurs classes d'émulseurs, le taux d'application retenu pour le dimensionnement des moyens est celui de la classe la plus pénalisante.</w:t>
      </w:r>
    </w:p>
    <w:p w14:paraId="090EB0DE" w14:textId="77777777" w:rsidR="00FD643E" w:rsidRDefault="00FD643E" w:rsidP="00FD643E">
      <w:pPr>
        <w:spacing w:after="0" w:line="240" w:lineRule="auto"/>
        <w:rPr>
          <w:rFonts w:eastAsia="Times New Roman" w:cs="Times New Roman"/>
          <w:szCs w:val="24"/>
          <w:lang w:eastAsia="fr-FR"/>
        </w:rPr>
      </w:pPr>
    </w:p>
    <w:p w14:paraId="13A3DFBC" w14:textId="77777777" w:rsidR="00FD643E" w:rsidRDefault="00FD643E" w:rsidP="00FD643E">
      <w:pPr>
        <w:pStyle w:val="Titre3"/>
        <w:rPr>
          <w:rFonts w:eastAsia="Times New Roman"/>
          <w:lang w:eastAsia="fr-FR"/>
        </w:rPr>
      </w:pPr>
      <w:r>
        <w:rPr>
          <w:rFonts w:eastAsia="Times New Roman"/>
          <w:lang w:eastAsia="fr-FR"/>
        </w:rPr>
        <w:t>Protection des installations</w:t>
      </w:r>
    </w:p>
    <w:p w14:paraId="192AC0FA" w14:textId="77777777" w:rsidR="00B944F3" w:rsidRDefault="00FD643E" w:rsidP="00793531">
      <w:pPr>
        <w:ind w:left="454"/>
        <w:rPr>
          <w:lang w:eastAsia="fr-FR"/>
        </w:rPr>
      </w:pPr>
      <w:r w:rsidRPr="00610FC6">
        <w:rPr>
          <w:lang w:eastAsia="fr-FR"/>
        </w:rPr>
        <w:t>Pour l</w:t>
      </w:r>
      <w:r w:rsidRPr="00AA3F7A">
        <w:rPr>
          <w:lang w:eastAsia="fr-FR"/>
        </w:rPr>
        <w:t xml:space="preserve">a protection des installations ou autres équipements exposés à un flux thermique supérieur ou égal à 8 kW/m2 et identifiés par l'étude de dangers comme pouvant générer un phénomène dangereux par effet domino, </w:t>
      </w:r>
      <w:r w:rsidRPr="00610FC6">
        <w:rPr>
          <w:lang w:eastAsia="fr-FR"/>
        </w:rPr>
        <w:t>le dimensionnement des besoins en eau est basé sur les débits suivants :</w:t>
      </w:r>
      <w:r w:rsidRPr="00AA3F7A">
        <w:rPr>
          <w:lang w:eastAsia="fr-FR"/>
        </w:rPr>
        <w:t xml:space="preserve"> 1 litre par minute et par mètre carré de surface exposée. Une </w:t>
      </w:r>
      <w:r w:rsidRPr="00AA3F7A">
        <w:rPr>
          <w:lang w:eastAsia="fr-FR"/>
        </w:rPr>
        <w:lastRenderedPageBreak/>
        <w:t>valeur différente peut être prescrite par arrêté préfectoral sous réserve d'une étude spécifique réalisée par l'exploitant.</w:t>
      </w:r>
    </w:p>
    <w:p w14:paraId="6874A3A6" w14:textId="77777777" w:rsidR="00B944F3" w:rsidRDefault="00B944F3" w:rsidP="00B944F3">
      <w:pPr>
        <w:rPr>
          <w:lang w:eastAsia="fr-FR"/>
        </w:rPr>
      </w:pPr>
    </w:p>
    <w:p w14:paraId="26B6AD84" w14:textId="632BC568" w:rsidR="00FD643E" w:rsidRDefault="00FD643E" w:rsidP="00B944F3">
      <w:pPr>
        <w:pStyle w:val="Titre3"/>
        <w:rPr>
          <w:lang w:eastAsia="fr-FR"/>
        </w:rPr>
      </w:pPr>
      <w:r w:rsidRPr="00604D4E">
        <w:rPr>
          <w:rFonts w:eastAsia="Times New Roman"/>
          <w:lang w:eastAsia="fr-FR"/>
        </w:rPr>
        <w:t>Si le débit d'eau nécessaire à l'opération d'extinction dépasse 240 mètres cubes par heure, l'installation dispose d'un réseau maillé et sectionnable au plus près de la pomperie.</w:t>
      </w:r>
    </w:p>
    <w:p w14:paraId="21410E2F" w14:textId="77777777" w:rsidR="00B944F3" w:rsidRDefault="00B944F3" w:rsidP="00B944F3">
      <w:pPr>
        <w:rPr>
          <w:lang w:eastAsia="fr-FR"/>
        </w:rPr>
      </w:pPr>
    </w:p>
    <w:p w14:paraId="492B777F" w14:textId="4B218306" w:rsidR="00FD643E" w:rsidRPr="00604D4E" w:rsidRDefault="00FD643E" w:rsidP="001A1059">
      <w:pPr>
        <w:pStyle w:val="Titre3"/>
        <w:rPr>
          <w:rFonts w:eastAsia="Times New Roman"/>
          <w:lang w:eastAsia="fr-FR"/>
        </w:rPr>
      </w:pPr>
      <w:r w:rsidRPr="00604D4E">
        <w:rPr>
          <w:rFonts w:eastAsia="Times New Roman"/>
          <w:lang w:eastAsia="fr-FR"/>
        </w:rPr>
        <w:t>Les réseaux, les réserves en eau ou en émulseur et les équipements hydrauliques disposent de raccords permettant la connexion des moyens de secours publics.</w:t>
      </w:r>
    </w:p>
    <w:p w14:paraId="2394151C" w14:textId="77777777" w:rsidR="00FD643E" w:rsidRPr="00610FC6" w:rsidRDefault="00FD643E" w:rsidP="00793531">
      <w:pPr>
        <w:spacing w:after="0" w:line="240" w:lineRule="auto"/>
        <w:ind w:left="454"/>
        <w:rPr>
          <w:rFonts w:eastAsia="Times New Roman" w:cs="Times New Roman"/>
          <w:szCs w:val="24"/>
          <w:lang w:eastAsia="fr-FR"/>
        </w:rPr>
      </w:pPr>
      <w:r w:rsidRPr="00610FC6">
        <w:rPr>
          <w:rFonts w:eastAsia="Times New Roman" w:cs="Times New Roman"/>
          <w:szCs w:val="24"/>
          <w:lang w:eastAsia="fr-FR"/>
        </w:rPr>
        <w:t>Des raccords de réalimentation du réseau par des moyens mobiles sont prévus pour pallier un éventuel dysfonctionnement de la pompe</w:t>
      </w:r>
      <w:r>
        <w:rPr>
          <w:rFonts w:eastAsia="Times New Roman" w:cs="Times New Roman"/>
          <w:szCs w:val="24"/>
          <w:lang w:eastAsia="fr-FR"/>
        </w:rPr>
        <w:t>rie. Si</w:t>
      </w:r>
      <w:r w:rsidRPr="00610FC6">
        <w:rPr>
          <w:rFonts w:eastAsia="Times New Roman" w:cs="Times New Roman"/>
          <w:szCs w:val="24"/>
          <w:lang w:eastAsia="fr-FR"/>
        </w:rPr>
        <w:t xml:space="preserve"> l'exploitant dispose de ses propres groupes de pompage, il dispose de moyens de pompage de secours lui permettant de pallier le dysfonctionnement de n'importe lequel de ses groupes pris individuellement.</w:t>
      </w:r>
    </w:p>
    <w:p w14:paraId="02FAA213" w14:textId="77777777" w:rsidR="00FD643E" w:rsidRDefault="00FD643E" w:rsidP="00FD643E">
      <w:pPr>
        <w:spacing w:after="0" w:line="240" w:lineRule="auto"/>
        <w:rPr>
          <w:rFonts w:eastAsia="Times New Roman" w:cs="Times New Roman"/>
          <w:szCs w:val="24"/>
          <w:lang w:eastAsia="fr-FR"/>
        </w:rPr>
      </w:pPr>
    </w:p>
    <w:p w14:paraId="642870A4" w14:textId="77777777" w:rsidR="00FD643E" w:rsidRPr="00610FC6" w:rsidRDefault="00FD643E" w:rsidP="00FD643E">
      <w:pPr>
        <w:pStyle w:val="Titre3"/>
        <w:rPr>
          <w:rFonts w:eastAsia="Times New Roman"/>
          <w:lang w:eastAsia="fr-FR"/>
        </w:rPr>
      </w:pPr>
      <w:r w:rsidRPr="00610FC6">
        <w:rPr>
          <w:rFonts w:eastAsia="Times New Roman"/>
          <w:lang w:eastAsia="fr-FR"/>
        </w:rPr>
        <w:t>L'ensemble des moyens prévus dan</w:t>
      </w:r>
      <w:r>
        <w:rPr>
          <w:rFonts w:eastAsia="Times New Roman"/>
          <w:lang w:eastAsia="fr-FR"/>
        </w:rPr>
        <w:t xml:space="preserve">s cet </w:t>
      </w:r>
      <w:r w:rsidRPr="00250443">
        <w:rPr>
          <w:rFonts w:eastAsia="Times New Roman"/>
          <w:highlight w:val="yellow"/>
          <w:lang w:eastAsia="fr-FR"/>
        </w:rPr>
        <w:t>article</w:t>
      </w:r>
      <w:r w:rsidRPr="00610FC6">
        <w:rPr>
          <w:rFonts w:eastAsia="Times New Roman"/>
          <w:lang w:eastAsia="fr-FR"/>
        </w:rPr>
        <w:t xml:space="preserve"> sont régulièrement contrôlés et entretenus pour garantir leur fonctionnement en toutes circonstances. Les dates et résultats des tests de défense incendie réalisés sont consignés dans un registre éventuellement informatisé qui est tenu à la disposition de l'inspection des installations classées.</w:t>
      </w:r>
    </w:p>
    <w:p w14:paraId="102F67A6" w14:textId="77777777" w:rsidR="00FD643E" w:rsidRDefault="00FD643E" w:rsidP="00FD643E">
      <w:pPr>
        <w:spacing w:after="0" w:line="240" w:lineRule="auto"/>
        <w:rPr>
          <w:rFonts w:eastAsia="Times New Roman" w:cs="Times New Roman"/>
          <w:szCs w:val="24"/>
          <w:lang w:eastAsia="fr-FR"/>
        </w:rPr>
      </w:pPr>
    </w:p>
    <w:p w14:paraId="07EB9D43" w14:textId="71A3ECBE" w:rsidR="00604D4E" w:rsidRDefault="00D4136A" w:rsidP="00FD643E">
      <w:pPr>
        <w:pStyle w:val="Titre2"/>
      </w:pPr>
      <w:r>
        <w:t>Moyens complémentaires à la stratégie incendie</w:t>
      </w:r>
    </w:p>
    <w:p w14:paraId="268855ED" w14:textId="623A9C19" w:rsidR="0062484A" w:rsidRPr="00604F74" w:rsidRDefault="0062484A" w:rsidP="00D53E3A">
      <w:pPr>
        <w:spacing w:after="0" w:line="240" w:lineRule="auto"/>
        <w:rPr>
          <w:rFonts w:eastAsia="Times New Roman" w:cs="Times New Roman"/>
          <w:szCs w:val="24"/>
          <w:lang w:eastAsia="fr-FR"/>
        </w:rPr>
      </w:pPr>
      <w:r w:rsidRPr="00604F74">
        <w:rPr>
          <w:rFonts w:eastAsia="Times New Roman" w:cs="Times New Roman"/>
          <w:szCs w:val="24"/>
          <w:lang w:eastAsia="fr-FR"/>
        </w:rPr>
        <w:t xml:space="preserve">En complément des moyens de lutte contre l’incendie évalués en application des dispositions des </w:t>
      </w:r>
      <w:r w:rsidRPr="00250443">
        <w:rPr>
          <w:rFonts w:eastAsia="Times New Roman" w:cs="Times New Roman"/>
          <w:szCs w:val="24"/>
          <w:highlight w:val="yellow"/>
          <w:lang w:eastAsia="fr-FR"/>
        </w:rPr>
        <w:t>article</w:t>
      </w:r>
      <w:r w:rsidR="00C24654" w:rsidRPr="00250443">
        <w:rPr>
          <w:rFonts w:eastAsia="Times New Roman" w:cs="Times New Roman"/>
          <w:szCs w:val="24"/>
          <w:highlight w:val="yellow"/>
          <w:lang w:eastAsia="fr-FR"/>
        </w:rPr>
        <w:t>s</w:t>
      </w:r>
      <w:r w:rsidRPr="00250443">
        <w:rPr>
          <w:rFonts w:eastAsia="Times New Roman" w:cs="Times New Roman"/>
          <w:szCs w:val="24"/>
          <w:highlight w:val="yellow"/>
          <w:lang w:eastAsia="fr-FR"/>
        </w:rPr>
        <w:t xml:space="preserve"> VI</w:t>
      </w:r>
      <w:r w:rsidR="006803B0" w:rsidRPr="00250443">
        <w:rPr>
          <w:rFonts w:eastAsia="Times New Roman" w:cs="Times New Roman"/>
          <w:szCs w:val="24"/>
          <w:highlight w:val="yellow"/>
          <w:lang w:eastAsia="fr-FR"/>
        </w:rPr>
        <w:t>-</w:t>
      </w:r>
      <w:r w:rsidRPr="00250443">
        <w:rPr>
          <w:rFonts w:eastAsia="Times New Roman" w:cs="Times New Roman"/>
          <w:szCs w:val="24"/>
          <w:highlight w:val="yellow"/>
          <w:lang w:eastAsia="fr-FR"/>
        </w:rPr>
        <w:t>1 et VI</w:t>
      </w:r>
      <w:r w:rsidR="006803B0" w:rsidRPr="00250443">
        <w:rPr>
          <w:rFonts w:eastAsia="Times New Roman" w:cs="Times New Roman"/>
          <w:szCs w:val="24"/>
          <w:highlight w:val="yellow"/>
          <w:lang w:eastAsia="fr-FR"/>
        </w:rPr>
        <w:t>-</w:t>
      </w:r>
      <w:r w:rsidRPr="00250443">
        <w:rPr>
          <w:rFonts w:eastAsia="Times New Roman" w:cs="Times New Roman"/>
          <w:szCs w:val="24"/>
          <w:highlight w:val="yellow"/>
          <w:lang w:eastAsia="fr-FR"/>
        </w:rPr>
        <w:t>2</w:t>
      </w:r>
      <w:r w:rsidRPr="00604F74">
        <w:rPr>
          <w:rFonts w:eastAsia="Times New Roman" w:cs="Times New Roman"/>
          <w:szCs w:val="24"/>
          <w:lang w:eastAsia="fr-FR"/>
        </w:rPr>
        <w:t xml:space="preserve"> du présent arrêté, l’exploitant dispose de ressources et réserve en eau et émulseurs supplémentaires équivalent à 20% de ces moyens.</w:t>
      </w:r>
    </w:p>
    <w:p w14:paraId="1F0023F4" w14:textId="16810330" w:rsidR="00A2229B" w:rsidRPr="00604F74" w:rsidRDefault="00A2229B" w:rsidP="0062484A">
      <w:pPr>
        <w:spacing w:after="0" w:line="240" w:lineRule="auto"/>
        <w:rPr>
          <w:rFonts w:eastAsia="Times New Roman"/>
          <w:lang w:eastAsia="fr-FR"/>
        </w:rPr>
      </w:pPr>
      <w:r w:rsidRPr="00604F74">
        <w:rPr>
          <w:rFonts w:eastAsia="Times New Roman"/>
          <w:lang w:eastAsia="fr-FR"/>
        </w:rPr>
        <w:t>Ces ressources complémentaires peuvent provenir en tout ou partie de moyens mobilisables en temps utile par l'application de protocoles d'aide mutuelle ou des conventions.</w:t>
      </w:r>
    </w:p>
    <w:p w14:paraId="3FBF4DA0" w14:textId="437C75A9" w:rsidR="0062484A" w:rsidRDefault="0062484A" w:rsidP="0062484A">
      <w:pPr>
        <w:spacing w:after="0" w:line="240" w:lineRule="auto"/>
        <w:rPr>
          <w:rFonts w:eastAsia="Times New Roman" w:cs="Times New Roman"/>
          <w:szCs w:val="24"/>
          <w:lang w:eastAsia="fr-FR"/>
        </w:rPr>
      </w:pPr>
      <w:r w:rsidRPr="00604F74">
        <w:rPr>
          <w:rFonts w:eastAsia="Times New Roman" w:cs="Times New Roman"/>
          <w:szCs w:val="24"/>
          <w:lang w:eastAsia="fr-FR"/>
        </w:rPr>
        <w:t xml:space="preserve">Les protocoles d’aile mutuelle ou convention sont établies dans les conditions du I. de </w:t>
      </w:r>
      <w:r w:rsidRPr="00250443">
        <w:rPr>
          <w:rFonts w:eastAsia="Times New Roman" w:cs="Times New Roman"/>
          <w:szCs w:val="24"/>
          <w:highlight w:val="yellow"/>
          <w:lang w:eastAsia="fr-FR"/>
        </w:rPr>
        <w:t>l’article VI</w:t>
      </w:r>
      <w:r w:rsidR="006803B0" w:rsidRPr="00250443">
        <w:rPr>
          <w:rFonts w:eastAsia="Times New Roman" w:cs="Times New Roman"/>
          <w:szCs w:val="24"/>
          <w:highlight w:val="yellow"/>
          <w:lang w:eastAsia="fr-FR"/>
        </w:rPr>
        <w:t>-</w:t>
      </w:r>
      <w:r w:rsidRPr="00250443">
        <w:rPr>
          <w:rFonts w:eastAsia="Times New Roman" w:cs="Times New Roman"/>
          <w:szCs w:val="24"/>
          <w:highlight w:val="yellow"/>
          <w:lang w:eastAsia="fr-FR"/>
        </w:rPr>
        <w:t>2</w:t>
      </w:r>
      <w:r w:rsidRPr="00604F74">
        <w:rPr>
          <w:rFonts w:eastAsia="Times New Roman" w:cs="Times New Roman"/>
          <w:szCs w:val="24"/>
          <w:lang w:eastAsia="fr-FR"/>
        </w:rPr>
        <w:t>.</w:t>
      </w:r>
    </w:p>
    <w:p w14:paraId="73EE26DD" w14:textId="6B7F6E4A" w:rsidR="00B768B4" w:rsidRDefault="00B768B4" w:rsidP="0062484A">
      <w:pPr>
        <w:spacing w:after="0" w:line="240" w:lineRule="auto"/>
        <w:rPr>
          <w:rFonts w:eastAsia="Times New Roman" w:cs="Times New Roman"/>
          <w:szCs w:val="24"/>
          <w:lang w:eastAsia="fr-FR"/>
        </w:rPr>
      </w:pPr>
    </w:p>
    <w:p w14:paraId="70923CA7" w14:textId="59804103" w:rsidR="00B768B4" w:rsidRDefault="00B768B4" w:rsidP="0066259D">
      <w:pPr>
        <w:pStyle w:val="western"/>
        <w:spacing w:after="0"/>
      </w:pPr>
      <w:r>
        <w:t>Par ailleurs, la stratégie incendie prévue à l’article VI-I précise les modalités prévisionnelles permettant d’assurer la continuité d’approvisionnement en eau en cas de prolongation de l’incendie au-delà de 3 heures, ou le cas échéant, au-delà de la durée nécessaire à l’extinction de l’incendie ; Ces modalités peuvent s’appuyer sur l’utilisation des moyens propres au site, y compris par recyclage ou d'autres moyens privés ou publics. Le cas échéant, les modalités d’utilisation et d’information du ou des gestionnaires sont précisées. Dans le cas d'un recyclage d’une partie des eaux d’extinction d’incendie, les conditions techniques et modalités prévues sont explicitées. </w:t>
      </w:r>
    </w:p>
    <w:p w14:paraId="12B70A77" w14:textId="77777777" w:rsidR="00B768B4" w:rsidRDefault="00B768B4" w:rsidP="0062484A">
      <w:pPr>
        <w:spacing w:after="0" w:line="240" w:lineRule="auto"/>
        <w:rPr>
          <w:rFonts w:eastAsia="Times New Roman" w:cs="Times New Roman"/>
          <w:szCs w:val="24"/>
          <w:lang w:eastAsia="fr-FR"/>
        </w:rPr>
      </w:pPr>
    </w:p>
    <w:p w14:paraId="0405D7E8" w14:textId="0E0FC95F" w:rsidR="0062484A" w:rsidRDefault="0062484A" w:rsidP="00D53E3A">
      <w:pPr>
        <w:spacing w:after="0" w:line="240" w:lineRule="auto"/>
        <w:rPr>
          <w:rFonts w:eastAsia="Times New Roman" w:cs="Times New Roman"/>
          <w:szCs w:val="24"/>
          <w:lang w:eastAsia="fr-FR"/>
        </w:rPr>
      </w:pPr>
    </w:p>
    <w:p w14:paraId="05A808C0" w14:textId="55D282AA" w:rsidR="00FD643E" w:rsidRDefault="00FD643E" w:rsidP="00FD643E">
      <w:pPr>
        <w:pStyle w:val="Titre2"/>
      </w:pPr>
      <w:r>
        <w:t>Dispositions applicables aux stockages extérieurs</w:t>
      </w:r>
    </w:p>
    <w:p w14:paraId="65F696F5" w14:textId="12E127F5" w:rsidR="00E86B6E" w:rsidRPr="00251B00" w:rsidRDefault="00E86B6E" w:rsidP="00E86B6E">
      <w:pPr>
        <w:pStyle w:val="Titre3"/>
        <w:rPr>
          <w:rFonts w:eastAsia="Times New Roman"/>
          <w:lang w:eastAsia="fr-FR"/>
        </w:rPr>
      </w:pPr>
      <w:r w:rsidRPr="00251B00">
        <w:rPr>
          <w:rFonts w:eastAsia="Times New Roman"/>
          <w:lang w:eastAsia="fr-FR"/>
        </w:rPr>
        <w:lastRenderedPageBreak/>
        <w:t>L'exploitant dispose de moyens de première intervention permettant de faire face à un début d'incendie de liquides inflammables et réunit les moyens hydrauliques nécessaires afin de protéger les autres installations susceptibles de propager le sinistre ou d'en augmenter les effets ainsi que les installations participant à la lutte contre l'incendie.</w:t>
      </w:r>
    </w:p>
    <w:p w14:paraId="6E148307" w14:textId="77777777" w:rsidR="00E86B6E" w:rsidRDefault="00E86B6E" w:rsidP="00FD643E">
      <w:pPr>
        <w:spacing w:after="0" w:line="240" w:lineRule="auto"/>
        <w:rPr>
          <w:rFonts w:eastAsia="Times New Roman" w:cs="Times New Roman"/>
          <w:szCs w:val="24"/>
          <w:lang w:eastAsia="fr-FR"/>
        </w:rPr>
      </w:pPr>
    </w:p>
    <w:p w14:paraId="1A645F21" w14:textId="77DE9DD2" w:rsidR="00FD643E" w:rsidRPr="00610FC6" w:rsidRDefault="00FD643E" w:rsidP="00E86B6E">
      <w:pPr>
        <w:pStyle w:val="Titre3"/>
        <w:rPr>
          <w:rFonts w:eastAsia="Times New Roman" w:cs="Times New Roman"/>
          <w:lang w:eastAsia="fr-FR"/>
        </w:rPr>
      </w:pPr>
      <w:r>
        <w:rPr>
          <w:rFonts w:eastAsia="Times New Roman" w:cs="Times New Roman"/>
          <w:lang w:eastAsia="fr-FR"/>
        </w:rPr>
        <w:t>La</w:t>
      </w:r>
      <w:r w:rsidRPr="00610FC6">
        <w:rPr>
          <w:rFonts w:eastAsia="Times New Roman" w:cs="Times New Roman"/>
          <w:lang w:eastAsia="fr-FR"/>
        </w:rPr>
        <w:t xml:space="preserve"> définition du taux d'application et la durée de l'extinction respectent</w:t>
      </w:r>
      <w:r w:rsidR="00816D49">
        <w:rPr>
          <w:rFonts w:eastAsia="Times New Roman" w:cs="Times New Roman"/>
          <w:lang w:eastAsia="fr-FR"/>
        </w:rPr>
        <w:t xml:space="preserve"> au moins </w:t>
      </w:r>
      <w:r w:rsidRPr="00610FC6">
        <w:rPr>
          <w:rFonts w:eastAsia="Times New Roman" w:cs="Times New Roman"/>
          <w:lang w:eastAsia="fr-FR"/>
        </w:rPr>
        <w:t xml:space="preserve">les valeurs données en annexe </w:t>
      </w:r>
      <w:r w:rsidRPr="00A27CFD">
        <w:rPr>
          <w:rFonts w:eastAsia="Times New Roman" w:cs="Times New Roman"/>
          <w:highlight w:val="yellow"/>
          <w:lang w:eastAsia="fr-FR"/>
        </w:rPr>
        <w:t>V</w:t>
      </w:r>
      <w:r>
        <w:rPr>
          <w:rFonts w:eastAsia="Times New Roman" w:cs="Times New Roman"/>
          <w:lang w:eastAsia="fr-FR"/>
        </w:rPr>
        <w:t xml:space="preserve"> de l’arrêté du 3 octobre 2010</w:t>
      </w:r>
      <w:r w:rsidRPr="00610FC6">
        <w:rPr>
          <w:rFonts w:eastAsia="Times New Roman" w:cs="Times New Roman"/>
          <w:lang w:eastAsia="fr-FR"/>
        </w:rPr>
        <w:t xml:space="preserve">. </w:t>
      </w:r>
    </w:p>
    <w:p w14:paraId="17A2435E" w14:textId="77777777" w:rsidR="00FD643E" w:rsidRDefault="00FD643E" w:rsidP="00FD643E">
      <w:pPr>
        <w:spacing w:after="0" w:line="240" w:lineRule="auto"/>
        <w:rPr>
          <w:rFonts w:eastAsia="Times New Roman" w:cs="Times New Roman"/>
          <w:szCs w:val="24"/>
          <w:lang w:eastAsia="fr-FR"/>
        </w:rPr>
      </w:pPr>
    </w:p>
    <w:p w14:paraId="448DAC0E" w14:textId="61490730" w:rsidR="00FD643E" w:rsidRDefault="00FD643E" w:rsidP="00FD643E">
      <w:pPr>
        <w:pStyle w:val="Titre2"/>
      </w:pPr>
      <w:r>
        <w:t>Dispositions applicables aux stockages</w:t>
      </w:r>
      <w:r w:rsidR="00035CFF">
        <w:t xml:space="preserve"> couverts</w:t>
      </w:r>
    </w:p>
    <w:p w14:paraId="67ED3E51" w14:textId="77777777" w:rsidR="00FD643E" w:rsidRPr="00251B00" w:rsidRDefault="00FD643E" w:rsidP="00FD643E">
      <w:pPr>
        <w:pStyle w:val="Titre3"/>
        <w:rPr>
          <w:rFonts w:eastAsia="Times New Roman"/>
          <w:lang w:eastAsia="fr-FR"/>
        </w:rPr>
      </w:pPr>
      <w:r w:rsidRPr="00251B00">
        <w:rPr>
          <w:rFonts w:eastAsia="Times New Roman"/>
          <w:lang w:eastAsia="fr-FR"/>
        </w:rPr>
        <w:t>L'exploitant dispose de moyens de première intervention permettant de faire face à un début d'incendie de liquides inflammables et réunit les moyens hydrauliques nécessaires afin de protéger les autres installations ou parties du bâtiment susceptibles de propager le sinistre ou d'en augmenter les effets ainsi que les installations participant à la lutte contre l'incendie.</w:t>
      </w:r>
    </w:p>
    <w:p w14:paraId="137CA296" w14:textId="77777777" w:rsidR="00FD643E" w:rsidRDefault="00FD643E" w:rsidP="00FD643E">
      <w:pPr>
        <w:spacing w:after="0" w:line="240" w:lineRule="auto"/>
        <w:rPr>
          <w:rFonts w:eastAsia="Times New Roman" w:cs="Times New Roman"/>
          <w:szCs w:val="24"/>
          <w:lang w:eastAsia="fr-FR"/>
        </w:rPr>
      </w:pPr>
    </w:p>
    <w:p w14:paraId="2F762351" w14:textId="4A2D2C22" w:rsidR="00FD643E" w:rsidRPr="008E5BD1" w:rsidRDefault="00FD643E" w:rsidP="00FD643E">
      <w:pPr>
        <w:pStyle w:val="Titre3"/>
        <w:rPr>
          <w:rFonts w:eastAsia="Times New Roman"/>
          <w:lang w:eastAsia="fr-FR"/>
        </w:rPr>
      </w:pPr>
      <w:r w:rsidRPr="008E5BD1">
        <w:rPr>
          <w:rFonts w:eastAsia="Times New Roman"/>
          <w:lang w:eastAsia="fr-FR"/>
        </w:rPr>
        <w:t>Un système d'extinction automatique d'incendie adapté aux produits stockés est mis en place dans chaque cellule de liquides inflammables</w:t>
      </w:r>
      <w:r w:rsidR="00FA5E13">
        <w:rPr>
          <w:rFonts w:eastAsia="Times New Roman"/>
          <w:lang w:eastAsia="fr-FR"/>
        </w:rPr>
        <w:t>.</w:t>
      </w:r>
    </w:p>
    <w:p w14:paraId="6235B78F" w14:textId="6FAA904C" w:rsidR="00FD643E" w:rsidRPr="00251B00" w:rsidRDefault="00FD643E" w:rsidP="00CE43BB">
      <w:pPr>
        <w:spacing w:after="0" w:line="240" w:lineRule="auto"/>
        <w:ind w:left="454"/>
        <w:rPr>
          <w:rFonts w:eastAsia="Times New Roman" w:cs="Times New Roman"/>
          <w:szCs w:val="24"/>
          <w:lang w:eastAsia="fr-FR"/>
        </w:rPr>
      </w:pPr>
      <w:r w:rsidRPr="00251B00">
        <w:rPr>
          <w:rFonts w:eastAsia="Times New Roman" w:cs="Times New Roman"/>
          <w:szCs w:val="24"/>
          <w:lang w:eastAsia="fr-FR"/>
        </w:rPr>
        <w:t xml:space="preserve">Le choix du système d'extinction automatique d'incendie à implanter est explicité dans </w:t>
      </w:r>
      <w:r w:rsidR="00EE2710">
        <w:rPr>
          <w:rFonts w:eastAsia="Times New Roman" w:cs="Times New Roman"/>
          <w:szCs w:val="24"/>
          <w:lang w:eastAsia="fr-FR"/>
        </w:rPr>
        <w:t>la stratégie incendie</w:t>
      </w:r>
      <w:r w:rsidR="00FA5E13">
        <w:rPr>
          <w:rFonts w:eastAsia="Times New Roman" w:cs="Times New Roman"/>
          <w:szCs w:val="24"/>
          <w:lang w:eastAsia="fr-FR"/>
        </w:rPr>
        <w:t xml:space="preserve"> Le système répond aux exigences fixées par les normes en vigueur</w:t>
      </w:r>
      <w:r w:rsidRPr="00251B00">
        <w:rPr>
          <w:rFonts w:eastAsia="Times New Roman" w:cs="Times New Roman"/>
          <w:szCs w:val="24"/>
          <w:lang w:eastAsia="fr-FR"/>
        </w:rPr>
        <w:t xml:space="preserve">. </w:t>
      </w:r>
      <w:r w:rsidR="00EE2710">
        <w:rPr>
          <w:rFonts w:eastAsia="Times New Roman" w:cs="Times New Roman"/>
          <w:szCs w:val="24"/>
          <w:lang w:eastAsia="fr-FR"/>
        </w:rPr>
        <w:t>La stratégie incendie</w:t>
      </w:r>
      <w:r w:rsidRPr="00251B00">
        <w:rPr>
          <w:rFonts w:eastAsia="Times New Roman" w:cs="Times New Roman"/>
          <w:szCs w:val="24"/>
          <w:lang w:eastAsia="fr-FR"/>
        </w:rPr>
        <w:t xml:space="preserve"> précise le référentiel professionnel retenu pour le choix et le dimensionnement du système d'extinction mis en place.</w:t>
      </w:r>
    </w:p>
    <w:p w14:paraId="41CFE0AF" w14:textId="7958D068" w:rsidR="00FD643E" w:rsidRPr="00251B00" w:rsidRDefault="00FD643E" w:rsidP="00CE43BB">
      <w:pPr>
        <w:spacing w:after="0" w:line="240" w:lineRule="auto"/>
        <w:ind w:left="454"/>
        <w:rPr>
          <w:rFonts w:eastAsia="Times New Roman" w:cs="Times New Roman"/>
          <w:szCs w:val="24"/>
          <w:lang w:eastAsia="fr-FR"/>
        </w:rPr>
      </w:pPr>
      <w:r w:rsidRPr="00251B00">
        <w:rPr>
          <w:rFonts w:eastAsia="Times New Roman" w:cs="Times New Roman"/>
          <w:szCs w:val="24"/>
          <w:lang w:eastAsia="fr-FR"/>
        </w:rPr>
        <w:t>Avant la mise en service de l'installation, une attestation de conformité du système d'extinction mis en place aux exigences du référentiel professionnel retenu</w:t>
      </w:r>
      <w:r w:rsidR="002A4566">
        <w:rPr>
          <w:rFonts w:eastAsia="Times New Roman" w:cs="Times New Roman"/>
          <w:szCs w:val="24"/>
          <w:lang w:eastAsia="fr-FR"/>
        </w:rPr>
        <w:t xml:space="preserve"> est établie.</w:t>
      </w:r>
      <w:r w:rsidRPr="00251B00">
        <w:rPr>
          <w:rFonts w:eastAsia="Times New Roman" w:cs="Times New Roman"/>
          <w:szCs w:val="24"/>
          <w:lang w:eastAsia="fr-FR"/>
        </w:rPr>
        <w:t>. Cette attestation est accompagnée d'une description du système et des principaux éléments techniques concernant</w:t>
      </w:r>
      <w:r w:rsidR="006064DE">
        <w:rPr>
          <w:rFonts w:eastAsia="Times New Roman" w:cs="Times New Roman"/>
          <w:szCs w:val="24"/>
          <w:lang w:eastAsia="fr-FR"/>
        </w:rPr>
        <w:t xml:space="preserve"> la surface de dimensionnement des zones de collecte,</w:t>
      </w:r>
      <w:r w:rsidRPr="00251B00">
        <w:rPr>
          <w:rFonts w:eastAsia="Times New Roman" w:cs="Times New Roman"/>
          <w:szCs w:val="24"/>
          <w:lang w:eastAsia="fr-FR"/>
        </w:rPr>
        <w:t xml:space="preserve"> les réserves en eau, le cas échéant les réserves en émulseur, l'alimentation des pompes et l'estimation des débits d'alimentation en eau et, le cas échéant, en émulseur.</w:t>
      </w:r>
      <w:r w:rsidR="002A4566">
        <w:rPr>
          <w:rFonts w:eastAsia="Times New Roman" w:cs="Times New Roman"/>
          <w:szCs w:val="24"/>
          <w:lang w:eastAsia="fr-FR"/>
        </w:rPr>
        <w:t xml:space="preserve"> Ce document est tenu à la disposition de l’inspection des installations classées.</w:t>
      </w:r>
    </w:p>
    <w:p w14:paraId="5EEB7D74" w14:textId="77777777" w:rsidR="00FD643E" w:rsidRDefault="00FD643E" w:rsidP="00FD643E">
      <w:pPr>
        <w:spacing w:after="0" w:line="240" w:lineRule="auto"/>
        <w:rPr>
          <w:rFonts w:eastAsia="Times New Roman" w:cs="Times New Roman"/>
          <w:szCs w:val="24"/>
          <w:lang w:eastAsia="fr-FR"/>
        </w:rPr>
      </w:pPr>
    </w:p>
    <w:p w14:paraId="7F1A1784" w14:textId="1D4CB8F9" w:rsidR="00621901" w:rsidRDefault="00621901" w:rsidP="0066259D">
      <w:pPr>
        <w:pStyle w:val="Titre3"/>
      </w:pPr>
      <w:r>
        <w:t>Un système d’extinction automatique adapté au produit stocké ou tout autre dispositif permettant un niveau d’efficacité équivalent est mis en place dans chaque cellule de liquides et solides liquéfiables combustibles, dès lors qu’elles</w:t>
      </w:r>
      <w:r w:rsidRPr="006D4DBC">
        <w:t xml:space="preserve"> </w:t>
      </w:r>
      <w:r>
        <w:t>répondent aux</w:t>
      </w:r>
      <w:r w:rsidRPr="006D4DBC">
        <w:t xml:space="preserve"> conditions de proximité avec un liquide in</w:t>
      </w:r>
      <w:r>
        <w:t xml:space="preserve">flammable définies à </w:t>
      </w:r>
      <w:r w:rsidRPr="00FA3B7D">
        <w:rPr>
          <w:highlight w:val="yellow"/>
        </w:rPr>
        <w:t>l’article I-3</w:t>
      </w:r>
      <w:r>
        <w:t>. Un dispositif constitué d’un système de drainage actif dimensionné pour l’évacuation rapide des produits associé à une rétention déportée peut constituer un dispositif permettant un niveau d’efficacité équivalent.</w:t>
      </w:r>
    </w:p>
    <w:p w14:paraId="20C4EA9A" w14:textId="2448227D" w:rsidR="00621901" w:rsidRPr="00251B00" w:rsidRDefault="00621901" w:rsidP="00621901">
      <w:pPr>
        <w:spacing w:after="0" w:line="240" w:lineRule="auto"/>
        <w:ind w:left="454"/>
        <w:rPr>
          <w:rFonts w:eastAsia="Times New Roman" w:cs="Times New Roman"/>
          <w:szCs w:val="24"/>
          <w:lang w:eastAsia="fr-FR"/>
        </w:rPr>
      </w:pPr>
      <w:r w:rsidRPr="00251B00">
        <w:rPr>
          <w:rFonts w:eastAsia="Times New Roman" w:cs="Times New Roman"/>
          <w:szCs w:val="24"/>
          <w:lang w:eastAsia="fr-FR"/>
        </w:rPr>
        <w:t xml:space="preserve">Le choix du système à implanter </w:t>
      </w:r>
      <w:r>
        <w:rPr>
          <w:rFonts w:eastAsia="Times New Roman" w:cs="Times New Roman"/>
          <w:szCs w:val="24"/>
          <w:lang w:eastAsia="fr-FR"/>
        </w:rPr>
        <w:t xml:space="preserve">est </w:t>
      </w:r>
      <w:r w:rsidRPr="00251B00">
        <w:rPr>
          <w:rFonts w:eastAsia="Times New Roman" w:cs="Times New Roman"/>
          <w:szCs w:val="24"/>
          <w:lang w:eastAsia="fr-FR"/>
        </w:rPr>
        <w:t xml:space="preserve">explicitée dans </w:t>
      </w:r>
      <w:r>
        <w:rPr>
          <w:rFonts w:eastAsia="Times New Roman" w:cs="Times New Roman"/>
          <w:szCs w:val="24"/>
          <w:lang w:eastAsia="fr-FR"/>
        </w:rPr>
        <w:t>la stratégie incendie Le système répond aux exigences fixées par les normes en vigueur</w:t>
      </w:r>
      <w:r w:rsidRPr="00251B00">
        <w:rPr>
          <w:rFonts w:eastAsia="Times New Roman" w:cs="Times New Roman"/>
          <w:szCs w:val="24"/>
          <w:lang w:eastAsia="fr-FR"/>
        </w:rPr>
        <w:t xml:space="preserve">. </w:t>
      </w:r>
      <w:r>
        <w:rPr>
          <w:rFonts w:eastAsia="Times New Roman" w:cs="Times New Roman"/>
          <w:szCs w:val="24"/>
          <w:lang w:eastAsia="fr-FR"/>
        </w:rPr>
        <w:t>La stratégie incendie</w:t>
      </w:r>
      <w:r w:rsidRPr="00251B00">
        <w:rPr>
          <w:rFonts w:eastAsia="Times New Roman" w:cs="Times New Roman"/>
          <w:szCs w:val="24"/>
          <w:lang w:eastAsia="fr-FR"/>
        </w:rPr>
        <w:t xml:space="preserve"> précise le référentiel professionnel retenu pour le choix et le dimensionnement du système d'extinction mis en place.</w:t>
      </w:r>
    </w:p>
    <w:p w14:paraId="3D68D5DC" w14:textId="716A3E33" w:rsidR="00621901" w:rsidRPr="00251B00" w:rsidRDefault="00621901" w:rsidP="00621901">
      <w:pPr>
        <w:spacing w:after="0" w:line="240" w:lineRule="auto"/>
        <w:ind w:left="454"/>
        <w:rPr>
          <w:rFonts w:eastAsia="Times New Roman" w:cs="Times New Roman"/>
          <w:szCs w:val="24"/>
          <w:lang w:eastAsia="fr-FR"/>
        </w:rPr>
      </w:pPr>
      <w:r w:rsidRPr="00251B00">
        <w:rPr>
          <w:rFonts w:eastAsia="Times New Roman" w:cs="Times New Roman"/>
          <w:szCs w:val="24"/>
          <w:lang w:eastAsia="fr-FR"/>
        </w:rPr>
        <w:t>Avant la mise en service de l'installation,</w:t>
      </w:r>
      <w:r w:rsidR="00281037">
        <w:rPr>
          <w:rFonts w:eastAsia="Times New Roman" w:cs="Times New Roman"/>
          <w:szCs w:val="24"/>
          <w:lang w:eastAsia="fr-FR"/>
        </w:rPr>
        <w:t xml:space="preserve"> </w:t>
      </w:r>
      <w:r w:rsidRPr="00251B00">
        <w:rPr>
          <w:rFonts w:eastAsia="Times New Roman" w:cs="Times New Roman"/>
          <w:szCs w:val="24"/>
          <w:lang w:eastAsia="fr-FR"/>
        </w:rPr>
        <w:t>une attestation de conformité du système d'extinction mis en place aux exigences du référentiel professionnel retenu</w:t>
      </w:r>
      <w:r w:rsidR="00281037">
        <w:rPr>
          <w:rFonts w:eastAsia="Times New Roman" w:cs="Times New Roman"/>
          <w:szCs w:val="24"/>
          <w:lang w:eastAsia="fr-FR"/>
        </w:rPr>
        <w:t xml:space="preserve"> est établie</w:t>
      </w:r>
      <w:r w:rsidRPr="00251B00">
        <w:rPr>
          <w:rFonts w:eastAsia="Times New Roman" w:cs="Times New Roman"/>
          <w:szCs w:val="24"/>
          <w:lang w:eastAsia="fr-FR"/>
        </w:rPr>
        <w:t>. Cette attestation est accompagnée d'une description du système et des principaux éléments techniques concernant</w:t>
      </w:r>
      <w:r w:rsidR="006064DE">
        <w:rPr>
          <w:rFonts w:eastAsia="Times New Roman" w:cs="Times New Roman"/>
          <w:szCs w:val="24"/>
          <w:lang w:eastAsia="fr-FR"/>
        </w:rPr>
        <w:t xml:space="preserve"> la surface de dimensionnement des zones de collecte</w:t>
      </w:r>
      <w:r w:rsidRPr="00251B00">
        <w:rPr>
          <w:rFonts w:eastAsia="Times New Roman" w:cs="Times New Roman"/>
          <w:szCs w:val="24"/>
          <w:lang w:eastAsia="fr-FR"/>
        </w:rPr>
        <w:t xml:space="preserve"> les réserves en eau, le cas échéant les réserves en émulseur, l'alimentation des pompes et l'estimation des </w:t>
      </w:r>
      <w:r w:rsidRPr="00251B00">
        <w:rPr>
          <w:rFonts w:eastAsia="Times New Roman" w:cs="Times New Roman"/>
          <w:szCs w:val="24"/>
          <w:lang w:eastAsia="fr-FR"/>
        </w:rPr>
        <w:lastRenderedPageBreak/>
        <w:t>débits d'alimentation en eau et, le cas échéant, en émulseur.</w:t>
      </w:r>
      <w:r w:rsidR="00281037">
        <w:rPr>
          <w:rFonts w:eastAsia="Times New Roman" w:cs="Times New Roman"/>
          <w:szCs w:val="24"/>
          <w:lang w:eastAsia="fr-FR"/>
        </w:rPr>
        <w:t xml:space="preserve"> Ce document est tenu à la disposition de l’inspection des installations classées.</w:t>
      </w:r>
    </w:p>
    <w:p w14:paraId="754147D7" w14:textId="77777777" w:rsidR="00FD643E" w:rsidRDefault="00FD643E" w:rsidP="00FD643E">
      <w:pPr>
        <w:spacing w:after="0" w:line="240" w:lineRule="auto"/>
        <w:rPr>
          <w:rFonts w:eastAsia="Times New Roman" w:cs="Times New Roman"/>
          <w:szCs w:val="24"/>
          <w:lang w:eastAsia="fr-FR"/>
        </w:rPr>
      </w:pPr>
    </w:p>
    <w:p w14:paraId="646DE9AE" w14:textId="6951AA5C" w:rsidR="00FD643E" w:rsidRDefault="00FD643E" w:rsidP="00FD643E">
      <w:pPr>
        <w:pStyle w:val="Titre2"/>
      </w:pPr>
      <w:r>
        <w:t>Autres moyens de lutte contre l’incendie</w:t>
      </w:r>
    </w:p>
    <w:p w14:paraId="67AAABAC" w14:textId="77777777" w:rsidR="00FD643E" w:rsidRPr="00251B00" w:rsidRDefault="00FD643E" w:rsidP="00FD643E">
      <w:pPr>
        <w:spacing w:after="0" w:line="240" w:lineRule="auto"/>
        <w:rPr>
          <w:rFonts w:eastAsia="Times New Roman" w:cs="Times New Roman"/>
          <w:szCs w:val="24"/>
          <w:lang w:eastAsia="fr-FR"/>
        </w:rPr>
      </w:pPr>
      <w:r w:rsidRPr="00251B00">
        <w:rPr>
          <w:rFonts w:eastAsia="Times New Roman" w:cs="Times New Roman"/>
          <w:szCs w:val="24"/>
          <w:lang w:eastAsia="fr-FR"/>
        </w:rPr>
        <w:t>L'installation est dotée de moyens de lutte contre l'incendie appropriés aux risques et conformes aux règles en vigueur, notamment :</w:t>
      </w:r>
    </w:p>
    <w:p w14:paraId="1988E22B" w14:textId="77777777" w:rsidR="00FD643E" w:rsidRPr="00251B00" w:rsidRDefault="00FD643E" w:rsidP="00FD643E">
      <w:pPr>
        <w:spacing w:after="0" w:line="240" w:lineRule="auto"/>
        <w:rPr>
          <w:rFonts w:eastAsia="Times New Roman" w:cs="Times New Roman"/>
          <w:szCs w:val="24"/>
          <w:lang w:eastAsia="fr-FR"/>
        </w:rPr>
      </w:pPr>
      <w:r w:rsidRPr="00251B00">
        <w:rPr>
          <w:rFonts w:eastAsia="Times New Roman" w:cs="Times New Roman"/>
          <w:szCs w:val="24"/>
          <w:lang w:eastAsia="fr-FR"/>
        </w:rPr>
        <w:t>― plusieurs appareils d'incendie (bouches ou poteaux d'incendie) d'un diamètre nominal de 100 ou 150 millimètres (DN100 ou DN150). Ces appareils sont alimentés par un réseau public ou privé. L'accès extérieur de chaque cellule de liquides inflammables est à moins de 100 mètres d'un appareil d'incendie. Les appareils d'incendie sont distants entre eux de 150 mètres maximum (les distances sont mesurées par rapport aux voies praticables par les engins de secours).</w:t>
      </w:r>
    </w:p>
    <w:p w14:paraId="335948B0" w14:textId="5E10E09A" w:rsidR="00FD643E" w:rsidRPr="00251B00" w:rsidRDefault="00FD643E" w:rsidP="00FD643E">
      <w:pPr>
        <w:spacing w:after="0" w:line="240" w:lineRule="auto"/>
        <w:rPr>
          <w:rFonts w:eastAsia="Times New Roman" w:cs="Times New Roman"/>
          <w:szCs w:val="24"/>
          <w:lang w:eastAsia="fr-FR"/>
        </w:rPr>
      </w:pPr>
      <w:r w:rsidRPr="00251B00">
        <w:rPr>
          <w:rFonts w:eastAsia="Times New Roman" w:cs="Times New Roman"/>
          <w:szCs w:val="24"/>
          <w:lang w:eastAsia="fr-FR"/>
        </w:rPr>
        <w:t xml:space="preserve">Les réseaux garantissent l'alimentation des appareils sous une pression dynamique minimale de 1 bar, sans dépasser 8 bars. Les réseaux sont en mesure de fournir le débit déterminé par le plan de défense incendie défini au regard des exigences de </w:t>
      </w:r>
      <w:r w:rsidRPr="00250443">
        <w:rPr>
          <w:rFonts w:eastAsia="Times New Roman" w:cs="Times New Roman"/>
          <w:szCs w:val="24"/>
          <w:highlight w:val="yellow"/>
          <w:lang w:eastAsia="fr-FR"/>
        </w:rPr>
        <w:t xml:space="preserve">l'article </w:t>
      </w:r>
      <w:r w:rsidR="00484A46" w:rsidRPr="00250443">
        <w:rPr>
          <w:rFonts w:eastAsia="Times New Roman" w:cs="Times New Roman"/>
          <w:szCs w:val="24"/>
          <w:highlight w:val="yellow"/>
          <w:lang w:eastAsia="fr-FR"/>
        </w:rPr>
        <w:t>V-I</w:t>
      </w:r>
      <w:r w:rsidRPr="00251B00">
        <w:rPr>
          <w:rFonts w:eastAsia="Times New Roman" w:cs="Times New Roman"/>
          <w:szCs w:val="24"/>
          <w:lang w:eastAsia="fr-FR"/>
        </w:rPr>
        <w:t xml:space="preserve"> du présent arrêté avec un débit minimum de 120 mètres cubes par heure durant deux heures. Si un complément est nécessaire, il peut être apporté par une ou plusieurs réserves d'eau propres au site, accessibles en permanence aux services publics d'incendie et de secours et distinctes des réserves d'eau nécessaires au fonctionnement des systèmes d'extinction automatiques d'incendie. Ces réserves ont une capacité minimale réellement utilisable de 120 mètres cubes. Elles sont dotées de plates-formes d'aspiration par tranche de 120 mètres cubes de capacité.</w:t>
      </w:r>
    </w:p>
    <w:p w14:paraId="03466334" w14:textId="56E54A0F" w:rsidR="00FD643E" w:rsidRPr="00251B00" w:rsidRDefault="00FD643E" w:rsidP="00FD643E">
      <w:pPr>
        <w:spacing w:after="0" w:line="240" w:lineRule="auto"/>
        <w:rPr>
          <w:rFonts w:eastAsia="Times New Roman" w:cs="Times New Roman"/>
          <w:szCs w:val="24"/>
          <w:lang w:eastAsia="fr-FR"/>
        </w:rPr>
      </w:pPr>
      <w:r w:rsidRPr="00251B00">
        <w:rPr>
          <w:rFonts w:eastAsia="Times New Roman" w:cs="Times New Roman"/>
          <w:szCs w:val="24"/>
          <w:lang w:eastAsia="fr-FR"/>
        </w:rPr>
        <w:t xml:space="preserve">― d'extincteurs répartis à l'intérieur des </w:t>
      </w:r>
      <w:r w:rsidR="00497AED">
        <w:rPr>
          <w:rFonts w:eastAsia="Times New Roman" w:cs="Times New Roman"/>
          <w:szCs w:val="24"/>
          <w:lang w:eastAsia="fr-FR"/>
        </w:rPr>
        <w:t>stockages couvert</w:t>
      </w:r>
      <w:r w:rsidR="00497AED" w:rsidRPr="00251B00">
        <w:rPr>
          <w:rFonts w:eastAsia="Times New Roman" w:cs="Times New Roman"/>
          <w:szCs w:val="24"/>
          <w:lang w:eastAsia="fr-FR"/>
        </w:rPr>
        <w:t>s</w:t>
      </w:r>
      <w:r w:rsidRPr="00251B00">
        <w:rPr>
          <w:rFonts w:eastAsia="Times New Roman" w:cs="Times New Roman"/>
          <w:szCs w:val="24"/>
          <w:lang w:eastAsia="fr-FR"/>
        </w:rPr>
        <w:t>, sur les aires extérieures et dans les lieux présentant des risques spécifiques, à proximité des dégagements, bien visibles et facilement accessibles. Les agents d'extinction sont appropriés aux risques à combattre et compatibles avec les matières stockées ;</w:t>
      </w:r>
    </w:p>
    <w:p w14:paraId="3E587E82" w14:textId="77777777" w:rsidR="00FD643E" w:rsidRPr="00251B00" w:rsidRDefault="00FD643E" w:rsidP="00FD643E">
      <w:pPr>
        <w:spacing w:after="0" w:line="240" w:lineRule="auto"/>
        <w:rPr>
          <w:rFonts w:eastAsia="Times New Roman" w:cs="Times New Roman"/>
          <w:szCs w:val="24"/>
          <w:lang w:eastAsia="fr-FR"/>
        </w:rPr>
      </w:pPr>
      <w:r w:rsidRPr="00251B00">
        <w:rPr>
          <w:rFonts w:eastAsia="Times New Roman" w:cs="Times New Roman"/>
          <w:szCs w:val="24"/>
          <w:lang w:eastAsia="fr-FR"/>
        </w:rPr>
        <w:t>― de robinets d'incendie armés, situés à proximité des issues. Ils sont disposés de telle sorte qu'un foyer puisse être attaqué simultanément par deux lances sous deux angles différents. Ils sont utilisables en période de gel et accessibles à tout moment ;</w:t>
      </w:r>
    </w:p>
    <w:p w14:paraId="63FA190B" w14:textId="77777777" w:rsidR="00FD643E" w:rsidRPr="00251B00" w:rsidRDefault="00FD643E" w:rsidP="00FD643E">
      <w:pPr>
        <w:spacing w:after="0" w:line="240" w:lineRule="auto"/>
        <w:rPr>
          <w:rFonts w:eastAsia="Times New Roman" w:cs="Times New Roman"/>
          <w:szCs w:val="24"/>
          <w:lang w:eastAsia="fr-FR"/>
        </w:rPr>
      </w:pPr>
      <w:r w:rsidRPr="00251B00">
        <w:rPr>
          <w:rFonts w:eastAsia="Times New Roman" w:cs="Times New Roman"/>
          <w:szCs w:val="24"/>
          <w:lang w:eastAsia="fr-FR"/>
        </w:rPr>
        <w:t>― d'un moyen permettant de prévenir les services publics d'incendie et de secours ;</w:t>
      </w:r>
    </w:p>
    <w:p w14:paraId="0C9FA759" w14:textId="77777777" w:rsidR="00FD643E" w:rsidRPr="00251B00" w:rsidRDefault="00FD643E" w:rsidP="00FD643E">
      <w:pPr>
        <w:spacing w:after="0" w:line="240" w:lineRule="auto"/>
        <w:rPr>
          <w:rFonts w:eastAsia="Times New Roman" w:cs="Times New Roman"/>
          <w:szCs w:val="24"/>
          <w:lang w:eastAsia="fr-FR"/>
        </w:rPr>
      </w:pPr>
      <w:r w:rsidRPr="00251B00">
        <w:rPr>
          <w:rFonts w:eastAsia="Times New Roman" w:cs="Times New Roman"/>
          <w:szCs w:val="24"/>
          <w:lang w:eastAsia="fr-FR"/>
        </w:rPr>
        <w:t>― d'un plan des locaux facilitant l'intervention des services publics d'incendie et de secours avec une description des dangers pour chaque cellule de stockage et chaque local ;</w:t>
      </w:r>
    </w:p>
    <w:p w14:paraId="63E3A778" w14:textId="77777777" w:rsidR="00FD643E" w:rsidRDefault="00FD643E" w:rsidP="00FD643E">
      <w:pPr>
        <w:spacing w:after="0" w:line="240" w:lineRule="auto"/>
        <w:rPr>
          <w:rFonts w:eastAsia="Times New Roman" w:cs="Times New Roman"/>
          <w:szCs w:val="24"/>
          <w:lang w:eastAsia="fr-FR"/>
        </w:rPr>
      </w:pPr>
      <w:r w:rsidRPr="00251B00">
        <w:rPr>
          <w:rFonts w:eastAsia="Times New Roman" w:cs="Times New Roman"/>
          <w:szCs w:val="24"/>
          <w:lang w:eastAsia="fr-FR"/>
        </w:rPr>
        <w:t xml:space="preserve">― d'une réserve de produit absorbant incombustible en quantité adaptée au risque, sans être inférieure à 100 litres, et des moyens nécessaires à sa mise en œuvre. La réserve de produit absorbant est stockée dans des endroits visibles et facilement accessibles et munie d'un couvercle ou de tout autre dispositif permettant d'abriter le produit absorbant des intempéries. </w:t>
      </w:r>
    </w:p>
    <w:p w14:paraId="2F9C91E4" w14:textId="77777777" w:rsidR="00FD643E" w:rsidRPr="00251B00" w:rsidRDefault="00FD643E" w:rsidP="00FD643E">
      <w:pPr>
        <w:spacing w:after="0" w:line="240" w:lineRule="auto"/>
        <w:rPr>
          <w:rFonts w:eastAsia="Times New Roman" w:cs="Times New Roman"/>
          <w:szCs w:val="24"/>
          <w:lang w:eastAsia="fr-FR"/>
        </w:rPr>
      </w:pPr>
      <w:r w:rsidRPr="00251B00">
        <w:rPr>
          <w:rFonts w:eastAsia="Times New Roman" w:cs="Times New Roman"/>
          <w:szCs w:val="24"/>
          <w:lang w:eastAsia="fr-FR"/>
        </w:rPr>
        <w:t>Dans le cas de liquides miscibles à l'eau, l'absorbant peut être remplacé par un point d'eau, sous réserve que l'exploitant justifie auprès de l'inspection des installations classées de l'absence de pollution des eaux ou le traitement de ces épandages après dilution.</w:t>
      </w:r>
    </w:p>
    <w:p w14:paraId="35B4F60B" w14:textId="77777777" w:rsidR="00CE43BB" w:rsidRDefault="00CE43BB" w:rsidP="00FD643E">
      <w:pPr>
        <w:spacing w:after="0" w:line="240" w:lineRule="auto"/>
        <w:rPr>
          <w:rFonts w:eastAsia="Times New Roman" w:cs="Times New Roman"/>
          <w:szCs w:val="24"/>
          <w:lang w:eastAsia="fr-FR"/>
        </w:rPr>
      </w:pPr>
    </w:p>
    <w:p w14:paraId="18847504" w14:textId="77777777" w:rsidR="00FD643E" w:rsidRDefault="00FD643E" w:rsidP="00FD643E">
      <w:pPr>
        <w:pStyle w:val="Titre2"/>
      </w:pPr>
      <w:r>
        <w:t>Consignes incendie</w:t>
      </w:r>
    </w:p>
    <w:p w14:paraId="2C89D74C" w14:textId="77777777" w:rsidR="00FD643E" w:rsidRPr="00610FC6" w:rsidRDefault="00FD643E" w:rsidP="00FD643E">
      <w:pPr>
        <w:spacing w:after="0" w:line="240" w:lineRule="auto"/>
        <w:rPr>
          <w:rFonts w:eastAsia="Times New Roman" w:cs="Times New Roman"/>
          <w:szCs w:val="24"/>
          <w:lang w:eastAsia="fr-FR"/>
        </w:rPr>
      </w:pPr>
      <w:r w:rsidRPr="00610FC6">
        <w:rPr>
          <w:rFonts w:eastAsia="Times New Roman" w:cs="Times New Roman"/>
          <w:szCs w:val="24"/>
          <w:lang w:eastAsia="fr-FR"/>
        </w:rPr>
        <w:t>Des consignes, procédures ou documents précisent :</w:t>
      </w:r>
    </w:p>
    <w:p w14:paraId="3F1544F8" w14:textId="77777777" w:rsidR="00FD643E" w:rsidRDefault="00FD643E" w:rsidP="00FD643E">
      <w:pPr>
        <w:pStyle w:val="Paragraphedeliste"/>
        <w:numPr>
          <w:ilvl w:val="0"/>
          <w:numId w:val="28"/>
        </w:numPr>
        <w:spacing w:after="0" w:line="240" w:lineRule="auto"/>
        <w:rPr>
          <w:rFonts w:eastAsia="Times New Roman" w:cs="Times New Roman"/>
          <w:szCs w:val="24"/>
          <w:lang w:eastAsia="fr-FR"/>
        </w:rPr>
      </w:pPr>
      <w:r w:rsidRPr="00C9012B">
        <w:rPr>
          <w:rFonts w:eastAsia="Times New Roman" w:cs="Times New Roman"/>
          <w:szCs w:val="24"/>
          <w:lang w:eastAsia="fr-FR"/>
        </w:rPr>
        <w:t>les dispositions générales concernant l'entretien et la vérification des moyens d'incendie et de secours ;</w:t>
      </w:r>
    </w:p>
    <w:p w14:paraId="2E03A713" w14:textId="77777777" w:rsidR="00FD643E" w:rsidRDefault="00FD643E" w:rsidP="00FD643E">
      <w:pPr>
        <w:pStyle w:val="Paragraphedeliste"/>
        <w:numPr>
          <w:ilvl w:val="0"/>
          <w:numId w:val="28"/>
        </w:numPr>
        <w:spacing w:after="0" w:line="240" w:lineRule="auto"/>
        <w:rPr>
          <w:rFonts w:eastAsia="Times New Roman" w:cs="Times New Roman"/>
          <w:szCs w:val="24"/>
          <w:lang w:eastAsia="fr-FR"/>
        </w:rPr>
      </w:pPr>
      <w:r w:rsidRPr="00C9012B">
        <w:rPr>
          <w:rFonts w:eastAsia="Times New Roman" w:cs="Times New Roman"/>
          <w:szCs w:val="24"/>
          <w:lang w:eastAsia="fr-FR"/>
        </w:rPr>
        <w:t>l'organisation de l'établissement en cas de sinistre ;</w:t>
      </w:r>
    </w:p>
    <w:p w14:paraId="5D2D5A98" w14:textId="77777777" w:rsidR="00FD643E" w:rsidRDefault="00FD643E" w:rsidP="00FD643E">
      <w:pPr>
        <w:pStyle w:val="Paragraphedeliste"/>
        <w:numPr>
          <w:ilvl w:val="0"/>
          <w:numId w:val="28"/>
        </w:numPr>
        <w:spacing w:after="0" w:line="240" w:lineRule="auto"/>
        <w:rPr>
          <w:rFonts w:eastAsia="Times New Roman" w:cs="Times New Roman"/>
          <w:szCs w:val="24"/>
          <w:lang w:eastAsia="fr-FR"/>
        </w:rPr>
      </w:pPr>
      <w:r w:rsidRPr="00C9012B">
        <w:rPr>
          <w:rFonts w:eastAsia="Times New Roman" w:cs="Times New Roman"/>
          <w:szCs w:val="24"/>
          <w:lang w:eastAsia="fr-FR"/>
        </w:rPr>
        <w:t>les moyens d'extinction à utiliser en cas d'incendie ;</w:t>
      </w:r>
    </w:p>
    <w:p w14:paraId="2FF95921" w14:textId="77777777" w:rsidR="00FD643E" w:rsidRDefault="00FD643E" w:rsidP="00FD643E">
      <w:pPr>
        <w:pStyle w:val="Paragraphedeliste"/>
        <w:numPr>
          <w:ilvl w:val="0"/>
          <w:numId w:val="28"/>
        </w:numPr>
        <w:spacing w:after="0" w:line="240" w:lineRule="auto"/>
        <w:rPr>
          <w:rFonts w:eastAsia="Times New Roman" w:cs="Times New Roman"/>
          <w:szCs w:val="24"/>
          <w:lang w:eastAsia="fr-FR"/>
        </w:rPr>
      </w:pPr>
      <w:r w:rsidRPr="00C9012B">
        <w:rPr>
          <w:rFonts w:eastAsia="Times New Roman" w:cs="Times New Roman"/>
          <w:szCs w:val="24"/>
          <w:lang w:eastAsia="fr-FR"/>
        </w:rPr>
        <w:lastRenderedPageBreak/>
        <w:t>les modes de transmission et d'alerte ;</w:t>
      </w:r>
    </w:p>
    <w:p w14:paraId="0BDD0DA6" w14:textId="77777777" w:rsidR="00FD643E" w:rsidRDefault="00FD643E" w:rsidP="00FD643E">
      <w:pPr>
        <w:pStyle w:val="Paragraphedeliste"/>
        <w:numPr>
          <w:ilvl w:val="0"/>
          <w:numId w:val="28"/>
        </w:numPr>
        <w:spacing w:after="0" w:line="240" w:lineRule="auto"/>
        <w:rPr>
          <w:rFonts w:eastAsia="Times New Roman" w:cs="Times New Roman"/>
          <w:szCs w:val="24"/>
          <w:lang w:eastAsia="fr-FR"/>
        </w:rPr>
      </w:pPr>
      <w:r w:rsidRPr="00C9012B">
        <w:rPr>
          <w:rFonts w:eastAsia="Times New Roman" w:cs="Times New Roman"/>
          <w:szCs w:val="24"/>
          <w:lang w:eastAsia="fr-FR"/>
        </w:rPr>
        <w:t>les moyens d'appel des secours extérieurs et les personnes autorisées à effectuer ces appels ;</w:t>
      </w:r>
    </w:p>
    <w:p w14:paraId="3A6157CC" w14:textId="77777777" w:rsidR="00FD643E" w:rsidRPr="00C9012B" w:rsidRDefault="00FD643E" w:rsidP="00FD643E">
      <w:pPr>
        <w:pStyle w:val="Paragraphedeliste"/>
        <w:numPr>
          <w:ilvl w:val="0"/>
          <w:numId w:val="28"/>
        </w:numPr>
        <w:spacing w:after="0" w:line="240" w:lineRule="auto"/>
        <w:rPr>
          <w:rFonts w:eastAsia="Times New Roman" w:cs="Times New Roman"/>
          <w:szCs w:val="24"/>
          <w:lang w:eastAsia="fr-FR"/>
        </w:rPr>
      </w:pPr>
      <w:r w:rsidRPr="00C9012B">
        <w:rPr>
          <w:rFonts w:eastAsia="Times New Roman" w:cs="Times New Roman"/>
          <w:szCs w:val="24"/>
          <w:lang w:eastAsia="fr-FR"/>
        </w:rPr>
        <w:t>les personnes à prévenir en cas de sinistre ainsi que les numéros d'appel.</w:t>
      </w:r>
    </w:p>
    <w:p w14:paraId="4371F351" w14:textId="77777777" w:rsidR="00FD643E" w:rsidRDefault="00FD643E" w:rsidP="00FD643E">
      <w:pPr>
        <w:rPr>
          <w:lang w:eastAsia="fr-FR"/>
        </w:rPr>
      </w:pPr>
    </w:p>
    <w:p w14:paraId="05904BD6" w14:textId="77777777" w:rsidR="00FD643E" w:rsidRDefault="00FD643E" w:rsidP="00FD643E">
      <w:pPr>
        <w:pStyle w:val="Titre2"/>
      </w:pPr>
      <w:r>
        <w:t>Exercice</w:t>
      </w:r>
    </w:p>
    <w:p w14:paraId="0BBA0951" w14:textId="670E70BE" w:rsidR="00FD643E" w:rsidRDefault="00FD643E" w:rsidP="00FD643E">
      <w:pPr>
        <w:rPr>
          <w:lang w:eastAsia="fr-FR"/>
        </w:rPr>
      </w:pPr>
      <w:r>
        <w:rPr>
          <w:lang w:eastAsia="fr-FR"/>
        </w:rPr>
        <w:t xml:space="preserve">Dans le trimestre qui suit la mise en service de l’installation, l’exploitant organise un exercice de lutte contre l’incendie. Un tel exercice est réalisé </w:t>
      </w:r>
      <w:r w:rsidR="00816D49">
        <w:rPr>
          <w:lang w:eastAsia="fr-FR"/>
        </w:rPr>
        <w:t xml:space="preserve">au moins </w:t>
      </w:r>
      <w:r>
        <w:rPr>
          <w:lang w:eastAsia="fr-FR"/>
        </w:rPr>
        <w:t>tous les 3 ans.</w:t>
      </w:r>
    </w:p>
    <w:p w14:paraId="7B042138" w14:textId="57CA58BE" w:rsidR="00FD643E" w:rsidRPr="00AD2DB8" w:rsidRDefault="00FD643E" w:rsidP="00FD643E">
      <w:pPr>
        <w:rPr>
          <w:lang w:eastAsia="fr-FR"/>
        </w:rPr>
      </w:pPr>
      <w:r>
        <w:rPr>
          <w:lang w:eastAsia="fr-FR"/>
        </w:rPr>
        <w:t xml:space="preserve">Les exercices font l’objet de compte-rendus qui sont tenus à la disposition des services publics d’incendie et </w:t>
      </w:r>
      <w:r w:rsidR="006F3634">
        <w:rPr>
          <w:lang w:eastAsia="fr-FR"/>
        </w:rPr>
        <w:t xml:space="preserve">de </w:t>
      </w:r>
      <w:r>
        <w:rPr>
          <w:lang w:eastAsia="fr-FR"/>
        </w:rPr>
        <w:t>l’inspection des installations classées.</w:t>
      </w:r>
    </w:p>
    <w:p w14:paraId="624615BD" w14:textId="77777777" w:rsidR="00FD643E" w:rsidRPr="00FD643E" w:rsidRDefault="00FD643E" w:rsidP="00FD643E">
      <w:pPr>
        <w:rPr>
          <w:lang w:eastAsia="fr-FR"/>
        </w:rPr>
      </w:pPr>
    </w:p>
    <w:p w14:paraId="1770758E" w14:textId="18D92745" w:rsidR="00610FC6" w:rsidRPr="00E82519" w:rsidRDefault="00610FC6" w:rsidP="00564869">
      <w:pPr>
        <w:pStyle w:val="Titre1"/>
        <w:rPr>
          <w:rFonts w:eastAsia="Times New Roman"/>
          <w:lang w:eastAsia="fr-FR"/>
        </w:rPr>
      </w:pPr>
      <w:r w:rsidRPr="00E82519">
        <w:rPr>
          <w:rFonts w:eastAsia="Times New Roman"/>
          <w:lang w:eastAsia="fr-FR"/>
        </w:rPr>
        <w:t xml:space="preserve">PRÉVENTION DES POLLUTIONS </w:t>
      </w:r>
    </w:p>
    <w:p w14:paraId="2B88F064" w14:textId="5F2F9A2E" w:rsidR="009160A1" w:rsidRDefault="009160A1" w:rsidP="009160A1">
      <w:pPr>
        <w:pStyle w:val="Titre2"/>
      </w:pPr>
      <w:r>
        <w:t>Eaux pluviales susceptibles d’être polluées</w:t>
      </w:r>
    </w:p>
    <w:p w14:paraId="0CC13A6F" w14:textId="6DA3917E" w:rsidR="008F0ED7" w:rsidRPr="00203154" w:rsidRDefault="008F0ED7" w:rsidP="008F0ED7">
      <w:pPr>
        <w:spacing w:after="0" w:line="240" w:lineRule="auto"/>
        <w:rPr>
          <w:rFonts w:eastAsia="Times New Roman" w:cs="Times New Roman"/>
          <w:szCs w:val="24"/>
          <w:lang w:eastAsia="fr-FR"/>
        </w:rPr>
      </w:pPr>
      <w:r w:rsidRPr="00203154">
        <w:rPr>
          <w:rFonts w:eastAsia="Times New Roman" w:cs="Times New Roman"/>
          <w:szCs w:val="24"/>
          <w:lang w:eastAsia="fr-FR"/>
        </w:rPr>
        <w:t xml:space="preserve">Les eaux pluviales susceptibles d'être polluées et les eaux d'incendie non recueillies par les rétentions </w:t>
      </w:r>
      <w:r w:rsidR="006803B0">
        <w:rPr>
          <w:rFonts w:eastAsia="Times New Roman" w:cs="Times New Roman"/>
          <w:szCs w:val="24"/>
          <w:highlight w:val="yellow"/>
          <w:lang w:eastAsia="fr-FR"/>
        </w:rPr>
        <w:t>visées aux articles III-11, III-12, III-13 et III-</w:t>
      </w:r>
      <w:r w:rsidR="00775D54">
        <w:rPr>
          <w:rFonts w:eastAsia="Times New Roman" w:cs="Times New Roman"/>
          <w:szCs w:val="24"/>
          <w:highlight w:val="yellow"/>
          <w:lang w:eastAsia="fr-FR"/>
        </w:rPr>
        <w:t>14</w:t>
      </w:r>
      <w:r w:rsidRPr="00203154">
        <w:rPr>
          <w:rFonts w:eastAsia="Times New Roman" w:cs="Times New Roman"/>
          <w:szCs w:val="24"/>
          <w:lang w:eastAsia="fr-FR"/>
        </w:rPr>
        <w:t xml:space="preserve"> du présent arrêté sont collectées au niveau de zones étanches et ne peuvent être rejetées qu'après contrôle de leur qualité et, si besoin, qu'après traitement approprié. En l'absence de pollution préalablement caractérisée, ces eaux peuvent être évacuées vers le milieu naturel dans les limites autorisées par le présent arrêté et éventuellement renforcées par arrêté préfectoral afin que soient respectés les objectifs de qualité et de quantité des eaux visés au point IV de l'article L. 212-1 du code de l'environnement.</w:t>
      </w:r>
    </w:p>
    <w:p w14:paraId="6BEB63D4" w14:textId="70EE853B" w:rsidR="008F0ED7" w:rsidRPr="00203154" w:rsidRDefault="008F0ED7" w:rsidP="008F0ED7">
      <w:pPr>
        <w:spacing w:after="0" w:line="240" w:lineRule="auto"/>
        <w:rPr>
          <w:rFonts w:eastAsia="Times New Roman" w:cs="Times New Roman"/>
          <w:szCs w:val="24"/>
          <w:lang w:eastAsia="fr-FR"/>
        </w:rPr>
      </w:pPr>
      <w:r w:rsidRPr="00203154">
        <w:rPr>
          <w:rFonts w:eastAsia="Times New Roman" w:cs="Times New Roman"/>
          <w:szCs w:val="24"/>
          <w:lang w:eastAsia="fr-FR"/>
        </w:rPr>
        <w:t xml:space="preserve">Le confinement nécessaire est réalisé par des </w:t>
      </w:r>
      <w:r w:rsidR="00BF2F34">
        <w:rPr>
          <w:rFonts w:eastAsia="Times New Roman" w:cs="Times New Roman"/>
          <w:szCs w:val="24"/>
          <w:lang w:eastAsia="fr-FR"/>
        </w:rPr>
        <w:t>bassins dédiés, extérieurs</w:t>
      </w:r>
      <w:r w:rsidRPr="00203154">
        <w:rPr>
          <w:rFonts w:eastAsia="Times New Roman" w:cs="Times New Roman"/>
          <w:szCs w:val="24"/>
          <w:lang w:eastAsia="fr-FR"/>
        </w:rPr>
        <w:t xml:space="preserve"> à tout </w:t>
      </w:r>
      <w:r w:rsidR="00497AED">
        <w:rPr>
          <w:rFonts w:eastAsia="Times New Roman" w:cs="Times New Roman"/>
          <w:szCs w:val="24"/>
          <w:lang w:eastAsia="fr-FR"/>
        </w:rPr>
        <w:t>stockage couvert</w:t>
      </w:r>
      <w:r w:rsidRPr="00203154">
        <w:rPr>
          <w:rFonts w:eastAsia="Times New Roman" w:cs="Times New Roman"/>
          <w:szCs w:val="24"/>
          <w:lang w:eastAsia="fr-FR"/>
        </w:rPr>
        <w:t xml:space="preserve">. Ces </w:t>
      </w:r>
      <w:r w:rsidR="00BF2F34">
        <w:rPr>
          <w:rFonts w:eastAsia="Times New Roman" w:cs="Times New Roman"/>
          <w:szCs w:val="24"/>
          <w:lang w:eastAsia="fr-FR"/>
        </w:rPr>
        <w:t>bassins de confinement</w:t>
      </w:r>
      <w:r w:rsidRPr="00203154">
        <w:rPr>
          <w:rFonts w:eastAsia="Times New Roman" w:cs="Times New Roman"/>
          <w:szCs w:val="24"/>
          <w:lang w:eastAsia="fr-FR"/>
        </w:rPr>
        <w:t xml:space="preserve"> peuvent être communs avec les rétentions </w:t>
      </w:r>
      <w:r w:rsidRPr="008F0ED7">
        <w:rPr>
          <w:rFonts w:eastAsia="Times New Roman" w:cs="Times New Roman"/>
          <w:szCs w:val="24"/>
          <w:highlight w:val="yellow"/>
          <w:lang w:eastAsia="fr-FR"/>
        </w:rPr>
        <w:t xml:space="preserve">visées </w:t>
      </w:r>
      <w:r w:rsidR="006803B0">
        <w:rPr>
          <w:rFonts w:eastAsia="Times New Roman" w:cs="Times New Roman"/>
          <w:szCs w:val="24"/>
          <w:highlight w:val="yellow"/>
          <w:lang w:eastAsia="fr-FR"/>
        </w:rPr>
        <w:t>aux articles III-11, III-12, III-13 et III-</w:t>
      </w:r>
      <w:r w:rsidR="00775D54">
        <w:rPr>
          <w:rFonts w:eastAsia="Times New Roman" w:cs="Times New Roman"/>
          <w:szCs w:val="24"/>
          <w:highlight w:val="yellow"/>
          <w:lang w:eastAsia="fr-FR"/>
        </w:rPr>
        <w:t>14</w:t>
      </w:r>
      <w:r w:rsidR="00775D54" w:rsidRPr="00203154">
        <w:rPr>
          <w:rFonts w:eastAsia="Times New Roman" w:cs="Times New Roman"/>
          <w:szCs w:val="24"/>
          <w:lang w:eastAsia="fr-FR"/>
        </w:rPr>
        <w:t xml:space="preserve"> </w:t>
      </w:r>
      <w:r w:rsidRPr="00203154">
        <w:rPr>
          <w:rFonts w:eastAsia="Times New Roman" w:cs="Times New Roman"/>
          <w:szCs w:val="24"/>
          <w:lang w:eastAsia="fr-FR"/>
        </w:rPr>
        <w:t>du présent arrêté.</w:t>
      </w:r>
    </w:p>
    <w:p w14:paraId="560BAFBA" w14:textId="7187D523" w:rsidR="008F0ED7" w:rsidRPr="00677406" w:rsidRDefault="00725148" w:rsidP="006803B0">
      <w:pPr>
        <w:spacing w:before="100" w:beforeAutospacing="1" w:after="62" w:line="240" w:lineRule="auto"/>
        <w:rPr>
          <w:rFonts w:ascii="Arial" w:eastAsia="Times New Roman" w:hAnsi="Arial" w:cs="Arial"/>
          <w:color w:val="000000"/>
          <w:sz w:val="20"/>
          <w:szCs w:val="20"/>
          <w:lang w:eastAsia="fr-FR"/>
        </w:rPr>
      </w:pPr>
      <w:r>
        <w:rPr>
          <w:rFonts w:eastAsia="Times New Roman" w:cs="Times New Roman"/>
          <w:color w:val="000000"/>
          <w:lang w:eastAsia="fr-FR"/>
        </w:rPr>
        <w:t>L</w:t>
      </w:r>
      <w:r w:rsidR="008F0ED7" w:rsidRPr="00834C74">
        <w:rPr>
          <w:rFonts w:eastAsia="Times New Roman" w:cs="Times New Roman"/>
          <w:color w:val="000000"/>
          <w:lang w:eastAsia="fr-FR"/>
        </w:rPr>
        <w:t>e volume nécessaire à ce confinement est déterminé de la façon suivante. L’exploitant calcule la somme :</w:t>
      </w:r>
    </w:p>
    <w:p w14:paraId="19615B66" w14:textId="77777777" w:rsidR="008F0ED7" w:rsidRPr="00834C74" w:rsidRDefault="008F0ED7" w:rsidP="008F0ED7">
      <w:pPr>
        <w:spacing w:before="100" w:beforeAutospacing="1" w:after="62" w:line="240" w:lineRule="auto"/>
        <w:rPr>
          <w:rFonts w:ascii="Arial" w:eastAsia="Times New Roman" w:hAnsi="Arial" w:cs="Arial"/>
          <w:color w:val="000000"/>
          <w:sz w:val="20"/>
          <w:szCs w:val="20"/>
          <w:lang w:eastAsia="fr-FR"/>
        </w:rPr>
      </w:pPr>
      <w:r w:rsidRPr="00834C74">
        <w:rPr>
          <w:rFonts w:eastAsia="Times New Roman" w:cs="Times New Roman"/>
          <w:color w:val="000000"/>
          <w:lang w:eastAsia="fr-FR"/>
        </w:rPr>
        <w:t>- du volume d’eau d’extinction nécessaire à la lutte contre l’incendie d’une part ;</w:t>
      </w:r>
    </w:p>
    <w:p w14:paraId="46FC0FF3" w14:textId="77BF2506" w:rsidR="008F0ED7" w:rsidRPr="00834C74" w:rsidRDefault="008F0ED7" w:rsidP="008F0ED7">
      <w:pPr>
        <w:spacing w:before="100" w:beforeAutospacing="1" w:after="62" w:line="240" w:lineRule="auto"/>
        <w:rPr>
          <w:rFonts w:ascii="Arial" w:eastAsia="Times New Roman" w:hAnsi="Arial" w:cs="Arial"/>
          <w:color w:val="000000"/>
          <w:sz w:val="20"/>
          <w:szCs w:val="20"/>
          <w:lang w:eastAsia="fr-FR"/>
        </w:rPr>
      </w:pPr>
      <w:r w:rsidRPr="00834C74">
        <w:rPr>
          <w:rFonts w:eastAsia="Times New Roman" w:cs="Times New Roman"/>
          <w:color w:val="000000"/>
          <w:lang w:eastAsia="fr-FR"/>
        </w:rPr>
        <w:t xml:space="preserve">- du volume de produit libéré par cet incendie </w:t>
      </w:r>
      <w:r w:rsidR="006064DE">
        <w:rPr>
          <w:rFonts w:eastAsia="Times New Roman" w:cs="Times New Roman"/>
          <w:color w:val="000000"/>
          <w:lang w:eastAsia="fr-FR"/>
        </w:rPr>
        <w:t xml:space="preserve">non recueilli par des rétentions </w:t>
      </w:r>
      <w:r w:rsidRPr="00834C74">
        <w:rPr>
          <w:rFonts w:eastAsia="Times New Roman" w:cs="Times New Roman"/>
          <w:color w:val="000000"/>
          <w:lang w:eastAsia="fr-FR"/>
        </w:rPr>
        <w:t>d’autre part ;</w:t>
      </w:r>
    </w:p>
    <w:p w14:paraId="4EFCCA73" w14:textId="77777777" w:rsidR="008F0ED7" w:rsidRPr="00834C74" w:rsidRDefault="008F0ED7" w:rsidP="008F0ED7">
      <w:pPr>
        <w:spacing w:before="100" w:beforeAutospacing="1" w:after="62" w:line="240" w:lineRule="auto"/>
        <w:rPr>
          <w:rFonts w:ascii="Arial" w:eastAsia="Times New Roman" w:hAnsi="Arial" w:cs="Arial"/>
          <w:color w:val="000000"/>
          <w:sz w:val="20"/>
          <w:szCs w:val="20"/>
          <w:lang w:eastAsia="fr-FR"/>
        </w:rPr>
      </w:pPr>
      <w:r w:rsidRPr="00834C74">
        <w:rPr>
          <w:rFonts w:eastAsia="Times New Roman" w:cs="Times New Roman"/>
          <w:color w:val="000000"/>
          <w:lang w:eastAsia="fr-FR"/>
        </w:rPr>
        <w:t>- du volume d’eau lié aux intempéries à raison de 10 litres par mètre carré de surface de drainage vers l’ouvrage de confinement lorsque le confinement est externe.</w:t>
      </w:r>
    </w:p>
    <w:p w14:paraId="52EF6A34" w14:textId="77777777" w:rsidR="008F0ED7" w:rsidRPr="00F63890" w:rsidRDefault="008F0ED7" w:rsidP="008F0ED7">
      <w:pPr>
        <w:spacing w:after="0" w:line="240" w:lineRule="auto"/>
        <w:rPr>
          <w:rFonts w:eastAsia="Times New Roman" w:cs="Times New Roman"/>
          <w:szCs w:val="24"/>
          <w:lang w:eastAsia="fr-FR"/>
        </w:rPr>
      </w:pPr>
      <w:r w:rsidRPr="00203154">
        <w:rPr>
          <w:rFonts w:eastAsia="Times New Roman" w:cs="Times New Roman"/>
          <w:szCs w:val="24"/>
          <w:lang w:eastAsia="fr-FR"/>
        </w:rPr>
        <w:t>Les organes de commande nécessaires à la mise en service de ces volumes sont actionnables en toute circonstance.</w:t>
      </w:r>
    </w:p>
    <w:p w14:paraId="45CA3138" w14:textId="77777777" w:rsidR="008F0ED7" w:rsidRPr="00834C74" w:rsidRDefault="008F0ED7" w:rsidP="008F0ED7">
      <w:pPr>
        <w:spacing w:before="100" w:beforeAutospacing="1" w:after="62" w:line="240" w:lineRule="auto"/>
        <w:rPr>
          <w:rFonts w:ascii="Arial" w:eastAsia="Times New Roman" w:hAnsi="Arial" w:cs="Arial"/>
          <w:color w:val="000000"/>
          <w:sz w:val="20"/>
          <w:szCs w:val="20"/>
          <w:lang w:eastAsia="fr-FR"/>
        </w:rPr>
      </w:pPr>
      <w:r w:rsidRPr="00834C74">
        <w:rPr>
          <w:rFonts w:eastAsia="Times New Roman" w:cs="Times New Roman"/>
          <w:color w:val="000000"/>
          <w:lang w:eastAsia="fr-FR"/>
        </w:rPr>
        <w:t>En cas de recours à des systèmes de relevage autonomes, l’exploitant est en mesure de justifier à tout instant d’un entretien et d’une maintenance rigoureux de ces dispositifs. Des tests réguliers sont par ailleurs menés sur ces équipements.</w:t>
      </w:r>
    </w:p>
    <w:p w14:paraId="78CF137F" w14:textId="77777777" w:rsidR="008F0ED7" w:rsidRPr="00834C74" w:rsidRDefault="008F0ED7" w:rsidP="008F0ED7">
      <w:pPr>
        <w:spacing w:before="100" w:beforeAutospacing="1" w:after="62" w:line="240" w:lineRule="auto"/>
        <w:rPr>
          <w:rFonts w:ascii="Arial" w:eastAsia="Times New Roman" w:hAnsi="Arial" w:cs="Arial"/>
          <w:color w:val="000000"/>
          <w:sz w:val="20"/>
          <w:szCs w:val="20"/>
          <w:lang w:eastAsia="fr-FR"/>
        </w:rPr>
      </w:pPr>
      <w:r>
        <w:rPr>
          <w:rFonts w:eastAsia="Times New Roman" w:cs="Times New Roman"/>
          <w:color w:val="000000"/>
          <w:lang w:eastAsia="fr-FR"/>
        </w:rPr>
        <w:t>Le cas échéant</w:t>
      </w:r>
      <w:r w:rsidRPr="00834C74">
        <w:rPr>
          <w:rFonts w:eastAsia="Times New Roman" w:cs="Times New Roman"/>
          <w:color w:val="000000"/>
          <w:lang w:eastAsia="fr-FR"/>
        </w:rPr>
        <w:t xml:space="preserve">, les orifices d’écoulement issus de ces dispositifs </w:t>
      </w:r>
      <w:r>
        <w:rPr>
          <w:rFonts w:eastAsia="Times New Roman" w:cs="Times New Roman"/>
          <w:color w:val="000000"/>
          <w:lang w:eastAsia="fr-FR"/>
        </w:rPr>
        <w:t xml:space="preserve">de confinement </w:t>
      </w:r>
      <w:r w:rsidRPr="00834C74">
        <w:rPr>
          <w:rFonts w:eastAsia="Times New Roman" w:cs="Times New Roman"/>
          <w:color w:val="000000"/>
          <w:lang w:eastAsia="fr-FR"/>
        </w:rPr>
        <w:t xml:space="preserve">sont munis d’un dispositif d’obturation à déclenchement automatique ou commandable à distance pour </w:t>
      </w:r>
      <w:r w:rsidRPr="00834C74">
        <w:rPr>
          <w:rFonts w:eastAsia="Times New Roman" w:cs="Times New Roman"/>
          <w:color w:val="000000"/>
          <w:lang w:eastAsia="fr-FR"/>
        </w:rPr>
        <w:lastRenderedPageBreak/>
        <w:t>assurer ce confinement lorsque des eaux susceptibles d’être pollués y sont portées. Tout moyen est mis en place pour éviter la propagation de l’incendie par ces écoulements.</w:t>
      </w:r>
    </w:p>
    <w:p w14:paraId="3B2BED64" w14:textId="77777777" w:rsidR="008F0ED7" w:rsidRDefault="008F0ED7" w:rsidP="008F0ED7">
      <w:pPr>
        <w:spacing w:after="0" w:line="240" w:lineRule="auto"/>
        <w:rPr>
          <w:rFonts w:eastAsia="Times New Roman" w:cs="Times New Roman"/>
          <w:szCs w:val="24"/>
          <w:lang w:eastAsia="fr-FR"/>
        </w:rPr>
      </w:pPr>
    </w:p>
    <w:p w14:paraId="6ADA8E42" w14:textId="494A24D9" w:rsidR="002B49D3" w:rsidRPr="00610FC6" w:rsidRDefault="002B49D3" w:rsidP="00D437C9">
      <w:pPr>
        <w:spacing w:after="0" w:line="240" w:lineRule="auto"/>
        <w:rPr>
          <w:rFonts w:eastAsia="Times New Roman" w:cs="Times New Roman"/>
          <w:szCs w:val="24"/>
          <w:lang w:eastAsia="fr-FR"/>
        </w:rPr>
      </w:pPr>
    </w:p>
    <w:p w14:paraId="5D9064E6" w14:textId="1D7F87B4" w:rsidR="00610FC6" w:rsidRPr="0005336F" w:rsidRDefault="00932A73" w:rsidP="009160A1">
      <w:pPr>
        <w:pStyle w:val="Titre1"/>
        <w:rPr>
          <w:rFonts w:eastAsia="Times New Roman"/>
          <w:lang w:eastAsia="fr-FR"/>
        </w:rPr>
      </w:pPr>
      <w:r>
        <w:rPr>
          <w:rFonts w:eastAsia="Times New Roman"/>
          <w:lang w:eastAsia="fr-FR"/>
        </w:rPr>
        <w:t>Dispositions générales</w:t>
      </w:r>
    </w:p>
    <w:p w14:paraId="077BC41E" w14:textId="329A11C2" w:rsidR="00610FC6" w:rsidRPr="0005336F" w:rsidRDefault="00610FC6" w:rsidP="009160A1">
      <w:pPr>
        <w:pStyle w:val="Titre2"/>
      </w:pPr>
      <w:bookmarkStart w:id="43" w:name="LEGIARTI000023100877"/>
      <w:bookmarkEnd w:id="43"/>
    </w:p>
    <w:p w14:paraId="321F7057" w14:textId="144067B4" w:rsidR="00610FC6" w:rsidRPr="00610FC6" w:rsidRDefault="00604F74" w:rsidP="00CE43BB">
      <w:pPr>
        <w:spacing w:after="0" w:line="240" w:lineRule="auto"/>
        <w:rPr>
          <w:rFonts w:eastAsia="Times New Roman" w:cs="Times New Roman"/>
          <w:szCs w:val="24"/>
          <w:lang w:eastAsia="fr-FR"/>
        </w:rPr>
      </w:pPr>
      <w:r>
        <w:rPr>
          <w:rFonts w:eastAsia="Times New Roman" w:cs="Times New Roman"/>
          <w:szCs w:val="24"/>
          <w:lang w:eastAsia="fr-FR"/>
        </w:rPr>
        <w:t>L’arrêté du 16 juillet 2012 est abrogé.</w:t>
      </w:r>
    </w:p>
    <w:p w14:paraId="7060334C" w14:textId="629A12BB" w:rsidR="001F5CBF" w:rsidRDefault="001F5CBF" w:rsidP="001F5CBF">
      <w:pPr>
        <w:spacing w:after="0" w:line="240" w:lineRule="auto"/>
      </w:pPr>
      <w:bookmarkStart w:id="44" w:name="LEGIARTI000023100879"/>
      <w:bookmarkEnd w:id="44"/>
    </w:p>
    <w:p w14:paraId="4BCD8A84" w14:textId="77777777" w:rsidR="001F5CBF" w:rsidRDefault="001F5CBF" w:rsidP="001F5CBF">
      <w:pPr>
        <w:spacing w:after="0" w:line="240" w:lineRule="auto"/>
        <w:rPr>
          <w:rFonts w:eastAsia="Times New Roman" w:cs="Times New Roman"/>
          <w:szCs w:val="24"/>
          <w:lang w:eastAsia="fr-FR"/>
        </w:rPr>
      </w:pPr>
    </w:p>
    <w:p w14:paraId="138CD4A7" w14:textId="77777777" w:rsidR="009160A1" w:rsidRDefault="009160A1" w:rsidP="009160A1">
      <w:pPr>
        <w:pStyle w:val="Titre2"/>
      </w:pPr>
    </w:p>
    <w:p w14:paraId="48E7F4BF" w14:textId="258251E7" w:rsidR="00610FC6" w:rsidRPr="00610FC6" w:rsidRDefault="00610FC6" w:rsidP="00D437C9">
      <w:pPr>
        <w:spacing w:after="0" w:line="240" w:lineRule="auto"/>
        <w:rPr>
          <w:rFonts w:eastAsia="Times New Roman" w:cs="Times New Roman"/>
          <w:szCs w:val="24"/>
          <w:lang w:eastAsia="fr-FR"/>
        </w:rPr>
      </w:pPr>
      <w:r w:rsidRPr="00610FC6">
        <w:rPr>
          <w:rFonts w:eastAsia="Times New Roman" w:cs="Times New Roman"/>
          <w:szCs w:val="24"/>
          <w:lang w:eastAsia="fr-FR"/>
        </w:rPr>
        <w:t>Le directeur général de la prévention des risques est chargé de l'exécution du présent arrêté, qui sera publié au Journal officiel de la République française.</w:t>
      </w:r>
    </w:p>
    <w:p w14:paraId="05A51AFB" w14:textId="11F76BA0" w:rsidR="0005336F" w:rsidRDefault="0005336F" w:rsidP="00D437C9">
      <w:pPr>
        <w:spacing w:after="0" w:line="240" w:lineRule="auto"/>
        <w:rPr>
          <w:rFonts w:eastAsia="Times New Roman" w:cs="Times New Roman"/>
          <w:szCs w:val="24"/>
          <w:lang w:eastAsia="fr-FR"/>
        </w:rPr>
      </w:pPr>
    </w:p>
    <w:p w14:paraId="5BE8840F" w14:textId="2836722E" w:rsidR="00CE43BB" w:rsidRDefault="00CE43BB" w:rsidP="00D437C9">
      <w:pPr>
        <w:spacing w:after="0" w:line="240" w:lineRule="auto"/>
        <w:rPr>
          <w:rFonts w:eastAsia="Times New Roman" w:cs="Times New Roman"/>
          <w:szCs w:val="24"/>
          <w:lang w:eastAsia="fr-FR"/>
        </w:rPr>
      </w:pPr>
    </w:p>
    <w:p w14:paraId="4BC71897" w14:textId="77777777" w:rsidR="00CE43BB" w:rsidRDefault="00CE43BB" w:rsidP="00D437C9">
      <w:pPr>
        <w:spacing w:after="0" w:line="240" w:lineRule="auto"/>
        <w:rPr>
          <w:rFonts w:eastAsia="Times New Roman" w:cs="Times New Roman"/>
          <w:szCs w:val="24"/>
          <w:lang w:eastAsia="fr-FR"/>
        </w:rPr>
      </w:pPr>
    </w:p>
    <w:p w14:paraId="61EA5995" w14:textId="77777777" w:rsidR="006669B2" w:rsidRPr="00610FC6" w:rsidRDefault="006669B2" w:rsidP="006669B2">
      <w:pPr>
        <w:spacing w:after="0" w:line="240" w:lineRule="auto"/>
        <w:rPr>
          <w:rFonts w:eastAsia="Times New Roman" w:cs="Times New Roman"/>
          <w:szCs w:val="24"/>
          <w:lang w:eastAsia="fr-FR"/>
        </w:rPr>
      </w:pPr>
      <w:r w:rsidRPr="00610FC6">
        <w:rPr>
          <w:rFonts w:eastAsia="Times New Roman" w:cs="Times New Roman"/>
          <w:szCs w:val="24"/>
          <w:lang w:eastAsia="fr-FR"/>
        </w:rPr>
        <w:t xml:space="preserve">Fait à Paris, le </w:t>
      </w:r>
      <w:r>
        <w:rPr>
          <w:rFonts w:eastAsia="Times New Roman" w:cs="Times New Roman"/>
          <w:szCs w:val="24"/>
          <w:highlight w:val="yellow"/>
          <w:lang w:eastAsia="fr-FR"/>
        </w:rPr>
        <w:t>XX</w:t>
      </w:r>
      <w:r w:rsidRPr="00610FC6">
        <w:rPr>
          <w:rFonts w:eastAsia="Times New Roman" w:cs="Times New Roman"/>
          <w:szCs w:val="24"/>
          <w:lang w:eastAsia="fr-FR"/>
        </w:rPr>
        <w:t>.</w:t>
      </w:r>
    </w:p>
    <w:p w14:paraId="40FB41D9" w14:textId="77777777" w:rsidR="0086153D" w:rsidRDefault="006669B2" w:rsidP="00CE3370">
      <w:pPr>
        <w:rPr>
          <w:lang w:eastAsia="fr-FR"/>
        </w:rPr>
      </w:pPr>
      <w:r>
        <w:rPr>
          <w:lang w:eastAsia="fr-FR"/>
        </w:rPr>
        <w:br/>
        <w:t>Pour la</w:t>
      </w:r>
      <w:r w:rsidRPr="00610FC6">
        <w:rPr>
          <w:lang w:eastAsia="fr-FR"/>
        </w:rPr>
        <w:t xml:space="preserve"> ministre et par délégation :</w:t>
      </w:r>
    </w:p>
    <w:p w14:paraId="787816B8" w14:textId="77777777" w:rsidR="00E86B6E" w:rsidRDefault="006669B2" w:rsidP="0086153D">
      <w:pPr>
        <w:rPr>
          <w:lang w:eastAsia="fr-FR"/>
        </w:rPr>
      </w:pPr>
      <w:r w:rsidRPr="00610FC6">
        <w:rPr>
          <w:lang w:eastAsia="fr-FR"/>
        </w:rPr>
        <w:t>Le directeur général</w:t>
      </w:r>
      <w:r w:rsidR="00CE3370">
        <w:rPr>
          <w:lang w:eastAsia="fr-FR"/>
        </w:rPr>
        <w:t xml:space="preserve"> </w:t>
      </w:r>
      <w:r w:rsidRPr="00610FC6">
        <w:rPr>
          <w:lang w:eastAsia="fr-FR"/>
        </w:rPr>
        <w:t>de la prévention des risques,</w:t>
      </w:r>
    </w:p>
    <w:p w14:paraId="767B9792" w14:textId="21D4B6DE" w:rsidR="006669B2" w:rsidRPr="00610FC6" w:rsidRDefault="006669B2" w:rsidP="0086153D">
      <w:pPr>
        <w:rPr>
          <w:lang w:eastAsia="fr-FR"/>
        </w:rPr>
      </w:pPr>
      <w:r>
        <w:rPr>
          <w:lang w:eastAsia="fr-FR"/>
        </w:rPr>
        <w:t>C. Bourillet</w:t>
      </w:r>
    </w:p>
    <w:p w14:paraId="6F99D08A" w14:textId="112B399A" w:rsidR="001F5CBF" w:rsidRDefault="001F5CBF" w:rsidP="00D437C9">
      <w:pPr>
        <w:spacing w:after="0" w:line="240" w:lineRule="auto"/>
        <w:rPr>
          <w:rFonts w:eastAsia="Times New Roman" w:cs="Times New Roman"/>
          <w:b/>
          <w:szCs w:val="24"/>
          <w:lang w:eastAsia="fr-FR"/>
        </w:rPr>
      </w:pPr>
    </w:p>
    <w:p w14:paraId="424D9227" w14:textId="34ECA767" w:rsidR="006669B2" w:rsidRDefault="006669B2" w:rsidP="00D437C9">
      <w:pPr>
        <w:spacing w:after="0" w:line="240" w:lineRule="auto"/>
        <w:rPr>
          <w:rFonts w:eastAsia="Times New Roman" w:cs="Times New Roman"/>
          <w:b/>
          <w:szCs w:val="24"/>
          <w:lang w:eastAsia="fr-FR"/>
        </w:rPr>
      </w:pPr>
    </w:p>
    <w:p w14:paraId="75DEEDF6" w14:textId="045BE484" w:rsidR="006669B2" w:rsidRDefault="006669B2">
      <w:pPr>
        <w:rPr>
          <w:rFonts w:eastAsia="Times New Roman" w:cs="Times New Roman"/>
          <w:b/>
          <w:szCs w:val="24"/>
          <w:lang w:eastAsia="fr-FR"/>
        </w:rPr>
      </w:pPr>
      <w:r>
        <w:rPr>
          <w:rFonts w:eastAsia="Times New Roman" w:cs="Times New Roman"/>
          <w:b/>
          <w:szCs w:val="24"/>
          <w:lang w:eastAsia="fr-FR"/>
        </w:rPr>
        <w:br w:type="page"/>
      </w:r>
    </w:p>
    <w:p w14:paraId="545A5007" w14:textId="77777777" w:rsidR="006669B2" w:rsidRDefault="006669B2" w:rsidP="00D437C9">
      <w:pPr>
        <w:spacing w:after="0" w:line="240" w:lineRule="auto"/>
        <w:rPr>
          <w:rFonts w:eastAsia="Times New Roman" w:cs="Times New Roman"/>
          <w:b/>
          <w:szCs w:val="24"/>
          <w:lang w:eastAsia="fr-FR"/>
        </w:rPr>
      </w:pPr>
    </w:p>
    <w:p w14:paraId="2A08CFA0" w14:textId="43C4CA83" w:rsidR="00610FC6" w:rsidRPr="0005336F" w:rsidRDefault="00610FC6" w:rsidP="00D437C9">
      <w:pPr>
        <w:spacing w:after="0" w:line="240" w:lineRule="auto"/>
        <w:rPr>
          <w:rFonts w:eastAsia="Times New Roman" w:cs="Times New Roman"/>
          <w:b/>
          <w:szCs w:val="24"/>
          <w:lang w:eastAsia="fr-FR"/>
        </w:rPr>
      </w:pPr>
      <w:r w:rsidRPr="0005336F">
        <w:rPr>
          <w:rFonts w:eastAsia="Times New Roman" w:cs="Times New Roman"/>
          <w:b/>
          <w:szCs w:val="24"/>
          <w:lang w:eastAsia="fr-FR"/>
        </w:rPr>
        <w:t xml:space="preserve">Annexes </w:t>
      </w:r>
    </w:p>
    <w:p w14:paraId="515ECAA1" w14:textId="28437C4C" w:rsidR="006669B2" w:rsidRDefault="006669B2">
      <w:bookmarkStart w:id="45" w:name="LEGIARTI000023100881"/>
      <w:bookmarkStart w:id="46" w:name="LEGIARTI000031175764"/>
      <w:bookmarkEnd w:id="45"/>
      <w:bookmarkEnd w:id="46"/>
    </w:p>
    <w:p w14:paraId="1D0FA9F4" w14:textId="48043F9B" w:rsidR="006669B2" w:rsidRDefault="006669B2" w:rsidP="006669B2">
      <w:pPr>
        <w:spacing w:after="0" w:line="240" w:lineRule="auto"/>
        <w:rPr>
          <w:rFonts w:eastAsia="Times New Roman" w:cs="Times New Roman"/>
          <w:b/>
          <w:szCs w:val="24"/>
          <w:u w:val="single"/>
          <w:lang w:eastAsia="fr-FR"/>
        </w:rPr>
      </w:pPr>
      <w:r>
        <w:rPr>
          <w:rFonts w:eastAsia="Times New Roman" w:cs="Times New Roman"/>
          <w:b/>
          <w:szCs w:val="24"/>
          <w:u w:val="single"/>
          <w:lang w:eastAsia="fr-FR"/>
        </w:rPr>
        <w:t xml:space="preserve">Annexe </w:t>
      </w:r>
      <w:r w:rsidR="00C57FA3">
        <w:rPr>
          <w:rFonts w:eastAsia="Times New Roman" w:cs="Times New Roman"/>
          <w:b/>
          <w:szCs w:val="24"/>
          <w:u w:val="single"/>
          <w:lang w:eastAsia="fr-FR"/>
        </w:rPr>
        <w:t>1</w:t>
      </w:r>
    </w:p>
    <w:p w14:paraId="78229253" w14:textId="1DEA5141" w:rsidR="006669B2" w:rsidRDefault="006669B2" w:rsidP="006669B2">
      <w:pPr>
        <w:spacing w:after="0" w:line="240" w:lineRule="auto"/>
        <w:rPr>
          <w:rFonts w:eastAsia="Times New Roman" w:cs="Times New Roman"/>
          <w:b/>
          <w:szCs w:val="24"/>
          <w:u w:val="single"/>
          <w:lang w:eastAsia="fr-FR"/>
        </w:rPr>
      </w:pPr>
      <w:r>
        <w:rPr>
          <w:rFonts w:eastAsia="Times New Roman" w:cs="Times New Roman"/>
          <w:b/>
          <w:szCs w:val="24"/>
          <w:u w:val="single"/>
          <w:lang w:eastAsia="fr-FR"/>
        </w:rPr>
        <w:t xml:space="preserve">Dispositions applicables </w:t>
      </w:r>
      <w:r w:rsidRPr="006669B2">
        <w:rPr>
          <w:rFonts w:eastAsia="Times New Roman" w:cs="Times New Roman"/>
          <w:b/>
          <w:szCs w:val="24"/>
          <w:u w:val="single"/>
          <w:lang w:eastAsia="fr-FR"/>
        </w:rPr>
        <w:t xml:space="preserve">aux </w:t>
      </w:r>
      <w:r>
        <w:rPr>
          <w:rFonts w:eastAsia="Times New Roman" w:cs="Times New Roman"/>
          <w:b/>
          <w:szCs w:val="24"/>
          <w:u w:val="single"/>
          <w:lang w:eastAsia="fr-FR"/>
        </w:rPr>
        <w:t xml:space="preserve">installations existantes de </w:t>
      </w:r>
      <w:r w:rsidRPr="006669B2">
        <w:rPr>
          <w:rFonts w:eastAsia="Times New Roman" w:cs="Times New Roman"/>
          <w:b/>
          <w:szCs w:val="24"/>
          <w:u w:val="single"/>
          <w:lang w:eastAsia="fr-FR"/>
        </w:rPr>
        <w:t>stockages en récipients mobiles de liquides inflammables exploités au sein d'une installation soumise à autorisation au titre au titre de l'une ou plusieurs des rubriques nos 1436, 4330, 4331, 4722, 4734, 4742, 4743, 4744, 4746, 4747 ou 4748, ou pour le pétrole brut au titre de l'une ou plusieurs des rubriques nos 4510 ou 4511 de la nomenclature des installations classées pour la protection de l'environnement présents dans un entrepôt couvert soumis au régime de l'enregistrement ou de l'autorisation au titre de la rubrique 1510 de cette même nomenclature</w:t>
      </w:r>
    </w:p>
    <w:p w14:paraId="3C906AA4" w14:textId="4DA1D508" w:rsidR="006669B2" w:rsidRDefault="006669B2" w:rsidP="006669B2">
      <w:pPr>
        <w:spacing w:after="0" w:line="240" w:lineRule="auto"/>
        <w:rPr>
          <w:rFonts w:eastAsia="Times New Roman" w:cs="Times New Roman"/>
          <w:b/>
          <w:szCs w:val="24"/>
          <w:u w:val="single"/>
          <w:lang w:eastAsia="fr-FR"/>
        </w:rPr>
      </w:pPr>
    </w:p>
    <w:p w14:paraId="38F67874" w14:textId="77777777" w:rsidR="006669B2" w:rsidRPr="0005336F" w:rsidRDefault="006669B2" w:rsidP="006669B2">
      <w:pPr>
        <w:spacing w:after="0" w:line="240" w:lineRule="auto"/>
        <w:rPr>
          <w:rFonts w:eastAsia="Times New Roman" w:cs="Times New Roman"/>
          <w:b/>
          <w:szCs w:val="24"/>
          <w:u w:val="single"/>
          <w:lang w:eastAsia="fr-FR"/>
        </w:rPr>
      </w:pPr>
    </w:p>
    <w:p w14:paraId="75425D17" w14:textId="73C0735C" w:rsidR="002D7A6C" w:rsidRDefault="006669B2" w:rsidP="00E86B6E">
      <w:pPr>
        <w:spacing w:after="0" w:line="240" w:lineRule="auto"/>
      </w:pPr>
      <w:r>
        <w:t xml:space="preserve">Cette annexe définit les dispositions applicables aux installations existantes </w:t>
      </w:r>
      <w:r w:rsidRPr="006669B2">
        <w:t>de stockages en récipients mobiles de liquides inflammables exploités au sein d'une installation soumise à autorisation au titre au titre de l'une ou plusieurs des rubriques nos 1436, 4330, 4331, 4722, 4734, 4742, 4743, 4744, 4746, 4747 ou 4748, ou pour le pétrole brut au titre de l'une ou plusieurs des rubriques nos 4510 ou 4511 de la nomenclature des installations classées pour la protection de l'environnement présents dans un entrepôt couvert soumis au régime de l'enregistrement ou de l'autorisation au titre de la rubrique 1510 de cette même nomenclature</w:t>
      </w:r>
      <w:r w:rsidR="00E86B6E">
        <w:t xml:space="preserve">, en complément le cas échéant de dispositions spécifiques plus contraignantes figurant dans les arrêtés d’autorisation </w:t>
      </w:r>
      <w:r>
        <w:t>:</w:t>
      </w:r>
    </w:p>
    <w:p w14:paraId="0BB38F51" w14:textId="028DCCAE" w:rsidR="006669B2" w:rsidRDefault="006669B2" w:rsidP="0018485D">
      <w:pPr>
        <w:spacing w:after="0" w:line="240" w:lineRule="auto"/>
      </w:pPr>
    </w:p>
    <w:p w14:paraId="14F1E6CD" w14:textId="60CD1F0D" w:rsidR="006669B2" w:rsidRDefault="006669B2" w:rsidP="0018485D">
      <w:pPr>
        <w:spacing w:after="0" w:line="240" w:lineRule="auto"/>
      </w:pPr>
      <w:r>
        <w:t>I. pour les installations dont la demande d’autorisation a été présentée avant le 1</w:t>
      </w:r>
      <w:r w:rsidRPr="00351951">
        <w:rPr>
          <w:vertAlign w:val="superscript"/>
        </w:rPr>
        <w:t>er</w:t>
      </w:r>
      <w:r>
        <w:t xml:space="preserve"> janvier 2013 ou régulièrement mises en service avant le 1</w:t>
      </w:r>
      <w:r w:rsidRPr="00351951">
        <w:rPr>
          <w:vertAlign w:val="superscript"/>
        </w:rPr>
        <w:t>er</w:t>
      </w:r>
      <w:r>
        <w:t xml:space="preserve"> janvier 2013, </w:t>
      </w:r>
      <w:r w:rsidRPr="000E38AD">
        <w:t>les dispositions d</w:t>
      </w:r>
      <w:r w:rsidR="003E55A9" w:rsidRPr="000E38AD">
        <w:t>u présent</w:t>
      </w:r>
      <w:r w:rsidR="003E55A9">
        <w:t xml:space="preserve"> arrêté sont applicable</w:t>
      </w:r>
      <w:r w:rsidR="00604F74">
        <w:t>s</w:t>
      </w:r>
      <w:r w:rsidR="003E55A9">
        <w:t xml:space="preserve"> selon les modalités particulières précisées dans le tableau suivant :</w:t>
      </w:r>
    </w:p>
    <w:p w14:paraId="313C3FCD" w14:textId="3F8EA4E5" w:rsidR="006669B2" w:rsidRDefault="006669B2" w:rsidP="0018485D">
      <w:pPr>
        <w:spacing w:after="0" w:line="240" w:lineRule="auto"/>
      </w:pPr>
    </w:p>
    <w:tbl>
      <w:tblPr>
        <w:tblStyle w:val="Grilledutableau"/>
        <w:tblW w:w="9214" w:type="dxa"/>
        <w:tblInd w:w="-5" w:type="dxa"/>
        <w:tblLayout w:type="fixed"/>
        <w:tblLook w:val="04A0" w:firstRow="1" w:lastRow="0" w:firstColumn="1" w:lastColumn="0" w:noHBand="0" w:noVBand="1"/>
      </w:tblPr>
      <w:tblGrid>
        <w:gridCol w:w="1418"/>
        <w:gridCol w:w="7796"/>
      </w:tblGrid>
      <w:tr w:rsidR="00ED5F8F" w:rsidRPr="000D7FFD" w14:paraId="6922B90F" w14:textId="77777777" w:rsidTr="00ED5F8F">
        <w:tc>
          <w:tcPr>
            <w:tcW w:w="1418" w:type="dxa"/>
          </w:tcPr>
          <w:p w14:paraId="42E7A4E4" w14:textId="77777777" w:rsidR="00ED5F8F" w:rsidRPr="000D7FFD" w:rsidRDefault="00ED5F8F" w:rsidP="00E03677">
            <w:pPr>
              <w:rPr>
                <w:color w:val="000000" w:themeColor="text1"/>
              </w:rPr>
            </w:pPr>
            <w:r>
              <w:rPr>
                <w:color w:val="000000" w:themeColor="text1"/>
              </w:rPr>
              <w:t>Article concerné</w:t>
            </w:r>
            <w:r w:rsidRPr="000D7FFD">
              <w:rPr>
                <w:color w:val="000000" w:themeColor="text1"/>
              </w:rPr>
              <w:t xml:space="preserve"> </w:t>
            </w:r>
          </w:p>
        </w:tc>
        <w:tc>
          <w:tcPr>
            <w:tcW w:w="7796" w:type="dxa"/>
          </w:tcPr>
          <w:p w14:paraId="2B72AB4F" w14:textId="0FDDF9CC" w:rsidR="00ED5F8F" w:rsidRPr="000D7FFD" w:rsidRDefault="00ED5F8F" w:rsidP="00E03677">
            <w:pPr>
              <w:rPr>
                <w:color w:val="000000" w:themeColor="text1"/>
              </w:rPr>
            </w:pPr>
            <w:r>
              <w:rPr>
                <w:color w:val="000000" w:themeColor="text1"/>
              </w:rPr>
              <w:t>Modalités particulières d’application de certains articles</w:t>
            </w:r>
          </w:p>
        </w:tc>
      </w:tr>
      <w:tr w:rsidR="00ED5F8F" w:rsidRPr="000D7FFD" w14:paraId="733B71B8" w14:textId="77777777" w:rsidTr="00ED5F8F">
        <w:tc>
          <w:tcPr>
            <w:tcW w:w="1418" w:type="dxa"/>
          </w:tcPr>
          <w:p w14:paraId="74225999" w14:textId="77777777" w:rsidR="00ED5F8F" w:rsidRPr="000D7FFD" w:rsidRDefault="00ED5F8F" w:rsidP="00E03677">
            <w:pPr>
              <w:rPr>
                <w:color w:val="000000" w:themeColor="text1"/>
              </w:rPr>
            </w:pPr>
            <w:r w:rsidRPr="000D7FFD">
              <w:rPr>
                <w:color w:val="000000" w:themeColor="text1"/>
              </w:rPr>
              <w:t>I</w:t>
            </w:r>
          </w:p>
        </w:tc>
        <w:tc>
          <w:tcPr>
            <w:tcW w:w="7796" w:type="dxa"/>
          </w:tcPr>
          <w:p w14:paraId="5906C188"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485667ED" w14:textId="77777777" w:rsidTr="00ED5F8F">
        <w:tc>
          <w:tcPr>
            <w:tcW w:w="1418" w:type="dxa"/>
          </w:tcPr>
          <w:p w14:paraId="4A868E96" w14:textId="77777777" w:rsidR="00ED5F8F" w:rsidRPr="000D7FFD" w:rsidRDefault="00ED5F8F" w:rsidP="00E03677">
            <w:pPr>
              <w:rPr>
                <w:color w:val="000000" w:themeColor="text1"/>
              </w:rPr>
            </w:pPr>
            <w:r w:rsidRPr="000D7FFD">
              <w:rPr>
                <w:color w:val="000000" w:themeColor="text1"/>
              </w:rPr>
              <w:t>II.1</w:t>
            </w:r>
          </w:p>
        </w:tc>
        <w:tc>
          <w:tcPr>
            <w:tcW w:w="7796" w:type="dxa"/>
          </w:tcPr>
          <w:p w14:paraId="04947184" w14:textId="77777777" w:rsidR="00ED5F8F" w:rsidRPr="000D7FFD" w:rsidRDefault="00ED5F8F" w:rsidP="00E03677">
            <w:pPr>
              <w:rPr>
                <w:color w:val="000000" w:themeColor="text1"/>
              </w:rPr>
            </w:pPr>
            <w:r w:rsidRPr="000D7FFD">
              <w:rPr>
                <w:color w:val="000000" w:themeColor="text1"/>
              </w:rPr>
              <w:t>Les dispositions du II.1 sont remplacées par les dispositions suivantes de l’annexe 4.</w:t>
            </w:r>
          </w:p>
          <w:p w14:paraId="4DD3905F" w14:textId="77777777" w:rsidR="00ED5F8F" w:rsidRPr="000D7FFD" w:rsidRDefault="00ED5F8F" w:rsidP="00E03677">
            <w:pPr>
              <w:rPr>
                <w:color w:val="000000" w:themeColor="text1"/>
              </w:rPr>
            </w:pPr>
          </w:p>
        </w:tc>
      </w:tr>
      <w:tr w:rsidR="00ED5F8F" w:rsidRPr="000D7FFD" w14:paraId="31E5882D" w14:textId="77777777" w:rsidTr="00ED5F8F">
        <w:tc>
          <w:tcPr>
            <w:tcW w:w="1418" w:type="dxa"/>
          </w:tcPr>
          <w:p w14:paraId="35DDB9A7" w14:textId="77777777" w:rsidR="00ED5F8F" w:rsidRPr="000D7FFD" w:rsidRDefault="00ED5F8F" w:rsidP="00E03677">
            <w:pPr>
              <w:rPr>
                <w:rFonts w:eastAsia="Times New Roman"/>
                <w:color w:val="000000" w:themeColor="text1"/>
                <w:lang w:eastAsia="fr-FR"/>
              </w:rPr>
            </w:pPr>
            <w:r w:rsidRPr="000D7FFD">
              <w:rPr>
                <w:rFonts w:eastAsia="Times New Roman"/>
                <w:color w:val="000000" w:themeColor="text1"/>
                <w:lang w:eastAsia="fr-FR"/>
              </w:rPr>
              <w:t>II.2</w:t>
            </w:r>
          </w:p>
        </w:tc>
        <w:tc>
          <w:tcPr>
            <w:tcW w:w="7796" w:type="dxa"/>
          </w:tcPr>
          <w:p w14:paraId="657DBEEC" w14:textId="77777777" w:rsidR="00ED5F8F" w:rsidRPr="000D7FFD" w:rsidRDefault="00ED5F8F" w:rsidP="00E03677">
            <w:pPr>
              <w:rPr>
                <w:rFonts w:eastAsia="Times New Roman"/>
                <w:color w:val="000000" w:themeColor="text1"/>
                <w:lang w:eastAsia="fr-FR"/>
              </w:rPr>
            </w:pPr>
            <w:r w:rsidRPr="000D7FFD">
              <w:rPr>
                <w:rFonts w:eastAsia="Times New Roman"/>
                <w:color w:val="000000" w:themeColor="text1"/>
                <w:lang w:eastAsia="fr-FR"/>
              </w:rPr>
              <w:t>La disposition relative à la hauteur de la clôture n'est pas applicable aux installations existantes, aux extensions ou modifications de ces installations existantes ainsi qu'aux installations nouvelles construites dans un site existant au 1</w:t>
            </w:r>
            <w:r w:rsidRPr="000D7FFD">
              <w:rPr>
                <w:rFonts w:eastAsia="Times New Roman"/>
                <w:color w:val="000000" w:themeColor="text1"/>
                <w:vertAlign w:val="superscript"/>
                <w:lang w:eastAsia="fr-FR"/>
              </w:rPr>
              <w:t>er</w:t>
            </w:r>
            <w:r w:rsidRPr="000D7FFD">
              <w:rPr>
                <w:rFonts w:eastAsia="Times New Roman"/>
                <w:color w:val="000000" w:themeColor="text1"/>
                <w:lang w:eastAsia="fr-FR"/>
              </w:rPr>
              <w:t xml:space="preserve"> janvier 2013.</w:t>
            </w:r>
          </w:p>
          <w:p w14:paraId="24124B5D" w14:textId="77777777" w:rsidR="00ED5F8F" w:rsidRPr="000D7FFD" w:rsidRDefault="00ED5F8F" w:rsidP="00E03677">
            <w:pPr>
              <w:rPr>
                <w:rFonts w:eastAsia="Times New Roman"/>
                <w:color w:val="000000" w:themeColor="text1"/>
                <w:lang w:eastAsia="fr-FR"/>
              </w:rPr>
            </w:pPr>
            <w:r w:rsidRPr="000D7FFD">
              <w:rPr>
                <w:rFonts w:eastAsia="Times New Roman"/>
                <w:color w:val="000000" w:themeColor="text1"/>
                <w:lang w:eastAsia="fr-FR"/>
              </w:rPr>
              <w:t>Les autres dispositions du présent article sont applicables aux installations existantes.</w:t>
            </w:r>
          </w:p>
          <w:p w14:paraId="6CE1EA47" w14:textId="77777777" w:rsidR="00ED5F8F" w:rsidRPr="000D7FFD" w:rsidRDefault="00ED5F8F" w:rsidP="00E03677">
            <w:pPr>
              <w:rPr>
                <w:color w:val="000000" w:themeColor="text1"/>
              </w:rPr>
            </w:pPr>
          </w:p>
        </w:tc>
      </w:tr>
      <w:tr w:rsidR="00ED5F8F" w:rsidRPr="000D7FFD" w14:paraId="1F37E84D" w14:textId="77777777" w:rsidTr="00ED5F8F">
        <w:tc>
          <w:tcPr>
            <w:tcW w:w="1418" w:type="dxa"/>
          </w:tcPr>
          <w:p w14:paraId="4DA5ECDB" w14:textId="77777777" w:rsidR="00ED5F8F" w:rsidRPr="000D7FFD" w:rsidRDefault="00ED5F8F" w:rsidP="00E03677">
            <w:pPr>
              <w:rPr>
                <w:color w:val="000000" w:themeColor="text1"/>
              </w:rPr>
            </w:pPr>
            <w:r w:rsidRPr="000D7FFD">
              <w:rPr>
                <w:color w:val="000000" w:themeColor="text1"/>
              </w:rPr>
              <w:t>II.3 I</w:t>
            </w:r>
          </w:p>
        </w:tc>
        <w:tc>
          <w:tcPr>
            <w:tcW w:w="7796" w:type="dxa"/>
          </w:tcPr>
          <w:p w14:paraId="4C276AC5" w14:textId="77777777" w:rsidR="00ED5F8F" w:rsidRPr="000D7FFD" w:rsidRDefault="00ED5F8F" w:rsidP="00E03677">
            <w:pPr>
              <w:rPr>
                <w:color w:val="000000" w:themeColor="text1"/>
              </w:rPr>
            </w:pPr>
            <w:r w:rsidRPr="000D7FFD">
              <w:rPr>
                <w:color w:val="000000" w:themeColor="text1"/>
              </w:rPr>
              <w:t>Cette disposition est applicable, sauf en cas d’impossibilité justifiée, en particulier sur la base des conditions de vent et de la potentielle exposition aux fumées d’incendie du personnel d’intervention, et sous réserve de l’accord préalable des services d’incendie et de secours.</w:t>
            </w:r>
          </w:p>
        </w:tc>
      </w:tr>
      <w:tr w:rsidR="00ED5F8F" w:rsidRPr="000D7FFD" w14:paraId="1B71928E" w14:textId="77777777" w:rsidTr="00ED5F8F">
        <w:tc>
          <w:tcPr>
            <w:tcW w:w="1418" w:type="dxa"/>
          </w:tcPr>
          <w:p w14:paraId="3ED7988E" w14:textId="77777777" w:rsidR="00ED5F8F" w:rsidRPr="000D7FFD" w:rsidRDefault="00ED5F8F" w:rsidP="00E03677">
            <w:pPr>
              <w:rPr>
                <w:color w:val="000000" w:themeColor="text1"/>
              </w:rPr>
            </w:pPr>
            <w:r w:rsidRPr="000D7FFD">
              <w:rPr>
                <w:color w:val="000000" w:themeColor="text1"/>
              </w:rPr>
              <w:t>II. 3 II</w:t>
            </w:r>
          </w:p>
        </w:tc>
        <w:tc>
          <w:tcPr>
            <w:tcW w:w="7796" w:type="dxa"/>
          </w:tcPr>
          <w:p w14:paraId="7282B548" w14:textId="77777777" w:rsidR="00ED5F8F" w:rsidRPr="000D7FFD" w:rsidRDefault="00ED5F8F" w:rsidP="00E03677">
            <w:pPr>
              <w:rPr>
                <w:color w:val="000000" w:themeColor="text1"/>
              </w:rPr>
            </w:pPr>
            <w:r w:rsidRPr="000D7FFD">
              <w:rPr>
                <w:color w:val="000000" w:themeColor="text1"/>
              </w:rPr>
              <w:t>Les dispositions sont applicables</w:t>
            </w:r>
          </w:p>
        </w:tc>
      </w:tr>
      <w:tr w:rsidR="00ED5F8F" w:rsidRPr="000D7FFD" w14:paraId="703BEC2C" w14:textId="77777777" w:rsidTr="00ED5F8F">
        <w:tc>
          <w:tcPr>
            <w:tcW w:w="1418" w:type="dxa"/>
          </w:tcPr>
          <w:p w14:paraId="6F100DC0" w14:textId="77777777" w:rsidR="00ED5F8F" w:rsidRPr="000D7FFD" w:rsidRDefault="00ED5F8F" w:rsidP="00E03677">
            <w:pPr>
              <w:rPr>
                <w:color w:val="000000" w:themeColor="text1"/>
              </w:rPr>
            </w:pPr>
            <w:r w:rsidRPr="000D7FFD">
              <w:rPr>
                <w:color w:val="000000" w:themeColor="text1"/>
              </w:rPr>
              <w:t>II. 3 III</w:t>
            </w:r>
          </w:p>
        </w:tc>
        <w:tc>
          <w:tcPr>
            <w:tcW w:w="7796" w:type="dxa"/>
          </w:tcPr>
          <w:p w14:paraId="6BFD51E7" w14:textId="77777777" w:rsidR="00ED5F8F" w:rsidRPr="000D7FFD" w:rsidRDefault="00ED5F8F" w:rsidP="00E03677">
            <w:pPr>
              <w:rPr>
                <w:color w:val="000000" w:themeColor="text1"/>
              </w:rPr>
            </w:pPr>
            <w:r w:rsidRPr="000D7FFD">
              <w:rPr>
                <w:color w:val="000000" w:themeColor="text1"/>
              </w:rPr>
              <w:t xml:space="preserve">Les dispositions du III. ne sont pas applicables aux </w:t>
            </w:r>
            <w:r w:rsidRPr="000D7FFD">
              <w:rPr>
                <w:rFonts w:eastAsia="Times New Roman"/>
                <w:color w:val="000000" w:themeColor="text1"/>
                <w:lang w:eastAsia="fr-FR"/>
              </w:rPr>
              <w:t>installations existantes, aux extensions ou modifications de ces installations. existantes ainsi qu'aux installations nouvelles construites dans un site existant au 1</w:t>
            </w:r>
            <w:r w:rsidRPr="000D7FFD">
              <w:rPr>
                <w:rFonts w:eastAsia="Times New Roman"/>
                <w:color w:val="000000" w:themeColor="text1"/>
                <w:vertAlign w:val="superscript"/>
                <w:lang w:eastAsia="fr-FR"/>
              </w:rPr>
              <w:t>er</w:t>
            </w:r>
            <w:r w:rsidRPr="000D7FFD">
              <w:rPr>
                <w:rFonts w:eastAsia="Times New Roman"/>
                <w:color w:val="000000" w:themeColor="text1"/>
                <w:lang w:eastAsia="fr-FR"/>
              </w:rPr>
              <w:t xml:space="preserve"> janvier 2013.</w:t>
            </w:r>
          </w:p>
        </w:tc>
      </w:tr>
      <w:tr w:rsidR="00ED5F8F" w:rsidRPr="000D7FFD" w14:paraId="089672E9" w14:textId="77777777" w:rsidTr="00ED5F8F">
        <w:tc>
          <w:tcPr>
            <w:tcW w:w="1418" w:type="dxa"/>
          </w:tcPr>
          <w:p w14:paraId="45E04B7F" w14:textId="1BA3DCC4" w:rsidR="00ED5F8F" w:rsidRPr="000D7FFD" w:rsidRDefault="00ED5F8F" w:rsidP="00E03677">
            <w:pPr>
              <w:rPr>
                <w:color w:val="000000" w:themeColor="text1"/>
              </w:rPr>
            </w:pPr>
            <w:r w:rsidRPr="000D7FFD">
              <w:rPr>
                <w:color w:val="000000" w:themeColor="text1"/>
              </w:rPr>
              <w:lastRenderedPageBreak/>
              <w:t>II.4</w:t>
            </w:r>
          </w:p>
        </w:tc>
        <w:tc>
          <w:tcPr>
            <w:tcW w:w="7796" w:type="dxa"/>
          </w:tcPr>
          <w:p w14:paraId="1908FB1E" w14:textId="77777777" w:rsidR="00ED5F8F" w:rsidRPr="000D7FFD" w:rsidRDefault="00ED5F8F" w:rsidP="00E03677">
            <w:pPr>
              <w:rPr>
                <w:color w:val="000000" w:themeColor="text1"/>
              </w:rPr>
            </w:pPr>
            <w:r w:rsidRPr="000D7FFD">
              <w:rPr>
                <w:color w:val="000000" w:themeColor="text1"/>
              </w:rPr>
              <w:t>Ces dispositions ne sont pas applicables</w:t>
            </w:r>
          </w:p>
        </w:tc>
      </w:tr>
      <w:tr w:rsidR="00ED5F8F" w:rsidRPr="000D7FFD" w14:paraId="03559D1B" w14:textId="77777777" w:rsidTr="00ED5F8F">
        <w:tc>
          <w:tcPr>
            <w:tcW w:w="1418" w:type="dxa"/>
          </w:tcPr>
          <w:p w14:paraId="7CD582BA" w14:textId="77777777" w:rsidR="00ED5F8F" w:rsidRPr="000D7FFD" w:rsidRDefault="00ED5F8F" w:rsidP="00E03677">
            <w:pPr>
              <w:rPr>
                <w:color w:val="000000" w:themeColor="text1"/>
              </w:rPr>
            </w:pPr>
            <w:r w:rsidRPr="000D7FFD">
              <w:rPr>
                <w:color w:val="000000" w:themeColor="text1"/>
              </w:rPr>
              <w:t>III.1</w:t>
            </w:r>
          </w:p>
        </w:tc>
        <w:tc>
          <w:tcPr>
            <w:tcW w:w="7796" w:type="dxa"/>
          </w:tcPr>
          <w:p w14:paraId="293F7AC5" w14:textId="77777777" w:rsidR="00ED5F8F" w:rsidRPr="000D7FFD" w:rsidRDefault="00ED5F8F" w:rsidP="00E03677">
            <w:pPr>
              <w:rPr>
                <w:color w:val="000000" w:themeColor="text1"/>
              </w:rPr>
            </w:pPr>
            <w:r w:rsidRPr="000D7FFD">
              <w:rPr>
                <w:color w:val="000000" w:themeColor="text1"/>
              </w:rPr>
              <w:t>Ces dispositions sont applicables, selon les conditions définies dans l’article III.1</w:t>
            </w:r>
          </w:p>
        </w:tc>
      </w:tr>
      <w:tr w:rsidR="00ED5F8F" w:rsidRPr="000D7FFD" w14:paraId="7066FF9B" w14:textId="77777777" w:rsidTr="00ED5F8F">
        <w:tc>
          <w:tcPr>
            <w:tcW w:w="1418" w:type="dxa"/>
          </w:tcPr>
          <w:p w14:paraId="0678B781" w14:textId="77777777" w:rsidR="00ED5F8F" w:rsidRPr="000D7FFD" w:rsidRDefault="00ED5F8F" w:rsidP="00E03677">
            <w:pPr>
              <w:rPr>
                <w:color w:val="000000" w:themeColor="text1"/>
              </w:rPr>
            </w:pPr>
            <w:r w:rsidRPr="000D7FFD">
              <w:rPr>
                <w:color w:val="000000" w:themeColor="text1"/>
              </w:rPr>
              <w:t>III.2</w:t>
            </w:r>
          </w:p>
        </w:tc>
        <w:tc>
          <w:tcPr>
            <w:tcW w:w="7796" w:type="dxa"/>
          </w:tcPr>
          <w:p w14:paraId="74620BAE"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2E618733" w14:textId="77777777" w:rsidTr="00ED5F8F">
        <w:trPr>
          <w:trHeight w:val="101"/>
        </w:trPr>
        <w:tc>
          <w:tcPr>
            <w:tcW w:w="1418" w:type="dxa"/>
          </w:tcPr>
          <w:p w14:paraId="3A68BEA4" w14:textId="77777777" w:rsidR="00ED5F8F" w:rsidRPr="000D7FFD" w:rsidRDefault="00ED5F8F" w:rsidP="00E03677">
            <w:pPr>
              <w:rPr>
                <w:color w:val="000000" w:themeColor="text1"/>
              </w:rPr>
            </w:pPr>
            <w:r w:rsidRPr="000D7FFD">
              <w:rPr>
                <w:color w:val="000000" w:themeColor="text1"/>
              </w:rPr>
              <w:t>III.3</w:t>
            </w:r>
          </w:p>
        </w:tc>
        <w:tc>
          <w:tcPr>
            <w:tcW w:w="7796" w:type="dxa"/>
          </w:tcPr>
          <w:p w14:paraId="7821A4A5" w14:textId="77777777" w:rsidR="00ED5F8F" w:rsidRPr="000D7FFD" w:rsidRDefault="00ED5F8F" w:rsidP="00E03677">
            <w:pPr>
              <w:rPr>
                <w:color w:val="000000" w:themeColor="text1"/>
              </w:rPr>
            </w:pPr>
            <w:r w:rsidRPr="000D7FFD">
              <w:rPr>
                <w:rFonts w:eastAsia="Times New Roman"/>
                <w:color w:val="000000" w:themeColor="text1"/>
                <w:lang w:eastAsia="fr-FR"/>
              </w:rPr>
              <w:t>Les dispositions définies à l’annexe V sont applicables aux installations existantes à compter du 1</w:t>
            </w:r>
            <w:r w:rsidRPr="000D7FFD">
              <w:rPr>
                <w:rFonts w:eastAsia="Times New Roman"/>
                <w:color w:val="000000" w:themeColor="text1"/>
                <w:vertAlign w:val="superscript"/>
                <w:lang w:eastAsia="fr-FR"/>
              </w:rPr>
              <w:t>er</w:t>
            </w:r>
            <w:r w:rsidRPr="000D7FFD">
              <w:rPr>
                <w:rFonts w:eastAsia="Times New Roman"/>
                <w:color w:val="000000" w:themeColor="text1"/>
                <w:lang w:eastAsia="fr-FR"/>
              </w:rPr>
              <w:t xml:space="preserve"> janvier 2026 en lieu et place des dispositions de l’article III.3.</w:t>
            </w:r>
          </w:p>
          <w:p w14:paraId="3DB63D83" w14:textId="77777777" w:rsidR="00ED5F8F" w:rsidRPr="000D7FFD" w:rsidRDefault="00ED5F8F" w:rsidP="00E03677">
            <w:pPr>
              <w:rPr>
                <w:color w:val="000000" w:themeColor="text1"/>
              </w:rPr>
            </w:pPr>
            <w:r w:rsidRPr="000D7FFD">
              <w:rPr>
                <w:color w:val="000000" w:themeColor="text1"/>
              </w:rPr>
              <w:t>Néanmoins,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ces dispositions sont applicables à l’extension. </w:t>
            </w:r>
          </w:p>
          <w:p w14:paraId="13628FE7" w14:textId="77777777" w:rsidR="00ED5F8F" w:rsidRPr="000D7FFD" w:rsidRDefault="00ED5F8F" w:rsidP="00E03677">
            <w:pPr>
              <w:rPr>
                <w:color w:val="000000" w:themeColor="text1"/>
              </w:rPr>
            </w:pPr>
          </w:p>
          <w:p w14:paraId="47374511" w14:textId="77777777" w:rsidR="00ED5F8F" w:rsidRPr="000D7FFD" w:rsidRDefault="00ED5F8F" w:rsidP="00E03677">
            <w:pPr>
              <w:rPr>
                <w:color w:val="000000" w:themeColor="text1"/>
              </w:rPr>
            </w:pPr>
          </w:p>
        </w:tc>
      </w:tr>
      <w:tr w:rsidR="00ED5F8F" w:rsidRPr="000D7FFD" w14:paraId="0F01AC8A" w14:textId="77777777" w:rsidTr="00ED5F8F">
        <w:trPr>
          <w:trHeight w:val="101"/>
        </w:trPr>
        <w:tc>
          <w:tcPr>
            <w:tcW w:w="1418" w:type="dxa"/>
          </w:tcPr>
          <w:p w14:paraId="6E8C8A30" w14:textId="77777777" w:rsidR="00ED5F8F" w:rsidRPr="000D7FFD" w:rsidRDefault="00ED5F8F" w:rsidP="00E03677">
            <w:pPr>
              <w:rPr>
                <w:color w:val="000000" w:themeColor="text1"/>
              </w:rPr>
            </w:pPr>
            <w:r w:rsidRPr="000D7FFD">
              <w:rPr>
                <w:color w:val="000000" w:themeColor="text1"/>
              </w:rPr>
              <w:t>III.4</w:t>
            </w:r>
          </w:p>
        </w:tc>
        <w:tc>
          <w:tcPr>
            <w:tcW w:w="7796" w:type="dxa"/>
          </w:tcPr>
          <w:p w14:paraId="73BF5A8C"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33151879" w14:textId="77777777" w:rsidTr="00ED5F8F">
        <w:tc>
          <w:tcPr>
            <w:tcW w:w="1418" w:type="dxa"/>
          </w:tcPr>
          <w:p w14:paraId="4E44F164" w14:textId="77777777" w:rsidR="00ED5F8F" w:rsidRPr="000D7FFD" w:rsidRDefault="00ED5F8F" w:rsidP="00E03677">
            <w:pPr>
              <w:rPr>
                <w:color w:val="000000" w:themeColor="text1"/>
              </w:rPr>
            </w:pPr>
            <w:r w:rsidRPr="000D7FFD">
              <w:rPr>
                <w:color w:val="000000" w:themeColor="text1"/>
              </w:rPr>
              <w:t>III.5</w:t>
            </w:r>
          </w:p>
        </w:tc>
        <w:tc>
          <w:tcPr>
            <w:tcW w:w="7796" w:type="dxa"/>
          </w:tcPr>
          <w:p w14:paraId="3D83EB7E" w14:textId="77777777" w:rsidR="00ED5F8F" w:rsidRPr="000D7FFD" w:rsidRDefault="00ED5F8F" w:rsidP="00E03677">
            <w:pPr>
              <w:rPr>
                <w:color w:val="000000" w:themeColor="text1"/>
              </w:rPr>
            </w:pPr>
            <w:r w:rsidRPr="000D7FFD">
              <w:rPr>
                <w:color w:val="000000" w:themeColor="text1"/>
              </w:rPr>
              <w:t>Le dernier alinéa du I n’est pas applicable</w:t>
            </w:r>
          </w:p>
          <w:p w14:paraId="08EE252E" w14:textId="77777777" w:rsidR="00ED5F8F" w:rsidRPr="000D7FFD" w:rsidRDefault="00ED5F8F" w:rsidP="00E03677">
            <w:pPr>
              <w:rPr>
                <w:color w:val="000000" w:themeColor="text1"/>
              </w:rPr>
            </w:pPr>
            <w:r w:rsidRPr="000D7FFD">
              <w:rPr>
                <w:color w:val="000000" w:themeColor="text1"/>
              </w:rPr>
              <w:t>Les autres dispositions sont applicables.</w:t>
            </w:r>
          </w:p>
        </w:tc>
      </w:tr>
      <w:tr w:rsidR="00ED5F8F" w:rsidRPr="000D7FFD" w14:paraId="3AB2075B" w14:textId="77777777" w:rsidTr="00ED5F8F">
        <w:tc>
          <w:tcPr>
            <w:tcW w:w="1418" w:type="dxa"/>
          </w:tcPr>
          <w:p w14:paraId="4B58ADBA" w14:textId="77777777" w:rsidR="00ED5F8F" w:rsidRPr="000D7FFD" w:rsidRDefault="00ED5F8F" w:rsidP="00E03677">
            <w:pPr>
              <w:rPr>
                <w:color w:val="000000" w:themeColor="text1"/>
              </w:rPr>
            </w:pPr>
            <w:r w:rsidRPr="000D7FFD">
              <w:rPr>
                <w:color w:val="000000" w:themeColor="text1"/>
              </w:rPr>
              <w:t>III.6</w:t>
            </w:r>
          </w:p>
        </w:tc>
        <w:tc>
          <w:tcPr>
            <w:tcW w:w="7796" w:type="dxa"/>
          </w:tcPr>
          <w:p w14:paraId="3823D2E7" w14:textId="7A32D8B1" w:rsidR="00ED5F8F" w:rsidRDefault="00ED5F8F" w:rsidP="00E03677">
            <w:pPr>
              <w:rPr>
                <w:color w:val="000000" w:themeColor="text1"/>
              </w:rPr>
            </w:pPr>
            <w:r w:rsidRPr="000D7FFD">
              <w:rPr>
                <w:color w:val="000000" w:themeColor="text1"/>
              </w:rPr>
              <w:t>Les dispositions du I ne sont pas applicables aux installations existantes</w:t>
            </w:r>
            <w:r w:rsidR="00353A0E">
              <w:rPr>
                <w:color w:val="000000" w:themeColor="text1"/>
              </w:rPr>
              <w:t>.</w:t>
            </w:r>
          </w:p>
          <w:p w14:paraId="0BAFFC7C" w14:textId="47D06E29" w:rsidR="00353A0E" w:rsidRPr="000D7FFD" w:rsidRDefault="00353A0E" w:rsidP="00E03677">
            <w:pPr>
              <w:rPr>
                <w:color w:val="000000" w:themeColor="text1"/>
              </w:rPr>
            </w:pPr>
            <w:r>
              <w:rPr>
                <w:color w:val="000000" w:themeColor="text1"/>
              </w:rPr>
              <w:t>Les dispositions du point III sont applicables au 1</w:t>
            </w:r>
            <w:r w:rsidRPr="00353A0E">
              <w:rPr>
                <w:color w:val="000000" w:themeColor="text1"/>
                <w:vertAlign w:val="superscript"/>
              </w:rPr>
              <w:t>er</w:t>
            </w:r>
            <w:r>
              <w:rPr>
                <w:color w:val="000000" w:themeColor="text1"/>
              </w:rPr>
              <w:t xml:space="preserve"> janvier 2026.</w:t>
            </w:r>
          </w:p>
          <w:p w14:paraId="515EBE29" w14:textId="77777777" w:rsidR="00ED5F8F" w:rsidRPr="000D7FFD" w:rsidRDefault="00ED5F8F" w:rsidP="00E03677">
            <w:pPr>
              <w:rPr>
                <w:color w:val="000000" w:themeColor="text1"/>
              </w:rPr>
            </w:pPr>
            <w:r w:rsidRPr="000D7FFD">
              <w:rPr>
                <w:color w:val="000000" w:themeColor="text1"/>
              </w:rPr>
              <w:t>Les autres dispositions sont applicables.</w:t>
            </w:r>
          </w:p>
        </w:tc>
      </w:tr>
      <w:tr w:rsidR="00ED5F8F" w:rsidRPr="000D7FFD" w14:paraId="290F4219" w14:textId="77777777" w:rsidTr="00ED5F8F">
        <w:tc>
          <w:tcPr>
            <w:tcW w:w="1418" w:type="dxa"/>
          </w:tcPr>
          <w:p w14:paraId="5AD10D71" w14:textId="77777777" w:rsidR="00ED5F8F" w:rsidRPr="000D7FFD" w:rsidRDefault="00ED5F8F" w:rsidP="00E03677">
            <w:pPr>
              <w:rPr>
                <w:color w:val="000000" w:themeColor="text1"/>
              </w:rPr>
            </w:pPr>
            <w:r w:rsidRPr="000D7FFD">
              <w:rPr>
                <w:color w:val="000000" w:themeColor="text1"/>
              </w:rPr>
              <w:t>III.7</w:t>
            </w:r>
          </w:p>
        </w:tc>
        <w:tc>
          <w:tcPr>
            <w:tcW w:w="7796" w:type="dxa"/>
          </w:tcPr>
          <w:p w14:paraId="39BD2A5F"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0DFB391E" w14:textId="77777777" w:rsidTr="00ED5F8F">
        <w:tc>
          <w:tcPr>
            <w:tcW w:w="1418" w:type="dxa"/>
          </w:tcPr>
          <w:p w14:paraId="49678CC7" w14:textId="77777777" w:rsidR="00ED5F8F" w:rsidRPr="000D7FFD" w:rsidRDefault="00ED5F8F" w:rsidP="00E03677">
            <w:pPr>
              <w:rPr>
                <w:color w:val="000000" w:themeColor="text1"/>
              </w:rPr>
            </w:pPr>
            <w:r w:rsidRPr="000D7FFD">
              <w:rPr>
                <w:color w:val="000000" w:themeColor="text1"/>
              </w:rPr>
              <w:t>III.8</w:t>
            </w:r>
          </w:p>
        </w:tc>
        <w:tc>
          <w:tcPr>
            <w:tcW w:w="7796" w:type="dxa"/>
          </w:tcPr>
          <w:p w14:paraId="57253923" w14:textId="77777777" w:rsidR="00ED5F8F" w:rsidRPr="000D7FFD" w:rsidRDefault="00ED5F8F" w:rsidP="00E03677">
            <w:pPr>
              <w:rPr>
                <w:color w:val="000000" w:themeColor="text1"/>
              </w:rPr>
            </w:pPr>
            <w:r w:rsidRPr="000D7FFD">
              <w:rPr>
                <w:color w:val="000000" w:themeColor="text1"/>
              </w:rPr>
              <w:t>Un dispositif de détection conforme aux dispositions du III.4 est mis en place à compter du 1</w:t>
            </w:r>
            <w:r w:rsidRPr="000D7FFD">
              <w:rPr>
                <w:color w:val="000000" w:themeColor="text1"/>
                <w:vertAlign w:val="superscript"/>
              </w:rPr>
              <w:t>er</w:t>
            </w:r>
            <w:r w:rsidRPr="000D7FFD">
              <w:rPr>
                <w:color w:val="000000" w:themeColor="text1"/>
              </w:rPr>
              <w:t xml:space="preserve"> janvier 2026. Les autres dispositions ne sont pas applicables aux installations existantes.</w:t>
            </w:r>
          </w:p>
          <w:p w14:paraId="4A0DC995" w14:textId="77777777" w:rsidR="00ED5F8F" w:rsidRPr="000D7FFD" w:rsidRDefault="00ED5F8F" w:rsidP="00E03677">
            <w:pPr>
              <w:rPr>
                <w:color w:val="000000" w:themeColor="text1"/>
              </w:rPr>
            </w:pPr>
            <w:r w:rsidRPr="000D7FFD">
              <w:rPr>
                <w:color w:val="000000" w:themeColor="text1"/>
              </w:rPr>
              <w:t>Néanmoins, en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ces dispositions sont applicables à l’extension. </w:t>
            </w:r>
          </w:p>
        </w:tc>
      </w:tr>
      <w:tr w:rsidR="00ED5F8F" w:rsidRPr="000D7FFD" w14:paraId="01BADAB6" w14:textId="77777777" w:rsidTr="00ED5F8F">
        <w:tc>
          <w:tcPr>
            <w:tcW w:w="1418" w:type="dxa"/>
          </w:tcPr>
          <w:p w14:paraId="79CADB28" w14:textId="77777777" w:rsidR="00ED5F8F" w:rsidRPr="000D7FFD" w:rsidRDefault="00ED5F8F" w:rsidP="00E03677">
            <w:pPr>
              <w:rPr>
                <w:color w:val="000000" w:themeColor="text1"/>
              </w:rPr>
            </w:pPr>
            <w:r w:rsidRPr="000D7FFD">
              <w:rPr>
                <w:color w:val="000000" w:themeColor="text1"/>
              </w:rPr>
              <w:t>III.9</w:t>
            </w:r>
          </w:p>
        </w:tc>
        <w:tc>
          <w:tcPr>
            <w:tcW w:w="7796" w:type="dxa"/>
          </w:tcPr>
          <w:p w14:paraId="0CC0AB26" w14:textId="77777777" w:rsidR="00ED5F8F" w:rsidRPr="000D7FFD" w:rsidRDefault="00ED5F8F"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p w14:paraId="56728F5E" w14:textId="77777777" w:rsidR="00ED5F8F" w:rsidRPr="000D7FFD" w:rsidRDefault="00ED5F8F" w:rsidP="00E03677">
            <w:pPr>
              <w:rPr>
                <w:color w:val="000000" w:themeColor="text1"/>
              </w:rPr>
            </w:pPr>
            <w:r w:rsidRPr="000D7FFD">
              <w:rPr>
                <w:color w:val="000000" w:themeColor="text1"/>
              </w:rPr>
              <w:t xml:space="preserve">Concernant la surface maximale susceptible d'être en feu, celle-ci peut être portée à 1000 m2, si la distance entre ilôts est suffisante pour garantir que les effets dominos (seuil des effets thermiques de 8kW/m²) ne sont pas atteints de bord de la rétention vis à vis de tout autre ilôt, rétention extérieure associée à des réservoirs, ou tout autre activité ou bâtiment. </w:t>
            </w:r>
          </w:p>
          <w:p w14:paraId="03F2FCB1" w14:textId="77777777" w:rsidR="00ED5F8F" w:rsidRPr="000D7FFD" w:rsidRDefault="00ED5F8F" w:rsidP="00E03677">
            <w:pPr>
              <w:rPr>
                <w:color w:val="000000" w:themeColor="text1"/>
              </w:rPr>
            </w:pPr>
            <w:r w:rsidRPr="000D7FFD">
              <w:rPr>
                <w:color w:val="000000" w:themeColor="text1"/>
              </w:rPr>
              <w:t>La configuration des ilôts respecte alors les conditions suivantes :</w:t>
            </w:r>
          </w:p>
          <w:tbl>
            <w:tblPr>
              <w:tblStyle w:val="Grilledutableau"/>
              <w:tblW w:w="7261" w:type="dxa"/>
              <w:tblLayout w:type="fixed"/>
              <w:tblLook w:val="04A0" w:firstRow="1" w:lastRow="0" w:firstColumn="1" w:lastColumn="0" w:noHBand="0" w:noVBand="1"/>
            </w:tblPr>
            <w:tblGrid>
              <w:gridCol w:w="3020"/>
              <w:gridCol w:w="4241"/>
            </w:tblGrid>
            <w:tr w:rsidR="00ED5F8F" w:rsidRPr="000D7FFD" w14:paraId="0907C818" w14:textId="77777777" w:rsidTr="00ED5F8F">
              <w:tc>
                <w:tcPr>
                  <w:tcW w:w="3020" w:type="dxa"/>
                </w:tcPr>
                <w:p w14:paraId="1BD4C93A" w14:textId="77777777" w:rsidR="00ED5F8F" w:rsidRPr="000D7FFD" w:rsidRDefault="00ED5F8F" w:rsidP="00E03677">
                  <w:pPr>
                    <w:rPr>
                      <w:color w:val="000000" w:themeColor="text1"/>
                    </w:rPr>
                  </w:pPr>
                  <w:r w:rsidRPr="000D7FFD">
                    <w:rPr>
                      <w:color w:val="000000" w:themeColor="text1"/>
                    </w:rPr>
                    <w:t>Surface maximale susceptible d’être en feu</w:t>
                  </w:r>
                </w:p>
              </w:tc>
              <w:tc>
                <w:tcPr>
                  <w:tcW w:w="4241" w:type="dxa"/>
                </w:tcPr>
                <w:p w14:paraId="4D386F04" w14:textId="77777777" w:rsidR="00ED5F8F" w:rsidRPr="000D7FFD" w:rsidRDefault="00ED5F8F" w:rsidP="00E03677">
                  <w:pPr>
                    <w:rPr>
                      <w:color w:val="000000" w:themeColor="text1"/>
                    </w:rPr>
                  </w:pPr>
                  <w:r w:rsidRPr="000D7FFD">
                    <w:rPr>
                      <w:color w:val="000000" w:themeColor="text1"/>
                    </w:rPr>
                    <w:t>Distance minimale entre le bord de la rétention rétention vis à vis de tout autre ilôt, rétention extérieure associée à des réservoirs, ou tout autre activité ou bâtiment</w:t>
                  </w:r>
                </w:p>
              </w:tc>
            </w:tr>
            <w:tr w:rsidR="00ED5F8F" w:rsidRPr="000D7FFD" w14:paraId="593737EE" w14:textId="77777777" w:rsidTr="00ED5F8F">
              <w:tc>
                <w:tcPr>
                  <w:tcW w:w="3020" w:type="dxa"/>
                </w:tcPr>
                <w:p w14:paraId="0A93F9D1" w14:textId="77777777" w:rsidR="00ED5F8F" w:rsidRPr="000D7FFD" w:rsidRDefault="00ED5F8F" w:rsidP="00E03677">
                  <w:pPr>
                    <w:rPr>
                      <w:color w:val="000000" w:themeColor="text1"/>
                    </w:rPr>
                  </w:pPr>
                  <w:r w:rsidRPr="000D7FFD">
                    <w:rPr>
                      <w:color w:val="000000" w:themeColor="text1"/>
                    </w:rPr>
                    <w:t>Jusqu’à 750 m²</w:t>
                  </w:r>
                </w:p>
              </w:tc>
              <w:tc>
                <w:tcPr>
                  <w:tcW w:w="4241" w:type="dxa"/>
                </w:tcPr>
                <w:p w14:paraId="69E38A22" w14:textId="77777777" w:rsidR="00ED5F8F" w:rsidRPr="000D7FFD" w:rsidRDefault="00ED5F8F" w:rsidP="00E03677">
                  <w:pPr>
                    <w:rPr>
                      <w:color w:val="000000" w:themeColor="text1"/>
                    </w:rPr>
                  </w:pPr>
                  <w:r w:rsidRPr="000D7FFD">
                    <w:rPr>
                      <w:color w:val="000000" w:themeColor="text1"/>
                    </w:rPr>
                    <w:t>15 m</w:t>
                  </w:r>
                </w:p>
              </w:tc>
            </w:tr>
            <w:tr w:rsidR="00ED5F8F" w:rsidRPr="000D7FFD" w14:paraId="319B5947" w14:textId="77777777" w:rsidTr="00ED5F8F">
              <w:tc>
                <w:tcPr>
                  <w:tcW w:w="3020" w:type="dxa"/>
                </w:tcPr>
                <w:p w14:paraId="36698FC9" w14:textId="77777777" w:rsidR="00ED5F8F" w:rsidRPr="000D7FFD" w:rsidRDefault="00ED5F8F" w:rsidP="00E03677">
                  <w:pPr>
                    <w:rPr>
                      <w:color w:val="000000" w:themeColor="text1"/>
                    </w:rPr>
                  </w:pPr>
                  <w:r w:rsidRPr="000D7FFD">
                    <w:rPr>
                      <w:color w:val="000000" w:themeColor="text1"/>
                    </w:rPr>
                    <w:t>Jusqu’à 1000 m²</w:t>
                  </w:r>
                </w:p>
              </w:tc>
              <w:tc>
                <w:tcPr>
                  <w:tcW w:w="4241" w:type="dxa"/>
                </w:tcPr>
                <w:p w14:paraId="0ABDE232" w14:textId="77777777" w:rsidR="00ED5F8F" w:rsidRPr="000D7FFD" w:rsidRDefault="00ED5F8F" w:rsidP="00E03677">
                  <w:pPr>
                    <w:rPr>
                      <w:color w:val="000000" w:themeColor="text1"/>
                    </w:rPr>
                  </w:pPr>
                  <w:r w:rsidRPr="000D7FFD">
                    <w:rPr>
                      <w:color w:val="000000" w:themeColor="text1"/>
                    </w:rPr>
                    <w:t>20 m</w:t>
                  </w:r>
                </w:p>
              </w:tc>
            </w:tr>
          </w:tbl>
          <w:p w14:paraId="2FBCCCB7" w14:textId="77777777" w:rsidR="00ED5F8F" w:rsidRPr="000D7FFD" w:rsidRDefault="00ED5F8F" w:rsidP="00E03677">
            <w:pPr>
              <w:rPr>
                <w:rFonts w:eastAsia="Times New Roman" w:cs="Times New Roman"/>
                <w:color w:val="000000" w:themeColor="text1"/>
                <w:szCs w:val="24"/>
                <w:lang w:eastAsia="fr-FR"/>
              </w:rPr>
            </w:pPr>
            <w:r w:rsidRPr="000D7FFD">
              <w:rPr>
                <w:rFonts w:eastAsia="Times New Roman" w:cs="Times New Roman"/>
                <w:color w:val="000000" w:themeColor="text1"/>
                <w:szCs w:val="24"/>
                <w:lang w:eastAsia="fr-FR"/>
              </w:rPr>
              <w:t>Ces distances peuvent être réduites si les effets domino (seuil des effets thermiques de 8kW/m²) ne sont pas atteints, par l’emploi de dispositions passives, du stockage vers tout autre ilôt de stockage ou activité et de tout autre ilôt de stockage ou autre activité vers le stockage</w:t>
            </w:r>
            <w:r w:rsidRPr="000D7FFD">
              <w:rPr>
                <w:rFonts w:cs="Times New Roman"/>
                <w:color w:val="000000" w:themeColor="text1"/>
                <w:szCs w:val="24"/>
              </w:rPr>
              <w:t xml:space="preserve">. La mise en place d’un mur </w:t>
            </w:r>
            <w:r w:rsidRPr="000D7FFD">
              <w:rPr>
                <w:color w:val="000000" w:themeColor="text1"/>
              </w:rPr>
              <w:t>coupe-feu EI 120 de dimensions suffisantes pour contenir les effets dominos permet de répondre à cette exigence. Les éléments de justification, et le cas échéant, de démonstration du respect des règles en vigueur concernant le mur coupe-feu, sont tenus à la disposition de l’inspection des installations classées</w:t>
            </w:r>
            <w:r w:rsidRPr="000D7FFD">
              <w:rPr>
                <w:rFonts w:cs="Times New Roman"/>
                <w:color w:val="000000" w:themeColor="text1"/>
                <w:szCs w:val="24"/>
              </w:rPr>
              <w:t xml:space="preserve">. </w:t>
            </w:r>
          </w:p>
          <w:p w14:paraId="79064CBD" w14:textId="77777777" w:rsidR="00ED5F8F" w:rsidRPr="000D7FFD" w:rsidRDefault="00ED5F8F" w:rsidP="00E03677">
            <w:pPr>
              <w:rPr>
                <w:color w:val="000000" w:themeColor="text1"/>
              </w:rPr>
            </w:pPr>
          </w:p>
        </w:tc>
      </w:tr>
      <w:tr w:rsidR="00ED5F8F" w:rsidRPr="000D7FFD" w14:paraId="5537E670" w14:textId="77777777" w:rsidTr="00ED5F8F">
        <w:tc>
          <w:tcPr>
            <w:tcW w:w="1418" w:type="dxa"/>
          </w:tcPr>
          <w:p w14:paraId="786528E4" w14:textId="77777777" w:rsidR="00ED5F8F" w:rsidRPr="000D7FFD" w:rsidRDefault="00ED5F8F" w:rsidP="00E03677">
            <w:pPr>
              <w:rPr>
                <w:color w:val="000000" w:themeColor="text1"/>
              </w:rPr>
            </w:pPr>
            <w:r w:rsidRPr="000D7FFD">
              <w:rPr>
                <w:color w:val="000000" w:themeColor="text1"/>
              </w:rPr>
              <w:t>III.10</w:t>
            </w:r>
          </w:p>
        </w:tc>
        <w:tc>
          <w:tcPr>
            <w:tcW w:w="7796" w:type="dxa"/>
          </w:tcPr>
          <w:p w14:paraId="0AF4323C" w14:textId="5FD6B1AF" w:rsidR="00ED5F8F" w:rsidRPr="000D7FFD" w:rsidRDefault="00ED5F8F"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tc>
      </w:tr>
      <w:tr w:rsidR="00ED5F8F" w:rsidRPr="000D7FFD" w14:paraId="3A324DDF" w14:textId="77777777" w:rsidTr="00ED5F8F">
        <w:tc>
          <w:tcPr>
            <w:tcW w:w="1418" w:type="dxa"/>
          </w:tcPr>
          <w:p w14:paraId="5C902AD5" w14:textId="77777777" w:rsidR="00ED5F8F" w:rsidRPr="000D7FFD" w:rsidRDefault="00ED5F8F" w:rsidP="00E03677">
            <w:pPr>
              <w:rPr>
                <w:color w:val="000000" w:themeColor="text1"/>
              </w:rPr>
            </w:pPr>
            <w:r w:rsidRPr="000D7FFD">
              <w:rPr>
                <w:color w:val="000000" w:themeColor="text1"/>
              </w:rPr>
              <w:lastRenderedPageBreak/>
              <w:t>III.11 –I</w:t>
            </w:r>
          </w:p>
        </w:tc>
        <w:tc>
          <w:tcPr>
            <w:tcW w:w="7796" w:type="dxa"/>
          </w:tcPr>
          <w:p w14:paraId="11AFE22F" w14:textId="77777777" w:rsidR="00ED5F8F" w:rsidRPr="000D7FFD" w:rsidRDefault="00ED5F8F" w:rsidP="00E03677">
            <w:pPr>
              <w:rPr>
                <w:color w:val="000000" w:themeColor="text1"/>
              </w:rPr>
            </w:pPr>
            <w:r w:rsidRPr="000D7FFD">
              <w:rPr>
                <w:color w:val="000000" w:themeColor="text1"/>
              </w:rPr>
              <w:t>Ces dispositions sont applicables aux rétentions construites après le 1</w:t>
            </w:r>
            <w:r w:rsidRPr="000D7FFD">
              <w:rPr>
                <w:color w:val="000000" w:themeColor="text1"/>
                <w:vertAlign w:val="superscript"/>
              </w:rPr>
              <w:t>er</w:t>
            </w:r>
            <w:r w:rsidRPr="000D7FFD">
              <w:rPr>
                <w:color w:val="000000" w:themeColor="text1"/>
              </w:rPr>
              <w:t xml:space="preserve"> janvier 2013, à l’exception du 4</w:t>
            </w:r>
            <w:r w:rsidRPr="000D7FFD">
              <w:rPr>
                <w:color w:val="000000" w:themeColor="text1"/>
                <w:vertAlign w:val="superscript"/>
              </w:rPr>
              <w:t>ème</w:t>
            </w:r>
            <w:r w:rsidRPr="000D7FFD">
              <w:rPr>
                <w:color w:val="000000" w:themeColor="text1"/>
              </w:rPr>
              <w:t xml:space="preserve"> tiret du I.</w:t>
            </w:r>
          </w:p>
          <w:p w14:paraId="2384D6D4" w14:textId="77777777" w:rsidR="00ED5F8F" w:rsidRPr="000D7FFD" w:rsidRDefault="00ED5F8F" w:rsidP="00E03677">
            <w:pPr>
              <w:rPr>
                <w:color w:val="000000" w:themeColor="text1"/>
              </w:rPr>
            </w:pPr>
            <w:r w:rsidRPr="000D7FFD">
              <w:rPr>
                <w:color w:val="000000" w:themeColor="text1"/>
              </w:rPr>
              <w:t>Ces dispositions sont applicables aux rétentions construites après le 1</w:t>
            </w:r>
            <w:r w:rsidRPr="000D7FFD">
              <w:rPr>
                <w:color w:val="000000" w:themeColor="text1"/>
                <w:vertAlign w:val="superscript"/>
              </w:rPr>
              <w:t>er</w:t>
            </w:r>
            <w:r w:rsidRPr="000D7FFD">
              <w:rPr>
                <w:color w:val="000000" w:themeColor="text1"/>
              </w:rPr>
              <w:t xml:space="preserve"> janvier 2021. </w:t>
            </w:r>
          </w:p>
        </w:tc>
      </w:tr>
      <w:tr w:rsidR="00ED5F8F" w:rsidRPr="000D7FFD" w14:paraId="4A05F8B1" w14:textId="77777777" w:rsidTr="00ED5F8F">
        <w:tc>
          <w:tcPr>
            <w:tcW w:w="1418" w:type="dxa"/>
          </w:tcPr>
          <w:p w14:paraId="36E22919" w14:textId="3CCBBD42" w:rsidR="00ED5F8F" w:rsidRPr="000D7FFD" w:rsidRDefault="00ED5F8F" w:rsidP="00E03677">
            <w:pPr>
              <w:rPr>
                <w:color w:val="000000" w:themeColor="text1"/>
              </w:rPr>
            </w:pPr>
            <w:r w:rsidRPr="000D7FFD">
              <w:rPr>
                <w:color w:val="000000" w:themeColor="text1"/>
              </w:rPr>
              <w:t>III.11-II</w:t>
            </w:r>
            <w:r w:rsidR="00353A0E">
              <w:rPr>
                <w:color w:val="000000" w:themeColor="text1"/>
              </w:rPr>
              <w:t>, III et IV</w:t>
            </w:r>
          </w:p>
        </w:tc>
        <w:tc>
          <w:tcPr>
            <w:tcW w:w="7796" w:type="dxa"/>
          </w:tcPr>
          <w:p w14:paraId="0A967B54"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1988A11F" w14:textId="77777777" w:rsidTr="00ED5F8F">
        <w:tc>
          <w:tcPr>
            <w:tcW w:w="1418" w:type="dxa"/>
          </w:tcPr>
          <w:p w14:paraId="4EDA86CC" w14:textId="77777777" w:rsidR="00ED5F8F" w:rsidRPr="000D7FFD" w:rsidRDefault="00ED5F8F" w:rsidP="00E03677">
            <w:pPr>
              <w:rPr>
                <w:color w:val="000000" w:themeColor="text1"/>
              </w:rPr>
            </w:pPr>
            <w:r w:rsidRPr="000D7FFD">
              <w:rPr>
                <w:color w:val="000000" w:themeColor="text1"/>
              </w:rPr>
              <w:t>III.12</w:t>
            </w:r>
          </w:p>
        </w:tc>
        <w:tc>
          <w:tcPr>
            <w:tcW w:w="7796" w:type="dxa"/>
          </w:tcPr>
          <w:p w14:paraId="16E84123" w14:textId="77777777" w:rsidR="00FE16CB" w:rsidRPr="000D7FFD" w:rsidRDefault="00FE16CB" w:rsidP="00FE16CB">
            <w:pPr>
              <w:rPr>
                <w:color w:val="000000" w:themeColor="text1"/>
              </w:rPr>
            </w:pPr>
            <w:r>
              <w:rPr>
                <w:color w:val="000000" w:themeColor="text1"/>
              </w:rPr>
              <w:t xml:space="preserve">Les dispositions du point I </w:t>
            </w:r>
            <w:r w:rsidRPr="000D7FFD">
              <w:rPr>
                <w:color w:val="000000" w:themeColor="text1"/>
              </w:rPr>
              <w:t>sont applicables.</w:t>
            </w:r>
          </w:p>
          <w:p w14:paraId="671787B2" w14:textId="77777777" w:rsidR="00FE16CB" w:rsidRPr="000D7FFD" w:rsidRDefault="00FE16CB" w:rsidP="00FE16CB">
            <w:pPr>
              <w:rPr>
                <w:color w:val="000000" w:themeColor="text1"/>
              </w:rPr>
            </w:pPr>
            <w:r w:rsidRPr="000D7FFD">
              <w:rPr>
                <w:color w:val="000000" w:themeColor="text1"/>
              </w:rPr>
              <w:t xml:space="preserve">Les dispositions des points II, </w:t>
            </w:r>
            <w:r>
              <w:rPr>
                <w:color w:val="000000" w:themeColor="text1"/>
              </w:rPr>
              <w:t xml:space="preserve">IV, </w:t>
            </w:r>
            <w:r w:rsidRPr="000D7FFD">
              <w:rPr>
                <w:color w:val="000000" w:themeColor="text1"/>
              </w:rPr>
              <w:t>V et VI sont applicables à compter du 1</w:t>
            </w:r>
            <w:r w:rsidRPr="000D7FFD">
              <w:rPr>
                <w:color w:val="000000" w:themeColor="text1"/>
                <w:vertAlign w:val="superscript"/>
              </w:rPr>
              <w:t>er</w:t>
            </w:r>
            <w:r w:rsidRPr="000D7FFD">
              <w:rPr>
                <w:color w:val="000000" w:themeColor="text1"/>
              </w:rPr>
              <w:t xml:space="preserve"> janvier 2026.</w:t>
            </w:r>
          </w:p>
          <w:p w14:paraId="7094A8CF" w14:textId="77777777" w:rsidR="00ED5F8F" w:rsidRPr="000D7FFD" w:rsidRDefault="00ED5F8F" w:rsidP="00E03677">
            <w:pPr>
              <w:rPr>
                <w:color w:val="000000" w:themeColor="text1"/>
              </w:rPr>
            </w:pPr>
          </w:p>
          <w:p w14:paraId="121D0683" w14:textId="77777777" w:rsidR="00ED5F8F" w:rsidRPr="000D7FFD" w:rsidRDefault="00ED5F8F" w:rsidP="00E03677">
            <w:pPr>
              <w:rPr>
                <w:color w:val="000000" w:themeColor="text1"/>
              </w:rPr>
            </w:pPr>
            <w:r w:rsidRPr="000D7FFD">
              <w:rPr>
                <w:color w:val="000000" w:themeColor="text1"/>
              </w:rPr>
              <w:t>Les dispositions du point III sont remplacées par les dispositions suivantes :</w:t>
            </w:r>
          </w:p>
          <w:p w14:paraId="7E8F860F" w14:textId="77777777" w:rsidR="00ED5F8F" w:rsidRPr="000D7FFD" w:rsidRDefault="00ED5F8F" w:rsidP="00E03677">
            <w:pPr>
              <w:spacing w:after="160" w:line="259" w:lineRule="auto"/>
              <w:jc w:val="left"/>
              <w:rPr>
                <w:color w:val="000000" w:themeColor="text1"/>
              </w:rPr>
            </w:pPr>
            <w:r w:rsidRPr="000D7FFD">
              <w:rPr>
                <w:color w:val="000000" w:themeColor="text1"/>
              </w:rPr>
              <w:t>« Pour chaque récipient mobile ou groupe de récipients mobiles contenant au moins un liquide inflammable ou un liquide ou solide liquéfiable combustible, dès lors qu’il entre dans les conditions de proximité avec un liquide inflammable définies à l’article I-3, le volume minimal de la rétention calculé en application du I. ou du II. du présent article est majoré pour contenir également :</w:t>
            </w:r>
          </w:p>
          <w:p w14:paraId="6316EFAC" w14:textId="77777777" w:rsidR="00ED5F8F" w:rsidRPr="000D7FFD" w:rsidRDefault="00ED5F8F" w:rsidP="00E03677">
            <w:pPr>
              <w:spacing w:after="160" w:line="259" w:lineRule="auto"/>
              <w:jc w:val="left"/>
              <w:rPr>
                <w:color w:val="000000" w:themeColor="text1"/>
              </w:rPr>
            </w:pPr>
            <w:r w:rsidRPr="000D7FFD">
              <w:rPr>
                <w:color w:val="000000" w:themeColor="text1"/>
              </w:rPr>
              <w:t>-</w:t>
            </w:r>
            <w:r w:rsidRPr="000D7FFD">
              <w:rPr>
                <w:color w:val="000000" w:themeColor="text1"/>
              </w:rPr>
              <w:tab/>
              <w:t>le volume des eaux d'extinction. L’exploitant prend en compte le volume nécessaire à la lutte contre l’incendie, déterminé au vu de la stratégie incendie définie à l’article VI-1 du présent arrêté, ou une hauteur supplémentaire forfaitaire des parois de rétention de 0,15 mètre en vue de contenir ces eaux d'extinction.</w:t>
            </w:r>
          </w:p>
          <w:p w14:paraId="44555AC9" w14:textId="313034EC" w:rsidR="00ED5F8F" w:rsidRPr="000D7FFD" w:rsidRDefault="00ED5F8F" w:rsidP="00ED5F8F">
            <w:pPr>
              <w:spacing w:after="160" w:line="259" w:lineRule="auto"/>
              <w:jc w:val="left"/>
              <w:rPr>
                <w:color w:val="000000" w:themeColor="text1"/>
              </w:rPr>
            </w:pPr>
            <w:r w:rsidRPr="000D7FFD">
              <w:rPr>
                <w:color w:val="000000" w:themeColor="text1"/>
              </w:rPr>
              <w:t>Ces dispositions sont applicables à compter du 1</w:t>
            </w:r>
            <w:r w:rsidRPr="000D7FFD">
              <w:rPr>
                <w:color w:val="000000" w:themeColor="text1"/>
                <w:vertAlign w:val="superscript"/>
              </w:rPr>
              <w:t>er</w:t>
            </w:r>
            <w:r>
              <w:rPr>
                <w:color w:val="000000" w:themeColor="text1"/>
              </w:rPr>
              <w:t xml:space="preserve"> janvier 2026. »</w:t>
            </w:r>
          </w:p>
        </w:tc>
      </w:tr>
      <w:tr w:rsidR="00ED5F8F" w:rsidRPr="000D7FFD" w14:paraId="44CF94BD" w14:textId="77777777" w:rsidTr="00ED5F8F">
        <w:tc>
          <w:tcPr>
            <w:tcW w:w="1418" w:type="dxa"/>
          </w:tcPr>
          <w:p w14:paraId="2999F369" w14:textId="5771B8ED" w:rsidR="00ED5F8F" w:rsidRPr="000D7FFD" w:rsidRDefault="00ED5F8F" w:rsidP="00E03677">
            <w:pPr>
              <w:rPr>
                <w:color w:val="000000" w:themeColor="text1"/>
              </w:rPr>
            </w:pPr>
            <w:r w:rsidRPr="000D7FFD">
              <w:rPr>
                <w:color w:val="000000" w:themeColor="text1"/>
              </w:rPr>
              <w:t>III.13</w:t>
            </w:r>
            <w:r>
              <w:rPr>
                <w:color w:val="000000" w:themeColor="text1"/>
              </w:rPr>
              <w:t xml:space="preserve"> I et II</w:t>
            </w:r>
          </w:p>
        </w:tc>
        <w:tc>
          <w:tcPr>
            <w:tcW w:w="7796" w:type="dxa"/>
          </w:tcPr>
          <w:p w14:paraId="75FD2096" w14:textId="77777777" w:rsidR="00ED5F8F" w:rsidRPr="000D7FFD" w:rsidRDefault="00ED5F8F" w:rsidP="00E03677">
            <w:pPr>
              <w:rPr>
                <w:color w:val="000000" w:themeColor="text1"/>
              </w:rPr>
            </w:pPr>
            <w:r w:rsidRPr="000D7FFD">
              <w:rPr>
                <w:rFonts w:eastAsia="Times New Roman"/>
                <w:color w:val="000000" w:themeColor="text1"/>
                <w:lang w:eastAsia="fr-FR"/>
              </w:rPr>
              <w:t>Les dispositions définies à l’annexe V sont applicables aux installations existantes à compter du 1</w:t>
            </w:r>
            <w:r w:rsidRPr="000D7FFD">
              <w:rPr>
                <w:rFonts w:eastAsia="Times New Roman"/>
                <w:color w:val="000000" w:themeColor="text1"/>
                <w:vertAlign w:val="superscript"/>
                <w:lang w:eastAsia="fr-FR"/>
              </w:rPr>
              <w:t>er</w:t>
            </w:r>
            <w:r w:rsidRPr="000D7FFD">
              <w:rPr>
                <w:rFonts w:eastAsia="Times New Roman"/>
                <w:color w:val="000000" w:themeColor="text1"/>
                <w:lang w:eastAsia="fr-FR"/>
              </w:rPr>
              <w:t xml:space="preserve"> janvier 2026 en lieu et place des dispositions des points I et II.</w:t>
            </w:r>
          </w:p>
          <w:p w14:paraId="1B632001" w14:textId="00D91204" w:rsidR="00ED5F8F" w:rsidRPr="000D7FFD" w:rsidRDefault="00ED5F8F" w:rsidP="00ED5F8F">
            <w:pPr>
              <w:rPr>
                <w:color w:val="000000" w:themeColor="text1"/>
              </w:rPr>
            </w:pPr>
            <w:r w:rsidRPr="000D7FFD">
              <w:rPr>
                <w:color w:val="000000" w:themeColor="text1"/>
              </w:rPr>
              <w:t>Néanmoins, en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les dispositions </w:t>
            </w:r>
            <w:r w:rsidRPr="000D7FFD">
              <w:rPr>
                <w:rFonts w:eastAsia="Times New Roman"/>
                <w:color w:val="000000" w:themeColor="text1"/>
                <w:lang w:eastAsia="fr-FR"/>
              </w:rPr>
              <w:t>des points I et II</w:t>
            </w:r>
            <w:r w:rsidRPr="000D7FFD">
              <w:rPr>
                <w:color w:val="000000" w:themeColor="text1"/>
              </w:rPr>
              <w:t xml:space="preserve"> sont applicables à l’extension. </w:t>
            </w:r>
          </w:p>
        </w:tc>
      </w:tr>
      <w:tr w:rsidR="00ED5F8F" w:rsidRPr="000D7FFD" w14:paraId="52590E0F" w14:textId="77777777" w:rsidTr="00ED5F8F">
        <w:tc>
          <w:tcPr>
            <w:tcW w:w="1418" w:type="dxa"/>
          </w:tcPr>
          <w:p w14:paraId="6A89F059" w14:textId="3966F327" w:rsidR="00ED5F8F" w:rsidRPr="000D7FFD" w:rsidRDefault="00ED5F8F" w:rsidP="00E03677">
            <w:pPr>
              <w:rPr>
                <w:color w:val="000000" w:themeColor="text1"/>
              </w:rPr>
            </w:pPr>
            <w:r w:rsidRPr="000D7FFD">
              <w:rPr>
                <w:color w:val="000000" w:themeColor="text1"/>
              </w:rPr>
              <w:t>III.13</w:t>
            </w:r>
            <w:r>
              <w:rPr>
                <w:color w:val="000000" w:themeColor="text1"/>
              </w:rPr>
              <w:t xml:space="preserve"> III</w:t>
            </w:r>
          </w:p>
        </w:tc>
        <w:tc>
          <w:tcPr>
            <w:tcW w:w="7796" w:type="dxa"/>
          </w:tcPr>
          <w:p w14:paraId="61AA4DB1" w14:textId="77777777" w:rsidR="00ED5F8F" w:rsidRPr="000D7FFD" w:rsidRDefault="00ED5F8F" w:rsidP="00E03677">
            <w:pPr>
              <w:rPr>
                <w:rFonts w:eastAsia="Times New Roman"/>
                <w:color w:val="000000" w:themeColor="text1"/>
                <w:lang w:eastAsia="fr-FR"/>
              </w:rPr>
            </w:pPr>
            <w:r w:rsidRPr="000D7FFD">
              <w:rPr>
                <w:rFonts w:eastAsia="Times New Roman"/>
                <w:color w:val="000000" w:themeColor="text1"/>
                <w:lang w:eastAsia="fr-FR"/>
              </w:rPr>
              <w:t>Les dispositions du point III ne sont pas applicables aux installations existantes.</w:t>
            </w:r>
          </w:p>
          <w:p w14:paraId="5D737875" w14:textId="77777777" w:rsidR="00ED5F8F" w:rsidRPr="000D7FFD" w:rsidRDefault="00ED5F8F" w:rsidP="00E03677">
            <w:pPr>
              <w:rPr>
                <w:rFonts w:eastAsia="Times New Roman"/>
                <w:color w:val="000000" w:themeColor="text1"/>
                <w:lang w:eastAsia="fr-FR"/>
              </w:rPr>
            </w:pPr>
          </w:p>
          <w:p w14:paraId="31E115B1" w14:textId="77777777" w:rsidR="00ED5F8F" w:rsidRPr="000D7FFD" w:rsidRDefault="00ED5F8F" w:rsidP="00E03677">
            <w:pPr>
              <w:rPr>
                <w:rFonts w:eastAsia="Times New Roman"/>
                <w:color w:val="000000" w:themeColor="text1"/>
                <w:lang w:eastAsia="fr-FR"/>
              </w:rPr>
            </w:pPr>
            <w:r w:rsidRPr="000D7FFD">
              <w:rPr>
                <w:color w:val="000000" w:themeColor="text1"/>
              </w:rPr>
              <w:t>En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w:t>
            </w:r>
            <w:r w:rsidRPr="000D7FFD">
              <w:rPr>
                <w:rFonts w:eastAsia="Times New Roman"/>
                <w:color w:val="000000" w:themeColor="text1"/>
                <w:lang w:eastAsia="fr-FR"/>
              </w:rPr>
              <w:t xml:space="preserve">Les dispositions du point III </w:t>
            </w:r>
            <w:r w:rsidRPr="000D7FFD">
              <w:rPr>
                <w:color w:val="000000" w:themeColor="text1"/>
              </w:rPr>
              <w:t>sont applicables à l’extension. </w:t>
            </w:r>
          </w:p>
          <w:p w14:paraId="230A0470" w14:textId="77777777" w:rsidR="00ED5F8F" w:rsidRPr="000D7FFD" w:rsidRDefault="00ED5F8F" w:rsidP="00E03677">
            <w:pPr>
              <w:rPr>
                <w:color w:val="000000" w:themeColor="text1"/>
              </w:rPr>
            </w:pPr>
          </w:p>
        </w:tc>
      </w:tr>
      <w:tr w:rsidR="00ED5F8F" w:rsidRPr="000D7FFD" w14:paraId="0CD3D9B9" w14:textId="77777777" w:rsidTr="00ED5F8F">
        <w:tc>
          <w:tcPr>
            <w:tcW w:w="1418" w:type="dxa"/>
          </w:tcPr>
          <w:p w14:paraId="3D7D3954" w14:textId="77777777" w:rsidR="00ED5F8F" w:rsidRPr="000D7FFD" w:rsidRDefault="00ED5F8F" w:rsidP="00E03677">
            <w:pPr>
              <w:rPr>
                <w:color w:val="000000" w:themeColor="text1"/>
              </w:rPr>
            </w:pPr>
            <w:r w:rsidRPr="000D7FFD">
              <w:rPr>
                <w:color w:val="000000" w:themeColor="text1"/>
              </w:rPr>
              <w:t>III.14</w:t>
            </w:r>
          </w:p>
        </w:tc>
        <w:tc>
          <w:tcPr>
            <w:tcW w:w="7796" w:type="dxa"/>
          </w:tcPr>
          <w:p w14:paraId="7C19BD52" w14:textId="77777777" w:rsidR="00ED5F8F" w:rsidRPr="000D7FFD" w:rsidRDefault="00ED5F8F" w:rsidP="00E03677">
            <w:pPr>
              <w:rPr>
                <w:color w:val="000000" w:themeColor="text1"/>
              </w:rPr>
            </w:pPr>
            <w:r w:rsidRPr="000D7FFD">
              <w:rPr>
                <w:color w:val="000000" w:themeColor="text1"/>
              </w:rPr>
              <w:t>Les dispositions des I. à VII sont applicables à compter du 1</w:t>
            </w:r>
            <w:r w:rsidRPr="000D7FFD">
              <w:rPr>
                <w:color w:val="000000" w:themeColor="text1"/>
                <w:vertAlign w:val="superscript"/>
              </w:rPr>
              <w:t>er</w:t>
            </w:r>
            <w:r w:rsidRPr="000D7FFD">
              <w:rPr>
                <w:color w:val="000000" w:themeColor="text1"/>
              </w:rPr>
              <w:t xml:space="preserve"> janvier 2026</w:t>
            </w:r>
            <w:r w:rsidRPr="000D7FFD">
              <w:rPr>
                <w:rFonts w:eastAsia="Times New Roman"/>
                <w:color w:val="000000" w:themeColor="text1"/>
                <w:lang w:eastAsia="fr-FR"/>
              </w:rPr>
              <w:t xml:space="preserve">.aux installations existantes. </w:t>
            </w:r>
          </w:p>
          <w:p w14:paraId="0280F338" w14:textId="77777777" w:rsidR="00ED5F8F" w:rsidRPr="000D7FFD" w:rsidRDefault="00ED5F8F" w:rsidP="00E03677">
            <w:pPr>
              <w:rPr>
                <w:color w:val="000000" w:themeColor="text1"/>
              </w:rPr>
            </w:pPr>
          </w:p>
          <w:p w14:paraId="27FF6BB5" w14:textId="77777777" w:rsidR="00ED5F8F" w:rsidRPr="000D7FFD" w:rsidRDefault="00ED5F8F" w:rsidP="00E03677">
            <w:pPr>
              <w:rPr>
                <w:color w:val="000000" w:themeColor="text1"/>
              </w:rPr>
            </w:pPr>
            <w:r w:rsidRPr="000D7FFD">
              <w:rPr>
                <w:color w:val="000000" w:themeColor="text1"/>
              </w:rPr>
              <w:t>Les dispositions du point VIII  ne sont applicables.</w:t>
            </w:r>
          </w:p>
        </w:tc>
      </w:tr>
      <w:tr w:rsidR="00ED5F8F" w:rsidRPr="000D7FFD" w14:paraId="4C5E1793" w14:textId="77777777" w:rsidTr="00ED5F8F">
        <w:trPr>
          <w:trHeight w:val="374"/>
        </w:trPr>
        <w:tc>
          <w:tcPr>
            <w:tcW w:w="1418" w:type="dxa"/>
          </w:tcPr>
          <w:p w14:paraId="365445F4" w14:textId="546C46B0" w:rsidR="00ED5F8F" w:rsidRPr="000D7FFD" w:rsidRDefault="00ED5F8F" w:rsidP="00E03677">
            <w:pPr>
              <w:rPr>
                <w:color w:val="000000" w:themeColor="text1"/>
              </w:rPr>
            </w:pPr>
            <w:r w:rsidRPr="000D7FFD">
              <w:rPr>
                <w:color w:val="000000" w:themeColor="text1"/>
              </w:rPr>
              <w:t>III.15</w:t>
            </w:r>
            <w:r w:rsidR="00353A0E">
              <w:rPr>
                <w:color w:val="000000" w:themeColor="text1"/>
              </w:rPr>
              <w:t xml:space="preserve"> et III.16</w:t>
            </w:r>
          </w:p>
        </w:tc>
        <w:tc>
          <w:tcPr>
            <w:tcW w:w="7796" w:type="dxa"/>
          </w:tcPr>
          <w:p w14:paraId="2CB8E60C"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2B32D358" w14:textId="77777777" w:rsidTr="00ED5F8F">
        <w:tc>
          <w:tcPr>
            <w:tcW w:w="1418" w:type="dxa"/>
          </w:tcPr>
          <w:p w14:paraId="23F9E609" w14:textId="77777777" w:rsidR="00ED5F8F" w:rsidRPr="000D7FFD" w:rsidRDefault="00ED5F8F" w:rsidP="00E03677">
            <w:pPr>
              <w:rPr>
                <w:color w:val="000000" w:themeColor="text1"/>
              </w:rPr>
            </w:pPr>
            <w:r w:rsidRPr="000D7FFD">
              <w:rPr>
                <w:color w:val="000000" w:themeColor="text1"/>
              </w:rPr>
              <w:t>III.17</w:t>
            </w:r>
          </w:p>
        </w:tc>
        <w:tc>
          <w:tcPr>
            <w:tcW w:w="7796" w:type="dxa"/>
          </w:tcPr>
          <w:p w14:paraId="612893DA" w14:textId="77777777" w:rsidR="00ED5F8F" w:rsidRPr="000D7FFD" w:rsidRDefault="00ED5F8F" w:rsidP="00E03677">
            <w:pPr>
              <w:rPr>
                <w:color w:val="000000" w:themeColor="text1"/>
              </w:rPr>
            </w:pPr>
            <w:r w:rsidRPr="000D7FFD">
              <w:rPr>
                <w:color w:val="000000" w:themeColor="text1"/>
              </w:rPr>
              <w:t>Les dispositions du 1</w:t>
            </w:r>
            <w:r w:rsidRPr="000D7FFD">
              <w:rPr>
                <w:color w:val="000000" w:themeColor="text1"/>
                <w:vertAlign w:val="superscript"/>
              </w:rPr>
              <w:t>er</w:t>
            </w:r>
            <w:r w:rsidRPr="000D7FFD">
              <w:rPr>
                <w:color w:val="000000" w:themeColor="text1"/>
              </w:rPr>
              <w:t xml:space="preserve"> alinéa sont applicables au 1</w:t>
            </w:r>
            <w:r w:rsidRPr="000D7FFD">
              <w:rPr>
                <w:color w:val="000000" w:themeColor="text1"/>
                <w:vertAlign w:val="superscript"/>
              </w:rPr>
              <w:t>er</w:t>
            </w:r>
            <w:r w:rsidRPr="000D7FFD">
              <w:rPr>
                <w:color w:val="000000" w:themeColor="text1"/>
              </w:rPr>
              <w:t xml:space="preserve"> janvier 2026.</w:t>
            </w:r>
          </w:p>
          <w:p w14:paraId="6CBD09EE" w14:textId="77777777" w:rsidR="00ED5F8F" w:rsidRPr="000D7FFD" w:rsidRDefault="00ED5F8F" w:rsidP="00E03677">
            <w:pPr>
              <w:rPr>
                <w:color w:val="000000" w:themeColor="text1"/>
              </w:rPr>
            </w:pPr>
            <w:r w:rsidRPr="000D7FFD">
              <w:rPr>
                <w:color w:val="000000" w:themeColor="text1"/>
              </w:rPr>
              <w:t>Les dispositions du second alinéa sont applicables.</w:t>
            </w:r>
          </w:p>
        </w:tc>
      </w:tr>
      <w:tr w:rsidR="00ED5F8F" w:rsidRPr="000D7FFD" w14:paraId="5765AD35" w14:textId="77777777" w:rsidTr="00ED5F8F">
        <w:tc>
          <w:tcPr>
            <w:tcW w:w="1418" w:type="dxa"/>
          </w:tcPr>
          <w:p w14:paraId="57E28F63" w14:textId="42F91014" w:rsidR="00ED5F8F" w:rsidRPr="000D7FFD" w:rsidRDefault="00ED5F8F" w:rsidP="00E03677">
            <w:pPr>
              <w:rPr>
                <w:color w:val="000000" w:themeColor="text1"/>
              </w:rPr>
            </w:pPr>
            <w:r w:rsidRPr="000D7FFD">
              <w:rPr>
                <w:color w:val="000000" w:themeColor="text1"/>
              </w:rPr>
              <w:t>IV.1</w:t>
            </w:r>
            <w:r>
              <w:rPr>
                <w:color w:val="000000" w:themeColor="text1"/>
              </w:rPr>
              <w:t xml:space="preserve"> à IV.6</w:t>
            </w:r>
          </w:p>
        </w:tc>
        <w:tc>
          <w:tcPr>
            <w:tcW w:w="7796" w:type="dxa"/>
          </w:tcPr>
          <w:p w14:paraId="0A1EB72B"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3C175390" w14:textId="77777777" w:rsidTr="00ED5F8F">
        <w:tc>
          <w:tcPr>
            <w:tcW w:w="1418" w:type="dxa"/>
          </w:tcPr>
          <w:p w14:paraId="597D09D5" w14:textId="77777777" w:rsidR="00ED5F8F" w:rsidRPr="000D7FFD" w:rsidRDefault="00ED5F8F" w:rsidP="00E03677">
            <w:pPr>
              <w:rPr>
                <w:color w:val="000000" w:themeColor="text1"/>
              </w:rPr>
            </w:pPr>
            <w:r w:rsidRPr="000D7FFD">
              <w:rPr>
                <w:color w:val="000000" w:themeColor="text1"/>
              </w:rPr>
              <w:t>V.1</w:t>
            </w:r>
          </w:p>
        </w:tc>
        <w:tc>
          <w:tcPr>
            <w:tcW w:w="7796" w:type="dxa"/>
          </w:tcPr>
          <w:p w14:paraId="69BE1422"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2D898FB2" w14:textId="77777777" w:rsidTr="00ED5F8F">
        <w:tc>
          <w:tcPr>
            <w:tcW w:w="1418" w:type="dxa"/>
          </w:tcPr>
          <w:p w14:paraId="65ED94C6" w14:textId="77777777" w:rsidR="00ED5F8F" w:rsidRPr="000D7FFD" w:rsidRDefault="00ED5F8F" w:rsidP="00E03677">
            <w:pPr>
              <w:rPr>
                <w:color w:val="000000" w:themeColor="text1"/>
              </w:rPr>
            </w:pPr>
            <w:r w:rsidRPr="000D7FFD">
              <w:rPr>
                <w:color w:val="000000" w:themeColor="text1"/>
              </w:rPr>
              <w:lastRenderedPageBreak/>
              <w:t>V.2</w:t>
            </w:r>
          </w:p>
        </w:tc>
        <w:tc>
          <w:tcPr>
            <w:tcW w:w="7796" w:type="dxa"/>
          </w:tcPr>
          <w:p w14:paraId="2835620B" w14:textId="77777777" w:rsidR="00ED5F8F" w:rsidRPr="000D7FFD" w:rsidRDefault="00ED5F8F" w:rsidP="00E03677">
            <w:pPr>
              <w:rPr>
                <w:rFonts w:eastAsia="Times New Roman"/>
                <w:color w:val="000000" w:themeColor="text1"/>
                <w:lang w:eastAsia="fr-FR"/>
              </w:rPr>
            </w:pPr>
            <w:r w:rsidRPr="000D7FFD">
              <w:rPr>
                <w:rFonts w:eastAsia="Times New Roman"/>
                <w:color w:val="000000" w:themeColor="text1"/>
                <w:lang w:eastAsia="fr-FR"/>
              </w:rPr>
              <w:t>Ces dispositions sont applicables à compter du 1</w:t>
            </w:r>
            <w:r w:rsidRPr="000D7FFD">
              <w:rPr>
                <w:rFonts w:eastAsia="Times New Roman"/>
                <w:color w:val="000000" w:themeColor="text1"/>
                <w:vertAlign w:val="superscript"/>
                <w:lang w:eastAsia="fr-FR"/>
              </w:rPr>
              <w:t>er</w:t>
            </w:r>
            <w:r w:rsidRPr="000D7FFD">
              <w:rPr>
                <w:rFonts w:eastAsia="Times New Roman"/>
                <w:color w:val="000000" w:themeColor="text1"/>
                <w:lang w:eastAsia="fr-FR"/>
              </w:rPr>
              <w:t xml:space="preserve"> janvier 2023.</w:t>
            </w:r>
          </w:p>
          <w:p w14:paraId="22FF0C5A" w14:textId="77777777" w:rsidR="00ED5F8F" w:rsidRPr="000D7FFD" w:rsidRDefault="00ED5F8F" w:rsidP="00E03677">
            <w:pPr>
              <w:rPr>
                <w:color w:val="000000" w:themeColor="text1"/>
              </w:rPr>
            </w:pPr>
          </w:p>
        </w:tc>
      </w:tr>
      <w:tr w:rsidR="00ED5F8F" w:rsidRPr="000D7FFD" w14:paraId="180CFCF7" w14:textId="77777777" w:rsidTr="00ED5F8F">
        <w:trPr>
          <w:trHeight w:val="603"/>
        </w:trPr>
        <w:tc>
          <w:tcPr>
            <w:tcW w:w="1418" w:type="dxa"/>
          </w:tcPr>
          <w:p w14:paraId="115A5F95" w14:textId="4CC54987" w:rsidR="00ED5F8F" w:rsidRPr="000D7FFD" w:rsidRDefault="00ED5F8F" w:rsidP="00E03677">
            <w:pPr>
              <w:rPr>
                <w:color w:val="000000" w:themeColor="text1"/>
              </w:rPr>
            </w:pPr>
            <w:r w:rsidRPr="000D7FFD">
              <w:rPr>
                <w:color w:val="000000" w:themeColor="text1"/>
              </w:rPr>
              <w:t>V.3</w:t>
            </w:r>
            <w:r>
              <w:rPr>
                <w:color w:val="000000" w:themeColor="text1"/>
              </w:rPr>
              <w:t xml:space="preserve"> à V.5</w:t>
            </w:r>
          </w:p>
        </w:tc>
        <w:tc>
          <w:tcPr>
            <w:tcW w:w="7796" w:type="dxa"/>
          </w:tcPr>
          <w:p w14:paraId="62A611FD"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34720451" w14:textId="77777777" w:rsidTr="00ED5F8F">
        <w:tc>
          <w:tcPr>
            <w:tcW w:w="1418" w:type="dxa"/>
          </w:tcPr>
          <w:p w14:paraId="25D9A287" w14:textId="77777777" w:rsidR="00ED5F8F" w:rsidRPr="000D7FFD" w:rsidRDefault="00ED5F8F" w:rsidP="00E03677">
            <w:pPr>
              <w:rPr>
                <w:color w:val="000000" w:themeColor="text1"/>
              </w:rPr>
            </w:pPr>
            <w:r w:rsidRPr="000D7FFD">
              <w:rPr>
                <w:color w:val="000000" w:themeColor="text1"/>
              </w:rPr>
              <w:t>VI.1</w:t>
            </w:r>
          </w:p>
        </w:tc>
        <w:tc>
          <w:tcPr>
            <w:tcW w:w="7796" w:type="dxa"/>
          </w:tcPr>
          <w:p w14:paraId="20353654" w14:textId="77777777" w:rsidR="00ED5F8F" w:rsidRPr="000D7FFD" w:rsidRDefault="00ED5F8F" w:rsidP="00E03677">
            <w:pPr>
              <w:rPr>
                <w:color w:val="000000" w:themeColor="text1"/>
              </w:rPr>
            </w:pPr>
            <w:r w:rsidRPr="000D7FFD">
              <w:rPr>
                <w:color w:val="000000" w:themeColor="text1"/>
              </w:rPr>
              <w:t>La stratégie incendie est mise à jour au plus tard le 1</w:t>
            </w:r>
            <w:r w:rsidRPr="000D7FFD">
              <w:rPr>
                <w:color w:val="000000" w:themeColor="text1"/>
                <w:vertAlign w:val="superscript"/>
              </w:rPr>
              <w:t>er</w:t>
            </w:r>
            <w:r w:rsidRPr="000D7FFD">
              <w:rPr>
                <w:color w:val="000000" w:themeColor="text1"/>
              </w:rPr>
              <w:t xml:space="preserve"> janvier 2023.</w:t>
            </w:r>
          </w:p>
        </w:tc>
      </w:tr>
      <w:tr w:rsidR="00ED5F8F" w:rsidRPr="000D7FFD" w14:paraId="5F979E37" w14:textId="77777777" w:rsidTr="00ED5F8F">
        <w:tc>
          <w:tcPr>
            <w:tcW w:w="1418" w:type="dxa"/>
          </w:tcPr>
          <w:p w14:paraId="151C5C10" w14:textId="77777777" w:rsidR="00ED5F8F" w:rsidRPr="000D7FFD" w:rsidRDefault="00ED5F8F" w:rsidP="00E03677">
            <w:pPr>
              <w:rPr>
                <w:color w:val="000000" w:themeColor="text1"/>
              </w:rPr>
            </w:pPr>
            <w:r w:rsidRPr="000D7FFD">
              <w:rPr>
                <w:color w:val="000000" w:themeColor="text1"/>
              </w:rPr>
              <w:t>VI.2</w:t>
            </w:r>
          </w:p>
        </w:tc>
        <w:tc>
          <w:tcPr>
            <w:tcW w:w="7796" w:type="dxa"/>
          </w:tcPr>
          <w:p w14:paraId="56ADA035" w14:textId="77777777" w:rsidR="00ED5F8F" w:rsidRPr="000D7FFD" w:rsidRDefault="00ED5F8F" w:rsidP="00E03677">
            <w:pPr>
              <w:rPr>
                <w:color w:val="000000" w:themeColor="text1"/>
              </w:rPr>
            </w:pPr>
            <w:r w:rsidRPr="000D7FFD">
              <w:rPr>
                <w:color w:val="000000" w:themeColor="text1"/>
              </w:rPr>
              <w:t>Les dispositions des points IV et XII sont applicables au 1</w:t>
            </w:r>
            <w:r w:rsidRPr="000D7FFD">
              <w:rPr>
                <w:color w:val="000000" w:themeColor="text1"/>
                <w:vertAlign w:val="superscript"/>
              </w:rPr>
              <w:t>er</w:t>
            </w:r>
            <w:r w:rsidRPr="000D7FFD">
              <w:rPr>
                <w:color w:val="000000" w:themeColor="text1"/>
              </w:rPr>
              <w:t xml:space="preserve"> janvier 2021.</w:t>
            </w:r>
          </w:p>
          <w:p w14:paraId="5DE7E8B2" w14:textId="77777777" w:rsidR="00ED5F8F" w:rsidRPr="000D7FFD" w:rsidRDefault="00ED5F8F" w:rsidP="00E03677">
            <w:pPr>
              <w:rPr>
                <w:color w:val="000000" w:themeColor="text1"/>
              </w:rPr>
            </w:pPr>
            <w:r w:rsidRPr="000D7FFD">
              <w:rPr>
                <w:color w:val="000000" w:themeColor="text1"/>
              </w:rPr>
              <w:t>Les travaux identifiés comme nécessaires lors de la mise à jour de la stratégie incendie en application des autres points de l’article VI.2 sont réalisés avant le 1</w:t>
            </w:r>
            <w:r w:rsidRPr="000D7FFD">
              <w:rPr>
                <w:color w:val="000000" w:themeColor="text1"/>
                <w:vertAlign w:val="superscript"/>
              </w:rPr>
              <w:t>er</w:t>
            </w:r>
            <w:r w:rsidRPr="000D7FFD">
              <w:rPr>
                <w:color w:val="000000" w:themeColor="text1"/>
              </w:rPr>
              <w:t xml:space="preserve"> janvier 2026.</w:t>
            </w:r>
          </w:p>
          <w:p w14:paraId="24D6CD88" w14:textId="77777777" w:rsidR="00ED5F8F" w:rsidRPr="000D7FFD" w:rsidRDefault="00ED5F8F" w:rsidP="00E03677">
            <w:pPr>
              <w:rPr>
                <w:color w:val="000000" w:themeColor="text1"/>
              </w:rPr>
            </w:pPr>
          </w:p>
        </w:tc>
      </w:tr>
      <w:tr w:rsidR="00ED5F8F" w:rsidRPr="000D7FFD" w14:paraId="275C78CC" w14:textId="77777777" w:rsidTr="00ED5F8F">
        <w:tc>
          <w:tcPr>
            <w:tcW w:w="1418" w:type="dxa"/>
          </w:tcPr>
          <w:p w14:paraId="569D8C94" w14:textId="77777777" w:rsidR="00ED5F8F" w:rsidRPr="000D7FFD" w:rsidRDefault="00ED5F8F" w:rsidP="00E03677">
            <w:pPr>
              <w:rPr>
                <w:color w:val="000000" w:themeColor="text1"/>
              </w:rPr>
            </w:pPr>
            <w:r w:rsidRPr="000D7FFD">
              <w:rPr>
                <w:color w:val="000000" w:themeColor="text1"/>
              </w:rPr>
              <w:t>VI.3</w:t>
            </w:r>
          </w:p>
        </w:tc>
        <w:tc>
          <w:tcPr>
            <w:tcW w:w="7796" w:type="dxa"/>
          </w:tcPr>
          <w:p w14:paraId="733DDD37" w14:textId="77777777" w:rsidR="00ED5F8F" w:rsidRPr="000D7FFD" w:rsidRDefault="00ED5F8F"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tc>
      </w:tr>
      <w:tr w:rsidR="00ED5F8F" w:rsidRPr="000D7FFD" w14:paraId="6D4D5E6C" w14:textId="77777777" w:rsidTr="00ED5F8F">
        <w:tc>
          <w:tcPr>
            <w:tcW w:w="1418" w:type="dxa"/>
          </w:tcPr>
          <w:p w14:paraId="219300A7" w14:textId="77777777" w:rsidR="00ED5F8F" w:rsidRPr="000D7FFD" w:rsidRDefault="00ED5F8F" w:rsidP="00E03677">
            <w:pPr>
              <w:rPr>
                <w:color w:val="000000" w:themeColor="text1"/>
              </w:rPr>
            </w:pPr>
            <w:r w:rsidRPr="000D7FFD">
              <w:rPr>
                <w:color w:val="000000" w:themeColor="text1"/>
              </w:rPr>
              <w:t>VI.4</w:t>
            </w:r>
          </w:p>
        </w:tc>
        <w:tc>
          <w:tcPr>
            <w:tcW w:w="7796" w:type="dxa"/>
          </w:tcPr>
          <w:p w14:paraId="795FDA79"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35D0F308" w14:textId="77777777" w:rsidTr="00ED5F8F">
        <w:tc>
          <w:tcPr>
            <w:tcW w:w="1418" w:type="dxa"/>
          </w:tcPr>
          <w:p w14:paraId="4C2C48D9" w14:textId="77777777" w:rsidR="00ED5F8F" w:rsidRPr="000D7FFD" w:rsidRDefault="00ED5F8F" w:rsidP="00E03677">
            <w:pPr>
              <w:rPr>
                <w:color w:val="000000" w:themeColor="text1"/>
              </w:rPr>
            </w:pPr>
            <w:r w:rsidRPr="000D7FFD">
              <w:rPr>
                <w:color w:val="000000" w:themeColor="text1"/>
              </w:rPr>
              <w:t>VI.5</w:t>
            </w:r>
          </w:p>
          <w:p w14:paraId="59F39129" w14:textId="77777777" w:rsidR="00ED5F8F" w:rsidRPr="000D7FFD" w:rsidRDefault="00ED5F8F" w:rsidP="00E03677">
            <w:pPr>
              <w:rPr>
                <w:color w:val="000000" w:themeColor="text1"/>
              </w:rPr>
            </w:pPr>
          </w:p>
        </w:tc>
        <w:tc>
          <w:tcPr>
            <w:tcW w:w="7796" w:type="dxa"/>
          </w:tcPr>
          <w:p w14:paraId="654C2E9D" w14:textId="77777777" w:rsidR="00ED5F8F" w:rsidRPr="000D7FFD" w:rsidRDefault="00ED5F8F" w:rsidP="00E03677">
            <w:pPr>
              <w:rPr>
                <w:color w:val="000000" w:themeColor="text1"/>
              </w:rPr>
            </w:pPr>
            <w:r w:rsidRPr="000D7FFD">
              <w:rPr>
                <w:color w:val="000000" w:themeColor="text1"/>
              </w:rPr>
              <w:t>Les dispositions des points I et II sont applicables.</w:t>
            </w:r>
          </w:p>
          <w:p w14:paraId="76CD1CA6" w14:textId="4FCE11FC" w:rsidR="00ED5F8F" w:rsidRPr="000D7FFD" w:rsidRDefault="00ED5F8F" w:rsidP="00ED5F8F">
            <w:pPr>
              <w:rPr>
                <w:color w:val="000000" w:themeColor="text1"/>
              </w:rPr>
            </w:pPr>
            <w:r w:rsidRPr="000D7FFD">
              <w:rPr>
                <w:color w:val="000000" w:themeColor="text1"/>
              </w:rPr>
              <w:t>Les dispositions du point III ne sont pas applicables.</w:t>
            </w:r>
          </w:p>
        </w:tc>
      </w:tr>
      <w:tr w:rsidR="00ED5F8F" w:rsidRPr="000D7FFD" w14:paraId="62F61993" w14:textId="77777777" w:rsidTr="00ED5F8F">
        <w:tc>
          <w:tcPr>
            <w:tcW w:w="1418" w:type="dxa"/>
          </w:tcPr>
          <w:p w14:paraId="2C0854F2" w14:textId="33413E31" w:rsidR="00ED5F8F" w:rsidRPr="000D7FFD" w:rsidRDefault="00ED5F8F" w:rsidP="00E03677">
            <w:pPr>
              <w:rPr>
                <w:color w:val="000000" w:themeColor="text1"/>
              </w:rPr>
            </w:pPr>
            <w:r w:rsidRPr="000D7FFD">
              <w:rPr>
                <w:color w:val="000000" w:themeColor="text1"/>
              </w:rPr>
              <w:t xml:space="preserve">VI. 6 </w:t>
            </w:r>
            <w:r>
              <w:rPr>
                <w:color w:val="000000" w:themeColor="text1"/>
              </w:rPr>
              <w:t xml:space="preserve"> à VI.8</w:t>
            </w:r>
          </w:p>
        </w:tc>
        <w:tc>
          <w:tcPr>
            <w:tcW w:w="7796" w:type="dxa"/>
          </w:tcPr>
          <w:p w14:paraId="2919EF17"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5A6BE099" w14:textId="77777777" w:rsidTr="00ED5F8F">
        <w:tc>
          <w:tcPr>
            <w:tcW w:w="1418" w:type="dxa"/>
          </w:tcPr>
          <w:p w14:paraId="00125870" w14:textId="77777777" w:rsidR="00ED5F8F" w:rsidRPr="000D7FFD" w:rsidRDefault="00ED5F8F" w:rsidP="00E03677">
            <w:pPr>
              <w:rPr>
                <w:color w:val="000000" w:themeColor="text1"/>
              </w:rPr>
            </w:pPr>
            <w:r w:rsidRPr="000D7FFD">
              <w:rPr>
                <w:color w:val="000000" w:themeColor="text1"/>
              </w:rPr>
              <w:t>VII.1</w:t>
            </w:r>
          </w:p>
        </w:tc>
        <w:tc>
          <w:tcPr>
            <w:tcW w:w="7796" w:type="dxa"/>
          </w:tcPr>
          <w:p w14:paraId="174558C9" w14:textId="77777777" w:rsidR="00ED5F8F" w:rsidRPr="000D7FFD" w:rsidRDefault="00ED5F8F" w:rsidP="00E03677">
            <w:pPr>
              <w:rPr>
                <w:color w:val="000000" w:themeColor="text1"/>
              </w:rPr>
            </w:pPr>
            <w:r w:rsidRPr="000D7FFD">
              <w:rPr>
                <w:color w:val="000000" w:themeColor="text1"/>
              </w:rPr>
              <w:t>Ces dispositions ne sont pas applicables.</w:t>
            </w:r>
          </w:p>
        </w:tc>
      </w:tr>
    </w:tbl>
    <w:p w14:paraId="5E58CD44" w14:textId="77777777" w:rsidR="00ED5F8F" w:rsidRDefault="00ED5F8F" w:rsidP="0018485D">
      <w:pPr>
        <w:spacing w:after="0" w:line="240" w:lineRule="auto"/>
      </w:pPr>
    </w:p>
    <w:p w14:paraId="1646A5C7" w14:textId="2F529258" w:rsidR="006669B2" w:rsidRDefault="006669B2" w:rsidP="0018485D">
      <w:pPr>
        <w:spacing w:after="0" w:line="240" w:lineRule="auto"/>
      </w:pPr>
    </w:p>
    <w:p w14:paraId="4566DE6D" w14:textId="5C5EA13F" w:rsidR="003E55A9" w:rsidRDefault="006669B2" w:rsidP="003E55A9">
      <w:pPr>
        <w:spacing w:after="0" w:line="240" w:lineRule="auto"/>
      </w:pPr>
      <w:r>
        <w:t xml:space="preserve">II. pour les installations existantes autres que celles relevant du point I, </w:t>
      </w:r>
      <w:r w:rsidR="003E55A9" w:rsidRPr="00D16621">
        <w:t>les dispositions du</w:t>
      </w:r>
      <w:r w:rsidR="003E55A9">
        <w:t xml:space="preserve"> présent arrêté sont applicables selon les modalités particulières précisées dans le tableau suivant :</w:t>
      </w:r>
    </w:p>
    <w:p w14:paraId="166FCD46" w14:textId="7D36D3C2" w:rsidR="003E55A9" w:rsidRDefault="003E55A9" w:rsidP="003E55A9">
      <w:pPr>
        <w:spacing w:after="0" w:line="240" w:lineRule="auto"/>
      </w:pPr>
    </w:p>
    <w:tbl>
      <w:tblPr>
        <w:tblStyle w:val="Grilledutableau"/>
        <w:tblW w:w="9214" w:type="dxa"/>
        <w:tblInd w:w="-5" w:type="dxa"/>
        <w:tblLayout w:type="fixed"/>
        <w:tblLook w:val="04A0" w:firstRow="1" w:lastRow="0" w:firstColumn="1" w:lastColumn="0" w:noHBand="0" w:noVBand="1"/>
      </w:tblPr>
      <w:tblGrid>
        <w:gridCol w:w="1320"/>
        <w:gridCol w:w="7894"/>
      </w:tblGrid>
      <w:tr w:rsidR="00ED5F8F" w:rsidRPr="000D7FFD" w14:paraId="7D260119" w14:textId="77777777" w:rsidTr="00ED5F8F">
        <w:tc>
          <w:tcPr>
            <w:tcW w:w="1320" w:type="dxa"/>
          </w:tcPr>
          <w:p w14:paraId="0083EAD0" w14:textId="77777777" w:rsidR="00ED5F8F" w:rsidRDefault="00ED5F8F" w:rsidP="00E03677">
            <w:pPr>
              <w:rPr>
                <w:color w:val="000000" w:themeColor="text1"/>
              </w:rPr>
            </w:pPr>
            <w:r>
              <w:rPr>
                <w:color w:val="000000" w:themeColor="text1"/>
              </w:rPr>
              <w:t>Article concerné</w:t>
            </w:r>
          </w:p>
        </w:tc>
        <w:tc>
          <w:tcPr>
            <w:tcW w:w="7894" w:type="dxa"/>
          </w:tcPr>
          <w:p w14:paraId="45C04BBA" w14:textId="77777777" w:rsidR="00ED5F8F" w:rsidRPr="000D7FFD" w:rsidRDefault="00ED5F8F" w:rsidP="00E03677">
            <w:pPr>
              <w:rPr>
                <w:color w:val="000000" w:themeColor="text1"/>
              </w:rPr>
            </w:pPr>
            <w:r>
              <w:rPr>
                <w:color w:val="000000" w:themeColor="text1"/>
              </w:rPr>
              <w:t>Modalités particulières d’application de certains articles</w:t>
            </w:r>
          </w:p>
        </w:tc>
      </w:tr>
      <w:tr w:rsidR="00ED5F8F" w:rsidRPr="000D7FFD" w14:paraId="28202EF0" w14:textId="77777777" w:rsidTr="00ED5F8F">
        <w:tc>
          <w:tcPr>
            <w:tcW w:w="1320" w:type="dxa"/>
          </w:tcPr>
          <w:p w14:paraId="360516D1" w14:textId="77777777" w:rsidR="00ED5F8F" w:rsidRPr="000D7FFD" w:rsidRDefault="00ED5F8F" w:rsidP="00E03677">
            <w:pPr>
              <w:rPr>
                <w:color w:val="000000" w:themeColor="text1"/>
              </w:rPr>
            </w:pPr>
            <w:r w:rsidRPr="000D7FFD">
              <w:rPr>
                <w:color w:val="000000" w:themeColor="text1"/>
              </w:rPr>
              <w:t>I</w:t>
            </w:r>
          </w:p>
        </w:tc>
        <w:tc>
          <w:tcPr>
            <w:tcW w:w="7894" w:type="dxa"/>
          </w:tcPr>
          <w:p w14:paraId="7142BB81"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1167750E" w14:textId="77777777" w:rsidTr="00ED5F8F">
        <w:tc>
          <w:tcPr>
            <w:tcW w:w="1320" w:type="dxa"/>
          </w:tcPr>
          <w:p w14:paraId="75B57664" w14:textId="77777777" w:rsidR="00ED5F8F" w:rsidRPr="000D7FFD" w:rsidRDefault="00ED5F8F" w:rsidP="00E03677">
            <w:pPr>
              <w:rPr>
                <w:color w:val="000000" w:themeColor="text1"/>
              </w:rPr>
            </w:pPr>
            <w:r w:rsidRPr="000D7FFD">
              <w:rPr>
                <w:color w:val="000000" w:themeColor="text1"/>
              </w:rPr>
              <w:t>II.1</w:t>
            </w:r>
          </w:p>
        </w:tc>
        <w:tc>
          <w:tcPr>
            <w:tcW w:w="7894" w:type="dxa"/>
          </w:tcPr>
          <w:p w14:paraId="0FC09880" w14:textId="77777777" w:rsidR="00ED5F8F" w:rsidRPr="000D7FFD" w:rsidRDefault="00ED5F8F" w:rsidP="00E03677">
            <w:pPr>
              <w:rPr>
                <w:color w:val="000000" w:themeColor="text1"/>
              </w:rPr>
            </w:pPr>
            <w:r w:rsidRPr="000D7FFD">
              <w:rPr>
                <w:color w:val="000000" w:themeColor="text1"/>
              </w:rPr>
              <w:t>Les dispositions relatives au stockage couvert sont applicables.</w:t>
            </w:r>
          </w:p>
          <w:p w14:paraId="26E745A4" w14:textId="4318EC8D" w:rsidR="00ED5F8F" w:rsidRPr="000D7FFD" w:rsidRDefault="00ED5F8F" w:rsidP="00ED5F8F">
            <w:pPr>
              <w:rPr>
                <w:color w:val="000000" w:themeColor="text1"/>
              </w:rPr>
            </w:pPr>
            <w:r w:rsidRPr="000D7FFD">
              <w:rPr>
                <w:color w:val="000000" w:themeColor="text1"/>
              </w:rPr>
              <w:t>Les dispositions relatives au stockage extérieur sont remplacées par les dispositions suivantes de l’annexe 4.</w:t>
            </w:r>
          </w:p>
        </w:tc>
      </w:tr>
      <w:tr w:rsidR="00ED5F8F" w:rsidRPr="000D7FFD" w14:paraId="3C43305C" w14:textId="77777777" w:rsidTr="00ED5F8F">
        <w:tc>
          <w:tcPr>
            <w:tcW w:w="1320" w:type="dxa"/>
          </w:tcPr>
          <w:p w14:paraId="490250B5" w14:textId="77777777" w:rsidR="00ED5F8F" w:rsidRPr="000D7FFD" w:rsidRDefault="00ED5F8F" w:rsidP="00E03677">
            <w:pPr>
              <w:rPr>
                <w:rFonts w:eastAsia="Times New Roman"/>
                <w:color w:val="000000" w:themeColor="text1"/>
                <w:lang w:eastAsia="fr-FR"/>
              </w:rPr>
            </w:pPr>
            <w:r w:rsidRPr="000D7FFD">
              <w:rPr>
                <w:rFonts w:eastAsia="Times New Roman"/>
                <w:color w:val="000000" w:themeColor="text1"/>
                <w:lang w:eastAsia="fr-FR"/>
              </w:rPr>
              <w:t>II.2</w:t>
            </w:r>
          </w:p>
        </w:tc>
        <w:tc>
          <w:tcPr>
            <w:tcW w:w="7894" w:type="dxa"/>
          </w:tcPr>
          <w:p w14:paraId="6C9571FF"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1BE75E87" w14:textId="77777777" w:rsidTr="00ED5F8F">
        <w:tc>
          <w:tcPr>
            <w:tcW w:w="1320" w:type="dxa"/>
          </w:tcPr>
          <w:p w14:paraId="78A30279" w14:textId="77777777" w:rsidR="00ED5F8F" w:rsidRPr="000D7FFD" w:rsidRDefault="00ED5F8F" w:rsidP="00E03677">
            <w:pPr>
              <w:rPr>
                <w:color w:val="000000" w:themeColor="text1"/>
              </w:rPr>
            </w:pPr>
            <w:r w:rsidRPr="000D7FFD">
              <w:rPr>
                <w:color w:val="000000" w:themeColor="text1"/>
              </w:rPr>
              <w:t>II.3 I</w:t>
            </w:r>
          </w:p>
        </w:tc>
        <w:tc>
          <w:tcPr>
            <w:tcW w:w="7894" w:type="dxa"/>
          </w:tcPr>
          <w:p w14:paraId="39E1863B" w14:textId="77777777" w:rsidR="00ED5F8F" w:rsidRPr="000D7FFD" w:rsidRDefault="00ED5F8F" w:rsidP="00E03677">
            <w:pPr>
              <w:rPr>
                <w:color w:val="000000" w:themeColor="text1"/>
              </w:rPr>
            </w:pPr>
            <w:r w:rsidRPr="000D7FFD">
              <w:rPr>
                <w:color w:val="000000" w:themeColor="text1"/>
              </w:rPr>
              <w:t>Cette disposition est applicable, sauf en cas d’impossibilité justifiée, en particulier sur la base des conditions de vent et de la potentielle exposition aux fumées d’incendie du personnel d’intervention, et sous réserve de l’accord préalable des services d’incendie et de secours.</w:t>
            </w:r>
          </w:p>
        </w:tc>
      </w:tr>
      <w:tr w:rsidR="00ED5F8F" w:rsidRPr="000D7FFD" w14:paraId="501BF3BF" w14:textId="77777777" w:rsidTr="00ED5F8F">
        <w:tc>
          <w:tcPr>
            <w:tcW w:w="1320" w:type="dxa"/>
          </w:tcPr>
          <w:p w14:paraId="16221366" w14:textId="7936C2B3" w:rsidR="00ED5F8F" w:rsidRPr="000D7FFD" w:rsidRDefault="00ED5F8F" w:rsidP="00E03677">
            <w:pPr>
              <w:rPr>
                <w:color w:val="000000" w:themeColor="text1"/>
              </w:rPr>
            </w:pPr>
            <w:r w:rsidRPr="000D7FFD">
              <w:rPr>
                <w:color w:val="000000" w:themeColor="text1"/>
              </w:rPr>
              <w:t>II. 3 II</w:t>
            </w:r>
            <w:r w:rsidR="00353A0E">
              <w:rPr>
                <w:color w:val="000000" w:themeColor="text1"/>
              </w:rPr>
              <w:t xml:space="preserve"> et II.3.III</w:t>
            </w:r>
          </w:p>
        </w:tc>
        <w:tc>
          <w:tcPr>
            <w:tcW w:w="7894" w:type="dxa"/>
          </w:tcPr>
          <w:p w14:paraId="5905D728" w14:textId="77777777" w:rsidR="00ED5F8F" w:rsidRPr="000D7FFD" w:rsidRDefault="00ED5F8F" w:rsidP="00E03677">
            <w:pPr>
              <w:rPr>
                <w:color w:val="000000" w:themeColor="text1"/>
              </w:rPr>
            </w:pPr>
            <w:r w:rsidRPr="000D7FFD">
              <w:rPr>
                <w:color w:val="000000" w:themeColor="text1"/>
              </w:rPr>
              <w:t>Les dispositions sont applicables</w:t>
            </w:r>
          </w:p>
        </w:tc>
      </w:tr>
      <w:tr w:rsidR="00ED5F8F" w:rsidRPr="000D7FFD" w14:paraId="07D79504" w14:textId="77777777" w:rsidTr="00ED5F8F">
        <w:tc>
          <w:tcPr>
            <w:tcW w:w="1320" w:type="dxa"/>
          </w:tcPr>
          <w:p w14:paraId="2E542730" w14:textId="77777777" w:rsidR="00ED5F8F" w:rsidRPr="000D7FFD" w:rsidRDefault="00ED5F8F" w:rsidP="00E03677">
            <w:pPr>
              <w:rPr>
                <w:color w:val="000000" w:themeColor="text1"/>
              </w:rPr>
            </w:pPr>
            <w:r w:rsidRPr="000D7FFD">
              <w:rPr>
                <w:color w:val="000000" w:themeColor="text1"/>
              </w:rPr>
              <w:t>II.4 I</w:t>
            </w:r>
          </w:p>
        </w:tc>
        <w:tc>
          <w:tcPr>
            <w:tcW w:w="7894" w:type="dxa"/>
          </w:tcPr>
          <w:p w14:paraId="05040F9C" w14:textId="77777777" w:rsidR="00ED5F8F" w:rsidRPr="000D7FFD" w:rsidRDefault="00ED5F8F" w:rsidP="00E03677">
            <w:pPr>
              <w:rPr>
                <w:color w:val="000000" w:themeColor="text1"/>
              </w:rPr>
            </w:pPr>
            <w:r w:rsidRPr="000D7FFD">
              <w:rPr>
                <w:color w:val="000000" w:themeColor="text1"/>
              </w:rPr>
              <w:t>Ces dispositions ne sont pas applicables</w:t>
            </w:r>
          </w:p>
        </w:tc>
      </w:tr>
      <w:tr w:rsidR="00ED5F8F" w:rsidRPr="000D7FFD" w14:paraId="13FAE69F" w14:textId="77777777" w:rsidTr="00ED5F8F">
        <w:tc>
          <w:tcPr>
            <w:tcW w:w="1320" w:type="dxa"/>
          </w:tcPr>
          <w:p w14:paraId="747C6D8B" w14:textId="77777777" w:rsidR="00ED5F8F" w:rsidRPr="000D7FFD" w:rsidRDefault="00ED5F8F" w:rsidP="00E03677">
            <w:pPr>
              <w:rPr>
                <w:color w:val="000000" w:themeColor="text1"/>
              </w:rPr>
            </w:pPr>
            <w:r w:rsidRPr="000D7FFD">
              <w:rPr>
                <w:color w:val="000000" w:themeColor="text1"/>
              </w:rPr>
              <w:t>II.4 II</w:t>
            </w:r>
          </w:p>
        </w:tc>
        <w:tc>
          <w:tcPr>
            <w:tcW w:w="7894" w:type="dxa"/>
          </w:tcPr>
          <w:p w14:paraId="34C09232" w14:textId="77777777" w:rsidR="00ED5F8F" w:rsidRPr="000D7FFD" w:rsidRDefault="00ED5F8F" w:rsidP="00E03677">
            <w:pPr>
              <w:rPr>
                <w:color w:val="000000" w:themeColor="text1"/>
                <w:highlight w:val="yellow"/>
              </w:rPr>
            </w:pPr>
            <w:r w:rsidRPr="000D7FFD">
              <w:rPr>
                <w:color w:val="000000" w:themeColor="text1"/>
              </w:rPr>
              <w:t xml:space="preserve">Les dispositions des points A et B sont à remplacées par les dispositions suivantes : </w:t>
            </w:r>
          </w:p>
          <w:p w14:paraId="5AB54D79" w14:textId="77777777" w:rsidR="00ED5F8F" w:rsidRPr="000D7FFD" w:rsidRDefault="00ED5F8F" w:rsidP="00E03677">
            <w:pPr>
              <w:rPr>
                <w:color w:val="000000" w:themeColor="text1"/>
              </w:rPr>
            </w:pPr>
            <w:r w:rsidRPr="000D7FFD">
              <w:rPr>
                <w:color w:val="000000" w:themeColor="text1"/>
              </w:rPr>
              <w:t>« A- L'installation dispose d'une voie « engins » permettant de faire le tour de chaque stockage couvert de l'entrepôt et d'accéder à au moins deux faces de chaque rétention extérieure à tout stockage couvert.</w:t>
            </w:r>
            <w:r w:rsidRPr="000D7FFD">
              <w:rPr>
                <w:color w:val="000000" w:themeColor="text1"/>
              </w:rPr>
              <w:br/>
              <w:t>La voie « engins » respecte les caractéristiques suivantes :</w:t>
            </w:r>
            <w:r w:rsidRPr="000D7FFD">
              <w:rPr>
                <w:color w:val="000000" w:themeColor="text1"/>
              </w:rPr>
              <w:br/>
              <w:t>― la largeur utile est au minimum de 6 mètres, la pente au maximum de 15 % et la hauteur libre au minimum de 4,5 mètres ;</w:t>
            </w:r>
            <w:r w:rsidRPr="000D7FFD">
              <w:rPr>
                <w:color w:val="000000" w:themeColor="text1"/>
              </w:rPr>
              <w:br/>
              <w:t>― elle résiste à la force portante calculée pour un véhicule de 320 kN avec un maximum de 130 kN par essieu, ceux-ci étant distants de 3,6 mètres au maximum ;</w:t>
            </w:r>
            <w:r w:rsidRPr="000D7FFD">
              <w:rPr>
                <w:color w:val="000000" w:themeColor="text1"/>
              </w:rPr>
              <w:br/>
              <w:t xml:space="preserve">― elle comprend au moins deux aires de croisement tous les 100 mètres ; ces aires ont une longueur minimale de 15 mètres et une largeur minimale de 3 </w:t>
            </w:r>
            <w:r w:rsidRPr="000D7FFD">
              <w:rPr>
                <w:color w:val="000000" w:themeColor="text1"/>
              </w:rPr>
              <w:lastRenderedPageBreak/>
              <w:t>mètres en plus de la voie « engins » ;</w:t>
            </w:r>
            <w:r w:rsidRPr="000D7FFD">
              <w:rPr>
                <w:color w:val="000000" w:themeColor="text1"/>
              </w:rPr>
              <w:br/>
              <w:t>.</w:t>
            </w:r>
            <w:r w:rsidRPr="000D7FFD">
              <w:rPr>
                <w:color w:val="000000" w:themeColor="text1"/>
              </w:rPr>
              <w:br/>
              <w:t>Des configurations différentes peuvent être prévues par arrêté préfectoral sous réserve de l'accord préalable des services publics d'incendie et de secours.</w:t>
            </w:r>
            <w:r w:rsidRPr="000D7FFD">
              <w:rPr>
                <w:color w:val="000000" w:themeColor="text1"/>
              </w:rPr>
              <w:br/>
              <w:t>B- Chaque cellule de liquides inflammables a au moins une façade accessible depuis la voie « engins » par une voie « échelle ». Cette voie « échelle » respecte les caractéristiques suivantes :</w:t>
            </w:r>
            <w:r w:rsidRPr="000D7FFD">
              <w:rPr>
                <w:color w:val="000000" w:themeColor="text1"/>
              </w:rPr>
              <w:br/>
              <w:t>― la largeur utile est au minimum de 4 mètres et la pente est au maximum de 10 % ;</w:t>
            </w:r>
            <w:r w:rsidRPr="000D7FFD">
              <w:rPr>
                <w:color w:val="000000" w:themeColor="text1"/>
              </w:rPr>
              <w:br/>
              <w:t>― dans les virages de rayon intérieur inférieur à 50 mètres, un rayon intérieur R minimal de 13 mètres est maintenu et une surlargeur de S = 15/R mètres est ajoutée ;</w:t>
            </w:r>
            <w:r w:rsidRPr="000D7FFD">
              <w:rPr>
                <w:color w:val="000000" w:themeColor="text1"/>
              </w:rPr>
              <w:br/>
              <w:t>― aucun obstacle aérien ne gêne la manœuvre de ces échelles à la verticale de l'ensemble de la voie ;</w:t>
            </w:r>
            <w:r w:rsidRPr="000D7FFD">
              <w:rPr>
                <w:color w:val="000000" w:themeColor="text1"/>
              </w:rPr>
              <w:br/>
              <w:t>― la voie résiste à la force portante calculée pour un véhicule de 320 kN avec un maximum de 130 kN par essieu, ceux-ci étant distants de 3,6 mètres au minimum, et présente une résistance minimale au poinçonnement de 88 N/cm².</w:t>
            </w:r>
            <w:r w:rsidRPr="000D7FFD">
              <w:rPr>
                <w:color w:val="000000" w:themeColor="text1"/>
              </w:rPr>
              <w:br/>
              <w:t>Depuis cette voie « échelle », une échelle aérienne peut être mise en station sur une aire spécifique pour accéder à au moins toute la hauteur du stockage couvert et défendre chaque mur séparatif coupe-feu débouchant au droit d'une façade du stockage couvert. L'aire de stationnement associée à une cellule de liquides inflammables respecte les caractéristiques suivantes :</w:t>
            </w:r>
            <w:r w:rsidRPr="000D7FFD">
              <w:rPr>
                <w:color w:val="000000" w:themeColor="text1"/>
              </w:rPr>
              <w:br/>
              <w:t>― la largeur utile est au minimum de 4 mètres, la longueur est au minimum de 15 mètres et la pente est au maximum de 10 % ;</w:t>
            </w:r>
            <w:r w:rsidRPr="000D7FFD">
              <w:rPr>
                <w:color w:val="000000" w:themeColor="text1"/>
              </w:rPr>
              <w:br/>
              <w:t>― l'aire est implantée hors des zones d'effet thermique d'intensité supérieure à 3 kW/m² identifiées dans l'étude de dangers pour l'incendie de la cellule ;</w:t>
            </w:r>
            <w:r w:rsidRPr="000D7FFD">
              <w:rPr>
                <w:color w:val="000000" w:themeColor="text1"/>
              </w:rPr>
              <w:br/>
              <w:t>― pour un stationnement parallèle au stockage couvert, la distance par rapport à la façade est comprise entre 1 et 8 mètres ;</w:t>
            </w:r>
            <w:r w:rsidRPr="000D7FFD">
              <w:rPr>
                <w:color w:val="000000" w:themeColor="text1"/>
              </w:rPr>
              <w:br/>
              <w:t>― pour un stationnement perpendiculaire au stockage couvert, la distance par rapport à la façade est inférieure à 1 mètre.</w:t>
            </w:r>
            <w:r w:rsidRPr="000D7FFD">
              <w:rPr>
                <w:color w:val="000000" w:themeColor="text1"/>
              </w:rPr>
              <w:br/>
              <w:t>Les dispositions du B du présent article ne sont pas exigées si la cellule de liquides inflammables a une surface de moins de 2 000 mètres carrés et qu'au moins un de ses murs séparatifs se situe à moins de 23 mètres d'une façade accessible.</w:t>
            </w:r>
            <w:r w:rsidRPr="000D7FFD">
              <w:rPr>
                <w:color w:val="000000" w:themeColor="text1"/>
              </w:rPr>
              <w:br/>
              <w:t>Des configurations différentes peuvent être prévues par arrêté préfectoral sous réserve de l'accord préalable des services publics d'incendie et de secours. »</w:t>
            </w:r>
          </w:p>
          <w:p w14:paraId="7869F578" w14:textId="77777777" w:rsidR="00ED5F8F" w:rsidRPr="000D7FFD" w:rsidRDefault="00ED5F8F" w:rsidP="00E03677">
            <w:pPr>
              <w:rPr>
                <w:color w:val="000000" w:themeColor="text1"/>
              </w:rPr>
            </w:pPr>
            <w:r w:rsidRPr="000D7FFD">
              <w:rPr>
                <w:color w:val="000000" w:themeColor="text1"/>
              </w:rPr>
              <w:t>Les dispositions des points C et D sont applicables.</w:t>
            </w:r>
          </w:p>
        </w:tc>
      </w:tr>
      <w:tr w:rsidR="00ED5F8F" w:rsidRPr="000D7FFD" w14:paraId="1D6948EE" w14:textId="77777777" w:rsidTr="00ED5F8F">
        <w:tc>
          <w:tcPr>
            <w:tcW w:w="1320" w:type="dxa"/>
          </w:tcPr>
          <w:p w14:paraId="1B6E1624" w14:textId="77777777" w:rsidR="00ED5F8F" w:rsidRPr="000D7FFD" w:rsidRDefault="00ED5F8F" w:rsidP="00E03677">
            <w:pPr>
              <w:rPr>
                <w:color w:val="000000" w:themeColor="text1"/>
              </w:rPr>
            </w:pPr>
            <w:r w:rsidRPr="000D7FFD">
              <w:rPr>
                <w:color w:val="000000" w:themeColor="text1"/>
              </w:rPr>
              <w:lastRenderedPageBreak/>
              <w:t>III.1</w:t>
            </w:r>
          </w:p>
        </w:tc>
        <w:tc>
          <w:tcPr>
            <w:tcW w:w="7894" w:type="dxa"/>
          </w:tcPr>
          <w:p w14:paraId="64C61039" w14:textId="77777777" w:rsidR="00ED5F8F" w:rsidRPr="000D7FFD" w:rsidRDefault="00ED5F8F" w:rsidP="00E03677">
            <w:pPr>
              <w:rPr>
                <w:color w:val="000000" w:themeColor="text1"/>
              </w:rPr>
            </w:pPr>
            <w:r w:rsidRPr="000D7FFD">
              <w:rPr>
                <w:color w:val="000000" w:themeColor="text1"/>
              </w:rPr>
              <w:t>Ces dispositions sont applicables, selon les conditions définies dans l’article III.1</w:t>
            </w:r>
          </w:p>
        </w:tc>
      </w:tr>
      <w:tr w:rsidR="00ED5F8F" w:rsidRPr="000D7FFD" w14:paraId="786DEB0E" w14:textId="77777777" w:rsidTr="00ED5F8F">
        <w:tc>
          <w:tcPr>
            <w:tcW w:w="1320" w:type="dxa"/>
          </w:tcPr>
          <w:p w14:paraId="6B1F8D5A" w14:textId="242387B0" w:rsidR="00ED5F8F" w:rsidRPr="000D7FFD" w:rsidRDefault="00ED5F8F" w:rsidP="00E03677">
            <w:pPr>
              <w:rPr>
                <w:color w:val="000000" w:themeColor="text1"/>
              </w:rPr>
            </w:pPr>
            <w:r w:rsidRPr="000D7FFD">
              <w:rPr>
                <w:color w:val="000000" w:themeColor="text1"/>
              </w:rPr>
              <w:t>III.2</w:t>
            </w:r>
            <w:r>
              <w:rPr>
                <w:color w:val="000000" w:themeColor="text1"/>
              </w:rPr>
              <w:t xml:space="preserve"> à III.7</w:t>
            </w:r>
          </w:p>
        </w:tc>
        <w:tc>
          <w:tcPr>
            <w:tcW w:w="7894" w:type="dxa"/>
          </w:tcPr>
          <w:p w14:paraId="79C43D3B"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4717EA49" w14:textId="77777777" w:rsidTr="00ED5F8F">
        <w:tc>
          <w:tcPr>
            <w:tcW w:w="1320" w:type="dxa"/>
          </w:tcPr>
          <w:p w14:paraId="4CA11933" w14:textId="77777777" w:rsidR="00ED5F8F" w:rsidRPr="000D7FFD" w:rsidRDefault="00ED5F8F" w:rsidP="00E03677">
            <w:pPr>
              <w:rPr>
                <w:color w:val="000000" w:themeColor="text1"/>
              </w:rPr>
            </w:pPr>
            <w:r w:rsidRPr="000D7FFD">
              <w:rPr>
                <w:color w:val="000000" w:themeColor="text1"/>
              </w:rPr>
              <w:t>III.8</w:t>
            </w:r>
          </w:p>
        </w:tc>
        <w:tc>
          <w:tcPr>
            <w:tcW w:w="7894" w:type="dxa"/>
          </w:tcPr>
          <w:p w14:paraId="737CA3F9" w14:textId="77777777" w:rsidR="00ED5F8F" w:rsidRPr="000D7FFD" w:rsidRDefault="00ED5F8F" w:rsidP="00E03677">
            <w:pPr>
              <w:rPr>
                <w:color w:val="000000" w:themeColor="text1"/>
              </w:rPr>
            </w:pPr>
            <w:r w:rsidRPr="000D7FFD">
              <w:rPr>
                <w:color w:val="000000" w:themeColor="text1"/>
              </w:rPr>
              <w:t>Un dispositif de détection conforme aux dispositions du III.4 est mis en place à compter du 1</w:t>
            </w:r>
            <w:r w:rsidRPr="000D7FFD">
              <w:rPr>
                <w:color w:val="000000" w:themeColor="text1"/>
                <w:vertAlign w:val="superscript"/>
              </w:rPr>
              <w:t>er</w:t>
            </w:r>
            <w:r w:rsidRPr="000D7FFD">
              <w:rPr>
                <w:color w:val="000000" w:themeColor="text1"/>
              </w:rPr>
              <w:t xml:space="preserve"> janvier 2026. Les autres dispositions ne sont pas applicables aux installations existantes.</w:t>
            </w:r>
          </w:p>
          <w:p w14:paraId="0FAB7D66" w14:textId="77777777" w:rsidR="00ED5F8F" w:rsidRPr="000D7FFD" w:rsidRDefault="00ED5F8F" w:rsidP="00E03677">
            <w:pPr>
              <w:rPr>
                <w:color w:val="000000" w:themeColor="text1"/>
              </w:rPr>
            </w:pPr>
            <w:r w:rsidRPr="000D7FFD">
              <w:rPr>
                <w:color w:val="000000" w:themeColor="text1"/>
              </w:rPr>
              <w:t>Néanmoins, en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ces dispositions sont applicables à l’extension. </w:t>
            </w:r>
          </w:p>
          <w:p w14:paraId="40F661EF" w14:textId="77777777" w:rsidR="00ED5F8F" w:rsidRPr="000D7FFD" w:rsidRDefault="00ED5F8F" w:rsidP="00E03677">
            <w:pPr>
              <w:rPr>
                <w:color w:val="000000" w:themeColor="text1"/>
              </w:rPr>
            </w:pPr>
          </w:p>
        </w:tc>
      </w:tr>
      <w:tr w:rsidR="00ED5F8F" w:rsidRPr="000D7FFD" w14:paraId="312E7D0F" w14:textId="77777777" w:rsidTr="00ED5F8F">
        <w:tc>
          <w:tcPr>
            <w:tcW w:w="1320" w:type="dxa"/>
          </w:tcPr>
          <w:p w14:paraId="7B83D1E6" w14:textId="77777777" w:rsidR="00ED5F8F" w:rsidRPr="000D7FFD" w:rsidRDefault="00ED5F8F" w:rsidP="00E03677">
            <w:pPr>
              <w:rPr>
                <w:color w:val="000000" w:themeColor="text1"/>
              </w:rPr>
            </w:pPr>
            <w:r w:rsidRPr="000D7FFD">
              <w:rPr>
                <w:color w:val="000000" w:themeColor="text1"/>
              </w:rPr>
              <w:t>III.9</w:t>
            </w:r>
          </w:p>
        </w:tc>
        <w:tc>
          <w:tcPr>
            <w:tcW w:w="7894" w:type="dxa"/>
          </w:tcPr>
          <w:p w14:paraId="57AAD963" w14:textId="77777777" w:rsidR="00ED5F8F" w:rsidRPr="000D7FFD" w:rsidRDefault="00ED5F8F"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p w14:paraId="50629EF4" w14:textId="77777777" w:rsidR="00ED5F8F" w:rsidRPr="000D7FFD" w:rsidRDefault="00ED5F8F" w:rsidP="00E03677">
            <w:pPr>
              <w:rPr>
                <w:color w:val="000000" w:themeColor="text1"/>
              </w:rPr>
            </w:pPr>
            <w:r w:rsidRPr="000D7FFD">
              <w:rPr>
                <w:color w:val="000000" w:themeColor="text1"/>
              </w:rPr>
              <w:t xml:space="preserve">Concernant la surface maximale susceptible d'être en feu, celle-ci peut être portée à 1000 m2, si la distance entre ilôts est suffisante pour garantir que les effets dominos (seuil des effets thermiques de 8kW/m²) ne sont pas atteints de bord de </w:t>
            </w:r>
            <w:r w:rsidRPr="000D7FFD">
              <w:rPr>
                <w:color w:val="000000" w:themeColor="text1"/>
              </w:rPr>
              <w:lastRenderedPageBreak/>
              <w:t xml:space="preserve">la rétention vis à vis de tout autre ilôt, rétention extérieure associée à des réservoirs, ou tout autre activité ou bâtiment. </w:t>
            </w:r>
          </w:p>
          <w:p w14:paraId="7278D75F" w14:textId="77777777" w:rsidR="00ED5F8F" w:rsidRPr="000D7FFD" w:rsidRDefault="00ED5F8F" w:rsidP="00E03677">
            <w:pPr>
              <w:rPr>
                <w:color w:val="000000" w:themeColor="text1"/>
              </w:rPr>
            </w:pPr>
            <w:r w:rsidRPr="000D7FFD">
              <w:rPr>
                <w:color w:val="000000" w:themeColor="text1"/>
              </w:rPr>
              <w:t>La configuration des ilôts respecte alors les conditions suivantes :</w:t>
            </w:r>
          </w:p>
          <w:tbl>
            <w:tblPr>
              <w:tblStyle w:val="Grilledutableau"/>
              <w:tblW w:w="7359" w:type="dxa"/>
              <w:tblLayout w:type="fixed"/>
              <w:tblLook w:val="04A0" w:firstRow="1" w:lastRow="0" w:firstColumn="1" w:lastColumn="0" w:noHBand="0" w:noVBand="1"/>
            </w:tblPr>
            <w:tblGrid>
              <w:gridCol w:w="3020"/>
              <w:gridCol w:w="4339"/>
            </w:tblGrid>
            <w:tr w:rsidR="00ED5F8F" w:rsidRPr="000D7FFD" w14:paraId="3E3CF866" w14:textId="77777777" w:rsidTr="00ED5F8F">
              <w:tc>
                <w:tcPr>
                  <w:tcW w:w="3020" w:type="dxa"/>
                </w:tcPr>
                <w:p w14:paraId="20EB4476" w14:textId="77777777" w:rsidR="00ED5F8F" w:rsidRPr="000D7FFD" w:rsidRDefault="00ED5F8F" w:rsidP="00E03677">
                  <w:pPr>
                    <w:rPr>
                      <w:color w:val="000000" w:themeColor="text1"/>
                    </w:rPr>
                  </w:pPr>
                  <w:r w:rsidRPr="000D7FFD">
                    <w:rPr>
                      <w:color w:val="000000" w:themeColor="text1"/>
                    </w:rPr>
                    <w:t>Surface maximale susceptible d’être en feu</w:t>
                  </w:r>
                </w:p>
              </w:tc>
              <w:tc>
                <w:tcPr>
                  <w:tcW w:w="4339" w:type="dxa"/>
                </w:tcPr>
                <w:p w14:paraId="7CAE1A89" w14:textId="77777777" w:rsidR="00ED5F8F" w:rsidRPr="000D7FFD" w:rsidRDefault="00ED5F8F" w:rsidP="00E03677">
                  <w:pPr>
                    <w:rPr>
                      <w:color w:val="000000" w:themeColor="text1"/>
                    </w:rPr>
                  </w:pPr>
                  <w:r w:rsidRPr="000D7FFD">
                    <w:rPr>
                      <w:color w:val="000000" w:themeColor="text1"/>
                    </w:rPr>
                    <w:t>Distance minimale entre le bord de la rétention rétention vis à vis de tout autre ilôt, rétention extérieure associée à des réservoirs, ou tout autre activité ou bâtiment</w:t>
                  </w:r>
                </w:p>
              </w:tc>
            </w:tr>
            <w:tr w:rsidR="00ED5F8F" w:rsidRPr="000D7FFD" w14:paraId="7C2DE4FC" w14:textId="77777777" w:rsidTr="00ED5F8F">
              <w:tc>
                <w:tcPr>
                  <w:tcW w:w="3020" w:type="dxa"/>
                </w:tcPr>
                <w:p w14:paraId="441239FF" w14:textId="77777777" w:rsidR="00ED5F8F" w:rsidRPr="000D7FFD" w:rsidRDefault="00ED5F8F" w:rsidP="00E03677">
                  <w:pPr>
                    <w:rPr>
                      <w:color w:val="000000" w:themeColor="text1"/>
                    </w:rPr>
                  </w:pPr>
                  <w:r w:rsidRPr="000D7FFD">
                    <w:rPr>
                      <w:color w:val="000000" w:themeColor="text1"/>
                    </w:rPr>
                    <w:t>Jusqu’à 750 m²</w:t>
                  </w:r>
                </w:p>
              </w:tc>
              <w:tc>
                <w:tcPr>
                  <w:tcW w:w="4339" w:type="dxa"/>
                </w:tcPr>
                <w:p w14:paraId="0A47B66B" w14:textId="77777777" w:rsidR="00ED5F8F" w:rsidRPr="000D7FFD" w:rsidRDefault="00ED5F8F" w:rsidP="00E03677">
                  <w:pPr>
                    <w:rPr>
                      <w:color w:val="000000" w:themeColor="text1"/>
                    </w:rPr>
                  </w:pPr>
                  <w:r w:rsidRPr="000D7FFD">
                    <w:rPr>
                      <w:color w:val="000000" w:themeColor="text1"/>
                    </w:rPr>
                    <w:t>15 m</w:t>
                  </w:r>
                </w:p>
              </w:tc>
            </w:tr>
            <w:tr w:rsidR="00ED5F8F" w:rsidRPr="000D7FFD" w14:paraId="0D578422" w14:textId="77777777" w:rsidTr="00ED5F8F">
              <w:tc>
                <w:tcPr>
                  <w:tcW w:w="3020" w:type="dxa"/>
                </w:tcPr>
                <w:p w14:paraId="07B687A5" w14:textId="77777777" w:rsidR="00ED5F8F" w:rsidRPr="000D7FFD" w:rsidRDefault="00ED5F8F" w:rsidP="00E03677">
                  <w:pPr>
                    <w:rPr>
                      <w:color w:val="000000" w:themeColor="text1"/>
                    </w:rPr>
                  </w:pPr>
                  <w:r w:rsidRPr="000D7FFD">
                    <w:rPr>
                      <w:color w:val="000000" w:themeColor="text1"/>
                    </w:rPr>
                    <w:t>Jusqu’à 1000 m²</w:t>
                  </w:r>
                </w:p>
              </w:tc>
              <w:tc>
                <w:tcPr>
                  <w:tcW w:w="4339" w:type="dxa"/>
                </w:tcPr>
                <w:p w14:paraId="007E6E3B" w14:textId="77777777" w:rsidR="00ED5F8F" w:rsidRPr="000D7FFD" w:rsidRDefault="00ED5F8F" w:rsidP="00E03677">
                  <w:pPr>
                    <w:rPr>
                      <w:color w:val="000000" w:themeColor="text1"/>
                    </w:rPr>
                  </w:pPr>
                  <w:r w:rsidRPr="000D7FFD">
                    <w:rPr>
                      <w:color w:val="000000" w:themeColor="text1"/>
                    </w:rPr>
                    <w:t>20 m</w:t>
                  </w:r>
                </w:p>
              </w:tc>
            </w:tr>
          </w:tbl>
          <w:p w14:paraId="7174D6C1" w14:textId="77777777" w:rsidR="00ED5F8F" w:rsidRPr="000D7FFD" w:rsidRDefault="00ED5F8F" w:rsidP="00E03677">
            <w:pPr>
              <w:rPr>
                <w:rFonts w:eastAsia="Times New Roman" w:cs="Times New Roman"/>
                <w:color w:val="000000" w:themeColor="text1"/>
                <w:szCs w:val="24"/>
                <w:lang w:eastAsia="fr-FR"/>
              </w:rPr>
            </w:pPr>
            <w:r w:rsidRPr="000D7FFD">
              <w:rPr>
                <w:rFonts w:eastAsia="Times New Roman" w:cs="Times New Roman"/>
                <w:color w:val="000000" w:themeColor="text1"/>
                <w:szCs w:val="24"/>
                <w:lang w:eastAsia="fr-FR"/>
              </w:rPr>
              <w:t>Ces distances peuvent être réduites si les effets domino (seuil des effets thermiques de 8kW/m²) ne sont pas atteints, par l’emploi de dispositions passives, du stockage vers tout autre ilôt de stockage ou activité et de tout autre ilôt de stockage ou autre activité vers le stockage</w:t>
            </w:r>
            <w:r w:rsidRPr="000D7FFD">
              <w:rPr>
                <w:rFonts w:cs="Times New Roman"/>
                <w:color w:val="000000" w:themeColor="text1"/>
                <w:szCs w:val="24"/>
              </w:rPr>
              <w:t xml:space="preserve">. La mise en place d’un mur </w:t>
            </w:r>
            <w:r w:rsidRPr="000D7FFD">
              <w:rPr>
                <w:color w:val="000000" w:themeColor="text1"/>
              </w:rPr>
              <w:t>coupe-feu EI 120 de dimensions suffisantes pour contenir les effets dominos permet de répondre à cette exigence. Les éléments de justification, et le cas échéant, de démonstration du respect des règles en vigueur concernant le mur coupe-feu, sont tenus à la disposition de l’inspection des installations classées</w:t>
            </w:r>
            <w:r w:rsidRPr="000D7FFD">
              <w:rPr>
                <w:rFonts w:cs="Times New Roman"/>
                <w:color w:val="000000" w:themeColor="text1"/>
                <w:szCs w:val="24"/>
              </w:rPr>
              <w:t xml:space="preserve">. </w:t>
            </w:r>
          </w:p>
          <w:p w14:paraId="2A5F9D9E" w14:textId="77777777" w:rsidR="00ED5F8F" w:rsidRPr="000D7FFD" w:rsidRDefault="00ED5F8F" w:rsidP="00E03677">
            <w:pPr>
              <w:rPr>
                <w:color w:val="000000" w:themeColor="text1"/>
              </w:rPr>
            </w:pPr>
          </w:p>
        </w:tc>
      </w:tr>
      <w:tr w:rsidR="00ED5F8F" w:rsidRPr="000D7FFD" w14:paraId="3797616E" w14:textId="77777777" w:rsidTr="00ED5F8F">
        <w:tc>
          <w:tcPr>
            <w:tcW w:w="1320" w:type="dxa"/>
          </w:tcPr>
          <w:p w14:paraId="5F8066F0" w14:textId="77777777" w:rsidR="00ED5F8F" w:rsidRPr="000D7FFD" w:rsidRDefault="00ED5F8F" w:rsidP="00E03677">
            <w:pPr>
              <w:rPr>
                <w:color w:val="000000" w:themeColor="text1"/>
              </w:rPr>
            </w:pPr>
            <w:r w:rsidRPr="000D7FFD">
              <w:rPr>
                <w:color w:val="000000" w:themeColor="text1"/>
              </w:rPr>
              <w:lastRenderedPageBreak/>
              <w:t>III.10</w:t>
            </w:r>
          </w:p>
        </w:tc>
        <w:tc>
          <w:tcPr>
            <w:tcW w:w="7894" w:type="dxa"/>
          </w:tcPr>
          <w:p w14:paraId="40A93D09" w14:textId="73982565" w:rsidR="00ED5F8F" w:rsidRPr="000D7FFD" w:rsidRDefault="00ED5F8F"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tc>
      </w:tr>
      <w:tr w:rsidR="00ED5F8F" w:rsidRPr="000D7FFD" w14:paraId="33B97792" w14:textId="77777777" w:rsidTr="00ED5F8F">
        <w:tc>
          <w:tcPr>
            <w:tcW w:w="1320" w:type="dxa"/>
          </w:tcPr>
          <w:p w14:paraId="458186A9" w14:textId="77777777" w:rsidR="00ED5F8F" w:rsidRPr="000D7FFD" w:rsidRDefault="00ED5F8F" w:rsidP="00E03677">
            <w:pPr>
              <w:rPr>
                <w:color w:val="000000" w:themeColor="text1"/>
              </w:rPr>
            </w:pPr>
            <w:r w:rsidRPr="000D7FFD">
              <w:rPr>
                <w:color w:val="000000" w:themeColor="text1"/>
              </w:rPr>
              <w:t>III.11 –I</w:t>
            </w:r>
          </w:p>
        </w:tc>
        <w:tc>
          <w:tcPr>
            <w:tcW w:w="7894" w:type="dxa"/>
          </w:tcPr>
          <w:p w14:paraId="47855949" w14:textId="77777777" w:rsidR="00ED5F8F" w:rsidRPr="000D7FFD" w:rsidRDefault="00ED5F8F" w:rsidP="00E03677">
            <w:pPr>
              <w:rPr>
                <w:color w:val="000000" w:themeColor="text1"/>
              </w:rPr>
            </w:pPr>
            <w:r w:rsidRPr="000D7FFD">
              <w:rPr>
                <w:color w:val="000000" w:themeColor="text1"/>
              </w:rPr>
              <w:t>Ces dispositions sont applicables aux rétentions construites après le 1</w:t>
            </w:r>
            <w:r w:rsidRPr="000D7FFD">
              <w:rPr>
                <w:color w:val="000000" w:themeColor="text1"/>
                <w:vertAlign w:val="superscript"/>
              </w:rPr>
              <w:t>er</w:t>
            </w:r>
            <w:r w:rsidRPr="000D7FFD">
              <w:rPr>
                <w:color w:val="000000" w:themeColor="text1"/>
              </w:rPr>
              <w:t xml:space="preserve"> janvier 2013, à l’exception du 4</w:t>
            </w:r>
            <w:r w:rsidRPr="000D7FFD">
              <w:rPr>
                <w:color w:val="000000" w:themeColor="text1"/>
                <w:vertAlign w:val="superscript"/>
              </w:rPr>
              <w:t>ème</w:t>
            </w:r>
            <w:r w:rsidRPr="000D7FFD">
              <w:rPr>
                <w:color w:val="000000" w:themeColor="text1"/>
              </w:rPr>
              <w:t xml:space="preserve"> tiret du I.</w:t>
            </w:r>
          </w:p>
          <w:p w14:paraId="61BF1205" w14:textId="77777777" w:rsidR="00ED5F8F" w:rsidRPr="000D7FFD" w:rsidRDefault="00ED5F8F" w:rsidP="00E03677">
            <w:pPr>
              <w:rPr>
                <w:color w:val="000000" w:themeColor="text1"/>
              </w:rPr>
            </w:pPr>
            <w:r w:rsidRPr="000D7FFD">
              <w:rPr>
                <w:color w:val="000000" w:themeColor="text1"/>
              </w:rPr>
              <w:t>Ces dispositions sont applicables aux rétentions construites après le 1</w:t>
            </w:r>
            <w:r w:rsidRPr="000D7FFD">
              <w:rPr>
                <w:color w:val="000000" w:themeColor="text1"/>
                <w:vertAlign w:val="superscript"/>
              </w:rPr>
              <w:t>er</w:t>
            </w:r>
            <w:r w:rsidRPr="000D7FFD">
              <w:rPr>
                <w:color w:val="000000" w:themeColor="text1"/>
              </w:rPr>
              <w:t xml:space="preserve"> janvier 2021.</w:t>
            </w:r>
          </w:p>
          <w:p w14:paraId="7A23351C" w14:textId="77777777" w:rsidR="00ED5F8F" w:rsidRPr="000D7FFD" w:rsidRDefault="00ED5F8F" w:rsidP="00E03677">
            <w:pPr>
              <w:rPr>
                <w:color w:val="000000" w:themeColor="text1"/>
              </w:rPr>
            </w:pPr>
          </w:p>
        </w:tc>
      </w:tr>
      <w:tr w:rsidR="00ED5F8F" w:rsidRPr="000D7FFD" w14:paraId="759572BC" w14:textId="77777777" w:rsidTr="00ED5F8F">
        <w:tc>
          <w:tcPr>
            <w:tcW w:w="1320" w:type="dxa"/>
          </w:tcPr>
          <w:p w14:paraId="604543F2" w14:textId="77777777" w:rsidR="00ED5F8F" w:rsidRDefault="00ED5F8F" w:rsidP="00E03677">
            <w:pPr>
              <w:rPr>
                <w:color w:val="000000" w:themeColor="text1"/>
              </w:rPr>
            </w:pPr>
            <w:r w:rsidRPr="000D7FFD">
              <w:rPr>
                <w:color w:val="000000" w:themeColor="text1"/>
              </w:rPr>
              <w:t>III.11-</w:t>
            </w:r>
          </w:p>
          <w:p w14:paraId="6D2CF461" w14:textId="17309E01" w:rsidR="00ED5F8F" w:rsidRPr="000D7FFD" w:rsidRDefault="00ED5F8F" w:rsidP="00E03677">
            <w:pPr>
              <w:rPr>
                <w:color w:val="000000" w:themeColor="text1"/>
              </w:rPr>
            </w:pPr>
            <w:r w:rsidRPr="000D7FFD">
              <w:rPr>
                <w:color w:val="000000" w:themeColor="text1"/>
              </w:rPr>
              <w:t>II</w:t>
            </w:r>
            <w:r>
              <w:rPr>
                <w:color w:val="000000" w:themeColor="text1"/>
              </w:rPr>
              <w:t>-III-IV</w:t>
            </w:r>
          </w:p>
        </w:tc>
        <w:tc>
          <w:tcPr>
            <w:tcW w:w="7894" w:type="dxa"/>
          </w:tcPr>
          <w:p w14:paraId="0AA84CC2"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78B7D03A" w14:textId="77777777" w:rsidTr="00ED5F8F">
        <w:tc>
          <w:tcPr>
            <w:tcW w:w="1320" w:type="dxa"/>
          </w:tcPr>
          <w:p w14:paraId="7EAC3035" w14:textId="77777777" w:rsidR="00ED5F8F" w:rsidRPr="000D7FFD" w:rsidRDefault="00ED5F8F" w:rsidP="00E03677">
            <w:pPr>
              <w:rPr>
                <w:color w:val="000000" w:themeColor="text1"/>
              </w:rPr>
            </w:pPr>
            <w:r w:rsidRPr="000D7FFD">
              <w:rPr>
                <w:color w:val="000000" w:themeColor="text1"/>
              </w:rPr>
              <w:t>III.12</w:t>
            </w:r>
          </w:p>
        </w:tc>
        <w:tc>
          <w:tcPr>
            <w:tcW w:w="7894" w:type="dxa"/>
          </w:tcPr>
          <w:p w14:paraId="5BC1AFD2" w14:textId="77777777" w:rsidR="00FE16CB" w:rsidRPr="000D7FFD" w:rsidRDefault="00FE16CB" w:rsidP="00FE16CB">
            <w:pPr>
              <w:rPr>
                <w:color w:val="000000" w:themeColor="text1"/>
              </w:rPr>
            </w:pPr>
            <w:r>
              <w:rPr>
                <w:color w:val="000000" w:themeColor="text1"/>
              </w:rPr>
              <w:t xml:space="preserve">Les dispositions du point I </w:t>
            </w:r>
            <w:r w:rsidRPr="000D7FFD">
              <w:rPr>
                <w:color w:val="000000" w:themeColor="text1"/>
              </w:rPr>
              <w:t>sont applicables.</w:t>
            </w:r>
          </w:p>
          <w:p w14:paraId="3082E1FB" w14:textId="77777777" w:rsidR="00FE16CB" w:rsidRPr="000D7FFD" w:rsidRDefault="00FE16CB" w:rsidP="00FE16CB">
            <w:pPr>
              <w:rPr>
                <w:color w:val="000000" w:themeColor="text1"/>
              </w:rPr>
            </w:pPr>
            <w:r w:rsidRPr="000D7FFD">
              <w:rPr>
                <w:color w:val="000000" w:themeColor="text1"/>
              </w:rPr>
              <w:t xml:space="preserve">Les dispositions des points II, </w:t>
            </w:r>
            <w:r>
              <w:rPr>
                <w:color w:val="000000" w:themeColor="text1"/>
              </w:rPr>
              <w:t xml:space="preserve">IV, </w:t>
            </w:r>
            <w:r w:rsidRPr="000D7FFD">
              <w:rPr>
                <w:color w:val="000000" w:themeColor="text1"/>
              </w:rPr>
              <w:t>V et VI sont applicables à compter du 1</w:t>
            </w:r>
            <w:r w:rsidRPr="000D7FFD">
              <w:rPr>
                <w:color w:val="000000" w:themeColor="text1"/>
                <w:vertAlign w:val="superscript"/>
              </w:rPr>
              <w:t>er</w:t>
            </w:r>
            <w:r w:rsidRPr="000D7FFD">
              <w:rPr>
                <w:color w:val="000000" w:themeColor="text1"/>
              </w:rPr>
              <w:t xml:space="preserve"> janvier 2026.</w:t>
            </w:r>
          </w:p>
          <w:p w14:paraId="33CAE3ED" w14:textId="77777777" w:rsidR="00ED5F8F" w:rsidRPr="000D7FFD" w:rsidRDefault="00ED5F8F" w:rsidP="00E03677">
            <w:pPr>
              <w:rPr>
                <w:color w:val="000000" w:themeColor="text1"/>
              </w:rPr>
            </w:pPr>
          </w:p>
          <w:p w14:paraId="0996C25C" w14:textId="77777777" w:rsidR="00ED5F8F" w:rsidRPr="000D7FFD" w:rsidRDefault="00ED5F8F" w:rsidP="00E03677">
            <w:pPr>
              <w:rPr>
                <w:color w:val="000000" w:themeColor="text1"/>
              </w:rPr>
            </w:pPr>
            <w:r w:rsidRPr="000D7FFD">
              <w:rPr>
                <w:color w:val="000000" w:themeColor="text1"/>
              </w:rPr>
              <w:t>Les dispositions du point III sont remplacées par les dispositions suivantes :</w:t>
            </w:r>
          </w:p>
          <w:p w14:paraId="77AAECEE" w14:textId="77777777" w:rsidR="00ED5F8F" w:rsidRPr="000D7FFD" w:rsidRDefault="00ED5F8F" w:rsidP="00E03677">
            <w:pPr>
              <w:spacing w:after="160" w:line="259" w:lineRule="auto"/>
              <w:jc w:val="left"/>
              <w:rPr>
                <w:color w:val="000000" w:themeColor="text1"/>
              </w:rPr>
            </w:pPr>
            <w:r w:rsidRPr="000D7FFD">
              <w:rPr>
                <w:color w:val="000000" w:themeColor="text1"/>
              </w:rPr>
              <w:t>« Pour chaque récipient mobile ou groupe de récipients mobiles contenant au moins un liquide inflammable ou un liquide ou solide liquéfiable combustible, dès lors qu’il entre dans les conditions de proximité avec un liquide inflammable définies à l’article I-3, le volume minimal de la rétention calculé en application du I. ou du II. du présent article est majoré pour contenir également :</w:t>
            </w:r>
          </w:p>
          <w:p w14:paraId="7350586D" w14:textId="77777777" w:rsidR="00ED5F8F" w:rsidRPr="000D7FFD" w:rsidRDefault="00ED5F8F" w:rsidP="00E03677">
            <w:pPr>
              <w:spacing w:after="160" w:line="259" w:lineRule="auto"/>
              <w:jc w:val="left"/>
              <w:rPr>
                <w:color w:val="000000" w:themeColor="text1"/>
              </w:rPr>
            </w:pPr>
            <w:r w:rsidRPr="000D7FFD">
              <w:rPr>
                <w:color w:val="000000" w:themeColor="text1"/>
              </w:rPr>
              <w:t>-</w:t>
            </w:r>
            <w:r w:rsidRPr="000D7FFD">
              <w:rPr>
                <w:color w:val="000000" w:themeColor="text1"/>
              </w:rPr>
              <w:tab/>
              <w:t>le volume des eaux d'extinction. L’exploitant prend en compte le volume nécessaire à la lutte contre l’incendie, déterminé au vu de la stratégie incendie définie à l’article VI-1 du présent arrêté, ou une hauteur supplémentaire forfaitaire des parois de rétention de 0,15 mètre en vue de contenir ces eaux d'extinction.</w:t>
            </w:r>
          </w:p>
          <w:p w14:paraId="6C5D3213" w14:textId="77777777" w:rsidR="00ED5F8F" w:rsidRPr="000D7FFD" w:rsidRDefault="00ED5F8F" w:rsidP="00E03677">
            <w:pPr>
              <w:spacing w:after="160" w:line="259" w:lineRule="auto"/>
              <w:jc w:val="left"/>
              <w:rPr>
                <w:color w:val="000000" w:themeColor="text1"/>
              </w:rPr>
            </w:pPr>
            <w:r w:rsidRPr="000D7FFD">
              <w:rPr>
                <w:color w:val="000000" w:themeColor="text1"/>
              </w:rPr>
              <w:t>Ces dispositions sont applicables à compter du 1</w:t>
            </w:r>
            <w:r w:rsidRPr="000D7FFD">
              <w:rPr>
                <w:color w:val="000000" w:themeColor="text1"/>
                <w:vertAlign w:val="superscript"/>
              </w:rPr>
              <w:t>er</w:t>
            </w:r>
            <w:r w:rsidRPr="000D7FFD">
              <w:rPr>
                <w:color w:val="000000" w:themeColor="text1"/>
              </w:rPr>
              <w:t xml:space="preserve"> janvier 2026. » »</w:t>
            </w:r>
          </w:p>
          <w:p w14:paraId="4E56F312" w14:textId="77777777" w:rsidR="00ED5F8F" w:rsidRPr="000D7FFD" w:rsidRDefault="00ED5F8F" w:rsidP="00E03677">
            <w:pPr>
              <w:rPr>
                <w:color w:val="000000" w:themeColor="text1"/>
              </w:rPr>
            </w:pPr>
          </w:p>
        </w:tc>
      </w:tr>
      <w:tr w:rsidR="00ED5F8F" w:rsidRPr="000D7FFD" w14:paraId="307BD8EC" w14:textId="77777777" w:rsidTr="00ED5F8F">
        <w:tc>
          <w:tcPr>
            <w:tcW w:w="1320" w:type="dxa"/>
          </w:tcPr>
          <w:p w14:paraId="3EBC4758" w14:textId="77777777" w:rsidR="00ED5F8F" w:rsidRPr="000D7FFD" w:rsidRDefault="00ED5F8F" w:rsidP="00E03677">
            <w:pPr>
              <w:rPr>
                <w:color w:val="000000" w:themeColor="text1"/>
              </w:rPr>
            </w:pPr>
            <w:r w:rsidRPr="000D7FFD">
              <w:rPr>
                <w:color w:val="000000" w:themeColor="text1"/>
              </w:rPr>
              <w:t>III.13</w:t>
            </w:r>
            <w:r>
              <w:rPr>
                <w:color w:val="000000" w:themeColor="text1"/>
              </w:rPr>
              <w:t xml:space="preserve"> – I et II</w:t>
            </w:r>
          </w:p>
        </w:tc>
        <w:tc>
          <w:tcPr>
            <w:tcW w:w="7894" w:type="dxa"/>
          </w:tcPr>
          <w:p w14:paraId="642D1497" w14:textId="04840A9E" w:rsidR="00ED5F8F" w:rsidRPr="000D7FFD" w:rsidRDefault="00ED5F8F" w:rsidP="00E03677">
            <w:pPr>
              <w:rPr>
                <w:color w:val="000000" w:themeColor="text1"/>
              </w:rPr>
            </w:pPr>
            <w:r>
              <w:rPr>
                <w:color w:val="000000" w:themeColor="text1"/>
              </w:rPr>
              <w:t>Ces dispositions sont applicables.</w:t>
            </w:r>
          </w:p>
        </w:tc>
      </w:tr>
      <w:tr w:rsidR="00ED5F8F" w:rsidRPr="000D7FFD" w14:paraId="7002291D" w14:textId="77777777" w:rsidTr="00ED5F8F">
        <w:tc>
          <w:tcPr>
            <w:tcW w:w="1320" w:type="dxa"/>
          </w:tcPr>
          <w:p w14:paraId="1A3D9713" w14:textId="77777777" w:rsidR="00ED5F8F" w:rsidRPr="000D7FFD" w:rsidRDefault="00ED5F8F" w:rsidP="00E03677">
            <w:pPr>
              <w:rPr>
                <w:color w:val="000000" w:themeColor="text1"/>
              </w:rPr>
            </w:pPr>
            <w:r w:rsidRPr="000D7FFD">
              <w:rPr>
                <w:color w:val="000000" w:themeColor="text1"/>
              </w:rPr>
              <w:lastRenderedPageBreak/>
              <w:t>III.13</w:t>
            </w:r>
            <w:r>
              <w:rPr>
                <w:color w:val="000000" w:themeColor="text1"/>
              </w:rPr>
              <w:t xml:space="preserve"> III</w:t>
            </w:r>
          </w:p>
        </w:tc>
        <w:tc>
          <w:tcPr>
            <w:tcW w:w="7894" w:type="dxa"/>
          </w:tcPr>
          <w:p w14:paraId="6F3AC9B3" w14:textId="77777777" w:rsidR="00ED5F8F" w:rsidRPr="000D7FFD" w:rsidRDefault="00ED5F8F" w:rsidP="00E03677">
            <w:pPr>
              <w:rPr>
                <w:rFonts w:eastAsia="Times New Roman"/>
                <w:color w:val="000000" w:themeColor="text1"/>
                <w:lang w:eastAsia="fr-FR"/>
              </w:rPr>
            </w:pPr>
            <w:r w:rsidRPr="000D7FFD">
              <w:rPr>
                <w:rFonts w:eastAsia="Times New Roman"/>
                <w:color w:val="000000" w:themeColor="text1"/>
                <w:lang w:eastAsia="fr-FR"/>
              </w:rPr>
              <w:t>Les dispositions du point III ne sont pas applicables aux installations existantes.</w:t>
            </w:r>
          </w:p>
          <w:p w14:paraId="3D58D7A1" w14:textId="77777777" w:rsidR="00ED5F8F" w:rsidRPr="000D7FFD" w:rsidRDefault="00ED5F8F" w:rsidP="00E03677">
            <w:pPr>
              <w:rPr>
                <w:rFonts w:eastAsia="Times New Roman"/>
                <w:color w:val="000000" w:themeColor="text1"/>
                <w:lang w:eastAsia="fr-FR"/>
              </w:rPr>
            </w:pPr>
          </w:p>
          <w:p w14:paraId="425C7505" w14:textId="6542FD36" w:rsidR="00ED5F8F" w:rsidRPr="000D7FFD" w:rsidRDefault="00ED5F8F" w:rsidP="00ED5F8F">
            <w:pPr>
              <w:rPr>
                <w:color w:val="000000" w:themeColor="text1"/>
              </w:rPr>
            </w:pPr>
            <w:r w:rsidRPr="000D7FFD">
              <w:rPr>
                <w:color w:val="000000" w:themeColor="text1"/>
              </w:rPr>
              <w:t>En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w:t>
            </w:r>
            <w:r w:rsidRPr="000D7FFD">
              <w:rPr>
                <w:rFonts w:eastAsia="Times New Roman"/>
                <w:color w:val="000000" w:themeColor="text1"/>
                <w:lang w:eastAsia="fr-FR"/>
              </w:rPr>
              <w:t xml:space="preserve">Les dispositions du point III </w:t>
            </w:r>
            <w:r>
              <w:rPr>
                <w:color w:val="000000" w:themeColor="text1"/>
              </w:rPr>
              <w:t>sont applicables à l’extension.</w:t>
            </w:r>
          </w:p>
        </w:tc>
      </w:tr>
      <w:tr w:rsidR="00ED5F8F" w:rsidRPr="000D7FFD" w14:paraId="447D5C2E" w14:textId="77777777" w:rsidTr="00ED5F8F">
        <w:tc>
          <w:tcPr>
            <w:tcW w:w="1320" w:type="dxa"/>
          </w:tcPr>
          <w:p w14:paraId="1DF037BF" w14:textId="77777777" w:rsidR="00ED5F8F" w:rsidRPr="000D7FFD" w:rsidRDefault="00ED5F8F" w:rsidP="00E03677">
            <w:pPr>
              <w:rPr>
                <w:color w:val="000000" w:themeColor="text1"/>
              </w:rPr>
            </w:pPr>
            <w:r w:rsidRPr="000D7FFD">
              <w:rPr>
                <w:color w:val="000000" w:themeColor="text1"/>
              </w:rPr>
              <w:t>III.14</w:t>
            </w:r>
          </w:p>
        </w:tc>
        <w:tc>
          <w:tcPr>
            <w:tcW w:w="7894" w:type="dxa"/>
          </w:tcPr>
          <w:p w14:paraId="5C3DE577" w14:textId="77777777" w:rsidR="00ED5F8F" w:rsidRPr="000D7FFD" w:rsidRDefault="00ED5F8F" w:rsidP="00E03677">
            <w:pPr>
              <w:rPr>
                <w:color w:val="000000" w:themeColor="text1"/>
              </w:rPr>
            </w:pPr>
            <w:r w:rsidRPr="000D7FFD">
              <w:rPr>
                <w:color w:val="000000" w:themeColor="text1"/>
              </w:rPr>
              <w:t>Les dispositions des I. à VII sont applicables à compter du 1</w:t>
            </w:r>
            <w:r w:rsidRPr="000D7FFD">
              <w:rPr>
                <w:color w:val="000000" w:themeColor="text1"/>
                <w:vertAlign w:val="superscript"/>
              </w:rPr>
              <w:t>er</w:t>
            </w:r>
            <w:r w:rsidRPr="000D7FFD">
              <w:rPr>
                <w:color w:val="000000" w:themeColor="text1"/>
              </w:rPr>
              <w:t xml:space="preserve"> janvier 2026.</w:t>
            </w:r>
          </w:p>
          <w:p w14:paraId="4D98FECA" w14:textId="77777777" w:rsidR="00ED5F8F" w:rsidRPr="000D7FFD" w:rsidRDefault="00ED5F8F" w:rsidP="00E03677">
            <w:pPr>
              <w:rPr>
                <w:color w:val="000000" w:themeColor="text1"/>
              </w:rPr>
            </w:pPr>
          </w:p>
          <w:p w14:paraId="01736F31" w14:textId="77777777" w:rsidR="00ED5F8F" w:rsidRPr="000D7FFD" w:rsidRDefault="00ED5F8F" w:rsidP="00E03677">
            <w:pPr>
              <w:rPr>
                <w:color w:val="000000" w:themeColor="text1"/>
              </w:rPr>
            </w:pPr>
            <w:r w:rsidRPr="000D7FFD">
              <w:rPr>
                <w:color w:val="000000" w:themeColor="text1"/>
              </w:rPr>
              <w:t>Le dernier alinéa du point VIII n’est pas applicable.</w:t>
            </w:r>
          </w:p>
        </w:tc>
      </w:tr>
      <w:tr w:rsidR="00ED5F8F" w:rsidRPr="000D7FFD" w14:paraId="7F56FE60" w14:textId="77777777" w:rsidTr="00ED5F8F">
        <w:trPr>
          <w:trHeight w:val="374"/>
        </w:trPr>
        <w:tc>
          <w:tcPr>
            <w:tcW w:w="1320" w:type="dxa"/>
          </w:tcPr>
          <w:p w14:paraId="18461F17" w14:textId="104B86F9" w:rsidR="00ED5F8F" w:rsidRPr="000D7FFD" w:rsidRDefault="00ED5F8F" w:rsidP="00E03677">
            <w:pPr>
              <w:rPr>
                <w:color w:val="000000" w:themeColor="text1"/>
              </w:rPr>
            </w:pPr>
            <w:r w:rsidRPr="000D7FFD">
              <w:rPr>
                <w:color w:val="000000" w:themeColor="text1"/>
              </w:rPr>
              <w:t>III.15</w:t>
            </w:r>
            <w:r w:rsidR="00353A0E">
              <w:rPr>
                <w:color w:val="000000" w:themeColor="text1"/>
              </w:rPr>
              <w:t xml:space="preserve"> et III.15</w:t>
            </w:r>
          </w:p>
        </w:tc>
        <w:tc>
          <w:tcPr>
            <w:tcW w:w="7894" w:type="dxa"/>
          </w:tcPr>
          <w:p w14:paraId="3E7A929A"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3C2D0A0A" w14:textId="77777777" w:rsidTr="00ED5F8F">
        <w:tc>
          <w:tcPr>
            <w:tcW w:w="1320" w:type="dxa"/>
          </w:tcPr>
          <w:p w14:paraId="08754735" w14:textId="77777777" w:rsidR="00ED5F8F" w:rsidRPr="000D7FFD" w:rsidRDefault="00ED5F8F" w:rsidP="00E03677">
            <w:pPr>
              <w:rPr>
                <w:color w:val="000000" w:themeColor="text1"/>
              </w:rPr>
            </w:pPr>
            <w:r w:rsidRPr="000D7FFD">
              <w:rPr>
                <w:color w:val="000000" w:themeColor="text1"/>
              </w:rPr>
              <w:t>III.17</w:t>
            </w:r>
          </w:p>
        </w:tc>
        <w:tc>
          <w:tcPr>
            <w:tcW w:w="7894" w:type="dxa"/>
          </w:tcPr>
          <w:p w14:paraId="20876B9E" w14:textId="77777777" w:rsidR="00ED5F8F" w:rsidRPr="000D7FFD" w:rsidRDefault="00ED5F8F" w:rsidP="00E03677">
            <w:pPr>
              <w:rPr>
                <w:color w:val="000000" w:themeColor="text1"/>
              </w:rPr>
            </w:pPr>
            <w:r w:rsidRPr="000D7FFD">
              <w:rPr>
                <w:color w:val="000000" w:themeColor="text1"/>
              </w:rPr>
              <w:t>Les dispositions du 1</w:t>
            </w:r>
            <w:r w:rsidRPr="000D7FFD">
              <w:rPr>
                <w:color w:val="000000" w:themeColor="text1"/>
                <w:vertAlign w:val="superscript"/>
              </w:rPr>
              <w:t>er</w:t>
            </w:r>
            <w:r w:rsidRPr="000D7FFD">
              <w:rPr>
                <w:color w:val="000000" w:themeColor="text1"/>
              </w:rPr>
              <w:t xml:space="preserve"> alinéa sont applicables au 1</w:t>
            </w:r>
            <w:r w:rsidRPr="000D7FFD">
              <w:rPr>
                <w:color w:val="000000" w:themeColor="text1"/>
                <w:vertAlign w:val="superscript"/>
              </w:rPr>
              <w:t>er</w:t>
            </w:r>
            <w:r w:rsidRPr="000D7FFD">
              <w:rPr>
                <w:color w:val="000000" w:themeColor="text1"/>
              </w:rPr>
              <w:t xml:space="preserve"> janvier 2026.</w:t>
            </w:r>
          </w:p>
          <w:p w14:paraId="063862A5" w14:textId="77777777" w:rsidR="00ED5F8F" w:rsidRPr="000D7FFD" w:rsidRDefault="00ED5F8F" w:rsidP="00E03677">
            <w:pPr>
              <w:rPr>
                <w:color w:val="000000" w:themeColor="text1"/>
              </w:rPr>
            </w:pPr>
            <w:r w:rsidRPr="000D7FFD">
              <w:rPr>
                <w:color w:val="000000" w:themeColor="text1"/>
              </w:rPr>
              <w:t>Les dispositions du second alinéa sont applicables.</w:t>
            </w:r>
          </w:p>
        </w:tc>
      </w:tr>
      <w:tr w:rsidR="00ED5F8F" w:rsidRPr="000D7FFD" w14:paraId="40338CCA" w14:textId="77777777" w:rsidTr="00ED5F8F">
        <w:tc>
          <w:tcPr>
            <w:tcW w:w="1320" w:type="dxa"/>
          </w:tcPr>
          <w:p w14:paraId="26E70105" w14:textId="406BA7C1" w:rsidR="00ED5F8F" w:rsidRPr="000D7FFD" w:rsidRDefault="00ED5F8F" w:rsidP="00E03677">
            <w:pPr>
              <w:rPr>
                <w:color w:val="000000" w:themeColor="text1"/>
              </w:rPr>
            </w:pPr>
            <w:r w:rsidRPr="000D7FFD">
              <w:rPr>
                <w:color w:val="000000" w:themeColor="text1"/>
              </w:rPr>
              <w:t>IV.1</w:t>
            </w:r>
            <w:r>
              <w:rPr>
                <w:color w:val="000000" w:themeColor="text1"/>
              </w:rPr>
              <w:t xml:space="preserve"> à IV.6</w:t>
            </w:r>
          </w:p>
        </w:tc>
        <w:tc>
          <w:tcPr>
            <w:tcW w:w="7894" w:type="dxa"/>
          </w:tcPr>
          <w:p w14:paraId="71F0DBF7"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47503B34" w14:textId="77777777" w:rsidTr="00ED5F8F">
        <w:tc>
          <w:tcPr>
            <w:tcW w:w="1320" w:type="dxa"/>
          </w:tcPr>
          <w:p w14:paraId="42097279" w14:textId="77777777" w:rsidR="00ED5F8F" w:rsidRPr="000D7FFD" w:rsidRDefault="00ED5F8F" w:rsidP="00E03677">
            <w:pPr>
              <w:rPr>
                <w:color w:val="000000" w:themeColor="text1"/>
              </w:rPr>
            </w:pPr>
            <w:r w:rsidRPr="000D7FFD">
              <w:rPr>
                <w:color w:val="000000" w:themeColor="text1"/>
              </w:rPr>
              <w:t>V.1</w:t>
            </w:r>
          </w:p>
        </w:tc>
        <w:tc>
          <w:tcPr>
            <w:tcW w:w="7894" w:type="dxa"/>
          </w:tcPr>
          <w:p w14:paraId="73E585F0"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79F959D0" w14:textId="77777777" w:rsidTr="00ED5F8F">
        <w:tc>
          <w:tcPr>
            <w:tcW w:w="1320" w:type="dxa"/>
          </w:tcPr>
          <w:p w14:paraId="6BFC0CD5" w14:textId="77777777" w:rsidR="00ED5F8F" w:rsidRPr="000D7FFD" w:rsidRDefault="00ED5F8F" w:rsidP="00E03677">
            <w:pPr>
              <w:rPr>
                <w:color w:val="000000" w:themeColor="text1"/>
              </w:rPr>
            </w:pPr>
            <w:r w:rsidRPr="000D7FFD">
              <w:rPr>
                <w:color w:val="000000" w:themeColor="text1"/>
              </w:rPr>
              <w:t>V.2</w:t>
            </w:r>
          </w:p>
        </w:tc>
        <w:tc>
          <w:tcPr>
            <w:tcW w:w="7894" w:type="dxa"/>
          </w:tcPr>
          <w:p w14:paraId="0CB0155A" w14:textId="77777777" w:rsidR="00ED5F8F" w:rsidRPr="000D7FFD" w:rsidRDefault="00ED5F8F" w:rsidP="00E03677">
            <w:pPr>
              <w:rPr>
                <w:rFonts w:eastAsia="Times New Roman"/>
                <w:color w:val="000000" w:themeColor="text1"/>
                <w:lang w:eastAsia="fr-FR"/>
              </w:rPr>
            </w:pPr>
            <w:r w:rsidRPr="000D7FFD">
              <w:rPr>
                <w:rFonts w:eastAsia="Times New Roman"/>
                <w:color w:val="000000" w:themeColor="text1"/>
                <w:lang w:eastAsia="fr-FR"/>
              </w:rPr>
              <w:t>Ces dispositions sont applicables à compter du 1</w:t>
            </w:r>
            <w:r w:rsidRPr="000D7FFD">
              <w:rPr>
                <w:rFonts w:eastAsia="Times New Roman"/>
                <w:color w:val="000000" w:themeColor="text1"/>
                <w:vertAlign w:val="superscript"/>
                <w:lang w:eastAsia="fr-FR"/>
              </w:rPr>
              <w:t>er</w:t>
            </w:r>
            <w:r w:rsidRPr="000D7FFD">
              <w:rPr>
                <w:rFonts w:eastAsia="Times New Roman"/>
                <w:color w:val="000000" w:themeColor="text1"/>
                <w:lang w:eastAsia="fr-FR"/>
              </w:rPr>
              <w:t xml:space="preserve"> janvier 2023.</w:t>
            </w:r>
          </w:p>
          <w:p w14:paraId="5A2FE1E1" w14:textId="77777777" w:rsidR="00ED5F8F" w:rsidRPr="000D7FFD" w:rsidRDefault="00ED5F8F" w:rsidP="00E03677">
            <w:pPr>
              <w:rPr>
                <w:color w:val="000000" w:themeColor="text1"/>
              </w:rPr>
            </w:pPr>
          </w:p>
        </w:tc>
      </w:tr>
      <w:tr w:rsidR="00ED5F8F" w:rsidRPr="000D7FFD" w14:paraId="35A801E1" w14:textId="77777777" w:rsidTr="00ED5F8F">
        <w:trPr>
          <w:trHeight w:val="603"/>
        </w:trPr>
        <w:tc>
          <w:tcPr>
            <w:tcW w:w="1320" w:type="dxa"/>
          </w:tcPr>
          <w:p w14:paraId="6DF78209" w14:textId="27AC0404" w:rsidR="00ED5F8F" w:rsidRPr="000D7FFD" w:rsidRDefault="00ED5F8F" w:rsidP="00E03677">
            <w:pPr>
              <w:rPr>
                <w:color w:val="000000" w:themeColor="text1"/>
              </w:rPr>
            </w:pPr>
            <w:r w:rsidRPr="000D7FFD">
              <w:rPr>
                <w:color w:val="000000" w:themeColor="text1"/>
              </w:rPr>
              <w:t>V.3</w:t>
            </w:r>
            <w:r>
              <w:rPr>
                <w:color w:val="000000" w:themeColor="text1"/>
              </w:rPr>
              <w:t xml:space="preserve"> à V.5</w:t>
            </w:r>
          </w:p>
        </w:tc>
        <w:tc>
          <w:tcPr>
            <w:tcW w:w="7894" w:type="dxa"/>
          </w:tcPr>
          <w:p w14:paraId="623C12BF"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01562080" w14:textId="77777777" w:rsidTr="00ED5F8F">
        <w:tc>
          <w:tcPr>
            <w:tcW w:w="1320" w:type="dxa"/>
          </w:tcPr>
          <w:p w14:paraId="0B8CC107" w14:textId="77777777" w:rsidR="00ED5F8F" w:rsidRPr="000D7FFD" w:rsidRDefault="00ED5F8F" w:rsidP="00E03677">
            <w:pPr>
              <w:rPr>
                <w:color w:val="000000" w:themeColor="text1"/>
              </w:rPr>
            </w:pPr>
            <w:r w:rsidRPr="000D7FFD">
              <w:rPr>
                <w:color w:val="000000" w:themeColor="text1"/>
              </w:rPr>
              <w:t>VI.1</w:t>
            </w:r>
          </w:p>
        </w:tc>
        <w:tc>
          <w:tcPr>
            <w:tcW w:w="7894" w:type="dxa"/>
          </w:tcPr>
          <w:p w14:paraId="472569BC" w14:textId="77777777" w:rsidR="00ED5F8F" w:rsidRPr="000D7FFD" w:rsidRDefault="00ED5F8F" w:rsidP="00E03677">
            <w:pPr>
              <w:rPr>
                <w:color w:val="000000" w:themeColor="text1"/>
              </w:rPr>
            </w:pPr>
            <w:r w:rsidRPr="000D7FFD">
              <w:rPr>
                <w:color w:val="000000" w:themeColor="text1"/>
              </w:rPr>
              <w:t>La stratégie incendie est mise à jour au plus tard le 1</w:t>
            </w:r>
            <w:r w:rsidRPr="000D7FFD">
              <w:rPr>
                <w:color w:val="000000" w:themeColor="text1"/>
                <w:vertAlign w:val="superscript"/>
              </w:rPr>
              <w:t>er</w:t>
            </w:r>
            <w:r w:rsidRPr="000D7FFD">
              <w:rPr>
                <w:color w:val="000000" w:themeColor="text1"/>
              </w:rPr>
              <w:t xml:space="preserve"> janvier 2023.</w:t>
            </w:r>
          </w:p>
        </w:tc>
      </w:tr>
      <w:tr w:rsidR="00ED5F8F" w:rsidRPr="000D7FFD" w14:paraId="2D56E918" w14:textId="77777777" w:rsidTr="00ED5F8F">
        <w:tc>
          <w:tcPr>
            <w:tcW w:w="1320" w:type="dxa"/>
          </w:tcPr>
          <w:p w14:paraId="602981C0" w14:textId="77777777" w:rsidR="00ED5F8F" w:rsidRPr="000D7FFD" w:rsidRDefault="00ED5F8F" w:rsidP="00E03677">
            <w:pPr>
              <w:rPr>
                <w:color w:val="000000" w:themeColor="text1"/>
              </w:rPr>
            </w:pPr>
            <w:r w:rsidRPr="000D7FFD">
              <w:rPr>
                <w:color w:val="000000" w:themeColor="text1"/>
              </w:rPr>
              <w:t>VI.2</w:t>
            </w:r>
          </w:p>
        </w:tc>
        <w:tc>
          <w:tcPr>
            <w:tcW w:w="7894" w:type="dxa"/>
          </w:tcPr>
          <w:p w14:paraId="509207D4" w14:textId="77777777" w:rsidR="00ED5F8F" w:rsidRPr="000D7FFD" w:rsidRDefault="00ED5F8F" w:rsidP="00E03677">
            <w:pPr>
              <w:rPr>
                <w:color w:val="000000" w:themeColor="text1"/>
              </w:rPr>
            </w:pPr>
            <w:r w:rsidRPr="000D7FFD">
              <w:rPr>
                <w:color w:val="000000" w:themeColor="text1"/>
              </w:rPr>
              <w:t>Les dispositions des points IV et XII sont applicables au 1</w:t>
            </w:r>
            <w:r w:rsidRPr="000D7FFD">
              <w:rPr>
                <w:color w:val="000000" w:themeColor="text1"/>
                <w:vertAlign w:val="superscript"/>
              </w:rPr>
              <w:t>er</w:t>
            </w:r>
            <w:r w:rsidRPr="000D7FFD">
              <w:rPr>
                <w:color w:val="000000" w:themeColor="text1"/>
              </w:rPr>
              <w:t xml:space="preserve"> janvier 2021.</w:t>
            </w:r>
          </w:p>
          <w:p w14:paraId="0D433087" w14:textId="77777777" w:rsidR="00ED5F8F" w:rsidRPr="000D7FFD" w:rsidRDefault="00ED5F8F" w:rsidP="00E03677">
            <w:pPr>
              <w:rPr>
                <w:color w:val="000000" w:themeColor="text1"/>
              </w:rPr>
            </w:pPr>
            <w:r w:rsidRPr="000D7FFD">
              <w:rPr>
                <w:color w:val="000000" w:themeColor="text1"/>
              </w:rPr>
              <w:t>Les travaux identifiés comme nécessaires lors de la mise à jour de la stratégie incendie en application des autres points de l’article VI.2 sont réalisés avant le 1</w:t>
            </w:r>
            <w:r w:rsidRPr="000D7FFD">
              <w:rPr>
                <w:color w:val="000000" w:themeColor="text1"/>
                <w:vertAlign w:val="superscript"/>
              </w:rPr>
              <w:t>er</w:t>
            </w:r>
            <w:r w:rsidRPr="000D7FFD">
              <w:rPr>
                <w:color w:val="000000" w:themeColor="text1"/>
              </w:rPr>
              <w:t xml:space="preserve"> janvier 2026.</w:t>
            </w:r>
          </w:p>
          <w:p w14:paraId="65A95CB8" w14:textId="77777777" w:rsidR="00ED5F8F" w:rsidRPr="000D7FFD" w:rsidRDefault="00ED5F8F" w:rsidP="00E03677">
            <w:pPr>
              <w:rPr>
                <w:color w:val="000000" w:themeColor="text1"/>
              </w:rPr>
            </w:pPr>
          </w:p>
        </w:tc>
      </w:tr>
      <w:tr w:rsidR="00ED5F8F" w:rsidRPr="000D7FFD" w14:paraId="43532F66" w14:textId="77777777" w:rsidTr="00ED5F8F">
        <w:tc>
          <w:tcPr>
            <w:tcW w:w="1320" w:type="dxa"/>
          </w:tcPr>
          <w:p w14:paraId="7A3906EC" w14:textId="77777777" w:rsidR="00ED5F8F" w:rsidRPr="000D7FFD" w:rsidRDefault="00ED5F8F" w:rsidP="00E03677">
            <w:pPr>
              <w:rPr>
                <w:color w:val="000000" w:themeColor="text1"/>
              </w:rPr>
            </w:pPr>
            <w:r w:rsidRPr="000D7FFD">
              <w:rPr>
                <w:color w:val="000000" w:themeColor="text1"/>
              </w:rPr>
              <w:t>VI.3</w:t>
            </w:r>
          </w:p>
        </w:tc>
        <w:tc>
          <w:tcPr>
            <w:tcW w:w="7894" w:type="dxa"/>
          </w:tcPr>
          <w:p w14:paraId="1661DC75" w14:textId="77777777" w:rsidR="00ED5F8F" w:rsidRPr="000D7FFD" w:rsidRDefault="00ED5F8F"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tc>
      </w:tr>
      <w:tr w:rsidR="00ED5F8F" w:rsidRPr="000D7FFD" w14:paraId="29DD0BFC" w14:textId="77777777" w:rsidTr="00ED5F8F">
        <w:tc>
          <w:tcPr>
            <w:tcW w:w="1320" w:type="dxa"/>
          </w:tcPr>
          <w:p w14:paraId="694E2D0D" w14:textId="77777777" w:rsidR="00ED5F8F" w:rsidRPr="000D7FFD" w:rsidRDefault="00ED5F8F" w:rsidP="00E03677">
            <w:pPr>
              <w:rPr>
                <w:color w:val="000000" w:themeColor="text1"/>
              </w:rPr>
            </w:pPr>
            <w:r w:rsidRPr="000D7FFD">
              <w:rPr>
                <w:color w:val="000000" w:themeColor="text1"/>
              </w:rPr>
              <w:t>VI.4</w:t>
            </w:r>
          </w:p>
        </w:tc>
        <w:tc>
          <w:tcPr>
            <w:tcW w:w="7894" w:type="dxa"/>
          </w:tcPr>
          <w:p w14:paraId="21613939"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6F64BB38" w14:textId="77777777" w:rsidTr="00ED5F8F">
        <w:tc>
          <w:tcPr>
            <w:tcW w:w="1320" w:type="dxa"/>
          </w:tcPr>
          <w:p w14:paraId="202198F1" w14:textId="77777777" w:rsidR="00ED5F8F" w:rsidRPr="000D7FFD" w:rsidRDefault="00ED5F8F" w:rsidP="00E03677">
            <w:pPr>
              <w:rPr>
                <w:color w:val="000000" w:themeColor="text1"/>
              </w:rPr>
            </w:pPr>
            <w:r w:rsidRPr="000D7FFD">
              <w:rPr>
                <w:color w:val="000000" w:themeColor="text1"/>
              </w:rPr>
              <w:t>VI.5</w:t>
            </w:r>
          </w:p>
          <w:p w14:paraId="43F51996" w14:textId="77777777" w:rsidR="00ED5F8F" w:rsidRPr="000D7FFD" w:rsidRDefault="00ED5F8F" w:rsidP="00E03677">
            <w:pPr>
              <w:rPr>
                <w:color w:val="000000" w:themeColor="text1"/>
              </w:rPr>
            </w:pPr>
          </w:p>
        </w:tc>
        <w:tc>
          <w:tcPr>
            <w:tcW w:w="7894" w:type="dxa"/>
          </w:tcPr>
          <w:p w14:paraId="23E036CF" w14:textId="77777777" w:rsidR="00ED5F8F" w:rsidRPr="000D7FFD" w:rsidRDefault="00ED5F8F" w:rsidP="00E03677">
            <w:pPr>
              <w:rPr>
                <w:color w:val="000000" w:themeColor="text1"/>
              </w:rPr>
            </w:pPr>
            <w:r w:rsidRPr="000D7FFD">
              <w:rPr>
                <w:color w:val="000000" w:themeColor="text1"/>
              </w:rPr>
              <w:t>Les dispositions des points I et II sont applicables.</w:t>
            </w:r>
          </w:p>
          <w:p w14:paraId="6BA37C10" w14:textId="77777777" w:rsidR="00ED5F8F" w:rsidRPr="000D7FFD" w:rsidRDefault="00ED5F8F" w:rsidP="00E03677">
            <w:pPr>
              <w:rPr>
                <w:color w:val="000000" w:themeColor="text1"/>
              </w:rPr>
            </w:pPr>
            <w:r w:rsidRPr="000D7FFD">
              <w:rPr>
                <w:color w:val="000000" w:themeColor="text1"/>
              </w:rPr>
              <w:t>Les dispositions du point III ne sont pas applicables aux installations existantes.</w:t>
            </w:r>
          </w:p>
          <w:p w14:paraId="79DB5BFC" w14:textId="77777777" w:rsidR="00ED5F8F" w:rsidRPr="000D7FFD" w:rsidRDefault="00ED5F8F" w:rsidP="00E03677">
            <w:pPr>
              <w:rPr>
                <w:color w:val="000000" w:themeColor="text1"/>
              </w:rPr>
            </w:pPr>
          </w:p>
        </w:tc>
      </w:tr>
      <w:tr w:rsidR="00ED5F8F" w:rsidRPr="000D7FFD" w14:paraId="437727B4" w14:textId="77777777" w:rsidTr="00ED5F8F">
        <w:tc>
          <w:tcPr>
            <w:tcW w:w="1320" w:type="dxa"/>
          </w:tcPr>
          <w:p w14:paraId="066F4A1C" w14:textId="5F9D92E3" w:rsidR="00ED5F8F" w:rsidRPr="000D7FFD" w:rsidRDefault="00ED5F8F" w:rsidP="00E03677">
            <w:pPr>
              <w:rPr>
                <w:color w:val="000000" w:themeColor="text1"/>
              </w:rPr>
            </w:pPr>
            <w:r w:rsidRPr="000D7FFD">
              <w:rPr>
                <w:color w:val="000000" w:themeColor="text1"/>
              </w:rPr>
              <w:t xml:space="preserve">VI. 6 </w:t>
            </w:r>
            <w:r>
              <w:rPr>
                <w:color w:val="000000" w:themeColor="text1"/>
              </w:rPr>
              <w:t>à VI.8</w:t>
            </w:r>
          </w:p>
        </w:tc>
        <w:tc>
          <w:tcPr>
            <w:tcW w:w="7894" w:type="dxa"/>
          </w:tcPr>
          <w:p w14:paraId="2ABA2DAE" w14:textId="77777777" w:rsidR="00ED5F8F" w:rsidRPr="000D7FFD" w:rsidRDefault="00ED5F8F" w:rsidP="00E03677">
            <w:pPr>
              <w:rPr>
                <w:color w:val="000000" w:themeColor="text1"/>
              </w:rPr>
            </w:pPr>
            <w:r w:rsidRPr="000D7FFD">
              <w:rPr>
                <w:color w:val="000000" w:themeColor="text1"/>
              </w:rPr>
              <w:t>Ces dispositions sont applicables.</w:t>
            </w:r>
          </w:p>
        </w:tc>
      </w:tr>
      <w:tr w:rsidR="00ED5F8F" w:rsidRPr="000D7FFD" w14:paraId="59BC833B" w14:textId="77777777" w:rsidTr="00ED5F8F">
        <w:tc>
          <w:tcPr>
            <w:tcW w:w="1320" w:type="dxa"/>
          </w:tcPr>
          <w:p w14:paraId="643481C2" w14:textId="77777777" w:rsidR="00ED5F8F" w:rsidRPr="000D7FFD" w:rsidRDefault="00ED5F8F" w:rsidP="00E03677">
            <w:pPr>
              <w:rPr>
                <w:color w:val="000000" w:themeColor="text1"/>
              </w:rPr>
            </w:pPr>
            <w:r w:rsidRPr="000D7FFD">
              <w:rPr>
                <w:color w:val="000000" w:themeColor="text1"/>
              </w:rPr>
              <w:t>VII.1</w:t>
            </w:r>
          </w:p>
        </w:tc>
        <w:tc>
          <w:tcPr>
            <w:tcW w:w="7894" w:type="dxa"/>
          </w:tcPr>
          <w:p w14:paraId="0649D6A7" w14:textId="77777777" w:rsidR="00ED5F8F" w:rsidRPr="000D7FFD" w:rsidRDefault="00ED5F8F" w:rsidP="00E03677">
            <w:pPr>
              <w:rPr>
                <w:color w:val="000000" w:themeColor="text1"/>
              </w:rPr>
            </w:pPr>
            <w:r w:rsidRPr="000D7FFD">
              <w:rPr>
                <w:color w:val="000000" w:themeColor="text1"/>
              </w:rPr>
              <w:t>Ces dispositions sont applicables</w:t>
            </w:r>
          </w:p>
        </w:tc>
      </w:tr>
    </w:tbl>
    <w:p w14:paraId="3B66A2FA" w14:textId="77777777" w:rsidR="00ED5F8F" w:rsidRDefault="00ED5F8F" w:rsidP="003E55A9">
      <w:pPr>
        <w:spacing w:after="0" w:line="240" w:lineRule="auto"/>
      </w:pPr>
    </w:p>
    <w:p w14:paraId="1B399DC3" w14:textId="77777777" w:rsidR="003E55A9" w:rsidRDefault="003E55A9" w:rsidP="0018485D">
      <w:pPr>
        <w:spacing w:after="0" w:line="240" w:lineRule="auto"/>
      </w:pPr>
    </w:p>
    <w:p w14:paraId="18B68048" w14:textId="77777777" w:rsidR="006669B2" w:rsidRDefault="006669B2">
      <w:r>
        <w:br w:type="page"/>
      </w:r>
    </w:p>
    <w:p w14:paraId="2C63FB89" w14:textId="6AFC2DF7" w:rsidR="006669B2" w:rsidRDefault="006669B2" w:rsidP="006669B2">
      <w:pPr>
        <w:spacing w:after="0" w:line="240" w:lineRule="auto"/>
        <w:rPr>
          <w:rFonts w:eastAsia="Times New Roman" w:cs="Times New Roman"/>
          <w:b/>
          <w:szCs w:val="24"/>
          <w:u w:val="single"/>
          <w:lang w:eastAsia="fr-FR"/>
        </w:rPr>
      </w:pPr>
      <w:r>
        <w:rPr>
          <w:rFonts w:eastAsia="Times New Roman" w:cs="Times New Roman"/>
          <w:b/>
          <w:szCs w:val="24"/>
          <w:u w:val="single"/>
          <w:lang w:eastAsia="fr-FR"/>
        </w:rPr>
        <w:lastRenderedPageBreak/>
        <w:t xml:space="preserve">Annexe </w:t>
      </w:r>
      <w:r w:rsidR="00C57FA3">
        <w:rPr>
          <w:rFonts w:eastAsia="Times New Roman" w:cs="Times New Roman"/>
          <w:b/>
          <w:szCs w:val="24"/>
          <w:u w:val="single"/>
          <w:lang w:eastAsia="fr-FR"/>
        </w:rPr>
        <w:t>2</w:t>
      </w:r>
    </w:p>
    <w:p w14:paraId="12B58526" w14:textId="63F941F3" w:rsidR="006669B2" w:rsidRDefault="006669B2" w:rsidP="006669B2">
      <w:pPr>
        <w:spacing w:after="0" w:line="240" w:lineRule="auto"/>
        <w:rPr>
          <w:rFonts w:eastAsia="Times New Roman" w:cs="Times New Roman"/>
          <w:b/>
          <w:szCs w:val="24"/>
          <w:u w:val="single"/>
          <w:lang w:eastAsia="fr-FR"/>
        </w:rPr>
      </w:pPr>
      <w:r>
        <w:rPr>
          <w:rFonts w:eastAsia="Times New Roman" w:cs="Times New Roman"/>
          <w:b/>
          <w:szCs w:val="24"/>
          <w:u w:val="single"/>
          <w:lang w:eastAsia="fr-FR"/>
        </w:rPr>
        <w:t xml:space="preserve">Dispositions applicables </w:t>
      </w:r>
      <w:r w:rsidRPr="006669B2">
        <w:rPr>
          <w:rFonts w:eastAsia="Times New Roman" w:cs="Times New Roman"/>
          <w:b/>
          <w:szCs w:val="24"/>
          <w:u w:val="single"/>
          <w:lang w:eastAsia="fr-FR"/>
        </w:rPr>
        <w:t xml:space="preserve">aux </w:t>
      </w:r>
      <w:r>
        <w:rPr>
          <w:rFonts w:eastAsia="Times New Roman" w:cs="Times New Roman"/>
          <w:b/>
          <w:szCs w:val="24"/>
          <w:u w:val="single"/>
          <w:lang w:eastAsia="fr-FR"/>
        </w:rPr>
        <w:t xml:space="preserve">installations existantes </w:t>
      </w:r>
      <w:r w:rsidR="00B22EED">
        <w:rPr>
          <w:rFonts w:eastAsia="Times New Roman" w:cs="Times New Roman"/>
          <w:b/>
          <w:szCs w:val="24"/>
          <w:u w:val="single"/>
          <w:lang w:eastAsia="fr-FR"/>
        </w:rPr>
        <w:t xml:space="preserve"> de stockage en récipients mobiles de liquides inflammables exploitée au sein d’une installation </w:t>
      </w:r>
      <w:r w:rsidRPr="006669B2">
        <w:rPr>
          <w:rFonts w:eastAsia="Times New Roman" w:cs="Times New Roman"/>
          <w:b/>
          <w:szCs w:val="24"/>
          <w:u w:val="single"/>
          <w:lang w:eastAsia="fr-FR"/>
        </w:rPr>
        <w:t>soumise à autorisation au titre de l'une ou plusieurs des rubriques nos 1436, 4330, 4331, 4722, 4734, 4742, 4743, 4744, 4746, 4747 ou 4748, ou pour le pétrole brut au titre de l'une ou plusieurs des rubriques nos 4510 ou 4511 de la législation des installations classées pour la protection de l'environnement</w:t>
      </w:r>
      <w:r w:rsidR="0054361E">
        <w:rPr>
          <w:rFonts w:eastAsia="Times New Roman" w:cs="Times New Roman"/>
          <w:b/>
          <w:szCs w:val="24"/>
          <w:u w:val="single"/>
          <w:lang w:eastAsia="fr-FR"/>
        </w:rPr>
        <w:t xml:space="preserve"> couverts </w:t>
      </w:r>
      <w:r>
        <w:rPr>
          <w:rFonts w:eastAsia="Times New Roman" w:cs="Times New Roman"/>
          <w:b/>
          <w:szCs w:val="24"/>
          <w:u w:val="single"/>
          <w:lang w:eastAsia="fr-FR"/>
        </w:rPr>
        <w:t xml:space="preserve">par l’arrêté du </w:t>
      </w:r>
      <w:r w:rsidR="00B22EED">
        <w:rPr>
          <w:rFonts w:eastAsia="Times New Roman" w:cs="Times New Roman"/>
          <w:b/>
          <w:szCs w:val="24"/>
          <w:u w:val="single"/>
          <w:lang w:eastAsia="fr-FR"/>
        </w:rPr>
        <w:t xml:space="preserve"> 3 octobre 2010 susvisé</w:t>
      </w:r>
      <w:r w:rsidR="0054361E">
        <w:rPr>
          <w:rFonts w:eastAsia="Times New Roman" w:cs="Times New Roman"/>
          <w:b/>
          <w:szCs w:val="24"/>
          <w:u w:val="single"/>
          <w:lang w:eastAsia="fr-FR"/>
        </w:rPr>
        <w:t>.</w:t>
      </w:r>
    </w:p>
    <w:p w14:paraId="7F1D6A99" w14:textId="77777777" w:rsidR="006669B2" w:rsidRPr="0005336F" w:rsidRDefault="006669B2" w:rsidP="006669B2">
      <w:pPr>
        <w:spacing w:after="0" w:line="240" w:lineRule="auto"/>
        <w:rPr>
          <w:rFonts w:eastAsia="Times New Roman" w:cs="Times New Roman"/>
          <w:b/>
          <w:szCs w:val="24"/>
          <w:u w:val="single"/>
          <w:lang w:eastAsia="fr-FR"/>
        </w:rPr>
      </w:pPr>
      <w:bookmarkStart w:id="47" w:name="_GoBack"/>
      <w:bookmarkEnd w:id="47"/>
    </w:p>
    <w:p w14:paraId="66B20FEC" w14:textId="62F48156" w:rsidR="006669B2" w:rsidRDefault="006669B2" w:rsidP="00B22EED">
      <w:pPr>
        <w:spacing w:after="0" w:line="240" w:lineRule="auto"/>
      </w:pPr>
      <w:r>
        <w:t>Cette annexe définit les dispositions applicab</w:t>
      </w:r>
      <w:r w:rsidR="0054361E">
        <w:t>les aux</w:t>
      </w:r>
      <w:r w:rsidR="0054361E" w:rsidRPr="0054361E">
        <w:t xml:space="preserve"> installations existantes soumise</w:t>
      </w:r>
      <w:r w:rsidR="006F3634">
        <w:t>s</w:t>
      </w:r>
      <w:r w:rsidR="0054361E" w:rsidRPr="0054361E">
        <w:t xml:space="preserve"> à autorisation au titre de l'une ou plusieurs des rubriques nos 1436, 4330, 4331, 4722, 4734, 4742, 4743, 4744, 4746, 4747 ou 4748, ou pour le pétrole brut au titre de l'une ou plusieurs des rubriques nos 4510 ou 4511 de la législation des installations classées pour la protect</w:t>
      </w:r>
      <w:r w:rsidR="0054361E">
        <w:t>ion de l'environnement non couvert</w:t>
      </w:r>
      <w:r w:rsidR="006F3634">
        <w:t>e</w:t>
      </w:r>
      <w:r w:rsidR="0054361E">
        <w:t>s</w:t>
      </w:r>
      <w:r w:rsidR="0054361E" w:rsidRPr="0054361E">
        <w:t xml:space="preserve"> par l’arrêté du 16 juillet 2012 susvisé</w:t>
      </w:r>
      <w:r w:rsidR="00B22EED">
        <w:t>, en complément le cas échéant de dispositions spécifiques plus contraignantes figurant dans les arrêtés d’autorisation</w:t>
      </w:r>
      <w:r>
        <w:t>:</w:t>
      </w:r>
    </w:p>
    <w:p w14:paraId="5819B4D6" w14:textId="77777777" w:rsidR="006669B2" w:rsidRDefault="006669B2" w:rsidP="006669B2">
      <w:pPr>
        <w:spacing w:after="0" w:line="240" w:lineRule="auto"/>
      </w:pPr>
    </w:p>
    <w:p w14:paraId="463E3B86" w14:textId="273AAFCA" w:rsidR="003E55A9" w:rsidRDefault="006669B2" w:rsidP="003E55A9">
      <w:pPr>
        <w:spacing w:after="0" w:line="240" w:lineRule="auto"/>
      </w:pPr>
      <w:r>
        <w:t>I. pour les installations dont la demande d’autorisation</w:t>
      </w:r>
      <w:r w:rsidR="0054361E">
        <w:t xml:space="preserve"> a été présentée avant le 16 mai 2011 </w:t>
      </w:r>
      <w:r>
        <w:t xml:space="preserve">ou régulièrement mises en service </w:t>
      </w:r>
      <w:r w:rsidR="0054361E">
        <w:t>avant le 16 mai 2011</w:t>
      </w:r>
      <w:r>
        <w:t xml:space="preserve">, </w:t>
      </w:r>
      <w:r w:rsidR="003E55A9" w:rsidRPr="00A4635E">
        <w:t>les dispositions du</w:t>
      </w:r>
      <w:r w:rsidR="003E55A9">
        <w:t xml:space="preserve"> présent arrêté sont applicables selon les modalités particulières précisées dans le tableau suivant :</w:t>
      </w:r>
    </w:p>
    <w:tbl>
      <w:tblPr>
        <w:tblStyle w:val="Grilledutableau"/>
        <w:tblW w:w="9214" w:type="dxa"/>
        <w:tblInd w:w="-147" w:type="dxa"/>
        <w:tblLayout w:type="fixed"/>
        <w:tblLook w:val="04A0" w:firstRow="1" w:lastRow="0" w:firstColumn="1" w:lastColumn="0" w:noHBand="0" w:noVBand="1"/>
      </w:tblPr>
      <w:tblGrid>
        <w:gridCol w:w="1135"/>
        <w:gridCol w:w="8079"/>
      </w:tblGrid>
      <w:tr w:rsidR="00B75353" w:rsidRPr="000D7FFD" w14:paraId="1E7594FC" w14:textId="77777777" w:rsidTr="00B75353">
        <w:tc>
          <w:tcPr>
            <w:tcW w:w="1135" w:type="dxa"/>
          </w:tcPr>
          <w:p w14:paraId="3A164F08" w14:textId="77777777" w:rsidR="00B75353" w:rsidRDefault="00B75353" w:rsidP="00E03677">
            <w:pPr>
              <w:rPr>
                <w:color w:val="000000" w:themeColor="text1"/>
              </w:rPr>
            </w:pPr>
            <w:r>
              <w:rPr>
                <w:color w:val="000000" w:themeColor="text1"/>
              </w:rPr>
              <w:t>Article concerné</w:t>
            </w:r>
          </w:p>
        </w:tc>
        <w:tc>
          <w:tcPr>
            <w:tcW w:w="8079" w:type="dxa"/>
          </w:tcPr>
          <w:p w14:paraId="1B04B3E2" w14:textId="77777777" w:rsidR="00B75353" w:rsidRPr="000D7FFD" w:rsidRDefault="00B75353" w:rsidP="00E03677">
            <w:pPr>
              <w:rPr>
                <w:color w:val="000000" w:themeColor="text1"/>
              </w:rPr>
            </w:pPr>
            <w:r>
              <w:rPr>
                <w:color w:val="000000" w:themeColor="text1"/>
              </w:rPr>
              <w:t>Modalités particulières d’application de certains articles</w:t>
            </w:r>
          </w:p>
        </w:tc>
      </w:tr>
      <w:tr w:rsidR="00B75353" w:rsidRPr="000D7FFD" w14:paraId="0EBAF13E" w14:textId="77777777" w:rsidTr="00B75353">
        <w:tc>
          <w:tcPr>
            <w:tcW w:w="1135" w:type="dxa"/>
          </w:tcPr>
          <w:p w14:paraId="1FE13DA6" w14:textId="77777777" w:rsidR="00B75353" w:rsidRPr="000D7FFD" w:rsidRDefault="00B75353" w:rsidP="00E03677">
            <w:pPr>
              <w:rPr>
                <w:color w:val="000000" w:themeColor="text1"/>
              </w:rPr>
            </w:pPr>
            <w:r w:rsidRPr="000D7FFD">
              <w:rPr>
                <w:color w:val="000000" w:themeColor="text1"/>
              </w:rPr>
              <w:t>I</w:t>
            </w:r>
          </w:p>
        </w:tc>
        <w:tc>
          <w:tcPr>
            <w:tcW w:w="8079" w:type="dxa"/>
          </w:tcPr>
          <w:p w14:paraId="52472749"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6B70F99A" w14:textId="77777777" w:rsidTr="00B75353">
        <w:tc>
          <w:tcPr>
            <w:tcW w:w="1135" w:type="dxa"/>
          </w:tcPr>
          <w:p w14:paraId="34C58335" w14:textId="77777777" w:rsidR="00B75353" w:rsidRPr="000D7FFD" w:rsidRDefault="00B75353" w:rsidP="00E03677">
            <w:pPr>
              <w:rPr>
                <w:color w:val="000000" w:themeColor="text1"/>
              </w:rPr>
            </w:pPr>
            <w:r w:rsidRPr="000D7FFD">
              <w:rPr>
                <w:color w:val="000000" w:themeColor="text1"/>
              </w:rPr>
              <w:t>II.1</w:t>
            </w:r>
          </w:p>
        </w:tc>
        <w:tc>
          <w:tcPr>
            <w:tcW w:w="8079" w:type="dxa"/>
          </w:tcPr>
          <w:p w14:paraId="3C1E24A7" w14:textId="369FBD78" w:rsidR="00B75353" w:rsidRPr="000D7FFD" w:rsidRDefault="00B75353" w:rsidP="00B75353">
            <w:pPr>
              <w:rPr>
                <w:color w:val="000000" w:themeColor="text1"/>
              </w:rPr>
            </w:pPr>
            <w:r w:rsidRPr="000D7FFD">
              <w:rPr>
                <w:color w:val="000000" w:themeColor="text1"/>
              </w:rPr>
              <w:t>Les dispositions du II.1 sont remplacées par les dispositions suivantes de l’annexe 4.</w:t>
            </w:r>
          </w:p>
        </w:tc>
      </w:tr>
      <w:tr w:rsidR="00B75353" w:rsidRPr="000D7FFD" w14:paraId="1AA1E2AB" w14:textId="77777777" w:rsidTr="00B75353">
        <w:tc>
          <w:tcPr>
            <w:tcW w:w="1135" w:type="dxa"/>
          </w:tcPr>
          <w:p w14:paraId="6824681A" w14:textId="77777777" w:rsidR="00B75353" w:rsidRPr="000D7FFD" w:rsidRDefault="00B75353" w:rsidP="00E03677">
            <w:pPr>
              <w:rPr>
                <w:rFonts w:eastAsia="Times New Roman"/>
                <w:color w:val="000000" w:themeColor="text1"/>
                <w:lang w:eastAsia="fr-FR"/>
              </w:rPr>
            </w:pPr>
            <w:r w:rsidRPr="000D7FFD">
              <w:rPr>
                <w:rFonts w:eastAsia="Times New Roman"/>
                <w:color w:val="000000" w:themeColor="text1"/>
                <w:lang w:eastAsia="fr-FR"/>
              </w:rPr>
              <w:t>II.2</w:t>
            </w:r>
          </w:p>
        </w:tc>
        <w:tc>
          <w:tcPr>
            <w:tcW w:w="8079" w:type="dxa"/>
          </w:tcPr>
          <w:p w14:paraId="7C6AC4BD" w14:textId="77777777" w:rsidR="00B75353" w:rsidRPr="000D7FFD" w:rsidRDefault="00B75353" w:rsidP="00E03677">
            <w:pPr>
              <w:rPr>
                <w:rFonts w:eastAsia="Times New Roman"/>
                <w:color w:val="000000" w:themeColor="text1"/>
                <w:lang w:eastAsia="fr-FR"/>
              </w:rPr>
            </w:pPr>
            <w:r w:rsidRPr="000D7FFD">
              <w:rPr>
                <w:rFonts w:eastAsia="Times New Roman"/>
                <w:color w:val="000000" w:themeColor="text1"/>
                <w:lang w:eastAsia="fr-FR"/>
              </w:rPr>
              <w:t>La disposition relative à la hauteur de la clôture n'est pas applicable aux installations existantes, aux extensions ou modifications de ces installations existantes ainsi qu'aux installations nouvelles construites dans un site existant au 30 mai 2011.</w:t>
            </w:r>
          </w:p>
          <w:p w14:paraId="5B9C6A2B" w14:textId="6FE86F90" w:rsidR="00B75353" w:rsidRPr="000D7FFD" w:rsidRDefault="00B75353" w:rsidP="00B75353">
            <w:pPr>
              <w:rPr>
                <w:rFonts w:eastAsia="Times New Roman"/>
                <w:color w:val="000000" w:themeColor="text1"/>
                <w:lang w:eastAsia="fr-FR"/>
              </w:rPr>
            </w:pPr>
            <w:r w:rsidRPr="000D7FFD">
              <w:rPr>
                <w:rFonts w:eastAsia="Times New Roman"/>
                <w:color w:val="000000" w:themeColor="text1"/>
                <w:lang w:eastAsia="fr-FR"/>
              </w:rPr>
              <w:t>Les autres dispositions du présent article sont applicables aux installations existantes.</w:t>
            </w:r>
          </w:p>
        </w:tc>
      </w:tr>
      <w:tr w:rsidR="00B75353" w:rsidRPr="000D7FFD" w14:paraId="12F19B54" w14:textId="77777777" w:rsidTr="00B75353">
        <w:tc>
          <w:tcPr>
            <w:tcW w:w="1135" w:type="dxa"/>
          </w:tcPr>
          <w:p w14:paraId="4F8174F0" w14:textId="77777777" w:rsidR="00B75353" w:rsidRPr="000D7FFD" w:rsidRDefault="00B75353" w:rsidP="00E03677">
            <w:pPr>
              <w:rPr>
                <w:color w:val="000000" w:themeColor="text1"/>
              </w:rPr>
            </w:pPr>
            <w:r w:rsidRPr="000D7FFD">
              <w:rPr>
                <w:color w:val="000000" w:themeColor="text1"/>
              </w:rPr>
              <w:t>II.3 I</w:t>
            </w:r>
          </w:p>
        </w:tc>
        <w:tc>
          <w:tcPr>
            <w:tcW w:w="8079" w:type="dxa"/>
          </w:tcPr>
          <w:p w14:paraId="7D49C9C4" w14:textId="77777777" w:rsidR="00B75353" w:rsidRPr="000D7FFD" w:rsidRDefault="00B75353" w:rsidP="00E03677">
            <w:pPr>
              <w:rPr>
                <w:color w:val="000000" w:themeColor="text1"/>
              </w:rPr>
            </w:pPr>
            <w:r w:rsidRPr="000D7FFD">
              <w:rPr>
                <w:color w:val="000000" w:themeColor="text1"/>
              </w:rPr>
              <w:t>Les dispositions du point I. sont remplacées par les dispositions suivantes :</w:t>
            </w:r>
          </w:p>
          <w:p w14:paraId="12CE647C" w14:textId="77777777" w:rsidR="00B75353" w:rsidRPr="000D7FFD" w:rsidRDefault="00B75353" w:rsidP="00E03677">
            <w:pPr>
              <w:rPr>
                <w:color w:val="000000" w:themeColor="text1"/>
              </w:rPr>
            </w:pPr>
            <w:r w:rsidRPr="000D7FFD">
              <w:rPr>
                <w:color w:val="000000" w:themeColor="text1"/>
              </w:rPr>
              <w:t>« Les installations disposent en permanence d’un accès positionné de telle sorte qu’il soit toujours accessible pour permettre l’intervention de services d’incendie et de secours, quelles que soient les conditions de vent. Le cas échéant, si un arrêté préfectoral pris à la date de publication du présent arrêté prévoit deux accès, l’exploitant s’assure du respect de cette prescription. »</w:t>
            </w:r>
          </w:p>
        </w:tc>
      </w:tr>
      <w:tr w:rsidR="00B75353" w:rsidRPr="000D7FFD" w14:paraId="7F148FA0" w14:textId="77777777" w:rsidTr="00B75353">
        <w:tc>
          <w:tcPr>
            <w:tcW w:w="1135" w:type="dxa"/>
          </w:tcPr>
          <w:p w14:paraId="59E0946B" w14:textId="77777777" w:rsidR="00B75353" w:rsidRPr="000D7FFD" w:rsidRDefault="00B75353" w:rsidP="00E03677">
            <w:pPr>
              <w:rPr>
                <w:color w:val="000000" w:themeColor="text1"/>
              </w:rPr>
            </w:pPr>
            <w:r w:rsidRPr="000D7FFD">
              <w:rPr>
                <w:color w:val="000000" w:themeColor="text1"/>
              </w:rPr>
              <w:t>II. 3 II</w:t>
            </w:r>
          </w:p>
        </w:tc>
        <w:tc>
          <w:tcPr>
            <w:tcW w:w="8079" w:type="dxa"/>
          </w:tcPr>
          <w:p w14:paraId="38AC168F" w14:textId="77777777" w:rsidR="00B75353" w:rsidRPr="000D7FFD" w:rsidRDefault="00B75353" w:rsidP="00E03677">
            <w:pPr>
              <w:rPr>
                <w:color w:val="000000" w:themeColor="text1"/>
              </w:rPr>
            </w:pPr>
            <w:r w:rsidRPr="000D7FFD">
              <w:rPr>
                <w:color w:val="000000" w:themeColor="text1"/>
              </w:rPr>
              <w:t>Les dispositions des deux premiers alinéas sont applicables.</w:t>
            </w:r>
          </w:p>
          <w:p w14:paraId="3CEA2EDC" w14:textId="77777777" w:rsidR="00B75353" w:rsidRPr="000D7FFD" w:rsidRDefault="00B75353" w:rsidP="00E03677">
            <w:pPr>
              <w:rPr>
                <w:color w:val="000000" w:themeColor="text1"/>
              </w:rPr>
            </w:pPr>
            <w:r w:rsidRPr="000D7FFD">
              <w:rPr>
                <w:color w:val="000000" w:themeColor="text1"/>
              </w:rPr>
              <w:t>Les dispositions du troisième alinéa sont applicables à compter du 1</w:t>
            </w:r>
            <w:r w:rsidRPr="000D7FFD">
              <w:rPr>
                <w:color w:val="000000" w:themeColor="text1"/>
                <w:vertAlign w:val="superscript"/>
              </w:rPr>
              <w:t>er</w:t>
            </w:r>
            <w:r w:rsidRPr="000D7FFD">
              <w:rPr>
                <w:color w:val="000000" w:themeColor="text1"/>
              </w:rPr>
              <w:t xml:space="preserve"> janvier 2023.</w:t>
            </w:r>
          </w:p>
        </w:tc>
      </w:tr>
      <w:tr w:rsidR="00B75353" w:rsidRPr="000D7FFD" w14:paraId="319561E0" w14:textId="77777777" w:rsidTr="00B75353">
        <w:tc>
          <w:tcPr>
            <w:tcW w:w="1135" w:type="dxa"/>
          </w:tcPr>
          <w:p w14:paraId="52D6E7EF" w14:textId="77777777" w:rsidR="00B75353" w:rsidRPr="000D7FFD" w:rsidRDefault="00B75353" w:rsidP="00E03677">
            <w:pPr>
              <w:rPr>
                <w:color w:val="000000" w:themeColor="text1"/>
              </w:rPr>
            </w:pPr>
            <w:r w:rsidRPr="000D7FFD">
              <w:rPr>
                <w:color w:val="000000" w:themeColor="text1"/>
              </w:rPr>
              <w:t>II. 3 III</w:t>
            </w:r>
          </w:p>
        </w:tc>
        <w:tc>
          <w:tcPr>
            <w:tcW w:w="8079" w:type="dxa"/>
          </w:tcPr>
          <w:p w14:paraId="15D899EA" w14:textId="77777777" w:rsidR="00B75353" w:rsidRPr="000D7FFD" w:rsidRDefault="00B75353" w:rsidP="00E03677">
            <w:pPr>
              <w:rPr>
                <w:color w:val="000000" w:themeColor="text1"/>
              </w:rPr>
            </w:pPr>
            <w:r w:rsidRPr="000D7FFD">
              <w:rPr>
                <w:color w:val="000000" w:themeColor="text1"/>
              </w:rPr>
              <w:t xml:space="preserve">Les dispositions du III. ne sont pas applicables aux </w:t>
            </w:r>
            <w:r w:rsidRPr="000D7FFD">
              <w:rPr>
                <w:rFonts w:eastAsia="Times New Roman"/>
                <w:color w:val="000000" w:themeColor="text1"/>
                <w:lang w:eastAsia="fr-FR"/>
              </w:rPr>
              <w:t>installations existantes, aux extensions ou modifications de ces installations. existantes ainsi qu'aux installations nouvelles construites dans un site existant au 30 mai 2011.</w:t>
            </w:r>
          </w:p>
        </w:tc>
      </w:tr>
      <w:tr w:rsidR="00B75353" w:rsidRPr="000D7FFD" w14:paraId="02A07687" w14:textId="77777777" w:rsidTr="00B75353">
        <w:tc>
          <w:tcPr>
            <w:tcW w:w="1135" w:type="dxa"/>
          </w:tcPr>
          <w:p w14:paraId="4AD8AD3C" w14:textId="2602DA5D" w:rsidR="00B75353" w:rsidRPr="000D7FFD" w:rsidRDefault="00B75353" w:rsidP="00E03677">
            <w:pPr>
              <w:rPr>
                <w:color w:val="000000" w:themeColor="text1"/>
              </w:rPr>
            </w:pPr>
            <w:r w:rsidRPr="000D7FFD">
              <w:rPr>
                <w:color w:val="000000" w:themeColor="text1"/>
              </w:rPr>
              <w:t>II.4</w:t>
            </w:r>
          </w:p>
        </w:tc>
        <w:tc>
          <w:tcPr>
            <w:tcW w:w="8079" w:type="dxa"/>
          </w:tcPr>
          <w:p w14:paraId="6D5C2265" w14:textId="77777777" w:rsidR="00B75353" w:rsidRPr="000D7FFD" w:rsidRDefault="00B75353" w:rsidP="00E03677">
            <w:pPr>
              <w:rPr>
                <w:color w:val="000000" w:themeColor="text1"/>
              </w:rPr>
            </w:pPr>
            <w:r w:rsidRPr="000D7FFD">
              <w:rPr>
                <w:color w:val="000000" w:themeColor="text1"/>
              </w:rPr>
              <w:t>Ces dispositions ne sont pas applicables</w:t>
            </w:r>
          </w:p>
        </w:tc>
      </w:tr>
      <w:tr w:rsidR="00B75353" w:rsidRPr="000D7FFD" w14:paraId="4765E6C3" w14:textId="77777777" w:rsidTr="00B75353">
        <w:tc>
          <w:tcPr>
            <w:tcW w:w="1135" w:type="dxa"/>
          </w:tcPr>
          <w:p w14:paraId="182208FD" w14:textId="77777777" w:rsidR="00B75353" w:rsidRPr="000D7FFD" w:rsidRDefault="00B75353" w:rsidP="00E03677">
            <w:pPr>
              <w:rPr>
                <w:color w:val="000000" w:themeColor="text1"/>
              </w:rPr>
            </w:pPr>
            <w:r w:rsidRPr="000D7FFD">
              <w:rPr>
                <w:color w:val="000000" w:themeColor="text1"/>
              </w:rPr>
              <w:t>III.1</w:t>
            </w:r>
          </w:p>
        </w:tc>
        <w:tc>
          <w:tcPr>
            <w:tcW w:w="8079" w:type="dxa"/>
          </w:tcPr>
          <w:p w14:paraId="0C197338" w14:textId="77777777" w:rsidR="00B75353" w:rsidRPr="000D7FFD" w:rsidRDefault="00B75353" w:rsidP="00E03677">
            <w:pPr>
              <w:rPr>
                <w:color w:val="000000" w:themeColor="text1"/>
              </w:rPr>
            </w:pPr>
            <w:r w:rsidRPr="000D7FFD">
              <w:rPr>
                <w:color w:val="000000" w:themeColor="text1"/>
              </w:rPr>
              <w:t>Ces dispositions sont applicables, selon les conditions définies dans l’article III.1</w:t>
            </w:r>
          </w:p>
        </w:tc>
      </w:tr>
      <w:tr w:rsidR="00B75353" w:rsidRPr="000D7FFD" w14:paraId="7B81FB1F" w14:textId="77777777" w:rsidTr="00B75353">
        <w:tc>
          <w:tcPr>
            <w:tcW w:w="1135" w:type="dxa"/>
          </w:tcPr>
          <w:p w14:paraId="2B52A241" w14:textId="77777777" w:rsidR="00B75353" w:rsidRPr="000D7FFD" w:rsidRDefault="00B75353" w:rsidP="00E03677">
            <w:pPr>
              <w:rPr>
                <w:color w:val="000000" w:themeColor="text1"/>
              </w:rPr>
            </w:pPr>
            <w:r w:rsidRPr="000D7FFD">
              <w:rPr>
                <w:color w:val="000000" w:themeColor="text1"/>
              </w:rPr>
              <w:t>III.2</w:t>
            </w:r>
          </w:p>
        </w:tc>
        <w:tc>
          <w:tcPr>
            <w:tcW w:w="8079" w:type="dxa"/>
          </w:tcPr>
          <w:p w14:paraId="05612981"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5C300B3F" w14:textId="77777777" w:rsidTr="00B75353">
        <w:trPr>
          <w:trHeight w:val="101"/>
        </w:trPr>
        <w:tc>
          <w:tcPr>
            <w:tcW w:w="1135" w:type="dxa"/>
          </w:tcPr>
          <w:p w14:paraId="448BDC7B" w14:textId="77777777" w:rsidR="00B75353" w:rsidRPr="000D7FFD" w:rsidRDefault="00B75353" w:rsidP="00E03677">
            <w:pPr>
              <w:rPr>
                <w:color w:val="000000" w:themeColor="text1"/>
              </w:rPr>
            </w:pPr>
            <w:r w:rsidRPr="000D7FFD">
              <w:rPr>
                <w:color w:val="000000" w:themeColor="text1"/>
              </w:rPr>
              <w:t>III.3</w:t>
            </w:r>
          </w:p>
        </w:tc>
        <w:tc>
          <w:tcPr>
            <w:tcW w:w="8079" w:type="dxa"/>
          </w:tcPr>
          <w:p w14:paraId="1097F139" w14:textId="77777777" w:rsidR="00B75353" w:rsidRPr="000D7FFD" w:rsidRDefault="00B75353" w:rsidP="00E03677">
            <w:pPr>
              <w:rPr>
                <w:color w:val="000000" w:themeColor="text1"/>
              </w:rPr>
            </w:pPr>
            <w:r w:rsidRPr="000D7FFD">
              <w:rPr>
                <w:rFonts w:eastAsia="Times New Roman"/>
                <w:color w:val="000000" w:themeColor="text1"/>
                <w:lang w:eastAsia="fr-FR"/>
              </w:rPr>
              <w:t>Les dispositions définies à l’annexe V sont applicables aux installations existantes à compter du 1</w:t>
            </w:r>
            <w:r w:rsidRPr="000D7FFD">
              <w:rPr>
                <w:rFonts w:eastAsia="Times New Roman"/>
                <w:color w:val="000000" w:themeColor="text1"/>
                <w:vertAlign w:val="superscript"/>
                <w:lang w:eastAsia="fr-FR"/>
              </w:rPr>
              <w:t>er</w:t>
            </w:r>
            <w:r w:rsidRPr="000D7FFD">
              <w:rPr>
                <w:rFonts w:eastAsia="Times New Roman"/>
                <w:color w:val="000000" w:themeColor="text1"/>
                <w:lang w:eastAsia="fr-FR"/>
              </w:rPr>
              <w:t xml:space="preserve"> janvier 2026 en lieu et place des dispositions de l’article III.3.</w:t>
            </w:r>
          </w:p>
          <w:p w14:paraId="1D18D1A9" w14:textId="42FFA5DB" w:rsidR="00B75353" w:rsidRPr="000D7FFD" w:rsidRDefault="00B75353" w:rsidP="00B75353">
            <w:pPr>
              <w:rPr>
                <w:rFonts w:eastAsia="Times New Roman"/>
                <w:color w:val="000000" w:themeColor="text1"/>
                <w:lang w:eastAsia="fr-FR"/>
              </w:rPr>
            </w:pPr>
            <w:r w:rsidRPr="000D7FFD">
              <w:rPr>
                <w:color w:val="000000" w:themeColor="text1"/>
              </w:rPr>
              <w:t>Néanmoins,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ces dispositions </w:t>
            </w:r>
            <w:r>
              <w:rPr>
                <w:color w:val="000000" w:themeColor="text1"/>
              </w:rPr>
              <w:t>sont applicables à l’extension.</w:t>
            </w:r>
          </w:p>
        </w:tc>
      </w:tr>
      <w:tr w:rsidR="00B75353" w:rsidRPr="000D7FFD" w14:paraId="0ACC3938" w14:textId="77777777" w:rsidTr="00B75353">
        <w:trPr>
          <w:trHeight w:val="101"/>
        </w:trPr>
        <w:tc>
          <w:tcPr>
            <w:tcW w:w="1135" w:type="dxa"/>
          </w:tcPr>
          <w:p w14:paraId="3A2C5B56" w14:textId="77777777" w:rsidR="00B75353" w:rsidRPr="000D7FFD" w:rsidRDefault="00B75353" w:rsidP="00E03677">
            <w:pPr>
              <w:rPr>
                <w:color w:val="000000" w:themeColor="text1"/>
              </w:rPr>
            </w:pPr>
            <w:r w:rsidRPr="000D7FFD">
              <w:rPr>
                <w:color w:val="000000" w:themeColor="text1"/>
              </w:rPr>
              <w:t>III.4</w:t>
            </w:r>
          </w:p>
        </w:tc>
        <w:tc>
          <w:tcPr>
            <w:tcW w:w="8079" w:type="dxa"/>
          </w:tcPr>
          <w:p w14:paraId="0A0C0944" w14:textId="77777777" w:rsidR="00B75353" w:rsidRPr="000D7FFD" w:rsidRDefault="00B75353" w:rsidP="00E03677">
            <w:pPr>
              <w:rPr>
                <w:color w:val="000000" w:themeColor="text1"/>
              </w:rPr>
            </w:pPr>
            <w:r w:rsidRPr="000D7FFD">
              <w:rPr>
                <w:color w:val="000000" w:themeColor="text1"/>
              </w:rPr>
              <w:t>Ces dispositions sont applicables à compter du 1</w:t>
            </w:r>
            <w:r w:rsidRPr="000D7FFD">
              <w:rPr>
                <w:color w:val="000000" w:themeColor="text1"/>
                <w:vertAlign w:val="superscript"/>
              </w:rPr>
              <w:t>er</w:t>
            </w:r>
            <w:r w:rsidRPr="000D7FFD">
              <w:rPr>
                <w:color w:val="000000" w:themeColor="text1"/>
              </w:rPr>
              <w:t xml:space="preserve"> janvier 2026.</w:t>
            </w:r>
          </w:p>
        </w:tc>
      </w:tr>
      <w:tr w:rsidR="00B75353" w:rsidRPr="000D7FFD" w14:paraId="79BF17E9" w14:textId="77777777" w:rsidTr="00B75353">
        <w:tc>
          <w:tcPr>
            <w:tcW w:w="1135" w:type="dxa"/>
          </w:tcPr>
          <w:p w14:paraId="57BBBFB5" w14:textId="77777777" w:rsidR="00B75353" w:rsidRPr="000D7FFD" w:rsidRDefault="00B75353" w:rsidP="00E03677">
            <w:pPr>
              <w:rPr>
                <w:color w:val="000000" w:themeColor="text1"/>
              </w:rPr>
            </w:pPr>
            <w:r w:rsidRPr="000D7FFD">
              <w:rPr>
                <w:color w:val="000000" w:themeColor="text1"/>
              </w:rPr>
              <w:lastRenderedPageBreak/>
              <w:t>III.5</w:t>
            </w:r>
          </w:p>
        </w:tc>
        <w:tc>
          <w:tcPr>
            <w:tcW w:w="8079" w:type="dxa"/>
          </w:tcPr>
          <w:p w14:paraId="0B770ECC" w14:textId="77777777" w:rsidR="00B75353" w:rsidRPr="000D7FFD" w:rsidRDefault="00B75353" w:rsidP="00E03677">
            <w:pPr>
              <w:rPr>
                <w:color w:val="000000" w:themeColor="text1"/>
              </w:rPr>
            </w:pPr>
            <w:r w:rsidRPr="000D7FFD">
              <w:rPr>
                <w:color w:val="000000" w:themeColor="text1"/>
              </w:rPr>
              <w:t>L’alinéa suivant est applicable au 1</w:t>
            </w:r>
            <w:r w:rsidRPr="000D7FFD">
              <w:rPr>
                <w:color w:val="000000" w:themeColor="text1"/>
                <w:vertAlign w:val="superscript"/>
              </w:rPr>
              <w:t>er</w:t>
            </w:r>
            <w:r w:rsidRPr="000D7FFD">
              <w:rPr>
                <w:color w:val="000000" w:themeColor="text1"/>
              </w:rPr>
              <w:t xml:space="preserve"> janvier 2026 : » Si l'éclairage met en œuvre des lampes à vapeur de sodium ou de mercure, l'exploitant prend les dispositions nécessaires pour qu'en cas d'éclatement de l'ampoule, tous les éléments soient confinés dans l'appareil. »</w:t>
            </w:r>
          </w:p>
          <w:p w14:paraId="717F4DCC" w14:textId="77777777" w:rsidR="00B75353" w:rsidRPr="000D7FFD" w:rsidRDefault="00B75353" w:rsidP="00E03677">
            <w:pPr>
              <w:rPr>
                <w:color w:val="000000" w:themeColor="text1"/>
              </w:rPr>
            </w:pPr>
            <w:r w:rsidRPr="000D7FFD">
              <w:rPr>
                <w:color w:val="000000" w:themeColor="text1"/>
              </w:rPr>
              <w:t>Le dernier alinéa du point I n’est pas applicable aux installations existantes</w:t>
            </w:r>
          </w:p>
          <w:p w14:paraId="3BD872F6" w14:textId="77777777" w:rsidR="00B75353" w:rsidRPr="000D7FFD" w:rsidRDefault="00B75353" w:rsidP="00E03677">
            <w:pPr>
              <w:rPr>
                <w:color w:val="000000" w:themeColor="text1"/>
              </w:rPr>
            </w:pPr>
            <w:r w:rsidRPr="000D7FFD">
              <w:rPr>
                <w:color w:val="000000" w:themeColor="text1"/>
              </w:rPr>
              <w:t>Les autres dispositions sont applicables au 1</w:t>
            </w:r>
            <w:r w:rsidRPr="000D7FFD">
              <w:rPr>
                <w:color w:val="000000" w:themeColor="text1"/>
                <w:vertAlign w:val="superscript"/>
              </w:rPr>
              <w:t>er</w:t>
            </w:r>
            <w:r w:rsidRPr="000D7FFD">
              <w:rPr>
                <w:color w:val="000000" w:themeColor="text1"/>
              </w:rPr>
              <w:t xml:space="preserve"> janvier 2023.</w:t>
            </w:r>
          </w:p>
        </w:tc>
      </w:tr>
      <w:tr w:rsidR="00B75353" w:rsidRPr="000D7FFD" w14:paraId="701F1EBE" w14:textId="77777777" w:rsidTr="00B75353">
        <w:tc>
          <w:tcPr>
            <w:tcW w:w="1135" w:type="dxa"/>
          </w:tcPr>
          <w:p w14:paraId="33054FF7" w14:textId="77777777" w:rsidR="00B75353" w:rsidRPr="000D7FFD" w:rsidRDefault="00B75353" w:rsidP="00E03677">
            <w:pPr>
              <w:rPr>
                <w:color w:val="000000" w:themeColor="text1"/>
              </w:rPr>
            </w:pPr>
            <w:r w:rsidRPr="000D7FFD">
              <w:rPr>
                <w:color w:val="000000" w:themeColor="text1"/>
              </w:rPr>
              <w:t>III.6</w:t>
            </w:r>
          </w:p>
        </w:tc>
        <w:tc>
          <w:tcPr>
            <w:tcW w:w="8079" w:type="dxa"/>
          </w:tcPr>
          <w:p w14:paraId="22C2C5CA" w14:textId="77777777" w:rsidR="00B75353" w:rsidRPr="000D7FFD" w:rsidRDefault="00B75353" w:rsidP="00E03677">
            <w:pPr>
              <w:rPr>
                <w:color w:val="000000" w:themeColor="text1"/>
              </w:rPr>
            </w:pPr>
            <w:r w:rsidRPr="000D7FFD">
              <w:rPr>
                <w:color w:val="000000" w:themeColor="text1"/>
              </w:rPr>
              <w:t>Les dispositions du I ne sont pas applicables aux installations existantes</w:t>
            </w:r>
          </w:p>
          <w:p w14:paraId="252AA595" w14:textId="77777777" w:rsidR="00B75353" w:rsidRPr="000D7FFD" w:rsidRDefault="00B75353" w:rsidP="00E03677">
            <w:pPr>
              <w:rPr>
                <w:color w:val="000000" w:themeColor="text1"/>
              </w:rPr>
            </w:pPr>
            <w:r w:rsidRPr="000D7FFD">
              <w:rPr>
                <w:color w:val="000000" w:themeColor="text1"/>
              </w:rPr>
              <w:t>Les dispositions des points II et III sont applicables au 1</w:t>
            </w:r>
            <w:r w:rsidRPr="000D7FFD">
              <w:rPr>
                <w:color w:val="000000" w:themeColor="text1"/>
                <w:vertAlign w:val="superscript"/>
              </w:rPr>
              <w:t>er</w:t>
            </w:r>
            <w:r w:rsidRPr="000D7FFD">
              <w:rPr>
                <w:color w:val="000000" w:themeColor="text1"/>
              </w:rPr>
              <w:t xml:space="preserve"> janvier 2026.</w:t>
            </w:r>
          </w:p>
        </w:tc>
      </w:tr>
      <w:tr w:rsidR="00B75353" w:rsidRPr="000D7FFD" w14:paraId="39B55CBE" w14:textId="77777777" w:rsidTr="00B75353">
        <w:tc>
          <w:tcPr>
            <w:tcW w:w="1135" w:type="dxa"/>
          </w:tcPr>
          <w:p w14:paraId="74EB4227" w14:textId="77777777" w:rsidR="00B75353" w:rsidRPr="000D7FFD" w:rsidRDefault="00B75353" w:rsidP="00E03677">
            <w:pPr>
              <w:rPr>
                <w:color w:val="000000" w:themeColor="text1"/>
              </w:rPr>
            </w:pPr>
            <w:r w:rsidRPr="000D7FFD">
              <w:rPr>
                <w:color w:val="000000" w:themeColor="text1"/>
              </w:rPr>
              <w:t>III.7</w:t>
            </w:r>
          </w:p>
        </w:tc>
        <w:tc>
          <w:tcPr>
            <w:tcW w:w="8079" w:type="dxa"/>
          </w:tcPr>
          <w:p w14:paraId="21D9C05C" w14:textId="77777777" w:rsidR="00B75353" w:rsidRPr="000D7FFD" w:rsidRDefault="00B75353"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tc>
      </w:tr>
      <w:tr w:rsidR="00B75353" w:rsidRPr="000D7FFD" w14:paraId="5F0D07A2" w14:textId="77777777" w:rsidTr="00B75353">
        <w:tc>
          <w:tcPr>
            <w:tcW w:w="1135" w:type="dxa"/>
          </w:tcPr>
          <w:p w14:paraId="7DB3BE42" w14:textId="77777777" w:rsidR="00B75353" w:rsidRPr="000D7FFD" w:rsidRDefault="00B75353" w:rsidP="00E03677">
            <w:pPr>
              <w:rPr>
                <w:color w:val="000000" w:themeColor="text1"/>
              </w:rPr>
            </w:pPr>
            <w:r w:rsidRPr="000D7FFD">
              <w:rPr>
                <w:color w:val="000000" w:themeColor="text1"/>
              </w:rPr>
              <w:t>III.8</w:t>
            </w:r>
          </w:p>
        </w:tc>
        <w:tc>
          <w:tcPr>
            <w:tcW w:w="8079" w:type="dxa"/>
          </w:tcPr>
          <w:p w14:paraId="1C1A479B" w14:textId="77777777" w:rsidR="00B75353" w:rsidRPr="000D7FFD" w:rsidRDefault="00B75353" w:rsidP="00E03677">
            <w:pPr>
              <w:rPr>
                <w:color w:val="000000" w:themeColor="text1"/>
              </w:rPr>
            </w:pPr>
            <w:r w:rsidRPr="000D7FFD">
              <w:rPr>
                <w:color w:val="000000" w:themeColor="text1"/>
              </w:rPr>
              <w:t>Un dispositif de détection conforme aux dispositions du III.4 est mis en place à compter du 1</w:t>
            </w:r>
            <w:r w:rsidRPr="000D7FFD">
              <w:rPr>
                <w:color w:val="000000" w:themeColor="text1"/>
                <w:vertAlign w:val="superscript"/>
              </w:rPr>
              <w:t>er</w:t>
            </w:r>
            <w:r w:rsidRPr="000D7FFD">
              <w:rPr>
                <w:color w:val="000000" w:themeColor="text1"/>
              </w:rPr>
              <w:t xml:space="preserve"> janvier 2026. </w:t>
            </w:r>
          </w:p>
          <w:p w14:paraId="3739C945" w14:textId="77777777" w:rsidR="00B75353" w:rsidRPr="000D7FFD" w:rsidRDefault="00B75353" w:rsidP="00E03677">
            <w:pPr>
              <w:rPr>
                <w:color w:val="000000" w:themeColor="text1"/>
              </w:rPr>
            </w:pPr>
            <w:r w:rsidRPr="000D7FFD">
              <w:rPr>
                <w:color w:val="000000" w:themeColor="text1"/>
              </w:rPr>
              <w:t>Les autres dispositions ne sont pas applicables aux installations existantes.</w:t>
            </w:r>
          </w:p>
          <w:p w14:paraId="3EEB2C3D" w14:textId="77777777" w:rsidR="00B75353" w:rsidRPr="000D7FFD" w:rsidRDefault="00B75353" w:rsidP="00E03677">
            <w:pPr>
              <w:rPr>
                <w:color w:val="000000" w:themeColor="text1"/>
              </w:rPr>
            </w:pPr>
            <w:r w:rsidRPr="000D7FFD">
              <w:rPr>
                <w:color w:val="000000" w:themeColor="text1"/>
              </w:rPr>
              <w:t>Néanmoins, en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ces dispositions sont applicables à l’extension. </w:t>
            </w:r>
          </w:p>
        </w:tc>
      </w:tr>
      <w:tr w:rsidR="00B75353" w:rsidRPr="000D7FFD" w14:paraId="4E4813C9" w14:textId="77777777" w:rsidTr="00B75353">
        <w:tc>
          <w:tcPr>
            <w:tcW w:w="1135" w:type="dxa"/>
          </w:tcPr>
          <w:p w14:paraId="11EACC23" w14:textId="77777777" w:rsidR="00B75353" w:rsidRPr="000D7FFD" w:rsidRDefault="00B75353" w:rsidP="00E03677">
            <w:pPr>
              <w:rPr>
                <w:color w:val="000000" w:themeColor="text1"/>
              </w:rPr>
            </w:pPr>
            <w:r w:rsidRPr="000D7FFD">
              <w:rPr>
                <w:color w:val="000000" w:themeColor="text1"/>
              </w:rPr>
              <w:t>III.9</w:t>
            </w:r>
          </w:p>
        </w:tc>
        <w:tc>
          <w:tcPr>
            <w:tcW w:w="8079" w:type="dxa"/>
          </w:tcPr>
          <w:p w14:paraId="7D99ACA0" w14:textId="77777777" w:rsidR="00B75353" w:rsidRPr="000D7FFD" w:rsidRDefault="00B75353"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p w14:paraId="0B805F2E" w14:textId="77777777" w:rsidR="00B75353" w:rsidRPr="000D7FFD" w:rsidRDefault="00B75353" w:rsidP="00E03677">
            <w:pPr>
              <w:rPr>
                <w:color w:val="000000" w:themeColor="text1"/>
              </w:rPr>
            </w:pPr>
            <w:r w:rsidRPr="000D7FFD">
              <w:rPr>
                <w:color w:val="000000" w:themeColor="text1"/>
              </w:rPr>
              <w:t xml:space="preserve">Concernant la surface maximale susceptible d'être en feu, celle-ci peut être portée à 1000 m2, si la distance entre ilôts est suffisante pour garantir que les effets dominos (seuil des effets thermiques de 8kW/m²) ne sont pas atteints de bord de la rétention vis à vis de tout autre ilôt, rétention extérieure associée à des réservoirs, ou tout autre activité ou bâtiment. </w:t>
            </w:r>
          </w:p>
          <w:p w14:paraId="56D00E4C" w14:textId="77777777" w:rsidR="00B75353" w:rsidRPr="000D7FFD" w:rsidRDefault="00B75353" w:rsidP="00E03677">
            <w:pPr>
              <w:rPr>
                <w:color w:val="000000" w:themeColor="text1"/>
              </w:rPr>
            </w:pPr>
            <w:r w:rsidRPr="000D7FFD">
              <w:rPr>
                <w:color w:val="000000" w:themeColor="text1"/>
              </w:rPr>
              <w:t>La configuration des ilôts respecte alors les conditions suivantes :</w:t>
            </w:r>
          </w:p>
          <w:tbl>
            <w:tblPr>
              <w:tblStyle w:val="Grilledutableau"/>
              <w:tblW w:w="7405" w:type="dxa"/>
              <w:tblLayout w:type="fixed"/>
              <w:tblLook w:val="04A0" w:firstRow="1" w:lastRow="0" w:firstColumn="1" w:lastColumn="0" w:noHBand="0" w:noVBand="1"/>
            </w:tblPr>
            <w:tblGrid>
              <w:gridCol w:w="3020"/>
              <w:gridCol w:w="4385"/>
            </w:tblGrid>
            <w:tr w:rsidR="00B75353" w:rsidRPr="000D7FFD" w14:paraId="0EC560AA" w14:textId="77777777" w:rsidTr="00B75353">
              <w:tc>
                <w:tcPr>
                  <w:tcW w:w="3020" w:type="dxa"/>
                </w:tcPr>
                <w:p w14:paraId="06C1685B" w14:textId="77777777" w:rsidR="00B75353" w:rsidRPr="000D7FFD" w:rsidRDefault="00B75353" w:rsidP="00E03677">
                  <w:pPr>
                    <w:rPr>
                      <w:color w:val="000000" w:themeColor="text1"/>
                    </w:rPr>
                  </w:pPr>
                  <w:r w:rsidRPr="000D7FFD">
                    <w:rPr>
                      <w:color w:val="000000" w:themeColor="text1"/>
                    </w:rPr>
                    <w:t>Surface maximale susceptible d’être en feu</w:t>
                  </w:r>
                </w:p>
              </w:tc>
              <w:tc>
                <w:tcPr>
                  <w:tcW w:w="4385" w:type="dxa"/>
                </w:tcPr>
                <w:p w14:paraId="44CD305E" w14:textId="77777777" w:rsidR="00B75353" w:rsidRPr="000D7FFD" w:rsidRDefault="00B75353" w:rsidP="00E03677">
                  <w:pPr>
                    <w:rPr>
                      <w:color w:val="000000" w:themeColor="text1"/>
                    </w:rPr>
                  </w:pPr>
                  <w:r w:rsidRPr="000D7FFD">
                    <w:rPr>
                      <w:color w:val="000000" w:themeColor="text1"/>
                    </w:rPr>
                    <w:t>Distance minimale entre le bord de la rétention rétention vis à vis de tout autre ilôt, rétention extérieure associée à des réservoirs, ou tout autre activité ou bâtiment</w:t>
                  </w:r>
                </w:p>
              </w:tc>
            </w:tr>
            <w:tr w:rsidR="00B75353" w:rsidRPr="000D7FFD" w14:paraId="6A3B955D" w14:textId="77777777" w:rsidTr="00B75353">
              <w:tc>
                <w:tcPr>
                  <w:tcW w:w="3020" w:type="dxa"/>
                </w:tcPr>
                <w:p w14:paraId="451A1D6B" w14:textId="77777777" w:rsidR="00B75353" w:rsidRPr="000D7FFD" w:rsidRDefault="00B75353" w:rsidP="00E03677">
                  <w:pPr>
                    <w:rPr>
                      <w:color w:val="000000" w:themeColor="text1"/>
                    </w:rPr>
                  </w:pPr>
                  <w:r w:rsidRPr="000D7FFD">
                    <w:rPr>
                      <w:color w:val="000000" w:themeColor="text1"/>
                    </w:rPr>
                    <w:t>Jusqu’à 750 m²</w:t>
                  </w:r>
                </w:p>
              </w:tc>
              <w:tc>
                <w:tcPr>
                  <w:tcW w:w="4385" w:type="dxa"/>
                </w:tcPr>
                <w:p w14:paraId="15E76C8A" w14:textId="77777777" w:rsidR="00B75353" w:rsidRPr="000D7FFD" w:rsidRDefault="00B75353" w:rsidP="00E03677">
                  <w:pPr>
                    <w:rPr>
                      <w:color w:val="000000" w:themeColor="text1"/>
                    </w:rPr>
                  </w:pPr>
                  <w:r w:rsidRPr="000D7FFD">
                    <w:rPr>
                      <w:color w:val="000000" w:themeColor="text1"/>
                    </w:rPr>
                    <w:t>15 m</w:t>
                  </w:r>
                </w:p>
              </w:tc>
            </w:tr>
            <w:tr w:rsidR="00B75353" w:rsidRPr="000D7FFD" w14:paraId="4942B958" w14:textId="77777777" w:rsidTr="00B75353">
              <w:tc>
                <w:tcPr>
                  <w:tcW w:w="3020" w:type="dxa"/>
                </w:tcPr>
                <w:p w14:paraId="0ADE0993" w14:textId="77777777" w:rsidR="00B75353" w:rsidRPr="000D7FFD" w:rsidRDefault="00B75353" w:rsidP="00E03677">
                  <w:pPr>
                    <w:rPr>
                      <w:color w:val="000000" w:themeColor="text1"/>
                    </w:rPr>
                  </w:pPr>
                  <w:r w:rsidRPr="000D7FFD">
                    <w:rPr>
                      <w:color w:val="000000" w:themeColor="text1"/>
                    </w:rPr>
                    <w:t>Jusqu’à 1000 m²</w:t>
                  </w:r>
                </w:p>
              </w:tc>
              <w:tc>
                <w:tcPr>
                  <w:tcW w:w="4385" w:type="dxa"/>
                </w:tcPr>
                <w:p w14:paraId="0321F864" w14:textId="77777777" w:rsidR="00B75353" w:rsidRPr="000D7FFD" w:rsidRDefault="00B75353" w:rsidP="00E03677">
                  <w:pPr>
                    <w:rPr>
                      <w:color w:val="000000" w:themeColor="text1"/>
                    </w:rPr>
                  </w:pPr>
                  <w:r w:rsidRPr="000D7FFD">
                    <w:rPr>
                      <w:color w:val="000000" w:themeColor="text1"/>
                    </w:rPr>
                    <w:t>20 m</w:t>
                  </w:r>
                </w:p>
              </w:tc>
            </w:tr>
          </w:tbl>
          <w:p w14:paraId="1E62C5B9" w14:textId="0CFC7214" w:rsidR="00B75353" w:rsidRPr="000D7FFD" w:rsidRDefault="00B75353" w:rsidP="00B75353">
            <w:pPr>
              <w:rPr>
                <w:color w:val="000000" w:themeColor="text1"/>
              </w:rPr>
            </w:pPr>
            <w:r w:rsidRPr="000D7FFD">
              <w:rPr>
                <w:rFonts w:eastAsia="Times New Roman" w:cs="Times New Roman"/>
                <w:color w:val="000000" w:themeColor="text1"/>
                <w:szCs w:val="24"/>
                <w:lang w:eastAsia="fr-FR"/>
              </w:rPr>
              <w:t>Ces distances peuvent être réduites si les effets domino (seuil des effets thermiques de 8kW/m²) ne sont pas atteints, par l’emploi de dispositions passives, du stockage vers tout autre ilôt de stockage ou activité et de tout autre ilôt de stockage ou autre activité vers le stockage</w:t>
            </w:r>
            <w:r w:rsidRPr="000D7FFD">
              <w:rPr>
                <w:rFonts w:cs="Times New Roman"/>
                <w:color w:val="000000" w:themeColor="text1"/>
                <w:szCs w:val="24"/>
              </w:rPr>
              <w:t xml:space="preserve">. La mise en place d’un mur </w:t>
            </w:r>
            <w:r w:rsidRPr="000D7FFD">
              <w:rPr>
                <w:color w:val="000000" w:themeColor="text1"/>
              </w:rPr>
              <w:t>coupe-feu EI 120 de dimensions suffisantes pour contenir les effets dominos permet de répondre à cette exigence. Les éléments de justification, et le cas échéant, de démonstration du respect des règles en vigueur concernant le mur coupe-feu, sont tenus à la disposition de l’inspection des installations classées</w:t>
            </w:r>
            <w:r w:rsidRPr="000D7FFD">
              <w:rPr>
                <w:rFonts w:cs="Times New Roman"/>
                <w:color w:val="000000" w:themeColor="text1"/>
                <w:szCs w:val="24"/>
              </w:rPr>
              <w:t xml:space="preserve">. </w:t>
            </w:r>
          </w:p>
        </w:tc>
      </w:tr>
      <w:tr w:rsidR="00B75353" w:rsidRPr="000D7FFD" w14:paraId="63CD6BE6" w14:textId="77777777" w:rsidTr="00B75353">
        <w:tc>
          <w:tcPr>
            <w:tcW w:w="1135" w:type="dxa"/>
          </w:tcPr>
          <w:p w14:paraId="3E2BEE18" w14:textId="77777777" w:rsidR="00B75353" w:rsidRPr="000D7FFD" w:rsidRDefault="00B75353" w:rsidP="00E03677">
            <w:pPr>
              <w:rPr>
                <w:color w:val="000000" w:themeColor="text1"/>
              </w:rPr>
            </w:pPr>
            <w:r w:rsidRPr="000D7FFD">
              <w:rPr>
                <w:color w:val="000000" w:themeColor="text1"/>
              </w:rPr>
              <w:t>III.10</w:t>
            </w:r>
          </w:p>
        </w:tc>
        <w:tc>
          <w:tcPr>
            <w:tcW w:w="8079" w:type="dxa"/>
          </w:tcPr>
          <w:p w14:paraId="7E176D6A" w14:textId="77777777" w:rsidR="00B75353" w:rsidRPr="000D7FFD" w:rsidRDefault="00B75353"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tc>
      </w:tr>
      <w:tr w:rsidR="00B75353" w:rsidRPr="000D7FFD" w14:paraId="17166E31" w14:textId="77777777" w:rsidTr="00B75353">
        <w:tc>
          <w:tcPr>
            <w:tcW w:w="1135" w:type="dxa"/>
          </w:tcPr>
          <w:p w14:paraId="5AB14213" w14:textId="77777777" w:rsidR="00B75353" w:rsidRPr="000D7FFD" w:rsidRDefault="00B75353" w:rsidP="00E03677">
            <w:pPr>
              <w:rPr>
                <w:color w:val="000000" w:themeColor="text1"/>
              </w:rPr>
            </w:pPr>
            <w:r w:rsidRPr="000D7FFD">
              <w:rPr>
                <w:color w:val="000000" w:themeColor="text1"/>
              </w:rPr>
              <w:t>III.11 –I</w:t>
            </w:r>
          </w:p>
        </w:tc>
        <w:tc>
          <w:tcPr>
            <w:tcW w:w="8079" w:type="dxa"/>
          </w:tcPr>
          <w:p w14:paraId="0A5BBA8C" w14:textId="77777777" w:rsidR="00B75353" w:rsidRPr="000D7FFD" w:rsidRDefault="00B75353" w:rsidP="00E03677">
            <w:pPr>
              <w:rPr>
                <w:color w:val="000000" w:themeColor="text1"/>
              </w:rPr>
            </w:pPr>
            <w:r w:rsidRPr="000D7FFD">
              <w:rPr>
                <w:color w:val="000000" w:themeColor="text1"/>
              </w:rPr>
              <w:t>Ces dispositions sont applicables, à l’exception du 4</w:t>
            </w:r>
            <w:r w:rsidRPr="000D7FFD">
              <w:rPr>
                <w:color w:val="000000" w:themeColor="text1"/>
                <w:vertAlign w:val="superscript"/>
              </w:rPr>
              <w:t>ème</w:t>
            </w:r>
            <w:r w:rsidRPr="000D7FFD">
              <w:rPr>
                <w:color w:val="000000" w:themeColor="text1"/>
              </w:rPr>
              <w:t xml:space="preserve"> tiret du I.</w:t>
            </w:r>
          </w:p>
          <w:p w14:paraId="7C10443A" w14:textId="77777777" w:rsidR="00B75353" w:rsidRPr="000D7FFD" w:rsidRDefault="00B75353" w:rsidP="00E03677">
            <w:pPr>
              <w:rPr>
                <w:color w:val="000000" w:themeColor="text1"/>
              </w:rPr>
            </w:pPr>
            <w:r w:rsidRPr="000D7FFD">
              <w:rPr>
                <w:color w:val="000000" w:themeColor="text1"/>
              </w:rPr>
              <w:t>Ces dispositions sont applicables aux rétentions construites après le 1</w:t>
            </w:r>
            <w:r w:rsidRPr="000D7FFD">
              <w:rPr>
                <w:color w:val="000000" w:themeColor="text1"/>
                <w:vertAlign w:val="superscript"/>
              </w:rPr>
              <w:t>er</w:t>
            </w:r>
            <w:r w:rsidRPr="000D7FFD">
              <w:rPr>
                <w:color w:val="000000" w:themeColor="text1"/>
              </w:rPr>
              <w:t xml:space="preserve"> janvier 2021.</w:t>
            </w:r>
          </w:p>
        </w:tc>
      </w:tr>
      <w:tr w:rsidR="00B75353" w:rsidRPr="000D7FFD" w14:paraId="4C1BA459" w14:textId="77777777" w:rsidTr="00B75353">
        <w:tc>
          <w:tcPr>
            <w:tcW w:w="1135" w:type="dxa"/>
          </w:tcPr>
          <w:p w14:paraId="528E10DC" w14:textId="77777777" w:rsidR="00B75353" w:rsidRPr="000D7FFD" w:rsidRDefault="00B75353" w:rsidP="00E03677">
            <w:pPr>
              <w:rPr>
                <w:color w:val="000000" w:themeColor="text1"/>
              </w:rPr>
            </w:pPr>
            <w:r w:rsidRPr="000D7FFD">
              <w:rPr>
                <w:color w:val="000000" w:themeColor="text1"/>
              </w:rPr>
              <w:t>III.11-II</w:t>
            </w:r>
          </w:p>
        </w:tc>
        <w:tc>
          <w:tcPr>
            <w:tcW w:w="8079" w:type="dxa"/>
          </w:tcPr>
          <w:p w14:paraId="7FD5E769" w14:textId="77777777" w:rsidR="00B75353" w:rsidRPr="000D7FFD" w:rsidRDefault="00B75353" w:rsidP="00E03677">
            <w:pPr>
              <w:rPr>
                <w:color w:val="000000" w:themeColor="text1"/>
              </w:rPr>
            </w:pPr>
            <w:r w:rsidRPr="000D7FFD">
              <w:rPr>
                <w:color w:val="000000" w:themeColor="text1"/>
              </w:rPr>
              <w:t>Ces dispositions sont applicables .</w:t>
            </w:r>
          </w:p>
        </w:tc>
      </w:tr>
      <w:tr w:rsidR="00B75353" w:rsidRPr="000D7FFD" w14:paraId="7CE3ECA9" w14:textId="77777777" w:rsidTr="00B75353">
        <w:tc>
          <w:tcPr>
            <w:tcW w:w="1135" w:type="dxa"/>
          </w:tcPr>
          <w:p w14:paraId="5B7CD840" w14:textId="77777777" w:rsidR="00B75353" w:rsidRPr="000D7FFD" w:rsidRDefault="00B75353" w:rsidP="00E03677">
            <w:pPr>
              <w:rPr>
                <w:color w:val="000000" w:themeColor="text1"/>
              </w:rPr>
            </w:pPr>
            <w:r w:rsidRPr="000D7FFD">
              <w:rPr>
                <w:color w:val="000000" w:themeColor="text1"/>
              </w:rPr>
              <w:t>III.11-III</w:t>
            </w:r>
          </w:p>
        </w:tc>
        <w:tc>
          <w:tcPr>
            <w:tcW w:w="8079" w:type="dxa"/>
          </w:tcPr>
          <w:p w14:paraId="2FFFA183" w14:textId="77777777" w:rsidR="00B75353" w:rsidRPr="000D7FFD" w:rsidRDefault="00B75353" w:rsidP="00E03677">
            <w:pPr>
              <w:rPr>
                <w:color w:val="000000" w:themeColor="text1"/>
              </w:rPr>
            </w:pPr>
            <w:r w:rsidRPr="000D7FFD">
              <w:rPr>
                <w:color w:val="000000" w:themeColor="text1"/>
              </w:rPr>
              <w:t>Cette disposition est applicable au 1</w:t>
            </w:r>
            <w:r w:rsidRPr="000D7FFD">
              <w:rPr>
                <w:color w:val="000000" w:themeColor="text1"/>
                <w:vertAlign w:val="superscript"/>
              </w:rPr>
              <w:t>er</w:t>
            </w:r>
            <w:r w:rsidRPr="000D7FFD">
              <w:rPr>
                <w:color w:val="000000" w:themeColor="text1"/>
              </w:rPr>
              <w:t xml:space="preserve"> janvier 2023.</w:t>
            </w:r>
          </w:p>
        </w:tc>
      </w:tr>
      <w:tr w:rsidR="00B75353" w:rsidRPr="000D7FFD" w14:paraId="5BFCAA1B" w14:textId="77777777" w:rsidTr="00B75353">
        <w:tc>
          <w:tcPr>
            <w:tcW w:w="1135" w:type="dxa"/>
          </w:tcPr>
          <w:p w14:paraId="4EFB19F0" w14:textId="77777777" w:rsidR="00B75353" w:rsidRPr="000D7FFD" w:rsidRDefault="00B75353" w:rsidP="00E03677">
            <w:pPr>
              <w:rPr>
                <w:color w:val="000000" w:themeColor="text1"/>
              </w:rPr>
            </w:pPr>
            <w:r w:rsidRPr="000D7FFD">
              <w:rPr>
                <w:color w:val="000000" w:themeColor="text1"/>
              </w:rPr>
              <w:t>III.11-IV</w:t>
            </w:r>
          </w:p>
        </w:tc>
        <w:tc>
          <w:tcPr>
            <w:tcW w:w="8079" w:type="dxa"/>
          </w:tcPr>
          <w:p w14:paraId="4C3302BB"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1B51173F" w14:textId="77777777" w:rsidTr="00B75353">
        <w:tc>
          <w:tcPr>
            <w:tcW w:w="1135" w:type="dxa"/>
          </w:tcPr>
          <w:p w14:paraId="0716B66A" w14:textId="77777777" w:rsidR="00B75353" w:rsidRPr="000D7FFD" w:rsidRDefault="00B75353" w:rsidP="00E03677">
            <w:pPr>
              <w:rPr>
                <w:color w:val="000000" w:themeColor="text1"/>
              </w:rPr>
            </w:pPr>
            <w:r w:rsidRPr="000D7FFD">
              <w:rPr>
                <w:color w:val="000000" w:themeColor="text1"/>
              </w:rPr>
              <w:t>III.12</w:t>
            </w:r>
          </w:p>
        </w:tc>
        <w:tc>
          <w:tcPr>
            <w:tcW w:w="8079" w:type="dxa"/>
          </w:tcPr>
          <w:p w14:paraId="6E0A0ADF" w14:textId="77777777" w:rsidR="00FE16CB" w:rsidRPr="000D7FFD" w:rsidRDefault="00FE16CB" w:rsidP="00FE16CB">
            <w:pPr>
              <w:rPr>
                <w:color w:val="000000" w:themeColor="text1"/>
              </w:rPr>
            </w:pPr>
            <w:r>
              <w:rPr>
                <w:color w:val="000000" w:themeColor="text1"/>
              </w:rPr>
              <w:t xml:space="preserve">Les dispositions du point I </w:t>
            </w:r>
            <w:r w:rsidRPr="000D7FFD">
              <w:rPr>
                <w:color w:val="000000" w:themeColor="text1"/>
              </w:rPr>
              <w:t>sont applicables.</w:t>
            </w:r>
          </w:p>
          <w:p w14:paraId="124FF012" w14:textId="77777777" w:rsidR="00FE16CB" w:rsidRPr="000D7FFD" w:rsidRDefault="00FE16CB" w:rsidP="00FE16CB">
            <w:pPr>
              <w:rPr>
                <w:color w:val="000000" w:themeColor="text1"/>
              </w:rPr>
            </w:pPr>
            <w:r w:rsidRPr="000D7FFD">
              <w:rPr>
                <w:color w:val="000000" w:themeColor="text1"/>
              </w:rPr>
              <w:t xml:space="preserve">Les dispositions des points II, </w:t>
            </w:r>
            <w:r>
              <w:rPr>
                <w:color w:val="000000" w:themeColor="text1"/>
              </w:rPr>
              <w:t xml:space="preserve">IV, </w:t>
            </w:r>
            <w:r w:rsidRPr="000D7FFD">
              <w:rPr>
                <w:color w:val="000000" w:themeColor="text1"/>
              </w:rPr>
              <w:t>V et VI sont applicables à compter du 1</w:t>
            </w:r>
            <w:r w:rsidRPr="000D7FFD">
              <w:rPr>
                <w:color w:val="000000" w:themeColor="text1"/>
                <w:vertAlign w:val="superscript"/>
              </w:rPr>
              <w:t>er</w:t>
            </w:r>
            <w:r w:rsidRPr="000D7FFD">
              <w:rPr>
                <w:color w:val="000000" w:themeColor="text1"/>
              </w:rPr>
              <w:t xml:space="preserve"> janvier 2026.</w:t>
            </w:r>
          </w:p>
          <w:p w14:paraId="6CF800F9" w14:textId="77777777" w:rsidR="00B75353" w:rsidRPr="000D7FFD" w:rsidRDefault="00B75353" w:rsidP="00E03677">
            <w:pPr>
              <w:rPr>
                <w:color w:val="000000" w:themeColor="text1"/>
              </w:rPr>
            </w:pPr>
            <w:r w:rsidRPr="000D7FFD">
              <w:rPr>
                <w:color w:val="000000" w:themeColor="text1"/>
              </w:rPr>
              <w:t>Les dispositions du point III sont remplacées par les dispositions suivantes :</w:t>
            </w:r>
          </w:p>
          <w:p w14:paraId="014A5203" w14:textId="77777777" w:rsidR="00B75353" w:rsidRPr="000D7FFD" w:rsidRDefault="00B75353" w:rsidP="00E03677">
            <w:pPr>
              <w:spacing w:after="160" w:line="259" w:lineRule="auto"/>
              <w:jc w:val="left"/>
              <w:rPr>
                <w:color w:val="000000" w:themeColor="text1"/>
              </w:rPr>
            </w:pPr>
            <w:r w:rsidRPr="000D7FFD">
              <w:rPr>
                <w:color w:val="000000" w:themeColor="text1"/>
              </w:rPr>
              <w:t xml:space="preserve">« Pour chaque récipient mobile ou groupe de récipients mobiles contenant au moins un liquide inflammable ou un liquide ou solide liquéfiable combustible, </w:t>
            </w:r>
            <w:r w:rsidRPr="000D7FFD">
              <w:rPr>
                <w:color w:val="000000" w:themeColor="text1"/>
              </w:rPr>
              <w:lastRenderedPageBreak/>
              <w:t>dès lors qu’il entre dans les conditions de proximité avec un liquide inflammable définies à l’article I-3, le volume minimal de la rétention calculé en application du I. ou du II. du présent article est majoré pour contenir également :</w:t>
            </w:r>
          </w:p>
          <w:p w14:paraId="1B38F2D1" w14:textId="77777777" w:rsidR="00B75353" w:rsidRPr="000D7FFD" w:rsidRDefault="00B75353" w:rsidP="00E03677">
            <w:pPr>
              <w:spacing w:after="160" w:line="259" w:lineRule="auto"/>
              <w:jc w:val="left"/>
              <w:rPr>
                <w:color w:val="000000" w:themeColor="text1"/>
              </w:rPr>
            </w:pPr>
            <w:r w:rsidRPr="000D7FFD">
              <w:rPr>
                <w:color w:val="000000" w:themeColor="text1"/>
              </w:rPr>
              <w:t>-</w:t>
            </w:r>
            <w:r w:rsidRPr="000D7FFD">
              <w:rPr>
                <w:color w:val="000000" w:themeColor="text1"/>
              </w:rPr>
              <w:tab/>
              <w:t>le volume des eaux d'extinction. L’exploitant prend en compte le volume nécessaire à la lutte contre l’incendie, déterminé au vu de la stratégie incendie définie à l’article VI-1 du présent arrêté, ou une hauteur supplémentaire forfaitaire des parois de rétention de 0,15 mètre en vue de contenir ces eaux d'extinction.</w:t>
            </w:r>
          </w:p>
          <w:p w14:paraId="5268D8C6" w14:textId="643E76BB" w:rsidR="00B75353" w:rsidRPr="000D7FFD" w:rsidRDefault="00B75353" w:rsidP="00B75353">
            <w:pPr>
              <w:spacing w:after="160" w:line="259" w:lineRule="auto"/>
              <w:jc w:val="left"/>
              <w:rPr>
                <w:color w:val="000000" w:themeColor="text1"/>
              </w:rPr>
            </w:pPr>
            <w:r w:rsidRPr="000D7FFD">
              <w:rPr>
                <w:color w:val="000000" w:themeColor="text1"/>
              </w:rPr>
              <w:t>Ces dispositions sont applicables à compter du 1</w:t>
            </w:r>
            <w:r w:rsidRPr="000D7FFD">
              <w:rPr>
                <w:color w:val="000000" w:themeColor="text1"/>
                <w:vertAlign w:val="superscript"/>
              </w:rPr>
              <w:t>er</w:t>
            </w:r>
            <w:r>
              <w:rPr>
                <w:color w:val="000000" w:themeColor="text1"/>
              </w:rPr>
              <w:t xml:space="preserve"> janvier 2026. »</w:t>
            </w:r>
          </w:p>
        </w:tc>
      </w:tr>
      <w:tr w:rsidR="00B75353" w:rsidRPr="000D7FFD" w14:paraId="286390A8" w14:textId="77777777" w:rsidTr="00B75353">
        <w:tc>
          <w:tcPr>
            <w:tcW w:w="1135" w:type="dxa"/>
          </w:tcPr>
          <w:p w14:paraId="10F59445" w14:textId="77777777" w:rsidR="00B75353" w:rsidRPr="000D7FFD" w:rsidRDefault="00B75353" w:rsidP="00E03677">
            <w:pPr>
              <w:rPr>
                <w:color w:val="000000" w:themeColor="text1"/>
              </w:rPr>
            </w:pPr>
            <w:r w:rsidRPr="000D7FFD">
              <w:rPr>
                <w:color w:val="000000" w:themeColor="text1"/>
              </w:rPr>
              <w:lastRenderedPageBreak/>
              <w:t>III.13</w:t>
            </w:r>
            <w:r>
              <w:rPr>
                <w:color w:val="000000" w:themeColor="text1"/>
              </w:rPr>
              <w:t xml:space="preserve"> – I et II</w:t>
            </w:r>
          </w:p>
        </w:tc>
        <w:tc>
          <w:tcPr>
            <w:tcW w:w="8079" w:type="dxa"/>
          </w:tcPr>
          <w:p w14:paraId="654318DB" w14:textId="77777777" w:rsidR="00B75353" w:rsidRPr="000D7FFD" w:rsidRDefault="00B75353" w:rsidP="00E03677">
            <w:pPr>
              <w:rPr>
                <w:color w:val="000000" w:themeColor="text1"/>
              </w:rPr>
            </w:pPr>
            <w:r w:rsidRPr="000D7FFD">
              <w:rPr>
                <w:rFonts w:eastAsia="Times New Roman"/>
                <w:color w:val="000000" w:themeColor="text1"/>
                <w:lang w:eastAsia="fr-FR"/>
              </w:rPr>
              <w:t>Les dispositions définies à l’annexe V sont applicables aux installations existantes à compter du 1</w:t>
            </w:r>
            <w:r w:rsidRPr="000D7FFD">
              <w:rPr>
                <w:rFonts w:eastAsia="Times New Roman"/>
                <w:color w:val="000000" w:themeColor="text1"/>
                <w:vertAlign w:val="superscript"/>
                <w:lang w:eastAsia="fr-FR"/>
              </w:rPr>
              <w:t>er</w:t>
            </w:r>
            <w:r w:rsidRPr="000D7FFD">
              <w:rPr>
                <w:rFonts w:eastAsia="Times New Roman"/>
                <w:color w:val="000000" w:themeColor="text1"/>
                <w:lang w:eastAsia="fr-FR"/>
              </w:rPr>
              <w:t xml:space="preserve"> janvier 2026 en lieu et place des dispositions des points I et II.</w:t>
            </w:r>
          </w:p>
          <w:p w14:paraId="2AC8E00E" w14:textId="42FA7302" w:rsidR="00B75353" w:rsidRPr="000D7FFD" w:rsidRDefault="00B75353" w:rsidP="00E03677">
            <w:pPr>
              <w:rPr>
                <w:rFonts w:eastAsia="Times New Roman"/>
                <w:color w:val="000000" w:themeColor="text1"/>
                <w:lang w:eastAsia="fr-FR"/>
              </w:rPr>
            </w:pPr>
            <w:r w:rsidRPr="000D7FFD">
              <w:rPr>
                <w:color w:val="000000" w:themeColor="text1"/>
              </w:rPr>
              <w:t>Néanmoins, en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les dispositions </w:t>
            </w:r>
            <w:r w:rsidRPr="000D7FFD">
              <w:rPr>
                <w:rFonts w:eastAsia="Times New Roman"/>
                <w:color w:val="000000" w:themeColor="text1"/>
                <w:lang w:eastAsia="fr-FR"/>
              </w:rPr>
              <w:t>des points I et II</w:t>
            </w:r>
            <w:r w:rsidRPr="000D7FFD">
              <w:rPr>
                <w:color w:val="000000" w:themeColor="text1"/>
              </w:rPr>
              <w:t xml:space="preserve"> </w:t>
            </w:r>
            <w:r>
              <w:rPr>
                <w:color w:val="000000" w:themeColor="text1"/>
              </w:rPr>
              <w:t>sont applicables à l’extension.</w:t>
            </w:r>
          </w:p>
          <w:p w14:paraId="77483699" w14:textId="77777777" w:rsidR="00B75353" w:rsidRPr="000D7FFD" w:rsidRDefault="00B75353" w:rsidP="00E03677">
            <w:pPr>
              <w:rPr>
                <w:rFonts w:eastAsia="Times New Roman"/>
                <w:color w:val="000000" w:themeColor="text1"/>
                <w:lang w:eastAsia="fr-FR"/>
              </w:rPr>
            </w:pPr>
          </w:p>
        </w:tc>
      </w:tr>
      <w:tr w:rsidR="00B75353" w:rsidRPr="000D7FFD" w14:paraId="52FCC19A" w14:textId="77777777" w:rsidTr="00B75353">
        <w:tc>
          <w:tcPr>
            <w:tcW w:w="1135" w:type="dxa"/>
          </w:tcPr>
          <w:p w14:paraId="0EB1474A" w14:textId="77777777" w:rsidR="00B75353" w:rsidRPr="000D7FFD" w:rsidRDefault="00B75353" w:rsidP="00E03677">
            <w:pPr>
              <w:rPr>
                <w:color w:val="000000" w:themeColor="text1"/>
              </w:rPr>
            </w:pPr>
            <w:r w:rsidRPr="000D7FFD">
              <w:rPr>
                <w:color w:val="000000" w:themeColor="text1"/>
              </w:rPr>
              <w:t>III.13</w:t>
            </w:r>
            <w:r>
              <w:rPr>
                <w:color w:val="000000" w:themeColor="text1"/>
              </w:rPr>
              <w:t xml:space="preserve"> III</w:t>
            </w:r>
          </w:p>
        </w:tc>
        <w:tc>
          <w:tcPr>
            <w:tcW w:w="8079" w:type="dxa"/>
          </w:tcPr>
          <w:p w14:paraId="405581CD" w14:textId="77777777" w:rsidR="00B75353" w:rsidRPr="000D7FFD" w:rsidRDefault="00B75353" w:rsidP="00E03677">
            <w:pPr>
              <w:rPr>
                <w:rFonts w:eastAsia="Times New Roman"/>
                <w:color w:val="000000" w:themeColor="text1"/>
                <w:lang w:eastAsia="fr-FR"/>
              </w:rPr>
            </w:pPr>
            <w:r w:rsidRPr="000D7FFD">
              <w:rPr>
                <w:rFonts w:eastAsia="Times New Roman"/>
                <w:color w:val="000000" w:themeColor="text1"/>
                <w:lang w:eastAsia="fr-FR"/>
              </w:rPr>
              <w:t>Les dispositions du point III ne sont pas applicables aux installations existantes.</w:t>
            </w:r>
          </w:p>
          <w:p w14:paraId="2B617C80" w14:textId="77777777" w:rsidR="00B75353" w:rsidRPr="000D7FFD" w:rsidRDefault="00B75353" w:rsidP="00E03677">
            <w:pPr>
              <w:rPr>
                <w:color w:val="000000" w:themeColor="text1"/>
              </w:rPr>
            </w:pPr>
          </w:p>
          <w:p w14:paraId="5F3D6FF4" w14:textId="13C48C2A" w:rsidR="00B75353" w:rsidRPr="000D7FFD" w:rsidRDefault="00B75353" w:rsidP="00B75353">
            <w:pPr>
              <w:rPr>
                <w:rFonts w:eastAsia="Times New Roman"/>
                <w:color w:val="000000" w:themeColor="text1"/>
                <w:lang w:eastAsia="fr-FR"/>
              </w:rPr>
            </w:pPr>
            <w:r w:rsidRPr="000D7FFD">
              <w:rPr>
                <w:color w:val="000000" w:themeColor="text1"/>
              </w:rPr>
              <w:t>En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w:t>
            </w:r>
            <w:r w:rsidRPr="000D7FFD">
              <w:rPr>
                <w:rFonts w:eastAsia="Times New Roman"/>
                <w:color w:val="000000" w:themeColor="text1"/>
                <w:lang w:eastAsia="fr-FR"/>
              </w:rPr>
              <w:t xml:space="preserve">Les dispositions du point III </w:t>
            </w:r>
            <w:r w:rsidRPr="000D7FFD">
              <w:rPr>
                <w:color w:val="000000" w:themeColor="text1"/>
              </w:rPr>
              <w:t>sont applicables à l’extension.</w:t>
            </w:r>
          </w:p>
        </w:tc>
      </w:tr>
      <w:tr w:rsidR="00B75353" w:rsidRPr="000D7FFD" w14:paraId="1954C764" w14:textId="77777777" w:rsidTr="00B75353">
        <w:tc>
          <w:tcPr>
            <w:tcW w:w="1135" w:type="dxa"/>
          </w:tcPr>
          <w:p w14:paraId="459C023E" w14:textId="77777777" w:rsidR="00B75353" w:rsidRPr="000D7FFD" w:rsidRDefault="00B75353" w:rsidP="00E03677">
            <w:pPr>
              <w:rPr>
                <w:color w:val="000000" w:themeColor="text1"/>
              </w:rPr>
            </w:pPr>
            <w:r w:rsidRPr="000D7FFD">
              <w:rPr>
                <w:color w:val="000000" w:themeColor="text1"/>
              </w:rPr>
              <w:t>III.14</w:t>
            </w:r>
          </w:p>
        </w:tc>
        <w:tc>
          <w:tcPr>
            <w:tcW w:w="8079" w:type="dxa"/>
          </w:tcPr>
          <w:p w14:paraId="2ED9B9FE" w14:textId="1414F5B2" w:rsidR="00B75353" w:rsidRPr="000D7FFD" w:rsidRDefault="00B75353" w:rsidP="00E03677">
            <w:pPr>
              <w:rPr>
                <w:color w:val="000000" w:themeColor="text1"/>
              </w:rPr>
            </w:pPr>
            <w:r w:rsidRPr="000D7FFD">
              <w:rPr>
                <w:color w:val="000000" w:themeColor="text1"/>
              </w:rPr>
              <w:t>Les dispositions des I. à VII sont applicables à compter du 1</w:t>
            </w:r>
            <w:r w:rsidRPr="000D7FFD">
              <w:rPr>
                <w:color w:val="000000" w:themeColor="text1"/>
                <w:vertAlign w:val="superscript"/>
              </w:rPr>
              <w:t>er</w:t>
            </w:r>
            <w:r w:rsidRPr="000D7FFD">
              <w:rPr>
                <w:color w:val="000000" w:themeColor="text1"/>
              </w:rPr>
              <w:t xml:space="preserve"> janvier 2026 </w:t>
            </w:r>
            <w:r w:rsidRPr="000D7FFD">
              <w:rPr>
                <w:rFonts w:eastAsia="Times New Roman"/>
                <w:color w:val="000000" w:themeColor="text1"/>
                <w:lang w:eastAsia="fr-FR"/>
              </w:rPr>
              <w:t>aux installations existantes.</w:t>
            </w:r>
          </w:p>
          <w:p w14:paraId="71C1227B" w14:textId="77777777" w:rsidR="00B75353" w:rsidRPr="000D7FFD" w:rsidRDefault="00B75353" w:rsidP="00E03677">
            <w:pPr>
              <w:rPr>
                <w:color w:val="000000" w:themeColor="text1"/>
              </w:rPr>
            </w:pPr>
            <w:r w:rsidRPr="000D7FFD">
              <w:rPr>
                <w:color w:val="000000" w:themeColor="text1"/>
              </w:rPr>
              <w:t>Les dispositions du point VIII  ne sont applicables.</w:t>
            </w:r>
          </w:p>
        </w:tc>
      </w:tr>
      <w:tr w:rsidR="00B75353" w:rsidRPr="000D7FFD" w14:paraId="7509563A" w14:textId="77777777" w:rsidTr="00B75353">
        <w:trPr>
          <w:trHeight w:val="374"/>
        </w:trPr>
        <w:tc>
          <w:tcPr>
            <w:tcW w:w="1135" w:type="dxa"/>
          </w:tcPr>
          <w:p w14:paraId="647200CC" w14:textId="07E7A370" w:rsidR="00B75353" w:rsidRPr="000D7FFD" w:rsidRDefault="00B75353" w:rsidP="00E03677">
            <w:pPr>
              <w:rPr>
                <w:color w:val="000000" w:themeColor="text1"/>
              </w:rPr>
            </w:pPr>
            <w:r w:rsidRPr="000D7FFD">
              <w:rPr>
                <w:color w:val="000000" w:themeColor="text1"/>
              </w:rPr>
              <w:t>III.15</w:t>
            </w:r>
            <w:r>
              <w:rPr>
                <w:color w:val="000000" w:themeColor="text1"/>
              </w:rPr>
              <w:t xml:space="preserve"> à III.17</w:t>
            </w:r>
          </w:p>
        </w:tc>
        <w:tc>
          <w:tcPr>
            <w:tcW w:w="8079" w:type="dxa"/>
          </w:tcPr>
          <w:p w14:paraId="204E4066"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6E56E4E5" w14:textId="77777777" w:rsidTr="00B75353">
        <w:tc>
          <w:tcPr>
            <w:tcW w:w="1135" w:type="dxa"/>
          </w:tcPr>
          <w:p w14:paraId="079CC4F9" w14:textId="1F10B610" w:rsidR="00B75353" w:rsidRPr="000D7FFD" w:rsidRDefault="00B75353" w:rsidP="00E03677">
            <w:pPr>
              <w:rPr>
                <w:color w:val="000000" w:themeColor="text1"/>
              </w:rPr>
            </w:pPr>
            <w:r w:rsidRPr="000D7FFD">
              <w:rPr>
                <w:color w:val="000000" w:themeColor="text1"/>
              </w:rPr>
              <w:t>IV.1</w:t>
            </w:r>
            <w:r>
              <w:rPr>
                <w:color w:val="000000" w:themeColor="text1"/>
              </w:rPr>
              <w:t xml:space="preserve"> à IV.4</w:t>
            </w:r>
          </w:p>
        </w:tc>
        <w:tc>
          <w:tcPr>
            <w:tcW w:w="8079" w:type="dxa"/>
          </w:tcPr>
          <w:p w14:paraId="4A1DA52F"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6A43804A" w14:textId="77777777" w:rsidTr="00B75353">
        <w:tc>
          <w:tcPr>
            <w:tcW w:w="1135" w:type="dxa"/>
          </w:tcPr>
          <w:p w14:paraId="4E0C2F81" w14:textId="77777777" w:rsidR="00B75353" w:rsidRPr="000D7FFD" w:rsidRDefault="00B75353" w:rsidP="00E03677">
            <w:pPr>
              <w:rPr>
                <w:color w:val="000000" w:themeColor="text1"/>
              </w:rPr>
            </w:pPr>
            <w:r w:rsidRPr="000D7FFD">
              <w:rPr>
                <w:color w:val="000000" w:themeColor="text1"/>
              </w:rPr>
              <w:t>IV.5</w:t>
            </w:r>
            <w:r>
              <w:rPr>
                <w:color w:val="000000" w:themeColor="text1"/>
              </w:rPr>
              <w:t>- I</w:t>
            </w:r>
          </w:p>
        </w:tc>
        <w:tc>
          <w:tcPr>
            <w:tcW w:w="8079" w:type="dxa"/>
          </w:tcPr>
          <w:p w14:paraId="28A8AEB8" w14:textId="77777777" w:rsidR="00B75353" w:rsidRPr="000D7FFD" w:rsidRDefault="00B75353" w:rsidP="00E03677">
            <w:pPr>
              <w:rPr>
                <w:color w:val="000000" w:themeColor="text1"/>
              </w:rPr>
            </w:pPr>
            <w:r w:rsidRPr="000D7FFD">
              <w:rPr>
                <w:color w:val="000000" w:themeColor="text1"/>
              </w:rPr>
              <w:t>Ces dispositions sont applicables à compter du 1</w:t>
            </w:r>
            <w:r w:rsidRPr="000D7FFD">
              <w:rPr>
                <w:color w:val="000000" w:themeColor="text1"/>
                <w:vertAlign w:val="superscript"/>
              </w:rPr>
              <w:t>er</w:t>
            </w:r>
            <w:r w:rsidRPr="000D7FFD">
              <w:rPr>
                <w:color w:val="000000" w:themeColor="text1"/>
              </w:rPr>
              <w:t xml:space="preserve"> janvier 2023</w:t>
            </w:r>
          </w:p>
        </w:tc>
      </w:tr>
      <w:tr w:rsidR="00B75353" w:rsidRPr="000D7FFD" w14:paraId="4B529470" w14:textId="77777777" w:rsidTr="00B75353">
        <w:tc>
          <w:tcPr>
            <w:tcW w:w="1135" w:type="dxa"/>
          </w:tcPr>
          <w:p w14:paraId="3A9D809B" w14:textId="77777777" w:rsidR="00B75353" w:rsidRPr="000D7FFD" w:rsidRDefault="00B75353" w:rsidP="00E03677">
            <w:pPr>
              <w:rPr>
                <w:color w:val="000000" w:themeColor="text1"/>
              </w:rPr>
            </w:pPr>
            <w:r w:rsidRPr="000D7FFD">
              <w:rPr>
                <w:color w:val="000000" w:themeColor="text1"/>
              </w:rPr>
              <w:t>IV.5</w:t>
            </w:r>
            <w:r>
              <w:rPr>
                <w:color w:val="000000" w:themeColor="text1"/>
              </w:rPr>
              <w:t xml:space="preserve"> - II</w:t>
            </w:r>
          </w:p>
        </w:tc>
        <w:tc>
          <w:tcPr>
            <w:tcW w:w="8079" w:type="dxa"/>
          </w:tcPr>
          <w:p w14:paraId="1C0A1EF6" w14:textId="77777777" w:rsidR="00B75353" w:rsidRPr="000D7FFD" w:rsidRDefault="00B75353" w:rsidP="00E03677">
            <w:pPr>
              <w:rPr>
                <w:color w:val="000000" w:themeColor="text1"/>
              </w:rPr>
            </w:pPr>
            <w:r w:rsidRPr="000D7FFD">
              <w:rPr>
                <w:color w:val="000000" w:themeColor="text1"/>
              </w:rPr>
              <w:t>Ces dispositions sont applicables à compter du 1</w:t>
            </w:r>
            <w:r w:rsidRPr="000D7FFD">
              <w:rPr>
                <w:color w:val="000000" w:themeColor="text1"/>
                <w:vertAlign w:val="superscript"/>
              </w:rPr>
              <w:t>er</w:t>
            </w:r>
            <w:r w:rsidRPr="000D7FFD">
              <w:rPr>
                <w:color w:val="000000" w:themeColor="text1"/>
              </w:rPr>
              <w:t xml:space="preserve"> janvier 2026.</w:t>
            </w:r>
          </w:p>
        </w:tc>
      </w:tr>
      <w:tr w:rsidR="00B75353" w:rsidRPr="000D7FFD" w14:paraId="4EACA059" w14:textId="77777777" w:rsidTr="00B75353">
        <w:tc>
          <w:tcPr>
            <w:tcW w:w="1135" w:type="dxa"/>
          </w:tcPr>
          <w:p w14:paraId="3A157B0F" w14:textId="77777777" w:rsidR="00B75353" w:rsidRPr="000D7FFD" w:rsidRDefault="00B75353" w:rsidP="00E03677">
            <w:pPr>
              <w:rPr>
                <w:color w:val="000000" w:themeColor="text1"/>
              </w:rPr>
            </w:pPr>
            <w:r w:rsidRPr="000D7FFD">
              <w:rPr>
                <w:color w:val="000000" w:themeColor="text1"/>
              </w:rPr>
              <w:t>IV.6</w:t>
            </w:r>
          </w:p>
        </w:tc>
        <w:tc>
          <w:tcPr>
            <w:tcW w:w="8079" w:type="dxa"/>
          </w:tcPr>
          <w:p w14:paraId="7C93D704"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0C102CB0" w14:textId="77777777" w:rsidTr="00B75353">
        <w:tc>
          <w:tcPr>
            <w:tcW w:w="1135" w:type="dxa"/>
          </w:tcPr>
          <w:p w14:paraId="4F9065C0" w14:textId="44CDBEE1" w:rsidR="00B75353" w:rsidRPr="000D7FFD" w:rsidRDefault="00B75353" w:rsidP="00E03677">
            <w:pPr>
              <w:rPr>
                <w:color w:val="000000" w:themeColor="text1"/>
              </w:rPr>
            </w:pPr>
            <w:r w:rsidRPr="000D7FFD">
              <w:rPr>
                <w:color w:val="000000" w:themeColor="text1"/>
              </w:rPr>
              <w:t>V.1</w:t>
            </w:r>
            <w:r>
              <w:rPr>
                <w:color w:val="000000" w:themeColor="text1"/>
              </w:rPr>
              <w:t xml:space="preserve"> à V.5</w:t>
            </w:r>
          </w:p>
        </w:tc>
        <w:tc>
          <w:tcPr>
            <w:tcW w:w="8079" w:type="dxa"/>
          </w:tcPr>
          <w:p w14:paraId="55DCA0C3"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2B4B6605" w14:textId="77777777" w:rsidTr="00B75353">
        <w:tc>
          <w:tcPr>
            <w:tcW w:w="1135" w:type="dxa"/>
          </w:tcPr>
          <w:p w14:paraId="5B71F1D9" w14:textId="77777777" w:rsidR="00B75353" w:rsidRPr="000D7FFD" w:rsidRDefault="00B75353" w:rsidP="00E03677">
            <w:pPr>
              <w:rPr>
                <w:color w:val="000000" w:themeColor="text1"/>
              </w:rPr>
            </w:pPr>
            <w:r w:rsidRPr="000D7FFD">
              <w:rPr>
                <w:color w:val="000000" w:themeColor="text1"/>
              </w:rPr>
              <w:t>VI.1</w:t>
            </w:r>
          </w:p>
        </w:tc>
        <w:tc>
          <w:tcPr>
            <w:tcW w:w="8079" w:type="dxa"/>
          </w:tcPr>
          <w:p w14:paraId="56984993" w14:textId="77777777" w:rsidR="00B75353" w:rsidRPr="000D7FFD" w:rsidRDefault="00B75353" w:rsidP="00E03677">
            <w:pPr>
              <w:rPr>
                <w:color w:val="000000" w:themeColor="text1"/>
              </w:rPr>
            </w:pPr>
            <w:r w:rsidRPr="000D7FFD">
              <w:rPr>
                <w:color w:val="000000" w:themeColor="text1"/>
              </w:rPr>
              <w:t>La stratégie incendie est mise à jour au plus tard le 1</w:t>
            </w:r>
            <w:r w:rsidRPr="000D7FFD">
              <w:rPr>
                <w:color w:val="000000" w:themeColor="text1"/>
                <w:vertAlign w:val="superscript"/>
              </w:rPr>
              <w:t>er</w:t>
            </w:r>
            <w:r w:rsidRPr="000D7FFD">
              <w:rPr>
                <w:color w:val="000000" w:themeColor="text1"/>
              </w:rPr>
              <w:t xml:space="preserve"> janvier 2023.</w:t>
            </w:r>
          </w:p>
        </w:tc>
      </w:tr>
      <w:tr w:rsidR="00B75353" w:rsidRPr="000D7FFD" w14:paraId="722787AF" w14:textId="77777777" w:rsidTr="00B75353">
        <w:tc>
          <w:tcPr>
            <w:tcW w:w="1135" w:type="dxa"/>
          </w:tcPr>
          <w:p w14:paraId="06958A96" w14:textId="77777777" w:rsidR="00B75353" w:rsidRPr="000D7FFD" w:rsidRDefault="00B75353" w:rsidP="00E03677">
            <w:pPr>
              <w:rPr>
                <w:color w:val="000000" w:themeColor="text1"/>
              </w:rPr>
            </w:pPr>
            <w:r w:rsidRPr="000D7FFD">
              <w:rPr>
                <w:color w:val="000000" w:themeColor="text1"/>
              </w:rPr>
              <w:t>VI.2</w:t>
            </w:r>
          </w:p>
        </w:tc>
        <w:tc>
          <w:tcPr>
            <w:tcW w:w="8079" w:type="dxa"/>
          </w:tcPr>
          <w:p w14:paraId="0F86FBBB" w14:textId="77777777" w:rsidR="00B75353" w:rsidRPr="000D7FFD" w:rsidRDefault="00B75353" w:rsidP="00E03677">
            <w:pPr>
              <w:rPr>
                <w:color w:val="000000" w:themeColor="text1"/>
              </w:rPr>
            </w:pPr>
            <w:r w:rsidRPr="000D7FFD">
              <w:rPr>
                <w:color w:val="000000" w:themeColor="text1"/>
              </w:rPr>
              <w:t>Les dispositions des points IV et XII sont applicables au 1</w:t>
            </w:r>
            <w:r w:rsidRPr="000D7FFD">
              <w:rPr>
                <w:color w:val="000000" w:themeColor="text1"/>
                <w:vertAlign w:val="superscript"/>
              </w:rPr>
              <w:t>er</w:t>
            </w:r>
            <w:r w:rsidRPr="000D7FFD">
              <w:rPr>
                <w:color w:val="000000" w:themeColor="text1"/>
              </w:rPr>
              <w:t xml:space="preserve"> janvier 2021.</w:t>
            </w:r>
          </w:p>
          <w:p w14:paraId="4873E09E" w14:textId="77777777" w:rsidR="00B75353" w:rsidRPr="000D7FFD" w:rsidRDefault="00B75353" w:rsidP="00E03677">
            <w:pPr>
              <w:rPr>
                <w:color w:val="000000" w:themeColor="text1"/>
              </w:rPr>
            </w:pPr>
            <w:r w:rsidRPr="000D7FFD">
              <w:rPr>
                <w:color w:val="000000" w:themeColor="text1"/>
              </w:rPr>
              <w:t>Les travaux identifiés comme nécessaires lors de la mise à jour de la stratégie incendie en application des autres points de l’article VI.2 sont réalisés avant le 1</w:t>
            </w:r>
            <w:r w:rsidRPr="000D7FFD">
              <w:rPr>
                <w:color w:val="000000" w:themeColor="text1"/>
                <w:vertAlign w:val="superscript"/>
              </w:rPr>
              <w:t>er</w:t>
            </w:r>
            <w:r w:rsidRPr="000D7FFD">
              <w:rPr>
                <w:color w:val="000000" w:themeColor="text1"/>
              </w:rPr>
              <w:t xml:space="preserve"> janvier 2026.</w:t>
            </w:r>
          </w:p>
          <w:p w14:paraId="207CE345" w14:textId="77777777" w:rsidR="00B75353" w:rsidRPr="000D7FFD" w:rsidRDefault="00B75353" w:rsidP="00E03677">
            <w:pPr>
              <w:rPr>
                <w:color w:val="000000" w:themeColor="text1"/>
              </w:rPr>
            </w:pPr>
          </w:p>
        </w:tc>
      </w:tr>
      <w:tr w:rsidR="00B75353" w:rsidRPr="000D7FFD" w14:paraId="6C187BB0" w14:textId="77777777" w:rsidTr="00B75353">
        <w:tc>
          <w:tcPr>
            <w:tcW w:w="1135" w:type="dxa"/>
          </w:tcPr>
          <w:p w14:paraId="718D388F" w14:textId="77777777" w:rsidR="00B75353" w:rsidRPr="000D7FFD" w:rsidRDefault="00B75353" w:rsidP="00E03677">
            <w:pPr>
              <w:rPr>
                <w:color w:val="000000" w:themeColor="text1"/>
              </w:rPr>
            </w:pPr>
            <w:r w:rsidRPr="000D7FFD">
              <w:rPr>
                <w:color w:val="000000" w:themeColor="text1"/>
              </w:rPr>
              <w:t>VI.3</w:t>
            </w:r>
          </w:p>
        </w:tc>
        <w:tc>
          <w:tcPr>
            <w:tcW w:w="8079" w:type="dxa"/>
          </w:tcPr>
          <w:p w14:paraId="0592CEE9" w14:textId="77777777" w:rsidR="00B75353" w:rsidRPr="000D7FFD" w:rsidRDefault="00B75353"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tc>
      </w:tr>
      <w:tr w:rsidR="00B75353" w:rsidRPr="000D7FFD" w14:paraId="6E07CC06" w14:textId="77777777" w:rsidTr="00B75353">
        <w:tc>
          <w:tcPr>
            <w:tcW w:w="1135" w:type="dxa"/>
          </w:tcPr>
          <w:p w14:paraId="024DEDE0" w14:textId="77777777" w:rsidR="00B75353" w:rsidRPr="000D7FFD" w:rsidRDefault="00B75353" w:rsidP="00E03677">
            <w:pPr>
              <w:rPr>
                <w:color w:val="000000" w:themeColor="text1"/>
              </w:rPr>
            </w:pPr>
            <w:r w:rsidRPr="000D7FFD">
              <w:rPr>
                <w:color w:val="000000" w:themeColor="text1"/>
              </w:rPr>
              <w:t>VI.4</w:t>
            </w:r>
          </w:p>
        </w:tc>
        <w:tc>
          <w:tcPr>
            <w:tcW w:w="8079" w:type="dxa"/>
          </w:tcPr>
          <w:p w14:paraId="486F39C3"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6CB24B57" w14:textId="77777777" w:rsidTr="00B75353">
        <w:tc>
          <w:tcPr>
            <w:tcW w:w="1135" w:type="dxa"/>
          </w:tcPr>
          <w:p w14:paraId="3C2AE862" w14:textId="77777777" w:rsidR="00B75353" w:rsidRPr="000D7FFD" w:rsidRDefault="00B75353" w:rsidP="00E03677">
            <w:pPr>
              <w:rPr>
                <w:color w:val="000000" w:themeColor="text1"/>
              </w:rPr>
            </w:pPr>
            <w:r w:rsidRPr="000D7FFD">
              <w:rPr>
                <w:color w:val="000000" w:themeColor="text1"/>
              </w:rPr>
              <w:t>VI.5</w:t>
            </w:r>
          </w:p>
          <w:p w14:paraId="5521C826" w14:textId="77777777" w:rsidR="00B75353" w:rsidRPr="000D7FFD" w:rsidRDefault="00B75353" w:rsidP="00E03677">
            <w:pPr>
              <w:rPr>
                <w:color w:val="000000" w:themeColor="text1"/>
              </w:rPr>
            </w:pPr>
          </w:p>
        </w:tc>
        <w:tc>
          <w:tcPr>
            <w:tcW w:w="8079" w:type="dxa"/>
          </w:tcPr>
          <w:p w14:paraId="3353656F" w14:textId="77777777" w:rsidR="00B75353" w:rsidRPr="000D7FFD" w:rsidRDefault="00B75353" w:rsidP="00E03677">
            <w:pPr>
              <w:rPr>
                <w:color w:val="000000" w:themeColor="text1"/>
              </w:rPr>
            </w:pPr>
            <w:r w:rsidRPr="000D7FFD">
              <w:rPr>
                <w:color w:val="000000" w:themeColor="text1"/>
              </w:rPr>
              <w:t>Les dispositions du point I sont applicables.</w:t>
            </w:r>
          </w:p>
          <w:p w14:paraId="21670FCB" w14:textId="77777777" w:rsidR="00B75353" w:rsidRPr="000D7FFD" w:rsidRDefault="00B75353" w:rsidP="00E03677">
            <w:pPr>
              <w:rPr>
                <w:color w:val="000000" w:themeColor="text1"/>
              </w:rPr>
            </w:pPr>
            <w:r w:rsidRPr="000D7FFD">
              <w:rPr>
                <w:color w:val="000000" w:themeColor="text1"/>
              </w:rPr>
              <w:t>Les dispositions définies à l’annexe V sont applicables aux installations existantes à compter du 1</w:t>
            </w:r>
            <w:r w:rsidRPr="000D7FFD">
              <w:rPr>
                <w:color w:val="000000" w:themeColor="text1"/>
                <w:vertAlign w:val="superscript"/>
              </w:rPr>
              <w:t>er</w:t>
            </w:r>
            <w:r w:rsidRPr="000D7FFD">
              <w:rPr>
                <w:color w:val="000000" w:themeColor="text1"/>
              </w:rPr>
              <w:t xml:space="preserve"> janvier 2026 en lieu et place des dispositions du point II.</w:t>
            </w:r>
          </w:p>
          <w:p w14:paraId="3D3D1DF0" w14:textId="0AC0583C" w:rsidR="00B75353" w:rsidRPr="000D7FFD" w:rsidRDefault="00B75353" w:rsidP="00B75353">
            <w:pPr>
              <w:rPr>
                <w:color w:val="000000" w:themeColor="text1"/>
              </w:rPr>
            </w:pPr>
            <w:r w:rsidRPr="000D7FFD">
              <w:rPr>
                <w:color w:val="000000" w:themeColor="text1"/>
              </w:rPr>
              <w:t>Les dispositions du point III ne sont pas applicables.</w:t>
            </w:r>
          </w:p>
        </w:tc>
      </w:tr>
      <w:tr w:rsidR="00B75353" w:rsidRPr="000D7FFD" w14:paraId="5D651364" w14:textId="77777777" w:rsidTr="00B75353">
        <w:tc>
          <w:tcPr>
            <w:tcW w:w="1135" w:type="dxa"/>
          </w:tcPr>
          <w:p w14:paraId="0F012991" w14:textId="39529C7C" w:rsidR="00B75353" w:rsidRPr="000D7FFD" w:rsidRDefault="00B75353" w:rsidP="00E03677">
            <w:pPr>
              <w:rPr>
                <w:color w:val="000000" w:themeColor="text1"/>
              </w:rPr>
            </w:pPr>
            <w:r w:rsidRPr="000D7FFD">
              <w:rPr>
                <w:color w:val="000000" w:themeColor="text1"/>
              </w:rPr>
              <w:t xml:space="preserve">VI. 6 </w:t>
            </w:r>
            <w:r>
              <w:rPr>
                <w:color w:val="000000" w:themeColor="text1"/>
              </w:rPr>
              <w:t xml:space="preserve"> à VI.7</w:t>
            </w:r>
          </w:p>
        </w:tc>
        <w:tc>
          <w:tcPr>
            <w:tcW w:w="8079" w:type="dxa"/>
          </w:tcPr>
          <w:p w14:paraId="08A5D83B"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50F50016" w14:textId="77777777" w:rsidTr="00B75353">
        <w:tc>
          <w:tcPr>
            <w:tcW w:w="1135" w:type="dxa"/>
          </w:tcPr>
          <w:p w14:paraId="7617EC99" w14:textId="77777777" w:rsidR="00B75353" w:rsidRPr="000D7FFD" w:rsidRDefault="00B75353" w:rsidP="00E03677">
            <w:pPr>
              <w:rPr>
                <w:color w:val="000000" w:themeColor="text1"/>
              </w:rPr>
            </w:pPr>
            <w:r w:rsidRPr="000D7FFD">
              <w:rPr>
                <w:color w:val="000000" w:themeColor="text1"/>
              </w:rPr>
              <w:t>VI. 8</w:t>
            </w:r>
          </w:p>
        </w:tc>
        <w:tc>
          <w:tcPr>
            <w:tcW w:w="8079" w:type="dxa"/>
          </w:tcPr>
          <w:p w14:paraId="46CE45B7" w14:textId="77777777" w:rsidR="00B75353" w:rsidRPr="000D7FFD" w:rsidRDefault="00B75353" w:rsidP="00E03677">
            <w:pPr>
              <w:rPr>
                <w:color w:val="000000" w:themeColor="text1"/>
              </w:rPr>
            </w:pPr>
            <w:r w:rsidRPr="000D7FFD">
              <w:rPr>
                <w:color w:val="000000" w:themeColor="text1"/>
              </w:rPr>
              <w:t xml:space="preserve">Ces dispositions sont applicables. </w:t>
            </w:r>
          </w:p>
          <w:p w14:paraId="72556448" w14:textId="77777777" w:rsidR="00B75353" w:rsidRPr="000D7FFD" w:rsidRDefault="00B75353" w:rsidP="00E03677">
            <w:pPr>
              <w:rPr>
                <w:color w:val="000000" w:themeColor="text1"/>
              </w:rPr>
            </w:pPr>
            <w:r w:rsidRPr="000D7FFD">
              <w:rPr>
                <w:color w:val="000000" w:themeColor="text1"/>
              </w:rPr>
              <w:lastRenderedPageBreak/>
              <w:t>Dans le cas où aucun exercice n’a été mené dans les 3 dernières années, un exercice est organisé au plus tard le 1er janvier 2023.</w:t>
            </w:r>
          </w:p>
        </w:tc>
      </w:tr>
      <w:tr w:rsidR="00B75353" w:rsidRPr="000D7FFD" w14:paraId="5DE0C3CF" w14:textId="77777777" w:rsidTr="00B75353">
        <w:tc>
          <w:tcPr>
            <w:tcW w:w="1135" w:type="dxa"/>
          </w:tcPr>
          <w:p w14:paraId="6211356A" w14:textId="77777777" w:rsidR="00B75353" w:rsidRPr="000D7FFD" w:rsidRDefault="00B75353" w:rsidP="00E03677">
            <w:pPr>
              <w:rPr>
                <w:color w:val="000000" w:themeColor="text1"/>
              </w:rPr>
            </w:pPr>
            <w:r w:rsidRPr="000D7FFD">
              <w:rPr>
                <w:color w:val="000000" w:themeColor="text1"/>
              </w:rPr>
              <w:lastRenderedPageBreak/>
              <w:t>VII.1</w:t>
            </w:r>
          </w:p>
        </w:tc>
        <w:tc>
          <w:tcPr>
            <w:tcW w:w="8079" w:type="dxa"/>
          </w:tcPr>
          <w:p w14:paraId="165BE159" w14:textId="77777777" w:rsidR="00B75353" w:rsidRPr="000D7FFD" w:rsidRDefault="00B75353" w:rsidP="00E03677">
            <w:pPr>
              <w:rPr>
                <w:color w:val="000000" w:themeColor="text1"/>
              </w:rPr>
            </w:pPr>
            <w:r w:rsidRPr="000D7FFD">
              <w:rPr>
                <w:color w:val="000000" w:themeColor="text1"/>
              </w:rPr>
              <w:t>Ces dispositions ne sont pas applicables.</w:t>
            </w:r>
          </w:p>
        </w:tc>
      </w:tr>
    </w:tbl>
    <w:p w14:paraId="5C7E5640" w14:textId="77777777" w:rsidR="003E55A9" w:rsidRDefault="003E55A9" w:rsidP="003E55A9">
      <w:pPr>
        <w:spacing w:after="0" w:line="240" w:lineRule="auto"/>
      </w:pPr>
    </w:p>
    <w:p w14:paraId="5AF05466" w14:textId="77777777" w:rsidR="006669B2" w:rsidRDefault="006669B2" w:rsidP="006669B2">
      <w:pPr>
        <w:spacing w:after="0" w:line="240" w:lineRule="auto"/>
      </w:pPr>
    </w:p>
    <w:p w14:paraId="708E745C" w14:textId="6536A8E3" w:rsidR="003E55A9" w:rsidRDefault="006669B2" w:rsidP="003E55A9">
      <w:pPr>
        <w:spacing w:after="0" w:line="240" w:lineRule="auto"/>
      </w:pPr>
      <w:r>
        <w:t>II. pour les installations existantes autres que celles relevant du point I</w:t>
      </w:r>
      <w:r w:rsidRPr="00A4635E">
        <w:t xml:space="preserve">, </w:t>
      </w:r>
      <w:r w:rsidR="003E55A9" w:rsidRPr="00A4635E">
        <w:t>les dispositions du</w:t>
      </w:r>
      <w:r w:rsidR="003E55A9">
        <w:t xml:space="preserve"> présent arrêté sont applicables selon les modalités particulières précisées dans le tableau suivant :</w:t>
      </w:r>
    </w:p>
    <w:p w14:paraId="04DE515E" w14:textId="73C891CE" w:rsidR="003E55A9" w:rsidRDefault="003E55A9" w:rsidP="003E55A9">
      <w:pPr>
        <w:spacing w:after="0" w:line="240" w:lineRule="auto"/>
      </w:pPr>
    </w:p>
    <w:tbl>
      <w:tblPr>
        <w:tblStyle w:val="Grilledutableau"/>
        <w:tblW w:w="9214" w:type="dxa"/>
        <w:tblInd w:w="-147" w:type="dxa"/>
        <w:tblLayout w:type="fixed"/>
        <w:tblLook w:val="04A0" w:firstRow="1" w:lastRow="0" w:firstColumn="1" w:lastColumn="0" w:noHBand="0" w:noVBand="1"/>
      </w:tblPr>
      <w:tblGrid>
        <w:gridCol w:w="1135"/>
        <w:gridCol w:w="8079"/>
      </w:tblGrid>
      <w:tr w:rsidR="00B75353" w:rsidRPr="000D7FFD" w14:paraId="06359397" w14:textId="77777777" w:rsidTr="00B75353">
        <w:tc>
          <w:tcPr>
            <w:tcW w:w="1135" w:type="dxa"/>
          </w:tcPr>
          <w:p w14:paraId="4551CE9B" w14:textId="77777777" w:rsidR="00B75353" w:rsidRDefault="00B75353" w:rsidP="00E03677">
            <w:pPr>
              <w:rPr>
                <w:color w:val="000000" w:themeColor="text1"/>
              </w:rPr>
            </w:pPr>
            <w:r>
              <w:rPr>
                <w:color w:val="000000" w:themeColor="text1"/>
              </w:rPr>
              <w:t>Article concerné</w:t>
            </w:r>
          </w:p>
        </w:tc>
        <w:tc>
          <w:tcPr>
            <w:tcW w:w="8079" w:type="dxa"/>
          </w:tcPr>
          <w:p w14:paraId="42DCD74D" w14:textId="77777777" w:rsidR="00B75353" w:rsidRPr="000D7FFD" w:rsidRDefault="00B75353" w:rsidP="00E03677">
            <w:pPr>
              <w:rPr>
                <w:color w:val="000000" w:themeColor="text1"/>
              </w:rPr>
            </w:pPr>
            <w:r>
              <w:rPr>
                <w:color w:val="000000" w:themeColor="text1"/>
              </w:rPr>
              <w:t>Modalités particulières d’application de certains articles</w:t>
            </w:r>
          </w:p>
        </w:tc>
      </w:tr>
      <w:tr w:rsidR="00B75353" w:rsidRPr="000D7FFD" w14:paraId="5997CFE4" w14:textId="77777777" w:rsidTr="00B75353">
        <w:tc>
          <w:tcPr>
            <w:tcW w:w="1135" w:type="dxa"/>
          </w:tcPr>
          <w:p w14:paraId="506BBAF5" w14:textId="77777777" w:rsidR="00B75353" w:rsidRPr="000D7FFD" w:rsidRDefault="00B75353" w:rsidP="00E03677">
            <w:pPr>
              <w:rPr>
                <w:color w:val="000000" w:themeColor="text1"/>
              </w:rPr>
            </w:pPr>
            <w:r w:rsidRPr="000D7FFD">
              <w:rPr>
                <w:color w:val="000000" w:themeColor="text1"/>
              </w:rPr>
              <w:t>I</w:t>
            </w:r>
          </w:p>
        </w:tc>
        <w:tc>
          <w:tcPr>
            <w:tcW w:w="8079" w:type="dxa"/>
          </w:tcPr>
          <w:p w14:paraId="364EA2C6"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45BB7BBA" w14:textId="77777777" w:rsidTr="00B75353">
        <w:tc>
          <w:tcPr>
            <w:tcW w:w="1135" w:type="dxa"/>
          </w:tcPr>
          <w:p w14:paraId="300F46CE" w14:textId="77777777" w:rsidR="00B75353" w:rsidRPr="000D7FFD" w:rsidRDefault="00B75353" w:rsidP="00E03677">
            <w:pPr>
              <w:rPr>
                <w:color w:val="000000" w:themeColor="text1"/>
              </w:rPr>
            </w:pPr>
            <w:r w:rsidRPr="000D7FFD">
              <w:rPr>
                <w:color w:val="000000" w:themeColor="text1"/>
              </w:rPr>
              <w:t>II.1</w:t>
            </w:r>
          </w:p>
        </w:tc>
        <w:tc>
          <w:tcPr>
            <w:tcW w:w="8079" w:type="dxa"/>
          </w:tcPr>
          <w:p w14:paraId="44FBB989" w14:textId="48F40143" w:rsidR="00B75353" w:rsidRPr="000D7FFD" w:rsidRDefault="00B75353" w:rsidP="00E03677">
            <w:pPr>
              <w:rPr>
                <w:color w:val="000000" w:themeColor="text1"/>
              </w:rPr>
            </w:pPr>
            <w:r w:rsidRPr="000D7FFD">
              <w:rPr>
                <w:color w:val="000000" w:themeColor="text1"/>
              </w:rPr>
              <w:t>Les dispositions du II.1 sont remplacées par les dispositions suivantes de l’annexe 4.</w:t>
            </w:r>
          </w:p>
        </w:tc>
      </w:tr>
      <w:tr w:rsidR="00B75353" w:rsidRPr="000D7FFD" w14:paraId="346EAA6F" w14:textId="77777777" w:rsidTr="00B75353">
        <w:tc>
          <w:tcPr>
            <w:tcW w:w="1135" w:type="dxa"/>
          </w:tcPr>
          <w:p w14:paraId="44866AA8" w14:textId="77777777" w:rsidR="00B75353" w:rsidRPr="000D7FFD" w:rsidRDefault="00B75353" w:rsidP="00E03677">
            <w:pPr>
              <w:rPr>
                <w:rFonts w:eastAsia="Times New Roman"/>
                <w:color w:val="000000" w:themeColor="text1"/>
                <w:lang w:eastAsia="fr-FR"/>
              </w:rPr>
            </w:pPr>
            <w:r w:rsidRPr="000D7FFD">
              <w:rPr>
                <w:rFonts w:eastAsia="Times New Roman"/>
                <w:color w:val="000000" w:themeColor="text1"/>
                <w:lang w:eastAsia="fr-FR"/>
              </w:rPr>
              <w:t>II.2</w:t>
            </w:r>
          </w:p>
        </w:tc>
        <w:tc>
          <w:tcPr>
            <w:tcW w:w="8079" w:type="dxa"/>
          </w:tcPr>
          <w:p w14:paraId="6B924DE6" w14:textId="77777777" w:rsidR="00B75353" w:rsidRPr="000D7FFD" w:rsidRDefault="00B75353" w:rsidP="00E03677">
            <w:pPr>
              <w:rPr>
                <w:rFonts w:eastAsia="Times New Roman"/>
                <w:color w:val="000000" w:themeColor="text1"/>
                <w:lang w:eastAsia="fr-FR"/>
              </w:rPr>
            </w:pPr>
            <w:r w:rsidRPr="000D7FFD">
              <w:rPr>
                <w:color w:val="000000" w:themeColor="text1"/>
              </w:rPr>
              <w:t>Ces dispositions sont applicables.</w:t>
            </w:r>
          </w:p>
        </w:tc>
      </w:tr>
      <w:tr w:rsidR="00B75353" w:rsidRPr="000D7FFD" w14:paraId="11677002" w14:textId="77777777" w:rsidTr="00B75353">
        <w:tc>
          <w:tcPr>
            <w:tcW w:w="1135" w:type="dxa"/>
          </w:tcPr>
          <w:p w14:paraId="148D364C" w14:textId="77777777" w:rsidR="00B75353" w:rsidRPr="000D7FFD" w:rsidRDefault="00B75353" w:rsidP="00E03677">
            <w:pPr>
              <w:rPr>
                <w:color w:val="000000" w:themeColor="text1"/>
              </w:rPr>
            </w:pPr>
            <w:r w:rsidRPr="000D7FFD">
              <w:rPr>
                <w:color w:val="000000" w:themeColor="text1"/>
              </w:rPr>
              <w:t>II.3 I</w:t>
            </w:r>
          </w:p>
        </w:tc>
        <w:tc>
          <w:tcPr>
            <w:tcW w:w="8079" w:type="dxa"/>
          </w:tcPr>
          <w:p w14:paraId="387529DF" w14:textId="77777777" w:rsidR="00B75353" w:rsidRPr="000D7FFD" w:rsidRDefault="00B75353" w:rsidP="00E03677">
            <w:pPr>
              <w:rPr>
                <w:color w:val="000000" w:themeColor="text1"/>
              </w:rPr>
            </w:pPr>
            <w:r w:rsidRPr="000D7FFD">
              <w:rPr>
                <w:color w:val="000000" w:themeColor="text1"/>
              </w:rPr>
              <w:t>Cette disposition est applicable, sauf en cas d’</w:t>
            </w:r>
            <w:r w:rsidRPr="000D7FFD">
              <w:rPr>
                <w:rFonts w:eastAsia="Times New Roman"/>
                <w:color w:val="000000" w:themeColor="text1"/>
                <w:lang w:eastAsia="fr-FR"/>
              </w:rPr>
              <w:t>extensions ou modifications de ces installations. existantes au 30 mai 2011.</w:t>
            </w:r>
            <w:r w:rsidRPr="000D7FFD">
              <w:rPr>
                <w:color w:val="000000" w:themeColor="text1"/>
              </w:rPr>
              <w:t>, en cas d’impossibilité démontrée par une étude technico économique.</w:t>
            </w:r>
          </w:p>
        </w:tc>
      </w:tr>
      <w:tr w:rsidR="00B75353" w:rsidRPr="000D7FFD" w14:paraId="614EE8B9" w14:textId="77777777" w:rsidTr="00B75353">
        <w:tc>
          <w:tcPr>
            <w:tcW w:w="1135" w:type="dxa"/>
          </w:tcPr>
          <w:p w14:paraId="4840C33C" w14:textId="77777777" w:rsidR="00B75353" w:rsidRPr="000D7FFD" w:rsidRDefault="00B75353" w:rsidP="00E03677">
            <w:pPr>
              <w:rPr>
                <w:color w:val="000000" w:themeColor="text1"/>
              </w:rPr>
            </w:pPr>
            <w:r w:rsidRPr="000D7FFD">
              <w:rPr>
                <w:color w:val="000000" w:themeColor="text1"/>
              </w:rPr>
              <w:t>II. 3 II</w:t>
            </w:r>
          </w:p>
        </w:tc>
        <w:tc>
          <w:tcPr>
            <w:tcW w:w="8079" w:type="dxa"/>
          </w:tcPr>
          <w:p w14:paraId="663574C2" w14:textId="77777777" w:rsidR="00B75353" w:rsidRPr="000D7FFD" w:rsidRDefault="00B75353" w:rsidP="00E03677">
            <w:pPr>
              <w:rPr>
                <w:color w:val="000000" w:themeColor="text1"/>
              </w:rPr>
            </w:pPr>
            <w:r w:rsidRPr="000D7FFD">
              <w:rPr>
                <w:color w:val="000000" w:themeColor="text1"/>
              </w:rPr>
              <w:t>Les dispositions des deux premiers alinéas sont applicables.</w:t>
            </w:r>
          </w:p>
          <w:p w14:paraId="2BCD1783" w14:textId="77777777" w:rsidR="00B75353" w:rsidRPr="000D7FFD" w:rsidRDefault="00B75353" w:rsidP="00E03677">
            <w:pPr>
              <w:rPr>
                <w:color w:val="000000" w:themeColor="text1"/>
              </w:rPr>
            </w:pPr>
            <w:r w:rsidRPr="000D7FFD">
              <w:rPr>
                <w:color w:val="000000" w:themeColor="text1"/>
              </w:rPr>
              <w:t>Les dispositions du troisième alinéa sont applicables à compter du 1</w:t>
            </w:r>
            <w:r w:rsidRPr="000D7FFD">
              <w:rPr>
                <w:color w:val="000000" w:themeColor="text1"/>
                <w:vertAlign w:val="superscript"/>
              </w:rPr>
              <w:t>er</w:t>
            </w:r>
            <w:r w:rsidRPr="000D7FFD">
              <w:rPr>
                <w:color w:val="000000" w:themeColor="text1"/>
              </w:rPr>
              <w:t xml:space="preserve"> janvier 2023.</w:t>
            </w:r>
          </w:p>
        </w:tc>
      </w:tr>
      <w:tr w:rsidR="00B75353" w:rsidRPr="000D7FFD" w14:paraId="45148650" w14:textId="77777777" w:rsidTr="00B75353">
        <w:tc>
          <w:tcPr>
            <w:tcW w:w="1135" w:type="dxa"/>
          </w:tcPr>
          <w:p w14:paraId="2B42DB1F" w14:textId="77777777" w:rsidR="00B75353" w:rsidRPr="000D7FFD" w:rsidRDefault="00B75353" w:rsidP="00E03677">
            <w:pPr>
              <w:rPr>
                <w:color w:val="000000" w:themeColor="text1"/>
              </w:rPr>
            </w:pPr>
            <w:r w:rsidRPr="000D7FFD">
              <w:rPr>
                <w:color w:val="000000" w:themeColor="text1"/>
              </w:rPr>
              <w:t>II. 3 III</w:t>
            </w:r>
          </w:p>
        </w:tc>
        <w:tc>
          <w:tcPr>
            <w:tcW w:w="8079" w:type="dxa"/>
          </w:tcPr>
          <w:p w14:paraId="39ABD205"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34FBE26C" w14:textId="77777777" w:rsidTr="00B75353">
        <w:tc>
          <w:tcPr>
            <w:tcW w:w="1135" w:type="dxa"/>
          </w:tcPr>
          <w:p w14:paraId="3F718CC5" w14:textId="77777777" w:rsidR="00B75353" w:rsidRPr="000D7FFD" w:rsidRDefault="00B75353" w:rsidP="00E03677">
            <w:pPr>
              <w:rPr>
                <w:color w:val="000000" w:themeColor="text1"/>
              </w:rPr>
            </w:pPr>
            <w:r w:rsidRPr="000D7FFD">
              <w:rPr>
                <w:color w:val="000000" w:themeColor="text1"/>
              </w:rPr>
              <w:t>II.4 I</w:t>
            </w:r>
          </w:p>
        </w:tc>
        <w:tc>
          <w:tcPr>
            <w:tcW w:w="8079" w:type="dxa"/>
          </w:tcPr>
          <w:p w14:paraId="28738C69"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4EA05546" w14:textId="77777777" w:rsidTr="00B75353">
        <w:tc>
          <w:tcPr>
            <w:tcW w:w="1135" w:type="dxa"/>
          </w:tcPr>
          <w:p w14:paraId="3E2A1909" w14:textId="77777777" w:rsidR="00B75353" w:rsidRPr="000D7FFD" w:rsidRDefault="00B75353" w:rsidP="00E03677">
            <w:pPr>
              <w:rPr>
                <w:color w:val="000000" w:themeColor="text1"/>
              </w:rPr>
            </w:pPr>
            <w:r w:rsidRPr="000D7FFD">
              <w:rPr>
                <w:color w:val="000000" w:themeColor="text1"/>
              </w:rPr>
              <w:t>II.4 II</w:t>
            </w:r>
          </w:p>
        </w:tc>
        <w:tc>
          <w:tcPr>
            <w:tcW w:w="8079" w:type="dxa"/>
          </w:tcPr>
          <w:p w14:paraId="45243EA3" w14:textId="77777777" w:rsidR="00B75353" w:rsidRPr="000D7FFD" w:rsidRDefault="00B75353" w:rsidP="00E03677">
            <w:pPr>
              <w:rPr>
                <w:color w:val="000000" w:themeColor="text1"/>
              </w:rPr>
            </w:pPr>
            <w:r w:rsidRPr="000D7FFD">
              <w:rPr>
                <w:color w:val="000000" w:themeColor="text1"/>
              </w:rPr>
              <w:t>Ces dispositions ne sont pas applicables</w:t>
            </w:r>
          </w:p>
        </w:tc>
      </w:tr>
      <w:tr w:rsidR="00B75353" w:rsidRPr="000D7FFD" w14:paraId="511E1120" w14:textId="77777777" w:rsidTr="00B75353">
        <w:tc>
          <w:tcPr>
            <w:tcW w:w="1135" w:type="dxa"/>
          </w:tcPr>
          <w:p w14:paraId="77F4369E" w14:textId="77777777" w:rsidR="00B75353" w:rsidRPr="000D7FFD" w:rsidRDefault="00B75353" w:rsidP="00E03677">
            <w:pPr>
              <w:rPr>
                <w:color w:val="000000" w:themeColor="text1"/>
              </w:rPr>
            </w:pPr>
            <w:r w:rsidRPr="000D7FFD">
              <w:rPr>
                <w:color w:val="000000" w:themeColor="text1"/>
              </w:rPr>
              <w:t>III.1</w:t>
            </w:r>
          </w:p>
        </w:tc>
        <w:tc>
          <w:tcPr>
            <w:tcW w:w="8079" w:type="dxa"/>
          </w:tcPr>
          <w:p w14:paraId="3D2962D5" w14:textId="77777777" w:rsidR="00B75353" w:rsidRPr="000D7FFD" w:rsidRDefault="00B75353" w:rsidP="00E03677">
            <w:pPr>
              <w:rPr>
                <w:color w:val="000000" w:themeColor="text1"/>
              </w:rPr>
            </w:pPr>
            <w:r w:rsidRPr="000D7FFD">
              <w:rPr>
                <w:color w:val="000000" w:themeColor="text1"/>
              </w:rPr>
              <w:t>Ces dispositions sont applicables, selon les conditions définies dans l’article III.1</w:t>
            </w:r>
          </w:p>
        </w:tc>
      </w:tr>
      <w:tr w:rsidR="00B75353" w:rsidRPr="000D7FFD" w14:paraId="3633C2B4" w14:textId="77777777" w:rsidTr="00B75353">
        <w:tc>
          <w:tcPr>
            <w:tcW w:w="1135" w:type="dxa"/>
          </w:tcPr>
          <w:p w14:paraId="0983E340" w14:textId="0FCAE845" w:rsidR="00B75353" w:rsidRPr="000D7FFD" w:rsidRDefault="00B75353" w:rsidP="00E03677">
            <w:pPr>
              <w:rPr>
                <w:color w:val="000000" w:themeColor="text1"/>
              </w:rPr>
            </w:pPr>
            <w:r w:rsidRPr="000D7FFD">
              <w:rPr>
                <w:color w:val="000000" w:themeColor="text1"/>
              </w:rPr>
              <w:t>III.2</w:t>
            </w:r>
            <w:r>
              <w:rPr>
                <w:color w:val="000000" w:themeColor="text1"/>
              </w:rPr>
              <w:t xml:space="preserve"> à III.4</w:t>
            </w:r>
          </w:p>
        </w:tc>
        <w:tc>
          <w:tcPr>
            <w:tcW w:w="8079" w:type="dxa"/>
          </w:tcPr>
          <w:p w14:paraId="1851BC4B"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3BABF974" w14:textId="77777777" w:rsidTr="00B75353">
        <w:tc>
          <w:tcPr>
            <w:tcW w:w="1135" w:type="dxa"/>
          </w:tcPr>
          <w:p w14:paraId="02A0D9CA" w14:textId="77777777" w:rsidR="00B75353" w:rsidRPr="000D7FFD" w:rsidRDefault="00B75353" w:rsidP="00E03677">
            <w:pPr>
              <w:rPr>
                <w:color w:val="000000" w:themeColor="text1"/>
              </w:rPr>
            </w:pPr>
            <w:r w:rsidRPr="000D7FFD">
              <w:rPr>
                <w:color w:val="000000" w:themeColor="text1"/>
              </w:rPr>
              <w:t>III.5</w:t>
            </w:r>
          </w:p>
        </w:tc>
        <w:tc>
          <w:tcPr>
            <w:tcW w:w="8079" w:type="dxa"/>
          </w:tcPr>
          <w:p w14:paraId="387DF3CF" w14:textId="77777777" w:rsidR="00B75353" w:rsidRPr="000D7FFD" w:rsidRDefault="00B75353" w:rsidP="00E03677">
            <w:pPr>
              <w:rPr>
                <w:color w:val="000000" w:themeColor="text1"/>
              </w:rPr>
            </w:pPr>
            <w:r w:rsidRPr="000D7FFD">
              <w:rPr>
                <w:color w:val="000000" w:themeColor="text1"/>
              </w:rPr>
              <w:t>L’alinéa suivant est applicable au 1</w:t>
            </w:r>
            <w:r w:rsidRPr="000D7FFD">
              <w:rPr>
                <w:color w:val="000000" w:themeColor="text1"/>
                <w:vertAlign w:val="superscript"/>
              </w:rPr>
              <w:t>er</w:t>
            </w:r>
            <w:r w:rsidRPr="000D7FFD">
              <w:rPr>
                <w:color w:val="000000" w:themeColor="text1"/>
              </w:rPr>
              <w:t xml:space="preserve"> janvier 2026 : » Si l'éclairage met en œuvre des lampes à vapeur de sodium ou de mercure, l'exploitant prend les dispositions nécessaires pour qu'en cas d'éclatement de l'ampoule, tous les éléments soient confinés dans l'appareil. »</w:t>
            </w:r>
          </w:p>
          <w:p w14:paraId="52FF0EA9" w14:textId="77777777" w:rsidR="00B75353" w:rsidRPr="000D7FFD" w:rsidRDefault="00B75353" w:rsidP="00E03677">
            <w:pPr>
              <w:rPr>
                <w:color w:val="000000" w:themeColor="text1"/>
              </w:rPr>
            </w:pPr>
            <w:r w:rsidRPr="000D7FFD">
              <w:rPr>
                <w:color w:val="000000" w:themeColor="text1"/>
              </w:rPr>
              <w:t>Le dernier alinéa du point I n’est pas applicable aux installations existantes</w:t>
            </w:r>
          </w:p>
          <w:p w14:paraId="1DE247A8" w14:textId="77777777" w:rsidR="00B75353" w:rsidRPr="000D7FFD" w:rsidRDefault="00B75353" w:rsidP="00E03677">
            <w:pPr>
              <w:rPr>
                <w:color w:val="000000" w:themeColor="text1"/>
              </w:rPr>
            </w:pPr>
            <w:r w:rsidRPr="000D7FFD">
              <w:rPr>
                <w:color w:val="000000" w:themeColor="text1"/>
              </w:rPr>
              <w:t>Les autres dispositions sont applicables au 1</w:t>
            </w:r>
            <w:r w:rsidRPr="000D7FFD">
              <w:rPr>
                <w:color w:val="000000" w:themeColor="text1"/>
                <w:vertAlign w:val="superscript"/>
              </w:rPr>
              <w:t>er</w:t>
            </w:r>
            <w:r w:rsidRPr="000D7FFD">
              <w:rPr>
                <w:color w:val="000000" w:themeColor="text1"/>
              </w:rPr>
              <w:t xml:space="preserve"> au 1</w:t>
            </w:r>
            <w:r w:rsidRPr="000D7FFD">
              <w:rPr>
                <w:color w:val="000000" w:themeColor="text1"/>
                <w:vertAlign w:val="superscript"/>
              </w:rPr>
              <w:t>er</w:t>
            </w:r>
            <w:r w:rsidRPr="000D7FFD">
              <w:rPr>
                <w:color w:val="000000" w:themeColor="text1"/>
              </w:rPr>
              <w:t xml:space="preserve"> janvier 2023.</w:t>
            </w:r>
          </w:p>
        </w:tc>
      </w:tr>
      <w:tr w:rsidR="00B75353" w:rsidRPr="000D7FFD" w14:paraId="4A0D9661" w14:textId="77777777" w:rsidTr="00B75353">
        <w:tc>
          <w:tcPr>
            <w:tcW w:w="1135" w:type="dxa"/>
          </w:tcPr>
          <w:p w14:paraId="4F8DAF08" w14:textId="77777777" w:rsidR="00B75353" w:rsidRPr="000D7FFD" w:rsidRDefault="00B75353" w:rsidP="00E03677">
            <w:pPr>
              <w:rPr>
                <w:color w:val="000000" w:themeColor="text1"/>
              </w:rPr>
            </w:pPr>
            <w:r w:rsidRPr="000D7FFD">
              <w:rPr>
                <w:color w:val="000000" w:themeColor="text1"/>
              </w:rPr>
              <w:t>III.6</w:t>
            </w:r>
          </w:p>
        </w:tc>
        <w:tc>
          <w:tcPr>
            <w:tcW w:w="8079" w:type="dxa"/>
          </w:tcPr>
          <w:p w14:paraId="2B1596FF" w14:textId="77777777" w:rsidR="00B75353" w:rsidRPr="000D7FFD" w:rsidRDefault="00B75353" w:rsidP="00E03677">
            <w:pPr>
              <w:rPr>
                <w:color w:val="000000" w:themeColor="text1"/>
              </w:rPr>
            </w:pPr>
            <w:r w:rsidRPr="000D7FFD">
              <w:rPr>
                <w:color w:val="000000" w:themeColor="text1"/>
              </w:rPr>
              <w:t>Les dispositions du I ne sont pas applicables aux installations existantes</w:t>
            </w:r>
          </w:p>
          <w:p w14:paraId="764E8389" w14:textId="77777777" w:rsidR="00B75353" w:rsidRPr="000D7FFD" w:rsidRDefault="00B75353" w:rsidP="00E03677">
            <w:pPr>
              <w:rPr>
                <w:color w:val="000000" w:themeColor="text1"/>
              </w:rPr>
            </w:pPr>
            <w:r w:rsidRPr="000D7FFD">
              <w:rPr>
                <w:color w:val="000000" w:themeColor="text1"/>
              </w:rPr>
              <w:t>Les dispositions des points II et III sont applicables au 1</w:t>
            </w:r>
            <w:r w:rsidRPr="000D7FFD">
              <w:rPr>
                <w:color w:val="000000" w:themeColor="text1"/>
                <w:vertAlign w:val="superscript"/>
              </w:rPr>
              <w:t>er</w:t>
            </w:r>
            <w:r w:rsidRPr="000D7FFD">
              <w:rPr>
                <w:color w:val="000000" w:themeColor="text1"/>
              </w:rPr>
              <w:t xml:space="preserve"> janvier 2026..</w:t>
            </w:r>
          </w:p>
        </w:tc>
      </w:tr>
      <w:tr w:rsidR="00B75353" w:rsidRPr="000D7FFD" w14:paraId="3AF7F8AA" w14:textId="77777777" w:rsidTr="00B75353">
        <w:tc>
          <w:tcPr>
            <w:tcW w:w="1135" w:type="dxa"/>
          </w:tcPr>
          <w:p w14:paraId="064EE26E" w14:textId="77777777" w:rsidR="00B75353" w:rsidRPr="000D7FFD" w:rsidRDefault="00B75353" w:rsidP="00E03677">
            <w:pPr>
              <w:rPr>
                <w:color w:val="000000" w:themeColor="text1"/>
              </w:rPr>
            </w:pPr>
            <w:r w:rsidRPr="000D7FFD">
              <w:rPr>
                <w:color w:val="000000" w:themeColor="text1"/>
              </w:rPr>
              <w:t>III.7</w:t>
            </w:r>
          </w:p>
        </w:tc>
        <w:tc>
          <w:tcPr>
            <w:tcW w:w="8079" w:type="dxa"/>
          </w:tcPr>
          <w:p w14:paraId="4875B8D6" w14:textId="77777777" w:rsidR="00B75353" w:rsidRPr="000D7FFD" w:rsidRDefault="00B75353"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tc>
      </w:tr>
      <w:tr w:rsidR="00B75353" w:rsidRPr="000D7FFD" w14:paraId="024F1D17" w14:textId="77777777" w:rsidTr="00B75353">
        <w:tc>
          <w:tcPr>
            <w:tcW w:w="1135" w:type="dxa"/>
          </w:tcPr>
          <w:p w14:paraId="560B5A5D" w14:textId="77777777" w:rsidR="00B75353" w:rsidRPr="000D7FFD" w:rsidRDefault="00B75353" w:rsidP="00E03677">
            <w:pPr>
              <w:rPr>
                <w:color w:val="000000" w:themeColor="text1"/>
              </w:rPr>
            </w:pPr>
            <w:r w:rsidRPr="000D7FFD">
              <w:rPr>
                <w:color w:val="000000" w:themeColor="text1"/>
              </w:rPr>
              <w:t>III.8</w:t>
            </w:r>
          </w:p>
        </w:tc>
        <w:tc>
          <w:tcPr>
            <w:tcW w:w="8079" w:type="dxa"/>
          </w:tcPr>
          <w:p w14:paraId="082AB02E" w14:textId="77777777" w:rsidR="00B75353" w:rsidRPr="000D7FFD" w:rsidRDefault="00B75353" w:rsidP="00E03677">
            <w:pPr>
              <w:rPr>
                <w:color w:val="000000" w:themeColor="text1"/>
              </w:rPr>
            </w:pPr>
            <w:r w:rsidRPr="000D7FFD">
              <w:rPr>
                <w:color w:val="000000" w:themeColor="text1"/>
              </w:rPr>
              <w:t>Un dispositif de détection conforme aux dispositions du III.4 est mis en place à compter du 1</w:t>
            </w:r>
            <w:r w:rsidRPr="000D7FFD">
              <w:rPr>
                <w:color w:val="000000" w:themeColor="text1"/>
                <w:vertAlign w:val="superscript"/>
              </w:rPr>
              <w:t>er</w:t>
            </w:r>
            <w:r w:rsidRPr="000D7FFD">
              <w:rPr>
                <w:color w:val="000000" w:themeColor="text1"/>
              </w:rPr>
              <w:t xml:space="preserve"> janvier 2026. Les autres dispositions ne sont pas applicables aux installations existantes.</w:t>
            </w:r>
          </w:p>
          <w:p w14:paraId="68B59C7D" w14:textId="77777777" w:rsidR="00B75353" w:rsidRPr="000D7FFD" w:rsidRDefault="00B75353" w:rsidP="00E03677">
            <w:pPr>
              <w:rPr>
                <w:color w:val="000000" w:themeColor="text1"/>
              </w:rPr>
            </w:pPr>
            <w:r w:rsidRPr="000D7FFD">
              <w:rPr>
                <w:color w:val="000000" w:themeColor="text1"/>
              </w:rPr>
              <w:t>Néanmoins, en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ces dispositions sont applicables à l’extension. </w:t>
            </w:r>
          </w:p>
          <w:p w14:paraId="1A416811" w14:textId="77777777" w:rsidR="00B75353" w:rsidRPr="000D7FFD" w:rsidRDefault="00B75353" w:rsidP="00E03677">
            <w:pPr>
              <w:rPr>
                <w:color w:val="000000" w:themeColor="text1"/>
              </w:rPr>
            </w:pPr>
          </w:p>
        </w:tc>
      </w:tr>
      <w:tr w:rsidR="00B75353" w:rsidRPr="000D7FFD" w14:paraId="105FE829" w14:textId="77777777" w:rsidTr="00B75353">
        <w:tc>
          <w:tcPr>
            <w:tcW w:w="1135" w:type="dxa"/>
          </w:tcPr>
          <w:p w14:paraId="301BBECB" w14:textId="77777777" w:rsidR="00B75353" w:rsidRPr="000D7FFD" w:rsidRDefault="00B75353" w:rsidP="00E03677">
            <w:pPr>
              <w:rPr>
                <w:color w:val="000000" w:themeColor="text1"/>
              </w:rPr>
            </w:pPr>
            <w:r w:rsidRPr="000D7FFD">
              <w:rPr>
                <w:color w:val="000000" w:themeColor="text1"/>
              </w:rPr>
              <w:t>III.9</w:t>
            </w:r>
          </w:p>
        </w:tc>
        <w:tc>
          <w:tcPr>
            <w:tcW w:w="8079" w:type="dxa"/>
          </w:tcPr>
          <w:p w14:paraId="7206B495" w14:textId="77777777" w:rsidR="00B75353" w:rsidRPr="000D7FFD" w:rsidRDefault="00B75353"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p w14:paraId="064ABD48" w14:textId="77777777" w:rsidR="00B75353" w:rsidRPr="000D7FFD" w:rsidRDefault="00B75353" w:rsidP="00E03677">
            <w:pPr>
              <w:rPr>
                <w:color w:val="000000" w:themeColor="text1"/>
              </w:rPr>
            </w:pPr>
            <w:r w:rsidRPr="000D7FFD">
              <w:rPr>
                <w:color w:val="000000" w:themeColor="text1"/>
              </w:rPr>
              <w:t xml:space="preserve">Concernant la surface maximale susceptible d'être en feu, celle-ci peut être portée à 1000 m2, si la distance entre ilôts est suffisante pour garantir que les effets dominos (seuil des effets thermiques de 8kW/m²) ne sont pas atteints de bord de la rétention vis à vis de tout autre ilôt, rétention extérieure associée à des réservoirs, ou tout autre activité ou bâtiment. </w:t>
            </w:r>
          </w:p>
          <w:p w14:paraId="7C4C1E16" w14:textId="77777777" w:rsidR="00B75353" w:rsidRPr="000D7FFD" w:rsidRDefault="00B75353" w:rsidP="00E03677">
            <w:pPr>
              <w:rPr>
                <w:color w:val="000000" w:themeColor="text1"/>
              </w:rPr>
            </w:pPr>
            <w:r w:rsidRPr="000D7FFD">
              <w:rPr>
                <w:color w:val="000000" w:themeColor="text1"/>
              </w:rPr>
              <w:t>La configuration des ilôts respecte alors les conditions suivantes :</w:t>
            </w:r>
          </w:p>
          <w:tbl>
            <w:tblPr>
              <w:tblStyle w:val="Grilledutableau"/>
              <w:tblW w:w="7547" w:type="dxa"/>
              <w:tblLayout w:type="fixed"/>
              <w:tblLook w:val="04A0" w:firstRow="1" w:lastRow="0" w:firstColumn="1" w:lastColumn="0" w:noHBand="0" w:noVBand="1"/>
            </w:tblPr>
            <w:tblGrid>
              <w:gridCol w:w="3020"/>
              <w:gridCol w:w="4527"/>
            </w:tblGrid>
            <w:tr w:rsidR="00B75353" w:rsidRPr="000D7FFD" w14:paraId="3962D5A6" w14:textId="77777777" w:rsidTr="00B75353">
              <w:tc>
                <w:tcPr>
                  <w:tcW w:w="3020" w:type="dxa"/>
                </w:tcPr>
                <w:p w14:paraId="0F2B3545" w14:textId="77777777" w:rsidR="00B75353" w:rsidRPr="000D7FFD" w:rsidRDefault="00B75353" w:rsidP="00E03677">
                  <w:pPr>
                    <w:rPr>
                      <w:color w:val="000000" w:themeColor="text1"/>
                    </w:rPr>
                  </w:pPr>
                  <w:r w:rsidRPr="000D7FFD">
                    <w:rPr>
                      <w:color w:val="000000" w:themeColor="text1"/>
                    </w:rPr>
                    <w:lastRenderedPageBreak/>
                    <w:t>Surface maximale susceptible d’être en feu</w:t>
                  </w:r>
                </w:p>
              </w:tc>
              <w:tc>
                <w:tcPr>
                  <w:tcW w:w="4527" w:type="dxa"/>
                </w:tcPr>
                <w:p w14:paraId="07A7548A" w14:textId="77777777" w:rsidR="00B75353" w:rsidRPr="000D7FFD" w:rsidRDefault="00B75353" w:rsidP="00E03677">
                  <w:pPr>
                    <w:rPr>
                      <w:color w:val="000000" w:themeColor="text1"/>
                    </w:rPr>
                  </w:pPr>
                  <w:r w:rsidRPr="000D7FFD">
                    <w:rPr>
                      <w:color w:val="000000" w:themeColor="text1"/>
                    </w:rPr>
                    <w:t>Distance minimale entre le bord de la rétention rétention vis à vis de tout autre ilôt, rétention extérieure associée à des réservoirs, ou tout autre activité ou bâtiment</w:t>
                  </w:r>
                </w:p>
              </w:tc>
            </w:tr>
            <w:tr w:rsidR="00B75353" w:rsidRPr="000D7FFD" w14:paraId="0992DC76" w14:textId="77777777" w:rsidTr="00B75353">
              <w:tc>
                <w:tcPr>
                  <w:tcW w:w="3020" w:type="dxa"/>
                </w:tcPr>
                <w:p w14:paraId="1FAB1EE4" w14:textId="77777777" w:rsidR="00B75353" w:rsidRPr="000D7FFD" w:rsidRDefault="00B75353" w:rsidP="00E03677">
                  <w:pPr>
                    <w:rPr>
                      <w:color w:val="000000" w:themeColor="text1"/>
                    </w:rPr>
                  </w:pPr>
                  <w:r w:rsidRPr="000D7FFD">
                    <w:rPr>
                      <w:color w:val="000000" w:themeColor="text1"/>
                    </w:rPr>
                    <w:t>Jusqu’à 750 m²</w:t>
                  </w:r>
                </w:p>
              </w:tc>
              <w:tc>
                <w:tcPr>
                  <w:tcW w:w="4527" w:type="dxa"/>
                </w:tcPr>
                <w:p w14:paraId="02CCE5A7" w14:textId="77777777" w:rsidR="00B75353" w:rsidRPr="000D7FFD" w:rsidRDefault="00B75353" w:rsidP="00E03677">
                  <w:pPr>
                    <w:rPr>
                      <w:color w:val="000000" w:themeColor="text1"/>
                    </w:rPr>
                  </w:pPr>
                  <w:r w:rsidRPr="000D7FFD">
                    <w:rPr>
                      <w:color w:val="000000" w:themeColor="text1"/>
                    </w:rPr>
                    <w:t>15 m</w:t>
                  </w:r>
                </w:p>
              </w:tc>
            </w:tr>
            <w:tr w:rsidR="00B75353" w:rsidRPr="000D7FFD" w14:paraId="56446FDD" w14:textId="77777777" w:rsidTr="00B75353">
              <w:tc>
                <w:tcPr>
                  <w:tcW w:w="3020" w:type="dxa"/>
                </w:tcPr>
                <w:p w14:paraId="62205576" w14:textId="77777777" w:rsidR="00B75353" w:rsidRPr="000D7FFD" w:rsidRDefault="00B75353" w:rsidP="00E03677">
                  <w:pPr>
                    <w:rPr>
                      <w:color w:val="000000" w:themeColor="text1"/>
                    </w:rPr>
                  </w:pPr>
                  <w:r w:rsidRPr="000D7FFD">
                    <w:rPr>
                      <w:color w:val="000000" w:themeColor="text1"/>
                    </w:rPr>
                    <w:t>Jusqu’à 1000 m²</w:t>
                  </w:r>
                </w:p>
              </w:tc>
              <w:tc>
                <w:tcPr>
                  <w:tcW w:w="4527" w:type="dxa"/>
                </w:tcPr>
                <w:p w14:paraId="0D7B825A" w14:textId="77777777" w:rsidR="00B75353" w:rsidRPr="000D7FFD" w:rsidRDefault="00B75353" w:rsidP="00E03677">
                  <w:pPr>
                    <w:rPr>
                      <w:color w:val="000000" w:themeColor="text1"/>
                    </w:rPr>
                  </w:pPr>
                  <w:r w:rsidRPr="000D7FFD">
                    <w:rPr>
                      <w:color w:val="000000" w:themeColor="text1"/>
                    </w:rPr>
                    <w:t>20 m</w:t>
                  </w:r>
                </w:p>
              </w:tc>
            </w:tr>
          </w:tbl>
          <w:p w14:paraId="1A8461D4" w14:textId="77777777" w:rsidR="00B75353" w:rsidRPr="000D7FFD" w:rsidRDefault="00B75353" w:rsidP="00E03677">
            <w:pPr>
              <w:rPr>
                <w:rFonts w:eastAsia="Times New Roman" w:cs="Times New Roman"/>
                <w:color w:val="000000" w:themeColor="text1"/>
                <w:szCs w:val="24"/>
                <w:lang w:eastAsia="fr-FR"/>
              </w:rPr>
            </w:pPr>
            <w:r w:rsidRPr="000D7FFD">
              <w:rPr>
                <w:rFonts w:eastAsia="Times New Roman" w:cs="Times New Roman"/>
                <w:color w:val="000000" w:themeColor="text1"/>
                <w:szCs w:val="24"/>
                <w:lang w:eastAsia="fr-FR"/>
              </w:rPr>
              <w:t>Ces distances peuvent être réduites si les effets domino (seuil des effets thermiques de 8kW/m²) ne sont pas atteints, par l’emploi de dispositions passives, du stockage vers tout autre ilôt de stockage ou activité et de tout autre ilôt de stockage ou autre activité vers le stockage</w:t>
            </w:r>
            <w:r w:rsidRPr="000D7FFD">
              <w:rPr>
                <w:rFonts w:cs="Times New Roman"/>
                <w:color w:val="000000" w:themeColor="text1"/>
                <w:szCs w:val="24"/>
              </w:rPr>
              <w:t xml:space="preserve">. La mise en place d’un mur </w:t>
            </w:r>
            <w:r w:rsidRPr="000D7FFD">
              <w:rPr>
                <w:color w:val="000000" w:themeColor="text1"/>
              </w:rPr>
              <w:t>coupe-feu EI 120 de dimensions suffisantes pour contenir les effets dominos permet de répondre à cette exigence. Les éléments de justification, et le cas échéant, de démonstration du respect des règles en vigueur concernant le mur coupe-feu, sont tenus à la disposition de l’inspection des installations classées</w:t>
            </w:r>
            <w:r w:rsidRPr="000D7FFD">
              <w:rPr>
                <w:rFonts w:cs="Times New Roman"/>
                <w:color w:val="000000" w:themeColor="text1"/>
                <w:szCs w:val="24"/>
              </w:rPr>
              <w:t xml:space="preserve">. </w:t>
            </w:r>
          </w:p>
          <w:p w14:paraId="63A9D51C" w14:textId="77777777" w:rsidR="00B75353" w:rsidRPr="000D7FFD" w:rsidRDefault="00B75353" w:rsidP="00E03677">
            <w:pPr>
              <w:rPr>
                <w:color w:val="000000" w:themeColor="text1"/>
              </w:rPr>
            </w:pPr>
          </w:p>
        </w:tc>
      </w:tr>
      <w:tr w:rsidR="00B75353" w:rsidRPr="000D7FFD" w14:paraId="59FBBF79" w14:textId="77777777" w:rsidTr="00B75353">
        <w:tc>
          <w:tcPr>
            <w:tcW w:w="1135" w:type="dxa"/>
          </w:tcPr>
          <w:p w14:paraId="4A5A2FA8" w14:textId="77777777" w:rsidR="00B75353" w:rsidRPr="000D7FFD" w:rsidRDefault="00B75353" w:rsidP="00E03677">
            <w:pPr>
              <w:rPr>
                <w:color w:val="000000" w:themeColor="text1"/>
              </w:rPr>
            </w:pPr>
            <w:r w:rsidRPr="000D7FFD">
              <w:rPr>
                <w:color w:val="000000" w:themeColor="text1"/>
              </w:rPr>
              <w:lastRenderedPageBreak/>
              <w:t>III.10</w:t>
            </w:r>
          </w:p>
        </w:tc>
        <w:tc>
          <w:tcPr>
            <w:tcW w:w="8079" w:type="dxa"/>
          </w:tcPr>
          <w:p w14:paraId="355A3E21" w14:textId="77777777" w:rsidR="00B75353" w:rsidRPr="000D7FFD" w:rsidRDefault="00B75353"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tc>
      </w:tr>
      <w:tr w:rsidR="00B75353" w:rsidRPr="000D7FFD" w14:paraId="362553D1" w14:textId="77777777" w:rsidTr="00B75353">
        <w:tc>
          <w:tcPr>
            <w:tcW w:w="1135" w:type="dxa"/>
          </w:tcPr>
          <w:p w14:paraId="29ED7AAC" w14:textId="77777777" w:rsidR="00B75353" w:rsidRPr="000D7FFD" w:rsidRDefault="00B75353" w:rsidP="00E03677">
            <w:pPr>
              <w:rPr>
                <w:color w:val="000000" w:themeColor="text1"/>
              </w:rPr>
            </w:pPr>
            <w:r w:rsidRPr="000D7FFD">
              <w:rPr>
                <w:color w:val="000000" w:themeColor="text1"/>
              </w:rPr>
              <w:t>III.11 –I</w:t>
            </w:r>
          </w:p>
        </w:tc>
        <w:tc>
          <w:tcPr>
            <w:tcW w:w="8079" w:type="dxa"/>
          </w:tcPr>
          <w:p w14:paraId="38BE4908"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30E5A067" w14:textId="77777777" w:rsidTr="00B75353">
        <w:tc>
          <w:tcPr>
            <w:tcW w:w="1135" w:type="dxa"/>
          </w:tcPr>
          <w:p w14:paraId="510D4341" w14:textId="77777777" w:rsidR="00B75353" w:rsidRPr="000D7FFD" w:rsidRDefault="00B75353" w:rsidP="00E03677">
            <w:pPr>
              <w:rPr>
                <w:color w:val="000000" w:themeColor="text1"/>
              </w:rPr>
            </w:pPr>
            <w:r w:rsidRPr="000D7FFD">
              <w:rPr>
                <w:color w:val="000000" w:themeColor="text1"/>
              </w:rPr>
              <w:t>III.11-II</w:t>
            </w:r>
          </w:p>
        </w:tc>
        <w:tc>
          <w:tcPr>
            <w:tcW w:w="8079" w:type="dxa"/>
          </w:tcPr>
          <w:p w14:paraId="2A016AD4"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188C88CD" w14:textId="77777777" w:rsidTr="00B75353">
        <w:tc>
          <w:tcPr>
            <w:tcW w:w="1135" w:type="dxa"/>
          </w:tcPr>
          <w:p w14:paraId="74476189" w14:textId="77777777" w:rsidR="00B75353" w:rsidRPr="000D7FFD" w:rsidRDefault="00B75353" w:rsidP="00E03677">
            <w:pPr>
              <w:rPr>
                <w:color w:val="000000" w:themeColor="text1"/>
              </w:rPr>
            </w:pPr>
            <w:r w:rsidRPr="000D7FFD">
              <w:rPr>
                <w:color w:val="000000" w:themeColor="text1"/>
              </w:rPr>
              <w:t>III.11-III</w:t>
            </w:r>
          </w:p>
        </w:tc>
        <w:tc>
          <w:tcPr>
            <w:tcW w:w="8079" w:type="dxa"/>
          </w:tcPr>
          <w:p w14:paraId="120EADFD" w14:textId="77777777" w:rsidR="00B75353" w:rsidRPr="000D7FFD" w:rsidRDefault="00B75353" w:rsidP="00E03677">
            <w:pPr>
              <w:rPr>
                <w:color w:val="000000" w:themeColor="text1"/>
              </w:rPr>
            </w:pPr>
            <w:r w:rsidRPr="000D7FFD">
              <w:rPr>
                <w:color w:val="000000" w:themeColor="text1"/>
              </w:rPr>
              <w:t>Cette disposition est applicable au 1</w:t>
            </w:r>
            <w:r w:rsidRPr="000D7FFD">
              <w:rPr>
                <w:color w:val="000000" w:themeColor="text1"/>
                <w:vertAlign w:val="superscript"/>
              </w:rPr>
              <w:t>er</w:t>
            </w:r>
            <w:r w:rsidRPr="000D7FFD">
              <w:rPr>
                <w:color w:val="000000" w:themeColor="text1"/>
              </w:rPr>
              <w:t xml:space="preserve"> janvier 2023.</w:t>
            </w:r>
          </w:p>
        </w:tc>
      </w:tr>
      <w:tr w:rsidR="00B75353" w:rsidRPr="000D7FFD" w14:paraId="104A8B8E" w14:textId="77777777" w:rsidTr="00B75353">
        <w:tc>
          <w:tcPr>
            <w:tcW w:w="1135" w:type="dxa"/>
          </w:tcPr>
          <w:p w14:paraId="6268D538" w14:textId="77777777" w:rsidR="00B75353" w:rsidRPr="000D7FFD" w:rsidRDefault="00B75353" w:rsidP="00E03677">
            <w:pPr>
              <w:rPr>
                <w:color w:val="000000" w:themeColor="text1"/>
              </w:rPr>
            </w:pPr>
            <w:r w:rsidRPr="000D7FFD">
              <w:rPr>
                <w:color w:val="000000" w:themeColor="text1"/>
              </w:rPr>
              <w:t>III.11-IV</w:t>
            </w:r>
          </w:p>
        </w:tc>
        <w:tc>
          <w:tcPr>
            <w:tcW w:w="8079" w:type="dxa"/>
          </w:tcPr>
          <w:p w14:paraId="618FE64F"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29B6027A" w14:textId="77777777" w:rsidTr="00B75353">
        <w:tc>
          <w:tcPr>
            <w:tcW w:w="1135" w:type="dxa"/>
          </w:tcPr>
          <w:p w14:paraId="16D88108" w14:textId="77777777" w:rsidR="00B75353" w:rsidRPr="000D7FFD" w:rsidRDefault="00B75353" w:rsidP="00E03677">
            <w:pPr>
              <w:rPr>
                <w:color w:val="000000" w:themeColor="text1"/>
              </w:rPr>
            </w:pPr>
            <w:r w:rsidRPr="000D7FFD">
              <w:rPr>
                <w:color w:val="000000" w:themeColor="text1"/>
              </w:rPr>
              <w:t>III.12</w:t>
            </w:r>
          </w:p>
        </w:tc>
        <w:tc>
          <w:tcPr>
            <w:tcW w:w="8079" w:type="dxa"/>
          </w:tcPr>
          <w:p w14:paraId="45675F5F" w14:textId="77777777" w:rsidR="00FE16CB" w:rsidRPr="000D7FFD" w:rsidRDefault="00FE16CB" w:rsidP="00FE16CB">
            <w:pPr>
              <w:rPr>
                <w:color w:val="000000" w:themeColor="text1"/>
              </w:rPr>
            </w:pPr>
            <w:r>
              <w:rPr>
                <w:color w:val="000000" w:themeColor="text1"/>
              </w:rPr>
              <w:t xml:space="preserve">Les dispositions du point I </w:t>
            </w:r>
            <w:r w:rsidRPr="000D7FFD">
              <w:rPr>
                <w:color w:val="000000" w:themeColor="text1"/>
              </w:rPr>
              <w:t>sont applicables.</w:t>
            </w:r>
          </w:p>
          <w:p w14:paraId="29C2A5CA" w14:textId="77777777" w:rsidR="00FE16CB" w:rsidRPr="000D7FFD" w:rsidRDefault="00FE16CB" w:rsidP="00FE16CB">
            <w:pPr>
              <w:rPr>
                <w:color w:val="000000" w:themeColor="text1"/>
              </w:rPr>
            </w:pPr>
            <w:r w:rsidRPr="000D7FFD">
              <w:rPr>
                <w:color w:val="000000" w:themeColor="text1"/>
              </w:rPr>
              <w:t xml:space="preserve">Les dispositions des points II, </w:t>
            </w:r>
            <w:r>
              <w:rPr>
                <w:color w:val="000000" w:themeColor="text1"/>
              </w:rPr>
              <w:t xml:space="preserve">IV, </w:t>
            </w:r>
            <w:r w:rsidRPr="000D7FFD">
              <w:rPr>
                <w:color w:val="000000" w:themeColor="text1"/>
              </w:rPr>
              <w:t>V et VI sont applicables à compter du 1</w:t>
            </w:r>
            <w:r w:rsidRPr="000D7FFD">
              <w:rPr>
                <w:color w:val="000000" w:themeColor="text1"/>
                <w:vertAlign w:val="superscript"/>
              </w:rPr>
              <w:t>er</w:t>
            </w:r>
            <w:r w:rsidRPr="000D7FFD">
              <w:rPr>
                <w:color w:val="000000" w:themeColor="text1"/>
              </w:rPr>
              <w:t xml:space="preserve"> janvier 2026.</w:t>
            </w:r>
          </w:p>
          <w:p w14:paraId="2CA053D2" w14:textId="77777777" w:rsidR="00B75353" w:rsidRPr="000D7FFD" w:rsidRDefault="00B75353" w:rsidP="00E03677">
            <w:pPr>
              <w:rPr>
                <w:color w:val="000000" w:themeColor="text1"/>
              </w:rPr>
            </w:pPr>
          </w:p>
          <w:p w14:paraId="1DBC62A7" w14:textId="77777777" w:rsidR="00B75353" w:rsidRPr="000D7FFD" w:rsidRDefault="00B75353" w:rsidP="00E03677">
            <w:pPr>
              <w:rPr>
                <w:color w:val="000000" w:themeColor="text1"/>
              </w:rPr>
            </w:pPr>
            <w:r w:rsidRPr="000D7FFD">
              <w:rPr>
                <w:color w:val="000000" w:themeColor="text1"/>
              </w:rPr>
              <w:t>Les dispositions du point III sont remplacées par les dispositions suivantes :</w:t>
            </w:r>
          </w:p>
          <w:p w14:paraId="5F215F75" w14:textId="77777777" w:rsidR="00B75353" w:rsidRPr="000D7FFD" w:rsidRDefault="00B75353" w:rsidP="00E03677">
            <w:pPr>
              <w:spacing w:after="160" w:line="259" w:lineRule="auto"/>
              <w:jc w:val="left"/>
              <w:rPr>
                <w:color w:val="000000" w:themeColor="text1"/>
              </w:rPr>
            </w:pPr>
            <w:r w:rsidRPr="000D7FFD">
              <w:rPr>
                <w:color w:val="000000" w:themeColor="text1"/>
              </w:rPr>
              <w:t>« Pour chaque récipient mobile ou groupe de récipients mobiles contenant au moins un liquide inflammable ou un liquide ou solide liquéfiable combustible, dès lors qu’il entre dans les conditions de proximité avec un liquide inflammable définies à l’article I-3, le volume minimal de la rétention calculé en application du I. ou du II. du présent article est majoré pour contenir également :</w:t>
            </w:r>
          </w:p>
          <w:p w14:paraId="1E57ED96" w14:textId="77777777" w:rsidR="00B75353" w:rsidRPr="000D7FFD" w:rsidRDefault="00B75353" w:rsidP="00E03677">
            <w:pPr>
              <w:spacing w:after="160" w:line="259" w:lineRule="auto"/>
              <w:jc w:val="left"/>
              <w:rPr>
                <w:color w:val="000000" w:themeColor="text1"/>
              </w:rPr>
            </w:pPr>
            <w:r w:rsidRPr="000D7FFD">
              <w:rPr>
                <w:color w:val="000000" w:themeColor="text1"/>
              </w:rPr>
              <w:t>-</w:t>
            </w:r>
            <w:r w:rsidRPr="000D7FFD">
              <w:rPr>
                <w:color w:val="000000" w:themeColor="text1"/>
              </w:rPr>
              <w:tab/>
              <w:t>le volume des eaux d'extinction. L’exploitant prend en compte le volume nécessaire à la lutte contre l’incendie, déterminé au vu de la stratégie incendie définie à l’article VI-1 du présent arrêté, ou une hauteur supplémentaire forfaitaire des parois de rétention de 0,15 mètre en vue de contenir ces eaux d'extinction.</w:t>
            </w:r>
          </w:p>
          <w:p w14:paraId="441316F1" w14:textId="4A02151B" w:rsidR="00B75353" w:rsidRPr="000D7FFD" w:rsidRDefault="00B75353" w:rsidP="00B75353">
            <w:pPr>
              <w:spacing w:after="160" w:line="259" w:lineRule="auto"/>
              <w:jc w:val="left"/>
              <w:rPr>
                <w:color w:val="000000" w:themeColor="text1"/>
              </w:rPr>
            </w:pPr>
            <w:r w:rsidRPr="000D7FFD">
              <w:rPr>
                <w:color w:val="000000" w:themeColor="text1"/>
              </w:rPr>
              <w:t>Ces dispositions sont applicables à compter du 1</w:t>
            </w:r>
            <w:r w:rsidRPr="000D7FFD">
              <w:rPr>
                <w:color w:val="000000" w:themeColor="text1"/>
                <w:vertAlign w:val="superscript"/>
              </w:rPr>
              <w:t>er</w:t>
            </w:r>
            <w:r w:rsidRPr="000D7FFD">
              <w:rPr>
                <w:color w:val="000000" w:themeColor="text1"/>
              </w:rPr>
              <w:t xml:space="preserve"> janvier 2026. »</w:t>
            </w:r>
          </w:p>
        </w:tc>
      </w:tr>
      <w:tr w:rsidR="00B75353" w:rsidRPr="000D7FFD" w14:paraId="31CF07F0" w14:textId="77777777" w:rsidTr="00B75353">
        <w:tc>
          <w:tcPr>
            <w:tcW w:w="1135" w:type="dxa"/>
          </w:tcPr>
          <w:p w14:paraId="4689DBDC" w14:textId="77777777" w:rsidR="00B75353" w:rsidRPr="000D7FFD" w:rsidRDefault="00B75353" w:rsidP="00E03677">
            <w:pPr>
              <w:rPr>
                <w:color w:val="000000" w:themeColor="text1"/>
              </w:rPr>
            </w:pPr>
            <w:r w:rsidRPr="000D7FFD">
              <w:rPr>
                <w:color w:val="000000" w:themeColor="text1"/>
              </w:rPr>
              <w:t>III.13</w:t>
            </w:r>
            <w:r>
              <w:rPr>
                <w:color w:val="000000" w:themeColor="text1"/>
              </w:rPr>
              <w:t xml:space="preserve"> – I et II</w:t>
            </w:r>
          </w:p>
        </w:tc>
        <w:tc>
          <w:tcPr>
            <w:tcW w:w="8079" w:type="dxa"/>
          </w:tcPr>
          <w:p w14:paraId="3669B15F" w14:textId="77777777" w:rsidR="00B75353" w:rsidRPr="000D7FFD" w:rsidRDefault="00B75353" w:rsidP="00E03677">
            <w:pPr>
              <w:rPr>
                <w:color w:val="000000" w:themeColor="text1"/>
              </w:rPr>
            </w:pPr>
            <w:r w:rsidRPr="000D7FFD">
              <w:rPr>
                <w:rFonts w:eastAsia="Times New Roman"/>
                <w:color w:val="000000" w:themeColor="text1"/>
                <w:lang w:eastAsia="fr-FR"/>
              </w:rPr>
              <w:t>Les dispositions définies à l’annexe V sont applicables aux installations existantes à compter du 1</w:t>
            </w:r>
            <w:r w:rsidRPr="000D7FFD">
              <w:rPr>
                <w:rFonts w:eastAsia="Times New Roman"/>
                <w:color w:val="000000" w:themeColor="text1"/>
                <w:vertAlign w:val="superscript"/>
                <w:lang w:eastAsia="fr-FR"/>
              </w:rPr>
              <w:t>er</w:t>
            </w:r>
            <w:r w:rsidRPr="000D7FFD">
              <w:rPr>
                <w:rFonts w:eastAsia="Times New Roman"/>
                <w:color w:val="000000" w:themeColor="text1"/>
                <w:lang w:eastAsia="fr-FR"/>
              </w:rPr>
              <w:t xml:space="preserve"> janvier 2026 en lieu et place des dispositions des points I et II.</w:t>
            </w:r>
          </w:p>
          <w:p w14:paraId="0FC65498" w14:textId="77777777" w:rsidR="00B75353" w:rsidRPr="000D7FFD" w:rsidRDefault="00B75353" w:rsidP="00E03677">
            <w:pPr>
              <w:rPr>
                <w:color w:val="000000" w:themeColor="text1"/>
              </w:rPr>
            </w:pPr>
            <w:r w:rsidRPr="000D7FFD">
              <w:rPr>
                <w:color w:val="000000" w:themeColor="text1"/>
              </w:rPr>
              <w:t>Néanmoins, en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les dispositions </w:t>
            </w:r>
            <w:r w:rsidRPr="000D7FFD">
              <w:rPr>
                <w:rFonts w:eastAsia="Times New Roman"/>
                <w:color w:val="000000" w:themeColor="text1"/>
                <w:lang w:eastAsia="fr-FR"/>
              </w:rPr>
              <w:t>des points I et II</w:t>
            </w:r>
            <w:r w:rsidRPr="000D7FFD">
              <w:rPr>
                <w:color w:val="000000" w:themeColor="text1"/>
              </w:rPr>
              <w:t xml:space="preserve"> sont applicables à l’extension. </w:t>
            </w:r>
          </w:p>
          <w:p w14:paraId="46A7FED8" w14:textId="77777777" w:rsidR="00B75353" w:rsidRPr="000D7FFD" w:rsidRDefault="00B75353" w:rsidP="00E03677">
            <w:pPr>
              <w:rPr>
                <w:rFonts w:eastAsia="Times New Roman"/>
                <w:color w:val="000000" w:themeColor="text1"/>
                <w:lang w:eastAsia="fr-FR"/>
              </w:rPr>
            </w:pPr>
          </w:p>
        </w:tc>
      </w:tr>
      <w:tr w:rsidR="00B75353" w:rsidRPr="000D7FFD" w14:paraId="7A428A30" w14:textId="77777777" w:rsidTr="00B75353">
        <w:tc>
          <w:tcPr>
            <w:tcW w:w="1135" w:type="dxa"/>
          </w:tcPr>
          <w:p w14:paraId="6E7059DA" w14:textId="77777777" w:rsidR="00B75353" w:rsidRPr="000D7FFD" w:rsidRDefault="00B75353" w:rsidP="00E03677">
            <w:pPr>
              <w:rPr>
                <w:color w:val="000000" w:themeColor="text1"/>
              </w:rPr>
            </w:pPr>
            <w:r w:rsidRPr="000D7FFD">
              <w:rPr>
                <w:color w:val="000000" w:themeColor="text1"/>
              </w:rPr>
              <w:t>III.13</w:t>
            </w:r>
            <w:r>
              <w:rPr>
                <w:color w:val="000000" w:themeColor="text1"/>
              </w:rPr>
              <w:t xml:space="preserve"> III</w:t>
            </w:r>
          </w:p>
        </w:tc>
        <w:tc>
          <w:tcPr>
            <w:tcW w:w="8079" w:type="dxa"/>
          </w:tcPr>
          <w:p w14:paraId="315E9245" w14:textId="77777777" w:rsidR="00B75353" w:rsidRPr="000D7FFD" w:rsidRDefault="00B75353" w:rsidP="00E03677">
            <w:pPr>
              <w:rPr>
                <w:rFonts w:eastAsia="Times New Roman"/>
                <w:color w:val="000000" w:themeColor="text1"/>
                <w:lang w:eastAsia="fr-FR"/>
              </w:rPr>
            </w:pPr>
            <w:r w:rsidRPr="000D7FFD">
              <w:rPr>
                <w:rFonts w:eastAsia="Times New Roman"/>
                <w:color w:val="000000" w:themeColor="text1"/>
                <w:lang w:eastAsia="fr-FR"/>
              </w:rPr>
              <w:t>Les dispositions du point III ne sont pas applicables aux installations existantes.</w:t>
            </w:r>
          </w:p>
          <w:p w14:paraId="141E1C7D" w14:textId="77777777" w:rsidR="00B75353" w:rsidRPr="000D7FFD" w:rsidRDefault="00B75353" w:rsidP="00E03677">
            <w:pPr>
              <w:rPr>
                <w:rFonts w:eastAsia="Times New Roman"/>
                <w:color w:val="000000" w:themeColor="text1"/>
                <w:lang w:eastAsia="fr-FR"/>
              </w:rPr>
            </w:pPr>
          </w:p>
          <w:p w14:paraId="62379C75" w14:textId="77777777" w:rsidR="00B75353" w:rsidRPr="000D7FFD" w:rsidRDefault="00B75353" w:rsidP="00E03677">
            <w:pPr>
              <w:rPr>
                <w:rFonts w:eastAsia="Times New Roman"/>
                <w:color w:val="000000" w:themeColor="text1"/>
                <w:lang w:eastAsia="fr-FR"/>
              </w:rPr>
            </w:pPr>
            <w:r w:rsidRPr="000D7FFD">
              <w:rPr>
                <w:color w:val="000000" w:themeColor="text1"/>
              </w:rPr>
              <w:lastRenderedPageBreak/>
              <w:t>En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w:t>
            </w:r>
            <w:r w:rsidRPr="000D7FFD">
              <w:rPr>
                <w:rFonts w:eastAsia="Times New Roman"/>
                <w:color w:val="000000" w:themeColor="text1"/>
                <w:lang w:eastAsia="fr-FR"/>
              </w:rPr>
              <w:t xml:space="preserve">Les dispositions du point III </w:t>
            </w:r>
            <w:r w:rsidRPr="000D7FFD">
              <w:rPr>
                <w:color w:val="000000" w:themeColor="text1"/>
              </w:rPr>
              <w:t>sont applicables à l’extension. </w:t>
            </w:r>
          </w:p>
          <w:p w14:paraId="0A7A256D" w14:textId="77777777" w:rsidR="00B75353" w:rsidRPr="000D7FFD" w:rsidRDefault="00B75353" w:rsidP="00E03677">
            <w:pPr>
              <w:rPr>
                <w:rFonts w:eastAsia="Times New Roman"/>
                <w:color w:val="000000" w:themeColor="text1"/>
                <w:lang w:eastAsia="fr-FR"/>
              </w:rPr>
            </w:pPr>
          </w:p>
        </w:tc>
      </w:tr>
      <w:tr w:rsidR="00B75353" w:rsidRPr="000D7FFD" w14:paraId="671382EF" w14:textId="77777777" w:rsidTr="00B75353">
        <w:tc>
          <w:tcPr>
            <w:tcW w:w="1135" w:type="dxa"/>
          </w:tcPr>
          <w:p w14:paraId="65BC5BA8" w14:textId="77777777" w:rsidR="00B75353" w:rsidRPr="000D7FFD" w:rsidRDefault="00B75353" w:rsidP="00E03677">
            <w:pPr>
              <w:rPr>
                <w:color w:val="000000" w:themeColor="text1"/>
              </w:rPr>
            </w:pPr>
            <w:r w:rsidRPr="000D7FFD">
              <w:rPr>
                <w:color w:val="000000" w:themeColor="text1"/>
              </w:rPr>
              <w:lastRenderedPageBreak/>
              <w:t>III.14</w:t>
            </w:r>
          </w:p>
        </w:tc>
        <w:tc>
          <w:tcPr>
            <w:tcW w:w="8079" w:type="dxa"/>
          </w:tcPr>
          <w:p w14:paraId="52C7F203" w14:textId="77777777" w:rsidR="00B75353" w:rsidRPr="000D7FFD" w:rsidRDefault="00B75353" w:rsidP="00E03677">
            <w:pPr>
              <w:rPr>
                <w:color w:val="000000" w:themeColor="text1"/>
              </w:rPr>
            </w:pPr>
            <w:r w:rsidRPr="000D7FFD">
              <w:rPr>
                <w:color w:val="000000" w:themeColor="text1"/>
              </w:rPr>
              <w:t>Les dispositions des I. à VII sont applicables à compter du 1</w:t>
            </w:r>
            <w:r w:rsidRPr="000D7FFD">
              <w:rPr>
                <w:color w:val="000000" w:themeColor="text1"/>
                <w:vertAlign w:val="superscript"/>
              </w:rPr>
              <w:t>er</w:t>
            </w:r>
            <w:r w:rsidRPr="000D7FFD">
              <w:rPr>
                <w:color w:val="000000" w:themeColor="text1"/>
              </w:rPr>
              <w:t xml:space="preserve"> janvier 2026 </w:t>
            </w:r>
            <w:r w:rsidRPr="000D7FFD">
              <w:rPr>
                <w:rFonts w:eastAsia="Times New Roman"/>
                <w:color w:val="000000" w:themeColor="text1"/>
                <w:lang w:eastAsia="fr-FR"/>
              </w:rPr>
              <w:t>aux installations existantes.</w:t>
            </w:r>
          </w:p>
          <w:p w14:paraId="5B9C380D" w14:textId="77777777" w:rsidR="00B75353" w:rsidRPr="000D7FFD" w:rsidRDefault="00B75353" w:rsidP="00E03677">
            <w:pPr>
              <w:rPr>
                <w:color w:val="000000" w:themeColor="text1"/>
              </w:rPr>
            </w:pPr>
          </w:p>
          <w:p w14:paraId="131F3832" w14:textId="77777777" w:rsidR="00B75353" w:rsidRPr="000D7FFD" w:rsidRDefault="00B75353" w:rsidP="00E03677">
            <w:pPr>
              <w:rPr>
                <w:color w:val="000000" w:themeColor="text1"/>
              </w:rPr>
            </w:pPr>
            <w:r w:rsidRPr="000D7FFD">
              <w:rPr>
                <w:color w:val="000000" w:themeColor="text1"/>
              </w:rPr>
              <w:t>Les dispositions du point VIII  ne sont applicables.</w:t>
            </w:r>
          </w:p>
        </w:tc>
      </w:tr>
      <w:tr w:rsidR="00B75353" w:rsidRPr="000D7FFD" w14:paraId="6FAB7531" w14:textId="77777777" w:rsidTr="00B75353">
        <w:trPr>
          <w:trHeight w:val="374"/>
        </w:trPr>
        <w:tc>
          <w:tcPr>
            <w:tcW w:w="1135" w:type="dxa"/>
          </w:tcPr>
          <w:p w14:paraId="729307CD" w14:textId="77777777" w:rsidR="00B75353" w:rsidRPr="000D7FFD" w:rsidRDefault="00B75353" w:rsidP="00E03677">
            <w:pPr>
              <w:rPr>
                <w:color w:val="000000" w:themeColor="text1"/>
              </w:rPr>
            </w:pPr>
            <w:r w:rsidRPr="000D7FFD">
              <w:rPr>
                <w:color w:val="000000" w:themeColor="text1"/>
              </w:rPr>
              <w:t>III.15</w:t>
            </w:r>
          </w:p>
        </w:tc>
        <w:tc>
          <w:tcPr>
            <w:tcW w:w="8079" w:type="dxa"/>
          </w:tcPr>
          <w:p w14:paraId="0B7761B7"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3F61076D" w14:textId="77777777" w:rsidTr="00B75353">
        <w:trPr>
          <w:trHeight w:val="565"/>
        </w:trPr>
        <w:tc>
          <w:tcPr>
            <w:tcW w:w="1135" w:type="dxa"/>
          </w:tcPr>
          <w:p w14:paraId="1FBBC2D4" w14:textId="36A0AC0C" w:rsidR="00B75353" w:rsidRPr="000D7FFD" w:rsidRDefault="00B75353" w:rsidP="00E03677">
            <w:pPr>
              <w:rPr>
                <w:color w:val="000000" w:themeColor="text1"/>
              </w:rPr>
            </w:pPr>
            <w:r w:rsidRPr="000D7FFD">
              <w:rPr>
                <w:color w:val="000000" w:themeColor="text1"/>
              </w:rPr>
              <w:t>III.16</w:t>
            </w:r>
            <w:r>
              <w:rPr>
                <w:color w:val="000000" w:themeColor="text1"/>
              </w:rPr>
              <w:t xml:space="preserve"> à III.17</w:t>
            </w:r>
          </w:p>
        </w:tc>
        <w:tc>
          <w:tcPr>
            <w:tcW w:w="8079" w:type="dxa"/>
          </w:tcPr>
          <w:p w14:paraId="4369DE35"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49C134BA" w14:textId="77777777" w:rsidTr="00B75353">
        <w:tc>
          <w:tcPr>
            <w:tcW w:w="1135" w:type="dxa"/>
          </w:tcPr>
          <w:p w14:paraId="03C39D0A" w14:textId="60C6AD90" w:rsidR="00B75353" w:rsidRPr="000D7FFD" w:rsidRDefault="00B75353" w:rsidP="00E03677">
            <w:pPr>
              <w:rPr>
                <w:color w:val="000000" w:themeColor="text1"/>
              </w:rPr>
            </w:pPr>
            <w:r w:rsidRPr="000D7FFD">
              <w:rPr>
                <w:color w:val="000000" w:themeColor="text1"/>
              </w:rPr>
              <w:t>IV.1</w:t>
            </w:r>
            <w:r>
              <w:rPr>
                <w:color w:val="000000" w:themeColor="text1"/>
              </w:rPr>
              <w:t xml:space="preserve"> à IV.4</w:t>
            </w:r>
          </w:p>
        </w:tc>
        <w:tc>
          <w:tcPr>
            <w:tcW w:w="8079" w:type="dxa"/>
          </w:tcPr>
          <w:p w14:paraId="48616326"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11C27CA1" w14:textId="77777777" w:rsidTr="00B75353">
        <w:tc>
          <w:tcPr>
            <w:tcW w:w="1135" w:type="dxa"/>
          </w:tcPr>
          <w:p w14:paraId="61BE2125" w14:textId="77777777" w:rsidR="00B75353" w:rsidRPr="000D7FFD" w:rsidRDefault="00B75353" w:rsidP="00E03677">
            <w:pPr>
              <w:rPr>
                <w:color w:val="000000" w:themeColor="text1"/>
              </w:rPr>
            </w:pPr>
            <w:r w:rsidRPr="000D7FFD">
              <w:rPr>
                <w:color w:val="000000" w:themeColor="text1"/>
              </w:rPr>
              <w:t>IV.5</w:t>
            </w:r>
            <w:r>
              <w:rPr>
                <w:color w:val="000000" w:themeColor="text1"/>
              </w:rPr>
              <w:t>- I</w:t>
            </w:r>
          </w:p>
        </w:tc>
        <w:tc>
          <w:tcPr>
            <w:tcW w:w="8079" w:type="dxa"/>
          </w:tcPr>
          <w:p w14:paraId="42EBF5A4" w14:textId="77777777" w:rsidR="00B75353" w:rsidRPr="000D7FFD" w:rsidRDefault="00B75353" w:rsidP="00E03677">
            <w:pPr>
              <w:rPr>
                <w:color w:val="000000" w:themeColor="text1"/>
              </w:rPr>
            </w:pPr>
            <w:r w:rsidRPr="000D7FFD">
              <w:rPr>
                <w:color w:val="000000" w:themeColor="text1"/>
              </w:rPr>
              <w:t>Ces dispositions sont applicables à compter du 1</w:t>
            </w:r>
            <w:r w:rsidRPr="000D7FFD">
              <w:rPr>
                <w:color w:val="000000" w:themeColor="text1"/>
                <w:vertAlign w:val="superscript"/>
              </w:rPr>
              <w:t>er</w:t>
            </w:r>
            <w:r w:rsidRPr="000D7FFD">
              <w:rPr>
                <w:color w:val="000000" w:themeColor="text1"/>
              </w:rPr>
              <w:t xml:space="preserve"> janvier 2023</w:t>
            </w:r>
          </w:p>
        </w:tc>
      </w:tr>
      <w:tr w:rsidR="00B75353" w:rsidRPr="000D7FFD" w14:paraId="0BA321D4" w14:textId="77777777" w:rsidTr="00B75353">
        <w:tc>
          <w:tcPr>
            <w:tcW w:w="1135" w:type="dxa"/>
          </w:tcPr>
          <w:p w14:paraId="6D33F10C" w14:textId="77777777" w:rsidR="00B75353" w:rsidRPr="000D7FFD" w:rsidRDefault="00B75353" w:rsidP="00E03677">
            <w:pPr>
              <w:rPr>
                <w:color w:val="000000" w:themeColor="text1"/>
              </w:rPr>
            </w:pPr>
            <w:r w:rsidRPr="000D7FFD">
              <w:rPr>
                <w:color w:val="000000" w:themeColor="text1"/>
              </w:rPr>
              <w:t>IV.5</w:t>
            </w:r>
            <w:r>
              <w:rPr>
                <w:color w:val="000000" w:themeColor="text1"/>
              </w:rPr>
              <w:t xml:space="preserve"> - II</w:t>
            </w:r>
          </w:p>
        </w:tc>
        <w:tc>
          <w:tcPr>
            <w:tcW w:w="8079" w:type="dxa"/>
          </w:tcPr>
          <w:p w14:paraId="6FB068A3" w14:textId="77777777" w:rsidR="00B75353" w:rsidRPr="000D7FFD" w:rsidRDefault="00B75353" w:rsidP="00E03677">
            <w:pPr>
              <w:rPr>
                <w:color w:val="000000" w:themeColor="text1"/>
              </w:rPr>
            </w:pPr>
            <w:r w:rsidRPr="000D7FFD">
              <w:rPr>
                <w:color w:val="000000" w:themeColor="text1"/>
              </w:rPr>
              <w:t>Ces dispositions sont applicables à compter du 1</w:t>
            </w:r>
            <w:r w:rsidRPr="000D7FFD">
              <w:rPr>
                <w:color w:val="000000" w:themeColor="text1"/>
                <w:vertAlign w:val="superscript"/>
              </w:rPr>
              <w:t>er</w:t>
            </w:r>
            <w:r w:rsidRPr="000D7FFD">
              <w:rPr>
                <w:color w:val="000000" w:themeColor="text1"/>
              </w:rPr>
              <w:t xml:space="preserve"> janvier 2026.</w:t>
            </w:r>
          </w:p>
        </w:tc>
      </w:tr>
      <w:tr w:rsidR="00B75353" w:rsidRPr="000D7FFD" w14:paraId="206E80E7" w14:textId="77777777" w:rsidTr="00B75353">
        <w:tc>
          <w:tcPr>
            <w:tcW w:w="1135" w:type="dxa"/>
          </w:tcPr>
          <w:p w14:paraId="0C558202" w14:textId="77777777" w:rsidR="00B75353" w:rsidRPr="000D7FFD" w:rsidRDefault="00B75353" w:rsidP="00E03677">
            <w:pPr>
              <w:rPr>
                <w:color w:val="000000" w:themeColor="text1"/>
              </w:rPr>
            </w:pPr>
            <w:r w:rsidRPr="000D7FFD">
              <w:rPr>
                <w:color w:val="000000" w:themeColor="text1"/>
              </w:rPr>
              <w:t>IV.6</w:t>
            </w:r>
          </w:p>
        </w:tc>
        <w:tc>
          <w:tcPr>
            <w:tcW w:w="8079" w:type="dxa"/>
          </w:tcPr>
          <w:p w14:paraId="1F1BE808"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64E7A8F9" w14:textId="77777777" w:rsidTr="00B75353">
        <w:tc>
          <w:tcPr>
            <w:tcW w:w="1135" w:type="dxa"/>
          </w:tcPr>
          <w:p w14:paraId="4A53E0E7" w14:textId="32B9E2ED" w:rsidR="00B75353" w:rsidRPr="000D7FFD" w:rsidRDefault="00B75353" w:rsidP="00E03677">
            <w:pPr>
              <w:rPr>
                <w:color w:val="000000" w:themeColor="text1"/>
              </w:rPr>
            </w:pPr>
            <w:r w:rsidRPr="000D7FFD">
              <w:rPr>
                <w:color w:val="000000" w:themeColor="text1"/>
              </w:rPr>
              <w:t>V.1</w:t>
            </w:r>
            <w:r>
              <w:rPr>
                <w:color w:val="000000" w:themeColor="text1"/>
              </w:rPr>
              <w:t xml:space="preserve"> à V.5</w:t>
            </w:r>
          </w:p>
        </w:tc>
        <w:tc>
          <w:tcPr>
            <w:tcW w:w="8079" w:type="dxa"/>
          </w:tcPr>
          <w:p w14:paraId="3D13F503"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6CD1991F" w14:textId="77777777" w:rsidTr="00B75353">
        <w:tc>
          <w:tcPr>
            <w:tcW w:w="1135" w:type="dxa"/>
          </w:tcPr>
          <w:p w14:paraId="67F88411" w14:textId="77777777" w:rsidR="00B75353" w:rsidRPr="000D7FFD" w:rsidRDefault="00B75353" w:rsidP="00E03677">
            <w:pPr>
              <w:rPr>
                <w:color w:val="000000" w:themeColor="text1"/>
              </w:rPr>
            </w:pPr>
            <w:r w:rsidRPr="000D7FFD">
              <w:rPr>
                <w:color w:val="000000" w:themeColor="text1"/>
              </w:rPr>
              <w:t>VI.1</w:t>
            </w:r>
          </w:p>
        </w:tc>
        <w:tc>
          <w:tcPr>
            <w:tcW w:w="8079" w:type="dxa"/>
          </w:tcPr>
          <w:p w14:paraId="1CD7BD77" w14:textId="77777777" w:rsidR="00B75353" w:rsidRPr="000D7FFD" w:rsidRDefault="00B75353" w:rsidP="00E03677">
            <w:pPr>
              <w:rPr>
                <w:color w:val="000000" w:themeColor="text1"/>
              </w:rPr>
            </w:pPr>
            <w:r w:rsidRPr="000D7FFD">
              <w:rPr>
                <w:color w:val="000000" w:themeColor="text1"/>
              </w:rPr>
              <w:t>La stratégie incendie est mise à jour au plus tard le 1</w:t>
            </w:r>
            <w:r w:rsidRPr="000D7FFD">
              <w:rPr>
                <w:color w:val="000000" w:themeColor="text1"/>
                <w:vertAlign w:val="superscript"/>
              </w:rPr>
              <w:t>er</w:t>
            </w:r>
            <w:r w:rsidRPr="000D7FFD">
              <w:rPr>
                <w:color w:val="000000" w:themeColor="text1"/>
              </w:rPr>
              <w:t xml:space="preserve"> janvier 2023..</w:t>
            </w:r>
          </w:p>
        </w:tc>
      </w:tr>
      <w:tr w:rsidR="00B75353" w:rsidRPr="000D7FFD" w14:paraId="089C86B7" w14:textId="77777777" w:rsidTr="00B75353">
        <w:tc>
          <w:tcPr>
            <w:tcW w:w="1135" w:type="dxa"/>
          </w:tcPr>
          <w:p w14:paraId="3FEC2A81" w14:textId="77777777" w:rsidR="00B75353" w:rsidRPr="000D7FFD" w:rsidRDefault="00B75353" w:rsidP="00E03677">
            <w:pPr>
              <w:rPr>
                <w:color w:val="000000" w:themeColor="text1"/>
              </w:rPr>
            </w:pPr>
            <w:r w:rsidRPr="000D7FFD">
              <w:rPr>
                <w:color w:val="000000" w:themeColor="text1"/>
              </w:rPr>
              <w:t>VI.2</w:t>
            </w:r>
          </w:p>
        </w:tc>
        <w:tc>
          <w:tcPr>
            <w:tcW w:w="8079" w:type="dxa"/>
          </w:tcPr>
          <w:p w14:paraId="1C19835F" w14:textId="77777777" w:rsidR="00B75353" w:rsidRPr="000D7FFD" w:rsidRDefault="00B75353" w:rsidP="00E03677">
            <w:pPr>
              <w:rPr>
                <w:color w:val="000000" w:themeColor="text1"/>
              </w:rPr>
            </w:pPr>
            <w:r w:rsidRPr="000D7FFD">
              <w:rPr>
                <w:color w:val="000000" w:themeColor="text1"/>
              </w:rPr>
              <w:t>Les dispositions des points IV et XII sont applicables au 1</w:t>
            </w:r>
            <w:r w:rsidRPr="000D7FFD">
              <w:rPr>
                <w:color w:val="000000" w:themeColor="text1"/>
                <w:vertAlign w:val="superscript"/>
              </w:rPr>
              <w:t>er</w:t>
            </w:r>
            <w:r w:rsidRPr="000D7FFD">
              <w:rPr>
                <w:color w:val="000000" w:themeColor="text1"/>
              </w:rPr>
              <w:t xml:space="preserve"> janvier 2021.</w:t>
            </w:r>
          </w:p>
          <w:p w14:paraId="1AB515BA" w14:textId="6C3CBEBD" w:rsidR="00B75353" w:rsidRPr="000D7FFD" w:rsidRDefault="00B75353" w:rsidP="00B75353">
            <w:pPr>
              <w:rPr>
                <w:color w:val="000000" w:themeColor="text1"/>
              </w:rPr>
            </w:pPr>
            <w:r w:rsidRPr="000D7FFD">
              <w:rPr>
                <w:color w:val="000000" w:themeColor="text1"/>
              </w:rPr>
              <w:t>Les travaux identifiés comme nécessaires lors de la mise à jour de la stratégie incendie en application des autres points de l’article VI.2 sont réalisés avant le 1</w:t>
            </w:r>
            <w:r w:rsidRPr="000D7FFD">
              <w:rPr>
                <w:color w:val="000000" w:themeColor="text1"/>
                <w:vertAlign w:val="superscript"/>
              </w:rPr>
              <w:t>er</w:t>
            </w:r>
            <w:r w:rsidRPr="000D7FFD">
              <w:rPr>
                <w:color w:val="000000" w:themeColor="text1"/>
              </w:rPr>
              <w:t xml:space="preserve"> janvier 2026.</w:t>
            </w:r>
            <w:r>
              <w:rPr>
                <w:color w:val="000000" w:themeColor="text1"/>
              </w:rPr>
              <w:t xml:space="preserve"> </w:t>
            </w:r>
          </w:p>
        </w:tc>
      </w:tr>
      <w:tr w:rsidR="00B75353" w:rsidRPr="000D7FFD" w14:paraId="208B248C" w14:textId="77777777" w:rsidTr="00B75353">
        <w:tc>
          <w:tcPr>
            <w:tcW w:w="1135" w:type="dxa"/>
          </w:tcPr>
          <w:p w14:paraId="77E8C4F6" w14:textId="77777777" w:rsidR="00B75353" w:rsidRPr="000D7FFD" w:rsidRDefault="00B75353" w:rsidP="00E03677">
            <w:pPr>
              <w:rPr>
                <w:color w:val="000000" w:themeColor="text1"/>
              </w:rPr>
            </w:pPr>
            <w:r w:rsidRPr="000D7FFD">
              <w:rPr>
                <w:color w:val="000000" w:themeColor="text1"/>
              </w:rPr>
              <w:t>VI.3</w:t>
            </w:r>
          </w:p>
        </w:tc>
        <w:tc>
          <w:tcPr>
            <w:tcW w:w="8079" w:type="dxa"/>
          </w:tcPr>
          <w:p w14:paraId="1F51D075" w14:textId="77777777" w:rsidR="00B75353" w:rsidRPr="000D7FFD" w:rsidRDefault="00B75353"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tc>
      </w:tr>
      <w:tr w:rsidR="00B75353" w:rsidRPr="000D7FFD" w14:paraId="69577876" w14:textId="77777777" w:rsidTr="00B75353">
        <w:tc>
          <w:tcPr>
            <w:tcW w:w="1135" w:type="dxa"/>
          </w:tcPr>
          <w:p w14:paraId="1505CC14" w14:textId="77777777" w:rsidR="00B75353" w:rsidRPr="000D7FFD" w:rsidRDefault="00B75353" w:rsidP="00E03677">
            <w:pPr>
              <w:rPr>
                <w:color w:val="000000" w:themeColor="text1"/>
              </w:rPr>
            </w:pPr>
            <w:r w:rsidRPr="000D7FFD">
              <w:rPr>
                <w:color w:val="000000" w:themeColor="text1"/>
              </w:rPr>
              <w:t>VI.4</w:t>
            </w:r>
          </w:p>
        </w:tc>
        <w:tc>
          <w:tcPr>
            <w:tcW w:w="8079" w:type="dxa"/>
          </w:tcPr>
          <w:p w14:paraId="3ECA0076"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4BA4AD9F" w14:textId="77777777" w:rsidTr="00B75353">
        <w:tc>
          <w:tcPr>
            <w:tcW w:w="1135" w:type="dxa"/>
          </w:tcPr>
          <w:p w14:paraId="5BB53E3A" w14:textId="77777777" w:rsidR="00B75353" w:rsidRPr="000D7FFD" w:rsidRDefault="00B75353" w:rsidP="00E03677">
            <w:pPr>
              <w:rPr>
                <w:color w:val="000000" w:themeColor="text1"/>
              </w:rPr>
            </w:pPr>
            <w:r w:rsidRPr="000D7FFD">
              <w:rPr>
                <w:color w:val="000000" w:themeColor="text1"/>
              </w:rPr>
              <w:t>VI.5</w:t>
            </w:r>
          </w:p>
          <w:p w14:paraId="53211E78" w14:textId="77777777" w:rsidR="00B75353" w:rsidRPr="000D7FFD" w:rsidRDefault="00B75353" w:rsidP="00E03677">
            <w:pPr>
              <w:rPr>
                <w:color w:val="000000" w:themeColor="text1"/>
              </w:rPr>
            </w:pPr>
          </w:p>
        </w:tc>
        <w:tc>
          <w:tcPr>
            <w:tcW w:w="8079" w:type="dxa"/>
          </w:tcPr>
          <w:p w14:paraId="1533CEDD" w14:textId="77777777" w:rsidR="00B75353" w:rsidRPr="000D7FFD" w:rsidRDefault="00B75353" w:rsidP="00E03677">
            <w:pPr>
              <w:rPr>
                <w:color w:val="000000" w:themeColor="text1"/>
              </w:rPr>
            </w:pPr>
            <w:r w:rsidRPr="000D7FFD">
              <w:rPr>
                <w:color w:val="000000" w:themeColor="text1"/>
              </w:rPr>
              <w:t>Les dispositions du point I sont applicables.</w:t>
            </w:r>
          </w:p>
          <w:p w14:paraId="7F93B4CB" w14:textId="77777777" w:rsidR="00B75353" w:rsidRPr="000D7FFD" w:rsidRDefault="00B75353" w:rsidP="00E03677">
            <w:pPr>
              <w:rPr>
                <w:color w:val="000000" w:themeColor="text1"/>
              </w:rPr>
            </w:pPr>
            <w:r w:rsidRPr="000D7FFD">
              <w:rPr>
                <w:color w:val="000000" w:themeColor="text1"/>
              </w:rPr>
              <w:t>Les dispositions du point II sont applicables aux parties de bâtiments de surface supérieure à 1500m².</w:t>
            </w:r>
          </w:p>
          <w:p w14:paraId="608BDF02" w14:textId="77777777" w:rsidR="00B75353" w:rsidRPr="000D7FFD" w:rsidRDefault="00B75353" w:rsidP="00E03677">
            <w:pPr>
              <w:rPr>
                <w:color w:val="000000" w:themeColor="text1"/>
              </w:rPr>
            </w:pPr>
            <w:r w:rsidRPr="000D7FFD">
              <w:rPr>
                <w:color w:val="000000" w:themeColor="text1"/>
              </w:rPr>
              <w:t>Les dispositions définies à l’annexe V sont applicables aux autres installations existantes à compter du 1</w:t>
            </w:r>
            <w:r w:rsidRPr="000D7FFD">
              <w:rPr>
                <w:color w:val="000000" w:themeColor="text1"/>
                <w:vertAlign w:val="superscript"/>
              </w:rPr>
              <w:t>er</w:t>
            </w:r>
            <w:r w:rsidRPr="000D7FFD">
              <w:rPr>
                <w:color w:val="000000" w:themeColor="text1"/>
              </w:rPr>
              <w:t xml:space="preserve"> janvier 2026 en lieu et place des dispositions du point II.</w:t>
            </w:r>
          </w:p>
          <w:p w14:paraId="56B75DB0" w14:textId="1A179C3C" w:rsidR="00B75353" w:rsidRPr="000D7FFD" w:rsidRDefault="00B75353" w:rsidP="00B75353">
            <w:pPr>
              <w:rPr>
                <w:color w:val="000000" w:themeColor="text1"/>
              </w:rPr>
            </w:pPr>
            <w:r w:rsidRPr="000D7FFD">
              <w:rPr>
                <w:color w:val="000000" w:themeColor="text1"/>
              </w:rPr>
              <w:t>Les dispositions du point III ne sont pas applicables.</w:t>
            </w:r>
          </w:p>
        </w:tc>
      </w:tr>
      <w:tr w:rsidR="00B75353" w:rsidRPr="000D7FFD" w14:paraId="3FBA2C31" w14:textId="77777777" w:rsidTr="00B75353">
        <w:tc>
          <w:tcPr>
            <w:tcW w:w="1135" w:type="dxa"/>
          </w:tcPr>
          <w:p w14:paraId="07A5876E" w14:textId="77777777" w:rsidR="00B75353" w:rsidRPr="000D7FFD" w:rsidRDefault="00B75353" w:rsidP="00E03677">
            <w:pPr>
              <w:rPr>
                <w:color w:val="000000" w:themeColor="text1"/>
              </w:rPr>
            </w:pPr>
            <w:r w:rsidRPr="000D7FFD">
              <w:rPr>
                <w:color w:val="000000" w:themeColor="text1"/>
              </w:rPr>
              <w:t xml:space="preserve">VI. 6 </w:t>
            </w:r>
          </w:p>
        </w:tc>
        <w:tc>
          <w:tcPr>
            <w:tcW w:w="8079" w:type="dxa"/>
          </w:tcPr>
          <w:p w14:paraId="3383898C"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31A244E1" w14:textId="77777777" w:rsidTr="00B75353">
        <w:tc>
          <w:tcPr>
            <w:tcW w:w="1135" w:type="dxa"/>
          </w:tcPr>
          <w:p w14:paraId="643E3B0D" w14:textId="77777777" w:rsidR="00B75353" w:rsidRPr="000D7FFD" w:rsidRDefault="00B75353" w:rsidP="00E03677">
            <w:pPr>
              <w:rPr>
                <w:color w:val="000000" w:themeColor="text1"/>
              </w:rPr>
            </w:pPr>
            <w:r w:rsidRPr="000D7FFD">
              <w:rPr>
                <w:color w:val="000000" w:themeColor="text1"/>
              </w:rPr>
              <w:t>VI.7</w:t>
            </w:r>
          </w:p>
        </w:tc>
        <w:tc>
          <w:tcPr>
            <w:tcW w:w="8079" w:type="dxa"/>
          </w:tcPr>
          <w:p w14:paraId="1D696E3D"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05D2A3E5" w14:textId="77777777" w:rsidTr="00B75353">
        <w:tc>
          <w:tcPr>
            <w:tcW w:w="1135" w:type="dxa"/>
          </w:tcPr>
          <w:p w14:paraId="393926DC" w14:textId="77777777" w:rsidR="00B75353" w:rsidRPr="000D7FFD" w:rsidRDefault="00B75353" w:rsidP="00E03677">
            <w:pPr>
              <w:rPr>
                <w:color w:val="000000" w:themeColor="text1"/>
              </w:rPr>
            </w:pPr>
            <w:r w:rsidRPr="000D7FFD">
              <w:rPr>
                <w:color w:val="000000" w:themeColor="text1"/>
              </w:rPr>
              <w:t>VI. 8</w:t>
            </w:r>
          </w:p>
        </w:tc>
        <w:tc>
          <w:tcPr>
            <w:tcW w:w="8079" w:type="dxa"/>
          </w:tcPr>
          <w:p w14:paraId="419B545F" w14:textId="77777777" w:rsidR="00B75353" w:rsidRPr="000D7FFD" w:rsidRDefault="00B75353" w:rsidP="00E03677">
            <w:pPr>
              <w:rPr>
                <w:color w:val="000000" w:themeColor="text1"/>
              </w:rPr>
            </w:pPr>
            <w:r w:rsidRPr="000D7FFD">
              <w:rPr>
                <w:color w:val="000000" w:themeColor="text1"/>
              </w:rPr>
              <w:t xml:space="preserve">Ces dispositions sont applicables. </w:t>
            </w:r>
          </w:p>
          <w:p w14:paraId="7F009C12" w14:textId="77777777" w:rsidR="00B75353" w:rsidRPr="000D7FFD" w:rsidRDefault="00B75353" w:rsidP="00E03677">
            <w:pPr>
              <w:rPr>
                <w:color w:val="000000" w:themeColor="text1"/>
              </w:rPr>
            </w:pPr>
            <w:r w:rsidRPr="000D7FFD">
              <w:rPr>
                <w:color w:val="000000" w:themeColor="text1"/>
              </w:rPr>
              <w:t>Dans le cas où aucun exercice n’a été mené dans les 3 dernières années, un exercice est organisé au plus tard le 1er janvier 2023.</w:t>
            </w:r>
          </w:p>
        </w:tc>
      </w:tr>
      <w:tr w:rsidR="00B75353" w:rsidRPr="000D7FFD" w14:paraId="178490F2" w14:textId="77777777" w:rsidTr="00B75353">
        <w:tc>
          <w:tcPr>
            <w:tcW w:w="1135" w:type="dxa"/>
          </w:tcPr>
          <w:p w14:paraId="7CE64B8C" w14:textId="77777777" w:rsidR="00B75353" w:rsidRPr="000D7FFD" w:rsidRDefault="00B75353" w:rsidP="00E03677">
            <w:pPr>
              <w:rPr>
                <w:color w:val="000000" w:themeColor="text1"/>
              </w:rPr>
            </w:pPr>
            <w:r w:rsidRPr="000D7FFD">
              <w:rPr>
                <w:color w:val="000000" w:themeColor="text1"/>
              </w:rPr>
              <w:t>VII.1</w:t>
            </w:r>
          </w:p>
        </w:tc>
        <w:tc>
          <w:tcPr>
            <w:tcW w:w="8079" w:type="dxa"/>
          </w:tcPr>
          <w:p w14:paraId="06D4CEE3" w14:textId="77777777" w:rsidR="00B75353" w:rsidRPr="000D7FFD" w:rsidRDefault="00B75353" w:rsidP="00E03677">
            <w:pPr>
              <w:rPr>
                <w:color w:val="000000" w:themeColor="text1"/>
              </w:rPr>
            </w:pPr>
            <w:r w:rsidRPr="000D7FFD">
              <w:rPr>
                <w:color w:val="000000" w:themeColor="text1"/>
              </w:rPr>
              <w:t>Ces dispositions sont applicables.</w:t>
            </w:r>
          </w:p>
        </w:tc>
      </w:tr>
    </w:tbl>
    <w:p w14:paraId="337FCC16" w14:textId="77777777" w:rsidR="00842C58" w:rsidRDefault="00842C58" w:rsidP="00842C58">
      <w:pPr>
        <w:spacing w:after="0" w:line="240" w:lineRule="auto"/>
      </w:pPr>
    </w:p>
    <w:p w14:paraId="48C52D13" w14:textId="77777777" w:rsidR="00842C58" w:rsidRDefault="00842C58" w:rsidP="00842C58">
      <w:r>
        <w:br w:type="page"/>
      </w:r>
    </w:p>
    <w:p w14:paraId="4F5F1DE0" w14:textId="4F2F39E7" w:rsidR="00842C58" w:rsidRDefault="00842C58" w:rsidP="00842C58">
      <w:pPr>
        <w:spacing w:after="0" w:line="240" w:lineRule="auto"/>
        <w:rPr>
          <w:rFonts w:eastAsia="Times New Roman" w:cs="Times New Roman"/>
          <w:b/>
          <w:szCs w:val="24"/>
          <w:u w:val="single"/>
          <w:lang w:eastAsia="fr-FR"/>
        </w:rPr>
      </w:pPr>
      <w:r>
        <w:rPr>
          <w:rFonts w:eastAsia="Times New Roman" w:cs="Times New Roman"/>
          <w:b/>
          <w:szCs w:val="24"/>
          <w:u w:val="single"/>
          <w:lang w:eastAsia="fr-FR"/>
        </w:rPr>
        <w:lastRenderedPageBreak/>
        <w:t xml:space="preserve">Annexe </w:t>
      </w:r>
      <w:r w:rsidR="00C57FA3">
        <w:rPr>
          <w:rFonts w:eastAsia="Times New Roman" w:cs="Times New Roman"/>
          <w:b/>
          <w:szCs w:val="24"/>
          <w:u w:val="single"/>
          <w:lang w:eastAsia="fr-FR"/>
        </w:rPr>
        <w:t>3</w:t>
      </w:r>
    </w:p>
    <w:p w14:paraId="5C4F3D77" w14:textId="77777777" w:rsidR="00972B03" w:rsidRDefault="00842C58" w:rsidP="00842C58">
      <w:pPr>
        <w:spacing w:after="0" w:line="240" w:lineRule="auto"/>
        <w:rPr>
          <w:rFonts w:eastAsia="Times New Roman" w:cs="Times New Roman"/>
          <w:b/>
          <w:szCs w:val="24"/>
          <w:u w:val="single"/>
          <w:lang w:eastAsia="fr-FR"/>
        </w:rPr>
      </w:pPr>
      <w:r>
        <w:rPr>
          <w:rFonts w:eastAsia="Times New Roman" w:cs="Times New Roman"/>
          <w:b/>
          <w:szCs w:val="24"/>
          <w:u w:val="single"/>
          <w:lang w:eastAsia="fr-FR"/>
        </w:rPr>
        <w:t xml:space="preserve">Dispositions applicables </w:t>
      </w:r>
      <w:r w:rsidRPr="006669B2">
        <w:rPr>
          <w:rFonts w:eastAsia="Times New Roman" w:cs="Times New Roman"/>
          <w:b/>
          <w:szCs w:val="24"/>
          <w:u w:val="single"/>
          <w:lang w:eastAsia="fr-FR"/>
        </w:rPr>
        <w:t xml:space="preserve">aux </w:t>
      </w:r>
      <w:r>
        <w:rPr>
          <w:rFonts w:eastAsia="Times New Roman" w:cs="Times New Roman"/>
          <w:b/>
          <w:szCs w:val="24"/>
          <w:u w:val="single"/>
          <w:lang w:eastAsia="fr-FR"/>
        </w:rPr>
        <w:t xml:space="preserve">installations existantes </w:t>
      </w:r>
      <w:r w:rsidR="00972B03">
        <w:rPr>
          <w:rFonts w:eastAsia="Times New Roman" w:cs="Times New Roman"/>
          <w:b/>
          <w:szCs w:val="24"/>
          <w:u w:val="single"/>
          <w:lang w:eastAsia="fr-FR"/>
        </w:rPr>
        <w:t>relevant du 2. Du point I de l’article 1</w:t>
      </w:r>
      <w:r w:rsidR="00972B03" w:rsidRPr="00351951">
        <w:rPr>
          <w:rFonts w:eastAsia="Times New Roman" w:cs="Times New Roman"/>
          <w:b/>
          <w:szCs w:val="24"/>
          <w:u w:val="single"/>
          <w:vertAlign w:val="superscript"/>
          <w:lang w:eastAsia="fr-FR"/>
        </w:rPr>
        <w:t>er</w:t>
      </w:r>
      <w:r w:rsidR="00972B03">
        <w:rPr>
          <w:rFonts w:eastAsia="Times New Roman" w:cs="Times New Roman"/>
          <w:b/>
          <w:szCs w:val="24"/>
          <w:u w:val="single"/>
          <w:lang w:eastAsia="fr-FR"/>
        </w:rPr>
        <w:t xml:space="preserve"> </w:t>
      </w:r>
    </w:p>
    <w:p w14:paraId="0A722499" w14:textId="77777777" w:rsidR="00842C58" w:rsidRDefault="00842C58" w:rsidP="00842C58">
      <w:pPr>
        <w:spacing w:after="0" w:line="240" w:lineRule="auto"/>
        <w:rPr>
          <w:rFonts w:eastAsia="Times New Roman" w:cs="Times New Roman"/>
          <w:b/>
          <w:szCs w:val="24"/>
          <w:u w:val="single"/>
          <w:lang w:eastAsia="fr-FR"/>
        </w:rPr>
      </w:pPr>
    </w:p>
    <w:p w14:paraId="732D3D61" w14:textId="6E3A20D3" w:rsidR="00842C58" w:rsidRPr="001C3192" w:rsidRDefault="00842C58" w:rsidP="00B22EED">
      <w:pPr>
        <w:spacing w:before="100" w:beforeAutospacing="1" w:after="0" w:line="240" w:lineRule="auto"/>
        <w:rPr>
          <w:color w:val="000000" w:themeColor="text1"/>
        </w:rPr>
      </w:pPr>
      <w:r>
        <w:t>Cette annexe définit les dispositions applicables aux</w:t>
      </w:r>
      <w:r w:rsidRPr="0054361E">
        <w:t xml:space="preserve"> installations </w:t>
      </w:r>
      <w:r w:rsidR="0096320D">
        <w:t>existantes relevant du 2 du point I de l’article 1</w:t>
      </w:r>
      <w:r w:rsidR="0096320D" w:rsidRPr="00351951">
        <w:rPr>
          <w:vertAlign w:val="superscript"/>
        </w:rPr>
        <w:t>er</w:t>
      </w:r>
      <w:r w:rsidR="0096320D">
        <w:t xml:space="preserve">, c’est-à-dire les installations </w:t>
      </w:r>
      <w:r w:rsidR="0096320D" w:rsidRPr="0090138A">
        <w:rPr>
          <w:rFonts w:eastAsia="Times New Roman" w:cs="Times New Roman"/>
          <w:szCs w:val="24"/>
          <w:lang w:eastAsia="fr-FR"/>
        </w:rPr>
        <w:t xml:space="preserve">sein d’une installation classée soumise à autorisation selon une ou </w:t>
      </w:r>
      <w:r w:rsidR="0096320D" w:rsidRPr="001C3192">
        <w:rPr>
          <w:rFonts w:eastAsia="Times New Roman" w:cs="Times New Roman"/>
          <w:color w:val="000000" w:themeColor="text1"/>
          <w:szCs w:val="24"/>
          <w:lang w:eastAsia="fr-FR"/>
        </w:rPr>
        <w:t xml:space="preserve">plusieurs autres rubriques que les rubriques dites « liquides inflammables », dès lors que les quantités </w:t>
      </w:r>
      <w:r w:rsidR="004D5375" w:rsidRPr="001C3192">
        <w:rPr>
          <w:rFonts w:eastAsia="Times New Roman" w:cs="Times New Roman"/>
          <w:color w:val="000000" w:themeColor="text1"/>
          <w:szCs w:val="24"/>
          <w:lang w:eastAsia="fr-FR"/>
        </w:rPr>
        <w:t xml:space="preserve">susceptibles d’être présentes </w:t>
      </w:r>
      <w:r w:rsidR="0096320D" w:rsidRPr="001C3192">
        <w:rPr>
          <w:rFonts w:eastAsia="Times New Roman" w:cs="Times New Roman"/>
          <w:color w:val="000000" w:themeColor="text1"/>
          <w:szCs w:val="24"/>
          <w:lang w:eastAsia="fr-FR"/>
        </w:rPr>
        <w:t>de la substance</w:t>
      </w:r>
      <w:r w:rsidR="004D5375" w:rsidRPr="001C3192">
        <w:rPr>
          <w:rFonts w:eastAsia="Times New Roman" w:cs="Times New Roman"/>
          <w:color w:val="000000" w:themeColor="text1"/>
          <w:szCs w:val="24"/>
          <w:lang w:eastAsia="fr-FR"/>
        </w:rPr>
        <w:t xml:space="preserve"> ou </w:t>
      </w:r>
      <w:r w:rsidR="0096320D" w:rsidRPr="001C3192">
        <w:rPr>
          <w:rFonts w:eastAsia="Times New Roman" w:cs="Times New Roman"/>
          <w:color w:val="000000" w:themeColor="text1"/>
          <w:szCs w:val="24"/>
          <w:lang w:eastAsia="fr-FR"/>
        </w:rPr>
        <w:t>du mélange dangereux</w:t>
      </w:r>
      <w:r w:rsidR="00624892" w:rsidRPr="001C3192">
        <w:rPr>
          <w:rFonts w:eastAsia="Times New Roman" w:cs="Times New Roman"/>
          <w:color w:val="000000" w:themeColor="text1"/>
          <w:szCs w:val="24"/>
          <w:lang w:eastAsia="fr-FR"/>
        </w:rPr>
        <w:t xml:space="preserve"> </w:t>
      </w:r>
      <w:r w:rsidR="0096320D" w:rsidRPr="001C3192">
        <w:rPr>
          <w:rFonts w:eastAsia="Times New Roman" w:cs="Times New Roman"/>
          <w:color w:val="000000" w:themeColor="text1"/>
          <w:szCs w:val="24"/>
          <w:lang w:eastAsia="fr-FR"/>
        </w:rPr>
        <w:t>avec une mention de danger H224, H225</w:t>
      </w:r>
      <w:r w:rsidR="00624892" w:rsidRPr="001C3192">
        <w:rPr>
          <w:rFonts w:eastAsia="Times New Roman" w:cs="Times New Roman"/>
          <w:color w:val="000000" w:themeColor="text1"/>
          <w:szCs w:val="24"/>
          <w:lang w:eastAsia="fr-FR"/>
        </w:rPr>
        <w:t>,</w:t>
      </w:r>
      <w:r w:rsidR="0096320D" w:rsidRPr="001C3192">
        <w:rPr>
          <w:rFonts w:eastAsia="Times New Roman" w:cs="Times New Roman"/>
          <w:color w:val="000000" w:themeColor="text1"/>
          <w:szCs w:val="24"/>
          <w:lang w:eastAsia="fr-FR"/>
        </w:rPr>
        <w:t xml:space="preserve"> H226 </w:t>
      </w:r>
      <w:r w:rsidR="006C451E" w:rsidRPr="001C3192">
        <w:rPr>
          <w:rFonts w:eastAsia="Times New Roman" w:cs="Times New Roman"/>
          <w:color w:val="000000" w:themeColor="text1"/>
          <w:szCs w:val="24"/>
          <w:lang w:eastAsia="fr-FR"/>
        </w:rPr>
        <w:t>et</w:t>
      </w:r>
      <w:r w:rsidR="00624892" w:rsidRPr="001C3192">
        <w:rPr>
          <w:rFonts w:eastAsia="Times New Roman" w:cs="Times New Roman"/>
          <w:color w:val="000000" w:themeColor="text1"/>
          <w:szCs w:val="24"/>
          <w:lang w:eastAsia="fr-FR"/>
        </w:rPr>
        <w:t xml:space="preserve"> </w:t>
      </w:r>
      <w:r w:rsidR="004D5375" w:rsidRPr="001C3192">
        <w:rPr>
          <w:rFonts w:eastAsia="Times New Roman" w:cs="Times New Roman"/>
          <w:color w:val="000000" w:themeColor="text1"/>
          <w:szCs w:val="24"/>
          <w:lang w:eastAsia="fr-FR"/>
        </w:rPr>
        <w:t xml:space="preserve">de déchets liquides inflammables catégorisés </w:t>
      </w:r>
      <w:r w:rsidR="00624892" w:rsidRPr="001C3192">
        <w:rPr>
          <w:rFonts w:eastAsia="Times New Roman" w:cs="Times New Roman"/>
          <w:color w:val="000000" w:themeColor="text1"/>
          <w:szCs w:val="24"/>
          <w:lang w:eastAsia="fr-FR"/>
        </w:rPr>
        <w:t>HP3</w:t>
      </w:r>
      <w:r w:rsidR="004D5375" w:rsidRPr="001C3192">
        <w:rPr>
          <w:rFonts w:eastAsia="Times New Roman" w:cs="Times New Roman"/>
          <w:color w:val="000000" w:themeColor="text1"/>
          <w:szCs w:val="24"/>
          <w:lang w:eastAsia="fr-FR"/>
        </w:rPr>
        <w:t xml:space="preserve"> </w:t>
      </w:r>
      <w:r w:rsidR="0096320D" w:rsidRPr="001C3192">
        <w:rPr>
          <w:rFonts w:eastAsia="Times New Roman" w:cs="Times New Roman"/>
          <w:color w:val="000000" w:themeColor="text1"/>
          <w:szCs w:val="24"/>
          <w:lang w:eastAsia="fr-FR"/>
        </w:rPr>
        <w:t xml:space="preserve">dépassent </w:t>
      </w:r>
      <w:r w:rsidR="0031141B" w:rsidRPr="001C3192">
        <w:rPr>
          <w:rFonts w:eastAsia="Times New Roman" w:cs="Times New Roman"/>
          <w:color w:val="000000" w:themeColor="text1"/>
          <w:szCs w:val="24"/>
          <w:lang w:eastAsia="fr-FR"/>
        </w:rPr>
        <w:t>1000 tonnes au total, ou 100 tonnes en contenants fusibles</w:t>
      </w:r>
      <w:r w:rsidR="00B22EED" w:rsidRPr="001C3192">
        <w:rPr>
          <w:color w:val="000000" w:themeColor="text1"/>
        </w:rPr>
        <w:t>, en complément le cas échéant de dispositions spécifiques plus contraignantes figurant dans les arrêtés d’autorisation</w:t>
      </w:r>
      <w:r w:rsidR="00620A4C" w:rsidRPr="001C3192">
        <w:rPr>
          <w:color w:val="000000" w:themeColor="text1"/>
        </w:rPr>
        <w:t xml:space="preserve"> </w:t>
      </w:r>
      <w:r w:rsidRPr="001C3192">
        <w:rPr>
          <w:color w:val="000000" w:themeColor="text1"/>
        </w:rPr>
        <w:t>:</w:t>
      </w:r>
    </w:p>
    <w:p w14:paraId="2998B1FE" w14:textId="77777777" w:rsidR="00842C58" w:rsidRPr="001C3192" w:rsidRDefault="00842C58" w:rsidP="00842C58">
      <w:pPr>
        <w:spacing w:after="0" w:line="240" w:lineRule="auto"/>
        <w:rPr>
          <w:color w:val="000000" w:themeColor="text1"/>
        </w:rPr>
      </w:pPr>
    </w:p>
    <w:p w14:paraId="1A278E75" w14:textId="0C9BFA98" w:rsidR="003E55A9" w:rsidRDefault="00842C58" w:rsidP="003E55A9">
      <w:pPr>
        <w:spacing w:after="0" w:line="240" w:lineRule="auto"/>
      </w:pPr>
      <w:r w:rsidRPr="001C3192">
        <w:rPr>
          <w:color w:val="000000" w:themeColor="text1"/>
        </w:rPr>
        <w:t xml:space="preserve">I. pour les installations dont </w:t>
      </w:r>
      <w:r>
        <w:t>la demande d’autorisation a ét</w:t>
      </w:r>
      <w:r w:rsidR="0096320D">
        <w:t>é présentée avant le 1</w:t>
      </w:r>
      <w:r w:rsidR="0096320D" w:rsidRPr="00351951">
        <w:rPr>
          <w:vertAlign w:val="superscript"/>
        </w:rPr>
        <w:t>er</w:t>
      </w:r>
      <w:r w:rsidR="0096320D">
        <w:t xml:space="preserve"> janvier 2021</w:t>
      </w:r>
      <w:r>
        <w:t xml:space="preserve"> ou régulièrement mises en service avant le </w:t>
      </w:r>
      <w:r w:rsidR="0096320D">
        <w:t>1</w:t>
      </w:r>
      <w:r w:rsidR="0096320D" w:rsidRPr="00351951">
        <w:rPr>
          <w:vertAlign w:val="superscript"/>
        </w:rPr>
        <w:t>er</w:t>
      </w:r>
      <w:r w:rsidR="0096320D">
        <w:t xml:space="preserve"> janvier 2021</w:t>
      </w:r>
      <w:r>
        <w:t xml:space="preserve">, sans préjudice des dispositions déjà </w:t>
      </w:r>
      <w:r w:rsidRPr="00A4635E">
        <w:t xml:space="preserve">applicables, </w:t>
      </w:r>
      <w:r w:rsidR="003E55A9" w:rsidRPr="00A4635E">
        <w:t>les dispositions du</w:t>
      </w:r>
      <w:r w:rsidR="003E55A9">
        <w:t xml:space="preserve"> présent arrêté sont applicables</w:t>
      </w:r>
      <w:r w:rsidR="00AB6101">
        <w:t xml:space="preserve"> </w:t>
      </w:r>
      <w:r w:rsidR="00AB6101" w:rsidRPr="00CE43BB">
        <w:t>aux liquides</w:t>
      </w:r>
      <w:r w:rsidR="00E674B3" w:rsidRPr="00CE43BB">
        <w:rPr>
          <w:rFonts w:eastAsia="Times New Roman" w:cs="Times New Roman"/>
          <w:szCs w:val="24"/>
          <w:lang w:eastAsia="fr-FR"/>
        </w:rPr>
        <w:t xml:space="preserve"> de mention</w:t>
      </w:r>
      <w:r w:rsidR="006C451E" w:rsidRPr="00CE43BB">
        <w:rPr>
          <w:rFonts w:eastAsia="Times New Roman" w:cs="Times New Roman"/>
          <w:szCs w:val="24"/>
          <w:lang w:eastAsia="fr-FR"/>
        </w:rPr>
        <w:t xml:space="preserve"> de danger H224, H225, H226 et</w:t>
      </w:r>
      <w:r w:rsidR="00E674B3" w:rsidRPr="00CE43BB">
        <w:rPr>
          <w:rFonts w:eastAsia="Times New Roman" w:cs="Times New Roman"/>
          <w:szCs w:val="24"/>
          <w:lang w:eastAsia="fr-FR"/>
        </w:rPr>
        <w:t xml:space="preserve"> déchets liquides</w:t>
      </w:r>
      <w:r w:rsidR="004D5375" w:rsidRPr="00CE43BB">
        <w:rPr>
          <w:rFonts w:eastAsia="Times New Roman" w:cs="Times New Roman"/>
          <w:szCs w:val="24"/>
          <w:lang w:eastAsia="fr-FR"/>
        </w:rPr>
        <w:t xml:space="preserve"> inflammables catégorisés</w:t>
      </w:r>
      <w:r w:rsidR="00E674B3" w:rsidRPr="00CE43BB">
        <w:rPr>
          <w:rFonts w:eastAsia="Times New Roman" w:cs="Times New Roman"/>
          <w:szCs w:val="24"/>
          <w:lang w:eastAsia="fr-FR"/>
        </w:rPr>
        <w:t xml:space="preserve"> HP3</w:t>
      </w:r>
      <w:r w:rsidR="00B54405" w:rsidRPr="00CE43BB">
        <w:rPr>
          <w:rFonts w:eastAsia="Times New Roman" w:cs="Times New Roman"/>
          <w:szCs w:val="24"/>
          <w:lang w:eastAsia="fr-FR"/>
        </w:rPr>
        <w:t xml:space="preserve"> </w:t>
      </w:r>
      <w:r w:rsidR="003E55A9" w:rsidRPr="00CE43BB">
        <w:t>selon les modalités particulières précisées dans l</w:t>
      </w:r>
      <w:r w:rsidR="003E55A9">
        <w:t>e tableau suivant :</w:t>
      </w:r>
    </w:p>
    <w:tbl>
      <w:tblPr>
        <w:tblStyle w:val="Grilledutableau"/>
        <w:tblW w:w="9072" w:type="dxa"/>
        <w:tblInd w:w="-5" w:type="dxa"/>
        <w:tblLayout w:type="fixed"/>
        <w:tblLook w:val="04A0" w:firstRow="1" w:lastRow="0" w:firstColumn="1" w:lastColumn="0" w:noHBand="0" w:noVBand="1"/>
      </w:tblPr>
      <w:tblGrid>
        <w:gridCol w:w="1134"/>
        <w:gridCol w:w="7938"/>
      </w:tblGrid>
      <w:tr w:rsidR="00B75353" w:rsidRPr="000D7FFD" w14:paraId="511F0C0F" w14:textId="77777777" w:rsidTr="00B75353">
        <w:tc>
          <w:tcPr>
            <w:tcW w:w="1134" w:type="dxa"/>
          </w:tcPr>
          <w:p w14:paraId="257E7464" w14:textId="77777777" w:rsidR="00B75353" w:rsidRDefault="00B75353" w:rsidP="00E03677">
            <w:pPr>
              <w:rPr>
                <w:color w:val="000000" w:themeColor="text1"/>
              </w:rPr>
            </w:pPr>
            <w:r>
              <w:rPr>
                <w:color w:val="000000" w:themeColor="text1"/>
              </w:rPr>
              <w:t>Article concerné</w:t>
            </w:r>
          </w:p>
        </w:tc>
        <w:tc>
          <w:tcPr>
            <w:tcW w:w="7938" w:type="dxa"/>
          </w:tcPr>
          <w:p w14:paraId="6469FD15" w14:textId="77777777" w:rsidR="00B75353" w:rsidRPr="000D7FFD" w:rsidRDefault="00B75353" w:rsidP="00E03677">
            <w:pPr>
              <w:rPr>
                <w:color w:val="000000" w:themeColor="text1"/>
              </w:rPr>
            </w:pPr>
            <w:r>
              <w:rPr>
                <w:color w:val="000000" w:themeColor="text1"/>
              </w:rPr>
              <w:t>Modalités particulières d’application de certains articles</w:t>
            </w:r>
          </w:p>
        </w:tc>
      </w:tr>
      <w:tr w:rsidR="00B75353" w:rsidRPr="000D7FFD" w14:paraId="260ADF7B" w14:textId="77777777" w:rsidTr="00B75353">
        <w:tc>
          <w:tcPr>
            <w:tcW w:w="1134" w:type="dxa"/>
          </w:tcPr>
          <w:p w14:paraId="2F1E77D6" w14:textId="77777777" w:rsidR="00B75353" w:rsidRPr="000D7FFD" w:rsidRDefault="00B75353" w:rsidP="00E03677">
            <w:pPr>
              <w:rPr>
                <w:color w:val="000000" w:themeColor="text1"/>
              </w:rPr>
            </w:pPr>
            <w:r w:rsidRPr="000D7FFD">
              <w:rPr>
                <w:color w:val="000000" w:themeColor="text1"/>
              </w:rPr>
              <w:t>I</w:t>
            </w:r>
          </w:p>
        </w:tc>
        <w:tc>
          <w:tcPr>
            <w:tcW w:w="7938" w:type="dxa"/>
          </w:tcPr>
          <w:p w14:paraId="1B54FA16"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50A38D07" w14:textId="77777777" w:rsidTr="00B75353">
        <w:tc>
          <w:tcPr>
            <w:tcW w:w="1134" w:type="dxa"/>
          </w:tcPr>
          <w:p w14:paraId="0A2C4216" w14:textId="77777777" w:rsidR="00B75353" w:rsidRPr="000D7FFD" w:rsidRDefault="00B75353" w:rsidP="00E03677">
            <w:pPr>
              <w:rPr>
                <w:color w:val="000000" w:themeColor="text1"/>
              </w:rPr>
            </w:pPr>
            <w:r w:rsidRPr="000D7FFD">
              <w:rPr>
                <w:color w:val="000000" w:themeColor="text1"/>
              </w:rPr>
              <w:t>II.1</w:t>
            </w:r>
          </w:p>
        </w:tc>
        <w:tc>
          <w:tcPr>
            <w:tcW w:w="7938" w:type="dxa"/>
          </w:tcPr>
          <w:p w14:paraId="2EE2C9BE" w14:textId="77777777" w:rsidR="00B75353" w:rsidRPr="000D7FFD" w:rsidRDefault="00B75353" w:rsidP="00E03677">
            <w:pPr>
              <w:rPr>
                <w:color w:val="000000" w:themeColor="text1"/>
              </w:rPr>
            </w:pPr>
            <w:r w:rsidRPr="000D7FFD">
              <w:rPr>
                <w:color w:val="000000" w:themeColor="text1"/>
              </w:rPr>
              <w:t>Les dispositions du II.1 sont remplacées par les dispositions suivantes de l’annexe 4.</w:t>
            </w:r>
          </w:p>
          <w:p w14:paraId="4D6256AA" w14:textId="77777777" w:rsidR="00B75353" w:rsidRPr="000D7FFD" w:rsidRDefault="00B75353" w:rsidP="00E03677">
            <w:pPr>
              <w:rPr>
                <w:color w:val="000000" w:themeColor="text1"/>
              </w:rPr>
            </w:pPr>
          </w:p>
        </w:tc>
      </w:tr>
      <w:tr w:rsidR="00B75353" w:rsidRPr="000D7FFD" w14:paraId="415A3BCE" w14:textId="77777777" w:rsidTr="00B75353">
        <w:tc>
          <w:tcPr>
            <w:tcW w:w="1134" w:type="dxa"/>
          </w:tcPr>
          <w:p w14:paraId="2D661425" w14:textId="77777777" w:rsidR="00B75353" w:rsidRPr="000D7FFD" w:rsidRDefault="00B75353" w:rsidP="00E03677">
            <w:pPr>
              <w:rPr>
                <w:rFonts w:eastAsia="Times New Roman"/>
                <w:color w:val="000000" w:themeColor="text1"/>
                <w:lang w:eastAsia="fr-FR"/>
              </w:rPr>
            </w:pPr>
            <w:r w:rsidRPr="000D7FFD">
              <w:rPr>
                <w:rFonts w:eastAsia="Times New Roman"/>
                <w:color w:val="000000" w:themeColor="text1"/>
                <w:lang w:eastAsia="fr-FR"/>
              </w:rPr>
              <w:t>II.2</w:t>
            </w:r>
          </w:p>
        </w:tc>
        <w:tc>
          <w:tcPr>
            <w:tcW w:w="7938" w:type="dxa"/>
          </w:tcPr>
          <w:p w14:paraId="2432C6D1" w14:textId="77777777" w:rsidR="00B75353" w:rsidRPr="000D7FFD" w:rsidRDefault="00B75353" w:rsidP="00E03677">
            <w:pPr>
              <w:rPr>
                <w:rFonts w:eastAsia="Times New Roman"/>
                <w:color w:val="000000" w:themeColor="text1"/>
                <w:lang w:eastAsia="fr-FR"/>
              </w:rPr>
            </w:pPr>
            <w:r w:rsidRPr="000D7FFD">
              <w:rPr>
                <w:rFonts w:eastAsia="Times New Roman"/>
                <w:color w:val="000000" w:themeColor="text1"/>
                <w:lang w:eastAsia="fr-FR"/>
              </w:rPr>
              <w:t>La disposition relative à la hauteur de la clôture n'est pas applicable aux existantes, aux extensions ou modifications de ces installations existantes ainsi qu'aux installations nouvelles construites dans un site existant au 1</w:t>
            </w:r>
            <w:r w:rsidRPr="000D7FFD">
              <w:rPr>
                <w:rFonts w:eastAsia="Times New Roman"/>
                <w:color w:val="000000" w:themeColor="text1"/>
                <w:vertAlign w:val="superscript"/>
                <w:lang w:eastAsia="fr-FR"/>
              </w:rPr>
              <w:t>er</w:t>
            </w:r>
            <w:r w:rsidRPr="000D7FFD">
              <w:rPr>
                <w:rFonts w:eastAsia="Times New Roman"/>
                <w:color w:val="000000" w:themeColor="text1"/>
                <w:lang w:eastAsia="fr-FR"/>
              </w:rPr>
              <w:t xml:space="preserve"> janvier 2021.</w:t>
            </w:r>
          </w:p>
          <w:p w14:paraId="4B020D67" w14:textId="77777777" w:rsidR="00B75353" w:rsidRPr="000D7FFD" w:rsidRDefault="00B75353" w:rsidP="00E03677">
            <w:pPr>
              <w:rPr>
                <w:rFonts w:eastAsia="Times New Roman"/>
                <w:color w:val="000000" w:themeColor="text1"/>
                <w:lang w:eastAsia="fr-FR"/>
              </w:rPr>
            </w:pPr>
            <w:r w:rsidRPr="000D7FFD">
              <w:rPr>
                <w:rFonts w:eastAsia="Times New Roman"/>
                <w:color w:val="000000" w:themeColor="text1"/>
                <w:lang w:eastAsia="fr-FR"/>
              </w:rPr>
              <w:t>Les autres dispositions du présent article sont applicables aux installations existantes à compter du 1</w:t>
            </w:r>
            <w:r w:rsidRPr="000D7FFD">
              <w:rPr>
                <w:rFonts w:eastAsia="Times New Roman"/>
                <w:color w:val="000000" w:themeColor="text1"/>
                <w:vertAlign w:val="superscript"/>
                <w:lang w:eastAsia="fr-FR"/>
              </w:rPr>
              <w:t>er</w:t>
            </w:r>
            <w:r w:rsidRPr="000D7FFD">
              <w:rPr>
                <w:rFonts w:eastAsia="Times New Roman"/>
                <w:color w:val="000000" w:themeColor="text1"/>
                <w:lang w:eastAsia="fr-FR"/>
              </w:rPr>
              <w:t xml:space="preserve"> janvier 2023</w:t>
            </w:r>
          </w:p>
          <w:p w14:paraId="28C8FB37" w14:textId="77777777" w:rsidR="00B75353" w:rsidRPr="000D7FFD" w:rsidRDefault="00B75353" w:rsidP="00E03677">
            <w:pPr>
              <w:rPr>
                <w:color w:val="000000" w:themeColor="text1"/>
              </w:rPr>
            </w:pPr>
          </w:p>
        </w:tc>
      </w:tr>
      <w:tr w:rsidR="00B75353" w:rsidRPr="000D7FFD" w14:paraId="0AB87F71" w14:textId="77777777" w:rsidTr="00B75353">
        <w:tc>
          <w:tcPr>
            <w:tcW w:w="1134" w:type="dxa"/>
          </w:tcPr>
          <w:p w14:paraId="3DB52AF9" w14:textId="77777777" w:rsidR="00B75353" w:rsidRPr="000D7FFD" w:rsidRDefault="00B75353" w:rsidP="00E03677">
            <w:pPr>
              <w:rPr>
                <w:color w:val="000000" w:themeColor="text1"/>
              </w:rPr>
            </w:pPr>
            <w:r w:rsidRPr="000D7FFD">
              <w:rPr>
                <w:color w:val="000000" w:themeColor="text1"/>
              </w:rPr>
              <w:t>II.3 I</w:t>
            </w:r>
          </w:p>
        </w:tc>
        <w:tc>
          <w:tcPr>
            <w:tcW w:w="7938" w:type="dxa"/>
          </w:tcPr>
          <w:p w14:paraId="3182F41B" w14:textId="77777777" w:rsidR="00B75353" w:rsidRPr="000D7FFD" w:rsidRDefault="00B75353" w:rsidP="00E03677">
            <w:pPr>
              <w:rPr>
                <w:color w:val="000000" w:themeColor="text1"/>
              </w:rPr>
            </w:pPr>
            <w:r w:rsidRPr="000D7FFD">
              <w:rPr>
                <w:color w:val="000000" w:themeColor="text1"/>
              </w:rPr>
              <w:t>Les dispositions du point I. sont remplacées par les dispositions suivantes :</w:t>
            </w:r>
          </w:p>
          <w:p w14:paraId="07DB7F8A" w14:textId="77777777" w:rsidR="00B75353" w:rsidRPr="000D7FFD" w:rsidRDefault="00B75353" w:rsidP="00E03677">
            <w:pPr>
              <w:rPr>
                <w:color w:val="000000" w:themeColor="text1"/>
              </w:rPr>
            </w:pPr>
            <w:r w:rsidRPr="000D7FFD">
              <w:rPr>
                <w:color w:val="000000" w:themeColor="text1"/>
              </w:rPr>
              <w:t>« Les installations disposent en permanence d’un accès positionné de telle sorte qu’il soit toujours accessible pour permettre l’intervention de services d’incendie et de secours, quelles que soient les conditions de vent. Le cas échéant, si un arrêté préfectoral pris à la date de publication du présent arrêté prévoit deux accès, l’exploitant s’assure du respect de cette prescription. »</w:t>
            </w:r>
          </w:p>
        </w:tc>
      </w:tr>
      <w:tr w:rsidR="00B75353" w:rsidRPr="000D7FFD" w14:paraId="009D2752" w14:textId="77777777" w:rsidTr="00B75353">
        <w:tc>
          <w:tcPr>
            <w:tcW w:w="1134" w:type="dxa"/>
          </w:tcPr>
          <w:p w14:paraId="62FDCF44" w14:textId="77777777" w:rsidR="00B75353" w:rsidRPr="000D7FFD" w:rsidRDefault="00B75353" w:rsidP="00E03677">
            <w:pPr>
              <w:rPr>
                <w:color w:val="000000" w:themeColor="text1"/>
              </w:rPr>
            </w:pPr>
            <w:r w:rsidRPr="000D7FFD">
              <w:rPr>
                <w:color w:val="000000" w:themeColor="text1"/>
              </w:rPr>
              <w:t>II. 3 II</w:t>
            </w:r>
          </w:p>
        </w:tc>
        <w:tc>
          <w:tcPr>
            <w:tcW w:w="7938" w:type="dxa"/>
          </w:tcPr>
          <w:p w14:paraId="3FAB46C8" w14:textId="77777777" w:rsidR="00B75353" w:rsidRPr="000D7FFD" w:rsidRDefault="00B75353" w:rsidP="00E03677">
            <w:pPr>
              <w:rPr>
                <w:color w:val="000000" w:themeColor="text1"/>
              </w:rPr>
            </w:pPr>
            <w:r w:rsidRPr="000D7FFD">
              <w:rPr>
                <w:color w:val="000000" w:themeColor="text1"/>
              </w:rPr>
              <w:t>Les dispositions des deux premiers alinéas sont applicables.</w:t>
            </w:r>
          </w:p>
          <w:p w14:paraId="28C74B36" w14:textId="77777777" w:rsidR="00B75353" w:rsidRPr="000D7FFD" w:rsidRDefault="00B75353" w:rsidP="00E03677">
            <w:pPr>
              <w:rPr>
                <w:color w:val="000000" w:themeColor="text1"/>
              </w:rPr>
            </w:pPr>
            <w:r w:rsidRPr="000D7FFD">
              <w:rPr>
                <w:color w:val="000000" w:themeColor="text1"/>
              </w:rPr>
              <w:t>Les dispositions du troisième alinéa sont applicables à compter du 1</w:t>
            </w:r>
            <w:r w:rsidRPr="000D7FFD">
              <w:rPr>
                <w:color w:val="000000" w:themeColor="text1"/>
                <w:vertAlign w:val="superscript"/>
              </w:rPr>
              <w:t>er</w:t>
            </w:r>
            <w:r w:rsidRPr="000D7FFD">
              <w:rPr>
                <w:color w:val="000000" w:themeColor="text1"/>
              </w:rPr>
              <w:t xml:space="preserve"> janvier 2023.</w:t>
            </w:r>
          </w:p>
        </w:tc>
      </w:tr>
      <w:tr w:rsidR="00B75353" w:rsidRPr="000D7FFD" w14:paraId="03D3422F" w14:textId="77777777" w:rsidTr="00B75353">
        <w:tc>
          <w:tcPr>
            <w:tcW w:w="1134" w:type="dxa"/>
          </w:tcPr>
          <w:p w14:paraId="27FA19F5" w14:textId="77777777" w:rsidR="00B75353" w:rsidRPr="000D7FFD" w:rsidRDefault="00B75353" w:rsidP="00E03677">
            <w:pPr>
              <w:rPr>
                <w:color w:val="000000" w:themeColor="text1"/>
              </w:rPr>
            </w:pPr>
            <w:r w:rsidRPr="000D7FFD">
              <w:rPr>
                <w:color w:val="000000" w:themeColor="text1"/>
              </w:rPr>
              <w:t>II. 3 III</w:t>
            </w:r>
          </w:p>
        </w:tc>
        <w:tc>
          <w:tcPr>
            <w:tcW w:w="7938" w:type="dxa"/>
          </w:tcPr>
          <w:p w14:paraId="54596061" w14:textId="77777777" w:rsidR="00B75353" w:rsidRPr="000D7FFD" w:rsidRDefault="00B75353" w:rsidP="00E03677">
            <w:pPr>
              <w:rPr>
                <w:color w:val="000000" w:themeColor="text1"/>
              </w:rPr>
            </w:pPr>
            <w:r w:rsidRPr="000D7FFD">
              <w:rPr>
                <w:color w:val="000000" w:themeColor="text1"/>
              </w:rPr>
              <w:t xml:space="preserve">Les dispositions du III. ne sont pas applicables aux </w:t>
            </w:r>
            <w:r w:rsidRPr="000D7FFD">
              <w:rPr>
                <w:rFonts w:eastAsia="Times New Roman"/>
                <w:color w:val="000000" w:themeColor="text1"/>
                <w:lang w:eastAsia="fr-FR"/>
              </w:rPr>
              <w:t>installations existantes, aux extensions ou modifications de ces installations. existantes ainsi qu'aux installations nouvelles construites dans un site existant au 1</w:t>
            </w:r>
            <w:r w:rsidRPr="000D7FFD">
              <w:rPr>
                <w:rFonts w:eastAsia="Times New Roman"/>
                <w:color w:val="000000" w:themeColor="text1"/>
                <w:vertAlign w:val="superscript"/>
                <w:lang w:eastAsia="fr-FR"/>
              </w:rPr>
              <w:t>er</w:t>
            </w:r>
            <w:r w:rsidRPr="000D7FFD">
              <w:rPr>
                <w:rFonts w:eastAsia="Times New Roman"/>
                <w:color w:val="000000" w:themeColor="text1"/>
                <w:lang w:eastAsia="fr-FR"/>
              </w:rPr>
              <w:t xml:space="preserve"> janvier 2021.</w:t>
            </w:r>
          </w:p>
        </w:tc>
      </w:tr>
      <w:tr w:rsidR="00B75353" w:rsidRPr="000D7FFD" w14:paraId="301A0E6E" w14:textId="77777777" w:rsidTr="00B75353">
        <w:tc>
          <w:tcPr>
            <w:tcW w:w="1134" w:type="dxa"/>
          </w:tcPr>
          <w:p w14:paraId="5A9EA97D" w14:textId="633B43AB" w:rsidR="00B75353" w:rsidRPr="000D7FFD" w:rsidRDefault="00B75353" w:rsidP="00E03677">
            <w:pPr>
              <w:rPr>
                <w:color w:val="000000" w:themeColor="text1"/>
              </w:rPr>
            </w:pPr>
            <w:r>
              <w:rPr>
                <w:color w:val="000000" w:themeColor="text1"/>
              </w:rPr>
              <w:t>II.4</w:t>
            </w:r>
          </w:p>
        </w:tc>
        <w:tc>
          <w:tcPr>
            <w:tcW w:w="7938" w:type="dxa"/>
          </w:tcPr>
          <w:p w14:paraId="153BBEF9" w14:textId="77777777" w:rsidR="00B75353" w:rsidRPr="000D7FFD" w:rsidRDefault="00B75353" w:rsidP="00E03677">
            <w:pPr>
              <w:rPr>
                <w:color w:val="000000" w:themeColor="text1"/>
              </w:rPr>
            </w:pPr>
            <w:r w:rsidRPr="000D7FFD">
              <w:rPr>
                <w:color w:val="000000" w:themeColor="text1"/>
              </w:rPr>
              <w:t>Ces dispositions ne sont pas applicables</w:t>
            </w:r>
          </w:p>
        </w:tc>
      </w:tr>
      <w:tr w:rsidR="00B75353" w:rsidRPr="000D7FFD" w14:paraId="7E1B2418" w14:textId="77777777" w:rsidTr="00B75353">
        <w:tc>
          <w:tcPr>
            <w:tcW w:w="1134" w:type="dxa"/>
          </w:tcPr>
          <w:p w14:paraId="432154EE" w14:textId="77777777" w:rsidR="00B75353" w:rsidRPr="000D7FFD" w:rsidRDefault="00B75353" w:rsidP="00E03677">
            <w:pPr>
              <w:rPr>
                <w:color w:val="000000" w:themeColor="text1"/>
              </w:rPr>
            </w:pPr>
            <w:r w:rsidRPr="000D7FFD">
              <w:rPr>
                <w:color w:val="000000" w:themeColor="text1"/>
              </w:rPr>
              <w:t>III.1</w:t>
            </w:r>
          </w:p>
        </w:tc>
        <w:tc>
          <w:tcPr>
            <w:tcW w:w="7938" w:type="dxa"/>
          </w:tcPr>
          <w:p w14:paraId="5405D076" w14:textId="77777777" w:rsidR="00B75353" w:rsidRPr="000D7FFD" w:rsidRDefault="00B75353" w:rsidP="00E03677">
            <w:pPr>
              <w:rPr>
                <w:color w:val="000000" w:themeColor="text1"/>
              </w:rPr>
            </w:pPr>
            <w:r w:rsidRPr="000D7FFD">
              <w:rPr>
                <w:color w:val="000000" w:themeColor="text1"/>
              </w:rPr>
              <w:t>Ces dispositions sont applicables, selon les conditions définies dans l’article III.1</w:t>
            </w:r>
          </w:p>
        </w:tc>
      </w:tr>
      <w:tr w:rsidR="00B75353" w:rsidRPr="000D7FFD" w14:paraId="51933ABE" w14:textId="77777777" w:rsidTr="00B75353">
        <w:tc>
          <w:tcPr>
            <w:tcW w:w="1134" w:type="dxa"/>
          </w:tcPr>
          <w:p w14:paraId="724495C4" w14:textId="77777777" w:rsidR="00B75353" w:rsidRPr="000D7FFD" w:rsidRDefault="00B75353" w:rsidP="00E03677">
            <w:pPr>
              <w:rPr>
                <w:color w:val="000000" w:themeColor="text1"/>
              </w:rPr>
            </w:pPr>
            <w:r w:rsidRPr="000D7FFD">
              <w:rPr>
                <w:color w:val="000000" w:themeColor="text1"/>
              </w:rPr>
              <w:t>III.2</w:t>
            </w:r>
          </w:p>
        </w:tc>
        <w:tc>
          <w:tcPr>
            <w:tcW w:w="7938" w:type="dxa"/>
          </w:tcPr>
          <w:p w14:paraId="0F0518C0" w14:textId="77777777" w:rsidR="00B75353" w:rsidRPr="000D7FFD" w:rsidRDefault="00B75353"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2023.</w:t>
            </w:r>
          </w:p>
        </w:tc>
      </w:tr>
      <w:tr w:rsidR="00B75353" w:rsidRPr="000D7FFD" w14:paraId="76D8277F" w14:textId="77777777" w:rsidTr="00B75353">
        <w:trPr>
          <w:trHeight w:val="101"/>
        </w:trPr>
        <w:tc>
          <w:tcPr>
            <w:tcW w:w="1134" w:type="dxa"/>
          </w:tcPr>
          <w:p w14:paraId="18415F52" w14:textId="77777777" w:rsidR="00B75353" w:rsidRPr="000D7FFD" w:rsidRDefault="00B75353" w:rsidP="00E03677">
            <w:pPr>
              <w:rPr>
                <w:color w:val="000000" w:themeColor="text1"/>
              </w:rPr>
            </w:pPr>
            <w:r w:rsidRPr="000D7FFD">
              <w:rPr>
                <w:color w:val="000000" w:themeColor="text1"/>
              </w:rPr>
              <w:t>III.3</w:t>
            </w:r>
          </w:p>
        </w:tc>
        <w:tc>
          <w:tcPr>
            <w:tcW w:w="7938" w:type="dxa"/>
          </w:tcPr>
          <w:p w14:paraId="3C9A76A9" w14:textId="77777777" w:rsidR="00B75353" w:rsidRPr="000D7FFD" w:rsidRDefault="00B75353" w:rsidP="00E03677">
            <w:pPr>
              <w:rPr>
                <w:color w:val="000000" w:themeColor="text1"/>
              </w:rPr>
            </w:pPr>
            <w:r w:rsidRPr="000D7FFD">
              <w:rPr>
                <w:rFonts w:eastAsia="Times New Roman"/>
                <w:color w:val="000000" w:themeColor="text1"/>
                <w:lang w:eastAsia="fr-FR"/>
              </w:rPr>
              <w:t>Les dispositions définies à l’annexe V sont applicables aux installations existantes à compter du 1</w:t>
            </w:r>
            <w:r w:rsidRPr="000D7FFD">
              <w:rPr>
                <w:rFonts w:eastAsia="Times New Roman"/>
                <w:color w:val="000000" w:themeColor="text1"/>
                <w:vertAlign w:val="superscript"/>
                <w:lang w:eastAsia="fr-FR"/>
              </w:rPr>
              <w:t>er</w:t>
            </w:r>
            <w:r w:rsidRPr="000D7FFD">
              <w:rPr>
                <w:rFonts w:eastAsia="Times New Roman"/>
                <w:color w:val="000000" w:themeColor="text1"/>
                <w:lang w:eastAsia="fr-FR"/>
              </w:rPr>
              <w:t xml:space="preserve"> janvier 2026 en lieu et place des dispositions de l’article III.3.</w:t>
            </w:r>
          </w:p>
          <w:p w14:paraId="4AC4B171" w14:textId="3C72469F" w:rsidR="00B75353" w:rsidRPr="000D7FFD" w:rsidRDefault="00B75353" w:rsidP="00B75353">
            <w:pPr>
              <w:rPr>
                <w:color w:val="000000" w:themeColor="text1"/>
              </w:rPr>
            </w:pPr>
            <w:r w:rsidRPr="000D7FFD">
              <w:rPr>
                <w:color w:val="000000" w:themeColor="text1"/>
              </w:rPr>
              <w:lastRenderedPageBreak/>
              <w:t>Néanmoins,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ces dispositions sont applicab</w:t>
            </w:r>
            <w:r>
              <w:rPr>
                <w:color w:val="000000" w:themeColor="text1"/>
              </w:rPr>
              <w:t>les à l’extension.</w:t>
            </w:r>
          </w:p>
        </w:tc>
      </w:tr>
      <w:tr w:rsidR="00B75353" w:rsidRPr="000D7FFD" w14:paraId="0F089B76" w14:textId="77777777" w:rsidTr="00B75353">
        <w:trPr>
          <w:trHeight w:val="101"/>
        </w:trPr>
        <w:tc>
          <w:tcPr>
            <w:tcW w:w="1134" w:type="dxa"/>
          </w:tcPr>
          <w:p w14:paraId="5D701F1B" w14:textId="77777777" w:rsidR="00B75353" w:rsidRPr="000D7FFD" w:rsidRDefault="00B75353" w:rsidP="00E03677">
            <w:pPr>
              <w:rPr>
                <w:color w:val="000000" w:themeColor="text1"/>
              </w:rPr>
            </w:pPr>
            <w:r w:rsidRPr="000D7FFD">
              <w:rPr>
                <w:color w:val="000000" w:themeColor="text1"/>
              </w:rPr>
              <w:lastRenderedPageBreak/>
              <w:t>III.4</w:t>
            </w:r>
          </w:p>
        </w:tc>
        <w:tc>
          <w:tcPr>
            <w:tcW w:w="7938" w:type="dxa"/>
          </w:tcPr>
          <w:p w14:paraId="6E3554F1" w14:textId="77777777" w:rsidR="00B75353" w:rsidRPr="000D7FFD" w:rsidRDefault="00B75353"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tc>
      </w:tr>
      <w:tr w:rsidR="00B75353" w:rsidRPr="000D7FFD" w14:paraId="72661ECC" w14:textId="77777777" w:rsidTr="00B75353">
        <w:tc>
          <w:tcPr>
            <w:tcW w:w="1134" w:type="dxa"/>
          </w:tcPr>
          <w:p w14:paraId="5840C5B9" w14:textId="77777777" w:rsidR="00B75353" w:rsidRPr="000D7FFD" w:rsidRDefault="00B75353" w:rsidP="00E03677">
            <w:pPr>
              <w:rPr>
                <w:color w:val="000000" w:themeColor="text1"/>
              </w:rPr>
            </w:pPr>
            <w:r w:rsidRPr="000D7FFD">
              <w:rPr>
                <w:color w:val="000000" w:themeColor="text1"/>
              </w:rPr>
              <w:t>III.5</w:t>
            </w:r>
          </w:p>
        </w:tc>
        <w:tc>
          <w:tcPr>
            <w:tcW w:w="7938" w:type="dxa"/>
          </w:tcPr>
          <w:p w14:paraId="0D82E35F" w14:textId="77777777" w:rsidR="00B75353" w:rsidRPr="000D7FFD" w:rsidRDefault="00B75353" w:rsidP="00E03677">
            <w:pPr>
              <w:rPr>
                <w:color w:val="000000" w:themeColor="text1"/>
              </w:rPr>
            </w:pPr>
            <w:r w:rsidRPr="000D7FFD">
              <w:rPr>
                <w:color w:val="000000" w:themeColor="text1"/>
              </w:rPr>
              <w:t>L’alinéa suivant est applicable au 1</w:t>
            </w:r>
            <w:r w:rsidRPr="000D7FFD">
              <w:rPr>
                <w:color w:val="000000" w:themeColor="text1"/>
                <w:vertAlign w:val="superscript"/>
              </w:rPr>
              <w:t>er</w:t>
            </w:r>
            <w:r w:rsidRPr="000D7FFD">
              <w:rPr>
                <w:color w:val="000000" w:themeColor="text1"/>
              </w:rPr>
              <w:t xml:space="preserve"> janvier 2026 : » Si l'éclairage met en œuvre des lampes à vapeur de sodium ou de mercure, l'exploitant prend les dispositions nécessaires pour qu'en cas d'éclatement de l'ampoule, tous les éléments soient confinés dans l'appareil. »</w:t>
            </w:r>
          </w:p>
          <w:p w14:paraId="71596AF5" w14:textId="77777777" w:rsidR="00B75353" w:rsidRPr="000D7FFD" w:rsidRDefault="00B75353" w:rsidP="00E03677">
            <w:pPr>
              <w:rPr>
                <w:color w:val="000000" w:themeColor="text1"/>
              </w:rPr>
            </w:pPr>
            <w:r w:rsidRPr="000D7FFD">
              <w:rPr>
                <w:color w:val="000000" w:themeColor="text1"/>
              </w:rPr>
              <w:t>Le dernier alinéa du point I n’est pas applicable aux installations existantes</w:t>
            </w:r>
          </w:p>
          <w:p w14:paraId="0E6922BB" w14:textId="77777777" w:rsidR="00B75353" w:rsidRPr="000D7FFD" w:rsidRDefault="00B75353" w:rsidP="00E03677">
            <w:pPr>
              <w:rPr>
                <w:color w:val="000000" w:themeColor="text1"/>
              </w:rPr>
            </w:pPr>
            <w:r w:rsidRPr="000D7FFD">
              <w:rPr>
                <w:color w:val="000000" w:themeColor="text1"/>
              </w:rPr>
              <w:t>Les autres dispositions sont applicables au 1</w:t>
            </w:r>
            <w:r w:rsidRPr="000D7FFD">
              <w:rPr>
                <w:color w:val="000000" w:themeColor="text1"/>
                <w:vertAlign w:val="superscript"/>
              </w:rPr>
              <w:t>er</w:t>
            </w:r>
            <w:r w:rsidRPr="000D7FFD">
              <w:rPr>
                <w:color w:val="000000" w:themeColor="text1"/>
              </w:rPr>
              <w:t xml:space="preserve"> au 1</w:t>
            </w:r>
            <w:r w:rsidRPr="000D7FFD">
              <w:rPr>
                <w:color w:val="000000" w:themeColor="text1"/>
                <w:vertAlign w:val="superscript"/>
              </w:rPr>
              <w:t>er</w:t>
            </w:r>
            <w:r w:rsidRPr="000D7FFD">
              <w:rPr>
                <w:color w:val="000000" w:themeColor="text1"/>
              </w:rPr>
              <w:t xml:space="preserve"> janvier 2023..</w:t>
            </w:r>
          </w:p>
        </w:tc>
      </w:tr>
      <w:tr w:rsidR="00B75353" w:rsidRPr="000D7FFD" w14:paraId="5C2371E3" w14:textId="77777777" w:rsidTr="00B75353">
        <w:tc>
          <w:tcPr>
            <w:tcW w:w="1134" w:type="dxa"/>
          </w:tcPr>
          <w:p w14:paraId="52B86128" w14:textId="77777777" w:rsidR="00B75353" w:rsidRPr="000D7FFD" w:rsidRDefault="00B75353" w:rsidP="00E03677">
            <w:pPr>
              <w:rPr>
                <w:color w:val="000000" w:themeColor="text1"/>
              </w:rPr>
            </w:pPr>
            <w:r w:rsidRPr="000D7FFD">
              <w:rPr>
                <w:color w:val="000000" w:themeColor="text1"/>
              </w:rPr>
              <w:t>III.6</w:t>
            </w:r>
          </w:p>
        </w:tc>
        <w:tc>
          <w:tcPr>
            <w:tcW w:w="7938" w:type="dxa"/>
          </w:tcPr>
          <w:p w14:paraId="397C906F" w14:textId="77777777" w:rsidR="00B75353" w:rsidRPr="000D7FFD" w:rsidRDefault="00B75353" w:rsidP="00E03677">
            <w:pPr>
              <w:rPr>
                <w:color w:val="000000" w:themeColor="text1"/>
              </w:rPr>
            </w:pPr>
            <w:r w:rsidRPr="000D7FFD">
              <w:rPr>
                <w:color w:val="000000" w:themeColor="text1"/>
              </w:rPr>
              <w:t>Les dispositions du I ne sont pas applicables aux installations existantes</w:t>
            </w:r>
          </w:p>
          <w:p w14:paraId="7ABDBDB3" w14:textId="77777777" w:rsidR="00B75353" w:rsidRPr="000D7FFD" w:rsidRDefault="00B75353" w:rsidP="00E03677">
            <w:pPr>
              <w:rPr>
                <w:color w:val="000000" w:themeColor="text1"/>
              </w:rPr>
            </w:pPr>
            <w:r w:rsidRPr="000D7FFD">
              <w:rPr>
                <w:color w:val="000000" w:themeColor="text1"/>
              </w:rPr>
              <w:t>Les dispositions des points II et III sont applicables au 1</w:t>
            </w:r>
            <w:r w:rsidRPr="000D7FFD">
              <w:rPr>
                <w:color w:val="000000" w:themeColor="text1"/>
                <w:vertAlign w:val="superscript"/>
              </w:rPr>
              <w:t>er</w:t>
            </w:r>
            <w:r w:rsidRPr="000D7FFD">
              <w:rPr>
                <w:color w:val="000000" w:themeColor="text1"/>
              </w:rPr>
              <w:t xml:space="preserve"> janvier 2026..</w:t>
            </w:r>
          </w:p>
        </w:tc>
      </w:tr>
      <w:tr w:rsidR="00B75353" w:rsidRPr="000D7FFD" w14:paraId="4FAC7A6D" w14:textId="77777777" w:rsidTr="00B75353">
        <w:tc>
          <w:tcPr>
            <w:tcW w:w="1134" w:type="dxa"/>
          </w:tcPr>
          <w:p w14:paraId="56D50707" w14:textId="77777777" w:rsidR="00B75353" w:rsidRPr="000D7FFD" w:rsidRDefault="00B75353" w:rsidP="00E03677">
            <w:pPr>
              <w:rPr>
                <w:color w:val="000000" w:themeColor="text1"/>
              </w:rPr>
            </w:pPr>
            <w:r w:rsidRPr="000D7FFD">
              <w:rPr>
                <w:color w:val="000000" w:themeColor="text1"/>
              </w:rPr>
              <w:t>III.7</w:t>
            </w:r>
          </w:p>
        </w:tc>
        <w:tc>
          <w:tcPr>
            <w:tcW w:w="7938" w:type="dxa"/>
          </w:tcPr>
          <w:p w14:paraId="71511C02" w14:textId="77777777" w:rsidR="00B75353" w:rsidRPr="000D7FFD" w:rsidRDefault="00B75353"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tc>
      </w:tr>
      <w:tr w:rsidR="00B75353" w:rsidRPr="000D7FFD" w14:paraId="591AE941" w14:textId="77777777" w:rsidTr="00B75353">
        <w:tc>
          <w:tcPr>
            <w:tcW w:w="1134" w:type="dxa"/>
          </w:tcPr>
          <w:p w14:paraId="26E1919F" w14:textId="77777777" w:rsidR="00B75353" w:rsidRPr="000D7FFD" w:rsidRDefault="00B75353" w:rsidP="00E03677">
            <w:pPr>
              <w:rPr>
                <w:color w:val="000000" w:themeColor="text1"/>
              </w:rPr>
            </w:pPr>
            <w:r w:rsidRPr="000D7FFD">
              <w:rPr>
                <w:color w:val="000000" w:themeColor="text1"/>
              </w:rPr>
              <w:t>III.8</w:t>
            </w:r>
          </w:p>
        </w:tc>
        <w:tc>
          <w:tcPr>
            <w:tcW w:w="7938" w:type="dxa"/>
          </w:tcPr>
          <w:p w14:paraId="280D1EBF" w14:textId="77777777" w:rsidR="00B75353" w:rsidRPr="000D7FFD" w:rsidRDefault="00B75353" w:rsidP="00E03677">
            <w:pPr>
              <w:rPr>
                <w:color w:val="000000" w:themeColor="text1"/>
              </w:rPr>
            </w:pPr>
            <w:r w:rsidRPr="000D7FFD">
              <w:rPr>
                <w:color w:val="000000" w:themeColor="text1"/>
              </w:rPr>
              <w:t>Un dispositif de détection conforme aux dispositions du III.4 est mis en place à compter du 1</w:t>
            </w:r>
            <w:r w:rsidRPr="000D7FFD">
              <w:rPr>
                <w:color w:val="000000" w:themeColor="text1"/>
                <w:vertAlign w:val="superscript"/>
              </w:rPr>
              <w:t>er</w:t>
            </w:r>
            <w:r w:rsidRPr="000D7FFD">
              <w:rPr>
                <w:color w:val="000000" w:themeColor="text1"/>
              </w:rPr>
              <w:t xml:space="preserve"> janvier 2026. Les autres dispositions ne sont pas applicables aux installations existantes.</w:t>
            </w:r>
          </w:p>
          <w:p w14:paraId="1A61587C" w14:textId="77777777" w:rsidR="00B75353" w:rsidRPr="000D7FFD" w:rsidRDefault="00B75353" w:rsidP="00E03677">
            <w:pPr>
              <w:rPr>
                <w:color w:val="000000" w:themeColor="text1"/>
              </w:rPr>
            </w:pPr>
            <w:r w:rsidRPr="000D7FFD">
              <w:rPr>
                <w:color w:val="000000" w:themeColor="text1"/>
              </w:rPr>
              <w:t>Néanmoins, en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ces dispositions sont applicables à l’extension. </w:t>
            </w:r>
          </w:p>
          <w:p w14:paraId="238C5162" w14:textId="77777777" w:rsidR="00B75353" w:rsidRPr="000D7FFD" w:rsidRDefault="00B75353" w:rsidP="00E03677">
            <w:pPr>
              <w:rPr>
                <w:color w:val="000000" w:themeColor="text1"/>
              </w:rPr>
            </w:pPr>
          </w:p>
        </w:tc>
      </w:tr>
      <w:tr w:rsidR="00B75353" w:rsidRPr="000D7FFD" w14:paraId="374F6877" w14:textId="77777777" w:rsidTr="00B75353">
        <w:tc>
          <w:tcPr>
            <w:tcW w:w="1134" w:type="dxa"/>
          </w:tcPr>
          <w:p w14:paraId="7873357B" w14:textId="77777777" w:rsidR="00B75353" w:rsidRPr="000D7FFD" w:rsidRDefault="00B75353" w:rsidP="00E03677">
            <w:pPr>
              <w:rPr>
                <w:color w:val="000000" w:themeColor="text1"/>
              </w:rPr>
            </w:pPr>
            <w:r w:rsidRPr="000D7FFD">
              <w:rPr>
                <w:color w:val="000000" w:themeColor="text1"/>
              </w:rPr>
              <w:t>III.9</w:t>
            </w:r>
          </w:p>
        </w:tc>
        <w:tc>
          <w:tcPr>
            <w:tcW w:w="7938" w:type="dxa"/>
          </w:tcPr>
          <w:p w14:paraId="7B3C7F87" w14:textId="77777777" w:rsidR="00B75353" w:rsidRPr="000D7FFD" w:rsidRDefault="00B75353"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p w14:paraId="5AF567D6" w14:textId="77777777" w:rsidR="00B75353" w:rsidRPr="000D7FFD" w:rsidRDefault="00B75353" w:rsidP="00E03677">
            <w:pPr>
              <w:rPr>
                <w:color w:val="000000" w:themeColor="text1"/>
              </w:rPr>
            </w:pPr>
            <w:r w:rsidRPr="000D7FFD">
              <w:rPr>
                <w:color w:val="000000" w:themeColor="text1"/>
              </w:rPr>
              <w:t xml:space="preserve">Concernant la surface maximale susceptible d'être en feu, celle-ci peut être portée à 1000 m2, si la distance entre ilôts est suffisante pour garantir que les effets dominos (seuil des effets thermiques de 8kW/m²) ne sont pas atteints de bord de la rétention vis à vis de tout autre ilôt, rétention extérieure associée à des réservoirs, ou tout autre activité ou bâtiment. </w:t>
            </w:r>
          </w:p>
          <w:p w14:paraId="139D5815" w14:textId="77777777" w:rsidR="00B75353" w:rsidRPr="000D7FFD" w:rsidRDefault="00B75353" w:rsidP="00E03677">
            <w:pPr>
              <w:rPr>
                <w:color w:val="000000" w:themeColor="text1"/>
              </w:rPr>
            </w:pPr>
            <w:r w:rsidRPr="000D7FFD">
              <w:rPr>
                <w:color w:val="000000" w:themeColor="text1"/>
              </w:rPr>
              <w:t>La configuration des ilôts respecte alors les conditions suivantes :</w:t>
            </w:r>
          </w:p>
          <w:tbl>
            <w:tblPr>
              <w:tblStyle w:val="Grilledutableau"/>
              <w:tblW w:w="7397" w:type="dxa"/>
              <w:tblLayout w:type="fixed"/>
              <w:tblLook w:val="04A0" w:firstRow="1" w:lastRow="0" w:firstColumn="1" w:lastColumn="0" w:noHBand="0" w:noVBand="1"/>
            </w:tblPr>
            <w:tblGrid>
              <w:gridCol w:w="3020"/>
              <w:gridCol w:w="4377"/>
            </w:tblGrid>
            <w:tr w:rsidR="00B75353" w:rsidRPr="000D7FFD" w14:paraId="3EA99891" w14:textId="77777777" w:rsidTr="00B75353">
              <w:tc>
                <w:tcPr>
                  <w:tcW w:w="3020" w:type="dxa"/>
                </w:tcPr>
                <w:p w14:paraId="1648E138" w14:textId="77777777" w:rsidR="00B75353" w:rsidRPr="000D7FFD" w:rsidRDefault="00B75353" w:rsidP="00E03677">
                  <w:pPr>
                    <w:rPr>
                      <w:color w:val="000000" w:themeColor="text1"/>
                    </w:rPr>
                  </w:pPr>
                  <w:r w:rsidRPr="000D7FFD">
                    <w:rPr>
                      <w:color w:val="000000" w:themeColor="text1"/>
                    </w:rPr>
                    <w:t>Surface maximale susceptible d’être en feu</w:t>
                  </w:r>
                </w:p>
              </w:tc>
              <w:tc>
                <w:tcPr>
                  <w:tcW w:w="4377" w:type="dxa"/>
                </w:tcPr>
                <w:p w14:paraId="04F4CEAE" w14:textId="77777777" w:rsidR="00B75353" w:rsidRPr="000D7FFD" w:rsidRDefault="00B75353" w:rsidP="00E03677">
                  <w:pPr>
                    <w:rPr>
                      <w:color w:val="000000" w:themeColor="text1"/>
                    </w:rPr>
                  </w:pPr>
                  <w:r w:rsidRPr="000D7FFD">
                    <w:rPr>
                      <w:color w:val="000000" w:themeColor="text1"/>
                    </w:rPr>
                    <w:t>Distance minimale entre le bord de la rétention rétention vis à vis de tout autre ilôt, rétention extérieure associée à des réservoirs, ou tout autre activité ou bâtiment</w:t>
                  </w:r>
                </w:p>
              </w:tc>
            </w:tr>
            <w:tr w:rsidR="00B75353" w:rsidRPr="000D7FFD" w14:paraId="41918FE3" w14:textId="77777777" w:rsidTr="00B75353">
              <w:tc>
                <w:tcPr>
                  <w:tcW w:w="3020" w:type="dxa"/>
                </w:tcPr>
                <w:p w14:paraId="0B4EC4BA" w14:textId="77777777" w:rsidR="00B75353" w:rsidRPr="000D7FFD" w:rsidRDefault="00B75353" w:rsidP="00E03677">
                  <w:pPr>
                    <w:rPr>
                      <w:color w:val="000000" w:themeColor="text1"/>
                    </w:rPr>
                  </w:pPr>
                  <w:r w:rsidRPr="000D7FFD">
                    <w:rPr>
                      <w:color w:val="000000" w:themeColor="text1"/>
                    </w:rPr>
                    <w:t>Jusqu’à 750 m²</w:t>
                  </w:r>
                </w:p>
              </w:tc>
              <w:tc>
                <w:tcPr>
                  <w:tcW w:w="4377" w:type="dxa"/>
                </w:tcPr>
                <w:p w14:paraId="67DDC313" w14:textId="77777777" w:rsidR="00B75353" w:rsidRPr="000D7FFD" w:rsidRDefault="00B75353" w:rsidP="00E03677">
                  <w:pPr>
                    <w:rPr>
                      <w:color w:val="000000" w:themeColor="text1"/>
                    </w:rPr>
                  </w:pPr>
                  <w:r w:rsidRPr="000D7FFD">
                    <w:rPr>
                      <w:color w:val="000000" w:themeColor="text1"/>
                    </w:rPr>
                    <w:t>15 m</w:t>
                  </w:r>
                </w:p>
              </w:tc>
            </w:tr>
            <w:tr w:rsidR="00B75353" w:rsidRPr="000D7FFD" w14:paraId="4FAD0CF0" w14:textId="77777777" w:rsidTr="00B75353">
              <w:tc>
                <w:tcPr>
                  <w:tcW w:w="3020" w:type="dxa"/>
                </w:tcPr>
                <w:p w14:paraId="0849C518" w14:textId="77777777" w:rsidR="00B75353" w:rsidRPr="000D7FFD" w:rsidRDefault="00B75353" w:rsidP="00E03677">
                  <w:pPr>
                    <w:rPr>
                      <w:color w:val="000000" w:themeColor="text1"/>
                    </w:rPr>
                  </w:pPr>
                  <w:r w:rsidRPr="000D7FFD">
                    <w:rPr>
                      <w:color w:val="000000" w:themeColor="text1"/>
                    </w:rPr>
                    <w:t>Jusqu’à 1000 m²</w:t>
                  </w:r>
                </w:p>
              </w:tc>
              <w:tc>
                <w:tcPr>
                  <w:tcW w:w="4377" w:type="dxa"/>
                </w:tcPr>
                <w:p w14:paraId="111AE417" w14:textId="77777777" w:rsidR="00B75353" w:rsidRPr="000D7FFD" w:rsidRDefault="00B75353" w:rsidP="00E03677">
                  <w:pPr>
                    <w:rPr>
                      <w:color w:val="000000" w:themeColor="text1"/>
                    </w:rPr>
                  </w:pPr>
                  <w:r w:rsidRPr="000D7FFD">
                    <w:rPr>
                      <w:color w:val="000000" w:themeColor="text1"/>
                    </w:rPr>
                    <w:t>20 m</w:t>
                  </w:r>
                </w:p>
              </w:tc>
            </w:tr>
          </w:tbl>
          <w:p w14:paraId="3CD63113" w14:textId="77777777" w:rsidR="00B75353" w:rsidRPr="000D7FFD" w:rsidRDefault="00B75353" w:rsidP="00E03677">
            <w:pPr>
              <w:rPr>
                <w:rFonts w:eastAsia="Times New Roman" w:cs="Times New Roman"/>
                <w:color w:val="000000" w:themeColor="text1"/>
                <w:szCs w:val="24"/>
                <w:lang w:eastAsia="fr-FR"/>
              </w:rPr>
            </w:pPr>
            <w:r w:rsidRPr="000D7FFD">
              <w:rPr>
                <w:rFonts w:eastAsia="Times New Roman" w:cs="Times New Roman"/>
                <w:color w:val="000000" w:themeColor="text1"/>
                <w:szCs w:val="24"/>
                <w:lang w:eastAsia="fr-FR"/>
              </w:rPr>
              <w:t>Ces distances peuvent être réduites si les effets domino (seuil des effets thermiques de 8kW/m²) ne sont pas atteints, par l’emploi de dispositions passives, du stockage vers tout autre ilôt de stockage ou activité et de tout autre ilôt de stockage ou autre activité vers le stockage</w:t>
            </w:r>
            <w:r w:rsidRPr="000D7FFD">
              <w:rPr>
                <w:rFonts w:cs="Times New Roman"/>
                <w:color w:val="000000" w:themeColor="text1"/>
                <w:szCs w:val="24"/>
              </w:rPr>
              <w:t xml:space="preserve">. La mise en place d’un mur </w:t>
            </w:r>
            <w:r w:rsidRPr="000D7FFD">
              <w:rPr>
                <w:color w:val="000000" w:themeColor="text1"/>
              </w:rPr>
              <w:t>coupe-feu EI 120 de dimensions suffisantes pour contenir les effets dominos permet de répondre à cette exigence. Les éléments de justification, et le cas échéant, de démonstration du respect des règles en vigueur concernant le mur coupe-feu, sont tenus à la disposition de l’inspection des installations classées</w:t>
            </w:r>
            <w:r w:rsidRPr="000D7FFD">
              <w:rPr>
                <w:rFonts w:cs="Times New Roman"/>
                <w:color w:val="000000" w:themeColor="text1"/>
                <w:szCs w:val="24"/>
              </w:rPr>
              <w:t xml:space="preserve">. </w:t>
            </w:r>
          </w:p>
          <w:p w14:paraId="0025703C" w14:textId="77777777" w:rsidR="00B75353" w:rsidRPr="000D7FFD" w:rsidRDefault="00B75353" w:rsidP="00E03677">
            <w:pPr>
              <w:rPr>
                <w:color w:val="000000" w:themeColor="text1"/>
              </w:rPr>
            </w:pPr>
          </w:p>
        </w:tc>
      </w:tr>
      <w:tr w:rsidR="00B75353" w:rsidRPr="000D7FFD" w14:paraId="372C8E9A" w14:textId="77777777" w:rsidTr="00B75353">
        <w:tc>
          <w:tcPr>
            <w:tcW w:w="1134" w:type="dxa"/>
          </w:tcPr>
          <w:p w14:paraId="7C677FAF" w14:textId="77777777" w:rsidR="00B75353" w:rsidRPr="000D7FFD" w:rsidRDefault="00B75353" w:rsidP="00E03677">
            <w:pPr>
              <w:rPr>
                <w:color w:val="000000" w:themeColor="text1"/>
              </w:rPr>
            </w:pPr>
            <w:r w:rsidRPr="000D7FFD">
              <w:rPr>
                <w:color w:val="000000" w:themeColor="text1"/>
              </w:rPr>
              <w:t>III.10</w:t>
            </w:r>
          </w:p>
        </w:tc>
        <w:tc>
          <w:tcPr>
            <w:tcW w:w="7938" w:type="dxa"/>
          </w:tcPr>
          <w:p w14:paraId="34ABA02C" w14:textId="77777777" w:rsidR="00B75353" w:rsidRPr="000D7FFD" w:rsidRDefault="00B75353"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tc>
      </w:tr>
      <w:tr w:rsidR="00B75353" w:rsidRPr="000D7FFD" w14:paraId="44965341" w14:textId="77777777" w:rsidTr="00B75353">
        <w:tc>
          <w:tcPr>
            <w:tcW w:w="1134" w:type="dxa"/>
          </w:tcPr>
          <w:p w14:paraId="436782E3" w14:textId="77777777" w:rsidR="00B75353" w:rsidRPr="000D7FFD" w:rsidRDefault="00B75353" w:rsidP="00E03677">
            <w:pPr>
              <w:rPr>
                <w:color w:val="000000" w:themeColor="text1"/>
              </w:rPr>
            </w:pPr>
            <w:r w:rsidRPr="000D7FFD">
              <w:rPr>
                <w:color w:val="000000" w:themeColor="text1"/>
              </w:rPr>
              <w:t>III.11 –I</w:t>
            </w:r>
          </w:p>
        </w:tc>
        <w:tc>
          <w:tcPr>
            <w:tcW w:w="7938" w:type="dxa"/>
          </w:tcPr>
          <w:p w14:paraId="2DC8449C" w14:textId="77777777" w:rsidR="00B75353" w:rsidRPr="000D7FFD" w:rsidRDefault="00B75353" w:rsidP="00E03677">
            <w:pPr>
              <w:rPr>
                <w:color w:val="000000" w:themeColor="text1"/>
              </w:rPr>
            </w:pPr>
            <w:r w:rsidRPr="000D7FFD">
              <w:rPr>
                <w:color w:val="000000" w:themeColor="text1"/>
              </w:rPr>
              <w:t>Ces dispositions sont applicables aux installations existantes à compter du 1</w:t>
            </w:r>
            <w:r w:rsidRPr="000D7FFD">
              <w:rPr>
                <w:color w:val="000000" w:themeColor="text1"/>
                <w:vertAlign w:val="superscript"/>
              </w:rPr>
              <w:t>er</w:t>
            </w:r>
            <w:r w:rsidRPr="000D7FFD">
              <w:rPr>
                <w:color w:val="000000" w:themeColor="text1"/>
              </w:rPr>
              <w:t xml:space="preserve"> janvier 2023, à l’exception du 4</w:t>
            </w:r>
            <w:r w:rsidRPr="000D7FFD">
              <w:rPr>
                <w:color w:val="000000" w:themeColor="text1"/>
                <w:vertAlign w:val="superscript"/>
              </w:rPr>
              <w:t>ème</w:t>
            </w:r>
            <w:r w:rsidRPr="000D7FFD">
              <w:rPr>
                <w:color w:val="000000" w:themeColor="text1"/>
              </w:rPr>
              <w:t xml:space="preserve"> tiret du I.</w:t>
            </w:r>
          </w:p>
          <w:p w14:paraId="76FCDF13" w14:textId="77777777" w:rsidR="00B75353" w:rsidRPr="000D7FFD" w:rsidRDefault="00B75353" w:rsidP="00E03677">
            <w:pPr>
              <w:rPr>
                <w:color w:val="000000" w:themeColor="text1"/>
              </w:rPr>
            </w:pPr>
          </w:p>
          <w:p w14:paraId="5E06C3E7" w14:textId="77777777" w:rsidR="00B75353" w:rsidRPr="000D7FFD" w:rsidRDefault="00B75353" w:rsidP="00E03677">
            <w:pPr>
              <w:rPr>
                <w:color w:val="000000" w:themeColor="text1"/>
              </w:rPr>
            </w:pPr>
            <w:r w:rsidRPr="000D7FFD">
              <w:rPr>
                <w:color w:val="000000" w:themeColor="text1"/>
              </w:rPr>
              <w:t>Ces dispositions sont applicables aux rétentions construites après le 1</w:t>
            </w:r>
            <w:r w:rsidRPr="000D7FFD">
              <w:rPr>
                <w:color w:val="000000" w:themeColor="text1"/>
                <w:vertAlign w:val="superscript"/>
              </w:rPr>
              <w:t>er</w:t>
            </w:r>
            <w:r w:rsidRPr="000D7FFD">
              <w:rPr>
                <w:color w:val="000000" w:themeColor="text1"/>
              </w:rPr>
              <w:t xml:space="preserve"> janvier 2021.</w:t>
            </w:r>
          </w:p>
        </w:tc>
      </w:tr>
      <w:tr w:rsidR="00B75353" w:rsidRPr="000D7FFD" w14:paraId="783DE6AF" w14:textId="77777777" w:rsidTr="00B75353">
        <w:tc>
          <w:tcPr>
            <w:tcW w:w="1134" w:type="dxa"/>
          </w:tcPr>
          <w:p w14:paraId="5604B263" w14:textId="77777777" w:rsidR="00B75353" w:rsidRPr="000D7FFD" w:rsidRDefault="00B75353" w:rsidP="00E03677">
            <w:pPr>
              <w:rPr>
                <w:color w:val="000000" w:themeColor="text1"/>
              </w:rPr>
            </w:pPr>
            <w:r w:rsidRPr="000D7FFD">
              <w:rPr>
                <w:color w:val="000000" w:themeColor="text1"/>
              </w:rPr>
              <w:t>III.11-II</w:t>
            </w:r>
          </w:p>
        </w:tc>
        <w:tc>
          <w:tcPr>
            <w:tcW w:w="7938" w:type="dxa"/>
          </w:tcPr>
          <w:p w14:paraId="673F08B5" w14:textId="77777777" w:rsidR="00B75353" w:rsidRPr="000D7FFD" w:rsidRDefault="00B75353" w:rsidP="00E03677">
            <w:pPr>
              <w:rPr>
                <w:color w:val="000000" w:themeColor="text1"/>
              </w:rPr>
            </w:pPr>
            <w:r w:rsidRPr="000D7FFD">
              <w:rPr>
                <w:color w:val="000000" w:themeColor="text1"/>
              </w:rPr>
              <w:t>Cette disposition est applicable au 1</w:t>
            </w:r>
            <w:r w:rsidRPr="000D7FFD">
              <w:rPr>
                <w:color w:val="000000" w:themeColor="text1"/>
                <w:vertAlign w:val="superscript"/>
              </w:rPr>
              <w:t>er</w:t>
            </w:r>
            <w:r w:rsidRPr="000D7FFD">
              <w:rPr>
                <w:color w:val="000000" w:themeColor="text1"/>
              </w:rPr>
              <w:t xml:space="preserve"> janvier 2023.</w:t>
            </w:r>
          </w:p>
        </w:tc>
      </w:tr>
      <w:tr w:rsidR="00B75353" w:rsidRPr="000D7FFD" w14:paraId="4C4AF1B6" w14:textId="77777777" w:rsidTr="00B75353">
        <w:tc>
          <w:tcPr>
            <w:tcW w:w="1134" w:type="dxa"/>
          </w:tcPr>
          <w:p w14:paraId="79C7CD18" w14:textId="77777777" w:rsidR="00B75353" w:rsidRPr="000D7FFD" w:rsidRDefault="00B75353" w:rsidP="00E03677">
            <w:pPr>
              <w:rPr>
                <w:color w:val="000000" w:themeColor="text1"/>
              </w:rPr>
            </w:pPr>
            <w:r w:rsidRPr="000D7FFD">
              <w:rPr>
                <w:color w:val="000000" w:themeColor="text1"/>
              </w:rPr>
              <w:t>III.11-III</w:t>
            </w:r>
          </w:p>
        </w:tc>
        <w:tc>
          <w:tcPr>
            <w:tcW w:w="7938" w:type="dxa"/>
          </w:tcPr>
          <w:p w14:paraId="519495FD" w14:textId="77777777" w:rsidR="00B75353" w:rsidRPr="000D7FFD" w:rsidRDefault="00B75353" w:rsidP="00E03677">
            <w:pPr>
              <w:rPr>
                <w:color w:val="000000" w:themeColor="text1"/>
              </w:rPr>
            </w:pPr>
            <w:r w:rsidRPr="000D7FFD">
              <w:rPr>
                <w:color w:val="000000" w:themeColor="text1"/>
              </w:rPr>
              <w:t>Cette disposition est applicable au 1</w:t>
            </w:r>
            <w:r w:rsidRPr="000D7FFD">
              <w:rPr>
                <w:color w:val="000000" w:themeColor="text1"/>
                <w:vertAlign w:val="superscript"/>
              </w:rPr>
              <w:t>er</w:t>
            </w:r>
            <w:r w:rsidRPr="000D7FFD">
              <w:rPr>
                <w:color w:val="000000" w:themeColor="text1"/>
              </w:rPr>
              <w:t xml:space="preserve"> janvier 2023.</w:t>
            </w:r>
          </w:p>
        </w:tc>
      </w:tr>
      <w:tr w:rsidR="00B75353" w:rsidRPr="000D7FFD" w14:paraId="4BA8343D" w14:textId="77777777" w:rsidTr="00B75353">
        <w:tc>
          <w:tcPr>
            <w:tcW w:w="1134" w:type="dxa"/>
          </w:tcPr>
          <w:p w14:paraId="7227B50C" w14:textId="77777777" w:rsidR="00B75353" w:rsidRPr="000D7FFD" w:rsidRDefault="00B75353" w:rsidP="00E03677">
            <w:pPr>
              <w:rPr>
                <w:color w:val="000000" w:themeColor="text1"/>
              </w:rPr>
            </w:pPr>
            <w:r w:rsidRPr="000D7FFD">
              <w:rPr>
                <w:color w:val="000000" w:themeColor="text1"/>
              </w:rPr>
              <w:lastRenderedPageBreak/>
              <w:t>III.11-IV</w:t>
            </w:r>
          </w:p>
        </w:tc>
        <w:tc>
          <w:tcPr>
            <w:tcW w:w="7938" w:type="dxa"/>
          </w:tcPr>
          <w:p w14:paraId="22D7CB8A"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095C6694" w14:textId="77777777" w:rsidTr="00B75353">
        <w:tc>
          <w:tcPr>
            <w:tcW w:w="1134" w:type="dxa"/>
          </w:tcPr>
          <w:p w14:paraId="0EE8F077" w14:textId="77777777" w:rsidR="00B75353" w:rsidRPr="000D7FFD" w:rsidRDefault="00B75353" w:rsidP="00E03677">
            <w:pPr>
              <w:rPr>
                <w:color w:val="000000" w:themeColor="text1"/>
              </w:rPr>
            </w:pPr>
            <w:r w:rsidRPr="000D7FFD">
              <w:rPr>
                <w:color w:val="000000" w:themeColor="text1"/>
              </w:rPr>
              <w:t>III.12</w:t>
            </w:r>
          </w:p>
        </w:tc>
        <w:tc>
          <w:tcPr>
            <w:tcW w:w="7938" w:type="dxa"/>
          </w:tcPr>
          <w:p w14:paraId="19EB34F9" w14:textId="77777777" w:rsidR="00B75353" w:rsidRPr="000D7FFD" w:rsidRDefault="00B75353" w:rsidP="00E03677">
            <w:pPr>
              <w:rPr>
                <w:color w:val="000000" w:themeColor="text1"/>
              </w:rPr>
            </w:pPr>
            <w:r w:rsidRPr="000D7FFD">
              <w:rPr>
                <w:color w:val="000000" w:themeColor="text1"/>
              </w:rPr>
              <w:t>Les dispositions des points I, II, IV, V et VI sont applicables à compter du 1</w:t>
            </w:r>
            <w:r w:rsidRPr="000D7FFD">
              <w:rPr>
                <w:color w:val="000000" w:themeColor="text1"/>
                <w:vertAlign w:val="superscript"/>
              </w:rPr>
              <w:t>er</w:t>
            </w:r>
            <w:r w:rsidRPr="000D7FFD">
              <w:rPr>
                <w:color w:val="000000" w:themeColor="text1"/>
              </w:rPr>
              <w:t xml:space="preserve"> janvier 2026.</w:t>
            </w:r>
          </w:p>
          <w:p w14:paraId="6F5C0142" w14:textId="77777777" w:rsidR="00B75353" w:rsidRPr="000D7FFD" w:rsidRDefault="00B75353" w:rsidP="00E03677">
            <w:pPr>
              <w:rPr>
                <w:color w:val="000000" w:themeColor="text1"/>
              </w:rPr>
            </w:pPr>
          </w:p>
          <w:p w14:paraId="37A921C9" w14:textId="77777777" w:rsidR="00B75353" w:rsidRPr="000D7FFD" w:rsidRDefault="00B75353" w:rsidP="00E03677">
            <w:pPr>
              <w:rPr>
                <w:color w:val="000000" w:themeColor="text1"/>
              </w:rPr>
            </w:pPr>
            <w:r w:rsidRPr="000D7FFD">
              <w:rPr>
                <w:color w:val="000000" w:themeColor="text1"/>
              </w:rPr>
              <w:t>Les dispositions du point III sont remplacées par les dispositions suivantes :</w:t>
            </w:r>
          </w:p>
          <w:p w14:paraId="6E81E991" w14:textId="77777777" w:rsidR="00B75353" w:rsidRPr="000D7FFD" w:rsidRDefault="00B75353" w:rsidP="00E03677">
            <w:pPr>
              <w:spacing w:after="160" w:line="259" w:lineRule="auto"/>
              <w:jc w:val="left"/>
              <w:rPr>
                <w:color w:val="000000" w:themeColor="text1"/>
              </w:rPr>
            </w:pPr>
            <w:r w:rsidRPr="000D7FFD">
              <w:rPr>
                <w:color w:val="000000" w:themeColor="text1"/>
              </w:rPr>
              <w:t>« Pour chaque récipient mobile ou groupe de récipients mobiles contenant au moins un liquide inflammable ou un liquide ou solide liquéfiable combustible, dès lors qu’il entre dans les conditions de proximité avec un liquide inflammable définies à l’article I-3, le volume minimal de la rétention calculé en application du I. ou du II. du présent article est majoré pour contenir également :</w:t>
            </w:r>
          </w:p>
          <w:p w14:paraId="08EA5FCF" w14:textId="77777777" w:rsidR="00B75353" w:rsidRPr="000D7FFD" w:rsidRDefault="00B75353" w:rsidP="00E03677">
            <w:pPr>
              <w:spacing w:after="160" w:line="259" w:lineRule="auto"/>
              <w:jc w:val="left"/>
              <w:rPr>
                <w:color w:val="000000" w:themeColor="text1"/>
              </w:rPr>
            </w:pPr>
            <w:r w:rsidRPr="000D7FFD">
              <w:rPr>
                <w:color w:val="000000" w:themeColor="text1"/>
              </w:rPr>
              <w:t>-</w:t>
            </w:r>
            <w:r w:rsidRPr="000D7FFD">
              <w:rPr>
                <w:color w:val="000000" w:themeColor="text1"/>
              </w:rPr>
              <w:tab/>
              <w:t>le volume des eaux d'extinction. L’exploitant prend en compte le volume nécessaire à la lutte contre l’incendie, déterminé au vu de la stratégie incendie définie à l’article VI-1 du présent arrêté, ou une hauteur supplémentaire forfaitaire des parois de rétention de 0,15 mètre en vue de contenir ces eaux d'extinction.</w:t>
            </w:r>
          </w:p>
          <w:p w14:paraId="5E414762" w14:textId="23C0130A" w:rsidR="00B75353" w:rsidRPr="000D7FFD" w:rsidRDefault="00B75353" w:rsidP="00B75353">
            <w:pPr>
              <w:spacing w:after="160" w:line="259" w:lineRule="auto"/>
              <w:jc w:val="left"/>
              <w:rPr>
                <w:color w:val="000000" w:themeColor="text1"/>
              </w:rPr>
            </w:pPr>
            <w:r w:rsidRPr="000D7FFD">
              <w:rPr>
                <w:color w:val="000000" w:themeColor="text1"/>
              </w:rPr>
              <w:t>Ces dispositions sont applicables à compter du 1</w:t>
            </w:r>
            <w:r w:rsidRPr="000D7FFD">
              <w:rPr>
                <w:color w:val="000000" w:themeColor="text1"/>
                <w:vertAlign w:val="superscript"/>
              </w:rPr>
              <w:t>er</w:t>
            </w:r>
            <w:r w:rsidRPr="000D7FFD">
              <w:rPr>
                <w:color w:val="000000" w:themeColor="text1"/>
              </w:rPr>
              <w:t xml:space="preserve"> janvier 2026. »</w:t>
            </w:r>
          </w:p>
        </w:tc>
      </w:tr>
      <w:tr w:rsidR="00B75353" w:rsidRPr="000D7FFD" w14:paraId="6F75AB72" w14:textId="77777777" w:rsidTr="00B75353">
        <w:tc>
          <w:tcPr>
            <w:tcW w:w="1134" w:type="dxa"/>
          </w:tcPr>
          <w:p w14:paraId="38D7E56D" w14:textId="77777777" w:rsidR="00B75353" w:rsidRPr="000D7FFD" w:rsidRDefault="00B75353" w:rsidP="00E03677">
            <w:pPr>
              <w:rPr>
                <w:color w:val="000000" w:themeColor="text1"/>
              </w:rPr>
            </w:pPr>
            <w:r w:rsidRPr="000D7FFD">
              <w:rPr>
                <w:color w:val="000000" w:themeColor="text1"/>
              </w:rPr>
              <w:t>III.13</w:t>
            </w:r>
            <w:r>
              <w:rPr>
                <w:color w:val="000000" w:themeColor="text1"/>
              </w:rPr>
              <w:t xml:space="preserve"> – I et II</w:t>
            </w:r>
          </w:p>
        </w:tc>
        <w:tc>
          <w:tcPr>
            <w:tcW w:w="7938" w:type="dxa"/>
          </w:tcPr>
          <w:p w14:paraId="4476676E" w14:textId="77777777" w:rsidR="00B75353" w:rsidRPr="000D7FFD" w:rsidRDefault="00B75353" w:rsidP="00E03677">
            <w:pPr>
              <w:rPr>
                <w:color w:val="000000" w:themeColor="text1"/>
              </w:rPr>
            </w:pPr>
            <w:r w:rsidRPr="000D7FFD">
              <w:rPr>
                <w:rFonts w:eastAsia="Times New Roman"/>
                <w:color w:val="000000" w:themeColor="text1"/>
                <w:lang w:eastAsia="fr-FR"/>
              </w:rPr>
              <w:t>Les dispositions définies à l’annexe V sont applicables aux installations existantes à compter du 1</w:t>
            </w:r>
            <w:r w:rsidRPr="000D7FFD">
              <w:rPr>
                <w:rFonts w:eastAsia="Times New Roman"/>
                <w:color w:val="000000" w:themeColor="text1"/>
                <w:vertAlign w:val="superscript"/>
                <w:lang w:eastAsia="fr-FR"/>
              </w:rPr>
              <w:t>er</w:t>
            </w:r>
            <w:r w:rsidRPr="000D7FFD">
              <w:rPr>
                <w:rFonts w:eastAsia="Times New Roman"/>
                <w:color w:val="000000" w:themeColor="text1"/>
                <w:lang w:eastAsia="fr-FR"/>
              </w:rPr>
              <w:t xml:space="preserve"> janvier 2026 en lieu et place des dispositions des points I et II.</w:t>
            </w:r>
          </w:p>
          <w:p w14:paraId="1A84B08C" w14:textId="5C4C8A07" w:rsidR="00B75353" w:rsidRPr="000D7FFD" w:rsidRDefault="00B75353" w:rsidP="00B75353">
            <w:pPr>
              <w:rPr>
                <w:color w:val="000000" w:themeColor="text1"/>
              </w:rPr>
            </w:pPr>
            <w:r w:rsidRPr="000D7FFD">
              <w:rPr>
                <w:color w:val="000000" w:themeColor="text1"/>
              </w:rPr>
              <w:t>Néanmoins, en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les dispositions </w:t>
            </w:r>
            <w:r w:rsidRPr="000D7FFD">
              <w:rPr>
                <w:rFonts w:eastAsia="Times New Roman"/>
                <w:color w:val="000000" w:themeColor="text1"/>
                <w:lang w:eastAsia="fr-FR"/>
              </w:rPr>
              <w:t>des points I et II</w:t>
            </w:r>
            <w:r w:rsidRPr="000D7FFD">
              <w:rPr>
                <w:color w:val="000000" w:themeColor="text1"/>
              </w:rPr>
              <w:t xml:space="preserve"> sont applicables à l’extension. </w:t>
            </w:r>
          </w:p>
        </w:tc>
      </w:tr>
      <w:tr w:rsidR="00B75353" w:rsidRPr="000D7FFD" w14:paraId="3FCAD9D7" w14:textId="77777777" w:rsidTr="00B75353">
        <w:tc>
          <w:tcPr>
            <w:tcW w:w="1134" w:type="dxa"/>
          </w:tcPr>
          <w:p w14:paraId="103F2449" w14:textId="77777777" w:rsidR="00B75353" w:rsidRPr="000D7FFD" w:rsidRDefault="00B75353" w:rsidP="00E03677">
            <w:pPr>
              <w:rPr>
                <w:color w:val="000000" w:themeColor="text1"/>
              </w:rPr>
            </w:pPr>
            <w:r w:rsidRPr="000D7FFD">
              <w:rPr>
                <w:color w:val="000000" w:themeColor="text1"/>
              </w:rPr>
              <w:t>III.13</w:t>
            </w:r>
            <w:r>
              <w:rPr>
                <w:color w:val="000000" w:themeColor="text1"/>
              </w:rPr>
              <w:t xml:space="preserve"> III</w:t>
            </w:r>
          </w:p>
        </w:tc>
        <w:tc>
          <w:tcPr>
            <w:tcW w:w="7938" w:type="dxa"/>
          </w:tcPr>
          <w:p w14:paraId="5351C455" w14:textId="77777777" w:rsidR="00B75353" w:rsidRPr="000D7FFD" w:rsidRDefault="00B75353" w:rsidP="00E03677">
            <w:pPr>
              <w:rPr>
                <w:rFonts w:eastAsia="Times New Roman"/>
                <w:color w:val="000000" w:themeColor="text1"/>
                <w:lang w:eastAsia="fr-FR"/>
              </w:rPr>
            </w:pPr>
            <w:r w:rsidRPr="000D7FFD">
              <w:rPr>
                <w:rFonts w:eastAsia="Times New Roman"/>
                <w:color w:val="000000" w:themeColor="text1"/>
                <w:lang w:eastAsia="fr-FR"/>
              </w:rPr>
              <w:t>Les dispositions du point III ne sont pas applicables aux installations existantes.</w:t>
            </w:r>
          </w:p>
          <w:p w14:paraId="02E5C387" w14:textId="77777777" w:rsidR="00B75353" w:rsidRPr="000D7FFD" w:rsidRDefault="00B75353" w:rsidP="00E03677">
            <w:pPr>
              <w:rPr>
                <w:rFonts w:eastAsia="Times New Roman"/>
                <w:color w:val="000000" w:themeColor="text1"/>
                <w:lang w:eastAsia="fr-FR"/>
              </w:rPr>
            </w:pPr>
          </w:p>
          <w:p w14:paraId="438AD2EE" w14:textId="77777777" w:rsidR="00B75353" w:rsidRPr="000D7FFD" w:rsidRDefault="00B75353" w:rsidP="00E03677">
            <w:pPr>
              <w:rPr>
                <w:color w:val="000000" w:themeColor="text1"/>
              </w:rPr>
            </w:pPr>
            <w:r w:rsidRPr="000D7FFD">
              <w:rPr>
                <w:color w:val="000000" w:themeColor="text1"/>
              </w:rPr>
              <w:t>En cas de modification ou extension de ces installations comprenant une nouvelle cellule ou un nouveau bâtiment portée à la connaissance du préfet à compter du 1</w:t>
            </w:r>
            <w:r w:rsidRPr="000D7FFD">
              <w:rPr>
                <w:color w:val="000000" w:themeColor="text1"/>
                <w:vertAlign w:val="superscript"/>
              </w:rPr>
              <w:t>er</w:t>
            </w:r>
            <w:r w:rsidRPr="000D7FFD">
              <w:rPr>
                <w:color w:val="000000" w:themeColor="text1"/>
              </w:rPr>
              <w:t xml:space="preserve"> janvier 2021, </w:t>
            </w:r>
            <w:r w:rsidRPr="000D7FFD">
              <w:rPr>
                <w:rFonts w:eastAsia="Times New Roman"/>
                <w:color w:val="000000" w:themeColor="text1"/>
                <w:lang w:eastAsia="fr-FR"/>
              </w:rPr>
              <w:t xml:space="preserve">Les dispositions du point III </w:t>
            </w:r>
            <w:r w:rsidRPr="000D7FFD">
              <w:rPr>
                <w:color w:val="000000" w:themeColor="text1"/>
              </w:rPr>
              <w:t>sont applicables à l’extension. </w:t>
            </w:r>
          </w:p>
        </w:tc>
      </w:tr>
      <w:tr w:rsidR="00B75353" w:rsidRPr="000D7FFD" w14:paraId="308DEBFF" w14:textId="77777777" w:rsidTr="00B75353">
        <w:tc>
          <w:tcPr>
            <w:tcW w:w="1134" w:type="dxa"/>
          </w:tcPr>
          <w:p w14:paraId="6413F4BB" w14:textId="77777777" w:rsidR="00B75353" w:rsidRPr="000D7FFD" w:rsidRDefault="00B75353" w:rsidP="00E03677">
            <w:pPr>
              <w:rPr>
                <w:color w:val="000000" w:themeColor="text1"/>
              </w:rPr>
            </w:pPr>
            <w:r w:rsidRPr="000D7FFD">
              <w:rPr>
                <w:color w:val="000000" w:themeColor="text1"/>
              </w:rPr>
              <w:t>III.14</w:t>
            </w:r>
          </w:p>
        </w:tc>
        <w:tc>
          <w:tcPr>
            <w:tcW w:w="7938" w:type="dxa"/>
          </w:tcPr>
          <w:p w14:paraId="01B2C53E" w14:textId="77777777" w:rsidR="00B75353" w:rsidRPr="000D7FFD" w:rsidRDefault="00B75353" w:rsidP="00E03677">
            <w:pPr>
              <w:rPr>
                <w:color w:val="000000" w:themeColor="text1"/>
              </w:rPr>
            </w:pPr>
            <w:r w:rsidRPr="000D7FFD">
              <w:rPr>
                <w:color w:val="000000" w:themeColor="text1"/>
              </w:rPr>
              <w:t>Les dispositions des I. à VII sont applicables à compter du 1</w:t>
            </w:r>
            <w:r w:rsidRPr="000D7FFD">
              <w:rPr>
                <w:color w:val="000000" w:themeColor="text1"/>
                <w:vertAlign w:val="superscript"/>
              </w:rPr>
              <w:t>er</w:t>
            </w:r>
            <w:r w:rsidRPr="000D7FFD">
              <w:rPr>
                <w:color w:val="000000" w:themeColor="text1"/>
              </w:rPr>
              <w:t xml:space="preserve"> janvier 2026.</w:t>
            </w:r>
          </w:p>
          <w:p w14:paraId="42459D50" w14:textId="77777777" w:rsidR="00B75353" w:rsidRPr="000D7FFD" w:rsidRDefault="00B75353" w:rsidP="00E03677">
            <w:pPr>
              <w:rPr>
                <w:color w:val="000000" w:themeColor="text1"/>
              </w:rPr>
            </w:pPr>
          </w:p>
          <w:p w14:paraId="03B0CBFA" w14:textId="77777777" w:rsidR="00B75353" w:rsidRPr="000D7FFD" w:rsidRDefault="00B75353" w:rsidP="00E03677">
            <w:pPr>
              <w:rPr>
                <w:color w:val="000000" w:themeColor="text1"/>
              </w:rPr>
            </w:pPr>
            <w:r w:rsidRPr="000D7FFD">
              <w:rPr>
                <w:color w:val="000000" w:themeColor="text1"/>
              </w:rPr>
              <w:t>Les dispositions du point VIII  ne sont applicables.</w:t>
            </w:r>
          </w:p>
        </w:tc>
      </w:tr>
      <w:tr w:rsidR="00B75353" w:rsidRPr="000D7FFD" w14:paraId="73EB3E25" w14:textId="77777777" w:rsidTr="00B75353">
        <w:trPr>
          <w:trHeight w:val="374"/>
        </w:trPr>
        <w:tc>
          <w:tcPr>
            <w:tcW w:w="1134" w:type="dxa"/>
          </w:tcPr>
          <w:p w14:paraId="4FA355A0" w14:textId="77777777" w:rsidR="00B75353" w:rsidRPr="000D7FFD" w:rsidRDefault="00B75353" w:rsidP="00E03677">
            <w:pPr>
              <w:rPr>
                <w:color w:val="000000" w:themeColor="text1"/>
              </w:rPr>
            </w:pPr>
            <w:r w:rsidRPr="000D7FFD">
              <w:rPr>
                <w:color w:val="000000" w:themeColor="text1"/>
              </w:rPr>
              <w:t>III.15</w:t>
            </w:r>
          </w:p>
        </w:tc>
        <w:tc>
          <w:tcPr>
            <w:tcW w:w="7938" w:type="dxa"/>
          </w:tcPr>
          <w:p w14:paraId="6F0D7FC3" w14:textId="1A16EBD8" w:rsidR="00B75353" w:rsidRPr="000D7FFD" w:rsidRDefault="00B75353" w:rsidP="00B75353">
            <w:pPr>
              <w:rPr>
                <w:color w:val="000000" w:themeColor="text1"/>
              </w:rPr>
            </w:pPr>
            <w:r>
              <w:rPr>
                <w:color w:val="000000" w:themeColor="text1"/>
              </w:rPr>
              <w:t>Ces dispositions sont applicables</w:t>
            </w:r>
            <w:r w:rsidRPr="000D7FFD">
              <w:rPr>
                <w:color w:val="000000" w:themeColor="text1"/>
              </w:rPr>
              <w:t xml:space="preserve"> au 1</w:t>
            </w:r>
            <w:r w:rsidRPr="000D7FFD">
              <w:rPr>
                <w:color w:val="000000" w:themeColor="text1"/>
                <w:vertAlign w:val="superscript"/>
              </w:rPr>
              <w:t>er</w:t>
            </w:r>
            <w:r w:rsidRPr="000D7FFD">
              <w:rPr>
                <w:color w:val="000000" w:themeColor="text1"/>
              </w:rPr>
              <w:t xml:space="preserve"> janvier 2026.</w:t>
            </w:r>
          </w:p>
        </w:tc>
      </w:tr>
      <w:tr w:rsidR="00B75353" w:rsidRPr="000D7FFD" w14:paraId="41D68650" w14:textId="77777777" w:rsidTr="00B75353">
        <w:trPr>
          <w:trHeight w:val="565"/>
        </w:trPr>
        <w:tc>
          <w:tcPr>
            <w:tcW w:w="1134" w:type="dxa"/>
          </w:tcPr>
          <w:p w14:paraId="22BBF745" w14:textId="77777777" w:rsidR="00B75353" w:rsidRPr="000D7FFD" w:rsidRDefault="00B75353" w:rsidP="00E03677">
            <w:pPr>
              <w:rPr>
                <w:color w:val="000000" w:themeColor="text1"/>
              </w:rPr>
            </w:pPr>
            <w:r w:rsidRPr="000D7FFD">
              <w:rPr>
                <w:color w:val="000000" w:themeColor="text1"/>
              </w:rPr>
              <w:t>III.16</w:t>
            </w:r>
          </w:p>
        </w:tc>
        <w:tc>
          <w:tcPr>
            <w:tcW w:w="7938" w:type="dxa"/>
          </w:tcPr>
          <w:p w14:paraId="111DDDE6" w14:textId="3E49C360" w:rsidR="00B75353" w:rsidRPr="000D7FFD" w:rsidRDefault="00B75353" w:rsidP="00E03677">
            <w:pPr>
              <w:rPr>
                <w:color w:val="000000" w:themeColor="text1"/>
              </w:rPr>
            </w:pPr>
            <w:r>
              <w:rPr>
                <w:color w:val="000000" w:themeColor="text1"/>
              </w:rPr>
              <w:t>Ces dispositions sont applicables</w:t>
            </w:r>
            <w:r w:rsidRPr="000D7FFD">
              <w:rPr>
                <w:color w:val="000000" w:themeColor="text1"/>
              </w:rPr>
              <w:t xml:space="preserve"> au 1</w:t>
            </w:r>
            <w:r w:rsidRPr="000D7FFD">
              <w:rPr>
                <w:color w:val="000000" w:themeColor="text1"/>
                <w:vertAlign w:val="superscript"/>
              </w:rPr>
              <w:t>er</w:t>
            </w:r>
            <w:r w:rsidRPr="000D7FFD">
              <w:rPr>
                <w:color w:val="000000" w:themeColor="text1"/>
              </w:rPr>
              <w:t xml:space="preserve"> janvier 2023.</w:t>
            </w:r>
          </w:p>
        </w:tc>
      </w:tr>
      <w:tr w:rsidR="00B75353" w:rsidRPr="000D7FFD" w14:paraId="679431EB" w14:textId="77777777" w:rsidTr="00B75353">
        <w:tc>
          <w:tcPr>
            <w:tcW w:w="1134" w:type="dxa"/>
          </w:tcPr>
          <w:p w14:paraId="5DEB8905" w14:textId="77777777" w:rsidR="00B75353" w:rsidRPr="000D7FFD" w:rsidRDefault="00B75353" w:rsidP="00E03677">
            <w:pPr>
              <w:rPr>
                <w:color w:val="000000" w:themeColor="text1"/>
              </w:rPr>
            </w:pPr>
            <w:r w:rsidRPr="000D7FFD">
              <w:rPr>
                <w:color w:val="000000" w:themeColor="text1"/>
              </w:rPr>
              <w:t>III.17</w:t>
            </w:r>
          </w:p>
        </w:tc>
        <w:tc>
          <w:tcPr>
            <w:tcW w:w="7938" w:type="dxa"/>
          </w:tcPr>
          <w:p w14:paraId="2090A096" w14:textId="77777777" w:rsidR="00B75353" w:rsidRPr="000D7FFD" w:rsidRDefault="00B75353" w:rsidP="00E03677">
            <w:pPr>
              <w:rPr>
                <w:color w:val="000000" w:themeColor="text1"/>
              </w:rPr>
            </w:pPr>
            <w:r w:rsidRPr="000D7FFD">
              <w:rPr>
                <w:color w:val="000000" w:themeColor="text1"/>
              </w:rPr>
              <w:t>Les dispositions du 1</w:t>
            </w:r>
            <w:r w:rsidRPr="000D7FFD">
              <w:rPr>
                <w:color w:val="000000" w:themeColor="text1"/>
                <w:vertAlign w:val="superscript"/>
              </w:rPr>
              <w:t>er</w:t>
            </w:r>
            <w:r w:rsidRPr="000D7FFD">
              <w:rPr>
                <w:color w:val="000000" w:themeColor="text1"/>
              </w:rPr>
              <w:t xml:space="preserve"> alinéa sont applicables au 1</w:t>
            </w:r>
            <w:r w:rsidRPr="000D7FFD">
              <w:rPr>
                <w:color w:val="000000" w:themeColor="text1"/>
                <w:vertAlign w:val="superscript"/>
              </w:rPr>
              <w:t>er</w:t>
            </w:r>
            <w:r w:rsidRPr="000D7FFD">
              <w:rPr>
                <w:color w:val="000000" w:themeColor="text1"/>
              </w:rPr>
              <w:t xml:space="preserve"> janvier 2026.</w:t>
            </w:r>
          </w:p>
          <w:p w14:paraId="676D4F9D" w14:textId="77777777" w:rsidR="00B75353" w:rsidRPr="000D7FFD" w:rsidRDefault="00B75353" w:rsidP="00E03677">
            <w:pPr>
              <w:rPr>
                <w:color w:val="000000" w:themeColor="text1"/>
              </w:rPr>
            </w:pPr>
            <w:r w:rsidRPr="000D7FFD">
              <w:rPr>
                <w:color w:val="000000" w:themeColor="text1"/>
              </w:rPr>
              <w:t>Les dispositions du second alinéa sont applicables.</w:t>
            </w:r>
          </w:p>
        </w:tc>
      </w:tr>
      <w:tr w:rsidR="00B75353" w:rsidRPr="000D7FFD" w14:paraId="3BF51099" w14:textId="77777777" w:rsidTr="00B75353">
        <w:tc>
          <w:tcPr>
            <w:tcW w:w="1134" w:type="dxa"/>
          </w:tcPr>
          <w:p w14:paraId="3B4BF630" w14:textId="77777777" w:rsidR="00B75353" w:rsidRPr="000D7FFD" w:rsidRDefault="00B75353" w:rsidP="00E03677">
            <w:pPr>
              <w:rPr>
                <w:color w:val="000000" w:themeColor="text1"/>
              </w:rPr>
            </w:pPr>
            <w:r w:rsidRPr="000D7FFD">
              <w:rPr>
                <w:color w:val="000000" w:themeColor="text1"/>
              </w:rPr>
              <w:t>IV.1</w:t>
            </w:r>
          </w:p>
        </w:tc>
        <w:tc>
          <w:tcPr>
            <w:tcW w:w="7938" w:type="dxa"/>
          </w:tcPr>
          <w:p w14:paraId="72121D25"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4304CC71" w14:textId="77777777" w:rsidTr="00B75353">
        <w:tc>
          <w:tcPr>
            <w:tcW w:w="1134" w:type="dxa"/>
          </w:tcPr>
          <w:p w14:paraId="438A96AC" w14:textId="77777777" w:rsidR="00B75353" w:rsidRPr="000D7FFD" w:rsidRDefault="00B75353" w:rsidP="00E03677">
            <w:pPr>
              <w:rPr>
                <w:color w:val="000000" w:themeColor="text1"/>
              </w:rPr>
            </w:pPr>
            <w:r w:rsidRPr="000D7FFD">
              <w:rPr>
                <w:color w:val="000000" w:themeColor="text1"/>
              </w:rPr>
              <w:t>IV.2</w:t>
            </w:r>
          </w:p>
        </w:tc>
        <w:tc>
          <w:tcPr>
            <w:tcW w:w="7938" w:type="dxa"/>
          </w:tcPr>
          <w:p w14:paraId="283CE408" w14:textId="77777777" w:rsidR="00B75353" w:rsidRPr="000D7FFD" w:rsidRDefault="00B75353"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2023.</w:t>
            </w:r>
          </w:p>
        </w:tc>
      </w:tr>
      <w:tr w:rsidR="00B75353" w:rsidRPr="000D7FFD" w14:paraId="2ACD0156" w14:textId="77777777" w:rsidTr="00B75353">
        <w:tc>
          <w:tcPr>
            <w:tcW w:w="1134" w:type="dxa"/>
          </w:tcPr>
          <w:p w14:paraId="2A23D41C" w14:textId="77777777" w:rsidR="00B75353" w:rsidRPr="000D7FFD" w:rsidRDefault="00B75353" w:rsidP="00E03677">
            <w:pPr>
              <w:rPr>
                <w:color w:val="000000" w:themeColor="text1"/>
              </w:rPr>
            </w:pPr>
            <w:r w:rsidRPr="000D7FFD">
              <w:rPr>
                <w:color w:val="000000" w:themeColor="text1"/>
              </w:rPr>
              <w:t>IV.3</w:t>
            </w:r>
          </w:p>
        </w:tc>
        <w:tc>
          <w:tcPr>
            <w:tcW w:w="7938" w:type="dxa"/>
          </w:tcPr>
          <w:p w14:paraId="5B997FE9" w14:textId="77777777" w:rsidR="00B75353" w:rsidRPr="000D7FFD" w:rsidRDefault="00B75353" w:rsidP="00E03677">
            <w:pPr>
              <w:rPr>
                <w:color w:val="000000" w:themeColor="text1"/>
              </w:rPr>
            </w:pPr>
            <w:r w:rsidRPr="000D7FFD">
              <w:rPr>
                <w:color w:val="000000" w:themeColor="text1"/>
              </w:rPr>
              <w:t>Ces dispositions sont applicables Ces dispositions sont applicables au 1</w:t>
            </w:r>
            <w:r w:rsidRPr="000D7FFD">
              <w:rPr>
                <w:color w:val="000000" w:themeColor="text1"/>
                <w:vertAlign w:val="superscript"/>
              </w:rPr>
              <w:t>er</w:t>
            </w:r>
            <w:r w:rsidRPr="000D7FFD">
              <w:rPr>
                <w:color w:val="000000" w:themeColor="text1"/>
              </w:rPr>
              <w:t xml:space="preserve">  janvier 2023..</w:t>
            </w:r>
          </w:p>
        </w:tc>
      </w:tr>
      <w:tr w:rsidR="00B75353" w:rsidRPr="000D7FFD" w14:paraId="16278108" w14:textId="77777777" w:rsidTr="00B75353">
        <w:tc>
          <w:tcPr>
            <w:tcW w:w="1134" w:type="dxa"/>
          </w:tcPr>
          <w:p w14:paraId="15B9051B" w14:textId="77777777" w:rsidR="00B75353" w:rsidRPr="000D7FFD" w:rsidRDefault="00B75353" w:rsidP="00E03677">
            <w:pPr>
              <w:rPr>
                <w:color w:val="000000" w:themeColor="text1"/>
              </w:rPr>
            </w:pPr>
            <w:r w:rsidRPr="000D7FFD">
              <w:rPr>
                <w:color w:val="000000" w:themeColor="text1"/>
              </w:rPr>
              <w:t>IV.4</w:t>
            </w:r>
          </w:p>
        </w:tc>
        <w:tc>
          <w:tcPr>
            <w:tcW w:w="7938" w:type="dxa"/>
          </w:tcPr>
          <w:p w14:paraId="5D9AC940"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64797F5F" w14:textId="77777777" w:rsidTr="00B75353">
        <w:tc>
          <w:tcPr>
            <w:tcW w:w="1134" w:type="dxa"/>
          </w:tcPr>
          <w:p w14:paraId="048DCF26" w14:textId="77777777" w:rsidR="00B75353" w:rsidRPr="000D7FFD" w:rsidRDefault="00B75353" w:rsidP="00E03677">
            <w:pPr>
              <w:rPr>
                <w:color w:val="000000" w:themeColor="text1"/>
              </w:rPr>
            </w:pPr>
            <w:r w:rsidRPr="000D7FFD">
              <w:rPr>
                <w:color w:val="000000" w:themeColor="text1"/>
              </w:rPr>
              <w:t>IV.5</w:t>
            </w:r>
            <w:r>
              <w:rPr>
                <w:color w:val="000000" w:themeColor="text1"/>
              </w:rPr>
              <w:t>- I</w:t>
            </w:r>
          </w:p>
        </w:tc>
        <w:tc>
          <w:tcPr>
            <w:tcW w:w="7938" w:type="dxa"/>
          </w:tcPr>
          <w:p w14:paraId="620E9510" w14:textId="77777777" w:rsidR="00B75353" w:rsidRPr="000D7FFD" w:rsidRDefault="00B75353" w:rsidP="00E03677">
            <w:pPr>
              <w:rPr>
                <w:color w:val="000000" w:themeColor="text1"/>
              </w:rPr>
            </w:pPr>
            <w:r w:rsidRPr="000D7FFD">
              <w:rPr>
                <w:color w:val="000000" w:themeColor="text1"/>
              </w:rPr>
              <w:t>Ces dispositions sont applicables à compter du 1</w:t>
            </w:r>
            <w:r w:rsidRPr="000D7FFD">
              <w:rPr>
                <w:color w:val="000000" w:themeColor="text1"/>
                <w:vertAlign w:val="superscript"/>
              </w:rPr>
              <w:t>er</w:t>
            </w:r>
            <w:r w:rsidRPr="000D7FFD">
              <w:rPr>
                <w:color w:val="000000" w:themeColor="text1"/>
              </w:rPr>
              <w:t xml:space="preserve"> janvier 2023.</w:t>
            </w:r>
          </w:p>
        </w:tc>
      </w:tr>
      <w:tr w:rsidR="00B75353" w:rsidRPr="000D7FFD" w14:paraId="5FC47E8F" w14:textId="77777777" w:rsidTr="00B75353">
        <w:tc>
          <w:tcPr>
            <w:tcW w:w="1134" w:type="dxa"/>
          </w:tcPr>
          <w:p w14:paraId="24184351" w14:textId="77777777" w:rsidR="00B75353" w:rsidRPr="000D7FFD" w:rsidRDefault="00B75353" w:rsidP="00E03677">
            <w:pPr>
              <w:rPr>
                <w:color w:val="000000" w:themeColor="text1"/>
              </w:rPr>
            </w:pPr>
            <w:r w:rsidRPr="000D7FFD">
              <w:rPr>
                <w:color w:val="000000" w:themeColor="text1"/>
              </w:rPr>
              <w:t>IV.5</w:t>
            </w:r>
            <w:r>
              <w:rPr>
                <w:color w:val="000000" w:themeColor="text1"/>
              </w:rPr>
              <w:t xml:space="preserve"> - II</w:t>
            </w:r>
          </w:p>
        </w:tc>
        <w:tc>
          <w:tcPr>
            <w:tcW w:w="7938" w:type="dxa"/>
          </w:tcPr>
          <w:p w14:paraId="56539694" w14:textId="77777777" w:rsidR="00B75353" w:rsidRPr="000D7FFD" w:rsidRDefault="00B75353" w:rsidP="00E03677">
            <w:pPr>
              <w:rPr>
                <w:color w:val="000000" w:themeColor="text1"/>
              </w:rPr>
            </w:pPr>
            <w:r w:rsidRPr="000D7FFD">
              <w:rPr>
                <w:color w:val="000000" w:themeColor="text1"/>
              </w:rPr>
              <w:t>Ces dispositions sont applicables à compter du 1</w:t>
            </w:r>
            <w:r w:rsidRPr="000D7FFD">
              <w:rPr>
                <w:color w:val="000000" w:themeColor="text1"/>
                <w:vertAlign w:val="superscript"/>
              </w:rPr>
              <w:t>er</w:t>
            </w:r>
            <w:r w:rsidRPr="000D7FFD">
              <w:rPr>
                <w:color w:val="000000" w:themeColor="text1"/>
              </w:rPr>
              <w:t xml:space="preserve"> janvier 2026.</w:t>
            </w:r>
          </w:p>
        </w:tc>
      </w:tr>
      <w:tr w:rsidR="00B75353" w:rsidRPr="000D7FFD" w14:paraId="3F2711DB" w14:textId="77777777" w:rsidTr="00B75353">
        <w:tc>
          <w:tcPr>
            <w:tcW w:w="1134" w:type="dxa"/>
          </w:tcPr>
          <w:p w14:paraId="10382924" w14:textId="77777777" w:rsidR="00B75353" w:rsidRPr="000D7FFD" w:rsidRDefault="00B75353" w:rsidP="00E03677">
            <w:pPr>
              <w:rPr>
                <w:color w:val="000000" w:themeColor="text1"/>
              </w:rPr>
            </w:pPr>
            <w:r w:rsidRPr="000D7FFD">
              <w:rPr>
                <w:color w:val="000000" w:themeColor="text1"/>
              </w:rPr>
              <w:t>IV.6</w:t>
            </w:r>
          </w:p>
        </w:tc>
        <w:tc>
          <w:tcPr>
            <w:tcW w:w="7938" w:type="dxa"/>
          </w:tcPr>
          <w:p w14:paraId="6B08796C"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18683DED" w14:textId="77777777" w:rsidTr="00B75353">
        <w:tc>
          <w:tcPr>
            <w:tcW w:w="1134" w:type="dxa"/>
          </w:tcPr>
          <w:p w14:paraId="58E4CE82" w14:textId="77777777" w:rsidR="00B75353" w:rsidRPr="000D7FFD" w:rsidRDefault="00B75353" w:rsidP="00E03677">
            <w:pPr>
              <w:rPr>
                <w:color w:val="000000" w:themeColor="text1"/>
              </w:rPr>
            </w:pPr>
            <w:r w:rsidRPr="000D7FFD">
              <w:rPr>
                <w:color w:val="000000" w:themeColor="text1"/>
              </w:rPr>
              <w:t>V.1</w:t>
            </w:r>
          </w:p>
        </w:tc>
        <w:tc>
          <w:tcPr>
            <w:tcW w:w="7938" w:type="dxa"/>
          </w:tcPr>
          <w:p w14:paraId="0849F5D2"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16D134B7" w14:textId="77777777" w:rsidTr="00B75353">
        <w:tc>
          <w:tcPr>
            <w:tcW w:w="1134" w:type="dxa"/>
          </w:tcPr>
          <w:p w14:paraId="721C6F42" w14:textId="77777777" w:rsidR="00B75353" w:rsidRPr="000D7FFD" w:rsidRDefault="00B75353" w:rsidP="00E03677">
            <w:pPr>
              <w:rPr>
                <w:color w:val="000000" w:themeColor="text1"/>
              </w:rPr>
            </w:pPr>
            <w:r w:rsidRPr="000D7FFD">
              <w:rPr>
                <w:color w:val="000000" w:themeColor="text1"/>
              </w:rPr>
              <w:lastRenderedPageBreak/>
              <w:t>V.2</w:t>
            </w:r>
          </w:p>
        </w:tc>
        <w:tc>
          <w:tcPr>
            <w:tcW w:w="7938" w:type="dxa"/>
          </w:tcPr>
          <w:p w14:paraId="20C3F9B5" w14:textId="77777777" w:rsidR="00B75353" w:rsidRPr="000D7FFD" w:rsidRDefault="00B75353" w:rsidP="00E03677">
            <w:pPr>
              <w:rPr>
                <w:rFonts w:eastAsia="Times New Roman"/>
                <w:color w:val="000000" w:themeColor="text1"/>
                <w:lang w:eastAsia="fr-FR"/>
              </w:rPr>
            </w:pPr>
            <w:r w:rsidRPr="000D7FFD">
              <w:rPr>
                <w:rFonts w:eastAsia="Times New Roman"/>
                <w:color w:val="000000" w:themeColor="text1"/>
                <w:lang w:eastAsia="fr-FR"/>
              </w:rPr>
              <w:t>Ces dispositions sont applicables à compter du 1</w:t>
            </w:r>
            <w:r w:rsidRPr="000D7FFD">
              <w:rPr>
                <w:rFonts w:eastAsia="Times New Roman"/>
                <w:color w:val="000000" w:themeColor="text1"/>
                <w:vertAlign w:val="superscript"/>
                <w:lang w:eastAsia="fr-FR"/>
              </w:rPr>
              <w:t>er</w:t>
            </w:r>
            <w:r w:rsidRPr="000D7FFD">
              <w:rPr>
                <w:rFonts w:eastAsia="Times New Roman"/>
                <w:color w:val="000000" w:themeColor="text1"/>
                <w:lang w:eastAsia="fr-FR"/>
              </w:rPr>
              <w:t xml:space="preserve"> janvier 2023.</w:t>
            </w:r>
          </w:p>
          <w:p w14:paraId="194F6B39" w14:textId="77777777" w:rsidR="00B75353" w:rsidRPr="000D7FFD" w:rsidRDefault="00B75353" w:rsidP="00E03677">
            <w:pPr>
              <w:rPr>
                <w:color w:val="000000" w:themeColor="text1"/>
              </w:rPr>
            </w:pPr>
          </w:p>
        </w:tc>
      </w:tr>
      <w:tr w:rsidR="00B75353" w:rsidRPr="000D7FFD" w14:paraId="3F7586D0" w14:textId="77777777" w:rsidTr="00B75353">
        <w:trPr>
          <w:trHeight w:val="603"/>
        </w:trPr>
        <w:tc>
          <w:tcPr>
            <w:tcW w:w="1134" w:type="dxa"/>
          </w:tcPr>
          <w:p w14:paraId="72DFFD23" w14:textId="77777777" w:rsidR="00B75353" w:rsidRPr="000D7FFD" w:rsidRDefault="00B75353" w:rsidP="00E03677">
            <w:pPr>
              <w:rPr>
                <w:color w:val="000000" w:themeColor="text1"/>
              </w:rPr>
            </w:pPr>
            <w:r w:rsidRPr="000D7FFD">
              <w:rPr>
                <w:color w:val="000000" w:themeColor="text1"/>
              </w:rPr>
              <w:t>V.3</w:t>
            </w:r>
          </w:p>
        </w:tc>
        <w:tc>
          <w:tcPr>
            <w:tcW w:w="7938" w:type="dxa"/>
          </w:tcPr>
          <w:p w14:paraId="5400D844"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21195052" w14:textId="77777777" w:rsidTr="00B75353">
        <w:trPr>
          <w:trHeight w:val="603"/>
        </w:trPr>
        <w:tc>
          <w:tcPr>
            <w:tcW w:w="1134" w:type="dxa"/>
          </w:tcPr>
          <w:p w14:paraId="1AC1B8CD" w14:textId="77777777" w:rsidR="00B75353" w:rsidRPr="000D7FFD" w:rsidRDefault="00B75353" w:rsidP="00E03677">
            <w:pPr>
              <w:rPr>
                <w:color w:val="000000" w:themeColor="text1"/>
              </w:rPr>
            </w:pPr>
            <w:r w:rsidRPr="000D7FFD">
              <w:rPr>
                <w:color w:val="000000" w:themeColor="text1"/>
              </w:rPr>
              <w:t>V.4</w:t>
            </w:r>
          </w:p>
        </w:tc>
        <w:tc>
          <w:tcPr>
            <w:tcW w:w="7938" w:type="dxa"/>
          </w:tcPr>
          <w:p w14:paraId="10DA486E" w14:textId="77777777" w:rsidR="00B75353" w:rsidRPr="000D7FFD" w:rsidRDefault="00B75353" w:rsidP="00E03677">
            <w:pPr>
              <w:rPr>
                <w:color w:val="000000" w:themeColor="text1"/>
              </w:rPr>
            </w:pPr>
            <w:r w:rsidRPr="000D7FFD">
              <w:rPr>
                <w:color w:val="000000" w:themeColor="text1"/>
              </w:rPr>
              <w:t>Ces dispositions sont applicables à compter du 1</w:t>
            </w:r>
            <w:r w:rsidRPr="000D7FFD">
              <w:rPr>
                <w:color w:val="000000" w:themeColor="text1"/>
                <w:vertAlign w:val="superscript"/>
              </w:rPr>
              <w:t>er</w:t>
            </w:r>
            <w:r w:rsidRPr="000D7FFD">
              <w:rPr>
                <w:color w:val="000000" w:themeColor="text1"/>
              </w:rPr>
              <w:t xml:space="preserve"> janvier 2023.</w:t>
            </w:r>
          </w:p>
        </w:tc>
      </w:tr>
      <w:tr w:rsidR="00B75353" w:rsidRPr="000D7FFD" w14:paraId="0C37FB25" w14:textId="77777777" w:rsidTr="00B75353">
        <w:tc>
          <w:tcPr>
            <w:tcW w:w="1134" w:type="dxa"/>
          </w:tcPr>
          <w:p w14:paraId="632B21A5" w14:textId="77777777" w:rsidR="00B75353" w:rsidRPr="000D7FFD" w:rsidRDefault="00B75353" w:rsidP="00E03677">
            <w:pPr>
              <w:rPr>
                <w:color w:val="000000" w:themeColor="text1"/>
              </w:rPr>
            </w:pPr>
            <w:r w:rsidRPr="000D7FFD">
              <w:rPr>
                <w:color w:val="000000" w:themeColor="text1"/>
              </w:rPr>
              <w:t>V.5</w:t>
            </w:r>
          </w:p>
        </w:tc>
        <w:tc>
          <w:tcPr>
            <w:tcW w:w="7938" w:type="dxa"/>
          </w:tcPr>
          <w:p w14:paraId="302EBDE6" w14:textId="77777777" w:rsidR="00B75353" w:rsidRPr="000D7FFD" w:rsidRDefault="00B75353" w:rsidP="00E03677">
            <w:pPr>
              <w:rPr>
                <w:color w:val="000000" w:themeColor="text1"/>
              </w:rPr>
            </w:pPr>
            <w:r w:rsidRPr="000D7FFD">
              <w:rPr>
                <w:color w:val="000000" w:themeColor="text1"/>
              </w:rPr>
              <w:t>Ces dispositions sont applicables.</w:t>
            </w:r>
          </w:p>
        </w:tc>
      </w:tr>
      <w:tr w:rsidR="00B75353" w:rsidRPr="000D7FFD" w14:paraId="14454FCC" w14:textId="77777777" w:rsidTr="00B75353">
        <w:tc>
          <w:tcPr>
            <w:tcW w:w="1134" w:type="dxa"/>
          </w:tcPr>
          <w:p w14:paraId="5AAA8512" w14:textId="77777777" w:rsidR="00B75353" w:rsidRPr="000D7FFD" w:rsidRDefault="00B75353" w:rsidP="00E03677">
            <w:pPr>
              <w:rPr>
                <w:color w:val="000000" w:themeColor="text1"/>
              </w:rPr>
            </w:pPr>
            <w:r w:rsidRPr="000D7FFD">
              <w:rPr>
                <w:color w:val="000000" w:themeColor="text1"/>
              </w:rPr>
              <w:t>VI.1</w:t>
            </w:r>
          </w:p>
        </w:tc>
        <w:tc>
          <w:tcPr>
            <w:tcW w:w="7938" w:type="dxa"/>
          </w:tcPr>
          <w:p w14:paraId="6EE9A3FF" w14:textId="77777777" w:rsidR="00B75353" w:rsidRPr="000D7FFD" w:rsidRDefault="00B75353" w:rsidP="00E03677">
            <w:pPr>
              <w:rPr>
                <w:color w:val="000000" w:themeColor="text1"/>
              </w:rPr>
            </w:pPr>
            <w:r w:rsidRPr="000D7FFD">
              <w:rPr>
                <w:color w:val="000000" w:themeColor="text1"/>
              </w:rPr>
              <w:t>L’exploitant élabore la stratégie incendie au plus tard le 1</w:t>
            </w:r>
            <w:r w:rsidRPr="000D7FFD">
              <w:rPr>
                <w:color w:val="000000" w:themeColor="text1"/>
                <w:vertAlign w:val="superscript"/>
              </w:rPr>
              <w:t>er</w:t>
            </w:r>
            <w:r w:rsidRPr="000D7FFD">
              <w:rPr>
                <w:color w:val="000000" w:themeColor="text1"/>
              </w:rPr>
              <w:t xml:space="preserve"> janvier 2023.</w:t>
            </w:r>
          </w:p>
        </w:tc>
      </w:tr>
      <w:tr w:rsidR="00B75353" w:rsidRPr="000D7FFD" w14:paraId="77CF1E7A" w14:textId="77777777" w:rsidTr="00B75353">
        <w:tc>
          <w:tcPr>
            <w:tcW w:w="1134" w:type="dxa"/>
          </w:tcPr>
          <w:p w14:paraId="4212F6C9" w14:textId="77777777" w:rsidR="00B75353" w:rsidRPr="000D7FFD" w:rsidRDefault="00B75353" w:rsidP="00E03677">
            <w:pPr>
              <w:rPr>
                <w:color w:val="000000" w:themeColor="text1"/>
              </w:rPr>
            </w:pPr>
            <w:r w:rsidRPr="000D7FFD">
              <w:rPr>
                <w:color w:val="000000" w:themeColor="text1"/>
              </w:rPr>
              <w:t>VI.2</w:t>
            </w:r>
          </w:p>
        </w:tc>
        <w:tc>
          <w:tcPr>
            <w:tcW w:w="7938" w:type="dxa"/>
          </w:tcPr>
          <w:p w14:paraId="47AAB3B1" w14:textId="77777777" w:rsidR="00B75353" w:rsidRPr="000D7FFD" w:rsidRDefault="00B75353" w:rsidP="00E03677">
            <w:pPr>
              <w:rPr>
                <w:color w:val="000000" w:themeColor="text1"/>
              </w:rPr>
            </w:pPr>
            <w:r w:rsidRPr="000D7FFD">
              <w:rPr>
                <w:color w:val="000000" w:themeColor="text1"/>
              </w:rPr>
              <w:t>Les dispositions des points IV et XII sont applicables au 1</w:t>
            </w:r>
            <w:r w:rsidRPr="000D7FFD">
              <w:rPr>
                <w:color w:val="000000" w:themeColor="text1"/>
                <w:vertAlign w:val="superscript"/>
              </w:rPr>
              <w:t>er</w:t>
            </w:r>
            <w:r w:rsidRPr="000D7FFD">
              <w:rPr>
                <w:color w:val="000000" w:themeColor="text1"/>
              </w:rPr>
              <w:t xml:space="preserve"> janvier 2021.</w:t>
            </w:r>
          </w:p>
          <w:p w14:paraId="7ABC62CA" w14:textId="77777777" w:rsidR="00B75353" w:rsidRPr="000D7FFD" w:rsidRDefault="00B75353" w:rsidP="00E03677">
            <w:pPr>
              <w:rPr>
                <w:color w:val="000000" w:themeColor="text1"/>
              </w:rPr>
            </w:pPr>
            <w:r w:rsidRPr="000D7FFD">
              <w:rPr>
                <w:color w:val="000000" w:themeColor="text1"/>
              </w:rPr>
              <w:t>Les travaux identifiés comme nécessaires lors de l’élaboration de la stratégie incendie en application des autres points de l’article VI.2 sont réalisés avant le 1</w:t>
            </w:r>
            <w:r w:rsidRPr="000D7FFD">
              <w:rPr>
                <w:color w:val="000000" w:themeColor="text1"/>
                <w:vertAlign w:val="superscript"/>
              </w:rPr>
              <w:t>er</w:t>
            </w:r>
            <w:r w:rsidRPr="000D7FFD">
              <w:rPr>
                <w:color w:val="000000" w:themeColor="text1"/>
              </w:rPr>
              <w:t xml:space="preserve"> janvier 2026.</w:t>
            </w:r>
          </w:p>
          <w:p w14:paraId="2826E941" w14:textId="77777777" w:rsidR="00B75353" w:rsidRPr="000D7FFD" w:rsidRDefault="00B75353" w:rsidP="00E03677">
            <w:pPr>
              <w:rPr>
                <w:color w:val="000000" w:themeColor="text1"/>
              </w:rPr>
            </w:pPr>
          </w:p>
        </w:tc>
      </w:tr>
      <w:tr w:rsidR="00B75353" w:rsidRPr="000D7FFD" w14:paraId="01869D14" w14:textId="77777777" w:rsidTr="00B75353">
        <w:tc>
          <w:tcPr>
            <w:tcW w:w="1134" w:type="dxa"/>
          </w:tcPr>
          <w:p w14:paraId="5FD1338B" w14:textId="77777777" w:rsidR="00B75353" w:rsidRPr="000D7FFD" w:rsidRDefault="00B75353" w:rsidP="00E03677">
            <w:pPr>
              <w:rPr>
                <w:color w:val="000000" w:themeColor="text1"/>
              </w:rPr>
            </w:pPr>
            <w:r w:rsidRPr="000D7FFD">
              <w:rPr>
                <w:color w:val="000000" w:themeColor="text1"/>
              </w:rPr>
              <w:t>VI.3</w:t>
            </w:r>
          </w:p>
        </w:tc>
        <w:tc>
          <w:tcPr>
            <w:tcW w:w="7938" w:type="dxa"/>
          </w:tcPr>
          <w:p w14:paraId="3E84A3A4" w14:textId="77777777" w:rsidR="00B75353" w:rsidRPr="000D7FFD" w:rsidRDefault="00B75353" w:rsidP="00E03677">
            <w:pPr>
              <w:rPr>
                <w:color w:val="000000" w:themeColor="text1"/>
              </w:rPr>
            </w:pPr>
            <w:r w:rsidRPr="000D7FFD">
              <w:rPr>
                <w:color w:val="000000" w:themeColor="text1"/>
              </w:rPr>
              <w:t>Ces dispositions sont applicables au 1</w:t>
            </w:r>
            <w:r w:rsidRPr="000D7FFD">
              <w:rPr>
                <w:color w:val="000000" w:themeColor="text1"/>
                <w:vertAlign w:val="superscript"/>
              </w:rPr>
              <w:t>er</w:t>
            </w:r>
            <w:r w:rsidRPr="000D7FFD">
              <w:rPr>
                <w:color w:val="000000" w:themeColor="text1"/>
              </w:rPr>
              <w:t xml:space="preserve"> janvier 2026</w:t>
            </w:r>
          </w:p>
        </w:tc>
      </w:tr>
      <w:tr w:rsidR="00B75353" w:rsidRPr="000D7FFD" w14:paraId="35B9E53A" w14:textId="77777777" w:rsidTr="00B75353">
        <w:tc>
          <w:tcPr>
            <w:tcW w:w="1134" w:type="dxa"/>
          </w:tcPr>
          <w:p w14:paraId="2444BB38" w14:textId="77777777" w:rsidR="00B75353" w:rsidRPr="000D7FFD" w:rsidRDefault="00B75353" w:rsidP="00E03677">
            <w:pPr>
              <w:rPr>
                <w:color w:val="000000" w:themeColor="text1"/>
              </w:rPr>
            </w:pPr>
            <w:r w:rsidRPr="000D7FFD">
              <w:rPr>
                <w:color w:val="000000" w:themeColor="text1"/>
              </w:rPr>
              <w:t>VI.4</w:t>
            </w:r>
          </w:p>
        </w:tc>
        <w:tc>
          <w:tcPr>
            <w:tcW w:w="7938" w:type="dxa"/>
          </w:tcPr>
          <w:p w14:paraId="5E4FC809" w14:textId="77777777" w:rsidR="00B75353" w:rsidRPr="000D7FFD" w:rsidRDefault="00B75353" w:rsidP="00E03677">
            <w:pPr>
              <w:rPr>
                <w:color w:val="000000" w:themeColor="text1"/>
              </w:rPr>
            </w:pPr>
            <w:r w:rsidRPr="000D7FFD">
              <w:rPr>
                <w:color w:val="000000" w:themeColor="text1"/>
              </w:rPr>
              <w:t>Les dispositions sont applicables à compter du 1er janvier 2026.</w:t>
            </w:r>
          </w:p>
        </w:tc>
      </w:tr>
      <w:tr w:rsidR="00B75353" w:rsidRPr="000D7FFD" w14:paraId="5CC9EFCE" w14:textId="77777777" w:rsidTr="00B75353">
        <w:tc>
          <w:tcPr>
            <w:tcW w:w="1134" w:type="dxa"/>
          </w:tcPr>
          <w:p w14:paraId="379BA163" w14:textId="77777777" w:rsidR="00B75353" w:rsidRPr="000D7FFD" w:rsidRDefault="00B75353" w:rsidP="00E03677">
            <w:pPr>
              <w:rPr>
                <w:color w:val="000000" w:themeColor="text1"/>
              </w:rPr>
            </w:pPr>
            <w:r w:rsidRPr="000D7FFD">
              <w:rPr>
                <w:color w:val="000000" w:themeColor="text1"/>
              </w:rPr>
              <w:t>VI.5</w:t>
            </w:r>
          </w:p>
          <w:p w14:paraId="688B1918" w14:textId="77777777" w:rsidR="00B75353" w:rsidRPr="000D7FFD" w:rsidRDefault="00B75353" w:rsidP="00E03677">
            <w:pPr>
              <w:rPr>
                <w:color w:val="000000" w:themeColor="text1"/>
              </w:rPr>
            </w:pPr>
          </w:p>
        </w:tc>
        <w:tc>
          <w:tcPr>
            <w:tcW w:w="7938" w:type="dxa"/>
          </w:tcPr>
          <w:p w14:paraId="6C5CCBF4" w14:textId="77777777" w:rsidR="00B75353" w:rsidRPr="000D7FFD" w:rsidRDefault="00B75353" w:rsidP="00E03677">
            <w:pPr>
              <w:rPr>
                <w:color w:val="000000" w:themeColor="text1"/>
              </w:rPr>
            </w:pPr>
            <w:r w:rsidRPr="000D7FFD">
              <w:rPr>
                <w:color w:val="000000" w:themeColor="text1"/>
              </w:rPr>
              <w:t>Les dispositions du point I sont applicables à compter du 1er janvier 2023.</w:t>
            </w:r>
          </w:p>
          <w:p w14:paraId="3F094235" w14:textId="77777777" w:rsidR="00B75353" w:rsidRPr="000D7FFD" w:rsidRDefault="00B75353" w:rsidP="00E03677">
            <w:pPr>
              <w:rPr>
                <w:color w:val="000000" w:themeColor="text1"/>
              </w:rPr>
            </w:pPr>
            <w:r w:rsidRPr="000D7FFD">
              <w:rPr>
                <w:color w:val="000000" w:themeColor="text1"/>
              </w:rPr>
              <w:t>Les dispositions définies à l’annexe V sont applicables aux installations existantes à compter du 1</w:t>
            </w:r>
            <w:r w:rsidRPr="000D7FFD">
              <w:rPr>
                <w:color w:val="000000" w:themeColor="text1"/>
                <w:vertAlign w:val="superscript"/>
              </w:rPr>
              <w:t>er</w:t>
            </w:r>
            <w:r w:rsidRPr="000D7FFD">
              <w:rPr>
                <w:color w:val="000000" w:themeColor="text1"/>
              </w:rPr>
              <w:t xml:space="preserve"> janvier 2026 en lieu et place des dispositions du point II.</w:t>
            </w:r>
          </w:p>
          <w:p w14:paraId="613DBAC0" w14:textId="77777777" w:rsidR="00B75353" w:rsidRPr="000D7FFD" w:rsidRDefault="00B75353" w:rsidP="00E03677">
            <w:pPr>
              <w:rPr>
                <w:color w:val="000000" w:themeColor="text1"/>
              </w:rPr>
            </w:pPr>
            <w:r w:rsidRPr="000D7FFD">
              <w:rPr>
                <w:color w:val="000000" w:themeColor="text1"/>
              </w:rPr>
              <w:t>Les dispositions du point III ne sont pas applicables.</w:t>
            </w:r>
          </w:p>
          <w:p w14:paraId="18324D3E" w14:textId="77777777" w:rsidR="00B75353" w:rsidRPr="000D7FFD" w:rsidRDefault="00B75353" w:rsidP="00E03677">
            <w:pPr>
              <w:rPr>
                <w:color w:val="000000" w:themeColor="text1"/>
              </w:rPr>
            </w:pPr>
          </w:p>
        </w:tc>
      </w:tr>
      <w:tr w:rsidR="00B75353" w:rsidRPr="000D7FFD" w14:paraId="6DA0EED5" w14:textId="77777777" w:rsidTr="00B75353">
        <w:tc>
          <w:tcPr>
            <w:tcW w:w="1134" w:type="dxa"/>
          </w:tcPr>
          <w:p w14:paraId="4A019916" w14:textId="77777777" w:rsidR="00B75353" w:rsidRPr="000D7FFD" w:rsidRDefault="00B75353" w:rsidP="00E03677">
            <w:pPr>
              <w:rPr>
                <w:color w:val="000000" w:themeColor="text1"/>
              </w:rPr>
            </w:pPr>
            <w:r w:rsidRPr="000D7FFD">
              <w:rPr>
                <w:color w:val="000000" w:themeColor="text1"/>
              </w:rPr>
              <w:t xml:space="preserve">VI. 6 </w:t>
            </w:r>
          </w:p>
        </w:tc>
        <w:tc>
          <w:tcPr>
            <w:tcW w:w="7938" w:type="dxa"/>
          </w:tcPr>
          <w:p w14:paraId="23D997CA" w14:textId="77777777" w:rsidR="00B75353" w:rsidRPr="000D7FFD" w:rsidRDefault="00B75353" w:rsidP="00E03677">
            <w:pPr>
              <w:rPr>
                <w:color w:val="000000" w:themeColor="text1"/>
              </w:rPr>
            </w:pPr>
            <w:r w:rsidRPr="000D7FFD">
              <w:rPr>
                <w:color w:val="000000" w:themeColor="text1"/>
              </w:rPr>
              <w:t>Les dispositions sont applicables à compter du 1er janvier 2026.</w:t>
            </w:r>
          </w:p>
        </w:tc>
      </w:tr>
      <w:tr w:rsidR="00B75353" w:rsidRPr="000D7FFD" w14:paraId="173A4950" w14:textId="77777777" w:rsidTr="00B75353">
        <w:tc>
          <w:tcPr>
            <w:tcW w:w="1134" w:type="dxa"/>
          </w:tcPr>
          <w:p w14:paraId="51F74209" w14:textId="77777777" w:rsidR="00B75353" w:rsidRPr="000D7FFD" w:rsidRDefault="00B75353" w:rsidP="00E03677">
            <w:pPr>
              <w:rPr>
                <w:color w:val="000000" w:themeColor="text1"/>
              </w:rPr>
            </w:pPr>
            <w:r w:rsidRPr="000D7FFD">
              <w:rPr>
                <w:color w:val="000000" w:themeColor="text1"/>
              </w:rPr>
              <w:t>VI.7</w:t>
            </w:r>
          </w:p>
        </w:tc>
        <w:tc>
          <w:tcPr>
            <w:tcW w:w="7938" w:type="dxa"/>
          </w:tcPr>
          <w:p w14:paraId="425A2495" w14:textId="77777777" w:rsidR="00B75353" w:rsidRPr="000D7FFD" w:rsidRDefault="00B75353" w:rsidP="00E03677">
            <w:pPr>
              <w:rPr>
                <w:color w:val="000000" w:themeColor="text1"/>
              </w:rPr>
            </w:pPr>
            <w:r w:rsidRPr="000D7FFD">
              <w:rPr>
                <w:color w:val="000000" w:themeColor="text1"/>
              </w:rPr>
              <w:t>Ces dispositions sont applicables, à compter du 1</w:t>
            </w:r>
            <w:r w:rsidRPr="000D7FFD">
              <w:rPr>
                <w:color w:val="000000" w:themeColor="text1"/>
                <w:vertAlign w:val="superscript"/>
              </w:rPr>
              <w:t>er</w:t>
            </w:r>
            <w:r w:rsidRPr="000D7FFD">
              <w:rPr>
                <w:color w:val="000000" w:themeColor="text1"/>
              </w:rPr>
              <w:t xml:space="preserve"> janvier 2023</w:t>
            </w:r>
          </w:p>
        </w:tc>
      </w:tr>
      <w:tr w:rsidR="00B75353" w:rsidRPr="000D7FFD" w14:paraId="44EDE549" w14:textId="77777777" w:rsidTr="00B75353">
        <w:tc>
          <w:tcPr>
            <w:tcW w:w="1134" w:type="dxa"/>
          </w:tcPr>
          <w:p w14:paraId="321B4C18" w14:textId="77777777" w:rsidR="00B75353" w:rsidRPr="000D7FFD" w:rsidRDefault="00B75353" w:rsidP="00E03677">
            <w:pPr>
              <w:rPr>
                <w:color w:val="000000" w:themeColor="text1"/>
              </w:rPr>
            </w:pPr>
            <w:r w:rsidRPr="000D7FFD">
              <w:rPr>
                <w:color w:val="000000" w:themeColor="text1"/>
              </w:rPr>
              <w:t>VI. 8</w:t>
            </w:r>
          </w:p>
        </w:tc>
        <w:tc>
          <w:tcPr>
            <w:tcW w:w="7938" w:type="dxa"/>
          </w:tcPr>
          <w:p w14:paraId="5E88115C" w14:textId="77777777" w:rsidR="00B75353" w:rsidRPr="000D7FFD" w:rsidRDefault="00B75353" w:rsidP="00E03677">
            <w:pPr>
              <w:rPr>
                <w:color w:val="000000" w:themeColor="text1"/>
              </w:rPr>
            </w:pPr>
            <w:r w:rsidRPr="000D7FFD">
              <w:rPr>
                <w:color w:val="000000" w:themeColor="text1"/>
              </w:rPr>
              <w:t xml:space="preserve">Ces dispositions sont applicables. </w:t>
            </w:r>
          </w:p>
          <w:p w14:paraId="250ED429" w14:textId="77777777" w:rsidR="00B75353" w:rsidRPr="000D7FFD" w:rsidRDefault="00B75353" w:rsidP="00E03677">
            <w:pPr>
              <w:rPr>
                <w:color w:val="000000" w:themeColor="text1"/>
              </w:rPr>
            </w:pPr>
            <w:r w:rsidRPr="000D7FFD">
              <w:rPr>
                <w:color w:val="000000" w:themeColor="text1"/>
              </w:rPr>
              <w:t>Dans le cas où aucun exercice n’a été mené dans les 3 dernières années, un exercice est organisé au plus tard le 1</w:t>
            </w:r>
            <w:r w:rsidRPr="000D7FFD">
              <w:rPr>
                <w:color w:val="000000" w:themeColor="text1"/>
                <w:vertAlign w:val="superscript"/>
              </w:rPr>
              <w:t>er</w:t>
            </w:r>
            <w:r w:rsidRPr="000D7FFD">
              <w:rPr>
                <w:color w:val="000000" w:themeColor="text1"/>
              </w:rPr>
              <w:t xml:space="preserve"> janvier 2023.</w:t>
            </w:r>
          </w:p>
        </w:tc>
      </w:tr>
      <w:tr w:rsidR="00B75353" w:rsidRPr="000D7FFD" w14:paraId="6AC8561C" w14:textId="77777777" w:rsidTr="00B75353">
        <w:tc>
          <w:tcPr>
            <w:tcW w:w="1134" w:type="dxa"/>
          </w:tcPr>
          <w:p w14:paraId="75820ACA" w14:textId="77777777" w:rsidR="00B75353" w:rsidRPr="000D7FFD" w:rsidRDefault="00B75353" w:rsidP="00E03677">
            <w:pPr>
              <w:rPr>
                <w:color w:val="000000" w:themeColor="text1"/>
              </w:rPr>
            </w:pPr>
            <w:r w:rsidRPr="000D7FFD">
              <w:rPr>
                <w:color w:val="000000" w:themeColor="text1"/>
              </w:rPr>
              <w:t>VII.1</w:t>
            </w:r>
          </w:p>
        </w:tc>
        <w:tc>
          <w:tcPr>
            <w:tcW w:w="7938" w:type="dxa"/>
          </w:tcPr>
          <w:p w14:paraId="333DF40D" w14:textId="77777777" w:rsidR="00B75353" w:rsidRPr="000D7FFD" w:rsidRDefault="00B75353" w:rsidP="00E03677">
            <w:pPr>
              <w:rPr>
                <w:color w:val="000000" w:themeColor="text1"/>
              </w:rPr>
            </w:pPr>
            <w:r w:rsidRPr="000D7FFD">
              <w:rPr>
                <w:color w:val="000000" w:themeColor="text1"/>
              </w:rPr>
              <w:t>Ces dispositions ne sont pas applicables.</w:t>
            </w:r>
          </w:p>
        </w:tc>
      </w:tr>
    </w:tbl>
    <w:p w14:paraId="7A90ECF3" w14:textId="77777777" w:rsidR="003E55A9" w:rsidRDefault="003E55A9" w:rsidP="003E55A9">
      <w:pPr>
        <w:spacing w:after="0" w:line="240" w:lineRule="auto"/>
      </w:pPr>
    </w:p>
    <w:p w14:paraId="4C082D57" w14:textId="0080F58A" w:rsidR="00AB6101" w:rsidRDefault="00AB6101">
      <w:pPr>
        <w:jc w:val="left"/>
      </w:pPr>
      <w:r>
        <w:br w:type="page"/>
      </w:r>
    </w:p>
    <w:p w14:paraId="7231F4CB" w14:textId="77777777" w:rsidR="00AB6101" w:rsidRPr="0042169A" w:rsidRDefault="00AB6101" w:rsidP="00AB6101">
      <w:pPr>
        <w:jc w:val="center"/>
        <w:rPr>
          <w:b/>
          <w:szCs w:val="24"/>
        </w:rPr>
      </w:pPr>
      <w:r w:rsidRPr="0042169A">
        <w:rPr>
          <w:b/>
          <w:szCs w:val="24"/>
        </w:rPr>
        <w:lastRenderedPageBreak/>
        <w:t>Annexe IV</w:t>
      </w:r>
    </w:p>
    <w:p w14:paraId="0189004B" w14:textId="77777777" w:rsidR="00AB6101" w:rsidRPr="0042169A" w:rsidRDefault="00AB6101" w:rsidP="00AB6101">
      <w:pPr>
        <w:jc w:val="center"/>
        <w:rPr>
          <w:b/>
          <w:szCs w:val="24"/>
        </w:rPr>
      </w:pPr>
      <w:r w:rsidRPr="0042169A">
        <w:rPr>
          <w:b/>
          <w:szCs w:val="24"/>
        </w:rPr>
        <w:t>Dispositions applicables aux installations existantes en lieu et place des dispositions de l’article II-1 Implantation</w:t>
      </w:r>
    </w:p>
    <w:p w14:paraId="7FDCEA20" w14:textId="77777777" w:rsidR="00AB6101" w:rsidRDefault="00AB6101" w:rsidP="00AB6101">
      <w:pPr>
        <w:pStyle w:val="western"/>
        <w:spacing w:after="0"/>
      </w:pPr>
    </w:p>
    <w:p w14:paraId="590EC642" w14:textId="77777777" w:rsidR="00AB6101" w:rsidRDefault="00AB6101" w:rsidP="00AB6101">
      <w:pPr>
        <w:pStyle w:val="western"/>
        <w:spacing w:after="0"/>
      </w:pPr>
      <w:r>
        <w:t xml:space="preserve">Pour la mise en œuvre de la présente annexe, les définitions suivantes sont applicables : </w:t>
      </w:r>
    </w:p>
    <w:p w14:paraId="26D8C84A" w14:textId="3FB1727B" w:rsidR="00AB6101" w:rsidRDefault="00AB6101" w:rsidP="00AB6101">
      <w:pPr>
        <w:pStyle w:val="western"/>
        <w:spacing w:after="0"/>
      </w:pPr>
      <w:r>
        <w:t>Zone sans occupation permanente : zone sans occupation humaine permanente ou dont l’usage ne met en œuvre aucun entrepos</w:t>
      </w:r>
      <w:r w:rsidR="005C625B">
        <w:t xml:space="preserve">age de matières combustibles ni de matières </w:t>
      </w:r>
      <w:r>
        <w:t>dangereuses</w:t>
      </w:r>
      <w:r w:rsidR="005C625B">
        <w:t xml:space="preserve"> relevant d’une rubrique 4XXX de la nomenclature des installations classées,</w:t>
      </w:r>
      <w:r>
        <w:t xml:space="preserve"> permanent ou temporaire.</w:t>
      </w:r>
    </w:p>
    <w:p w14:paraId="65889174" w14:textId="77777777" w:rsidR="00AB6101" w:rsidRDefault="00AB6101" w:rsidP="00AB6101">
      <w:pPr>
        <w:pStyle w:val="western"/>
        <w:spacing w:after="0"/>
      </w:pPr>
      <w:r>
        <w:t>Zones sans occupation humaine permanente : zones ne comptant aucun établissement recevant du public, aucun lieu d'habitation, aucun local de travail permanent, ni aucune voie de circulation routière d'un trafic supérieur à 5 000 véhicules par jour et pour lesquelles des constructions nouvelles sont interdites.</w:t>
      </w:r>
    </w:p>
    <w:p w14:paraId="4340EF6C" w14:textId="77777777" w:rsidR="00AB6101" w:rsidRDefault="00AB6101" w:rsidP="00AB6101"/>
    <w:p w14:paraId="2D2DEBBC" w14:textId="77777777" w:rsidR="00AB6101" w:rsidRDefault="00AB6101" w:rsidP="00AB6101">
      <w:pPr>
        <w:pStyle w:val="western"/>
        <w:spacing w:after="240"/>
      </w:pPr>
      <w:r>
        <w:t>Ces dispositions ne sont pas applicables aux installations existantes, pour les quelles :</w:t>
      </w:r>
    </w:p>
    <w:p w14:paraId="55B95B8B" w14:textId="77777777" w:rsidR="00AB6101" w:rsidRDefault="00AB6101" w:rsidP="00AB6101">
      <w:pPr>
        <w:pStyle w:val="western"/>
        <w:numPr>
          <w:ilvl w:val="0"/>
          <w:numId w:val="43"/>
        </w:numPr>
        <w:spacing w:after="240"/>
      </w:pPr>
      <w:r>
        <w:t xml:space="preserve">pour les stockages ouverts, les parois des récipients mobiles sont situées à une distance au moins 20 mètres des limites des sites ; </w:t>
      </w:r>
    </w:p>
    <w:p w14:paraId="42F9D1F1" w14:textId="26EBB23F" w:rsidR="00AB6101" w:rsidRDefault="00AB6101" w:rsidP="00AB6101">
      <w:pPr>
        <w:pStyle w:val="western"/>
        <w:numPr>
          <w:ilvl w:val="0"/>
          <w:numId w:val="43"/>
        </w:numPr>
        <w:spacing w:after="240"/>
      </w:pPr>
      <w:r>
        <w:t xml:space="preserve">pour les stockages couverts, les parois des bâtiments lorsque ces parois existent, où les éléments de structure dans le cas d’un </w:t>
      </w:r>
      <w:r w:rsidR="00497AED">
        <w:t xml:space="preserve">stockage couvert </w:t>
      </w:r>
      <w:r>
        <w:t>ouvert, sont implantés à une distance au moins égale 20 mètres et 1,5 fois la hauteur du bâtiment par rapport aux limites de sites.</w:t>
      </w:r>
    </w:p>
    <w:p w14:paraId="04F7DA5A" w14:textId="77777777" w:rsidR="00AB6101" w:rsidRDefault="00AB6101" w:rsidP="00AB6101">
      <w:pPr>
        <w:pStyle w:val="western"/>
        <w:spacing w:after="240"/>
      </w:pPr>
    </w:p>
    <w:p w14:paraId="33807355" w14:textId="77777777" w:rsidR="00AB6101" w:rsidRDefault="00AB6101" w:rsidP="00AB6101">
      <w:pPr>
        <w:pStyle w:val="western"/>
      </w:pPr>
      <w:r>
        <w:rPr>
          <w:b/>
          <w:bCs/>
        </w:rPr>
        <w:t>1. Etude des effets thermiques</w:t>
      </w:r>
    </w:p>
    <w:p w14:paraId="61D5460A" w14:textId="6DB5B5A5" w:rsidR="00AB6101" w:rsidRDefault="00AB6101" w:rsidP="00AB6101">
      <w:pPr>
        <w:pStyle w:val="NormalWeb"/>
        <w:spacing w:line="276" w:lineRule="auto"/>
      </w:pPr>
      <w:r>
        <w:t>L’exploitant élabore avant le 1</w:t>
      </w:r>
      <w:r>
        <w:rPr>
          <w:vertAlign w:val="superscript"/>
        </w:rPr>
        <w:t>er</w:t>
      </w:r>
      <w:r>
        <w:t xml:space="preserve"> janvier 2023 une étude visant à déterminer les distances correspondant à des effets thermiques en cas d’incendie de 8 kW/m², à hauteur de cible ou à défaut à hauteur d’homme. </w:t>
      </w:r>
      <w:r w:rsidR="00D16621">
        <w:rPr>
          <w:rStyle w:val="ins"/>
        </w:rPr>
        <w:t>Cette étude est tenue à la disposition de l'inspection des installations classées</w:t>
      </w:r>
    </w:p>
    <w:p w14:paraId="4DECD662" w14:textId="77777777" w:rsidR="00AB6101" w:rsidRDefault="00AB6101" w:rsidP="00AB6101">
      <w:pPr>
        <w:pStyle w:val="NormalWeb"/>
        <w:spacing w:line="276" w:lineRule="auto"/>
      </w:pPr>
      <w:r>
        <w:t>Si elle existe et si les éléments répondant aux dispositions ci-dessus y figurent, l’exploitant peut s’appuyer sur toute étude déjà réalisée, notamment les études jointes au dossier d’autorisation ou étude de danger.</w:t>
      </w:r>
    </w:p>
    <w:p w14:paraId="11E944E5" w14:textId="77777777" w:rsidR="00AB6101" w:rsidRDefault="00AB6101" w:rsidP="00AB6101">
      <w:pPr>
        <w:pStyle w:val="NormalWeb"/>
        <w:spacing w:after="240" w:line="276" w:lineRule="auto"/>
      </w:pPr>
    </w:p>
    <w:p w14:paraId="3D04D01F" w14:textId="77777777" w:rsidR="00AB6101" w:rsidRDefault="00AB6101" w:rsidP="00AB6101">
      <w:pPr>
        <w:pStyle w:val="western"/>
      </w:pPr>
      <w:r>
        <w:rPr>
          <w:b/>
          <w:bCs/>
        </w:rPr>
        <w:t>2. Mesures à prendre</w:t>
      </w:r>
    </w:p>
    <w:p w14:paraId="7CB10150" w14:textId="3FDF8017" w:rsidR="00AB6101" w:rsidRDefault="00AB6101" w:rsidP="00AB6101">
      <w:pPr>
        <w:pStyle w:val="western"/>
      </w:pPr>
      <w:r>
        <w:rPr>
          <w:b/>
          <w:bCs/>
        </w:rPr>
        <w:t>A.</w:t>
      </w:r>
      <w:r>
        <w:t xml:space="preserve"> Lorsque l’étude précitée met en évidence des effets thermiques en cas d’incendie supérieurs à 8kW/m² en limite de zone faisant l’objet d’une occupation permanente, l’exploitant </w:t>
      </w:r>
      <w:r w:rsidR="00D16621" w:rsidRPr="000242FA">
        <w:rPr>
          <w:rStyle w:val="ins"/>
          <w:color w:val="auto"/>
        </w:rPr>
        <w:t xml:space="preserve">en </w:t>
      </w:r>
      <w:r w:rsidR="00D16621" w:rsidRPr="000242FA">
        <w:rPr>
          <w:rStyle w:val="ins"/>
          <w:color w:val="auto"/>
        </w:rPr>
        <w:lastRenderedPageBreak/>
        <w:t xml:space="preserve">informe le Préfet en précisant les mesures qu'il envisage et l’échéancier de mise en œuvre. Il </w:t>
      </w:r>
      <w:r>
        <w:t>prend, dans les trois années qui suivent l’échéance de remise de l’étude, les mesures permettant que les effets thermiques en cas d’incendie de 8kW/m² soient contenus dans les limites du site ou des zones ne faisant l’objet d’aucune occupation permanente au moyen, si nécessaire, de la diminution et réorganisation des stockages, la mise en place d’un dispositif séparatif EI120, la mise en place d’un dispositif de refroidissement ou de tout autre moyen de fiabilité et d’efficacité équivalentes pour réduire les effets thermiques.</w:t>
      </w:r>
    </w:p>
    <w:p w14:paraId="2D8C41EA" w14:textId="77777777" w:rsidR="00AB6101" w:rsidRDefault="00AB6101" w:rsidP="00AB6101">
      <w:pPr>
        <w:pStyle w:val="NormalWeb"/>
        <w:spacing w:line="276" w:lineRule="auto"/>
      </w:pPr>
      <w:r>
        <w:t>Si il existe, le dispositif de refroidissement, est un dispositif fixe, dont le déclenchement est asservi à la détection automatique d’incendie, et faisant l’objet de tests périodiques renouvelés au moins une fois par mois.</w:t>
      </w:r>
    </w:p>
    <w:p w14:paraId="78C97E8D" w14:textId="77777777" w:rsidR="00AB6101" w:rsidRDefault="00AB6101" w:rsidP="00AB6101">
      <w:pPr>
        <w:pStyle w:val="NormalWeb"/>
        <w:spacing w:line="276" w:lineRule="auto"/>
      </w:pPr>
      <w:r>
        <w:t xml:space="preserve">Toutefois, lorsque la zone considérée est incluse dans le périmètre d’installations classées pour la protection de l’environnement et tant qu’un arrêté préfectoral permet de s’assurer de l’absence d’occupation permanente dans la zone, ces dispositions ne sont pas applicables. </w:t>
      </w:r>
    </w:p>
    <w:p w14:paraId="6508F18A" w14:textId="77777777" w:rsidR="00AB6101" w:rsidRDefault="00AB6101" w:rsidP="00AB6101">
      <w:pPr>
        <w:pStyle w:val="NormalWeb"/>
        <w:spacing w:after="240" w:line="276" w:lineRule="auto"/>
      </w:pPr>
    </w:p>
    <w:p w14:paraId="232720F6" w14:textId="77777777" w:rsidR="00AB6101" w:rsidRDefault="00AB6101" w:rsidP="00AB6101">
      <w:pPr>
        <w:pStyle w:val="NormalWeb"/>
        <w:spacing w:line="276" w:lineRule="auto"/>
      </w:pPr>
      <w:r>
        <w:rPr>
          <w:b/>
          <w:bCs/>
        </w:rPr>
        <w:t>B.</w:t>
      </w:r>
      <w:r>
        <w:t xml:space="preserve"> Lorsque, après la mise en place, le cas échéant, des mesures indiquées au A., subsistent des effets thermiques en cas d’incendie de plus de 8kW/m² au-delà des limites de site, l’exploitant renouvelle l’application de l’étude visée au I puis des mesures visées au II de la présente annexe dans un délai maximal de 5 après l’échéance de remise de la dernière mise à jour de l’étude visée au I .de la présente annexe.</w:t>
      </w:r>
    </w:p>
    <w:p w14:paraId="2F285170" w14:textId="77777777" w:rsidR="00AB6101" w:rsidRDefault="00AB6101" w:rsidP="00AB6101">
      <w:pPr>
        <w:pStyle w:val="western"/>
      </w:pPr>
      <w:r>
        <w:t>Ce renouvellement vise à prendre en compte, le cas échéant, l’évolution de la situation autour des limites des sites, notamment en ce qui concerne les éventuels arrêtés préfectoraux et zones d’occupation permanente.</w:t>
      </w:r>
    </w:p>
    <w:p w14:paraId="38C907E2" w14:textId="77777777" w:rsidR="00AB6101" w:rsidRDefault="00AB6101" w:rsidP="00AB6101">
      <w:pPr>
        <w:jc w:val="left"/>
      </w:pPr>
    </w:p>
    <w:p w14:paraId="13404CE9" w14:textId="77777777" w:rsidR="00AB6101" w:rsidRDefault="00AB6101" w:rsidP="00AB6101"/>
    <w:p w14:paraId="6E585977" w14:textId="094A9B76" w:rsidR="00D727C2" w:rsidRDefault="00D727C2">
      <w:pPr>
        <w:jc w:val="left"/>
      </w:pPr>
      <w:r>
        <w:br w:type="page"/>
      </w:r>
    </w:p>
    <w:p w14:paraId="03B4A80A" w14:textId="7F9769AC" w:rsidR="00D727C2" w:rsidRPr="0042169A" w:rsidRDefault="00D727C2" w:rsidP="00D727C2">
      <w:pPr>
        <w:jc w:val="center"/>
        <w:rPr>
          <w:b/>
          <w:szCs w:val="24"/>
        </w:rPr>
      </w:pPr>
      <w:r>
        <w:rPr>
          <w:b/>
          <w:szCs w:val="24"/>
        </w:rPr>
        <w:lastRenderedPageBreak/>
        <w:t>Annexe V</w:t>
      </w:r>
    </w:p>
    <w:p w14:paraId="0E3AA56F" w14:textId="69940C59" w:rsidR="006669B2" w:rsidRDefault="00D727C2" w:rsidP="00D727C2">
      <w:pPr>
        <w:jc w:val="center"/>
        <w:rPr>
          <w:b/>
        </w:rPr>
      </w:pPr>
      <w:r w:rsidRPr="004623CC">
        <w:rPr>
          <w:b/>
        </w:rPr>
        <w:t>Dispositions applicables aux cellules de liquides inflammables au sein d’installations existantes</w:t>
      </w:r>
    </w:p>
    <w:p w14:paraId="6FAAA113" w14:textId="3BF52846" w:rsidR="00D727C2" w:rsidRPr="001C3192" w:rsidRDefault="00932A73" w:rsidP="001C3192">
      <w:pPr>
        <w:rPr>
          <w:i/>
          <w:color w:val="000000" w:themeColor="text1"/>
        </w:rPr>
      </w:pPr>
      <w:r w:rsidRPr="001C3192">
        <w:rPr>
          <w:i/>
        </w:rPr>
        <w:t xml:space="preserve">Les dispositions suivantes sont applicables aux installations existantes en lieu et place des </w:t>
      </w:r>
      <w:r w:rsidRPr="001C3192">
        <w:rPr>
          <w:i/>
          <w:color w:val="000000" w:themeColor="text1"/>
        </w:rPr>
        <w:t>dispositions des articles III.3, III.13.I, III.13.II et VI.5.</w:t>
      </w:r>
    </w:p>
    <w:p w14:paraId="423B8F54" w14:textId="1B5FF1D6" w:rsidR="00D727C2" w:rsidRPr="001C3192" w:rsidRDefault="00D727C2" w:rsidP="001C3192">
      <w:pPr>
        <w:pStyle w:val="Titre3"/>
        <w:rPr>
          <w:rFonts w:eastAsia="Times New Roman"/>
          <w:lang w:eastAsia="fr-FR"/>
        </w:rPr>
      </w:pPr>
      <w:r w:rsidRPr="003253DA">
        <w:rPr>
          <w:rFonts w:eastAsia="Times New Roman"/>
          <w:lang w:eastAsia="fr-FR"/>
        </w:rPr>
        <w:t xml:space="preserve">Pour les installations existantes, les cellules de liquides inflammables dans lesquelles sont présentes </w:t>
      </w:r>
      <w:r w:rsidRPr="001C3192">
        <w:rPr>
          <w:rFonts w:eastAsia="Times New Roman"/>
          <w:lang w:eastAsia="fr-FR"/>
        </w:rPr>
        <w:t>en quantité supérieure ou égale à 2</w:t>
      </w:r>
      <w:r w:rsidR="006E1118">
        <w:rPr>
          <w:rFonts w:eastAsia="Times New Roman"/>
          <w:lang w:eastAsia="fr-FR"/>
        </w:rPr>
        <w:t xml:space="preserve"> mètres cube </w:t>
      </w:r>
      <w:r w:rsidRPr="003253DA">
        <w:rPr>
          <w:rFonts w:eastAsia="Times New Roman"/>
          <w:lang w:eastAsia="fr-FR"/>
        </w:rPr>
        <w:t>des liquides inflammables, en contenants fusibles, non miscibles à l’eau, de mention de danger H224, H225, H226 ou les déchets liquides inflammables HP3 sont conformes aux dispositions du point A, du point B ou du point C</w:t>
      </w:r>
      <w:r w:rsidRPr="001C3192">
        <w:rPr>
          <w:rFonts w:eastAsia="Times New Roman"/>
          <w:lang w:eastAsia="fr-FR"/>
        </w:rPr>
        <w:t xml:space="preserve"> à compter du 1</w:t>
      </w:r>
      <w:r w:rsidRPr="001C3192">
        <w:rPr>
          <w:rFonts w:eastAsia="Times New Roman"/>
          <w:vertAlign w:val="superscript"/>
          <w:lang w:eastAsia="fr-FR"/>
        </w:rPr>
        <w:t>er</w:t>
      </w:r>
      <w:r w:rsidRPr="001C3192">
        <w:rPr>
          <w:rFonts w:eastAsia="Times New Roman"/>
          <w:lang w:eastAsia="fr-FR"/>
        </w:rPr>
        <w:t xml:space="preserve"> janvier 2026.</w:t>
      </w:r>
    </w:p>
    <w:p w14:paraId="1597066E" w14:textId="2DF11357" w:rsidR="00D727C2" w:rsidRPr="0066259D" w:rsidRDefault="00D727C2" w:rsidP="0066259D">
      <w:pPr>
        <w:pStyle w:val="Paragraphedeliste"/>
        <w:numPr>
          <w:ilvl w:val="0"/>
          <w:numId w:val="56"/>
        </w:numPr>
        <w:rPr>
          <w:rFonts w:eastAsia="Times New Roman"/>
          <w:lang w:eastAsia="fr-FR"/>
        </w:rPr>
      </w:pPr>
      <w:r w:rsidRPr="001C3192">
        <w:rPr>
          <w:rFonts w:eastAsia="Times New Roman"/>
          <w:color w:val="000000" w:themeColor="text1"/>
          <w:lang w:eastAsia="fr-FR"/>
        </w:rPr>
        <w:t xml:space="preserve">Les </w:t>
      </w:r>
      <w:r w:rsidRPr="0066259D">
        <w:rPr>
          <w:rFonts w:eastAsia="Times New Roman"/>
          <w:lang w:eastAsia="fr-FR"/>
        </w:rPr>
        <w:t>cellules de liquides inflammables sont conformes aux dispositions de l’article III.3.</w:t>
      </w:r>
    </w:p>
    <w:p w14:paraId="5DDE6048" w14:textId="77777777" w:rsidR="00D727C2" w:rsidRDefault="00D727C2" w:rsidP="00D727C2">
      <w:pPr>
        <w:rPr>
          <w:rFonts w:eastAsia="Times New Roman"/>
          <w:lang w:eastAsia="fr-FR"/>
        </w:rPr>
      </w:pPr>
      <w:r>
        <w:t xml:space="preserve">Un système d’extinction automatique à mousse, ou tout autre dispositif permettant un niveau d’efficacité équivalent, est mis en place et dimensionné de manière à considérer, d’une part, le caractère miscible à l’eau des liquides inflammables stockés, et d’autre part les caractéristiques du drainage et dispositifs de collecte existants. </w:t>
      </w:r>
    </w:p>
    <w:p w14:paraId="37209E72" w14:textId="77777777" w:rsidR="00D727C2" w:rsidRDefault="00D727C2" w:rsidP="00D727C2">
      <w:r>
        <w:t>A chaque récipient ou groupe de récipients mobiles est associée une capacité de rétention dont la capacité utile est au moins égale à la plus grande des deux valeurs suivantes :</w:t>
      </w:r>
      <w:r>
        <w:br/>
        <w:t>- 50 % de la capacité totale des récipients mobiles associés ;</w:t>
      </w:r>
    </w:p>
    <w:p w14:paraId="796B51A7" w14:textId="77777777" w:rsidR="00D727C2" w:rsidRPr="0066259D" w:rsidRDefault="00D727C2" w:rsidP="00D727C2">
      <w:pPr>
        <w:rPr>
          <w:rFonts w:eastAsia="Times New Roman" w:cs="Times New Roman"/>
          <w:color w:val="000000"/>
          <w:lang w:eastAsia="fr-FR"/>
        </w:rPr>
      </w:pPr>
      <w:r w:rsidRPr="0066259D">
        <w:t xml:space="preserve">- 20% du volume des liquides stockés dans la cellule </w:t>
      </w:r>
      <w:r w:rsidRPr="0066259D">
        <w:rPr>
          <w:rFonts w:eastAsia="Times New Roman" w:cs="Times New Roman"/>
          <w:color w:val="000000"/>
          <w:lang w:eastAsia="fr-FR"/>
        </w:rPr>
        <w:t>auquel s’ajoute le volume d’eau d’extinction nécessaire à la lutte contre l’incendie.</w:t>
      </w:r>
    </w:p>
    <w:p w14:paraId="63BF7DA1" w14:textId="7F71DD72" w:rsidR="00DA1ED4" w:rsidRDefault="00D727C2" w:rsidP="00DA1ED4">
      <w:pPr>
        <w:rPr>
          <w:rFonts w:eastAsia="Times New Roman"/>
          <w:lang w:eastAsia="fr-FR"/>
        </w:rPr>
      </w:pPr>
      <w:r>
        <w:rPr>
          <w:rFonts w:eastAsia="Times New Roman" w:cs="Times New Roman"/>
          <w:color w:val="000000"/>
          <w:lang w:eastAsia="fr-FR"/>
        </w:rPr>
        <w:t xml:space="preserve">Le volume nécessaire est rendu disponible par une ou des rétentions locales ou déportées. En cas de rétention déportée, le volume minimal est au moins égal au plus grand volume calculé pour chaque stockage associé. La rétention déportée peut être commune avec le bassin de confinement prévu à l’article VII.1. </w:t>
      </w:r>
      <w:r w:rsidR="00DA1ED4" w:rsidRPr="00BA269C">
        <w:rPr>
          <w:rFonts w:eastAsia="Times New Roman"/>
          <w:lang w:eastAsia="fr-FR"/>
        </w:rPr>
        <w:t xml:space="preserve">Le dispositif de drainage ainsi que la rétention </w:t>
      </w:r>
      <w:r w:rsidR="00DA1ED4">
        <w:rPr>
          <w:rFonts w:eastAsia="Times New Roman"/>
          <w:lang w:eastAsia="fr-FR"/>
        </w:rPr>
        <w:t xml:space="preserve">déportée </w:t>
      </w:r>
      <w:r w:rsidR="00DA1ED4" w:rsidRPr="00BA269C">
        <w:rPr>
          <w:rFonts w:eastAsia="Times New Roman"/>
          <w:lang w:eastAsia="fr-FR"/>
        </w:rPr>
        <w:t>sont conformes aux dispositions de l’article III-14 r</w:t>
      </w:r>
      <w:r w:rsidR="00DA1ED4">
        <w:rPr>
          <w:rFonts w:eastAsia="Times New Roman"/>
          <w:lang w:eastAsia="fr-FR"/>
        </w:rPr>
        <w:t>elatif aux rétentions déportées</w:t>
      </w:r>
    </w:p>
    <w:p w14:paraId="2528767F" w14:textId="77777777" w:rsidR="00D727C2" w:rsidRDefault="00D727C2" w:rsidP="00D727C2">
      <w:pPr>
        <w:rPr>
          <w:rFonts w:eastAsia="Times New Roman"/>
          <w:lang w:eastAsia="fr-FR"/>
        </w:rPr>
      </w:pPr>
    </w:p>
    <w:p w14:paraId="1C569F4F" w14:textId="77777777" w:rsidR="00D727C2" w:rsidRDefault="00D727C2" w:rsidP="00D727C2">
      <w:pPr>
        <w:rPr>
          <w:rFonts w:eastAsia="Times New Roman"/>
          <w:lang w:eastAsia="fr-FR"/>
        </w:rPr>
      </w:pPr>
    </w:p>
    <w:p w14:paraId="7EEFB313" w14:textId="170294A3" w:rsidR="00D727C2" w:rsidRPr="0066259D" w:rsidRDefault="00D727C2" w:rsidP="0066259D">
      <w:pPr>
        <w:pStyle w:val="Paragraphedeliste"/>
        <w:numPr>
          <w:ilvl w:val="0"/>
          <w:numId w:val="56"/>
        </w:numPr>
        <w:rPr>
          <w:rFonts w:eastAsia="Times New Roman"/>
          <w:lang w:eastAsia="fr-FR"/>
        </w:rPr>
      </w:pPr>
      <w:r w:rsidRPr="0066259D">
        <w:rPr>
          <w:rFonts w:eastAsia="Times New Roman"/>
          <w:lang w:eastAsia="fr-FR"/>
        </w:rPr>
        <w:t xml:space="preserve"> Les cellules de liquides inflammables sont conformes aux dispositions de l’article III.3.</w:t>
      </w:r>
    </w:p>
    <w:p w14:paraId="4CB5D2EB" w14:textId="77777777" w:rsidR="00D727C2" w:rsidRPr="001C3192" w:rsidRDefault="00D727C2" w:rsidP="00D727C2">
      <w:pPr>
        <w:rPr>
          <w:rFonts w:eastAsia="Times New Roman"/>
          <w:color w:val="000000" w:themeColor="text1"/>
          <w:lang w:eastAsia="fr-FR"/>
        </w:rPr>
      </w:pPr>
      <w:r w:rsidRPr="00BA269C">
        <w:rPr>
          <w:rFonts w:eastAsia="Times New Roman"/>
          <w:lang w:eastAsia="fr-FR"/>
        </w:rPr>
        <w:t xml:space="preserve">Chaque cellule de liquides inflammables est divisée en zones de collecte d'une superficie unitaire maximale au sol égale à 500 mètres carrés. A chacune de ces zones est associé un système de </w:t>
      </w:r>
      <w:r w:rsidRPr="001C3192">
        <w:rPr>
          <w:rFonts w:eastAsia="Times New Roman"/>
          <w:color w:val="000000" w:themeColor="text1"/>
          <w:lang w:eastAsia="fr-FR"/>
        </w:rPr>
        <w:t>drainage actif</w:t>
      </w:r>
      <w:r w:rsidRPr="001C3192">
        <w:rPr>
          <w:color w:val="000000" w:themeColor="text1"/>
        </w:rPr>
        <w:t xml:space="preserve"> dimensionné pour l’évacuation rapide des produits</w:t>
      </w:r>
      <w:r w:rsidRPr="001C3192">
        <w:rPr>
          <w:rFonts w:eastAsia="Times New Roman"/>
          <w:color w:val="000000" w:themeColor="text1"/>
          <w:lang w:eastAsia="fr-FR"/>
        </w:rPr>
        <w:t xml:space="preserve"> et une rétention déportée dont la capacité utile est au moins égale à 100 % de la capacité des récipients mobiles associés, à laquelle est ajouté le volume d'eau d'extinction nécessaire à la lutte contre l'incendie de la zone de collecte déterminé au vu de la stratégie incendie définie à l’article VI-1 du présent arrêté. </w:t>
      </w:r>
    </w:p>
    <w:p w14:paraId="76695450" w14:textId="77777777" w:rsidR="00D727C2" w:rsidRPr="00BA269C" w:rsidRDefault="00D727C2" w:rsidP="00D727C2">
      <w:pPr>
        <w:rPr>
          <w:rFonts w:eastAsia="Times New Roman"/>
          <w:lang w:eastAsia="fr-FR"/>
        </w:rPr>
      </w:pPr>
      <w:r w:rsidRPr="001C3192">
        <w:rPr>
          <w:rFonts w:eastAsia="Times New Roman"/>
          <w:color w:val="000000" w:themeColor="text1"/>
          <w:lang w:eastAsia="fr-FR"/>
        </w:rPr>
        <w:t xml:space="preserve">Une rétention déportée </w:t>
      </w:r>
      <w:r w:rsidRPr="00BA269C">
        <w:rPr>
          <w:rFonts w:eastAsia="Times New Roman"/>
          <w:lang w:eastAsia="fr-FR"/>
        </w:rPr>
        <w:t>peut être commune à plusieurs zones de collecte. Dans ce cas, son volume minimal est au moins égal au plus grand volume calculé pour chacune des zones de collecte associées.</w:t>
      </w:r>
    </w:p>
    <w:p w14:paraId="41D48430" w14:textId="77777777" w:rsidR="00D727C2" w:rsidRDefault="00D727C2" w:rsidP="00D727C2">
      <w:pPr>
        <w:rPr>
          <w:rFonts w:eastAsia="Times New Roman"/>
          <w:lang w:eastAsia="fr-FR"/>
        </w:rPr>
      </w:pPr>
      <w:r w:rsidRPr="00BA269C">
        <w:rPr>
          <w:rFonts w:eastAsia="Times New Roman"/>
          <w:lang w:eastAsia="fr-FR"/>
        </w:rPr>
        <w:t>Le dispositif de drainage ainsi que la rétention sont conformes aux dispositions de l’article III-14 r</w:t>
      </w:r>
      <w:r>
        <w:rPr>
          <w:rFonts w:eastAsia="Times New Roman"/>
          <w:lang w:eastAsia="fr-FR"/>
        </w:rPr>
        <w:t>elatif aux rétentions déportées</w:t>
      </w:r>
    </w:p>
    <w:p w14:paraId="10DFFA7C" w14:textId="77777777" w:rsidR="00D727C2" w:rsidRDefault="00D727C2" w:rsidP="00D727C2">
      <w:pPr>
        <w:rPr>
          <w:rFonts w:eastAsia="Times New Roman"/>
          <w:lang w:eastAsia="fr-FR"/>
        </w:rPr>
      </w:pPr>
    </w:p>
    <w:p w14:paraId="126DA316" w14:textId="33D8367A" w:rsidR="00D727C2" w:rsidRPr="0066259D" w:rsidRDefault="00D727C2" w:rsidP="0066259D">
      <w:pPr>
        <w:pStyle w:val="Paragraphedeliste"/>
        <w:numPr>
          <w:ilvl w:val="0"/>
          <w:numId w:val="56"/>
        </w:numPr>
        <w:rPr>
          <w:rFonts w:eastAsia="Times New Roman"/>
          <w:lang w:eastAsia="fr-FR"/>
        </w:rPr>
      </w:pPr>
      <w:r w:rsidRPr="0066259D">
        <w:rPr>
          <w:rFonts w:eastAsia="Times New Roman"/>
          <w:lang w:eastAsia="fr-FR"/>
        </w:rPr>
        <w:t xml:space="preserve">Chaque cellule de liquides inflammables est divisée en zones de collecte d'une superficie unitaire maximale au sol égale à 500 mètres carrés. A chacune de ces zones est associé un système de drainage </w:t>
      </w:r>
      <w:r w:rsidRPr="00BA269C">
        <w:t>des produits</w:t>
      </w:r>
      <w:r w:rsidRPr="0066259D">
        <w:rPr>
          <w:rFonts w:eastAsia="Times New Roman"/>
          <w:lang w:eastAsia="fr-FR"/>
        </w:rPr>
        <w:t xml:space="preserve"> et une rétention déportée dont la capacité utile est au moins égale à 100 % de la capacité des récipients mobiles associés, à laquelle est ajouté le volume d'eau d'extinction nécessaire à la lutte contre l'incendie de la zone de collecte déterminé au vu de la stratégie incendie définie à l’article VI-1 du présent arrêté. </w:t>
      </w:r>
    </w:p>
    <w:p w14:paraId="131650EC" w14:textId="77777777" w:rsidR="00D727C2" w:rsidRPr="00BA269C" w:rsidRDefault="00D727C2" w:rsidP="00D727C2">
      <w:pPr>
        <w:rPr>
          <w:rFonts w:eastAsia="Times New Roman"/>
          <w:lang w:eastAsia="fr-FR"/>
        </w:rPr>
      </w:pPr>
      <w:r w:rsidRPr="00BA269C">
        <w:rPr>
          <w:rFonts w:eastAsia="Times New Roman"/>
          <w:lang w:eastAsia="fr-FR"/>
        </w:rPr>
        <w:t>Une rétention déportée peut être commune à plusieurs zones de collecte. Dans ce cas, son volume minimal est au moins égal au plus grand volume calculé pour chacune des zones de collecte associées.</w:t>
      </w:r>
    </w:p>
    <w:p w14:paraId="5A2B1D9D" w14:textId="77777777" w:rsidR="00D727C2" w:rsidRDefault="00D727C2" w:rsidP="00D727C2">
      <w:pPr>
        <w:rPr>
          <w:rFonts w:eastAsia="Times New Roman"/>
          <w:lang w:eastAsia="fr-FR"/>
        </w:rPr>
      </w:pPr>
      <w:r w:rsidRPr="00BA269C">
        <w:rPr>
          <w:rFonts w:eastAsia="Times New Roman"/>
          <w:lang w:eastAsia="fr-FR"/>
        </w:rPr>
        <w:t>Le dispositif de drainage ainsi que la rétention sont conformes aux dispositions de l’article III-14 relatif aux rétentions déportées.</w:t>
      </w:r>
    </w:p>
    <w:p w14:paraId="431BEC7F" w14:textId="77777777" w:rsidR="00D727C2" w:rsidRDefault="00D727C2" w:rsidP="00D727C2">
      <w:pPr>
        <w:rPr>
          <w:rFonts w:eastAsia="Times New Roman"/>
          <w:lang w:eastAsia="fr-FR"/>
        </w:rPr>
      </w:pPr>
      <w:r>
        <w:t xml:space="preserve">Un système d’extinction automatique d’incendie conforme, pour chaque zone de collecte, aux dispositions du point II de l’article VI.5 est mis en place dans chaque zone de collecte contenant des liquides inflammables ou des liquides et solides liquéfiables combustibles. </w:t>
      </w:r>
    </w:p>
    <w:p w14:paraId="41E9A552" w14:textId="2A8274E2" w:rsidR="00D727C2" w:rsidRPr="001C3192" w:rsidRDefault="00D727C2" w:rsidP="0066259D">
      <w:pPr>
        <w:rPr>
          <w:color w:val="000000" w:themeColor="text1"/>
        </w:rPr>
      </w:pPr>
    </w:p>
    <w:p w14:paraId="182D160F" w14:textId="1B46454A" w:rsidR="00D727C2" w:rsidRPr="003253DA" w:rsidRDefault="00D727C2" w:rsidP="001C3192">
      <w:pPr>
        <w:pStyle w:val="Titre3"/>
      </w:pPr>
      <w:r w:rsidRPr="003253DA">
        <w:rPr>
          <w:rFonts w:eastAsia="Times New Roman"/>
          <w:lang w:eastAsia="fr-FR"/>
        </w:rPr>
        <w:t xml:space="preserve">Pour les autres installations existantes, </w:t>
      </w:r>
      <w:r w:rsidRPr="00FE16CB">
        <w:rPr>
          <w:rFonts w:eastAsia="Times New Roman"/>
          <w:lang w:eastAsia="fr-FR"/>
        </w:rPr>
        <w:t>u</w:t>
      </w:r>
      <w:r w:rsidRPr="00474F36">
        <w:t xml:space="preserve">n système d’extinction automatique adapté au produit stocké ou </w:t>
      </w:r>
      <w:r w:rsidRPr="001C3192">
        <w:t xml:space="preserve">un dispositif constitué d’un système de drainage actif dimensionné pour l’évacuation rapide des produits associé à une rétention déportée </w:t>
      </w:r>
      <w:r w:rsidRPr="003253DA">
        <w:t xml:space="preserve">est mis en place dans chaque cellule de liquides </w:t>
      </w:r>
      <w:r w:rsidRPr="00FE16CB">
        <w:t>inflammables</w:t>
      </w:r>
      <w:r w:rsidR="006E1118">
        <w:t xml:space="preserve"> à compter du 1</w:t>
      </w:r>
      <w:r w:rsidR="006E1118" w:rsidRPr="001C3192">
        <w:rPr>
          <w:vertAlign w:val="superscript"/>
        </w:rPr>
        <w:t>er</w:t>
      </w:r>
      <w:r w:rsidR="006E1118">
        <w:t xml:space="preserve"> janvier 2026.</w:t>
      </w:r>
    </w:p>
    <w:p w14:paraId="2713160E" w14:textId="7EAD4C03" w:rsidR="00D727C2" w:rsidRDefault="00D727C2" w:rsidP="0066259D"/>
    <w:p w14:paraId="5949FEBB" w14:textId="6A2DDBD8" w:rsidR="00D727C2" w:rsidRDefault="00D727C2" w:rsidP="001C3192">
      <w:pPr>
        <w:pStyle w:val="Titre3"/>
      </w:pPr>
      <w:r>
        <w:t xml:space="preserve">Dispositions particulières applicables aux cellules de liquides inflammables d’une surface inférieure </w:t>
      </w:r>
      <w:r w:rsidR="00B768B4">
        <w:t xml:space="preserve">ou égale </w:t>
      </w:r>
      <w:r>
        <w:t>à 500m².</w:t>
      </w:r>
    </w:p>
    <w:p w14:paraId="24D93FE8" w14:textId="21F3917F" w:rsidR="00D727C2" w:rsidRDefault="00D727C2" w:rsidP="0066259D">
      <w:r>
        <w:rPr>
          <w:rFonts w:eastAsia="Times New Roman"/>
          <w:lang w:eastAsia="fr-FR"/>
        </w:rPr>
        <w:t xml:space="preserve">Les dispositions des points I. et II de la présente annexe ne sont pas applicables aux cellules de liquides inflammables d’une surface inférieure </w:t>
      </w:r>
      <w:r w:rsidR="00B768B4">
        <w:rPr>
          <w:rFonts w:eastAsia="Times New Roman"/>
          <w:lang w:eastAsia="fr-FR"/>
        </w:rPr>
        <w:t xml:space="preserve">ou égale </w:t>
      </w:r>
      <w:r>
        <w:rPr>
          <w:rFonts w:eastAsia="Times New Roman"/>
          <w:lang w:eastAsia="fr-FR"/>
        </w:rPr>
        <w:t>à 500m² au sein d’installations existantes. Ces cellules sont conformes aux dispositions suivantes à compter du 1</w:t>
      </w:r>
      <w:r w:rsidRPr="0066259D">
        <w:rPr>
          <w:rFonts w:eastAsia="Times New Roman"/>
          <w:vertAlign w:val="superscript"/>
          <w:lang w:eastAsia="fr-FR"/>
        </w:rPr>
        <w:t>er</w:t>
      </w:r>
      <w:r>
        <w:rPr>
          <w:rFonts w:eastAsia="Times New Roman"/>
          <w:lang w:eastAsia="fr-FR"/>
        </w:rPr>
        <w:t xml:space="preserve"> janvier 2026 :</w:t>
      </w:r>
    </w:p>
    <w:p w14:paraId="51A34BBC" w14:textId="77777777" w:rsidR="00D727C2" w:rsidRPr="00D727C2" w:rsidRDefault="00D727C2" w:rsidP="00D727C2">
      <w:r>
        <w:t xml:space="preserve">A chaque cellule est associée une capacité de rétention dont la capacité utile est au moins égale </w:t>
      </w:r>
      <w:r w:rsidRPr="00D727C2">
        <w:t>à la plus grande des deux valeurs suivantes :</w:t>
      </w:r>
    </w:p>
    <w:p w14:paraId="0032CDB8" w14:textId="461FEBBB" w:rsidR="00D727C2" w:rsidRPr="00B768B4" w:rsidRDefault="00D727C2" w:rsidP="00D727C2">
      <w:r w:rsidRPr="00B768B4">
        <w:t>- 50 % de la capacité totale des récipients mobiles associés ;</w:t>
      </w:r>
    </w:p>
    <w:p w14:paraId="380AAE89" w14:textId="77777777" w:rsidR="00D727C2" w:rsidRPr="0066259D" w:rsidRDefault="00D727C2" w:rsidP="00D727C2">
      <w:pPr>
        <w:rPr>
          <w:rFonts w:eastAsia="Times New Roman" w:cs="Times New Roman"/>
          <w:color w:val="000000"/>
          <w:lang w:eastAsia="fr-FR"/>
        </w:rPr>
      </w:pPr>
      <w:r w:rsidRPr="0066259D">
        <w:t xml:space="preserve">- 20% du volume des liquides stockés dans la cellule </w:t>
      </w:r>
      <w:r w:rsidRPr="0066259D">
        <w:rPr>
          <w:rFonts w:eastAsia="Times New Roman" w:cs="Times New Roman"/>
          <w:color w:val="000000"/>
          <w:lang w:eastAsia="fr-FR"/>
        </w:rPr>
        <w:t>auquel s’ajoute le volume d’eau d’extinction nécessaire à la lutte contre l’incendie.</w:t>
      </w:r>
    </w:p>
    <w:p w14:paraId="0CD69B6F" w14:textId="77777777" w:rsidR="00D727C2" w:rsidRDefault="00D727C2" w:rsidP="00D727C2">
      <w:pPr>
        <w:rPr>
          <w:rFonts w:eastAsia="Times New Roman" w:cs="Times New Roman"/>
          <w:color w:val="000000"/>
          <w:lang w:eastAsia="fr-FR"/>
        </w:rPr>
      </w:pPr>
      <w:r>
        <w:rPr>
          <w:rFonts w:eastAsia="Times New Roman" w:cs="Times New Roman"/>
          <w:color w:val="000000"/>
          <w:lang w:eastAsia="fr-FR"/>
        </w:rPr>
        <w:t xml:space="preserve">Le volume nécessaire est rendu disponible par une ou des rétentions locales ou déportées. En cas de rétention déportée, le volume minimal est au moins égal au plus grand volume calculé pour chaque stockage associé. La rétention déportée peut être commune avec le bassin de confinement prévu à l’article VII.1. </w:t>
      </w:r>
    </w:p>
    <w:p w14:paraId="0B602193" w14:textId="57531359" w:rsidR="00D727C2" w:rsidRDefault="00D727C2" w:rsidP="0066259D">
      <w:r>
        <w:t xml:space="preserve">Un système d’extinction automatique d’incendie conforme aux dispositions du point II de l’article VI.5 est mis en place. </w:t>
      </w:r>
    </w:p>
    <w:p w14:paraId="032D3CDF" w14:textId="77777777" w:rsidR="006064DE" w:rsidRDefault="006064DE" w:rsidP="0066259D"/>
    <w:sectPr w:rsidR="006064D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4B647" w14:textId="77777777" w:rsidR="0003612E" w:rsidRDefault="0003612E" w:rsidP="00D83F78">
      <w:pPr>
        <w:spacing w:after="0" w:line="240" w:lineRule="auto"/>
      </w:pPr>
      <w:r>
        <w:separator/>
      </w:r>
    </w:p>
  </w:endnote>
  <w:endnote w:type="continuationSeparator" w:id="0">
    <w:p w14:paraId="5EDBCBF0" w14:textId="77777777" w:rsidR="0003612E" w:rsidRDefault="0003612E" w:rsidP="00D8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B74C5" w14:textId="598ED7EF" w:rsidR="0003612E" w:rsidRDefault="0003612E">
    <w:pPr>
      <w:tabs>
        <w:tab w:val="center" w:pos="4550"/>
        <w:tab w:val="left" w:pos="5818"/>
      </w:tabs>
      <w:ind w:right="260"/>
      <w:jc w:val="right"/>
      <w:rPr>
        <w:color w:val="222A35" w:themeColor="text2" w:themeShade="80"/>
        <w:szCs w:val="24"/>
      </w:rPr>
    </w:pPr>
    <w:r>
      <w:rPr>
        <w:color w:val="8496B0" w:themeColor="text2" w:themeTint="99"/>
        <w:spacing w:val="60"/>
        <w:szCs w:val="24"/>
      </w:rPr>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PAGE   \* MERGEFORMAT</w:instrText>
    </w:r>
    <w:r>
      <w:rPr>
        <w:color w:val="323E4F" w:themeColor="text2" w:themeShade="BF"/>
        <w:szCs w:val="24"/>
      </w:rPr>
      <w:fldChar w:fldCharType="separate"/>
    </w:r>
    <w:r w:rsidR="001C3192">
      <w:rPr>
        <w:noProof/>
        <w:color w:val="323E4F" w:themeColor="text2" w:themeShade="BF"/>
        <w:szCs w:val="24"/>
      </w:rPr>
      <w:t>56</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NUMPAGES  \* Arabic  \* MERGEFORMAT</w:instrText>
    </w:r>
    <w:r>
      <w:rPr>
        <w:color w:val="323E4F" w:themeColor="text2" w:themeShade="BF"/>
        <w:szCs w:val="24"/>
      </w:rPr>
      <w:fldChar w:fldCharType="separate"/>
    </w:r>
    <w:r w:rsidR="001C3192">
      <w:rPr>
        <w:noProof/>
        <w:color w:val="323E4F" w:themeColor="text2" w:themeShade="BF"/>
        <w:szCs w:val="24"/>
      </w:rPr>
      <w:t>57</w:t>
    </w:r>
    <w:r>
      <w:rPr>
        <w:color w:val="323E4F" w:themeColor="text2" w:themeShade="BF"/>
        <w:szCs w:val="24"/>
      </w:rPr>
      <w:fldChar w:fldCharType="end"/>
    </w:r>
  </w:p>
  <w:p w14:paraId="7C25D46A" w14:textId="77777777" w:rsidR="0003612E" w:rsidRDefault="000361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76CC6" w14:textId="77777777" w:rsidR="0003612E" w:rsidRDefault="0003612E" w:rsidP="00D83F78">
      <w:pPr>
        <w:spacing w:after="0" w:line="240" w:lineRule="auto"/>
      </w:pPr>
      <w:r>
        <w:separator/>
      </w:r>
    </w:p>
  </w:footnote>
  <w:footnote w:type="continuationSeparator" w:id="0">
    <w:p w14:paraId="3073DAF3" w14:textId="77777777" w:rsidR="0003612E" w:rsidRDefault="0003612E" w:rsidP="00D83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D038" w14:textId="2D469461" w:rsidR="0003612E" w:rsidRDefault="0003612E">
    <w:pPr>
      <w:pStyle w:val="En-tte"/>
    </w:pPr>
    <w:r>
      <w:t xml:space="preserve">Version projet – Mise à jour le </w:t>
    </w:r>
    <w:r w:rsidR="001C3192">
      <w:t>14</w:t>
    </w:r>
    <w:r>
      <w:t>/08/2020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FCE"/>
    <w:multiLevelType w:val="hybridMultilevel"/>
    <w:tmpl w:val="3D02D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F5164"/>
    <w:multiLevelType w:val="hybridMultilevel"/>
    <w:tmpl w:val="63AAC96A"/>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936403"/>
    <w:multiLevelType w:val="multilevel"/>
    <w:tmpl w:val="8DD83084"/>
    <w:styleLink w:val="Numrotationarrt"/>
    <w:lvl w:ilvl="0">
      <w:start w:val="1"/>
      <w:numFmt w:val="upperRoman"/>
      <w:lvlText w:val="Titre %1 - "/>
      <w:lvlJc w:val="left"/>
      <w:pPr>
        <w:ind w:left="357" w:hanging="357"/>
      </w:pPr>
      <w:rPr>
        <w:rFonts w:hint="default"/>
      </w:rPr>
    </w:lvl>
    <w:lvl w:ilvl="1">
      <w:start w:val="1"/>
      <w:numFmt w:val="decimal"/>
      <w:lvlText w:val="Article %1-%2 - "/>
      <w:lvlJc w:val="left"/>
      <w:pPr>
        <w:ind w:left="2625" w:hanging="357"/>
      </w:pPr>
      <w:rPr>
        <w:rFonts w:hint="default"/>
      </w:rPr>
    </w:lvl>
    <w:lvl w:ilvl="2">
      <w:start w:val="1"/>
      <w:numFmt w:val="upperRoman"/>
      <w:lvlText w:val="%3"/>
      <w:lvlJc w:val="left"/>
      <w:pPr>
        <w:ind w:left="120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 w15:restartNumberingAfterBreak="0">
    <w:nsid w:val="05A41EE4"/>
    <w:multiLevelType w:val="hybridMultilevel"/>
    <w:tmpl w:val="4E82480C"/>
    <w:lvl w:ilvl="0" w:tplc="EA9052A0">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1F7FC9"/>
    <w:multiLevelType w:val="multilevel"/>
    <w:tmpl w:val="138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E4E72"/>
    <w:multiLevelType w:val="hybridMultilevel"/>
    <w:tmpl w:val="BAE8CCB6"/>
    <w:lvl w:ilvl="0" w:tplc="36B8BF34">
      <w:start w:val="1"/>
      <w:numFmt w:val="decimal"/>
      <w:lvlText w:val="%1."/>
      <w:lvlJc w:val="left"/>
      <w:pPr>
        <w:ind w:left="567" w:hanging="3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CF1331"/>
    <w:multiLevelType w:val="hybridMultilevel"/>
    <w:tmpl w:val="D6226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BD4107"/>
    <w:multiLevelType w:val="hybridMultilevel"/>
    <w:tmpl w:val="DC5099EA"/>
    <w:lvl w:ilvl="0" w:tplc="53CE73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567044"/>
    <w:multiLevelType w:val="hybridMultilevel"/>
    <w:tmpl w:val="59AA6198"/>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5D5C9E"/>
    <w:multiLevelType w:val="hybridMultilevel"/>
    <w:tmpl w:val="A8E85B18"/>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606AA4"/>
    <w:multiLevelType w:val="hybridMultilevel"/>
    <w:tmpl w:val="E3E207E0"/>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7F0591"/>
    <w:multiLevelType w:val="hybridMultilevel"/>
    <w:tmpl w:val="31BEBAD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7143AF"/>
    <w:multiLevelType w:val="hybridMultilevel"/>
    <w:tmpl w:val="B0E6F5DE"/>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052415"/>
    <w:multiLevelType w:val="hybridMultilevel"/>
    <w:tmpl w:val="71DA34AC"/>
    <w:lvl w:ilvl="0" w:tplc="A8DCB24A">
      <w:start w:val="3"/>
      <w:numFmt w:val="upperLetter"/>
      <w:lvlText w:val="%1."/>
      <w:lvlJc w:val="left"/>
      <w:pPr>
        <w:ind w:left="1080" w:hanging="360"/>
      </w:pPr>
      <w:rPr>
        <w:rFonts w:hint="default"/>
        <w:color w:val="808080" w:themeColor="background1" w:themeShade="8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285C049B"/>
    <w:multiLevelType w:val="hybridMultilevel"/>
    <w:tmpl w:val="C3E0043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B191823"/>
    <w:multiLevelType w:val="hybridMultilevel"/>
    <w:tmpl w:val="5DBEB580"/>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CA4CD7"/>
    <w:multiLevelType w:val="hybridMultilevel"/>
    <w:tmpl w:val="1C44E724"/>
    <w:lvl w:ilvl="0" w:tplc="6BE47210">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290BB2"/>
    <w:multiLevelType w:val="hybridMultilevel"/>
    <w:tmpl w:val="1E724872"/>
    <w:lvl w:ilvl="0" w:tplc="17DE06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E10ACE"/>
    <w:multiLevelType w:val="hybridMultilevel"/>
    <w:tmpl w:val="80EC81F8"/>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7B69B0"/>
    <w:multiLevelType w:val="hybridMultilevel"/>
    <w:tmpl w:val="7F00BF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21350E9"/>
    <w:multiLevelType w:val="hybridMultilevel"/>
    <w:tmpl w:val="5DC25462"/>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B42C78"/>
    <w:multiLevelType w:val="multilevel"/>
    <w:tmpl w:val="729C4934"/>
    <w:lvl w:ilvl="0">
      <w:start w:val="1"/>
      <w:numFmt w:val="decimal"/>
      <w:lvlText w:val="Titre %1 - "/>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3BA73EFC"/>
    <w:multiLevelType w:val="hybridMultilevel"/>
    <w:tmpl w:val="37CCD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256E8B"/>
    <w:multiLevelType w:val="hybridMultilevel"/>
    <w:tmpl w:val="31BA2534"/>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7A12A9"/>
    <w:multiLevelType w:val="hybridMultilevel"/>
    <w:tmpl w:val="07385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F37DB9"/>
    <w:multiLevelType w:val="multilevel"/>
    <w:tmpl w:val="C708F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AC45E8"/>
    <w:multiLevelType w:val="multilevel"/>
    <w:tmpl w:val="82DCD854"/>
    <w:lvl w:ilvl="0">
      <w:start w:val="1"/>
      <w:numFmt w:val="upperRoman"/>
      <w:pStyle w:val="Titre1"/>
      <w:lvlText w:val="Titre %1 - "/>
      <w:lvlJc w:val="left"/>
      <w:pPr>
        <w:ind w:left="357" w:hanging="357"/>
      </w:pPr>
      <w:rPr>
        <w:rFonts w:hint="default"/>
      </w:rPr>
    </w:lvl>
    <w:lvl w:ilvl="1">
      <w:start w:val="1"/>
      <w:numFmt w:val="decimal"/>
      <w:pStyle w:val="Titre2"/>
      <w:lvlText w:val="Article %1-%2 - "/>
      <w:lvlJc w:val="left"/>
      <w:pPr>
        <w:ind w:left="2625" w:hanging="357"/>
      </w:pPr>
      <w:rPr>
        <w:rFonts w:hint="default"/>
      </w:rPr>
    </w:lvl>
    <w:lvl w:ilvl="2">
      <w:start w:val="1"/>
      <w:numFmt w:val="upperRoman"/>
      <w:pStyle w:val="Titre3"/>
      <w:lvlText w:val="%3"/>
      <w:lvlJc w:val="left"/>
      <w:pPr>
        <w:ind w:left="454" w:hanging="454"/>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7" w15:restartNumberingAfterBreak="0">
    <w:nsid w:val="466A1BAA"/>
    <w:multiLevelType w:val="hybridMultilevel"/>
    <w:tmpl w:val="0F1AA220"/>
    <w:lvl w:ilvl="0" w:tplc="7A88321E">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F8125C"/>
    <w:multiLevelType w:val="hybridMultilevel"/>
    <w:tmpl w:val="429A77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A39271E"/>
    <w:multiLevelType w:val="hybridMultilevel"/>
    <w:tmpl w:val="E2E8966C"/>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4F7208"/>
    <w:multiLevelType w:val="multilevel"/>
    <w:tmpl w:val="C26E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3F3989"/>
    <w:multiLevelType w:val="hybridMultilevel"/>
    <w:tmpl w:val="D8862F6C"/>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DB1232"/>
    <w:multiLevelType w:val="multilevel"/>
    <w:tmpl w:val="998AE162"/>
    <w:lvl w:ilvl="0">
      <w:start w:val="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1F57AF5"/>
    <w:multiLevelType w:val="multilevel"/>
    <w:tmpl w:val="EB804E6E"/>
    <w:lvl w:ilvl="0">
      <w:start w:val="1"/>
      <w:numFmt w:val="bullet"/>
      <w:lvlText w:val=""/>
      <w:lvlJc w:val="left"/>
      <w:pPr>
        <w:tabs>
          <w:tab w:val="num" w:pos="1134"/>
        </w:tabs>
        <w:ind w:left="567" w:firstLine="0"/>
      </w:pPr>
      <w:rPr>
        <w:rFonts w:ascii="Symbol" w:hAnsi="Symbol" w:hint="default"/>
        <w:sz w:val="20"/>
      </w:rPr>
    </w:lvl>
    <w:lvl w:ilvl="1">
      <w:start w:val="1"/>
      <w:numFmt w:val="bullet"/>
      <w:lvlText w:val="o"/>
      <w:lvlJc w:val="left"/>
      <w:pPr>
        <w:tabs>
          <w:tab w:val="num" w:pos="2627"/>
        </w:tabs>
        <w:ind w:left="1702" w:firstLine="0"/>
      </w:pPr>
      <w:rPr>
        <w:rFonts w:ascii="Courier New" w:hAnsi="Courier New" w:hint="default"/>
        <w:sz w:val="20"/>
      </w:rPr>
    </w:lvl>
    <w:lvl w:ilvl="2">
      <w:start w:val="1"/>
      <w:numFmt w:val="upperRoman"/>
      <w:lvlText w:val="%3."/>
      <w:lvlJc w:val="left"/>
      <w:pPr>
        <w:tabs>
          <w:tab w:val="num" w:pos="3478"/>
        </w:tabs>
        <w:ind w:left="2553" w:firstLine="0"/>
      </w:pPr>
      <w:rPr>
        <w:rFonts w:hint="default"/>
      </w:rPr>
    </w:lvl>
    <w:lvl w:ilvl="3">
      <w:start w:val="1"/>
      <w:numFmt w:val="bullet"/>
      <w:lvlText w:val=""/>
      <w:lvlJc w:val="left"/>
      <w:pPr>
        <w:tabs>
          <w:tab w:val="num" w:pos="4329"/>
        </w:tabs>
        <w:ind w:left="3404" w:firstLine="0"/>
      </w:pPr>
      <w:rPr>
        <w:rFonts w:ascii="Wingdings" w:hAnsi="Wingdings" w:hint="default"/>
        <w:sz w:val="20"/>
      </w:rPr>
    </w:lvl>
    <w:lvl w:ilvl="4">
      <w:start w:val="1"/>
      <w:numFmt w:val="bullet"/>
      <w:lvlText w:val=""/>
      <w:lvlJc w:val="left"/>
      <w:pPr>
        <w:tabs>
          <w:tab w:val="num" w:pos="5180"/>
        </w:tabs>
        <w:ind w:left="4255" w:firstLine="0"/>
      </w:pPr>
      <w:rPr>
        <w:rFonts w:ascii="Wingdings" w:hAnsi="Wingdings" w:hint="default"/>
        <w:sz w:val="20"/>
      </w:rPr>
    </w:lvl>
    <w:lvl w:ilvl="5">
      <w:start w:val="1"/>
      <w:numFmt w:val="bullet"/>
      <w:lvlText w:val=""/>
      <w:lvlJc w:val="left"/>
      <w:pPr>
        <w:tabs>
          <w:tab w:val="num" w:pos="6031"/>
        </w:tabs>
        <w:ind w:left="5106" w:firstLine="0"/>
      </w:pPr>
      <w:rPr>
        <w:rFonts w:ascii="Wingdings" w:hAnsi="Wingdings" w:hint="default"/>
        <w:sz w:val="20"/>
      </w:rPr>
    </w:lvl>
    <w:lvl w:ilvl="6">
      <w:start w:val="1"/>
      <w:numFmt w:val="bullet"/>
      <w:lvlText w:val=""/>
      <w:lvlJc w:val="left"/>
      <w:pPr>
        <w:tabs>
          <w:tab w:val="num" w:pos="6882"/>
        </w:tabs>
        <w:ind w:left="5957" w:firstLine="0"/>
      </w:pPr>
      <w:rPr>
        <w:rFonts w:ascii="Wingdings" w:hAnsi="Wingdings" w:hint="default"/>
        <w:sz w:val="20"/>
      </w:rPr>
    </w:lvl>
    <w:lvl w:ilvl="7">
      <w:start w:val="1"/>
      <w:numFmt w:val="bullet"/>
      <w:lvlText w:val=""/>
      <w:lvlJc w:val="left"/>
      <w:pPr>
        <w:tabs>
          <w:tab w:val="num" w:pos="7733"/>
        </w:tabs>
        <w:ind w:left="6808" w:firstLine="0"/>
      </w:pPr>
      <w:rPr>
        <w:rFonts w:ascii="Wingdings" w:hAnsi="Wingdings" w:hint="default"/>
        <w:sz w:val="20"/>
      </w:rPr>
    </w:lvl>
    <w:lvl w:ilvl="8">
      <w:start w:val="1"/>
      <w:numFmt w:val="bullet"/>
      <w:lvlText w:val=""/>
      <w:lvlJc w:val="left"/>
      <w:pPr>
        <w:tabs>
          <w:tab w:val="num" w:pos="8584"/>
        </w:tabs>
        <w:ind w:left="7659" w:firstLine="0"/>
      </w:pPr>
      <w:rPr>
        <w:rFonts w:ascii="Wingdings" w:hAnsi="Wingdings" w:hint="default"/>
        <w:sz w:val="20"/>
      </w:rPr>
    </w:lvl>
  </w:abstractNum>
  <w:abstractNum w:abstractNumId="34" w15:restartNumberingAfterBreak="0">
    <w:nsid w:val="56042426"/>
    <w:multiLevelType w:val="hybridMultilevel"/>
    <w:tmpl w:val="D4FEAE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C20B4D"/>
    <w:multiLevelType w:val="hybridMultilevel"/>
    <w:tmpl w:val="79960F44"/>
    <w:lvl w:ilvl="0" w:tplc="6BE47210">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4C4E93"/>
    <w:multiLevelType w:val="hybridMultilevel"/>
    <w:tmpl w:val="6EB6BC9E"/>
    <w:lvl w:ilvl="0" w:tplc="3DD20364">
      <w:start w:val="1"/>
      <w:numFmt w:val="upperRoman"/>
      <w:lvlText w:val="%1."/>
      <w:lvlJc w:val="left"/>
      <w:pPr>
        <w:ind w:left="514" w:hanging="454"/>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37" w15:restartNumberingAfterBreak="0">
    <w:nsid w:val="661D2763"/>
    <w:multiLevelType w:val="hybridMultilevel"/>
    <w:tmpl w:val="90DE06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93C71B5"/>
    <w:multiLevelType w:val="multilevel"/>
    <w:tmpl w:val="EB804E6E"/>
    <w:lvl w:ilvl="0">
      <w:start w:val="1"/>
      <w:numFmt w:val="bullet"/>
      <w:lvlText w:val=""/>
      <w:lvlJc w:val="left"/>
      <w:pPr>
        <w:tabs>
          <w:tab w:val="num" w:pos="1134"/>
        </w:tabs>
        <w:ind w:left="567" w:firstLine="0"/>
      </w:pPr>
      <w:rPr>
        <w:rFonts w:ascii="Symbol" w:hAnsi="Symbol" w:hint="default"/>
        <w:sz w:val="20"/>
      </w:rPr>
    </w:lvl>
    <w:lvl w:ilvl="1">
      <w:start w:val="1"/>
      <w:numFmt w:val="bullet"/>
      <w:lvlText w:val="o"/>
      <w:lvlJc w:val="left"/>
      <w:pPr>
        <w:tabs>
          <w:tab w:val="num" w:pos="2627"/>
        </w:tabs>
        <w:ind w:left="1702" w:firstLine="0"/>
      </w:pPr>
      <w:rPr>
        <w:rFonts w:ascii="Courier New" w:hAnsi="Courier New" w:hint="default"/>
        <w:sz w:val="20"/>
      </w:rPr>
    </w:lvl>
    <w:lvl w:ilvl="2">
      <w:start w:val="1"/>
      <w:numFmt w:val="upperRoman"/>
      <w:lvlText w:val="%3."/>
      <w:lvlJc w:val="left"/>
      <w:pPr>
        <w:tabs>
          <w:tab w:val="num" w:pos="3478"/>
        </w:tabs>
        <w:ind w:left="2553" w:firstLine="0"/>
      </w:pPr>
      <w:rPr>
        <w:rFonts w:hint="default"/>
      </w:rPr>
    </w:lvl>
    <w:lvl w:ilvl="3">
      <w:start w:val="1"/>
      <w:numFmt w:val="bullet"/>
      <w:lvlText w:val=""/>
      <w:lvlJc w:val="left"/>
      <w:pPr>
        <w:tabs>
          <w:tab w:val="num" w:pos="4329"/>
        </w:tabs>
        <w:ind w:left="3404" w:firstLine="0"/>
      </w:pPr>
      <w:rPr>
        <w:rFonts w:ascii="Wingdings" w:hAnsi="Wingdings" w:hint="default"/>
        <w:sz w:val="20"/>
      </w:rPr>
    </w:lvl>
    <w:lvl w:ilvl="4">
      <w:start w:val="1"/>
      <w:numFmt w:val="bullet"/>
      <w:lvlText w:val=""/>
      <w:lvlJc w:val="left"/>
      <w:pPr>
        <w:tabs>
          <w:tab w:val="num" w:pos="5180"/>
        </w:tabs>
        <w:ind w:left="4255" w:firstLine="0"/>
      </w:pPr>
      <w:rPr>
        <w:rFonts w:ascii="Wingdings" w:hAnsi="Wingdings" w:hint="default"/>
        <w:sz w:val="20"/>
      </w:rPr>
    </w:lvl>
    <w:lvl w:ilvl="5">
      <w:start w:val="1"/>
      <w:numFmt w:val="bullet"/>
      <w:lvlText w:val=""/>
      <w:lvlJc w:val="left"/>
      <w:pPr>
        <w:tabs>
          <w:tab w:val="num" w:pos="6031"/>
        </w:tabs>
        <w:ind w:left="5106" w:firstLine="0"/>
      </w:pPr>
      <w:rPr>
        <w:rFonts w:ascii="Wingdings" w:hAnsi="Wingdings" w:hint="default"/>
        <w:sz w:val="20"/>
      </w:rPr>
    </w:lvl>
    <w:lvl w:ilvl="6">
      <w:start w:val="1"/>
      <w:numFmt w:val="bullet"/>
      <w:lvlText w:val=""/>
      <w:lvlJc w:val="left"/>
      <w:pPr>
        <w:tabs>
          <w:tab w:val="num" w:pos="6882"/>
        </w:tabs>
        <w:ind w:left="5957" w:firstLine="0"/>
      </w:pPr>
      <w:rPr>
        <w:rFonts w:ascii="Wingdings" w:hAnsi="Wingdings" w:hint="default"/>
        <w:sz w:val="20"/>
      </w:rPr>
    </w:lvl>
    <w:lvl w:ilvl="7">
      <w:start w:val="1"/>
      <w:numFmt w:val="bullet"/>
      <w:lvlText w:val=""/>
      <w:lvlJc w:val="left"/>
      <w:pPr>
        <w:tabs>
          <w:tab w:val="num" w:pos="7733"/>
        </w:tabs>
        <w:ind w:left="6808" w:firstLine="0"/>
      </w:pPr>
      <w:rPr>
        <w:rFonts w:ascii="Wingdings" w:hAnsi="Wingdings" w:hint="default"/>
        <w:sz w:val="20"/>
      </w:rPr>
    </w:lvl>
    <w:lvl w:ilvl="8">
      <w:start w:val="1"/>
      <w:numFmt w:val="bullet"/>
      <w:lvlText w:val=""/>
      <w:lvlJc w:val="left"/>
      <w:pPr>
        <w:tabs>
          <w:tab w:val="num" w:pos="8584"/>
        </w:tabs>
        <w:ind w:left="7659" w:firstLine="0"/>
      </w:pPr>
      <w:rPr>
        <w:rFonts w:ascii="Wingdings" w:hAnsi="Wingdings" w:hint="default"/>
        <w:sz w:val="20"/>
      </w:rPr>
    </w:lvl>
  </w:abstractNum>
  <w:abstractNum w:abstractNumId="39" w15:restartNumberingAfterBreak="0">
    <w:nsid w:val="6CB53657"/>
    <w:multiLevelType w:val="multilevel"/>
    <w:tmpl w:val="E58E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F844DC"/>
    <w:multiLevelType w:val="multilevel"/>
    <w:tmpl w:val="B7AC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FC2494"/>
    <w:multiLevelType w:val="hybridMultilevel"/>
    <w:tmpl w:val="0C30FFF4"/>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1F533C"/>
    <w:multiLevelType w:val="hybridMultilevel"/>
    <w:tmpl w:val="0CAC869C"/>
    <w:lvl w:ilvl="0" w:tplc="48E283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6375EA4"/>
    <w:multiLevelType w:val="hybridMultilevel"/>
    <w:tmpl w:val="00B46390"/>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515CD7"/>
    <w:multiLevelType w:val="hybridMultilevel"/>
    <w:tmpl w:val="9DF0A748"/>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764F0F"/>
    <w:multiLevelType w:val="hybridMultilevel"/>
    <w:tmpl w:val="864C728A"/>
    <w:lvl w:ilvl="0" w:tplc="6BE4721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476A29"/>
    <w:multiLevelType w:val="hybridMultilevel"/>
    <w:tmpl w:val="26AAC95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38"/>
  </w:num>
  <w:num w:numId="3">
    <w:abstractNumId w:val="22"/>
  </w:num>
  <w:num w:numId="4">
    <w:abstractNumId w:val="34"/>
  </w:num>
  <w:num w:numId="5">
    <w:abstractNumId w:val="5"/>
  </w:num>
  <w:num w:numId="6">
    <w:abstractNumId w:val="15"/>
  </w:num>
  <w:num w:numId="7">
    <w:abstractNumId w:val="12"/>
  </w:num>
  <w:num w:numId="8">
    <w:abstractNumId w:val="1"/>
  </w:num>
  <w:num w:numId="9">
    <w:abstractNumId w:val="18"/>
  </w:num>
  <w:num w:numId="10">
    <w:abstractNumId w:val="8"/>
  </w:num>
  <w:num w:numId="11">
    <w:abstractNumId w:val="45"/>
  </w:num>
  <w:num w:numId="12">
    <w:abstractNumId w:val="10"/>
  </w:num>
  <w:num w:numId="13">
    <w:abstractNumId w:val="31"/>
  </w:num>
  <w:num w:numId="14">
    <w:abstractNumId w:val="4"/>
  </w:num>
  <w:num w:numId="15">
    <w:abstractNumId w:val="36"/>
  </w:num>
  <w:num w:numId="16">
    <w:abstractNumId w:val="21"/>
  </w:num>
  <w:num w:numId="17">
    <w:abstractNumId w:val="2"/>
  </w:num>
  <w:num w:numId="18">
    <w:abstractNumId w:val="26"/>
  </w:num>
  <w:num w:numId="19">
    <w:abstractNumId w:val="42"/>
  </w:num>
  <w:num w:numId="20">
    <w:abstractNumId w:val="20"/>
  </w:num>
  <w:num w:numId="21">
    <w:abstractNumId w:val="9"/>
  </w:num>
  <w:num w:numId="22">
    <w:abstractNumId w:val="29"/>
  </w:num>
  <w:num w:numId="23">
    <w:abstractNumId w:val="16"/>
  </w:num>
  <w:num w:numId="24">
    <w:abstractNumId w:val="41"/>
  </w:num>
  <w:num w:numId="25">
    <w:abstractNumId w:val="35"/>
  </w:num>
  <w:num w:numId="26">
    <w:abstractNumId w:val="43"/>
  </w:num>
  <w:num w:numId="27">
    <w:abstractNumId w:val="44"/>
  </w:num>
  <w:num w:numId="28">
    <w:abstractNumId w:val="23"/>
  </w:num>
  <w:num w:numId="29">
    <w:abstractNumId w:val="3"/>
  </w:num>
  <w:num w:numId="30">
    <w:abstractNumId w:val="14"/>
  </w:num>
  <w:num w:numId="31">
    <w:abstractNumId w:val="7"/>
  </w:num>
  <w:num w:numId="32">
    <w:abstractNumId w:val="27"/>
  </w:num>
  <w:num w:numId="33">
    <w:abstractNumId w:val="32"/>
  </w:num>
  <w:num w:numId="34">
    <w:abstractNumId w:val="6"/>
  </w:num>
  <w:num w:numId="35">
    <w:abstractNumId w:val="0"/>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6"/>
  </w:num>
  <w:num w:numId="40">
    <w:abstractNumId w:val="26"/>
  </w:num>
  <w:num w:numId="41">
    <w:abstractNumId w:val="46"/>
  </w:num>
  <w:num w:numId="42">
    <w:abstractNumId w:val="26"/>
  </w:num>
  <w:num w:numId="43">
    <w:abstractNumId w:val="24"/>
  </w:num>
  <w:num w:numId="44">
    <w:abstractNumId w:val="26"/>
  </w:num>
  <w:num w:numId="45">
    <w:abstractNumId w:val="40"/>
  </w:num>
  <w:num w:numId="46">
    <w:abstractNumId w:val="30"/>
  </w:num>
  <w:num w:numId="47">
    <w:abstractNumId w:val="19"/>
  </w:num>
  <w:num w:numId="48">
    <w:abstractNumId w:val="26"/>
  </w:num>
  <w:num w:numId="49">
    <w:abstractNumId w:val="26"/>
  </w:num>
  <w:num w:numId="50">
    <w:abstractNumId w:val="26"/>
  </w:num>
  <w:num w:numId="51">
    <w:abstractNumId w:val="37"/>
  </w:num>
  <w:num w:numId="52">
    <w:abstractNumId w:val="17"/>
  </w:num>
  <w:num w:numId="53">
    <w:abstractNumId w:val="39"/>
  </w:num>
  <w:num w:numId="54">
    <w:abstractNumId w:val="28"/>
  </w:num>
  <w:num w:numId="55">
    <w:abstractNumId w:val="13"/>
  </w:num>
  <w:num w:numId="56">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C6"/>
    <w:rsid w:val="00004A45"/>
    <w:rsid w:val="00007C37"/>
    <w:rsid w:val="00022630"/>
    <w:rsid w:val="000242FA"/>
    <w:rsid w:val="00026303"/>
    <w:rsid w:val="0002703D"/>
    <w:rsid w:val="00027669"/>
    <w:rsid w:val="00030640"/>
    <w:rsid w:val="00035CFF"/>
    <w:rsid w:val="0003612E"/>
    <w:rsid w:val="0004284D"/>
    <w:rsid w:val="00052192"/>
    <w:rsid w:val="0005336F"/>
    <w:rsid w:val="00053E48"/>
    <w:rsid w:val="00053F52"/>
    <w:rsid w:val="00062154"/>
    <w:rsid w:val="0006300B"/>
    <w:rsid w:val="000674D2"/>
    <w:rsid w:val="00070D0E"/>
    <w:rsid w:val="0007181B"/>
    <w:rsid w:val="00071A5A"/>
    <w:rsid w:val="000739CF"/>
    <w:rsid w:val="0007563C"/>
    <w:rsid w:val="00082741"/>
    <w:rsid w:val="00083C13"/>
    <w:rsid w:val="000842F5"/>
    <w:rsid w:val="000878AC"/>
    <w:rsid w:val="00093103"/>
    <w:rsid w:val="000A4398"/>
    <w:rsid w:val="000B0816"/>
    <w:rsid w:val="000B6D8D"/>
    <w:rsid w:val="000C0B46"/>
    <w:rsid w:val="000C4820"/>
    <w:rsid w:val="000C4DE8"/>
    <w:rsid w:val="000C5428"/>
    <w:rsid w:val="000C6B29"/>
    <w:rsid w:val="000C764D"/>
    <w:rsid w:val="000D4FF2"/>
    <w:rsid w:val="000D67D6"/>
    <w:rsid w:val="000E11ED"/>
    <w:rsid w:val="000E38AD"/>
    <w:rsid w:val="000E48CF"/>
    <w:rsid w:val="000F2A4C"/>
    <w:rsid w:val="000F34EC"/>
    <w:rsid w:val="000F473E"/>
    <w:rsid w:val="001065D6"/>
    <w:rsid w:val="001072FE"/>
    <w:rsid w:val="001154AC"/>
    <w:rsid w:val="00123105"/>
    <w:rsid w:val="00124621"/>
    <w:rsid w:val="001320D4"/>
    <w:rsid w:val="001334A6"/>
    <w:rsid w:val="00136696"/>
    <w:rsid w:val="00137F67"/>
    <w:rsid w:val="0014041A"/>
    <w:rsid w:val="00152A67"/>
    <w:rsid w:val="00152CBA"/>
    <w:rsid w:val="00154384"/>
    <w:rsid w:val="001544C6"/>
    <w:rsid w:val="0015583C"/>
    <w:rsid w:val="0015631D"/>
    <w:rsid w:val="0015706D"/>
    <w:rsid w:val="00157948"/>
    <w:rsid w:val="0016147B"/>
    <w:rsid w:val="001616EE"/>
    <w:rsid w:val="00171BD0"/>
    <w:rsid w:val="001736C0"/>
    <w:rsid w:val="001736CC"/>
    <w:rsid w:val="001753CF"/>
    <w:rsid w:val="00177D3D"/>
    <w:rsid w:val="00180150"/>
    <w:rsid w:val="00183684"/>
    <w:rsid w:val="0018485D"/>
    <w:rsid w:val="00186B13"/>
    <w:rsid w:val="00192E76"/>
    <w:rsid w:val="00193C8B"/>
    <w:rsid w:val="0019669C"/>
    <w:rsid w:val="001A0501"/>
    <w:rsid w:val="001A1059"/>
    <w:rsid w:val="001A2301"/>
    <w:rsid w:val="001B5217"/>
    <w:rsid w:val="001C3192"/>
    <w:rsid w:val="001C5E18"/>
    <w:rsid w:val="001C6A82"/>
    <w:rsid w:val="001E0435"/>
    <w:rsid w:val="001E19D2"/>
    <w:rsid w:val="001E216A"/>
    <w:rsid w:val="001E5837"/>
    <w:rsid w:val="001F1964"/>
    <w:rsid w:val="001F4AC2"/>
    <w:rsid w:val="001F4CE3"/>
    <w:rsid w:val="001F5CBF"/>
    <w:rsid w:val="0020231F"/>
    <w:rsid w:val="00203BA9"/>
    <w:rsid w:val="0020638B"/>
    <w:rsid w:val="00207096"/>
    <w:rsid w:val="002163BE"/>
    <w:rsid w:val="0021752D"/>
    <w:rsid w:val="00217577"/>
    <w:rsid w:val="00225CED"/>
    <w:rsid w:val="00235DB6"/>
    <w:rsid w:val="00236B99"/>
    <w:rsid w:val="002372BD"/>
    <w:rsid w:val="00240228"/>
    <w:rsid w:val="002429CC"/>
    <w:rsid w:val="00250443"/>
    <w:rsid w:val="0025083B"/>
    <w:rsid w:val="00251496"/>
    <w:rsid w:val="00251BE9"/>
    <w:rsid w:val="00260D1A"/>
    <w:rsid w:val="002654A3"/>
    <w:rsid w:val="002751FF"/>
    <w:rsid w:val="0027774F"/>
    <w:rsid w:val="00281037"/>
    <w:rsid w:val="00282BF4"/>
    <w:rsid w:val="00283352"/>
    <w:rsid w:val="00286A94"/>
    <w:rsid w:val="0029171D"/>
    <w:rsid w:val="00292D2C"/>
    <w:rsid w:val="00294BD9"/>
    <w:rsid w:val="002A4566"/>
    <w:rsid w:val="002A5E10"/>
    <w:rsid w:val="002A6E80"/>
    <w:rsid w:val="002B49D3"/>
    <w:rsid w:val="002B7A51"/>
    <w:rsid w:val="002C0B0A"/>
    <w:rsid w:val="002C1A5C"/>
    <w:rsid w:val="002C32E5"/>
    <w:rsid w:val="002C50AC"/>
    <w:rsid w:val="002C58F9"/>
    <w:rsid w:val="002C5DEF"/>
    <w:rsid w:val="002C72E3"/>
    <w:rsid w:val="002D58EB"/>
    <w:rsid w:val="002D5E70"/>
    <w:rsid w:val="002D7A6C"/>
    <w:rsid w:val="002E59BB"/>
    <w:rsid w:val="002F3AA2"/>
    <w:rsid w:val="002F45F9"/>
    <w:rsid w:val="002F48FA"/>
    <w:rsid w:val="002F50CD"/>
    <w:rsid w:val="002F5E03"/>
    <w:rsid w:val="002F7E1D"/>
    <w:rsid w:val="00301816"/>
    <w:rsid w:val="00302283"/>
    <w:rsid w:val="00307EE5"/>
    <w:rsid w:val="0031141B"/>
    <w:rsid w:val="00312742"/>
    <w:rsid w:val="003131B5"/>
    <w:rsid w:val="00317A8D"/>
    <w:rsid w:val="00323786"/>
    <w:rsid w:val="0032441E"/>
    <w:rsid w:val="003253DA"/>
    <w:rsid w:val="00330165"/>
    <w:rsid w:val="00342D96"/>
    <w:rsid w:val="00344BA8"/>
    <w:rsid w:val="00344D6C"/>
    <w:rsid w:val="00346976"/>
    <w:rsid w:val="003475D6"/>
    <w:rsid w:val="00351951"/>
    <w:rsid w:val="00353A0E"/>
    <w:rsid w:val="003547CD"/>
    <w:rsid w:val="00355D13"/>
    <w:rsid w:val="00361130"/>
    <w:rsid w:val="00362E5C"/>
    <w:rsid w:val="00371945"/>
    <w:rsid w:val="00372DF8"/>
    <w:rsid w:val="00373BE1"/>
    <w:rsid w:val="00382D95"/>
    <w:rsid w:val="00383E85"/>
    <w:rsid w:val="003841FC"/>
    <w:rsid w:val="0039296B"/>
    <w:rsid w:val="00395C83"/>
    <w:rsid w:val="003A2F94"/>
    <w:rsid w:val="003A7E53"/>
    <w:rsid w:val="003B23DD"/>
    <w:rsid w:val="003B44A6"/>
    <w:rsid w:val="003B59E1"/>
    <w:rsid w:val="003B6032"/>
    <w:rsid w:val="003B6478"/>
    <w:rsid w:val="003C3FA0"/>
    <w:rsid w:val="003C4993"/>
    <w:rsid w:val="003D0C84"/>
    <w:rsid w:val="003D1277"/>
    <w:rsid w:val="003D2198"/>
    <w:rsid w:val="003D740B"/>
    <w:rsid w:val="003D7E58"/>
    <w:rsid w:val="003E00DA"/>
    <w:rsid w:val="003E18A2"/>
    <w:rsid w:val="003E55A9"/>
    <w:rsid w:val="003F44E4"/>
    <w:rsid w:val="003F7312"/>
    <w:rsid w:val="00404B4A"/>
    <w:rsid w:val="00411D9E"/>
    <w:rsid w:val="00412E5C"/>
    <w:rsid w:val="004150F6"/>
    <w:rsid w:val="00415640"/>
    <w:rsid w:val="00420188"/>
    <w:rsid w:val="00420354"/>
    <w:rsid w:val="00427D73"/>
    <w:rsid w:val="00442B2A"/>
    <w:rsid w:val="00444B8B"/>
    <w:rsid w:val="00447583"/>
    <w:rsid w:val="00447970"/>
    <w:rsid w:val="0045174A"/>
    <w:rsid w:val="00461D4E"/>
    <w:rsid w:val="00463B43"/>
    <w:rsid w:val="00466336"/>
    <w:rsid w:val="004708C8"/>
    <w:rsid w:val="00472CF8"/>
    <w:rsid w:val="00473BB2"/>
    <w:rsid w:val="0047455C"/>
    <w:rsid w:val="00474F36"/>
    <w:rsid w:val="0047695E"/>
    <w:rsid w:val="00476E02"/>
    <w:rsid w:val="00484A46"/>
    <w:rsid w:val="00485C0F"/>
    <w:rsid w:val="00490009"/>
    <w:rsid w:val="004932BF"/>
    <w:rsid w:val="004966F3"/>
    <w:rsid w:val="00497AED"/>
    <w:rsid w:val="004A2B04"/>
    <w:rsid w:val="004A7566"/>
    <w:rsid w:val="004B3160"/>
    <w:rsid w:val="004B3B91"/>
    <w:rsid w:val="004B4FB0"/>
    <w:rsid w:val="004C0595"/>
    <w:rsid w:val="004C1A2C"/>
    <w:rsid w:val="004C4A7A"/>
    <w:rsid w:val="004C51E7"/>
    <w:rsid w:val="004C6B19"/>
    <w:rsid w:val="004C7B7F"/>
    <w:rsid w:val="004D05F1"/>
    <w:rsid w:val="004D2561"/>
    <w:rsid w:val="004D42E8"/>
    <w:rsid w:val="004D439C"/>
    <w:rsid w:val="004D5375"/>
    <w:rsid w:val="004D6263"/>
    <w:rsid w:val="004D6921"/>
    <w:rsid w:val="004E199E"/>
    <w:rsid w:val="004E2F17"/>
    <w:rsid w:val="004E35CA"/>
    <w:rsid w:val="004E6B59"/>
    <w:rsid w:val="004E7BDA"/>
    <w:rsid w:val="004F0B69"/>
    <w:rsid w:val="004F3C38"/>
    <w:rsid w:val="004F45FC"/>
    <w:rsid w:val="00505808"/>
    <w:rsid w:val="0050659C"/>
    <w:rsid w:val="00535ED5"/>
    <w:rsid w:val="00536158"/>
    <w:rsid w:val="005371ED"/>
    <w:rsid w:val="00537EB7"/>
    <w:rsid w:val="00540182"/>
    <w:rsid w:val="0054361E"/>
    <w:rsid w:val="005443BB"/>
    <w:rsid w:val="0055184C"/>
    <w:rsid w:val="00553321"/>
    <w:rsid w:val="00563BA9"/>
    <w:rsid w:val="00564869"/>
    <w:rsid w:val="00565455"/>
    <w:rsid w:val="00577186"/>
    <w:rsid w:val="00586847"/>
    <w:rsid w:val="005901E8"/>
    <w:rsid w:val="00591B66"/>
    <w:rsid w:val="0059297F"/>
    <w:rsid w:val="00593E61"/>
    <w:rsid w:val="00596650"/>
    <w:rsid w:val="005A0A59"/>
    <w:rsid w:val="005A736F"/>
    <w:rsid w:val="005A7EE8"/>
    <w:rsid w:val="005B0A5B"/>
    <w:rsid w:val="005C5EAA"/>
    <w:rsid w:val="005C625B"/>
    <w:rsid w:val="005C7717"/>
    <w:rsid w:val="005D0513"/>
    <w:rsid w:val="005D2992"/>
    <w:rsid w:val="005D53FB"/>
    <w:rsid w:val="005E2777"/>
    <w:rsid w:val="005E2D17"/>
    <w:rsid w:val="005E78E4"/>
    <w:rsid w:val="005F19CA"/>
    <w:rsid w:val="006029D4"/>
    <w:rsid w:val="006044C7"/>
    <w:rsid w:val="00604D4E"/>
    <w:rsid w:val="00604F74"/>
    <w:rsid w:val="006064DE"/>
    <w:rsid w:val="00610FC6"/>
    <w:rsid w:val="0061120B"/>
    <w:rsid w:val="00611D11"/>
    <w:rsid w:val="0061278F"/>
    <w:rsid w:val="00620A4C"/>
    <w:rsid w:val="00621901"/>
    <w:rsid w:val="00621C02"/>
    <w:rsid w:val="006232ED"/>
    <w:rsid w:val="00623E94"/>
    <w:rsid w:val="0062484A"/>
    <w:rsid w:val="00624892"/>
    <w:rsid w:val="006258D5"/>
    <w:rsid w:val="00626338"/>
    <w:rsid w:val="00626571"/>
    <w:rsid w:val="0062682D"/>
    <w:rsid w:val="00630106"/>
    <w:rsid w:val="00630C80"/>
    <w:rsid w:val="006314C2"/>
    <w:rsid w:val="006325BD"/>
    <w:rsid w:val="00632698"/>
    <w:rsid w:val="006330D8"/>
    <w:rsid w:val="00637335"/>
    <w:rsid w:val="00641DB5"/>
    <w:rsid w:val="00645748"/>
    <w:rsid w:val="006508EC"/>
    <w:rsid w:val="00656315"/>
    <w:rsid w:val="0066099E"/>
    <w:rsid w:val="0066259D"/>
    <w:rsid w:val="006669B2"/>
    <w:rsid w:val="00667CFF"/>
    <w:rsid w:val="00676D7E"/>
    <w:rsid w:val="00677406"/>
    <w:rsid w:val="006803B0"/>
    <w:rsid w:val="00681483"/>
    <w:rsid w:val="00682156"/>
    <w:rsid w:val="0068417E"/>
    <w:rsid w:val="00685353"/>
    <w:rsid w:val="00697649"/>
    <w:rsid w:val="00697EF4"/>
    <w:rsid w:val="006A31CA"/>
    <w:rsid w:val="006A4D71"/>
    <w:rsid w:val="006B16C9"/>
    <w:rsid w:val="006B2407"/>
    <w:rsid w:val="006B3C34"/>
    <w:rsid w:val="006B4115"/>
    <w:rsid w:val="006C068B"/>
    <w:rsid w:val="006C2C1E"/>
    <w:rsid w:val="006C451E"/>
    <w:rsid w:val="006D3B8A"/>
    <w:rsid w:val="006D4DBC"/>
    <w:rsid w:val="006D5BD9"/>
    <w:rsid w:val="006E001D"/>
    <w:rsid w:val="006E0600"/>
    <w:rsid w:val="006E1118"/>
    <w:rsid w:val="006E18F5"/>
    <w:rsid w:val="006F174E"/>
    <w:rsid w:val="006F21C4"/>
    <w:rsid w:val="006F2FB7"/>
    <w:rsid w:val="006F3634"/>
    <w:rsid w:val="006F425F"/>
    <w:rsid w:val="007040F4"/>
    <w:rsid w:val="00713C80"/>
    <w:rsid w:val="00713E46"/>
    <w:rsid w:val="007141F4"/>
    <w:rsid w:val="00714CD6"/>
    <w:rsid w:val="007156BC"/>
    <w:rsid w:val="00715D6B"/>
    <w:rsid w:val="00723122"/>
    <w:rsid w:val="0072322C"/>
    <w:rsid w:val="00725148"/>
    <w:rsid w:val="00733265"/>
    <w:rsid w:val="007341EA"/>
    <w:rsid w:val="00736F4F"/>
    <w:rsid w:val="00737898"/>
    <w:rsid w:val="007427BD"/>
    <w:rsid w:val="007465B9"/>
    <w:rsid w:val="0075027C"/>
    <w:rsid w:val="00752D03"/>
    <w:rsid w:val="00752D25"/>
    <w:rsid w:val="007532D6"/>
    <w:rsid w:val="00755D03"/>
    <w:rsid w:val="007608AD"/>
    <w:rsid w:val="0076207F"/>
    <w:rsid w:val="0076271E"/>
    <w:rsid w:val="00763C9C"/>
    <w:rsid w:val="00763EA7"/>
    <w:rsid w:val="007757F1"/>
    <w:rsid w:val="00775D54"/>
    <w:rsid w:val="00780A61"/>
    <w:rsid w:val="00780B9C"/>
    <w:rsid w:val="00782605"/>
    <w:rsid w:val="00782E48"/>
    <w:rsid w:val="00792D75"/>
    <w:rsid w:val="00793531"/>
    <w:rsid w:val="0079558F"/>
    <w:rsid w:val="007958E7"/>
    <w:rsid w:val="007A1DAD"/>
    <w:rsid w:val="007B66CE"/>
    <w:rsid w:val="007B7C24"/>
    <w:rsid w:val="007D045B"/>
    <w:rsid w:val="007D38C3"/>
    <w:rsid w:val="007D39B1"/>
    <w:rsid w:val="007D4647"/>
    <w:rsid w:val="007D508B"/>
    <w:rsid w:val="007F0655"/>
    <w:rsid w:val="007F7F51"/>
    <w:rsid w:val="008008F7"/>
    <w:rsid w:val="00813F86"/>
    <w:rsid w:val="00814A55"/>
    <w:rsid w:val="00816D49"/>
    <w:rsid w:val="0081787B"/>
    <w:rsid w:val="00821A7B"/>
    <w:rsid w:val="008226FE"/>
    <w:rsid w:val="00824416"/>
    <w:rsid w:val="00830607"/>
    <w:rsid w:val="0083312D"/>
    <w:rsid w:val="00834C74"/>
    <w:rsid w:val="00836F49"/>
    <w:rsid w:val="00842C58"/>
    <w:rsid w:val="0084577B"/>
    <w:rsid w:val="00851775"/>
    <w:rsid w:val="00855BCA"/>
    <w:rsid w:val="008561A7"/>
    <w:rsid w:val="0086153D"/>
    <w:rsid w:val="00862D0A"/>
    <w:rsid w:val="008809A7"/>
    <w:rsid w:val="00880D23"/>
    <w:rsid w:val="00894BBE"/>
    <w:rsid w:val="008A1F66"/>
    <w:rsid w:val="008B0CB9"/>
    <w:rsid w:val="008B2298"/>
    <w:rsid w:val="008B2CF8"/>
    <w:rsid w:val="008B4387"/>
    <w:rsid w:val="008C3A7F"/>
    <w:rsid w:val="008C54B0"/>
    <w:rsid w:val="008C60B1"/>
    <w:rsid w:val="008D131A"/>
    <w:rsid w:val="008D14E6"/>
    <w:rsid w:val="008D4BA0"/>
    <w:rsid w:val="008D53C5"/>
    <w:rsid w:val="008D62A2"/>
    <w:rsid w:val="008E1EA7"/>
    <w:rsid w:val="008E6203"/>
    <w:rsid w:val="008F0ED7"/>
    <w:rsid w:val="008F61DD"/>
    <w:rsid w:val="00900A93"/>
    <w:rsid w:val="009129EC"/>
    <w:rsid w:val="00914441"/>
    <w:rsid w:val="009160A1"/>
    <w:rsid w:val="00917127"/>
    <w:rsid w:val="00917D2A"/>
    <w:rsid w:val="0092185A"/>
    <w:rsid w:val="00924D8C"/>
    <w:rsid w:val="0093159A"/>
    <w:rsid w:val="00932A73"/>
    <w:rsid w:val="009357AC"/>
    <w:rsid w:val="009374F3"/>
    <w:rsid w:val="00940189"/>
    <w:rsid w:val="0094111F"/>
    <w:rsid w:val="009437A2"/>
    <w:rsid w:val="00944B26"/>
    <w:rsid w:val="00946572"/>
    <w:rsid w:val="0096176E"/>
    <w:rsid w:val="009629D2"/>
    <w:rsid w:val="0096320D"/>
    <w:rsid w:val="009651E9"/>
    <w:rsid w:val="009656AE"/>
    <w:rsid w:val="00966658"/>
    <w:rsid w:val="00966A00"/>
    <w:rsid w:val="00967B49"/>
    <w:rsid w:val="00972B03"/>
    <w:rsid w:val="009752C2"/>
    <w:rsid w:val="00977092"/>
    <w:rsid w:val="009816C3"/>
    <w:rsid w:val="00983C3D"/>
    <w:rsid w:val="009A0844"/>
    <w:rsid w:val="009A16A1"/>
    <w:rsid w:val="009A214B"/>
    <w:rsid w:val="009A3765"/>
    <w:rsid w:val="009A4783"/>
    <w:rsid w:val="009A57ED"/>
    <w:rsid w:val="009A6D73"/>
    <w:rsid w:val="009A7267"/>
    <w:rsid w:val="009B1579"/>
    <w:rsid w:val="009B4175"/>
    <w:rsid w:val="009C26AF"/>
    <w:rsid w:val="009C7FE6"/>
    <w:rsid w:val="009D064B"/>
    <w:rsid w:val="009D29FC"/>
    <w:rsid w:val="009D3848"/>
    <w:rsid w:val="009D762B"/>
    <w:rsid w:val="009E6306"/>
    <w:rsid w:val="009F2416"/>
    <w:rsid w:val="009F2B52"/>
    <w:rsid w:val="009F3198"/>
    <w:rsid w:val="009F353F"/>
    <w:rsid w:val="009F5652"/>
    <w:rsid w:val="00A15D32"/>
    <w:rsid w:val="00A2229B"/>
    <w:rsid w:val="00A23023"/>
    <w:rsid w:val="00A274A4"/>
    <w:rsid w:val="00A41AD1"/>
    <w:rsid w:val="00A42C0F"/>
    <w:rsid w:val="00A43019"/>
    <w:rsid w:val="00A461B7"/>
    <w:rsid w:val="00A4635E"/>
    <w:rsid w:val="00A47BCD"/>
    <w:rsid w:val="00A55CB5"/>
    <w:rsid w:val="00A60DA7"/>
    <w:rsid w:val="00A62257"/>
    <w:rsid w:val="00A6475E"/>
    <w:rsid w:val="00A667D6"/>
    <w:rsid w:val="00A67A54"/>
    <w:rsid w:val="00A74656"/>
    <w:rsid w:val="00A74E96"/>
    <w:rsid w:val="00A77752"/>
    <w:rsid w:val="00A8031F"/>
    <w:rsid w:val="00A82C6F"/>
    <w:rsid w:val="00A87598"/>
    <w:rsid w:val="00A95E52"/>
    <w:rsid w:val="00A9682F"/>
    <w:rsid w:val="00AA5216"/>
    <w:rsid w:val="00AB1966"/>
    <w:rsid w:val="00AB6101"/>
    <w:rsid w:val="00AB6A7D"/>
    <w:rsid w:val="00AC6565"/>
    <w:rsid w:val="00AD2D6F"/>
    <w:rsid w:val="00AD47EF"/>
    <w:rsid w:val="00AD6706"/>
    <w:rsid w:val="00AE3310"/>
    <w:rsid w:val="00AF0D24"/>
    <w:rsid w:val="00AF3F07"/>
    <w:rsid w:val="00AF713C"/>
    <w:rsid w:val="00AF7E3A"/>
    <w:rsid w:val="00B00981"/>
    <w:rsid w:val="00B02196"/>
    <w:rsid w:val="00B043CB"/>
    <w:rsid w:val="00B05C4D"/>
    <w:rsid w:val="00B06626"/>
    <w:rsid w:val="00B166CA"/>
    <w:rsid w:val="00B177C6"/>
    <w:rsid w:val="00B17A99"/>
    <w:rsid w:val="00B21220"/>
    <w:rsid w:val="00B21CCB"/>
    <w:rsid w:val="00B22EED"/>
    <w:rsid w:val="00B22FA4"/>
    <w:rsid w:val="00B22FE2"/>
    <w:rsid w:val="00B25597"/>
    <w:rsid w:val="00B26D26"/>
    <w:rsid w:val="00B33BAA"/>
    <w:rsid w:val="00B44C68"/>
    <w:rsid w:val="00B52DF5"/>
    <w:rsid w:val="00B54405"/>
    <w:rsid w:val="00B563CA"/>
    <w:rsid w:val="00B5769E"/>
    <w:rsid w:val="00B618C6"/>
    <w:rsid w:val="00B62BCF"/>
    <w:rsid w:val="00B75353"/>
    <w:rsid w:val="00B768B4"/>
    <w:rsid w:val="00B85633"/>
    <w:rsid w:val="00B87EE4"/>
    <w:rsid w:val="00B87FAA"/>
    <w:rsid w:val="00B92E03"/>
    <w:rsid w:val="00B9372D"/>
    <w:rsid w:val="00B944F3"/>
    <w:rsid w:val="00B970FB"/>
    <w:rsid w:val="00BA3B27"/>
    <w:rsid w:val="00BA516C"/>
    <w:rsid w:val="00BA6B0D"/>
    <w:rsid w:val="00BA7515"/>
    <w:rsid w:val="00BB0B77"/>
    <w:rsid w:val="00BB14D1"/>
    <w:rsid w:val="00BC18A0"/>
    <w:rsid w:val="00BC2EDC"/>
    <w:rsid w:val="00BD0D9B"/>
    <w:rsid w:val="00BE473F"/>
    <w:rsid w:val="00BE5956"/>
    <w:rsid w:val="00BF1438"/>
    <w:rsid w:val="00BF2F34"/>
    <w:rsid w:val="00BF56D9"/>
    <w:rsid w:val="00C007BD"/>
    <w:rsid w:val="00C045AD"/>
    <w:rsid w:val="00C065D9"/>
    <w:rsid w:val="00C07F2F"/>
    <w:rsid w:val="00C10999"/>
    <w:rsid w:val="00C11FF0"/>
    <w:rsid w:val="00C23E31"/>
    <w:rsid w:val="00C24654"/>
    <w:rsid w:val="00C25657"/>
    <w:rsid w:val="00C41751"/>
    <w:rsid w:val="00C45102"/>
    <w:rsid w:val="00C47758"/>
    <w:rsid w:val="00C52D41"/>
    <w:rsid w:val="00C53467"/>
    <w:rsid w:val="00C57FA3"/>
    <w:rsid w:val="00C654F0"/>
    <w:rsid w:val="00C67A53"/>
    <w:rsid w:val="00C71DD3"/>
    <w:rsid w:val="00C731AE"/>
    <w:rsid w:val="00C75AD9"/>
    <w:rsid w:val="00C76DB0"/>
    <w:rsid w:val="00C81DF7"/>
    <w:rsid w:val="00C841AC"/>
    <w:rsid w:val="00C87492"/>
    <w:rsid w:val="00C913F7"/>
    <w:rsid w:val="00C92896"/>
    <w:rsid w:val="00C92E6A"/>
    <w:rsid w:val="00C93B1D"/>
    <w:rsid w:val="00C94570"/>
    <w:rsid w:val="00CA69A8"/>
    <w:rsid w:val="00CB0507"/>
    <w:rsid w:val="00CB1E87"/>
    <w:rsid w:val="00CB2B01"/>
    <w:rsid w:val="00CB741D"/>
    <w:rsid w:val="00CC33C3"/>
    <w:rsid w:val="00CC3769"/>
    <w:rsid w:val="00CC3AEE"/>
    <w:rsid w:val="00CD1620"/>
    <w:rsid w:val="00CD34C3"/>
    <w:rsid w:val="00CD4BB5"/>
    <w:rsid w:val="00CE10BB"/>
    <w:rsid w:val="00CE3370"/>
    <w:rsid w:val="00CE43BB"/>
    <w:rsid w:val="00CE67A8"/>
    <w:rsid w:val="00D024A4"/>
    <w:rsid w:val="00D1134B"/>
    <w:rsid w:val="00D16621"/>
    <w:rsid w:val="00D17305"/>
    <w:rsid w:val="00D17CDA"/>
    <w:rsid w:val="00D24C59"/>
    <w:rsid w:val="00D26E73"/>
    <w:rsid w:val="00D30A8A"/>
    <w:rsid w:val="00D4136A"/>
    <w:rsid w:val="00D41DB7"/>
    <w:rsid w:val="00D42ED2"/>
    <w:rsid w:val="00D435F9"/>
    <w:rsid w:val="00D437C9"/>
    <w:rsid w:val="00D53E3A"/>
    <w:rsid w:val="00D554E3"/>
    <w:rsid w:val="00D704CF"/>
    <w:rsid w:val="00D727C2"/>
    <w:rsid w:val="00D75A1F"/>
    <w:rsid w:val="00D7652B"/>
    <w:rsid w:val="00D76BDE"/>
    <w:rsid w:val="00D83F78"/>
    <w:rsid w:val="00D8585B"/>
    <w:rsid w:val="00D86779"/>
    <w:rsid w:val="00D87072"/>
    <w:rsid w:val="00D90714"/>
    <w:rsid w:val="00D90CE8"/>
    <w:rsid w:val="00D9335D"/>
    <w:rsid w:val="00D93F3E"/>
    <w:rsid w:val="00DA0550"/>
    <w:rsid w:val="00DA0978"/>
    <w:rsid w:val="00DA1ED4"/>
    <w:rsid w:val="00DA6A8C"/>
    <w:rsid w:val="00DB325C"/>
    <w:rsid w:val="00DB5358"/>
    <w:rsid w:val="00DB6DEC"/>
    <w:rsid w:val="00DC2C93"/>
    <w:rsid w:val="00DC60BD"/>
    <w:rsid w:val="00DD02DC"/>
    <w:rsid w:val="00DD09F0"/>
    <w:rsid w:val="00DD277D"/>
    <w:rsid w:val="00DD73E9"/>
    <w:rsid w:val="00DE453D"/>
    <w:rsid w:val="00DF159F"/>
    <w:rsid w:val="00DF1F33"/>
    <w:rsid w:val="00DF4101"/>
    <w:rsid w:val="00E03677"/>
    <w:rsid w:val="00E0588A"/>
    <w:rsid w:val="00E07D3E"/>
    <w:rsid w:val="00E10138"/>
    <w:rsid w:val="00E11892"/>
    <w:rsid w:val="00E13C90"/>
    <w:rsid w:val="00E1690A"/>
    <w:rsid w:val="00E21A17"/>
    <w:rsid w:val="00E228C7"/>
    <w:rsid w:val="00E31DB7"/>
    <w:rsid w:val="00E36ECE"/>
    <w:rsid w:val="00E371D5"/>
    <w:rsid w:val="00E440D4"/>
    <w:rsid w:val="00E462B1"/>
    <w:rsid w:val="00E53A27"/>
    <w:rsid w:val="00E544FD"/>
    <w:rsid w:val="00E5474B"/>
    <w:rsid w:val="00E55611"/>
    <w:rsid w:val="00E674B3"/>
    <w:rsid w:val="00E72EF2"/>
    <w:rsid w:val="00E744BB"/>
    <w:rsid w:val="00E824E8"/>
    <w:rsid w:val="00E82519"/>
    <w:rsid w:val="00E853D4"/>
    <w:rsid w:val="00E86B36"/>
    <w:rsid w:val="00E86B6E"/>
    <w:rsid w:val="00E962C3"/>
    <w:rsid w:val="00EA0169"/>
    <w:rsid w:val="00EA18ED"/>
    <w:rsid w:val="00EB4474"/>
    <w:rsid w:val="00EC32FB"/>
    <w:rsid w:val="00EC6553"/>
    <w:rsid w:val="00EC67A2"/>
    <w:rsid w:val="00EC7501"/>
    <w:rsid w:val="00ED32FB"/>
    <w:rsid w:val="00ED53A9"/>
    <w:rsid w:val="00ED5F8F"/>
    <w:rsid w:val="00EE1366"/>
    <w:rsid w:val="00EE2710"/>
    <w:rsid w:val="00EE7F7E"/>
    <w:rsid w:val="00EF6D58"/>
    <w:rsid w:val="00EF79F8"/>
    <w:rsid w:val="00F00C20"/>
    <w:rsid w:val="00F03525"/>
    <w:rsid w:val="00F06A68"/>
    <w:rsid w:val="00F131BC"/>
    <w:rsid w:val="00F17F59"/>
    <w:rsid w:val="00F21210"/>
    <w:rsid w:val="00F32376"/>
    <w:rsid w:val="00F34802"/>
    <w:rsid w:val="00F35423"/>
    <w:rsid w:val="00F43754"/>
    <w:rsid w:val="00F4749F"/>
    <w:rsid w:val="00F5016F"/>
    <w:rsid w:val="00F52564"/>
    <w:rsid w:val="00F567FA"/>
    <w:rsid w:val="00F60A46"/>
    <w:rsid w:val="00F624BF"/>
    <w:rsid w:val="00F63890"/>
    <w:rsid w:val="00F7363E"/>
    <w:rsid w:val="00F83492"/>
    <w:rsid w:val="00F8352D"/>
    <w:rsid w:val="00F90C1F"/>
    <w:rsid w:val="00F93F99"/>
    <w:rsid w:val="00F97052"/>
    <w:rsid w:val="00FA0EC0"/>
    <w:rsid w:val="00FA139F"/>
    <w:rsid w:val="00FA3B7D"/>
    <w:rsid w:val="00FA57B7"/>
    <w:rsid w:val="00FA588C"/>
    <w:rsid w:val="00FA5E13"/>
    <w:rsid w:val="00FB0098"/>
    <w:rsid w:val="00FB0721"/>
    <w:rsid w:val="00FB07BC"/>
    <w:rsid w:val="00FB25EE"/>
    <w:rsid w:val="00FB4132"/>
    <w:rsid w:val="00FB5EFE"/>
    <w:rsid w:val="00FC2422"/>
    <w:rsid w:val="00FC313B"/>
    <w:rsid w:val="00FC5366"/>
    <w:rsid w:val="00FD358F"/>
    <w:rsid w:val="00FD4AE9"/>
    <w:rsid w:val="00FD643E"/>
    <w:rsid w:val="00FE16CB"/>
    <w:rsid w:val="00FE3D9C"/>
    <w:rsid w:val="00FF3276"/>
    <w:rsid w:val="00FF6089"/>
    <w:rsid w:val="00FF61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C2CD"/>
  <w15:docId w15:val="{CA219AC0-0A3E-4252-8610-EBED86A3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607"/>
    <w:pPr>
      <w:jc w:val="both"/>
    </w:pPr>
    <w:rPr>
      <w:rFonts w:ascii="Times New Roman" w:hAnsi="Times New Roman"/>
      <w:sz w:val="24"/>
    </w:rPr>
  </w:style>
  <w:style w:type="paragraph" w:styleId="Titre1">
    <w:name w:val="heading 1"/>
    <w:basedOn w:val="Normal"/>
    <w:next w:val="Normal"/>
    <w:link w:val="Titre1Car"/>
    <w:uiPriority w:val="9"/>
    <w:qFormat/>
    <w:rsid w:val="003C4993"/>
    <w:pPr>
      <w:keepNext/>
      <w:keepLines/>
      <w:numPr>
        <w:numId w:val="18"/>
      </w:numPr>
      <w:spacing w:before="240" w:after="0"/>
      <w:outlineLvl w:val="0"/>
    </w:pPr>
    <w:rPr>
      <w:rFonts w:eastAsiaTheme="majorEastAsia" w:cstheme="majorBidi"/>
      <w:b/>
      <w:caps/>
      <w:sz w:val="28"/>
      <w:szCs w:val="32"/>
    </w:rPr>
  </w:style>
  <w:style w:type="paragraph" w:styleId="Titre2">
    <w:name w:val="heading 2"/>
    <w:basedOn w:val="Normal"/>
    <w:next w:val="Normal"/>
    <w:link w:val="Titre2Car"/>
    <w:uiPriority w:val="9"/>
    <w:qFormat/>
    <w:rsid w:val="003C4993"/>
    <w:pPr>
      <w:numPr>
        <w:ilvl w:val="1"/>
        <w:numId w:val="18"/>
      </w:numPr>
      <w:spacing w:before="363" w:after="363" w:line="240" w:lineRule="auto"/>
      <w:outlineLvl w:val="1"/>
    </w:pPr>
    <w:rPr>
      <w:rFonts w:eastAsia="Times New Roman" w:cs="Times New Roman"/>
      <w:b/>
      <w:bCs/>
      <w:szCs w:val="36"/>
      <w:u w:val="single"/>
      <w:lang w:eastAsia="fr-FR"/>
    </w:rPr>
  </w:style>
  <w:style w:type="paragraph" w:styleId="Titre3">
    <w:name w:val="heading 3"/>
    <w:basedOn w:val="Normal"/>
    <w:next w:val="Normal"/>
    <w:link w:val="Titre3Car"/>
    <w:uiPriority w:val="9"/>
    <w:unhideWhenUsed/>
    <w:qFormat/>
    <w:rsid w:val="00342D96"/>
    <w:pPr>
      <w:keepNext/>
      <w:keepLines/>
      <w:numPr>
        <w:ilvl w:val="2"/>
        <w:numId w:val="18"/>
      </w:numPr>
      <w:spacing w:before="40" w:after="0"/>
      <w:outlineLvl w:val="2"/>
    </w:pPr>
    <w:rPr>
      <w:rFonts w:eastAsiaTheme="majorEastAsia" w:cstheme="majorBidi"/>
      <w:color w:val="000000" w:themeColor="text1"/>
      <w:szCs w:val="24"/>
    </w:rPr>
  </w:style>
  <w:style w:type="paragraph" w:styleId="Titre4">
    <w:name w:val="heading 4"/>
    <w:basedOn w:val="Normal"/>
    <w:next w:val="Normal"/>
    <w:link w:val="Titre4Car"/>
    <w:uiPriority w:val="9"/>
    <w:semiHidden/>
    <w:unhideWhenUsed/>
    <w:qFormat/>
    <w:rsid w:val="00E824E8"/>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824E8"/>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824E8"/>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824E8"/>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824E8"/>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824E8"/>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610FC6"/>
    <w:pPr>
      <w:spacing w:before="100" w:beforeAutospacing="1" w:after="100" w:afterAutospacing="1" w:line="240" w:lineRule="auto"/>
    </w:pPr>
    <w:rPr>
      <w:rFonts w:eastAsia="Times New Roman" w:cs="Times New Roman"/>
      <w:szCs w:val="24"/>
      <w:lang w:eastAsia="fr-FR"/>
    </w:rPr>
  </w:style>
  <w:style w:type="character" w:styleId="lev">
    <w:name w:val="Strong"/>
    <w:basedOn w:val="Policepardfaut"/>
    <w:uiPriority w:val="22"/>
    <w:qFormat/>
    <w:rsid w:val="00610FC6"/>
    <w:rPr>
      <w:b/>
      <w:bCs/>
    </w:rPr>
  </w:style>
  <w:style w:type="paragraph" w:styleId="NormalWeb">
    <w:name w:val="Normal (Web)"/>
    <w:basedOn w:val="Normal"/>
    <w:uiPriority w:val="99"/>
    <w:unhideWhenUsed/>
    <w:rsid w:val="00610FC6"/>
    <w:pPr>
      <w:spacing w:before="100" w:beforeAutospacing="1" w:after="100" w:afterAutospacing="1" w:line="240" w:lineRule="auto"/>
    </w:pPr>
    <w:rPr>
      <w:rFonts w:eastAsia="Times New Roman" w:cs="Times New Roman"/>
      <w:szCs w:val="24"/>
      <w:lang w:eastAsia="fr-FR"/>
    </w:rPr>
  </w:style>
  <w:style w:type="character" w:styleId="Lienhypertexte">
    <w:name w:val="Hyperlink"/>
    <w:basedOn w:val="Policepardfaut"/>
    <w:uiPriority w:val="99"/>
    <w:semiHidden/>
    <w:unhideWhenUsed/>
    <w:rsid w:val="00610FC6"/>
    <w:rPr>
      <w:color w:val="0000FF"/>
      <w:u w:val="single"/>
    </w:rPr>
  </w:style>
  <w:style w:type="character" w:styleId="Marquedecommentaire">
    <w:name w:val="annotation reference"/>
    <w:basedOn w:val="Policepardfaut"/>
    <w:uiPriority w:val="99"/>
    <w:semiHidden/>
    <w:unhideWhenUsed/>
    <w:qFormat/>
    <w:rsid w:val="005B0A5B"/>
    <w:rPr>
      <w:sz w:val="16"/>
      <w:szCs w:val="16"/>
    </w:rPr>
  </w:style>
  <w:style w:type="paragraph" w:styleId="Commentaire">
    <w:name w:val="annotation text"/>
    <w:basedOn w:val="Normal"/>
    <w:link w:val="CommentaireCar"/>
    <w:uiPriority w:val="99"/>
    <w:unhideWhenUsed/>
    <w:qFormat/>
    <w:rsid w:val="005B0A5B"/>
    <w:pPr>
      <w:spacing w:line="240" w:lineRule="auto"/>
    </w:pPr>
    <w:rPr>
      <w:sz w:val="20"/>
      <w:szCs w:val="20"/>
    </w:rPr>
  </w:style>
  <w:style w:type="character" w:customStyle="1" w:styleId="CommentaireCar">
    <w:name w:val="Commentaire Car"/>
    <w:basedOn w:val="Policepardfaut"/>
    <w:link w:val="Commentaire"/>
    <w:uiPriority w:val="99"/>
    <w:qFormat/>
    <w:rsid w:val="005B0A5B"/>
    <w:rPr>
      <w:sz w:val="20"/>
      <w:szCs w:val="20"/>
    </w:rPr>
  </w:style>
  <w:style w:type="paragraph" w:styleId="Objetducommentaire">
    <w:name w:val="annotation subject"/>
    <w:basedOn w:val="Commentaire"/>
    <w:next w:val="Commentaire"/>
    <w:link w:val="ObjetducommentaireCar"/>
    <w:uiPriority w:val="99"/>
    <w:semiHidden/>
    <w:unhideWhenUsed/>
    <w:rsid w:val="005B0A5B"/>
    <w:rPr>
      <w:b/>
      <w:bCs/>
    </w:rPr>
  </w:style>
  <w:style w:type="character" w:customStyle="1" w:styleId="ObjetducommentaireCar">
    <w:name w:val="Objet du commentaire Car"/>
    <w:basedOn w:val="CommentaireCar"/>
    <w:link w:val="Objetducommentaire"/>
    <w:uiPriority w:val="99"/>
    <w:semiHidden/>
    <w:rsid w:val="005B0A5B"/>
    <w:rPr>
      <w:b/>
      <w:bCs/>
      <w:sz w:val="20"/>
      <w:szCs w:val="20"/>
    </w:rPr>
  </w:style>
  <w:style w:type="paragraph" w:styleId="Textedebulles">
    <w:name w:val="Balloon Text"/>
    <w:basedOn w:val="Normal"/>
    <w:link w:val="TextedebullesCar"/>
    <w:uiPriority w:val="99"/>
    <w:semiHidden/>
    <w:unhideWhenUsed/>
    <w:rsid w:val="005B0A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0A5B"/>
    <w:rPr>
      <w:rFonts w:ascii="Segoe UI" w:hAnsi="Segoe UI" w:cs="Segoe UI"/>
      <w:sz w:val="18"/>
      <w:szCs w:val="18"/>
    </w:rPr>
  </w:style>
  <w:style w:type="paragraph" w:styleId="Paragraphedeliste">
    <w:name w:val="List Paragraph"/>
    <w:basedOn w:val="Normal"/>
    <w:uiPriority w:val="34"/>
    <w:qFormat/>
    <w:rsid w:val="001E19D2"/>
    <w:pPr>
      <w:ind w:left="720"/>
      <w:contextualSpacing/>
    </w:pPr>
  </w:style>
  <w:style w:type="paragraph" w:styleId="Notedebasdepage">
    <w:name w:val="footnote text"/>
    <w:basedOn w:val="Normal"/>
    <w:link w:val="NotedebasdepageCar"/>
    <w:uiPriority w:val="99"/>
    <w:semiHidden/>
    <w:unhideWhenUsed/>
    <w:rsid w:val="00D83F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83F78"/>
    <w:rPr>
      <w:sz w:val="20"/>
      <w:szCs w:val="20"/>
    </w:rPr>
  </w:style>
  <w:style w:type="character" w:styleId="Appelnotedebasdep">
    <w:name w:val="footnote reference"/>
    <w:basedOn w:val="Policepardfaut"/>
    <w:uiPriority w:val="99"/>
    <w:semiHidden/>
    <w:unhideWhenUsed/>
    <w:rsid w:val="00D83F78"/>
    <w:rPr>
      <w:vertAlign w:val="superscript"/>
    </w:rPr>
  </w:style>
  <w:style w:type="paragraph" w:styleId="Corpsdetexte">
    <w:name w:val="Body Text"/>
    <w:basedOn w:val="Normal"/>
    <w:link w:val="CorpsdetexteCar"/>
    <w:rsid w:val="00D83F78"/>
    <w:pPr>
      <w:suppressAutoHyphens/>
      <w:spacing w:after="0" w:line="240" w:lineRule="auto"/>
    </w:pPr>
    <w:rPr>
      <w:rFonts w:ascii="Arial" w:eastAsia="Times New Roman" w:hAnsi="Arial" w:cs="Arial"/>
      <w:color w:val="000000"/>
      <w:sz w:val="20"/>
      <w:szCs w:val="20"/>
      <w:lang w:eastAsia="zh-CN"/>
    </w:rPr>
  </w:style>
  <w:style w:type="character" w:customStyle="1" w:styleId="CorpsdetexteCar">
    <w:name w:val="Corps de texte Car"/>
    <w:basedOn w:val="Policepardfaut"/>
    <w:link w:val="Corpsdetexte"/>
    <w:rsid w:val="00D83F78"/>
    <w:rPr>
      <w:rFonts w:ascii="Arial" w:eastAsia="Times New Roman" w:hAnsi="Arial" w:cs="Arial"/>
      <w:color w:val="000000"/>
      <w:sz w:val="20"/>
      <w:szCs w:val="20"/>
      <w:lang w:eastAsia="zh-CN"/>
    </w:rPr>
  </w:style>
  <w:style w:type="paragraph" w:styleId="Rvision">
    <w:name w:val="Revision"/>
    <w:hidden/>
    <w:uiPriority w:val="99"/>
    <w:semiHidden/>
    <w:rsid w:val="00207096"/>
    <w:pPr>
      <w:spacing w:after="0" w:line="240" w:lineRule="auto"/>
    </w:pPr>
  </w:style>
  <w:style w:type="paragraph" w:customStyle="1" w:styleId="western">
    <w:name w:val="western"/>
    <w:basedOn w:val="Normal"/>
    <w:rsid w:val="0032441E"/>
    <w:pPr>
      <w:spacing w:before="100" w:beforeAutospacing="1" w:after="119" w:line="240" w:lineRule="auto"/>
    </w:pPr>
    <w:rPr>
      <w:rFonts w:eastAsia="Times New Roman" w:cs="Times New Roman"/>
      <w:color w:val="000000"/>
      <w:szCs w:val="24"/>
      <w:lang w:eastAsia="fr-FR"/>
    </w:rPr>
  </w:style>
  <w:style w:type="table" w:styleId="Grilledutableau">
    <w:name w:val="Table Grid"/>
    <w:basedOn w:val="TableauNormal"/>
    <w:uiPriority w:val="39"/>
    <w:rsid w:val="00666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E824E8"/>
    <w:rPr>
      <w:rFonts w:ascii="Times New Roman" w:eastAsia="Times New Roman" w:hAnsi="Times New Roman" w:cs="Times New Roman"/>
      <w:b/>
      <w:bCs/>
      <w:sz w:val="24"/>
      <w:szCs w:val="36"/>
      <w:u w:val="single"/>
      <w:lang w:eastAsia="fr-FR"/>
    </w:rPr>
  </w:style>
  <w:style w:type="character" w:customStyle="1" w:styleId="Titre1Car">
    <w:name w:val="Titre 1 Car"/>
    <w:basedOn w:val="Policepardfaut"/>
    <w:link w:val="Titre1"/>
    <w:uiPriority w:val="9"/>
    <w:rsid w:val="004C7B7F"/>
    <w:rPr>
      <w:rFonts w:ascii="Times New Roman" w:eastAsiaTheme="majorEastAsia" w:hAnsi="Times New Roman" w:cstheme="majorBidi"/>
      <w:b/>
      <w:caps/>
      <w:sz w:val="28"/>
      <w:szCs w:val="32"/>
    </w:rPr>
  </w:style>
  <w:style w:type="character" w:customStyle="1" w:styleId="Titre3Car">
    <w:name w:val="Titre 3 Car"/>
    <w:basedOn w:val="Policepardfaut"/>
    <w:link w:val="Titre3"/>
    <w:uiPriority w:val="9"/>
    <w:rsid w:val="00342D96"/>
    <w:rPr>
      <w:rFonts w:ascii="Times New Roman" w:eastAsiaTheme="majorEastAsia" w:hAnsi="Times New Roman" w:cstheme="majorBidi"/>
      <w:color w:val="000000" w:themeColor="text1"/>
      <w:sz w:val="24"/>
      <w:szCs w:val="24"/>
    </w:rPr>
  </w:style>
  <w:style w:type="character" w:customStyle="1" w:styleId="Titre4Car">
    <w:name w:val="Titre 4 Car"/>
    <w:basedOn w:val="Policepardfaut"/>
    <w:link w:val="Titre4"/>
    <w:uiPriority w:val="9"/>
    <w:semiHidden/>
    <w:rsid w:val="00E824E8"/>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E824E8"/>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E824E8"/>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E824E8"/>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E824E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824E8"/>
    <w:rPr>
      <w:rFonts w:asciiTheme="majorHAnsi" w:eastAsiaTheme="majorEastAsia" w:hAnsiTheme="majorHAnsi" w:cstheme="majorBidi"/>
      <w:i/>
      <w:iCs/>
      <w:color w:val="272727" w:themeColor="text1" w:themeTint="D8"/>
      <w:sz w:val="21"/>
      <w:szCs w:val="21"/>
    </w:rPr>
  </w:style>
  <w:style w:type="numbering" w:customStyle="1" w:styleId="Numrotationarrt">
    <w:name w:val="Numérotation arrêté"/>
    <w:uiPriority w:val="99"/>
    <w:rsid w:val="003C4993"/>
    <w:pPr>
      <w:numPr>
        <w:numId w:val="17"/>
      </w:numPr>
    </w:pPr>
  </w:style>
  <w:style w:type="paragraph" w:styleId="PrformatHTML">
    <w:name w:val="HTML Preformatted"/>
    <w:basedOn w:val="Normal"/>
    <w:link w:val="PrformatHTMLCar"/>
    <w:uiPriority w:val="99"/>
    <w:unhideWhenUsed/>
    <w:rsid w:val="00FD6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FD643E"/>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DD73E9"/>
    <w:pPr>
      <w:tabs>
        <w:tab w:val="center" w:pos="4536"/>
        <w:tab w:val="right" w:pos="9072"/>
      </w:tabs>
      <w:spacing w:after="0" w:line="240" w:lineRule="auto"/>
    </w:pPr>
  </w:style>
  <w:style w:type="character" w:customStyle="1" w:styleId="En-tteCar">
    <w:name w:val="En-tête Car"/>
    <w:basedOn w:val="Policepardfaut"/>
    <w:link w:val="En-tte"/>
    <w:uiPriority w:val="99"/>
    <w:rsid w:val="00DD73E9"/>
    <w:rPr>
      <w:rFonts w:ascii="Times New Roman" w:hAnsi="Times New Roman"/>
      <w:sz w:val="24"/>
    </w:rPr>
  </w:style>
  <w:style w:type="paragraph" w:styleId="Pieddepage">
    <w:name w:val="footer"/>
    <w:basedOn w:val="Normal"/>
    <w:link w:val="PieddepageCar"/>
    <w:uiPriority w:val="99"/>
    <w:unhideWhenUsed/>
    <w:rsid w:val="00DD73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73E9"/>
    <w:rPr>
      <w:rFonts w:ascii="Times New Roman" w:hAnsi="Times New Roman"/>
      <w:sz w:val="24"/>
    </w:rPr>
  </w:style>
  <w:style w:type="paragraph" w:styleId="Sansinterligne">
    <w:name w:val="No Spacing"/>
    <w:uiPriority w:val="1"/>
    <w:qFormat/>
    <w:rsid w:val="00E0588A"/>
    <w:pPr>
      <w:spacing w:after="0" w:line="240" w:lineRule="auto"/>
      <w:jc w:val="both"/>
    </w:pPr>
    <w:rPr>
      <w:rFonts w:ascii="Times New Roman" w:hAnsi="Times New Roman"/>
      <w:sz w:val="24"/>
    </w:rPr>
  </w:style>
  <w:style w:type="character" w:customStyle="1" w:styleId="ins">
    <w:name w:val="ins"/>
    <w:rsid w:val="00D1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1118">
      <w:bodyDiv w:val="1"/>
      <w:marLeft w:val="0"/>
      <w:marRight w:val="0"/>
      <w:marTop w:val="0"/>
      <w:marBottom w:val="0"/>
      <w:divBdr>
        <w:top w:val="none" w:sz="0" w:space="0" w:color="auto"/>
        <w:left w:val="none" w:sz="0" w:space="0" w:color="auto"/>
        <w:bottom w:val="none" w:sz="0" w:space="0" w:color="auto"/>
        <w:right w:val="none" w:sz="0" w:space="0" w:color="auto"/>
      </w:divBdr>
    </w:div>
    <w:div w:id="99033742">
      <w:bodyDiv w:val="1"/>
      <w:marLeft w:val="0"/>
      <w:marRight w:val="0"/>
      <w:marTop w:val="0"/>
      <w:marBottom w:val="0"/>
      <w:divBdr>
        <w:top w:val="none" w:sz="0" w:space="0" w:color="auto"/>
        <w:left w:val="none" w:sz="0" w:space="0" w:color="auto"/>
        <w:bottom w:val="none" w:sz="0" w:space="0" w:color="auto"/>
        <w:right w:val="none" w:sz="0" w:space="0" w:color="auto"/>
      </w:divBdr>
    </w:div>
    <w:div w:id="158812436">
      <w:bodyDiv w:val="1"/>
      <w:marLeft w:val="0"/>
      <w:marRight w:val="0"/>
      <w:marTop w:val="0"/>
      <w:marBottom w:val="0"/>
      <w:divBdr>
        <w:top w:val="none" w:sz="0" w:space="0" w:color="auto"/>
        <w:left w:val="none" w:sz="0" w:space="0" w:color="auto"/>
        <w:bottom w:val="none" w:sz="0" w:space="0" w:color="auto"/>
        <w:right w:val="none" w:sz="0" w:space="0" w:color="auto"/>
      </w:divBdr>
    </w:div>
    <w:div w:id="185599527">
      <w:bodyDiv w:val="1"/>
      <w:marLeft w:val="0"/>
      <w:marRight w:val="0"/>
      <w:marTop w:val="0"/>
      <w:marBottom w:val="0"/>
      <w:divBdr>
        <w:top w:val="none" w:sz="0" w:space="0" w:color="auto"/>
        <w:left w:val="none" w:sz="0" w:space="0" w:color="auto"/>
        <w:bottom w:val="none" w:sz="0" w:space="0" w:color="auto"/>
        <w:right w:val="none" w:sz="0" w:space="0" w:color="auto"/>
      </w:divBdr>
    </w:div>
    <w:div w:id="205223065">
      <w:bodyDiv w:val="1"/>
      <w:marLeft w:val="0"/>
      <w:marRight w:val="0"/>
      <w:marTop w:val="0"/>
      <w:marBottom w:val="0"/>
      <w:divBdr>
        <w:top w:val="none" w:sz="0" w:space="0" w:color="auto"/>
        <w:left w:val="none" w:sz="0" w:space="0" w:color="auto"/>
        <w:bottom w:val="none" w:sz="0" w:space="0" w:color="auto"/>
        <w:right w:val="none" w:sz="0" w:space="0" w:color="auto"/>
      </w:divBdr>
    </w:div>
    <w:div w:id="236790070">
      <w:bodyDiv w:val="1"/>
      <w:marLeft w:val="0"/>
      <w:marRight w:val="0"/>
      <w:marTop w:val="0"/>
      <w:marBottom w:val="0"/>
      <w:divBdr>
        <w:top w:val="none" w:sz="0" w:space="0" w:color="auto"/>
        <w:left w:val="none" w:sz="0" w:space="0" w:color="auto"/>
        <w:bottom w:val="none" w:sz="0" w:space="0" w:color="auto"/>
        <w:right w:val="none" w:sz="0" w:space="0" w:color="auto"/>
      </w:divBdr>
    </w:div>
    <w:div w:id="261228472">
      <w:bodyDiv w:val="1"/>
      <w:marLeft w:val="0"/>
      <w:marRight w:val="0"/>
      <w:marTop w:val="0"/>
      <w:marBottom w:val="0"/>
      <w:divBdr>
        <w:top w:val="none" w:sz="0" w:space="0" w:color="auto"/>
        <w:left w:val="none" w:sz="0" w:space="0" w:color="auto"/>
        <w:bottom w:val="none" w:sz="0" w:space="0" w:color="auto"/>
        <w:right w:val="none" w:sz="0" w:space="0" w:color="auto"/>
      </w:divBdr>
    </w:div>
    <w:div w:id="402142988">
      <w:bodyDiv w:val="1"/>
      <w:marLeft w:val="0"/>
      <w:marRight w:val="0"/>
      <w:marTop w:val="0"/>
      <w:marBottom w:val="0"/>
      <w:divBdr>
        <w:top w:val="none" w:sz="0" w:space="0" w:color="auto"/>
        <w:left w:val="none" w:sz="0" w:space="0" w:color="auto"/>
        <w:bottom w:val="none" w:sz="0" w:space="0" w:color="auto"/>
        <w:right w:val="none" w:sz="0" w:space="0" w:color="auto"/>
      </w:divBdr>
    </w:div>
    <w:div w:id="402528978">
      <w:bodyDiv w:val="1"/>
      <w:marLeft w:val="0"/>
      <w:marRight w:val="0"/>
      <w:marTop w:val="0"/>
      <w:marBottom w:val="0"/>
      <w:divBdr>
        <w:top w:val="none" w:sz="0" w:space="0" w:color="auto"/>
        <w:left w:val="none" w:sz="0" w:space="0" w:color="auto"/>
        <w:bottom w:val="none" w:sz="0" w:space="0" w:color="auto"/>
        <w:right w:val="none" w:sz="0" w:space="0" w:color="auto"/>
      </w:divBdr>
    </w:div>
    <w:div w:id="510680306">
      <w:bodyDiv w:val="1"/>
      <w:marLeft w:val="0"/>
      <w:marRight w:val="0"/>
      <w:marTop w:val="0"/>
      <w:marBottom w:val="0"/>
      <w:divBdr>
        <w:top w:val="none" w:sz="0" w:space="0" w:color="auto"/>
        <w:left w:val="none" w:sz="0" w:space="0" w:color="auto"/>
        <w:bottom w:val="none" w:sz="0" w:space="0" w:color="auto"/>
        <w:right w:val="none" w:sz="0" w:space="0" w:color="auto"/>
      </w:divBdr>
    </w:div>
    <w:div w:id="570429094">
      <w:bodyDiv w:val="1"/>
      <w:marLeft w:val="0"/>
      <w:marRight w:val="0"/>
      <w:marTop w:val="0"/>
      <w:marBottom w:val="0"/>
      <w:divBdr>
        <w:top w:val="none" w:sz="0" w:space="0" w:color="auto"/>
        <w:left w:val="none" w:sz="0" w:space="0" w:color="auto"/>
        <w:bottom w:val="none" w:sz="0" w:space="0" w:color="auto"/>
        <w:right w:val="none" w:sz="0" w:space="0" w:color="auto"/>
      </w:divBdr>
      <w:divsChild>
        <w:div w:id="913049865">
          <w:marLeft w:val="0"/>
          <w:marRight w:val="0"/>
          <w:marTop w:val="0"/>
          <w:marBottom w:val="0"/>
          <w:divBdr>
            <w:top w:val="none" w:sz="0" w:space="0" w:color="auto"/>
            <w:left w:val="none" w:sz="0" w:space="0" w:color="auto"/>
            <w:bottom w:val="none" w:sz="0" w:space="0" w:color="auto"/>
            <w:right w:val="none" w:sz="0" w:space="0" w:color="auto"/>
          </w:divBdr>
          <w:divsChild>
            <w:div w:id="2856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037">
      <w:bodyDiv w:val="1"/>
      <w:marLeft w:val="0"/>
      <w:marRight w:val="0"/>
      <w:marTop w:val="0"/>
      <w:marBottom w:val="0"/>
      <w:divBdr>
        <w:top w:val="none" w:sz="0" w:space="0" w:color="auto"/>
        <w:left w:val="none" w:sz="0" w:space="0" w:color="auto"/>
        <w:bottom w:val="none" w:sz="0" w:space="0" w:color="auto"/>
        <w:right w:val="none" w:sz="0" w:space="0" w:color="auto"/>
      </w:divBdr>
    </w:div>
    <w:div w:id="606353425">
      <w:bodyDiv w:val="1"/>
      <w:marLeft w:val="0"/>
      <w:marRight w:val="0"/>
      <w:marTop w:val="0"/>
      <w:marBottom w:val="0"/>
      <w:divBdr>
        <w:top w:val="none" w:sz="0" w:space="0" w:color="auto"/>
        <w:left w:val="none" w:sz="0" w:space="0" w:color="auto"/>
        <w:bottom w:val="none" w:sz="0" w:space="0" w:color="auto"/>
        <w:right w:val="none" w:sz="0" w:space="0" w:color="auto"/>
      </w:divBdr>
    </w:div>
    <w:div w:id="672414448">
      <w:bodyDiv w:val="1"/>
      <w:marLeft w:val="0"/>
      <w:marRight w:val="0"/>
      <w:marTop w:val="0"/>
      <w:marBottom w:val="0"/>
      <w:divBdr>
        <w:top w:val="none" w:sz="0" w:space="0" w:color="auto"/>
        <w:left w:val="none" w:sz="0" w:space="0" w:color="auto"/>
        <w:bottom w:val="none" w:sz="0" w:space="0" w:color="auto"/>
        <w:right w:val="none" w:sz="0" w:space="0" w:color="auto"/>
      </w:divBdr>
    </w:div>
    <w:div w:id="704452765">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804397293">
      <w:bodyDiv w:val="1"/>
      <w:marLeft w:val="0"/>
      <w:marRight w:val="0"/>
      <w:marTop w:val="0"/>
      <w:marBottom w:val="0"/>
      <w:divBdr>
        <w:top w:val="none" w:sz="0" w:space="0" w:color="auto"/>
        <w:left w:val="none" w:sz="0" w:space="0" w:color="auto"/>
        <w:bottom w:val="none" w:sz="0" w:space="0" w:color="auto"/>
        <w:right w:val="none" w:sz="0" w:space="0" w:color="auto"/>
      </w:divBdr>
    </w:div>
    <w:div w:id="912010724">
      <w:bodyDiv w:val="1"/>
      <w:marLeft w:val="0"/>
      <w:marRight w:val="0"/>
      <w:marTop w:val="0"/>
      <w:marBottom w:val="0"/>
      <w:divBdr>
        <w:top w:val="none" w:sz="0" w:space="0" w:color="auto"/>
        <w:left w:val="none" w:sz="0" w:space="0" w:color="auto"/>
        <w:bottom w:val="none" w:sz="0" w:space="0" w:color="auto"/>
        <w:right w:val="none" w:sz="0" w:space="0" w:color="auto"/>
      </w:divBdr>
    </w:div>
    <w:div w:id="943269957">
      <w:bodyDiv w:val="1"/>
      <w:marLeft w:val="0"/>
      <w:marRight w:val="0"/>
      <w:marTop w:val="0"/>
      <w:marBottom w:val="0"/>
      <w:divBdr>
        <w:top w:val="none" w:sz="0" w:space="0" w:color="auto"/>
        <w:left w:val="none" w:sz="0" w:space="0" w:color="auto"/>
        <w:bottom w:val="none" w:sz="0" w:space="0" w:color="auto"/>
        <w:right w:val="none" w:sz="0" w:space="0" w:color="auto"/>
      </w:divBdr>
    </w:div>
    <w:div w:id="985477414">
      <w:bodyDiv w:val="1"/>
      <w:marLeft w:val="0"/>
      <w:marRight w:val="0"/>
      <w:marTop w:val="0"/>
      <w:marBottom w:val="0"/>
      <w:divBdr>
        <w:top w:val="none" w:sz="0" w:space="0" w:color="auto"/>
        <w:left w:val="none" w:sz="0" w:space="0" w:color="auto"/>
        <w:bottom w:val="none" w:sz="0" w:space="0" w:color="auto"/>
        <w:right w:val="none" w:sz="0" w:space="0" w:color="auto"/>
      </w:divBdr>
    </w:div>
    <w:div w:id="1000734957">
      <w:bodyDiv w:val="1"/>
      <w:marLeft w:val="0"/>
      <w:marRight w:val="0"/>
      <w:marTop w:val="0"/>
      <w:marBottom w:val="0"/>
      <w:divBdr>
        <w:top w:val="none" w:sz="0" w:space="0" w:color="auto"/>
        <w:left w:val="none" w:sz="0" w:space="0" w:color="auto"/>
        <w:bottom w:val="none" w:sz="0" w:space="0" w:color="auto"/>
        <w:right w:val="none" w:sz="0" w:space="0" w:color="auto"/>
      </w:divBdr>
    </w:div>
    <w:div w:id="1008562221">
      <w:bodyDiv w:val="1"/>
      <w:marLeft w:val="0"/>
      <w:marRight w:val="0"/>
      <w:marTop w:val="0"/>
      <w:marBottom w:val="0"/>
      <w:divBdr>
        <w:top w:val="none" w:sz="0" w:space="0" w:color="auto"/>
        <w:left w:val="none" w:sz="0" w:space="0" w:color="auto"/>
        <w:bottom w:val="none" w:sz="0" w:space="0" w:color="auto"/>
        <w:right w:val="none" w:sz="0" w:space="0" w:color="auto"/>
      </w:divBdr>
    </w:div>
    <w:div w:id="1022515304">
      <w:bodyDiv w:val="1"/>
      <w:marLeft w:val="0"/>
      <w:marRight w:val="0"/>
      <w:marTop w:val="0"/>
      <w:marBottom w:val="0"/>
      <w:divBdr>
        <w:top w:val="none" w:sz="0" w:space="0" w:color="auto"/>
        <w:left w:val="none" w:sz="0" w:space="0" w:color="auto"/>
        <w:bottom w:val="none" w:sz="0" w:space="0" w:color="auto"/>
        <w:right w:val="none" w:sz="0" w:space="0" w:color="auto"/>
      </w:divBdr>
    </w:div>
    <w:div w:id="1134908558">
      <w:bodyDiv w:val="1"/>
      <w:marLeft w:val="0"/>
      <w:marRight w:val="0"/>
      <w:marTop w:val="0"/>
      <w:marBottom w:val="0"/>
      <w:divBdr>
        <w:top w:val="none" w:sz="0" w:space="0" w:color="auto"/>
        <w:left w:val="none" w:sz="0" w:space="0" w:color="auto"/>
        <w:bottom w:val="none" w:sz="0" w:space="0" w:color="auto"/>
        <w:right w:val="none" w:sz="0" w:space="0" w:color="auto"/>
      </w:divBdr>
    </w:div>
    <w:div w:id="1136294819">
      <w:bodyDiv w:val="1"/>
      <w:marLeft w:val="0"/>
      <w:marRight w:val="0"/>
      <w:marTop w:val="0"/>
      <w:marBottom w:val="0"/>
      <w:divBdr>
        <w:top w:val="none" w:sz="0" w:space="0" w:color="auto"/>
        <w:left w:val="none" w:sz="0" w:space="0" w:color="auto"/>
        <w:bottom w:val="none" w:sz="0" w:space="0" w:color="auto"/>
        <w:right w:val="none" w:sz="0" w:space="0" w:color="auto"/>
      </w:divBdr>
    </w:div>
    <w:div w:id="1145200368">
      <w:bodyDiv w:val="1"/>
      <w:marLeft w:val="0"/>
      <w:marRight w:val="0"/>
      <w:marTop w:val="0"/>
      <w:marBottom w:val="0"/>
      <w:divBdr>
        <w:top w:val="none" w:sz="0" w:space="0" w:color="auto"/>
        <w:left w:val="none" w:sz="0" w:space="0" w:color="auto"/>
        <w:bottom w:val="none" w:sz="0" w:space="0" w:color="auto"/>
        <w:right w:val="none" w:sz="0" w:space="0" w:color="auto"/>
      </w:divBdr>
    </w:div>
    <w:div w:id="1209150128">
      <w:bodyDiv w:val="1"/>
      <w:marLeft w:val="0"/>
      <w:marRight w:val="0"/>
      <w:marTop w:val="0"/>
      <w:marBottom w:val="0"/>
      <w:divBdr>
        <w:top w:val="none" w:sz="0" w:space="0" w:color="auto"/>
        <w:left w:val="none" w:sz="0" w:space="0" w:color="auto"/>
        <w:bottom w:val="none" w:sz="0" w:space="0" w:color="auto"/>
        <w:right w:val="none" w:sz="0" w:space="0" w:color="auto"/>
      </w:divBdr>
    </w:div>
    <w:div w:id="1216888014">
      <w:bodyDiv w:val="1"/>
      <w:marLeft w:val="0"/>
      <w:marRight w:val="0"/>
      <w:marTop w:val="0"/>
      <w:marBottom w:val="0"/>
      <w:divBdr>
        <w:top w:val="none" w:sz="0" w:space="0" w:color="auto"/>
        <w:left w:val="none" w:sz="0" w:space="0" w:color="auto"/>
        <w:bottom w:val="none" w:sz="0" w:space="0" w:color="auto"/>
        <w:right w:val="none" w:sz="0" w:space="0" w:color="auto"/>
      </w:divBdr>
    </w:div>
    <w:div w:id="1223905526">
      <w:bodyDiv w:val="1"/>
      <w:marLeft w:val="0"/>
      <w:marRight w:val="0"/>
      <w:marTop w:val="0"/>
      <w:marBottom w:val="0"/>
      <w:divBdr>
        <w:top w:val="none" w:sz="0" w:space="0" w:color="auto"/>
        <w:left w:val="none" w:sz="0" w:space="0" w:color="auto"/>
        <w:bottom w:val="none" w:sz="0" w:space="0" w:color="auto"/>
        <w:right w:val="none" w:sz="0" w:space="0" w:color="auto"/>
      </w:divBdr>
    </w:div>
    <w:div w:id="1332025066">
      <w:bodyDiv w:val="1"/>
      <w:marLeft w:val="0"/>
      <w:marRight w:val="0"/>
      <w:marTop w:val="0"/>
      <w:marBottom w:val="0"/>
      <w:divBdr>
        <w:top w:val="none" w:sz="0" w:space="0" w:color="auto"/>
        <w:left w:val="none" w:sz="0" w:space="0" w:color="auto"/>
        <w:bottom w:val="none" w:sz="0" w:space="0" w:color="auto"/>
        <w:right w:val="none" w:sz="0" w:space="0" w:color="auto"/>
      </w:divBdr>
    </w:div>
    <w:div w:id="1338655902">
      <w:bodyDiv w:val="1"/>
      <w:marLeft w:val="0"/>
      <w:marRight w:val="0"/>
      <w:marTop w:val="0"/>
      <w:marBottom w:val="0"/>
      <w:divBdr>
        <w:top w:val="none" w:sz="0" w:space="0" w:color="auto"/>
        <w:left w:val="none" w:sz="0" w:space="0" w:color="auto"/>
        <w:bottom w:val="none" w:sz="0" w:space="0" w:color="auto"/>
        <w:right w:val="none" w:sz="0" w:space="0" w:color="auto"/>
      </w:divBdr>
    </w:div>
    <w:div w:id="1357733104">
      <w:bodyDiv w:val="1"/>
      <w:marLeft w:val="0"/>
      <w:marRight w:val="0"/>
      <w:marTop w:val="0"/>
      <w:marBottom w:val="0"/>
      <w:divBdr>
        <w:top w:val="none" w:sz="0" w:space="0" w:color="auto"/>
        <w:left w:val="none" w:sz="0" w:space="0" w:color="auto"/>
        <w:bottom w:val="none" w:sz="0" w:space="0" w:color="auto"/>
        <w:right w:val="none" w:sz="0" w:space="0" w:color="auto"/>
      </w:divBdr>
    </w:div>
    <w:div w:id="1403528851">
      <w:bodyDiv w:val="1"/>
      <w:marLeft w:val="0"/>
      <w:marRight w:val="0"/>
      <w:marTop w:val="0"/>
      <w:marBottom w:val="0"/>
      <w:divBdr>
        <w:top w:val="none" w:sz="0" w:space="0" w:color="auto"/>
        <w:left w:val="none" w:sz="0" w:space="0" w:color="auto"/>
        <w:bottom w:val="none" w:sz="0" w:space="0" w:color="auto"/>
        <w:right w:val="none" w:sz="0" w:space="0" w:color="auto"/>
      </w:divBdr>
    </w:div>
    <w:div w:id="1433206982">
      <w:bodyDiv w:val="1"/>
      <w:marLeft w:val="0"/>
      <w:marRight w:val="0"/>
      <w:marTop w:val="0"/>
      <w:marBottom w:val="0"/>
      <w:divBdr>
        <w:top w:val="none" w:sz="0" w:space="0" w:color="auto"/>
        <w:left w:val="none" w:sz="0" w:space="0" w:color="auto"/>
        <w:bottom w:val="none" w:sz="0" w:space="0" w:color="auto"/>
        <w:right w:val="none" w:sz="0" w:space="0" w:color="auto"/>
      </w:divBdr>
    </w:div>
    <w:div w:id="1434009188">
      <w:bodyDiv w:val="1"/>
      <w:marLeft w:val="0"/>
      <w:marRight w:val="0"/>
      <w:marTop w:val="0"/>
      <w:marBottom w:val="0"/>
      <w:divBdr>
        <w:top w:val="none" w:sz="0" w:space="0" w:color="auto"/>
        <w:left w:val="none" w:sz="0" w:space="0" w:color="auto"/>
        <w:bottom w:val="none" w:sz="0" w:space="0" w:color="auto"/>
        <w:right w:val="none" w:sz="0" w:space="0" w:color="auto"/>
      </w:divBdr>
    </w:div>
    <w:div w:id="1448237343">
      <w:bodyDiv w:val="1"/>
      <w:marLeft w:val="0"/>
      <w:marRight w:val="0"/>
      <w:marTop w:val="0"/>
      <w:marBottom w:val="0"/>
      <w:divBdr>
        <w:top w:val="none" w:sz="0" w:space="0" w:color="auto"/>
        <w:left w:val="none" w:sz="0" w:space="0" w:color="auto"/>
        <w:bottom w:val="none" w:sz="0" w:space="0" w:color="auto"/>
        <w:right w:val="none" w:sz="0" w:space="0" w:color="auto"/>
      </w:divBdr>
    </w:div>
    <w:div w:id="1489518424">
      <w:bodyDiv w:val="1"/>
      <w:marLeft w:val="0"/>
      <w:marRight w:val="0"/>
      <w:marTop w:val="0"/>
      <w:marBottom w:val="0"/>
      <w:divBdr>
        <w:top w:val="none" w:sz="0" w:space="0" w:color="auto"/>
        <w:left w:val="none" w:sz="0" w:space="0" w:color="auto"/>
        <w:bottom w:val="none" w:sz="0" w:space="0" w:color="auto"/>
        <w:right w:val="none" w:sz="0" w:space="0" w:color="auto"/>
      </w:divBdr>
    </w:div>
    <w:div w:id="1548251702">
      <w:bodyDiv w:val="1"/>
      <w:marLeft w:val="0"/>
      <w:marRight w:val="0"/>
      <w:marTop w:val="0"/>
      <w:marBottom w:val="0"/>
      <w:divBdr>
        <w:top w:val="none" w:sz="0" w:space="0" w:color="auto"/>
        <w:left w:val="none" w:sz="0" w:space="0" w:color="auto"/>
        <w:bottom w:val="none" w:sz="0" w:space="0" w:color="auto"/>
        <w:right w:val="none" w:sz="0" w:space="0" w:color="auto"/>
      </w:divBdr>
    </w:div>
    <w:div w:id="1600528520">
      <w:bodyDiv w:val="1"/>
      <w:marLeft w:val="0"/>
      <w:marRight w:val="0"/>
      <w:marTop w:val="0"/>
      <w:marBottom w:val="0"/>
      <w:divBdr>
        <w:top w:val="none" w:sz="0" w:space="0" w:color="auto"/>
        <w:left w:val="none" w:sz="0" w:space="0" w:color="auto"/>
        <w:bottom w:val="none" w:sz="0" w:space="0" w:color="auto"/>
        <w:right w:val="none" w:sz="0" w:space="0" w:color="auto"/>
      </w:divBdr>
      <w:divsChild>
        <w:div w:id="1410804677">
          <w:marLeft w:val="0"/>
          <w:marRight w:val="0"/>
          <w:marTop w:val="0"/>
          <w:marBottom w:val="0"/>
          <w:divBdr>
            <w:top w:val="none" w:sz="0" w:space="0" w:color="auto"/>
            <w:left w:val="none" w:sz="0" w:space="0" w:color="auto"/>
            <w:bottom w:val="none" w:sz="0" w:space="0" w:color="auto"/>
            <w:right w:val="none" w:sz="0" w:space="0" w:color="auto"/>
          </w:divBdr>
          <w:divsChild>
            <w:div w:id="89325887">
              <w:marLeft w:val="0"/>
              <w:marRight w:val="0"/>
              <w:marTop w:val="0"/>
              <w:marBottom w:val="0"/>
              <w:divBdr>
                <w:top w:val="none" w:sz="0" w:space="0" w:color="auto"/>
                <w:left w:val="none" w:sz="0" w:space="0" w:color="auto"/>
                <w:bottom w:val="none" w:sz="0" w:space="0" w:color="auto"/>
                <w:right w:val="none" w:sz="0" w:space="0" w:color="auto"/>
              </w:divBdr>
            </w:div>
          </w:divsChild>
        </w:div>
        <w:div w:id="798767494">
          <w:marLeft w:val="0"/>
          <w:marRight w:val="0"/>
          <w:marTop w:val="0"/>
          <w:marBottom w:val="0"/>
          <w:divBdr>
            <w:top w:val="none" w:sz="0" w:space="0" w:color="auto"/>
            <w:left w:val="none" w:sz="0" w:space="0" w:color="auto"/>
            <w:bottom w:val="none" w:sz="0" w:space="0" w:color="auto"/>
            <w:right w:val="none" w:sz="0" w:space="0" w:color="auto"/>
          </w:divBdr>
          <w:divsChild>
            <w:div w:id="7061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5913">
      <w:bodyDiv w:val="1"/>
      <w:marLeft w:val="0"/>
      <w:marRight w:val="0"/>
      <w:marTop w:val="0"/>
      <w:marBottom w:val="0"/>
      <w:divBdr>
        <w:top w:val="none" w:sz="0" w:space="0" w:color="auto"/>
        <w:left w:val="none" w:sz="0" w:space="0" w:color="auto"/>
        <w:bottom w:val="none" w:sz="0" w:space="0" w:color="auto"/>
        <w:right w:val="none" w:sz="0" w:space="0" w:color="auto"/>
      </w:divBdr>
    </w:div>
    <w:div w:id="1656256803">
      <w:bodyDiv w:val="1"/>
      <w:marLeft w:val="0"/>
      <w:marRight w:val="0"/>
      <w:marTop w:val="0"/>
      <w:marBottom w:val="0"/>
      <w:divBdr>
        <w:top w:val="none" w:sz="0" w:space="0" w:color="auto"/>
        <w:left w:val="none" w:sz="0" w:space="0" w:color="auto"/>
        <w:bottom w:val="none" w:sz="0" w:space="0" w:color="auto"/>
        <w:right w:val="none" w:sz="0" w:space="0" w:color="auto"/>
      </w:divBdr>
    </w:div>
    <w:div w:id="1733305494">
      <w:bodyDiv w:val="1"/>
      <w:marLeft w:val="0"/>
      <w:marRight w:val="0"/>
      <w:marTop w:val="0"/>
      <w:marBottom w:val="0"/>
      <w:divBdr>
        <w:top w:val="none" w:sz="0" w:space="0" w:color="auto"/>
        <w:left w:val="none" w:sz="0" w:space="0" w:color="auto"/>
        <w:bottom w:val="none" w:sz="0" w:space="0" w:color="auto"/>
        <w:right w:val="none" w:sz="0" w:space="0" w:color="auto"/>
      </w:divBdr>
    </w:div>
    <w:div w:id="1761829886">
      <w:bodyDiv w:val="1"/>
      <w:marLeft w:val="0"/>
      <w:marRight w:val="0"/>
      <w:marTop w:val="0"/>
      <w:marBottom w:val="0"/>
      <w:divBdr>
        <w:top w:val="none" w:sz="0" w:space="0" w:color="auto"/>
        <w:left w:val="none" w:sz="0" w:space="0" w:color="auto"/>
        <w:bottom w:val="none" w:sz="0" w:space="0" w:color="auto"/>
        <w:right w:val="none" w:sz="0" w:space="0" w:color="auto"/>
      </w:divBdr>
    </w:div>
    <w:div w:id="1767768163">
      <w:bodyDiv w:val="1"/>
      <w:marLeft w:val="0"/>
      <w:marRight w:val="0"/>
      <w:marTop w:val="0"/>
      <w:marBottom w:val="0"/>
      <w:divBdr>
        <w:top w:val="none" w:sz="0" w:space="0" w:color="auto"/>
        <w:left w:val="none" w:sz="0" w:space="0" w:color="auto"/>
        <w:bottom w:val="none" w:sz="0" w:space="0" w:color="auto"/>
        <w:right w:val="none" w:sz="0" w:space="0" w:color="auto"/>
      </w:divBdr>
    </w:div>
    <w:div w:id="1810433415">
      <w:bodyDiv w:val="1"/>
      <w:marLeft w:val="0"/>
      <w:marRight w:val="0"/>
      <w:marTop w:val="0"/>
      <w:marBottom w:val="0"/>
      <w:divBdr>
        <w:top w:val="none" w:sz="0" w:space="0" w:color="auto"/>
        <w:left w:val="none" w:sz="0" w:space="0" w:color="auto"/>
        <w:bottom w:val="none" w:sz="0" w:space="0" w:color="auto"/>
        <w:right w:val="none" w:sz="0" w:space="0" w:color="auto"/>
      </w:divBdr>
    </w:div>
    <w:div w:id="1810711715">
      <w:bodyDiv w:val="1"/>
      <w:marLeft w:val="0"/>
      <w:marRight w:val="0"/>
      <w:marTop w:val="0"/>
      <w:marBottom w:val="0"/>
      <w:divBdr>
        <w:top w:val="none" w:sz="0" w:space="0" w:color="auto"/>
        <w:left w:val="none" w:sz="0" w:space="0" w:color="auto"/>
        <w:bottom w:val="none" w:sz="0" w:space="0" w:color="auto"/>
        <w:right w:val="none" w:sz="0" w:space="0" w:color="auto"/>
      </w:divBdr>
    </w:div>
    <w:div w:id="1823036748">
      <w:bodyDiv w:val="1"/>
      <w:marLeft w:val="0"/>
      <w:marRight w:val="0"/>
      <w:marTop w:val="0"/>
      <w:marBottom w:val="0"/>
      <w:divBdr>
        <w:top w:val="none" w:sz="0" w:space="0" w:color="auto"/>
        <w:left w:val="none" w:sz="0" w:space="0" w:color="auto"/>
        <w:bottom w:val="none" w:sz="0" w:space="0" w:color="auto"/>
        <w:right w:val="none" w:sz="0" w:space="0" w:color="auto"/>
      </w:divBdr>
    </w:div>
    <w:div w:id="1913003885">
      <w:bodyDiv w:val="1"/>
      <w:marLeft w:val="0"/>
      <w:marRight w:val="0"/>
      <w:marTop w:val="0"/>
      <w:marBottom w:val="0"/>
      <w:divBdr>
        <w:top w:val="none" w:sz="0" w:space="0" w:color="auto"/>
        <w:left w:val="none" w:sz="0" w:space="0" w:color="auto"/>
        <w:bottom w:val="none" w:sz="0" w:space="0" w:color="auto"/>
        <w:right w:val="none" w:sz="0" w:space="0" w:color="auto"/>
      </w:divBdr>
    </w:div>
    <w:div w:id="2005891351">
      <w:bodyDiv w:val="1"/>
      <w:marLeft w:val="0"/>
      <w:marRight w:val="0"/>
      <w:marTop w:val="0"/>
      <w:marBottom w:val="0"/>
      <w:divBdr>
        <w:top w:val="none" w:sz="0" w:space="0" w:color="auto"/>
        <w:left w:val="none" w:sz="0" w:space="0" w:color="auto"/>
        <w:bottom w:val="none" w:sz="0" w:space="0" w:color="auto"/>
        <w:right w:val="none" w:sz="0" w:space="0" w:color="auto"/>
      </w:divBdr>
      <w:divsChild>
        <w:div w:id="1026562611">
          <w:marLeft w:val="0"/>
          <w:marRight w:val="0"/>
          <w:marTop w:val="0"/>
          <w:marBottom w:val="0"/>
          <w:divBdr>
            <w:top w:val="none" w:sz="0" w:space="0" w:color="auto"/>
            <w:left w:val="none" w:sz="0" w:space="0" w:color="auto"/>
            <w:bottom w:val="none" w:sz="0" w:space="0" w:color="auto"/>
            <w:right w:val="none" w:sz="0" w:space="0" w:color="auto"/>
          </w:divBdr>
        </w:div>
        <w:div w:id="1568612838">
          <w:marLeft w:val="0"/>
          <w:marRight w:val="0"/>
          <w:marTop w:val="0"/>
          <w:marBottom w:val="0"/>
          <w:divBdr>
            <w:top w:val="none" w:sz="0" w:space="0" w:color="auto"/>
            <w:left w:val="none" w:sz="0" w:space="0" w:color="auto"/>
            <w:bottom w:val="none" w:sz="0" w:space="0" w:color="auto"/>
            <w:right w:val="none" w:sz="0" w:space="0" w:color="auto"/>
          </w:divBdr>
          <w:divsChild>
            <w:div w:id="766659634">
              <w:marLeft w:val="0"/>
              <w:marRight w:val="0"/>
              <w:marTop w:val="0"/>
              <w:marBottom w:val="0"/>
              <w:divBdr>
                <w:top w:val="none" w:sz="0" w:space="0" w:color="auto"/>
                <w:left w:val="none" w:sz="0" w:space="0" w:color="auto"/>
                <w:bottom w:val="none" w:sz="0" w:space="0" w:color="auto"/>
                <w:right w:val="none" w:sz="0" w:space="0" w:color="auto"/>
              </w:divBdr>
            </w:div>
            <w:div w:id="413280652">
              <w:marLeft w:val="0"/>
              <w:marRight w:val="0"/>
              <w:marTop w:val="0"/>
              <w:marBottom w:val="0"/>
              <w:divBdr>
                <w:top w:val="none" w:sz="0" w:space="0" w:color="auto"/>
                <w:left w:val="none" w:sz="0" w:space="0" w:color="auto"/>
                <w:bottom w:val="none" w:sz="0" w:space="0" w:color="auto"/>
                <w:right w:val="none" w:sz="0" w:space="0" w:color="auto"/>
              </w:divBdr>
              <w:divsChild>
                <w:div w:id="1968118476">
                  <w:marLeft w:val="0"/>
                  <w:marRight w:val="0"/>
                  <w:marTop w:val="0"/>
                  <w:marBottom w:val="0"/>
                  <w:divBdr>
                    <w:top w:val="none" w:sz="0" w:space="0" w:color="auto"/>
                    <w:left w:val="none" w:sz="0" w:space="0" w:color="auto"/>
                    <w:bottom w:val="none" w:sz="0" w:space="0" w:color="auto"/>
                    <w:right w:val="none" w:sz="0" w:space="0" w:color="auto"/>
                  </w:divBdr>
                  <w:divsChild>
                    <w:div w:id="1002782747">
                      <w:marLeft w:val="0"/>
                      <w:marRight w:val="0"/>
                      <w:marTop w:val="0"/>
                      <w:marBottom w:val="0"/>
                      <w:divBdr>
                        <w:top w:val="none" w:sz="0" w:space="0" w:color="auto"/>
                        <w:left w:val="none" w:sz="0" w:space="0" w:color="auto"/>
                        <w:bottom w:val="none" w:sz="0" w:space="0" w:color="auto"/>
                        <w:right w:val="none" w:sz="0" w:space="0" w:color="auto"/>
                      </w:divBdr>
                    </w:div>
                    <w:div w:id="817190964">
                      <w:marLeft w:val="0"/>
                      <w:marRight w:val="0"/>
                      <w:marTop w:val="0"/>
                      <w:marBottom w:val="0"/>
                      <w:divBdr>
                        <w:top w:val="none" w:sz="0" w:space="0" w:color="auto"/>
                        <w:left w:val="none" w:sz="0" w:space="0" w:color="auto"/>
                        <w:bottom w:val="none" w:sz="0" w:space="0" w:color="auto"/>
                        <w:right w:val="none" w:sz="0" w:space="0" w:color="auto"/>
                      </w:divBdr>
                    </w:div>
                  </w:divsChild>
                </w:div>
                <w:div w:id="1480994924">
                  <w:marLeft w:val="0"/>
                  <w:marRight w:val="0"/>
                  <w:marTop w:val="450"/>
                  <w:marBottom w:val="300"/>
                  <w:divBdr>
                    <w:top w:val="none" w:sz="0" w:space="0" w:color="auto"/>
                    <w:left w:val="none" w:sz="0" w:space="0" w:color="auto"/>
                    <w:bottom w:val="none" w:sz="0" w:space="0" w:color="auto"/>
                    <w:right w:val="none" w:sz="0" w:space="0" w:color="auto"/>
                  </w:divBdr>
                </w:div>
                <w:div w:id="665740955">
                  <w:marLeft w:val="0"/>
                  <w:marRight w:val="0"/>
                  <w:marTop w:val="0"/>
                  <w:marBottom w:val="0"/>
                  <w:divBdr>
                    <w:top w:val="none" w:sz="0" w:space="0" w:color="auto"/>
                    <w:left w:val="none" w:sz="0" w:space="0" w:color="auto"/>
                    <w:bottom w:val="none" w:sz="0" w:space="0" w:color="auto"/>
                    <w:right w:val="none" w:sz="0" w:space="0" w:color="auto"/>
                  </w:divBdr>
                  <w:divsChild>
                    <w:div w:id="694968446">
                      <w:marLeft w:val="0"/>
                      <w:marRight w:val="0"/>
                      <w:marTop w:val="0"/>
                      <w:marBottom w:val="0"/>
                      <w:divBdr>
                        <w:top w:val="none" w:sz="0" w:space="0" w:color="auto"/>
                        <w:left w:val="none" w:sz="0" w:space="0" w:color="auto"/>
                        <w:bottom w:val="none" w:sz="0" w:space="0" w:color="auto"/>
                        <w:right w:val="none" w:sz="0" w:space="0" w:color="auto"/>
                      </w:divBdr>
                    </w:div>
                    <w:div w:id="1570653393">
                      <w:marLeft w:val="0"/>
                      <w:marRight w:val="0"/>
                      <w:marTop w:val="0"/>
                      <w:marBottom w:val="0"/>
                      <w:divBdr>
                        <w:top w:val="none" w:sz="0" w:space="0" w:color="auto"/>
                        <w:left w:val="none" w:sz="0" w:space="0" w:color="auto"/>
                        <w:bottom w:val="none" w:sz="0" w:space="0" w:color="auto"/>
                        <w:right w:val="none" w:sz="0" w:space="0" w:color="auto"/>
                      </w:divBdr>
                    </w:div>
                  </w:divsChild>
                </w:div>
                <w:div w:id="599988583">
                  <w:marLeft w:val="0"/>
                  <w:marRight w:val="0"/>
                  <w:marTop w:val="450"/>
                  <w:marBottom w:val="300"/>
                  <w:divBdr>
                    <w:top w:val="none" w:sz="0" w:space="0" w:color="auto"/>
                    <w:left w:val="none" w:sz="0" w:space="0" w:color="auto"/>
                    <w:bottom w:val="none" w:sz="0" w:space="0" w:color="auto"/>
                    <w:right w:val="none" w:sz="0" w:space="0" w:color="auto"/>
                  </w:divBdr>
                </w:div>
                <w:div w:id="1755852908">
                  <w:marLeft w:val="0"/>
                  <w:marRight w:val="0"/>
                  <w:marTop w:val="0"/>
                  <w:marBottom w:val="0"/>
                  <w:divBdr>
                    <w:top w:val="none" w:sz="0" w:space="0" w:color="auto"/>
                    <w:left w:val="none" w:sz="0" w:space="0" w:color="auto"/>
                    <w:bottom w:val="none" w:sz="0" w:space="0" w:color="auto"/>
                    <w:right w:val="none" w:sz="0" w:space="0" w:color="auto"/>
                  </w:divBdr>
                  <w:divsChild>
                    <w:div w:id="342054929">
                      <w:marLeft w:val="0"/>
                      <w:marRight w:val="0"/>
                      <w:marTop w:val="0"/>
                      <w:marBottom w:val="0"/>
                      <w:divBdr>
                        <w:top w:val="none" w:sz="0" w:space="0" w:color="auto"/>
                        <w:left w:val="none" w:sz="0" w:space="0" w:color="auto"/>
                        <w:bottom w:val="none" w:sz="0" w:space="0" w:color="auto"/>
                        <w:right w:val="none" w:sz="0" w:space="0" w:color="auto"/>
                      </w:divBdr>
                    </w:div>
                    <w:div w:id="964460536">
                      <w:marLeft w:val="0"/>
                      <w:marRight w:val="0"/>
                      <w:marTop w:val="0"/>
                      <w:marBottom w:val="0"/>
                      <w:divBdr>
                        <w:top w:val="none" w:sz="0" w:space="0" w:color="auto"/>
                        <w:left w:val="none" w:sz="0" w:space="0" w:color="auto"/>
                        <w:bottom w:val="none" w:sz="0" w:space="0" w:color="auto"/>
                        <w:right w:val="none" w:sz="0" w:space="0" w:color="auto"/>
                      </w:divBdr>
                    </w:div>
                  </w:divsChild>
                </w:div>
                <w:div w:id="171528851">
                  <w:marLeft w:val="0"/>
                  <w:marRight w:val="0"/>
                  <w:marTop w:val="0"/>
                  <w:marBottom w:val="0"/>
                  <w:divBdr>
                    <w:top w:val="none" w:sz="0" w:space="0" w:color="auto"/>
                    <w:left w:val="none" w:sz="0" w:space="0" w:color="auto"/>
                    <w:bottom w:val="none" w:sz="0" w:space="0" w:color="auto"/>
                    <w:right w:val="none" w:sz="0" w:space="0" w:color="auto"/>
                  </w:divBdr>
                  <w:divsChild>
                    <w:div w:id="690033509">
                      <w:marLeft w:val="0"/>
                      <w:marRight w:val="0"/>
                      <w:marTop w:val="0"/>
                      <w:marBottom w:val="0"/>
                      <w:divBdr>
                        <w:top w:val="none" w:sz="0" w:space="0" w:color="auto"/>
                        <w:left w:val="none" w:sz="0" w:space="0" w:color="auto"/>
                        <w:bottom w:val="none" w:sz="0" w:space="0" w:color="auto"/>
                        <w:right w:val="none" w:sz="0" w:space="0" w:color="auto"/>
                      </w:divBdr>
                    </w:div>
                  </w:divsChild>
                </w:div>
                <w:div w:id="860508916">
                  <w:marLeft w:val="0"/>
                  <w:marRight w:val="0"/>
                  <w:marTop w:val="0"/>
                  <w:marBottom w:val="0"/>
                  <w:divBdr>
                    <w:top w:val="none" w:sz="0" w:space="0" w:color="auto"/>
                    <w:left w:val="none" w:sz="0" w:space="0" w:color="auto"/>
                    <w:bottom w:val="none" w:sz="0" w:space="0" w:color="auto"/>
                    <w:right w:val="none" w:sz="0" w:space="0" w:color="auto"/>
                  </w:divBdr>
                  <w:divsChild>
                    <w:div w:id="2001883994">
                      <w:marLeft w:val="0"/>
                      <w:marRight w:val="0"/>
                      <w:marTop w:val="0"/>
                      <w:marBottom w:val="0"/>
                      <w:divBdr>
                        <w:top w:val="none" w:sz="0" w:space="0" w:color="auto"/>
                        <w:left w:val="none" w:sz="0" w:space="0" w:color="auto"/>
                        <w:bottom w:val="none" w:sz="0" w:space="0" w:color="auto"/>
                        <w:right w:val="none" w:sz="0" w:space="0" w:color="auto"/>
                      </w:divBdr>
                    </w:div>
                  </w:divsChild>
                </w:div>
                <w:div w:id="1532644358">
                  <w:marLeft w:val="0"/>
                  <w:marRight w:val="0"/>
                  <w:marTop w:val="0"/>
                  <w:marBottom w:val="0"/>
                  <w:divBdr>
                    <w:top w:val="none" w:sz="0" w:space="0" w:color="auto"/>
                    <w:left w:val="none" w:sz="0" w:space="0" w:color="auto"/>
                    <w:bottom w:val="none" w:sz="0" w:space="0" w:color="auto"/>
                    <w:right w:val="none" w:sz="0" w:space="0" w:color="auto"/>
                  </w:divBdr>
                  <w:divsChild>
                    <w:div w:id="172301329">
                      <w:marLeft w:val="0"/>
                      <w:marRight w:val="0"/>
                      <w:marTop w:val="0"/>
                      <w:marBottom w:val="0"/>
                      <w:divBdr>
                        <w:top w:val="none" w:sz="0" w:space="0" w:color="auto"/>
                        <w:left w:val="none" w:sz="0" w:space="0" w:color="auto"/>
                        <w:bottom w:val="none" w:sz="0" w:space="0" w:color="auto"/>
                        <w:right w:val="none" w:sz="0" w:space="0" w:color="auto"/>
                      </w:divBdr>
                    </w:div>
                  </w:divsChild>
                </w:div>
                <w:div w:id="2026322584">
                  <w:marLeft w:val="0"/>
                  <w:marRight w:val="0"/>
                  <w:marTop w:val="450"/>
                  <w:marBottom w:val="300"/>
                  <w:divBdr>
                    <w:top w:val="none" w:sz="0" w:space="0" w:color="auto"/>
                    <w:left w:val="none" w:sz="0" w:space="0" w:color="auto"/>
                    <w:bottom w:val="none" w:sz="0" w:space="0" w:color="auto"/>
                    <w:right w:val="none" w:sz="0" w:space="0" w:color="auto"/>
                  </w:divBdr>
                </w:div>
                <w:div w:id="1712608976">
                  <w:marLeft w:val="0"/>
                  <w:marRight w:val="0"/>
                  <w:marTop w:val="0"/>
                  <w:marBottom w:val="0"/>
                  <w:divBdr>
                    <w:top w:val="none" w:sz="0" w:space="0" w:color="auto"/>
                    <w:left w:val="none" w:sz="0" w:space="0" w:color="auto"/>
                    <w:bottom w:val="none" w:sz="0" w:space="0" w:color="auto"/>
                    <w:right w:val="none" w:sz="0" w:space="0" w:color="auto"/>
                  </w:divBdr>
                  <w:divsChild>
                    <w:div w:id="1714502031">
                      <w:marLeft w:val="0"/>
                      <w:marRight w:val="0"/>
                      <w:marTop w:val="0"/>
                      <w:marBottom w:val="0"/>
                      <w:divBdr>
                        <w:top w:val="none" w:sz="0" w:space="0" w:color="auto"/>
                        <w:left w:val="none" w:sz="0" w:space="0" w:color="auto"/>
                        <w:bottom w:val="none" w:sz="0" w:space="0" w:color="auto"/>
                        <w:right w:val="none" w:sz="0" w:space="0" w:color="auto"/>
                      </w:divBdr>
                    </w:div>
                    <w:div w:id="1071468869">
                      <w:marLeft w:val="0"/>
                      <w:marRight w:val="0"/>
                      <w:marTop w:val="0"/>
                      <w:marBottom w:val="0"/>
                      <w:divBdr>
                        <w:top w:val="none" w:sz="0" w:space="0" w:color="auto"/>
                        <w:left w:val="none" w:sz="0" w:space="0" w:color="auto"/>
                        <w:bottom w:val="none" w:sz="0" w:space="0" w:color="auto"/>
                        <w:right w:val="none" w:sz="0" w:space="0" w:color="auto"/>
                      </w:divBdr>
                    </w:div>
                  </w:divsChild>
                </w:div>
                <w:div w:id="1360082941">
                  <w:marLeft w:val="0"/>
                  <w:marRight w:val="0"/>
                  <w:marTop w:val="0"/>
                  <w:marBottom w:val="0"/>
                  <w:divBdr>
                    <w:top w:val="none" w:sz="0" w:space="0" w:color="auto"/>
                    <w:left w:val="none" w:sz="0" w:space="0" w:color="auto"/>
                    <w:bottom w:val="none" w:sz="0" w:space="0" w:color="auto"/>
                    <w:right w:val="none" w:sz="0" w:space="0" w:color="auto"/>
                  </w:divBdr>
                  <w:divsChild>
                    <w:div w:id="2094424490">
                      <w:marLeft w:val="0"/>
                      <w:marRight w:val="0"/>
                      <w:marTop w:val="0"/>
                      <w:marBottom w:val="0"/>
                      <w:divBdr>
                        <w:top w:val="none" w:sz="0" w:space="0" w:color="auto"/>
                        <w:left w:val="none" w:sz="0" w:space="0" w:color="auto"/>
                        <w:bottom w:val="none" w:sz="0" w:space="0" w:color="auto"/>
                        <w:right w:val="none" w:sz="0" w:space="0" w:color="auto"/>
                      </w:divBdr>
                    </w:div>
                  </w:divsChild>
                </w:div>
                <w:div w:id="1553030794">
                  <w:marLeft w:val="0"/>
                  <w:marRight w:val="0"/>
                  <w:marTop w:val="0"/>
                  <w:marBottom w:val="0"/>
                  <w:divBdr>
                    <w:top w:val="none" w:sz="0" w:space="0" w:color="auto"/>
                    <w:left w:val="none" w:sz="0" w:space="0" w:color="auto"/>
                    <w:bottom w:val="none" w:sz="0" w:space="0" w:color="auto"/>
                    <w:right w:val="none" w:sz="0" w:space="0" w:color="auto"/>
                  </w:divBdr>
                  <w:divsChild>
                    <w:div w:id="1788351171">
                      <w:marLeft w:val="0"/>
                      <w:marRight w:val="0"/>
                      <w:marTop w:val="0"/>
                      <w:marBottom w:val="0"/>
                      <w:divBdr>
                        <w:top w:val="none" w:sz="0" w:space="0" w:color="auto"/>
                        <w:left w:val="none" w:sz="0" w:space="0" w:color="auto"/>
                        <w:bottom w:val="none" w:sz="0" w:space="0" w:color="auto"/>
                        <w:right w:val="none" w:sz="0" w:space="0" w:color="auto"/>
                      </w:divBdr>
                    </w:div>
                  </w:divsChild>
                </w:div>
                <w:div w:id="1340235193">
                  <w:marLeft w:val="0"/>
                  <w:marRight w:val="0"/>
                  <w:marTop w:val="0"/>
                  <w:marBottom w:val="0"/>
                  <w:divBdr>
                    <w:top w:val="none" w:sz="0" w:space="0" w:color="auto"/>
                    <w:left w:val="none" w:sz="0" w:space="0" w:color="auto"/>
                    <w:bottom w:val="none" w:sz="0" w:space="0" w:color="auto"/>
                    <w:right w:val="none" w:sz="0" w:space="0" w:color="auto"/>
                  </w:divBdr>
                  <w:divsChild>
                    <w:div w:id="2141339802">
                      <w:marLeft w:val="0"/>
                      <w:marRight w:val="0"/>
                      <w:marTop w:val="0"/>
                      <w:marBottom w:val="0"/>
                      <w:divBdr>
                        <w:top w:val="none" w:sz="0" w:space="0" w:color="auto"/>
                        <w:left w:val="none" w:sz="0" w:space="0" w:color="auto"/>
                        <w:bottom w:val="none" w:sz="0" w:space="0" w:color="auto"/>
                        <w:right w:val="none" w:sz="0" w:space="0" w:color="auto"/>
                      </w:divBdr>
                    </w:div>
                    <w:div w:id="1547258170">
                      <w:marLeft w:val="0"/>
                      <w:marRight w:val="0"/>
                      <w:marTop w:val="0"/>
                      <w:marBottom w:val="0"/>
                      <w:divBdr>
                        <w:top w:val="none" w:sz="0" w:space="0" w:color="auto"/>
                        <w:left w:val="none" w:sz="0" w:space="0" w:color="auto"/>
                        <w:bottom w:val="none" w:sz="0" w:space="0" w:color="auto"/>
                        <w:right w:val="none" w:sz="0" w:space="0" w:color="auto"/>
                      </w:divBdr>
                    </w:div>
                  </w:divsChild>
                </w:div>
                <w:div w:id="595868144">
                  <w:marLeft w:val="0"/>
                  <w:marRight w:val="0"/>
                  <w:marTop w:val="0"/>
                  <w:marBottom w:val="0"/>
                  <w:divBdr>
                    <w:top w:val="none" w:sz="0" w:space="0" w:color="auto"/>
                    <w:left w:val="none" w:sz="0" w:space="0" w:color="auto"/>
                    <w:bottom w:val="none" w:sz="0" w:space="0" w:color="auto"/>
                    <w:right w:val="none" w:sz="0" w:space="0" w:color="auto"/>
                  </w:divBdr>
                  <w:divsChild>
                    <w:div w:id="534198113">
                      <w:marLeft w:val="0"/>
                      <w:marRight w:val="0"/>
                      <w:marTop w:val="0"/>
                      <w:marBottom w:val="0"/>
                      <w:divBdr>
                        <w:top w:val="none" w:sz="0" w:space="0" w:color="auto"/>
                        <w:left w:val="none" w:sz="0" w:space="0" w:color="auto"/>
                        <w:bottom w:val="none" w:sz="0" w:space="0" w:color="auto"/>
                        <w:right w:val="none" w:sz="0" w:space="0" w:color="auto"/>
                      </w:divBdr>
                    </w:div>
                  </w:divsChild>
                </w:div>
                <w:div w:id="504900070">
                  <w:marLeft w:val="0"/>
                  <w:marRight w:val="0"/>
                  <w:marTop w:val="0"/>
                  <w:marBottom w:val="0"/>
                  <w:divBdr>
                    <w:top w:val="none" w:sz="0" w:space="0" w:color="auto"/>
                    <w:left w:val="none" w:sz="0" w:space="0" w:color="auto"/>
                    <w:bottom w:val="none" w:sz="0" w:space="0" w:color="auto"/>
                    <w:right w:val="none" w:sz="0" w:space="0" w:color="auto"/>
                  </w:divBdr>
                  <w:divsChild>
                    <w:div w:id="1371608536">
                      <w:marLeft w:val="0"/>
                      <w:marRight w:val="0"/>
                      <w:marTop w:val="0"/>
                      <w:marBottom w:val="0"/>
                      <w:divBdr>
                        <w:top w:val="none" w:sz="0" w:space="0" w:color="auto"/>
                        <w:left w:val="none" w:sz="0" w:space="0" w:color="auto"/>
                        <w:bottom w:val="none" w:sz="0" w:space="0" w:color="auto"/>
                        <w:right w:val="none" w:sz="0" w:space="0" w:color="auto"/>
                      </w:divBdr>
                    </w:div>
                  </w:divsChild>
                </w:div>
                <w:div w:id="1729376591">
                  <w:marLeft w:val="0"/>
                  <w:marRight w:val="0"/>
                  <w:marTop w:val="0"/>
                  <w:marBottom w:val="0"/>
                  <w:divBdr>
                    <w:top w:val="none" w:sz="0" w:space="0" w:color="auto"/>
                    <w:left w:val="none" w:sz="0" w:space="0" w:color="auto"/>
                    <w:bottom w:val="none" w:sz="0" w:space="0" w:color="auto"/>
                    <w:right w:val="none" w:sz="0" w:space="0" w:color="auto"/>
                  </w:divBdr>
                  <w:divsChild>
                    <w:div w:id="1830561650">
                      <w:marLeft w:val="0"/>
                      <w:marRight w:val="0"/>
                      <w:marTop w:val="0"/>
                      <w:marBottom w:val="0"/>
                      <w:divBdr>
                        <w:top w:val="none" w:sz="0" w:space="0" w:color="auto"/>
                        <w:left w:val="none" w:sz="0" w:space="0" w:color="auto"/>
                        <w:bottom w:val="none" w:sz="0" w:space="0" w:color="auto"/>
                        <w:right w:val="none" w:sz="0" w:space="0" w:color="auto"/>
                      </w:divBdr>
                    </w:div>
                  </w:divsChild>
                </w:div>
                <w:div w:id="1289974242">
                  <w:marLeft w:val="0"/>
                  <w:marRight w:val="0"/>
                  <w:marTop w:val="0"/>
                  <w:marBottom w:val="0"/>
                  <w:divBdr>
                    <w:top w:val="none" w:sz="0" w:space="0" w:color="auto"/>
                    <w:left w:val="none" w:sz="0" w:space="0" w:color="auto"/>
                    <w:bottom w:val="none" w:sz="0" w:space="0" w:color="auto"/>
                    <w:right w:val="none" w:sz="0" w:space="0" w:color="auto"/>
                  </w:divBdr>
                  <w:divsChild>
                    <w:div w:id="891578344">
                      <w:marLeft w:val="0"/>
                      <w:marRight w:val="0"/>
                      <w:marTop w:val="0"/>
                      <w:marBottom w:val="0"/>
                      <w:divBdr>
                        <w:top w:val="none" w:sz="0" w:space="0" w:color="auto"/>
                        <w:left w:val="none" w:sz="0" w:space="0" w:color="auto"/>
                        <w:bottom w:val="none" w:sz="0" w:space="0" w:color="auto"/>
                        <w:right w:val="none" w:sz="0" w:space="0" w:color="auto"/>
                      </w:divBdr>
                    </w:div>
                  </w:divsChild>
                </w:div>
                <w:div w:id="1245645170">
                  <w:marLeft w:val="0"/>
                  <w:marRight w:val="0"/>
                  <w:marTop w:val="0"/>
                  <w:marBottom w:val="0"/>
                  <w:divBdr>
                    <w:top w:val="none" w:sz="0" w:space="0" w:color="auto"/>
                    <w:left w:val="none" w:sz="0" w:space="0" w:color="auto"/>
                    <w:bottom w:val="none" w:sz="0" w:space="0" w:color="auto"/>
                    <w:right w:val="none" w:sz="0" w:space="0" w:color="auto"/>
                  </w:divBdr>
                  <w:divsChild>
                    <w:div w:id="338696269">
                      <w:marLeft w:val="0"/>
                      <w:marRight w:val="0"/>
                      <w:marTop w:val="0"/>
                      <w:marBottom w:val="0"/>
                      <w:divBdr>
                        <w:top w:val="none" w:sz="0" w:space="0" w:color="auto"/>
                        <w:left w:val="none" w:sz="0" w:space="0" w:color="auto"/>
                        <w:bottom w:val="none" w:sz="0" w:space="0" w:color="auto"/>
                        <w:right w:val="none" w:sz="0" w:space="0" w:color="auto"/>
                      </w:divBdr>
                    </w:div>
                  </w:divsChild>
                </w:div>
                <w:div w:id="1125659781">
                  <w:marLeft w:val="0"/>
                  <w:marRight w:val="0"/>
                  <w:marTop w:val="0"/>
                  <w:marBottom w:val="0"/>
                  <w:divBdr>
                    <w:top w:val="none" w:sz="0" w:space="0" w:color="auto"/>
                    <w:left w:val="none" w:sz="0" w:space="0" w:color="auto"/>
                    <w:bottom w:val="none" w:sz="0" w:space="0" w:color="auto"/>
                    <w:right w:val="none" w:sz="0" w:space="0" w:color="auto"/>
                  </w:divBdr>
                  <w:divsChild>
                    <w:div w:id="1397850099">
                      <w:marLeft w:val="0"/>
                      <w:marRight w:val="0"/>
                      <w:marTop w:val="0"/>
                      <w:marBottom w:val="0"/>
                      <w:divBdr>
                        <w:top w:val="none" w:sz="0" w:space="0" w:color="auto"/>
                        <w:left w:val="none" w:sz="0" w:space="0" w:color="auto"/>
                        <w:bottom w:val="none" w:sz="0" w:space="0" w:color="auto"/>
                        <w:right w:val="none" w:sz="0" w:space="0" w:color="auto"/>
                      </w:divBdr>
                    </w:div>
                  </w:divsChild>
                </w:div>
                <w:div w:id="1647469086">
                  <w:marLeft w:val="0"/>
                  <w:marRight w:val="0"/>
                  <w:marTop w:val="0"/>
                  <w:marBottom w:val="0"/>
                  <w:divBdr>
                    <w:top w:val="none" w:sz="0" w:space="0" w:color="auto"/>
                    <w:left w:val="none" w:sz="0" w:space="0" w:color="auto"/>
                    <w:bottom w:val="none" w:sz="0" w:space="0" w:color="auto"/>
                    <w:right w:val="none" w:sz="0" w:space="0" w:color="auto"/>
                  </w:divBdr>
                  <w:divsChild>
                    <w:div w:id="1570729183">
                      <w:marLeft w:val="0"/>
                      <w:marRight w:val="0"/>
                      <w:marTop w:val="0"/>
                      <w:marBottom w:val="0"/>
                      <w:divBdr>
                        <w:top w:val="none" w:sz="0" w:space="0" w:color="auto"/>
                        <w:left w:val="none" w:sz="0" w:space="0" w:color="auto"/>
                        <w:bottom w:val="none" w:sz="0" w:space="0" w:color="auto"/>
                        <w:right w:val="none" w:sz="0" w:space="0" w:color="auto"/>
                      </w:divBdr>
                    </w:div>
                  </w:divsChild>
                </w:div>
                <w:div w:id="1506357678">
                  <w:marLeft w:val="0"/>
                  <w:marRight w:val="0"/>
                  <w:marTop w:val="0"/>
                  <w:marBottom w:val="0"/>
                  <w:divBdr>
                    <w:top w:val="none" w:sz="0" w:space="0" w:color="auto"/>
                    <w:left w:val="none" w:sz="0" w:space="0" w:color="auto"/>
                    <w:bottom w:val="none" w:sz="0" w:space="0" w:color="auto"/>
                    <w:right w:val="none" w:sz="0" w:space="0" w:color="auto"/>
                  </w:divBdr>
                  <w:divsChild>
                    <w:div w:id="1090467853">
                      <w:marLeft w:val="0"/>
                      <w:marRight w:val="0"/>
                      <w:marTop w:val="0"/>
                      <w:marBottom w:val="0"/>
                      <w:divBdr>
                        <w:top w:val="none" w:sz="0" w:space="0" w:color="auto"/>
                        <w:left w:val="none" w:sz="0" w:space="0" w:color="auto"/>
                        <w:bottom w:val="none" w:sz="0" w:space="0" w:color="auto"/>
                        <w:right w:val="none" w:sz="0" w:space="0" w:color="auto"/>
                      </w:divBdr>
                    </w:div>
                  </w:divsChild>
                </w:div>
                <w:div w:id="158814091">
                  <w:marLeft w:val="0"/>
                  <w:marRight w:val="0"/>
                  <w:marTop w:val="0"/>
                  <w:marBottom w:val="0"/>
                  <w:divBdr>
                    <w:top w:val="none" w:sz="0" w:space="0" w:color="auto"/>
                    <w:left w:val="none" w:sz="0" w:space="0" w:color="auto"/>
                    <w:bottom w:val="none" w:sz="0" w:space="0" w:color="auto"/>
                    <w:right w:val="none" w:sz="0" w:space="0" w:color="auto"/>
                  </w:divBdr>
                  <w:divsChild>
                    <w:div w:id="1752853058">
                      <w:marLeft w:val="0"/>
                      <w:marRight w:val="0"/>
                      <w:marTop w:val="0"/>
                      <w:marBottom w:val="0"/>
                      <w:divBdr>
                        <w:top w:val="none" w:sz="0" w:space="0" w:color="auto"/>
                        <w:left w:val="none" w:sz="0" w:space="0" w:color="auto"/>
                        <w:bottom w:val="none" w:sz="0" w:space="0" w:color="auto"/>
                        <w:right w:val="none" w:sz="0" w:space="0" w:color="auto"/>
                      </w:divBdr>
                    </w:div>
                  </w:divsChild>
                </w:div>
                <w:div w:id="555819884">
                  <w:marLeft w:val="0"/>
                  <w:marRight w:val="0"/>
                  <w:marTop w:val="0"/>
                  <w:marBottom w:val="0"/>
                  <w:divBdr>
                    <w:top w:val="none" w:sz="0" w:space="0" w:color="auto"/>
                    <w:left w:val="none" w:sz="0" w:space="0" w:color="auto"/>
                    <w:bottom w:val="none" w:sz="0" w:space="0" w:color="auto"/>
                    <w:right w:val="none" w:sz="0" w:space="0" w:color="auto"/>
                  </w:divBdr>
                  <w:divsChild>
                    <w:div w:id="680276015">
                      <w:marLeft w:val="0"/>
                      <w:marRight w:val="0"/>
                      <w:marTop w:val="0"/>
                      <w:marBottom w:val="0"/>
                      <w:divBdr>
                        <w:top w:val="none" w:sz="0" w:space="0" w:color="auto"/>
                        <w:left w:val="none" w:sz="0" w:space="0" w:color="auto"/>
                        <w:bottom w:val="none" w:sz="0" w:space="0" w:color="auto"/>
                        <w:right w:val="none" w:sz="0" w:space="0" w:color="auto"/>
                      </w:divBdr>
                    </w:div>
                  </w:divsChild>
                </w:div>
                <w:div w:id="1048453917">
                  <w:marLeft w:val="0"/>
                  <w:marRight w:val="0"/>
                  <w:marTop w:val="0"/>
                  <w:marBottom w:val="0"/>
                  <w:divBdr>
                    <w:top w:val="none" w:sz="0" w:space="0" w:color="auto"/>
                    <w:left w:val="none" w:sz="0" w:space="0" w:color="auto"/>
                    <w:bottom w:val="none" w:sz="0" w:space="0" w:color="auto"/>
                    <w:right w:val="none" w:sz="0" w:space="0" w:color="auto"/>
                  </w:divBdr>
                  <w:divsChild>
                    <w:div w:id="1986928277">
                      <w:marLeft w:val="0"/>
                      <w:marRight w:val="0"/>
                      <w:marTop w:val="0"/>
                      <w:marBottom w:val="0"/>
                      <w:divBdr>
                        <w:top w:val="none" w:sz="0" w:space="0" w:color="auto"/>
                        <w:left w:val="none" w:sz="0" w:space="0" w:color="auto"/>
                        <w:bottom w:val="none" w:sz="0" w:space="0" w:color="auto"/>
                        <w:right w:val="none" w:sz="0" w:space="0" w:color="auto"/>
                      </w:divBdr>
                    </w:div>
                  </w:divsChild>
                </w:div>
                <w:div w:id="1050109330">
                  <w:marLeft w:val="0"/>
                  <w:marRight w:val="0"/>
                  <w:marTop w:val="0"/>
                  <w:marBottom w:val="0"/>
                  <w:divBdr>
                    <w:top w:val="none" w:sz="0" w:space="0" w:color="auto"/>
                    <w:left w:val="none" w:sz="0" w:space="0" w:color="auto"/>
                    <w:bottom w:val="none" w:sz="0" w:space="0" w:color="auto"/>
                    <w:right w:val="none" w:sz="0" w:space="0" w:color="auto"/>
                  </w:divBdr>
                  <w:divsChild>
                    <w:div w:id="386880453">
                      <w:marLeft w:val="0"/>
                      <w:marRight w:val="0"/>
                      <w:marTop w:val="0"/>
                      <w:marBottom w:val="0"/>
                      <w:divBdr>
                        <w:top w:val="none" w:sz="0" w:space="0" w:color="auto"/>
                        <w:left w:val="none" w:sz="0" w:space="0" w:color="auto"/>
                        <w:bottom w:val="none" w:sz="0" w:space="0" w:color="auto"/>
                        <w:right w:val="none" w:sz="0" w:space="0" w:color="auto"/>
                      </w:divBdr>
                    </w:div>
                    <w:div w:id="1202551081">
                      <w:marLeft w:val="0"/>
                      <w:marRight w:val="0"/>
                      <w:marTop w:val="0"/>
                      <w:marBottom w:val="0"/>
                      <w:divBdr>
                        <w:top w:val="none" w:sz="0" w:space="0" w:color="auto"/>
                        <w:left w:val="none" w:sz="0" w:space="0" w:color="auto"/>
                        <w:bottom w:val="none" w:sz="0" w:space="0" w:color="auto"/>
                        <w:right w:val="none" w:sz="0" w:space="0" w:color="auto"/>
                      </w:divBdr>
                    </w:div>
                  </w:divsChild>
                </w:div>
                <w:div w:id="1892838702">
                  <w:marLeft w:val="0"/>
                  <w:marRight w:val="0"/>
                  <w:marTop w:val="0"/>
                  <w:marBottom w:val="0"/>
                  <w:divBdr>
                    <w:top w:val="none" w:sz="0" w:space="0" w:color="auto"/>
                    <w:left w:val="none" w:sz="0" w:space="0" w:color="auto"/>
                    <w:bottom w:val="none" w:sz="0" w:space="0" w:color="auto"/>
                    <w:right w:val="none" w:sz="0" w:space="0" w:color="auto"/>
                  </w:divBdr>
                  <w:divsChild>
                    <w:div w:id="1095053415">
                      <w:marLeft w:val="0"/>
                      <w:marRight w:val="0"/>
                      <w:marTop w:val="0"/>
                      <w:marBottom w:val="0"/>
                      <w:divBdr>
                        <w:top w:val="none" w:sz="0" w:space="0" w:color="auto"/>
                        <w:left w:val="none" w:sz="0" w:space="0" w:color="auto"/>
                        <w:bottom w:val="none" w:sz="0" w:space="0" w:color="auto"/>
                        <w:right w:val="none" w:sz="0" w:space="0" w:color="auto"/>
                      </w:divBdr>
                    </w:div>
                  </w:divsChild>
                </w:div>
                <w:div w:id="1060055135">
                  <w:marLeft w:val="0"/>
                  <w:marRight w:val="0"/>
                  <w:marTop w:val="0"/>
                  <w:marBottom w:val="0"/>
                  <w:divBdr>
                    <w:top w:val="none" w:sz="0" w:space="0" w:color="auto"/>
                    <w:left w:val="none" w:sz="0" w:space="0" w:color="auto"/>
                    <w:bottom w:val="none" w:sz="0" w:space="0" w:color="auto"/>
                    <w:right w:val="none" w:sz="0" w:space="0" w:color="auto"/>
                  </w:divBdr>
                  <w:divsChild>
                    <w:div w:id="939144711">
                      <w:marLeft w:val="0"/>
                      <w:marRight w:val="0"/>
                      <w:marTop w:val="0"/>
                      <w:marBottom w:val="0"/>
                      <w:divBdr>
                        <w:top w:val="none" w:sz="0" w:space="0" w:color="auto"/>
                        <w:left w:val="none" w:sz="0" w:space="0" w:color="auto"/>
                        <w:bottom w:val="none" w:sz="0" w:space="0" w:color="auto"/>
                        <w:right w:val="none" w:sz="0" w:space="0" w:color="auto"/>
                      </w:divBdr>
                    </w:div>
                  </w:divsChild>
                </w:div>
                <w:div w:id="1595092265">
                  <w:marLeft w:val="0"/>
                  <w:marRight w:val="0"/>
                  <w:marTop w:val="0"/>
                  <w:marBottom w:val="0"/>
                  <w:divBdr>
                    <w:top w:val="none" w:sz="0" w:space="0" w:color="auto"/>
                    <w:left w:val="none" w:sz="0" w:space="0" w:color="auto"/>
                    <w:bottom w:val="none" w:sz="0" w:space="0" w:color="auto"/>
                    <w:right w:val="none" w:sz="0" w:space="0" w:color="auto"/>
                  </w:divBdr>
                  <w:divsChild>
                    <w:div w:id="1725720048">
                      <w:marLeft w:val="0"/>
                      <w:marRight w:val="0"/>
                      <w:marTop w:val="0"/>
                      <w:marBottom w:val="0"/>
                      <w:divBdr>
                        <w:top w:val="none" w:sz="0" w:space="0" w:color="auto"/>
                        <w:left w:val="none" w:sz="0" w:space="0" w:color="auto"/>
                        <w:bottom w:val="none" w:sz="0" w:space="0" w:color="auto"/>
                        <w:right w:val="none" w:sz="0" w:space="0" w:color="auto"/>
                      </w:divBdr>
                    </w:div>
                  </w:divsChild>
                </w:div>
                <w:div w:id="589123755">
                  <w:marLeft w:val="0"/>
                  <w:marRight w:val="0"/>
                  <w:marTop w:val="0"/>
                  <w:marBottom w:val="0"/>
                  <w:divBdr>
                    <w:top w:val="none" w:sz="0" w:space="0" w:color="auto"/>
                    <w:left w:val="none" w:sz="0" w:space="0" w:color="auto"/>
                    <w:bottom w:val="none" w:sz="0" w:space="0" w:color="auto"/>
                    <w:right w:val="none" w:sz="0" w:space="0" w:color="auto"/>
                  </w:divBdr>
                  <w:divsChild>
                    <w:div w:id="326130920">
                      <w:marLeft w:val="0"/>
                      <w:marRight w:val="0"/>
                      <w:marTop w:val="0"/>
                      <w:marBottom w:val="0"/>
                      <w:divBdr>
                        <w:top w:val="none" w:sz="0" w:space="0" w:color="auto"/>
                        <w:left w:val="none" w:sz="0" w:space="0" w:color="auto"/>
                        <w:bottom w:val="none" w:sz="0" w:space="0" w:color="auto"/>
                        <w:right w:val="none" w:sz="0" w:space="0" w:color="auto"/>
                      </w:divBdr>
                    </w:div>
                    <w:div w:id="1472213867">
                      <w:marLeft w:val="0"/>
                      <w:marRight w:val="0"/>
                      <w:marTop w:val="0"/>
                      <w:marBottom w:val="0"/>
                      <w:divBdr>
                        <w:top w:val="none" w:sz="0" w:space="0" w:color="auto"/>
                        <w:left w:val="none" w:sz="0" w:space="0" w:color="auto"/>
                        <w:bottom w:val="none" w:sz="0" w:space="0" w:color="auto"/>
                        <w:right w:val="none" w:sz="0" w:space="0" w:color="auto"/>
                      </w:divBdr>
                    </w:div>
                  </w:divsChild>
                </w:div>
                <w:div w:id="1532255343">
                  <w:marLeft w:val="0"/>
                  <w:marRight w:val="0"/>
                  <w:marTop w:val="0"/>
                  <w:marBottom w:val="0"/>
                  <w:divBdr>
                    <w:top w:val="none" w:sz="0" w:space="0" w:color="auto"/>
                    <w:left w:val="none" w:sz="0" w:space="0" w:color="auto"/>
                    <w:bottom w:val="none" w:sz="0" w:space="0" w:color="auto"/>
                    <w:right w:val="none" w:sz="0" w:space="0" w:color="auto"/>
                  </w:divBdr>
                  <w:divsChild>
                    <w:div w:id="1608080042">
                      <w:marLeft w:val="0"/>
                      <w:marRight w:val="0"/>
                      <w:marTop w:val="0"/>
                      <w:marBottom w:val="0"/>
                      <w:divBdr>
                        <w:top w:val="none" w:sz="0" w:space="0" w:color="auto"/>
                        <w:left w:val="none" w:sz="0" w:space="0" w:color="auto"/>
                        <w:bottom w:val="none" w:sz="0" w:space="0" w:color="auto"/>
                        <w:right w:val="none" w:sz="0" w:space="0" w:color="auto"/>
                      </w:divBdr>
                    </w:div>
                  </w:divsChild>
                </w:div>
                <w:div w:id="679744599">
                  <w:marLeft w:val="0"/>
                  <w:marRight w:val="0"/>
                  <w:marTop w:val="450"/>
                  <w:marBottom w:val="300"/>
                  <w:divBdr>
                    <w:top w:val="none" w:sz="0" w:space="0" w:color="auto"/>
                    <w:left w:val="none" w:sz="0" w:space="0" w:color="auto"/>
                    <w:bottom w:val="none" w:sz="0" w:space="0" w:color="auto"/>
                    <w:right w:val="none" w:sz="0" w:space="0" w:color="auto"/>
                  </w:divBdr>
                </w:div>
                <w:div w:id="810169884">
                  <w:marLeft w:val="0"/>
                  <w:marRight w:val="0"/>
                  <w:marTop w:val="0"/>
                  <w:marBottom w:val="0"/>
                  <w:divBdr>
                    <w:top w:val="none" w:sz="0" w:space="0" w:color="auto"/>
                    <w:left w:val="none" w:sz="0" w:space="0" w:color="auto"/>
                    <w:bottom w:val="none" w:sz="0" w:space="0" w:color="auto"/>
                    <w:right w:val="none" w:sz="0" w:space="0" w:color="auto"/>
                  </w:divBdr>
                  <w:divsChild>
                    <w:div w:id="1364861845">
                      <w:marLeft w:val="0"/>
                      <w:marRight w:val="0"/>
                      <w:marTop w:val="0"/>
                      <w:marBottom w:val="0"/>
                      <w:divBdr>
                        <w:top w:val="none" w:sz="0" w:space="0" w:color="auto"/>
                        <w:left w:val="none" w:sz="0" w:space="0" w:color="auto"/>
                        <w:bottom w:val="none" w:sz="0" w:space="0" w:color="auto"/>
                        <w:right w:val="none" w:sz="0" w:space="0" w:color="auto"/>
                      </w:divBdr>
                    </w:div>
                  </w:divsChild>
                </w:div>
                <w:div w:id="242104309">
                  <w:marLeft w:val="0"/>
                  <w:marRight w:val="0"/>
                  <w:marTop w:val="0"/>
                  <w:marBottom w:val="0"/>
                  <w:divBdr>
                    <w:top w:val="none" w:sz="0" w:space="0" w:color="auto"/>
                    <w:left w:val="none" w:sz="0" w:space="0" w:color="auto"/>
                    <w:bottom w:val="none" w:sz="0" w:space="0" w:color="auto"/>
                    <w:right w:val="none" w:sz="0" w:space="0" w:color="auto"/>
                  </w:divBdr>
                  <w:divsChild>
                    <w:div w:id="2010714301">
                      <w:marLeft w:val="0"/>
                      <w:marRight w:val="0"/>
                      <w:marTop w:val="0"/>
                      <w:marBottom w:val="0"/>
                      <w:divBdr>
                        <w:top w:val="none" w:sz="0" w:space="0" w:color="auto"/>
                        <w:left w:val="none" w:sz="0" w:space="0" w:color="auto"/>
                        <w:bottom w:val="none" w:sz="0" w:space="0" w:color="auto"/>
                        <w:right w:val="none" w:sz="0" w:space="0" w:color="auto"/>
                      </w:divBdr>
                    </w:div>
                    <w:div w:id="1050111501">
                      <w:marLeft w:val="0"/>
                      <w:marRight w:val="0"/>
                      <w:marTop w:val="0"/>
                      <w:marBottom w:val="0"/>
                      <w:divBdr>
                        <w:top w:val="none" w:sz="0" w:space="0" w:color="auto"/>
                        <w:left w:val="none" w:sz="0" w:space="0" w:color="auto"/>
                        <w:bottom w:val="none" w:sz="0" w:space="0" w:color="auto"/>
                        <w:right w:val="none" w:sz="0" w:space="0" w:color="auto"/>
                      </w:divBdr>
                    </w:div>
                  </w:divsChild>
                </w:div>
                <w:div w:id="787431575">
                  <w:marLeft w:val="0"/>
                  <w:marRight w:val="0"/>
                  <w:marTop w:val="0"/>
                  <w:marBottom w:val="0"/>
                  <w:divBdr>
                    <w:top w:val="none" w:sz="0" w:space="0" w:color="auto"/>
                    <w:left w:val="none" w:sz="0" w:space="0" w:color="auto"/>
                    <w:bottom w:val="none" w:sz="0" w:space="0" w:color="auto"/>
                    <w:right w:val="none" w:sz="0" w:space="0" w:color="auto"/>
                  </w:divBdr>
                  <w:divsChild>
                    <w:div w:id="1521505217">
                      <w:marLeft w:val="0"/>
                      <w:marRight w:val="0"/>
                      <w:marTop w:val="0"/>
                      <w:marBottom w:val="0"/>
                      <w:divBdr>
                        <w:top w:val="none" w:sz="0" w:space="0" w:color="auto"/>
                        <w:left w:val="none" w:sz="0" w:space="0" w:color="auto"/>
                        <w:bottom w:val="none" w:sz="0" w:space="0" w:color="auto"/>
                        <w:right w:val="none" w:sz="0" w:space="0" w:color="auto"/>
                      </w:divBdr>
                    </w:div>
                  </w:divsChild>
                </w:div>
                <w:div w:id="1861313776">
                  <w:marLeft w:val="0"/>
                  <w:marRight w:val="0"/>
                  <w:marTop w:val="0"/>
                  <w:marBottom w:val="0"/>
                  <w:divBdr>
                    <w:top w:val="none" w:sz="0" w:space="0" w:color="auto"/>
                    <w:left w:val="none" w:sz="0" w:space="0" w:color="auto"/>
                    <w:bottom w:val="none" w:sz="0" w:space="0" w:color="auto"/>
                    <w:right w:val="none" w:sz="0" w:space="0" w:color="auto"/>
                  </w:divBdr>
                  <w:divsChild>
                    <w:div w:id="1972513044">
                      <w:marLeft w:val="0"/>
                      <w:marRight w:val="0"/>
                      <w:marTop w:val="0"/>
                      <w:marBottom w:val="0"/>
                      <w:divBdr>
                        <w:top w:val="none" w:sz="0" w:space="0" w:color="auto"/>
                        <w:left w:val="none" w:sz="0" w:space="0" w:color="auto"/>
                        <w:bottom w:val="none" w:sz="0" w:space="0" w:color="auto"/>
                        <w:right w:val="none" w:sz="0" w:space="0" w:color="auto"/>
                      </w:divBdr>
                    </w:div>
                  </w:divsChild>
                </w:div>
                <w:div w:id="608121571">
                  <w:marLeft w:val="0"/>
                  <w:marRight w:val="0"/>
                  <w:marTop w:val="0"/>
                  <w:marBottom w:val="0"/>
                  <w:divBdr>
                    <w:top w:val="none" w:sz="0" w:space="0" w:color="auto"/>
                    <w:left w:val="none" w:sz="0" w:space="0" w:color="auto"/>
                    <w:bottom w:val="none" w:sz="0" w:space="0" w:color="auto"/>
                    <w:right w:val="none" w:sz="0" w:space="0" w:color="auto"/>
                  </w:divBdr>
                  <w:divsChild>
                    <w:div w:id="2063096005">
                      <w:marLeft w:val="0"/>
                      <w:marRight w:val="0"/>
                      <w:marTop w:val="0"/>
                      <w:marBottom w:val="0"/>
                      <w:divBdr>
                        <w:top w:val="none" w:sz="0" w:space="0" w:color="auto"/>
                        <w:left w:val="none" w:sz="0" w:space="0" w:color="auto"/>
                        <w:bottom w:val="none" w:sz="0" w:space="0" w:color="auto"/>
                        <w:right w:val="none" w:sz="0" w:space="0" w:color="auto"/>
                      </w:divBdr>
                    </w:div>
                  </w:divsChild>
                </w:div>
                <w:div w:id="63990578">
                  <w:marLeft w:val="0"/>
                  <w:marRight w:val="0"/>
                  <w:marTop w:val="0"/>
                  <w:marBottom w:val="0"/>
                  <w:divBdr>
                    <w:top w:val="none" w:sz="0" w:space="0" w:color="auto"/>
                    <w:left w:val="none" w:sz="0" w:space="0" w:color="auto"/>
                    <w:bottom w:val="none" w:sz="0" w:space="0" w:color="auto"/>
                    <w:right w:val="none" w:sz="0" w:space="0" w:color="auto"/>
                  </w:divBdr>
                  <w:divsChild>
                    <w:div w:id="893740730">
                      <w:marLeft w:val="0"/>
                      <w:marRight w:val="0"/>
                      <w:marTop w:val="0"/>
                      <w:marBottom w:val="0"/>
                      <w:divBdr>
                        <w:top w:val="none" w:sz="0" w:space="0" w:color="auto"/>
                        <w:left w:val="none" w:sz="0" w:space="0" w:color="auto"/>
                        <w:bottom w:val="none" w:sz="0" w:space="0" w:color="auto"/>
                        <w:right w:val="none" w:sz="0" w:space="0" w:color="auto"/>
                      </w:divBdr>
                    </w:div>
                  </w:divsChild>
                </w:div>
                <w:div w:id="2108648529">
                  <w:marLeft w:val="0"/>
                  <w:marRight w:val="0"/>
                  <w:marTop w:val="0"/>
                  <w:marBottom w:val="0"/>
                  <w:divBdr>
                    <w:top w:val="none" w:sz="0" w:space="0" w:color="auto"/>
                    <w:left w:val="none" w:sz="0" w:space="0" w:color="auto"/>
                    <w:bottom w:val="none" w:sz="0" w:space="0" w:color="auto"/>
                    <w:right w:val="none" w:sz="0" w:space="0" w:color="auto"/>
                  </w:divBdr>
                  <w:divsChild>
                    <w:div w:id="2146846144">
                      <w:marLeft w:val="0"/>
                      <w:marRight w:val="0"/>
                      <w:marTop w:val="0"/>
                      <w:marBottom w:val="0"/>
                      <w:divBdr>
                        <w:top w:val="none" w:sz="0" w:space="0" w:color="auto"/>
                        <w:left w:val="none" w:sz="0" w:space="0" w:color="auto"/>
                        <w:bottom w:val="none" w:sz="0" w:space="0" w:color="auto"/>
                        <w:right w:val="none" w:sz="0" w:space="0" w:color="auto"/>
                      </w:divBdr>
                    </w:div>
                  </w:divsChild>
                </w:div>
                <w:div w:id="970981471">
                  <w:marLeft w:val="0"/>
                  <w:marRight w:val="0"/>
                  <w:marTop w:val="0"/>
                  <w:marBottom w:val="0"/>
                  <w:divBdr>
                    <w:top w:val="none" w:sz="0" w:space="0" w:color="auto"/>
                    <w:left w:val="none" w:sz="0" w:space="0" w:color="auto"/>
                    <w:bottom w:val="none" w:sz="0" w:space="0" w:color="auto"/>
                    <w:right w:val="none" w:sz="0" w:space="0" w:color="auto"/>
                  </w:divBdr>
                  <w:divsChild>
                    <w:div w:id="90392763">
                      <w:marLeft w:val="0"/>
                      <w:marRight w:val="0"/>
                      <w:marTop w:val="0"/>
                      <w:marBottom w:val="0"/>
                      <w:divBdr>
                        <w:top w:val="none" w:sz="0" w:space="0" w:color="auto"/>
                        <w:left w:val="none" w:sz="0" w:space="0" w:color="auto"/>
                        <w:bottom w:val="none" w:sz="0" w:space="0" w:color="auto"/>
                        <w:right w:val="none" w:sz="0" w:space="0" w:color="auto"/>
                      </w:divBdr>
                    </w:div>
                  </w:divsChild>
                </w:div>
                <w:div w:id="2122609013">
                  <w:marLeft w:val="0"/>
                  <w:marRight w:val="0"/>
                  <w:marTop w:val="0"/>
                  <w:marBottom w:val="0"/>
                  <w:divBdr>
                    <w:top w:val="none" w:sz="0" w:space="0" w:color="auto"/>
                    <w:left w:val="none" w:sz="0" w:space="0" w:color="auto"/>
                    <w:bottom w:val="none" w:sz="0" w:space="0" w:color="auto"/>
                    <w:right w:val="none" w:sz="0" w:space="0" w:color="auto"/>
                  </w:divBdr>
                  <w:divsChild>
                    <w:div w:id="1144354293">
                      <w:marLeft w:val="0"/>
                      <w:marRight w:val="0"/>
                      <w:marTop w:val="0"/>
                      <w:marBottom w:val="0"/>
                      <w:divBdr>
                        <w:top w:val="none" w:sz="0" w:space="0" w:color="auto"/>
                        <w:left w:val="none" w:sz="0" w:space="0" w:color="auto"/>
                        <w:bottom w:val="none" w:sz="0" w:space="0" w:color="auto"/>
                        <w:right w:val="none" w:sz="0" w:space="0" w:color="auto"/>
                      </w:divBdr>
                    </w:div>
                    <w:div w:id="1638415701">
                      <w:marLeft w:val="0"/>
                      <w:marRight w:val="0"/>
                      <w:marTop w:val="0"/>
                      <w:marBottom w:val="0"/>
                      <w:divBdr>
                        <w:top w:val="none" w:sz="0" w:space="0" w:color="auto"/>
                        <w:left w:val="none" w:sz="0" w:space="0" w:color="auto"/>
                        <w:bottom w:val="none" w:sz="0" w:space="0" w:color="auto"/>
                        <w:right w:val="none" w:sz="0" w:space="0" w:color="auto"/>
                      </w:divBdr>
                    </w:div>
                  </w:divsChild>
                </w:div>
                <w:div w:id="960455478">
                  <w:marLeft w:val="0"/>
                  <w:marRight w:val="0"/>
                  <w:marTop w:val="0"/>
                  <w:marBottom w:val="0"/>
                  <w:divBdr>
                    <w:top w:val="none" w:sz="0" w:space="0" w:color="auto"/>
                    <w:left w:val="none" w:sz="0" w:space="0" w:color="auto"/>
                    <w:bottom w:val="none" w:sz="0" w:space="0" w:color="auto"/>
                    <w:right w:val="none" w:sz="0" w:space="0" w:color="auto"/>
                  </w:divBdr>
                  <w:divsChild>
                    <w:div w:id="906765876">
                      <w:marLeft w:val="0"/>
                      <w:marRight w:val="0"/>
                      <w:marTop w:val="0"/>
                      <w:marBottom w:val="0"/>
                      <w:divBdr>
                        <w:top w:val="none" w:sz="0" w:space="0" w:color="auto"/>
                        <w:left w:val="none" w:sz="0" w:space="0" w:color="auto"/>
                        <w:bottom w:val="none" w:sz="0" w:space="0" w:color="auto"/>
                        <w:right w:val="none" w:sz="0" w:space="0" w:color="auto"/>
                      </w:divBdr>
                    </w:div>
                  </w:divsChild>
                </w:div>
                <w:div w:id="396242402">
                  <w:marLeft w:val="0"/>
                  <w:marRight w:val="0"/>
                  <w:marTop w:val="450"/>
                  <w:marBottom w:val="300"/>
                  <w:divBdr>
                    <w:top w:val="none" w:sz="0" w:space="0" w:color="auto"/>
                    <w:left w:val="none" w:sz="0" w:space="0" w:color="auto"/>
                    <w:bottom w:val="none" w:sz="0" w:space="0" w:color="auto"/>
                    <w:right w:val="none" w:sz="0" w:space="0" w:color="auto"/>
                  </w:divBdr>
                </w:div>
                <w:div w:id="1427340675">
                  <w:marLeft w:val="0"/>
                  <w:marRight w:val="0"/>
                  <w:marTop w:val="0"/>
                  <w:marBottom w:val="0"/>
                  <w:divBdr>
                    <w:top w:val="none" w:sz="0" w:space="0" w:color="auto"/>
                    <w:left w:val="none" w:sz="0" w:space="0" w:color="auto"/>
                    <w:bottom w:val="none" w:sz="0" w:space="0" w:color="auto"/>
                    <w:right w:val="none" w:sz="0" w:space="0" w:color="auto"/>
                  </w:divBdr>
                  <w:divsChild>
                    <w:div w:id="1475833162">
                      <w:marLeft w:val="0"/>
                      <w:marRight w:val="0"/>
                      <w:marTop w:val="0"/>
                      <w:marBottom w:val="0"/>
                      <w:divBdr>
                        <w:top w:val="none" w:sz="0" w:space="0" w:color="auto"/>
                        <w:left w:val="none" w:sz="0" w:space="0" w:color="auto"/>
                        <w:bottom w:val="none" w:sz="0" w:space="0" w:color="auto"/>
                        <w:right w:val="none" w:sz="0" w:space="0" w:color="auto"/>
                      </w:divBdr>
                    </w:div>
                  </w:divsChild>
                </w:div>
                <w:div w:id="465858386">
                  <w:marLeft w:val="0"/>
                  <w:marRight w:val="0"/>
                  <w:marTop w:val="0"/>
                  <w:marBottom w:val="0"/>
                  <w:divBdr>
                    <w:top w:val="none" w:sz="0" w:space="0" w:color="auto"/>
                    <w:left w:val="none" w:sz="0" w:space="0" w:color="auto"/>
                    <w:bottom w:val="none" w:sz="0" w:space="0" w:color="auto"/>
                    <w:right w:val="none" w:sz="0" w:space="0" w:color="auto"/>
                  </w:divBdr>
                  <w:divsChild>
                    <w:div w:id="698745797">
                      <w:marLeft w:val="0"/>
                      <w:marRight w:val="0"/>
                      <w:marTop w:val="0"/>
                      <w:marBottom w:val="0"/>
                      <w:divBdr>
                        <w:top w:val="none" w:sz="0" w:space="0" w:color="auto"/>
                        <w:left w:val="none" w:sz="0" w:space="0" w:color="auto"/>
                        <w:bottom w:val="none" w:sz="0" w:space="0" w:color="auto"/>
                        <w:right w:val="none" w:sz="0" w:space="0" w:color="auto"/>
                      </w:divBdr>
                    </w:div>
                  </w:divsChild>
                </w:div>
                <w:div w:id="489641059">
                  <w:marLeft w:val="0"/>
                  <w:marRight w:val="0"/>
                  <w:marTop w:val="0"/>
                  <w:marBottom w:val="0"/>
                  <w:divBdr>
                    <w:top w:val="none" w:sz="0" w:space="0" w:color="auto"/>
                    <w:left w:val="none" w:sz="0" w:space="0" w:color="auto"/>
                    <w:bottom w:val="none" w:sz="0" w:space="0" w:color="auto"/>
                    <w:right w:val="none" w:sz="0" w:space="0" w:color="auto"/>
                  </w:divBdr>
                  <w:divsChild>
                    <w:div w:id="854343662">
                      <w:marLeft w:val="0"/>
                      <w:marRight w:val="0"/>
                      <w:marTop w:val="0"/>
                      <w:marBottom w:val="0"/>
                      <w:divBdr>
                        <w:top w:val="none" w:sz="0" w:space="0" w:color="auto"/>
                        <w:left w:val="none" w:sz="0" w:space="0" w:color="auto"/>
                        <w:bottom w:val="none" w:sz="0" w:space="0" w:color="auto"/>
                        <w:right w:val="none" w:sz="0" w:space="0" w:color="auto"/>
                      </w:divBdr>
                    </w:div>
                  </w:divsChild>
                </w:div>
                <w:div w:id="961350777">
                  <w:marLeft w:val="0"/>
                  <w:marRight w:val="0"/>
                  <w:marTop w:val="0"/>
                  <w:marBottom w:val="0"/>
                  <w:divBdr>
                    <w:top w:val="none" w:sz="0" w:space="0" w:color="auto"/>
                    <w:left w:val="none" w:sz="0" w:space="0" w:color="auto"/>
                    <w:bottom w:val="none" w:sz="0" w:space="0" w:color="auto"/>
                    <w:right w:val="none" w:sz="0" w:space="0" w:color="auto"/>
                  </w:divBdr>
                  <w:divsChild>
                    <w:div w:id="103891030">
                      <w:marLeft w:val="0"/>
                      <w:marRight w:val="0"/>
                      <w:marTop w:val="0"/>
                      <w:marBottom w:val="0"/>
                      <w:divBdr>
                        <w:top w:val="none" w:sz="0" w:space="0" w:color="auto"/>
                        <w:left w:val="none" w:sz="0" w:space="0" w:color="auto"/>
                        <w:bottom w:val="none" w:sz="0" w:space="0" w:color="auto"/>
                        <w:right w:val="none" w:sz="0" w:space="0" w:color="auto"/>
                      </w:divBdr>
                    </w:div>
                  </w:divsChild>
                </w:div>
                <w:div w:id="2022932287">
                  <w:marLeft w:val="0"/>
                  <w:marRight w:val="0"/>
                  <w:marTop w:val="0"/>
                  <w:marBottom w:val="0"/>
                  <w:divBdr>
                    <w:top w:val="none" w:sz="0" w:space="0" w:color="auto"/>
                    <w:left w:val="none" w:sz="0" w:space="0" w:color="auto"/>
                    <w:bottom w:val="none" w:sz="0" w:space="0" w:color="auto"/>
                    <w:right w:val="none" w:sz="0" w:space="0" w:color="auto"/>
                  </w:divBdr>
                  <w:divsChild>
                    <w:div w:id="284505360">
                      <w:marLeft w:val="0"/>
                      <w:marRight w:val="0"/>
                      <w:marTop w:val="0"/>
                      <w:marBottom w:val="0"/>
                      <w:divBdr>
                        <w:top w:val="none" w:sz="0" w:space="0" w:color="auto"/>
                        <w:left w:val="none" w:sz="0" w:space="0" w:color="auto"/>
                        <w:bottom w:val="none" w:sz="0" w:space="0" w:color="auto"/>
                        <w:right w:val="none" w:sz="0" w:space="0" w:color="auto"/>
                      </w:divBdr>
                    </w:div>
                    <w:div w:id="1368212648">
                      <w:marLeft w:val="0"/>
                      <w:marRight w:val="0"/>
                      <w:marTop w:val="0"/>
                      <w:marBottom w:val="0"/>
                      <w:divBdr>
                        <w:top w:val="none" w:sz="0" w:space="0" w:color="auto"/>
                        <w:left w:val="none" w:sz="0" w:space="0" w:color="auto"/>
                        <w:bottom w:val="none" w:sz="0" w:space="0" w:color="auto"/>
                        <w:right w:val="none" w:sz="0" w:space="0" w:color="auto"/>
                      </w:divBdr>
                    </w:div>
                  </w:divsChild>
                </w:div>
                <w:div w:id="1185941081">
                  <w:marLeft w:val="0"/>
                  <w:marRight w:val="0"/>
                  <w:marTop w:val="450"/>
                  <w:marBottom w:val="300"/>
                  <w:divBdr>
                    <w:top w:val="none" w:sz="0" w:space="0" w:color="auto"/>
                    <w:left w:val="none" w:sz="0" w:space="0" w:color="auto"/>
                    <w:bottom w:val="none" w:sz="0" w:space="0" w:color="auto"/>
                    <w:right w:val="none" w:sz="0" w:space="0" w:color="auto"/>
                  </w:divBdr>
                </w:div>
                <w:div w:id="950356363">
                  <w:marLeft w:val="0"/>
                  <w:marRight w:val="0"/>
                  <w:marTop w:val="0"/>
                  <w:marBottom w:val="0"/>
                  <w:divBdr>
                    <w:top w:val="none" w:sz="0" w:space="0" w:color="auto"/>
                    <w:left w:val="none" w:sz="0" w:space="0" w:color="auto"/>
                    <w:bottom w:val="none" w:sz="0" w:space="0" w:color="auto"/>
                    <w:right w:val="none" w:sz="0" w:space="0" w:color="auto"/>
                  </w:divBdr>
                  <w:divsChild>
                    <w:div w:id="137382546">
                      <w:marLeft w:val="0"/>
                      <w:marRight w:val="0"/>
                      <w:marTop w:val="0"/>
                      <w:marBottom w:val="0"/>
                      <w:divBdr>
                        <w:top w:val="none" w:sz="0" w:space="0" w:color="auto"/>
                        <w:left w:val="none" w:sz="0" w:space="0" w:color="auto"/>
                        <w:bottom w:val="none" w:sz="0" w:space="0" w:color="auto"/>
                        <w:right w:val="none" w:sz="0" w:space="0" w:color="auto"/>
                      </w:divBdr>
                    </w:div>
                    <w:div w:id="1388381146">
                      <w:marLeft w:val="0"/>
                      <w:marRight w:val="0"/>
                      <w:marTop w:val="0"/>
                      <w:marBottom w:val="0"/>
                      <w:divBdr>
                        <w:top w:val="none" w:sz="0" w:space="0" w:color="auto"/>
                        <w:left w:val="none" w:sz="0" w:space="0" w:color="auto"/>
                        <w:bottom w:val="none" w:sz="0" w:space="0" w:color="auto"/>
                        <w:right w:val="none" w:sz="0" w:space="0" w:color="auto"/>
                      </w:divBdr>
                    </w:div>
                  </w:divsChild>
                </w:div>
                <w:div w:id="1437864755">
                  <w:marLeft w:val="0"/>
                  <w:marRight w:val="0"/>
                  <w:marTop w:val="450"/>
                  <w:marBottom w:val="300"/>
                  <w:divBdr>
                    <w:top w:val="none" w:sz="0" w:space="0" w:color="auto"/>
                    <w:left w:val="none" w:sz="0" w:space="0" w:color="auto"/>
                    <w:bottom w:val="none" w:sz="0" w:space="0" w:color="auto"/>
                    <w:right w:val="none" w:sz="0" w:space="0" w:color="auto"/>
                  </w:divBdr>
                </w:div>
                <w:div w:id="426656245">
                  <w:marLeft w:val="0"/>
                  <w:marRight w:val="0"/>
                  <w:marTop w:val="450"/>
                  <w:marBottom w:val="300"/>
                  <w:divBdr>
                    <w:top w:val="none" w:sz="0" w:space="0" w:color="auto"/>
                    <w:left w:val="none" w:sz="0" w:space="0" w:color="auto"/>
                    <w:bottom w:val="none" w:sz="0" w:space="0" w:color="auto"/>
                    <w:right w:val="none" w:sz="0" w:space="0" w:color="auto"/>
                  </w:divBdr>
                </w:div>
                <w:div w:id="511603976">
                  <w:marLeft w:val="0"/>
                  <w:marRight w:val="0"/>
                  <w:marTop w:val="0"/>
                  <w:marBottom w:val="0"/>
                  <w:divBdr>
                    <w:top w:val="none" w:sz="0" w:space="0" w:color="auto"/>
                    <w:left w:val="none" w:sz="0" w:space="0" w:color="auto"/>
                    <w:bottom w:val="none" w:sz="0" w:space="0" w:color="auto"/>
                    <w:right w:val="none" w:sz="0" w:space="0" w:color="auto"/>
                  </w:divBdr>
                  <w:divsChild>
                    <w:div w:id="1831411260">
                      <w:marLeft w:val="0"/>
                      <w:marRight w:val="0"/>
                      <w:marTop w:val="0"/>
                      <w:marBottom w:val="0"/>
                      <w:divBdr>
                        <w:top w:val="none" w:sz="0" w:space="0" w:color="auto"/>
                        <w:left w:val="none" w:sz="0" w:space="0" w:color="auto"/>
                        <w:bottom w:val="none" w:sz="0" w:space="0" w:color="auto"/>
                        <w:right w:val="none" w:sz="0" w:space="0" w:color="auto"/>
                      </w:divBdr>
                    </w:div>
                    <w:div w:id="2114086206">
                      <w:marLeft w:val="0"/>
                      <w:marRight w:val="0"/>
                      <w:marTop w:val="0"/>
                      <w:marBottom w:val="0"/>
                      <w:divBdr>
                        <w:top w:val="none" w:sz="0" w:space="0" w:color="auto"/>
                        <w:left w:val="none" w:sz="0" w:space="0" w:color="auto"/>
                        <w:bottom w:val="none" w:sz="0" w:space="0" w:color="auto"/>
                        <w:right w:val="none" w:sz="0" w:space="0" w:color="auto"/>
                      </w:divBdr>
                    </w:div>
                  </w:divsChild>
                </w:div>
                <w:div w:id="296108236">
                  <w:marLeft w:val="0"/>
                  <w:marRight w:val="0"/>
                  <w:marTop w:val="0"/>
                  <w:marBottom w:val="0"/>
                  <w:divBdr>
                    <w:top w:val="none" w:sz="0" w:space="0" w:color="auto"/>
                    <w:left w:val="none" w:sz="0" w:space="0" w:color="auto"/>
                    <w:bottom w:val="none" w:sz="0" w:space="0" w:color="auto"/>
                    <w:right w:val="none" w:sz="0" w:space="0" w:color="auto"/>
                  </w:divBdr>
                  <w:divsChild>
                    <w:div w:id="1775830197">
                      <w:marLeft w:val="0"/>
                      <w:marRight w:val="0"/>
                      <w:marTop w:val="0"/>
                      <w:marBottom w:val="0"/>
                      <w:divBdr>
                        <w:top w:val="none" w:sz="0" w:space="0" w:color="auto"/>
                        <w:left w:val="none" w:sz="0" w:space="0" w:color="auto"/>
                        <w:bottom w:val="none" w:sz="0" w:space="0" w:color="auto"/>
                        <w:right w:val="none" w:sz="0" w:space="0" w:color="auto"/>
                      </w:divBdr>
                    </w:div>
                  </w:divsChild>
                </w:div>
                <w:div w:id="394671953">
                  <w:marLeft w:val="0"/>
                  <w:marRight w:val="0"/>
                  <w:marTop w:val="0"/>
                  <w:marBottom w:val="0"/>
                  <w:divBdr>
                    <w:top w:val="none" w:sz="0" w:space="0" w:color="auto"/>
                    <w:left w:val="none" w:sz="0" w:space="0" w:color="auto"/>
                    <w:bottom w:val="none" w:sz="0" w:space="0" w:color="auto"/>
                    <w:right w:val="none" w:sz="0" w:space="0" w:color="auto"/>
                  </w:divBdr>
                  <w:divsChild>
                    <w:div w:id="1649433170">
                      <w:marLeft w:val="0"/>
                      <w:marRight w:val="0"/>
                      <w:marTop w:val="0"/>
                      <w:marBottom w:val="0"/>
                      <w:divBdr>
                        <w:top w:val="none" w:sz="0" w:space="0" w:color="auto"/>
                        <w:left w:val="none" w:sz="0" w:space="0" w:color="auto"/>
                        <w:bottom w:val="none" w:sz="0" w:space="0" w:color="auto"/>
                        <w:right w:val="none" w:sz="0" w:space="0" w:color="auto"/>
                      </w:divBdr>
                    </w:div>
                  </w:divsChild>
                </w:div>
                <w:div w:id="571043074">
                  <w:marLeft w:val="0"/>
                  <w:marRight w:val="0"/>
                  <w:marTop w:val="0"/>
                  <w:marBottom w:val="0"/>
                  <w:divBdr>
                    <w:top w:val="none" w:sz="0" w:space="0" w:color="auto"/>
                    <w:left w:val="none" w:sz="0" w:space="0" w:color="auto"/>
                    <w:bottom w:val="none" w:sz="0" w:space="0" w:color="auto"/>
                    <w:right w:val="none" w:sz="0" w:space="0" w:color="auto"/>
                  </w:divBdr>
                  <w:divsChild>
                    <w:div w:id="599222275">
                      <w:marLeft w:val="0"/>
                      <w:marRight w:val="0"/>
                      <w:marTop w:val="0"/>
                      <w:marBottom w:val="0"/>
                      <w:divBdr>
                        <w:top w:val="none" w:sz="0" w:space="0" w:color="auto"/>
                        <w:left w:val="none" w:sz="0" w:space="0" w:color="auto"/>
                        <w:bottom w:val="none" w:sz="0" w:space="0" w:color="auto"/>
                        <w:right w:val="none" w:sz="0" w:space="0" w:color="auto"/>
                      </w:divBdr>
                    </w:div>
                    <w:div w:id="1375350049">
                      <w:marLeft w:val="0"/>
                      <w:marRight w:val="0"/>
                      <w:marTop w:val="0"/>
                      <w:marBottom w:val="0"/>
                      <w:divBdr>
                        <w:top w:val="none" w:sz="0" w:space="0" w:color="auto"/>
                        <w:left w:val="none" w:sz="0" w:space="0" w:color="auto"/>
                        <w:bottom w:val="none" w:sz="0" w:space="0" w:color="auto"/>
                        <w:right w:val="none" w:sz="0" w:space="0" w:color="auto"/>
                      </w:divBdr>
                    </w:div>
                  </w:divsChild>
                </w:div>
                <w:div w:id="1429036798">
                  <w:marLeft w:val="0"/>
                  <w:marRight w:val="0"/>
                  <w:marTop w:val="0"/>
                  <w:marBottom w:val="0"/>
                  <w:divBdr>
                    <w:top w:val="none" w:sz="0" w:space="0" w:color="auto"/>
                    <w:left w:val="none" w:sz="0" w:space="0" w:color="auto"/>
                    <w:bottom w:val="none" w:sz="0" w:space="0" w:color="auto"/>
                    <w:right w:val="none" w:sz="0" w:space="0" w:color="auto"/>
                  </w:divBdr>
                  <w:divsChild>
                    <w:div w:id="219173491">
                      <w:marLeft w:val="0"/>
                      <w:marRight w:val="0"/>
                      <w:marTop w:val="0"/>
                      <w:marBottom w:val="0"/>
                      <w:divBdr>
                        <w:top w:val="none" w:sz="0" w:space="0" w:color="auto"/>
                        <w:left w:val="none" w:sz="0" w:space="0" w:color="auto"/>
                        <w:bottom w:val="none" w:sz="0" w:space="0" w:color="auto"/>
                        <w:right w:val="none" w:sz="0" w:space="0" w:color="auto"/>
                      </w:divBdr>
                    </w:div>
                  </w:divsChild>
                </w:div>
                <w:div w:id="425618958">
                  <w:marLeft w:val="0"/>
                  <w:marRight w:val="0"/>
                  <w:marTop w:val="0"/>
                  <w:marBottom w:val="0"/>
                  <w:divBdr>
                    <w:top w:val="none" w:sz="0" w:space="0" w:color="auto"/>
                    <w:left w:val="none" w:sz="0" w:space="0" w:color="auto"/>
                    <w:bottom w:val="none" w:sz="0" w:space="0" w:color="auto"/>
                    <w:right w:val="none" w:sz="0" w:space="0" w:color="auto"/>
                  </w:divBdr>
                  <w:divsChild>
                    <w:div w:id="1821074848">
                      <w:marLeft w:val="0"/>
                      <w:marRight w:val="0"/>
                      <w:marTop w:val="0"/>
                      <w:marBottom w:val="0"/>
                      <w:divBdr>
                        <w:top w:val="none" w:sz="0" w:space="0" w:color="auto"/>
                        <w:left w:val="none" w:sz="0" w:space="0" w:color="auto"/>
                        <w:bottom w:val="none" w:sz="0" w:space="0" w:color="auto"/>
                        <w:right w:val="none" w:sz="0" w:space="0" w:color="auto"/>
                      </w:divBdr>
                    </w:div>
                    <w:div w:id="1267081115">
                      <w:marLeft w:val="0"/>
                      <w:marRight w:val="0"/>
                      <w:marTop w:val="0"/>
                      <w:marBottom w:val="0"/>
                      <w:divBdr>
                        <w:top w:val="none" w:sz="0" w:space="0" w:color="auto"/>
                        <w:left w:val="none" w:sz="0" w:space="0" w:color="auto"/>
                        <w:bottom w:val="none" w:sz="0" w:space="0" w:color="auto"/>
                        <w:right w:val="none" w:sz="0" w:space="0" w:color="auto"/>
                      </w:divBdr>
                    </w:div>
                  </w:divsChild>
                </w:div>
                <w:div w:id="1462961316">
                  <w:marLeft w:val="0"/>
                  <w:marRight w:val="0"/>
                  <w:marTop w:val="0"/>
                  <w:marBottom w:val="0"/>
                  <w:divBdr>
                    <w:top w:val="none" w:sz="0" w:space="0" w:color="auto"/>
                    <w:left w:val="none" w:sz="0" w:space="0" w:color="auto"/>
                    <w:bottom w:val="none" w:sz="0" w:space="0" w:color="auto"/>
                    <w:right w:val="none" w:sz="0" w:space="0" w:color="auto"/>
                  </w:divBdr>
                  <w:divsChild>
                    <w:div w:id="1197887327">
                      <w:marLeft w:val="0"/>
                      <w:marRight w:val="0"/>
                      <w:marTop w:val="0"/>
                      <w:marBottom w:val="0"/>
                      <w:divBdr>
                        <w:top w:val="none" w:sz="0" w:space="0" w:color="auto"/>
                        <w:left w:val="none" w:sz="0" w:space="0" w:color="auto"/>
                        <w:bottom w:val="none" w:sz="0" w:space="0" w:color="auto"/>
                        <w:right w:val="none" w:sz="0" w:space="0" w:color="auto"/>
                      </w:divBdr>
                    </w:div>
                    <w:div w:id="3828986">
                      <w:marLeft w:val="0"/>
                      <w:marRight w:val="0"/>
                      <w:marTop w:val="0"/>
                      <w:marBottom w:val="0"/>
                      <w:divBdr>
                        <w:top w:val="none" w:sz="0" w:space="0" w:color="auto"/>
                        <w:left w:val="none" w:sz="0" w:space="0" w:color="auto"/>
                        <w:bottom w:val="none" w:sz="0" w:space="0" w:color="auto"/>
                        <w:right w:val="none" w:sz="0" w:space="0" w:color="auto"/>
                      </w:divBdr>
                    </w:div>
                  </w:divsChild>
                </w:div>
                <w:div w:id="564729634">
                  <w:marLeft w:val="0"/>
                  <w:marRight w:val="0"/>
                  <w:marTop w:val="450"/>
                  <w:marBottom w:val="300"/>
                  <w:divBdr>
                    <w:top w:val="none" w:sz="0" w:space="0" w:color="auto"/>
                    <w:left w:val="none" w:sz="0" w:space="0" w:color="auto"/>
                    <w:bottom w:val="none" w:sz="0" w:space="0" w:color="auto"/>
                    <w:right w:val="none" w:sz="0" w:space="0" w:color="auto"/>
                  </w:divBdr>
                </w:div>
                <w:div w:id="35929438">
                  <w:marLeft w:val="0"/>
                  <w:marRight w:val="0"/>
                  <w:marTop w:val="0"/>
                  <w:marBottom w:val="0"/>
                  <w:divBdr>
                    <w:top w:val="none" w:sz="0" w:space="0" w:color="auto"/>
                    <w:left w:val="none" w:sz="0" w:space="0" w:color="auto"/>
                    <w:bottom w:val="none" w:sz="0" w:space="0" w:color="auto"/>
                    <w:right w:val="none" w:sz="0" w:space="0" w:color="auto"/>
                  </w:divBdr>
                  <w:divsChild>
                    <w:div w:id="1950963243">
                      <w:marLeft w:val="0"/>
                      <w:marRight w:val="0"/>
                      <w:marTop w:val="0"/>
                      <w:marBottom w:val="0"/>
                      <w:divBdr>
                        <w:top w:val="none" w:sz="0" w:space="0" w:color="auto"/>
                        <w:left w:val="none" w:sz="0" w:space="0" w:color="auto"/>
                        <w:bottom w:val="none" w:sz="0" w:space="0" w:color="auto"/>
                        <w:right w:val="none" w:sz="0" w:space="0" w:color="auto"/>
                      </w:divBdr>
                    </w:div>
                    <w:div w:id="1417479452">
                      <w:marLeft w:val="0"/>
                      <w:marRight w:val="0"/>
                      <w:marTop w:val="0"/>
                      <w:marBottom w:val="0"/>
                      <w:divBdr>
                        <w:top w:val="none" w:sz="0" w:space="0" w:color="auto"/>
                        <w:left w:val="none" w:sz="0" w:space="0" w:color="auto"/>
                        <w:bottom w:val="none" w:sz="0" w:space="0" w:color="auto"/>
                        <w:right w:val="none" w:sz="0" w:space="0" w:color="auto"/>
                      </w:divBdr>
                    </w:div>
                  </w:divsChild>
                </w:div>
                <w:div w:id="904493767">
                  <w:marLeft w:val="0"/>
                  <w:marRight w:val="0"/>
                  <w:marTop w:val="0"/>
                  <w:marBottom w:val="0"/>
                  <w:divBdr>
                    <w:top w:val="none" w:sz="0" w:space="0" w:color="auto"/>
                    <w:left w:val="none" w:sz="0" w:space="0" w:color="auto"/>
                    <w:bottom w:val="none" w:sz="0" w:space="0" w:color="auto"/>
                    <w:right w:val="none" w:sz="0" w:space="0" w:color="auto"/>
                  </w:divBdr>
                  <w:divsChild>
                    <w:div w:id="1769039564">
                      <w:marLeft w:val="0"/>
                      <w:marRight w:val="0"/>
                      <w:marTop w:val="0"/>
                      <w:marBottom w:val="0"/>
                      <w:divBdr>
                        <w:top w:val="none" w:sz="0" w:space="0" w:color="auto"/>
                        <w:left w:val="none" w:sz="0" w:space="0" w:color="auto"/>
                        <w:bottom w:val="none" w:sz="0" w:space="0" w:color="auto"/>
                        <w:right w:val="none" w:sz="0" w:space="0" w:color="auto"/>
                      </w:divBdr>
                    </w:div>
                  </w:divsChild>
                </w:div>
                <w:div w:id="1619095750">
                  <w:marLeft w:val="0"/>
                  <w:marRight w:val="0"/>
                  <w:marTop w:val="0"/>
                  <w:marBottom w:val="0"/>
                  <w:divBdr>
                    <w:top w:val="none" w:sz="0" w:space="0" w:color="auto"/>
                    <w:left w:val="none" w:sz="0" w:space="0" w:color="auto"/>
                    <w:bottom w:val="none" w:sz="0" w:space="0" w:color="auto"/>
                    <w:right w:val="none" w:sz="0" w:space="0" w:color="auto"/>
                  </w:divBdr>
                  <w:divsChild>
                    <w:div w:id="1308777174">
                      <w:marLeft w:val="0"/>
                      <w:marRight w:val="0"/>
                      <w:marTop w:val="0"/>
                      <w:marBottom w:val="0"/>
                      <w:divBdr>
                        <w:top w:val="none" w:sz="0" w:space="0" w:color="auto"/>
                        <w:left w:val="none" w:sz="0" w:space="0" w:color="auto"/>
                        <w:bottom w:val="none" w:sz="0" w:space="0" w:color="auto"/>
                        <w:right w:val="none" w:sz="0" w:space="0" w:color="auto"/>
                      </w:divBdr>
                    </w:div>
                  </w:divsChild>
                </w:div>
                <w:div w:id="892929155">
                  <w:marLeft w:val="0"/>
                  <w:marRight w:val="0"/>
                  <w:marTop w:val="0"/>
                  <w:marBottom w:val="0"/>
                  <w:divBdr>
                    <w:top w:val="none" w:sz="0" w:space="0" w:color="auto"/>
                    <w:left w:val="none" w:sz="0" w:space="0" w:color="auto"/>
                    <w:bottom w:val="none" w:sz="0" w:space="0" w:color="auto"/>
                    <w:right w:val="none" w:sz="0" w:space="0" w:color="auto"/>
                  </w:divBdr>
                  <w:divsChild>
                    <w:div w:id="346448897">
                      <w:marLeft w:val="0"/>
                      <w:marRight w:val="0"/>
                      <w:marTop w:val="0"/>
                      <w:marBottom w:val="0"/>
                      <w:divBdr>
                        <w:top w:val="none" w:sz="0" w:space="0" w:color="auto"/>
                        <w:left w:val="none" w:sz="0" w:space="0" w:color="auto"/>
                        <w:bottom w:val="none" w:sz="0" w:space="0" w:color="auto"/>
                        <w:right w:val="none" w:sz="0" w:space="0" w:color="auto"/>
                      </w:divBdr>
                    </w:div>
                    <w:div w:id="619578556">
                      <w:marLeft w:val="0"/>
                      <w:marRight w:val="0"/>
                      <w:marTop w:val="0"/>
                      <w:marBottom w:val="0"/>
                      <w:divBdr>
                        <w:top w:val="none" w:sz="0" w:space="0" w:color="auto"/>
                        <w:left w:val="none" w:sz="0" w:space="0" w:color="auto"/>
                        <w:bottom w:val="none" w:sz="0" w:space="0" w:color="auto"/>
                        <w:right w:val="none" w:sz="0" w:space="0" w:color="auto"/>
                      </w:divBdr>
                    </w:div>
                  </w:divsChild>
                </w:div>
                <w:div w:id="142547703">
                  <w:marLeft w:val="0"/>
                  <w:marRight w:val="0"/>
                  <w:marTop w:val="0"/>
                  <w:marBottom w:val="0"/>
                  <w:divBdr>
                    <w:top w:val="none" w:sz="0" w:space="0" w:color="auto"/>
                    <w:left w:val="none" w:sz="0" w:space="0" w:color="auto"/>
                    <w:bottom w:val="none" w:sz="0" w:space="0" w:color="auto"/>
                    <w:right w:val="none" w:sz="0" w:space="0" w:color="auto"/>
                  </w:divBdr>
                  <w:divsChild>
                    <w:div w:id="728958646">
                      <w:marLeft w:val="0"/>
                      <w:marRight w:val="0"/>
                      <w:marTop w:val="0"/>
                      <w:marBottom w:val="0"/>
                      <w:divBdr>
                        <w:top w:val="none" w:sz="0" w:space="0" w:color="auto"/>
                        <w:left w:val="none" w:sz="0" w:space="0" w:color="auto"/>
                        <w:bottom w:val="none" w:sz="0" w:space="0" w:color="auto"/>
                        <w:right w:val="none" w:sz="0" w:space="0" w:color="auto"/>
                      </w:divBdr>
                    </w:div>
                  </w:divsChild>
                </w:div>
                <w:div w:id="138694308">
                  <w:marLeft w:val="0"/>
                  <w:marRight w:val="0"/>
                  <w:marTop w:val="450"/>
                  <w:marBottom w:val="300"/>
                  <w:divBdr>
                    <w:top w:val="none" w:sz="0" w:space="0" w:color="auto"/>
                    <w:left w:val="none" w:sz="0" w:space="0" w:color="auto"/>
                    <w:bottom w:val="none" w:sz="0" w:space="0" w:color="auto"/>
                    <w:right w:val="none" w:sz="0" w:space="0" w:color="auto"/>
                  </w:divBdr>
                </w:div>
                <w:div w:id="573204423">
                  <w:marLeft w:val="0"/>
                  <w:marRight w:val="0"/>
                  <w:marTop w:val="0"/>
                  <w:marBottom w:val="0"/>
                  <w:divBdr>
                    <w:top w:val="none" w:sz="0" w:space="0" w:color="auto"/>
                    <w:left w:val="none" w:sz="0" w:space="0" w:color="auto"/>
                    <w:bottom w:val="none" w:sz="0" w:space="0" w:color="auto"/>
                    <w:right w:val="none" w:sz="0" w:space="0" w:color="auto"/>
                  </w:divBdr>
                  <w:divsChild>
                    <w:div w:id="2030720761">
                      <w:marLeft w:val="0"/>
                      <w:marRight w:val="0"/>
                      <w:marTop w:val="0"/>
                      <w:marBottom w:val="0"/>
                      <w:divBdr>
                        <w:top w:val="none" w:sz="0" w:space="0" w:color="auto"/>
                        <w:left w:val="none" w:sz="0" w:space="0" w:color="auto"/>
                        <w:bottom w:val="none" w:sz="0" w:space="0" w:color="auto"/>
                        <w:right w:val="none" w:sz="0" w:space="0" w:color="auto"/>
                      </w:divBdr>
                    </w:div>
                  </w:divsChild>
                </w:div>
                <w:div w:id="1797093532">
                  <w:marLeft w:val="0"/>
                  <w:marRight w:val="0"/>
                  <w:marTop w:val="0"/>
                  <w:marBottom w:val="0"/>
                  <w:divBdr>
                    <w:top w:val="none" w:sz="0" w:space="0" w:color="auto"/>
                    <w:left w:val="none" w:sz="0" w:space="0" w:color="auto"/>
                    <w:bottom w:val="none" w:sz="0" w:space="0" w:color="auto"/>
                    <w:right w:val="none" w:sz="0" w:space="0" w:color="auto"/>
                  </w:divBdr>
                  <w:divsChild>
                    <w:div w:id="1937905940">
                      <w:marLeft w:val="0"/>
                      <w:marRight w:val="0"/>
                      <w:marTop w:val="0"/>
                      <w:marBottom w:val="0"/>
                      <w:divBdr>
                        <w:top w:val="none" w:sz="0" w:space="0" w:color="auto"/>
                        <w:left w:val="none" w:sz="0" w:space="0" w:color="auto"/>
                        <w:bottom w:val="none" w:sz="0" w:space="0" w:color="auto"/>
                        <w:right w:val="none" w:sz="0" w:space="0" w:color="auto"/>
                      </w:divBdr>
                    </w:div>
                    <w:div w:id="858810531">
                      <w:marLeft w:val="0"/>
                      <w:marRight w:val="0"/>
                      <w:marTop w:val="0"/>
                      <w:marBottom w:val="0"/>
                      <w:divBdr>
                        <w:top w:val="none" w:sz="0" w:space="0" w:color="auto"/>
                        <w:left w:val="none" w:sz="0" w:space="0" w:color="auto"/>
                        <w:bottom w:val="none" w:sz="0" w:space="0" w:color="auto"/>
                        <w:right w:val="none" w:sz="0" w:space="0" w:color="auto"/>
                      </w:divBdr>
                    </w:div>
                  </w:divsChild>
                </w:div>
                <w:div w:id="695665076">
                  <w:marLeft w:val="0"/>
                  <w:marRight w:val="0"/>
                  <w:marTop w:val="0"/>
                  <w:marBottom w:val="0"/>
                  <w:divBdr>
                    <w:top w:val="none" w:sz="0" w:space="0" w:color="auto"/>
                    <w:left w:val="none" w:sz="0" w:space="0" w:color="auto"/>
                    <w:bottom w:val="none" w:sz="0" w:space="0" w:color="auto"/>
                    <w:right w:val="none" w:sz="0" w:space="0" w:color="auto"/>
                  </w:divBdr>
                  <w:divsChild>
                    <w:div w:id="579487970">
                      <w:marLeft w:val="0"/>
                      <w:marRight w:val="0"/>
                      <w:marTop w:val="0"/>
                      <w:marBottom w:val="0"/>
                      <w:divBdr>
                        <w:top w:val="none" w:sz="0" w:space="0" w:color="auto"/>
                        <w:left w:val="none" w:sz="0" w:space="0" w:color="auto"/>
                        <w:bottom w:val="none" w:sz="0" w:space="0" w:color="auto"/>
                        <w:right w:val="none" w:sz="0" w:space="0" w:color="auto"/>
                      </w:divBdr>
                    </w:div>
                  </w:divsChild>
                </w:div>
                <w:div w:id="1409696059">
                  <w:marLeft w:val="0"/>
                  <w:marRight w:val="0"/>
                  <w:marTop w:val="0"/>
                  <w:marBottom w:val="0"/>
                  <w:divBdr>
                    <w:top w:val="none" w:sz="0" w:space="0" w:color="auto"/>
                    <w:left w:val="none" w:sz="0" w:space="0" w:color="auto"/>
                    <w:bottom w:val="none" w:sz="0" w:space="0" w:color="auto"/>
                    <w:right w:val="none" w:sz="0" w:space="0" w:color="auto"/>
                  </w:divBdr>
                  <w:divsChild>
                    <w:div w:id="1788157286">
                      <w:marLeft w:val="0"/>
                      <w:marRight w:val="0"/>
                      <w:marTop w:val="0"/>
                      <w:marBottom w:val="0"/>
                      <w:divBdr>
                        <w:top w:val="none" w:sz="0" w:space="0" w:color="auto"/>
                        <w:left w:val="none" w:sz="0" w:space="0" w:color="auto"/>
                        <w:bottom w:val="none" w:sz="0" w:space="0" w:color="auto"/>
                        <w:right w:val="none" w:sz="0" w:space="0" w:color="auto"/>
                      </w:divBdr>
                    </w:div>
                  </w:divsChild>
                </w:div>
                <w:div w:id="102194515">
                  <w:marLeft w:val="0"/>
                  <w:marRight w:val="0"/>
                  <w:marTop w:val="0"/>
                  <w:marBottom w:val="0"/>
                  <w:divBdr>
                    <w:top w:val="none" w:sz="0" w:space="0" w:color="auto"/>
                    <w:left w:val="none" w:sz="0" w:space="0" w:color="auto"/>
                    <w:bottom w:val="none" w:sz="0" w:space="0" w:color="auto"/>
                    <w:right w:val="none" w:sz="0" w:space="0" w:color="auto"/>
                  </w:divBdr>
                  <w:divsChild>
                    <w:div w:id="117799971">
                      <w:marLeft w:val="0"/>
                      <w:marRight w:val="0"/>
                      <w:marTop w:val="0"/>
                      <w:marBottom w:val="0"/>
                      <w:divBdr>
                        <w:top w:val="none" w:sz="0" w:space="0" w:color="auto"/>
                        <w:left w:val="none" w:sz="0" w:space="0" w:color="auto"/>
                        <w:bottom w:val="none" w:sz="0" w:space="0" w:color="auto"/>
                        <w:right w:val="none" w:sz="0" w:space="0" w:color="auto"/>
                      </w:divBdr>
                    </w:div>
                  </w:divsChild>
                </w:div>
                <w:div w:id="503786164">
                  <w:marLeft w:val="0"/>
                  <w:marRight w:val="0"/>
                  <w:marTop w:val="0"/>
                  <w:marBottom w:val="0"/>
                  <w:divBdr>
                    <w:top w:val="none" w:sz="0" w:space="0" w:color="auto"/>
                    <w:left w:val="none" w:sz="0" w:space="0" w:color="auto"/>
                    <w:bottom w:val="none" w:sz="0" w:space="0" w:color="auto"/>
                    <w:right w:val="none" w:sz="0" w:space="0" w:color="auto"/>
                  </w:divBdr>
                  <w:divsChild>
                    <w:div w:id="1558013146">
                      <w:marLeft w:val="0"/>
                      <w:marRight w:val="0"/>
                      <w:marTop w:val="0"/>
                      <w:marBottom w:val="0"/>
                      <w:divBdr>
                        <w:top w:val="none" w:sz="0" w:space="0" w:color="auto"/>
                        <w:left w:val="none" w:sz="0" w:space="0" w:color="auto"/>
                        <w:bottom w:val="none" w:sz="0" w:space="0" w:color="auto"/>
                        <w:right w:val="none" w:sz="0" w:space="0" w:color="auto"/>
                      </w:divBdr>
                    </w:div>
                  </w:divsChild>
                </w:div>
                <w:div w:id="1556233833">
                  <w:marLeft w:val="0"/>
                  <w:marRight w:val="0"/>
                  <w:marTop w:val="450"/>
                  <w:marBottom w:val="300"/>
                  <w:divBdr>
                    <w:top w:val="none" w:sz="0" w:space="0" w:color="auto"/>
                    <w:left w:val="none" w:sz="0" w:space="0" w:color="auto"/>
                    <w:bottom w:val="none" w:sz="0" w:space="0" w:color="auto"/>
                    <w:right w:val="none" w:sz="0" w:space="0" w:color="auto"/>
                  </w:divBdr>
                </w:div>
                <w:div w:id="1200246685">
                  <w:marLeft w:val="0"/>
                  <w:marRight w:val="0"/>
                  <w:marTop w:val="0"/>
                  <w:marBottom w:val="0"/>
                  <w:divBdr>
                    <w:top w:val="none" w:sz="0" w:space="0" w:color="auto"/>
                    <w:left w:val="none" w:sz="0" w:space="0" w:color="auto"/>
                    <w:bottom w:val="none" w:sz="0" w:space="0" w:color="auto"/>
                    <w:right w:val="none" w:sz="0" w:space="0" w:color="auto"/>
                  </w:divBdr>
                  <w:divsChild>
                    <w:div w:id="1817068594">
                      <w:marLeft w:val="0"/>
                      <w:marRight w:val="0"/>
                      <w:marTop w:val="0"/>
                      <w:marBottom w:val="0"/>
                      <w:divBdr>
                        <w:top w:val="none" w:sz="0" w:space="0" w:color="auto"/>
                        <w:left w:val="none" w:sz="0" w:space="0" w:color="auto"/>
                        <w:bottom w:val="none" w:sz="0" w:space="0" w:color="auto"/>
                        <w:right w:val="none" w:sz="0" w:space="0" w:color="auto"/>
                      </w:divBdr>
                    </w:div>
                  </w:divsChild>
                </w:div>
                <w:div w:id="1787969636">
                  <w:marLeft w:val="0"/>
                  <w:marRight w:val="0"/>
                  <w:marTop w:val="450"/>
                  <w:marBottom w:val="300"/>
                  <w:divBdr>
                    <w:top w:val="none" w:sz="0" w:space="0" w:color="auto"/>
                    <w:left w:val="none" w:sz="0" w:space="0" w:color="auto"/>
                    <w:bottom w:val="none" w:sz="0" w:space="0" w:color="auto"/>
                    <w:right w:val="none" w:sz="0" w:space="0" w:color="auto"/>
                  </w:divBdr>
                </w:div>
                <w:div w:id="1393500024">
                  <w:marLeft w:val="0"/>
                  <w:marRight w:val="0"/>
                  <w:marTop w:val="0"/>
                  <w:marBottom w:val="0"/>
                  <w:divBdr>
                    <w:top w:val="none" w:sz="0" w:space="0" w:color="auto"/>
                    <w:left w:val="none" w:sz="0" w:space="0" w:color="auto"/>
                    <w:bottom w:val="none" w:sz="0" w:space="0" w:color="auto"/>
                    <w:right w:val="none" w:sz="0" w:space="0" w:color="auto"/>
                  </w:divBdr>
                  <w:divsChild>
                    <w:div w:id="1566140038">
                      <w:marLeft w:val="0"/>
                      <w:marRight w:val="0"/>
                      <w:marTop w:val="0"/>
                      <w:marBottom w:val="0"/>
                      <w:divBdr>
                        <w:top w:val="none" w:sz="0" w:space="0" w:color="auto"/>
                        <w:left w:val="none" w:sz="0" w:space="0" w:color="auto"/>
                        <w:bottom w:val="none" w:sz="0" w:space="0" w:color="auto"/>
                        <w:right w:val="none" w:sz="0" w:space="0" w:color="auto"/>
                      </w:divBdr>
                    </w:div>
                  </w:divsChild>
                </w:div>
                <w:div w:id="674308642">
                  <w:marLeft w:val="0"/>
                  <w:marRight w:val="0"/>
                  <w:marTop w:val="450"/>
                  <w:marBottom w:val="300"/>
                  <w:divBdr>
                    <w:top w:val="none" w:sz="0" w:space="0" w:color="auto"/>
                    <w:left w:val="none" w:sz="0" w:space="0" w:color="auto"/>
                    <w:bottom w:val="none" w:sz="0" w:space="0" w:color="auto"/>
                    <w:right w:val="none" w:sz="0" w:space="0" w:color="auto"/>
                  </w:divBdr>
                </w:div>
                <w:div w:id="2138983209">
                  <w:marLeft w:val="0"/>
                  <w:marRight w:val="0"/>
                  <w:marTop w:val="0"/>
                  <w:marBottom w:val="0"/>
                  <w:divBdr>
                    <w:top w:val="none" w:sz="0" w:space="0" w:color="auto"/>
                    <w:left w:val="none" w:sz="0" w:space="0" w:color="auto"/>
                    <w:bottom w:val="none" w:sz="0" w:space="0" w:color="auto"/>
                    <w:right w:val="none" w:sz="0" w:space="0" w:color="auto"/>
                  </w:divBdr>
                </w:div>
                <w:div w:id="19283916">
                  <w:marLeft w:val="0"/>
                  <w:marRight w:val="0"/>
                  <w:marTop w:val="0"/>
                  <w:marBottom w:val="0"/>
                  <w:divBdr>
                    <w:top w:val="none" w:sz="0" w:space="0" w:color="auto"/>
                    <w:left w:val="none" w:sz="0" w:space="0" w:color="auto"/>
                    <w:bottom w:val="none" w:sz="0" w:space="0" w:color="auto"/>
                    <w:right w:val="none" w:sz="0" w:space="0" w:color="auto"/>
                  </w:divBdr>
                </w:div>
                <w:div w:id="216010974">
                  <w:marLeft w:val="0"/>
                  <w:marRight w:val="0"/>
                  <w:marTop w:val="0"/>
                  <w:marBottom w:val="0"/>
                  <w:divBdr>
                    <w:top w:val="none" w:sz="0" w:space="0" w:color="auto"/>
                    <w:left w:val="none" w:sz="0" w:space="0" w:color="auto"/>
                    <w:bottom w:val="none" w:sz="0" w:space="0" w:color="auto"/>
                    <w:right w:val="none" w:sz="0" w:space="0" w:color="auto"/>
                  </w:divBdr>
                </w:div>
                <w:div w:id="1531919338">
                  <w:marLeft w:val="0"/>
                  <w:marRight w:val="0"/>
                  <w:marTop w:val="0"/>
                  <w:marBottom w:val="0"/>
                  <w:divBdr>
                    <w:top w:val="none" w:sz="0" w:space="0" w:color="auto"/>
                    <w:left w:val="none" w:sz="0" w:space="0" w:color="auto"/>
                    <w:bottom w:val="none" w:sz="0" w:space="0" w:color="auto"/>
                    <w:right w:val="none" w:sz="0" w:space="0" w:color="auto"/>
                  </w:divBdr>
                  <w:divsChild>
                    <w:div w:id="375473126">
                      <w:marLeft w:val="0"/>
                      <w:marRight w:val="0"/>
                      <w:marTop w:val="0"/>
                      <w:marBottom w:val="0"/>
                      <w:divBdr>
                        <w:top w:val="none" w:sz="0" w:space="0" w:color="auto"/>
                        <w:left w:val="none" w:sz="0" w:space="0" w:color="auto"/>
                        <w:bottom w:val="none" w:sz="0" w:space="0" w:color="auto"/>
                        <w:right w:val="none" w:sz="0" w:space="0" w:color="auto"/>
                      </w:divBdr>
                    </w:div>
                  </w:divsChild>
                </w:div>
                <w:div w:id="1918322827">
                  <w:marLeft w:val="0"/>
                  <w:marRight w:val="0"/>
                  <w:marTop w:val="450"/>
                  <w:marBottom w:val="300"/>
                  <w:divBdr>
                    <w:top w:val="none" w:sz="0" w:space="0" w:color="auto"/>
                    <w:left w:val="none" w:sz="0" w:space="0" w:color="auto"/>
                    <w:bottom w:val="none" w:sz="0" w:space="0" w:color="auto"/>
                    <w:right w:val="none" w:sz="0" w:space="0" w:color="auto"/>
                  </w:divBdr>
                </w:div>
                <w:div w:id="1414232176">
                  <w:marLeft w:val="0"/>
                  <w:marRight w:val="0"/>
                  <w:marTop w:val="0"/>
                  <w:marBottom w:val="0"/>
                  <w:divBdr>
                    <w:top w:val="none" w:sz="0" w:space="0" w:color="auto"/>
                    <w:left w:val="none" w:sz="0" w:space="0" w:color="auto"/>
                    <w:bottom w:val="none" w:sz="0" w:space="0" w:color="auto"/>
                    <w:right w:val="none" w:sz="0" w:space="0" w:color="auto"/>
                  </w:divBdr>
                  <w:divsChild>
                    <w:div w:id="495649991">
                      <w:marLeft w:val="0"/>
                      <w:marRight w:val="0"/>
                      <w:marTop w:val="0"/>
                      <w:marBottom w:val="0"/>
                      <w:divBdr>
                        <w:top w:val="none" w:sz="0" w:space="0" w:color="auto"/>
                        <w:left w:val="none" w:sz="0" w:space="0" w:color="auto"/>
                        <w:bottom w:val="none" w:sz="0" w:space="0" w:color="auto"/>
                        <w:right w:val="none" w:sz="0" w:space="0" w:color="auto"/>
                      </w:divBdr>
                    </w:div>
                  </w:divsChild>
                </w:div>
                <w:div w:id="951013879">
                  <w:marLeft w:val="0"/>
                  <w:marRight w:val="0"/>
                  <w:marTop w:val="0"/>
                  <w:marBottom w:val="0"/>
                  <w:divBdr>
                    <w:top w:val="none" w:sz="0" w:space="0" w:color="auto"/>
                    <w:left w:val="none" w:sz="0" w:space="0" w:color="auto"/>
                    <w:bottom w:val="none" w:sz="0" w:space="0" w:color="auto"/>
                    <w:right w:val="none" w:sz="0" w:space="0" w:color="auto"/>
                  </w:divBdr>
                  <w:divsChild>
                    <w:div w:id="344943544">
                      <w:marLeft w:val="0"/>
                      <w:marRight w:val="0"/>
                      <w:marTop w:val="0"/>
                      <w:marBottom w:val="0"/>
                      <w:divBdr>
                        <w:top w:val="none" w:sz="0" w:space="0" w:color="auto"/>
                        <w:left w:val="none" w:sz="0" w:space="0" w:color="auto"/>
                        <w:bottom w:val="none" w:sz="0" w:space="0" w:color="auto"/>
                        <w:right w:val="none" w:sz="0" w:space="0" w:color="auto"/>
                      </w:divBdr>
                    </w:div>
                  </w:divsChild>
                </w:div>
                <w:div w:id="1789816330">
                  <w:marLeft w:val="0"/>
                  <w:marRight w:val="0"/>
                  <w:marTop w:val="0"/>
                  <w:marBottom w:val="0"/>
                  <w:divBdr>
                    <w:top w:val="none" w:sz="0" w:space="0" w:color="auto"/>
                    <w:left w:val="none" w:sz="0" w:space="0" w:color="auto"/>
                    <w:bottom w:val="none" w:sz="0" w:space="0" w:color="auto"/>
                    <w:right w:val="none" w:sz="0" w:space="0" w:color="auto"/>
                  </w:divBdr>
                  <w:divsChild>
                    <w:div w:id="75908674">
                      <w:marLeft w:val="0"/>
                      <w:marRight w:val="0"/>
                      <w:marTop w:val="0"/>
                      <w:marBottom w:val="0"/>
                      <w:divBdr>
                        <w:top w:val="none" w:sz="0" w:space="0" w:color="auto"/>
                        <w:left w:val="none" w:sz="0" w:space="0" w:color="auto"/>
                        <w:bottom w:val="none" w:sz="0" w:space="0" w:color="auto"/>
                        <w:right w:val="none" w:sz="0" w:space="0" w:color="auto"/>
                      </w:divBdr>
                    </w:div>
                  </w:divsChild>
                </w:div>
                <w:div w:id="89355783">
                  <w:marLeft w:val="0"/>
                  <w:marRight w:val="0"/>
                  <w:marTop w:val="0"/>
                  <w:marBottom w:val="0"/>
                  <w:divBdr>
                    <w:top w:val="none" w:sz="0" w:space="0" w:color="auto"/>
                    <w:left w:val="none" w:sz="0" w:space="0" w:color="auto"/>
                    <w:bottom w:val="none" w:sz="0" w:space="0" w:color="auto"/>
                    <w:right w:val="none" w:sz="0" w:space="0" w:color="auto"/>
                  </w:divBdr>
                  <w:divsChild>
                    <w:div w:id="731848074">
                      <w:marLeft w:val="0"/>
                      <w:marRight w:val="0"/>
                      <w:marTop w:val="0"/>
                      <w:marBottom w:val="0"/>
                      <w:divBdr>
                        <w:top w:val="none" w:sz="0" w:space="0" w:color="auto"/>
                        <w:left w:val="none" w:sz="0" w:space="0" w:color="auto"/>
                        <w:bottom w:val="none" w:sz="0" w:space="0" w:color="auto"/>
                        <w:right w:val="none" w:sz="0" w:space="0" w:color="auto"/>
                      </w:divBdr>
                    </w:div>
                    <w:div w:id="1502240364">
                      <w:marLeft w:val="0"/>
                      <w:marRight w:val="0"/>
                      <w:marTop w:val="0"/>
                      <w:marBottom w:val="0"/>
                      <w:divBdr>
                        <w:top w:val="none" w:sz="0" w:space="0" w:color="auto"/>
                        <w:left w:val="none" w:sz="0" w:space="0" w:color="auto"/>
                        <w:bottom w:val="none" w:sz="0" w:space="0" w:color="auto"/>
                        <w:right w:val="none" w:sz="0" w:space="0" w:color="auto"/>
                      </w:divBdr>
                    </w:div>
                  </w:divsChild>
                </w:div>
                <w:div w:id="1532719569">
                  <w:marLeft w:val="0"/>
                  <w:marRight w:val="0"/>
                  <w:marTop w:val="0"/>
                  <w:marBottom w:val="0"/>
                  <w:divBdr>
                    <w:top w:val="none" w:sz="0" w:space="0" w:color="auto"/>
                    <w:left w:val="none" w:sz="0" w:space="0" w:color="auto"/>
                    <w:bottom w:val="none" w:sz="0" w:space="0" w:color="auto"/>
                    <w:right w:val="none" w:sz="0" w:space="0" w:color="auto"/>
                  </w:divBdr>
                  <w:divsChild>
                    <w:div w:id="650669511">
                      <w:marLeft w:val="0"/>
                      <w:marRight w:val="0"/>
                      <w:marTop w:val="0"/>
                      <w:marBottom w:val="0"/>
                      <w:divBdr>
                        <w:top w:val="none" w:sz="0" w:space="0" w:color="auto"/>
                        <w:left w:val="none" w:sz="0" w:space="0" w:color="auto"/>
                        <w:bottom w:val="none" w:sz="0" w:space="0" w:color="auto"/>
                        <w:right w:val="none" w:sz="0" w:space="0" w:color="auto"/>
                      </w:divBdr>
                    </w:div>
                    <w:div w:id="356472775">
                      <w:marLeft w:val="0"/>
                      <w:marRight w:val="0"/>
                      <w:marTop w:val="0"/>
                      <w:marBottom w:val="0"/>
                      <w:divBdr>
                        <w:top w:val="none" w:sz="0" w:space="0" w:color="auto"/>
                        <w:left w:val="none" w:sz="0" w:space="0" w:color="auto"/>
                        <w:bottom w:val="none" w:sz="0" w:space="0" w:color="auto"/>
                        <w:right w:val="none" w:sz="0" w:space="0" w:color="auto"/>
                      </w:divBdr>
                    </w:div>
                  </w:divsChild>
                </w:div>
                <w:div w:id="608854180">
                  <w:marLeft w:val="0"/>
                  <w:marRight w:val="0"/>
                  <w:marTop w:val="0"/>
                  <w:marBottom w:val="0"/>
                  <w:divBdr>
                    <w:top w:val="none" w:sz="0" w:space="0" w:color="auto"/>
                    <w:left w:val="none" w:sz="0" w:space="0" w:color="auto"/>
                    <w:bottom w:val="none" w:sz="0" w:space="0" w:color="auto"/>
                    <w:right w:val="none" w:sz="0" w:space="0" w:color="auto"/>
                  </w:divBdr>
                  <w:divsChild>
                    <w:div w:id="2001348764">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14">
      <w:bodyDiv w:val="1"/>
      <w:marLeft w:val="0"/>
      <w:marRight w:val="0"/>
      <w:marTop w:val="0"/>
      <w:marBottom w:val="0"/>
      <w:divBdr>
        <w:top w:val="none" w:sz="0" w:space="0" w:color="auto"/>
        <w:left w:val="none" w:sz="0" w:space="0" w:color="auto"/>
        <w:bottom w:val="none" w:sz="0" w:space="0" w:color="auto"/>
        <w:right w:val="none" w:sz="0" w:space="0" w:color="auto"/>
      </w:divBdr>
    </w:div>
    <w:div w:id="2064911641">
      <w:bodyDiv w:val="1"/>
      <w:marLeft w:val="0"/>
      <w:marRight w:val="0"/>
      <w:marTop w:val="0"/>
      <w:marBottom w:val="0"/>
      <w:divBdr>
        <w:top w:val="none" w:sz="0" w:space="0" w:color="auto"/>
        <w:left w:val="none" w:sz="0" w:space="0" w:color="auto"/>
        <w:bottom w:val="none" w:sz="0" w:space="0" w:color="auto"/>
        <w:right w:val="none" w:sz="0" w:space="0" w:color="auto"/>
      </w:divBdr>
    </w:div>
    <w:div w:id="208197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cidTexte=LEGITEXT000006072050&amp;dateTexte=&amp;categorieLien=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affichCodeArticle.do?cidTexte=LEGITEXT000006074220&amp;idArticle=LEGIARTI000006834227&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CE419-AE1A-4663-9858-64F414B2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23910</Words>
  <Characters>131507</Characters>
  <Application>Microsoft Office Word</Application>
  <DocSecurity>0</DocSecurity>
  <Lines>1095</Lines>
  <Paragraphs>310</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155107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DEFFONTAINE Rebecca</dc:creator>
  <cp:lastModifiedBy>MONTOYA Bénédicte</cp:lastModifiedBy>
  <cp:revision>3</cp:revision>
  <cp:lastPrinted>2020-08-13T16:35:00Z</cp:lastPrinted>
  <dcterms:created xsi:type="dcterms:W3CDTF">2020-08-14T15:11:00Z</dcterms:created>
  <dcterms:modified xsi:type="dcterms:W3CDTF">2020-08-14T15:17:00Z</dcterms:modified>
</cp:coreProperties>
</file>