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370038" w14:paraId="7024441C" w14:textId="77777777">
        <w:trPr>
          <w:cantSplit/>
        </w:trPr>
        <w:tc>
          <w:tcPr>
            <w:tcW w:w="3982" w:type="dxa"/>
            <w:gridSpan w:val="3"/>
            <w:shd w:val="clear" w:color="auto" w:fill="auto"/>
          </w:tcPr>
          <w:p w14:paraId="37A28064" w14:textId="77777777" w:rsidR="00370038" w:rsidRDefault="00BE2B9A" w:rsidP="003E6B43">
            <w:pPr>
              <w:pStyle w:val="SNREPUBLIQUE"/>
            </w:pPr>
            <w:r>
              <w:t>RÉPUBLIQUE FRANÇAISE</w:t>
            </w:r>
          </w:p>
        </w:tc>
      </w:tr>
      <w:tr w:rsidR="00370038" w14:paraId="66A3631F" w14:textId="77777777">
        <w:trPr>
          <w:cantSplit/>
          <w:trHeight w:hRule="exact" w:val="113"/>
        </w:trPr>
        <w:tc>
          <w:tcPr>
            <w:tcW w:w="1527" w:type="dxa"/>
            <w:shd w:val="clear" w:color="auto" w:fill="auto"/>
          </w:tcPr>
          <w:p w14:paraId="3A55D777" w14:textId="77777777" w:rsidR="00370038" w:rsidRDefault="00370038" w:rsidP="003E6B43"/>
        </w:tc>
        <w:tc>
          <w:tcPr>
            <w:tcW w:w="968" w:type="dxa"/>
            <w:tcBorders>
              <w:bottom w:val="single" w:sz="1" w:space="0" w:color="000000"/>
            </w:tcBorders>
            <w:shd w:val="clear" w:color="auto" w:fill="auto"/>
          </w:tcPr>
          <w:p w14:paraId="0A37BC49" w14:textId="77777777" w:rsidR="00370038" w:rsidRDefault="00370038" w:rsidP="003E6B43"/>
        </w:tc>
        <w:tc>
          <w:tcPr>
            <w:tcW w:w="1487" w:type="dxa"/>
            <w:shd w:val="clear" w:color="auto" w:fill="auto"/>
          </w:tcPr>
          <w:p w14:paraId="173EFE02" w14:textId="77777777" w:rsidR="00370038" w:rsidRDefault="00370038" w:rsidP="003E6B43"/>
        </w:tc>
      </w:tr>
      <w:tr w:rsidR="00370038" w14:paraId="21D2B980" w14:textId="77777777">
        <w:trPr>
          <w:cantSplit/>
        </w:trPr>
        <w:tc>
          <w:tcPr>
            <w:tcW w:w="3982" w:type="dxa"/>
            <w:gridSpan w:val="3"/>
            <w:shd w:val="clear" w:color="auto" w:fill="auto"/>
          </w:tcPr>
          <w:p w14:paraId="251E98A5" w14:textId="77777777" w:rsidR="00370038" w:rsidRDefault="00BE2B9A" w:rsidP="003E6B43">
            <w:pPr>
              <w:pStyle w:val="SNTimbre"/>
            </w:pPr>
            <w:r>
              <w:t>Ministère de la transition écologique et de la cohésion des territoires</w:t>
            </w:r>
          </w:p>
        </w:tc>
      </w:tr>
      <w:tr w:rsidR="00370038" w14:paraId="591CDEF1" w14:textId="77777777">
        <w:trPr>
          <w:cantSplit/>
          <w:trHeight w:hRule="exact" w:val="227"/>
        </w:trPr>
        <w:tc>
          <w:tcPr>
            <w:tcW w:w="1527" w:type="dxa"/>
            <w:shd w:val="clear" w:color="auto" w:fill="auto"/>
          </w:tcPr>
          <w:p w14:paraId="2C2328E3" w14:textId="77777777" w:rsidR="00370038" w:rsidRDefault="00370038" w:rsidP="003E6B43"/>
        </w:tc>
        <w:tc>
          <w:tcPr>
            <w:tcW w:w="968" w:type="dxa"/>
            <w:tcBorders>
              <w:bottom w:val="single" w:sz="1" w:space="0" w:color="000000"/>
            </w:tcBorders>
            <w:shd w:val="clear" w:color="auto" w:fill="auto"/>
          </w:tcPr>
          <w:p w14:paraId="5BE44795" w14:textId="77777777" w:rsidR="00370038" w:rsidRDefault="00370038" w:rsidP="003E6B43"/>
        </w:tc>
        <w:tc>
          <w:tcPr>
            <w:tcW w:w="1487" w:type="dxa"/>
            <w:shd w:val="clear" w:color="auto" w:fill="auto"/>
          </w:tcPr>
          <w:p w14:paraId="5F9B0508" w14:textId="77777777" w:rsidR="00370038" w:rsidRDefault="00370038" w:rsidP="003E6B43"/>
        </w:tc>
      </w:tr>
      <w:tr w:rsidR="00370038" w14:paraId="678AA689" w14:textId="77777777">
        <w:trPr>
          <w:cantSplit/>
          <w:trHeight w:hRule="exact" w:val="227"/>
        </w:trPr>
        <w:tc>
          <w:tcPr>
            <w:tcW w:w="1527" w:type="dxa"/>
            <w:shd w:val="clear" w:color="auto" w:fill="auto"/>
          </w:tcPr>
          <w:p w14:paraId="43A1B7FD" w14:textId="77777777" w:rsidR="00370038" w:rsidRDefault="00370038" w:rsidP="003E6B43"/>
        </w:tc>
        <w:tc>
          <w:tcPr>
            <w:tcW w:w="968" w:type="dxa"/>
            <w:shd w:val="clear" w:color="auto" w:fill="auto"/>
          </w:tcPr>
          <w:p w14:paraId="2E1C4917" w14:textId="77777777" w:rsidR="00370038" w:rsidRDefault="00370038" w:rsidP="003E6B43"/>
        </w:tc>
        <w:tc>
          <w:tcPr>
            <w:tcW w:w="1487" w:type="dxa"/>
            <w:shd w:val="clear" w:color="auto" w:fill="auto"/>
          </w:tcPr>
          <w:p w14:paraId="0E2CCB94" w14:textId="77777777" w:rsidR="00370038" w:rsidRDefault="00370038" w:rsidP="003E6B43"/>
        </w:tc>
      </w:tr>
    </w:tbl>
    <w:p w14:paraId="4D23B155" w14:textId="77777777" w:rsidR="00370038" w:rsidRDefault="00BE2B9A" w:rsidP="003E6B43">
      <w:pPr>
        <w:pStyle w:val="SNNature"/>
      </w:pPr>
      <w:r>
        <w:t xml:space="preserve">Arrêté du </w:t>
      </w:r>
      <w:proofErr w:type="gramStart"/>
      <w:r>
        <w:t xml:space="preserve">[  </w:t>
      </w:r>
      <w:proofErr w:type="gramEnd"/>
      <w:r>
        <w:t xml:space="preserve"> ]</w:t>
      </w:r>
      <w:r w:rsidR="003E6B43">
        <w:t xml:space="preserve"> m</w:t>
      </w:r>
      <w:r w:rsidR="002C28CD">
        <w:t>odifiant l’arrêté d</w:t>
      </w:r>
      <w:r w:rsidR="002C28CD" w:rsidRPr="002C28CD">
        <w:t>u 15 février 2016 relatif aux installations de stockage de déchets non dangereux</w:t>
      </w:r>
    </w:p>
    <w:p w14:paraId="6D56E25E" w14:textId="77777777" w:rsidR="00370038" w:rsidRDefault="00BE2B9A">
      <w:pPr>
        <w:pStyle w:val="SNNORCentr"/>
      </w:pPr>
      <w:r>
        <w:t>NOR : […]</w:t>
      </w:r>
    </w:p>
    <w:p w14:paraId="39371DD8" w14:textId="5E4722D7" w:rsidR="00370038" w:rsidRDefault="00BE2B9A" w:rsidP="003E6B43">
      <w:pPr>
        <w:pStyle w:val="SNAutorit"/>
      </w:pPr>
      <w:r>
        <w:t>L</w:t>
      </w:r>
      <w:r w:rsidR="003E6B43">
        <w:t xml:space="preserve">e ministre de la transition écologique et de la cohésion </w:t>
      </w:r>
      <w:r w:rsidR="00F71CD1">
        <w:t>des territoires</w:t>
      </w:r>
      <w:r w:rsidR="003E6B43">
        <w:t>,</w:t>
      </w:r>
    </w:p>
    <w:p w14:paraId="1280BE50" w14:textId="465B9C42" w:rsidR="00370038" w:rsidRDefault="00BE2B9A" w:rsidP="003E6B43">
      <w:pPr>
        <w:pStyle w:val="SNVisa"/>
      </w:pPr>
      <w:r>
        <w:t xml:space="preserve">Vu </w:t>
      </w:r>
      <w:r w:rsidR="003E6B43">
        <w:t>le code de l’environnement</w:t>
      </w:r>
      <w:r w:rsidR="00BD7F5B">
        <w:t xml:space="preserve"> </w:t>
      </w:r>
      <w:r>
        <w:t>;</w:t>
      </w:r>
    </w:p>
    <w:p w14:paraId="6FC0FF94" w14:textId="77777777" w:rsidR="001F7E86" w:rsidRDefault="001F7E86" w:rsidP="001F7E86">
      <w:pPr>
        <w:pStyle w:val="SNVisa"/>
      </w:pPr>
      <w:r>
        <w:t>Vu le d</w:t>
      </w:r>
      <w:r w:rsidRPr="003E6B43">
        <w:t>écret n°96-1133 du 24 décembre 1996</w:t>
      </w:r>
      <w:r>
        <w:t xml:space="preserve"> </w:t>
      </w:r>
      <w:r w:rsidRPr="00A33D9A">
        <w:t>relatif à l'interdiction de l'amiante, pris en application du code du travail et du code de la consommation</w:t>
      </w:r>
      <w:r>
        <w:t> ;</w:t>
      </w:r>
    </w:p>
    <w:p w14:paraId="7011CA8B" w14:textId="77777777" w:rsidR="003E6B43" w:rsidRDefault="003E6B43" w:rsidP="003E6B43">
      <w:pPr>
        <w:pStyle w:val="SNVisa"/>
      </w:pPr>
      <w:r>
        <w:t xml:space="preserve">Vu l’arrêté du 15 février 2016 </w:t>
      </w:r>
      <w:r w:rsidRPr="003E6B43">
        <w:t>relatif aux installations de stockage de déchets non dangereux</w:t>
      </w:r>
      <w:r>
        <w:t> ;</w:t>
      </w:r>
    </w:p>
    <w:p w14:paraId="02AE583C" w14:textId="5A35EAB1" w:rsidR="001F7E86" w:rsidRDefault="001F7E86" w:rsidP="003E6B43">
      <w:pPr>
        <w:pStyle w:val="SNVisa"/>
      </w:pPr>
      <w:r>
        <w:t>Vu l’avis des ministres concernés ;</w:t>
      </w:r>
    </w:p>
    <w:p w14:paraId="4DE7321B" w14:textId="16D84A7D" w:rsidR="003E6B43" w:rsidRDefault="003E6B43" w:rsidP="003E6B43">
      <w:pPr>
        <w:pStyle w:val="SNVisa"/>
      </w:pPr>
      <w:r>
        <w:t>Vu l'avis des organisations professionnelles intéressées ;</w:t>
      </w:r>
    </w:p>
    <w:p w14:paraId="397A2261" w14:textId="7B87F1B4" w:rsidR="003E6B43" w:rsidRDefault="003E6B43" w:rsidP="003E6B43">
      <w:pPr>
        <w:pStyle w:val="SNVisa"/>
      </w:pPr>
      <w:r>
        <w:t xml:space="preserve">Vu les observations formulées lors de la consultation publique réalisée du </w:t>
      </w:r>
      <w:r w:rsidR="00686CEA">
        <w:t>[</w:t>
      </w:r>
      <w:r w:rsidR="00B534D2">
        <w:t xml:space="preserve">xx </w:t>
      </w:r>
      <w:proofErr w:type="spellStart"/>
      <w:r w:rsidR="00B534D2">
        <w:t>xx</w:t>
      </w:r>
      <w:proofErr w:type="spellEnd"/>
      <w:r w:rsidR="00B534D2">
        <w:t xml:space="preserve"> </w:t>
      </w:r>
      <w:proofErr w:type="spellStart"/>
      <w:r w:rsidR="00B534D2">
        <w:t>xxxx</w:t>
      </w:r>
      <w:proofErr w:type="spellEnd"/>
      <w:r>
        <w:t xml:space="preserve"> au </w:t>
      </w:r>
      <w:r w:rsidR="00B534D2">
        <w:t xml:space="preserve">xx </w:t>
      </w:r>
      <w:proofErr w:type="spellStart"/>
      <w:r w:rsidR="00B534D2">
        <w:t>xx</w:t>
      </w:r>
      <w:proofErr w:type="spellEnd"/>
      <w:r w:rsidR="00B534D2">
        <w:t xml:space="preserve"> </w:t>
      </w:r>
      <w:proofErr w:type="spellStart"/>
      <w:r w:rsidR="00B534D2">
        <w:t>xxxx</w:t>
      </w:r>
      <w:proofErr w:type="spellEnd"/>
      <w:r w:rsidR="00686CEA">
        <w:t>]</w:t>
      </w:r>
      <w:r>
        <w:t xml:space="preserve">, en application de l'article </w:t>
      </w:r>
      <w:r w:rsidR="004155F7">
        <w:t xml:space="preserve">L.123-19-1 </w:t>
      </w:r>
      <w:r>
        <w:t>du code de l'environnement ;</w:t>
      </w:r>
    </w:p>
    <w:p w14:paraId="1D85C4A6" w14:textId="400BF6BA" w:rsidR="003E6B43" w:rsidRDefault="003E6B43" w:rsidP="003E6B43">
      <w:pPr>
        <w:pStyle w:val="SNVisa"/>
      </w:pPr>
      <w:r>
        <w:t>Vu l'avis du Conseil supérieur de la prévention des risques technolo</w:t>
      </w:r>
      <w:r w:rsidR="00C56E01">
        <w:t>giques en date du 20 juin 2023,</w:t>
      </w:r>
    </w:p>
    <w:p w14:paraId="2FD5CCE0" w14:textId="7A2D7E0D" w:rsidR="00370038" w:rsidRDefault="00BE2B9A" w:rsidP="003E6B43">
      <w:pPr>
        <w:pStyle w:val="SNActe"/>
      </w:pPr>
      <w:r>
        <w:t>Arrête :</w:t>
      </w:r>
    </w:p>
    <w:p w14:paraId="3E49B687" w14:textId="6DA2105C" w:rsidR="003A03F2" w:rsidRDefault="003A03F2" w:rsidP="003E6B43">
      <w:pPr>
        <w:pStyle w:val="SNActe"/>
      </w:pPr>
      <w:r>
        <w:t>Article 1</w:t>
      </w:r>
      <w:r w:rsidRPr="00703745">
        <w:rPr>
          <w:vertAlign w:val="superscript"/>
        </w:rPr>
        <w:t>er</w:t>
      </w:r>
      <w:r>
        <w:t xml:space="preserve"> </w:t>
      </w:r>
    </w:p>
    <w:p w14:paraId="3C45FCE3" w14:textId="3966D0CD" w:rsidR="003A03F2" w:rsidRDefault="003A03F2" w:rsidP="003A03F2">
      <w:r>
        <w:t>L’arrêté du 15</w:t>
      </w:r>
      <w:r w:rsidR="00686CEA">
        <w:t xml:space="preserve"> février 2016 </w:t>
      </w:r>
      <w:r w:rsidR="001F7E86">
        <w:t xml:space="preserve">susvisé </w:t>
      </w:r>
      <w:r w:rsidR="00686CEA">
        <w:t>est modifié selon les disposition</w:t>
      </w:r>
      <w:r w:rsidR="006F2DED">
        <w:t xml:space="preserve">s </w:t>
      </w:r>
      <w:r w:rsidR="001F7E86">
        <w:t>suivantes</w:t>
      </w:r>
      <w:r w:rsidR="00686CEA">
        <w:t>.</w:t>
      </w:r>
    </w:p>
    <w:p w14:paraId="7A193178" w14:textId="07839A92" w:rsidR="003E6B43" w:rsidRPr="003E6B43" w:rsidRDefault="003E6B43" w:rsidP="003E6B43">
      <w:pPr>
        <w:pStyle w:val="Sansinterligne"/>
      </w:pPr>
      <w:r w:rsidRPr="003E6B43">
        <w:t xml:space="preserve">Article </w:t>
      </w:r>
      <w:r w:rsidR="00CD32BA">
        <w:t>2</w:t>
      </w:r>
    </w:p>
    <w:p w14:paraId="338BB04C" w14:textId="53B1EEF7" w:rsidR="003E6B43" w:rsidRDefault="00F137E9" w:rsidP="003E6B43">
      <w:r>
        <w:t>L’article 1</w:t>
      </w:r>
      <w:r w:rsidRPr="00F137E9">
        <w:rPr>
          <w:vertAlign w:val="superscript"/>
        </w:rPr>
        <w:t>er</w:t>
      </w:r>
      <w:r>
        <w:t xml:space="preserve"> est ainsi modifié :</w:t>
      </w:r>
    </w:p>
    <w:p w14:paraId="10F71613" w14:textId="17129B62" w:rsidR="00F137E9" w:rsidRDefault="00F137E9" w:rsidP="009824CA">
      <w:pPr>
        <w:rPr>
          <w:lang w:eastAsia="fr-FR"/>
        </w:rPr>
      </w:pPr>
      <w:r>
        <w:t xml:space="preserve">1° </w:t>
      </w:r>
      <w:r w:rsidR="00BE3697">
        <w:t>Au</w:t>
      </w:r>
      <w:r>
        <w:t xml:space="preserve"> neuvième alinéa</w:t>
      </w:r>
      <w:r w:rsidR="00BE3697">
        <w:t>, après les mots : « </w:t>
      </w:r>
      <w:r w:rsidR="00BE3697" w:rsidRPr="00BE3697">
        <w:t>Déchets de matériaux de construction contenant de l'amiante : déchets</w:t>
      </w:r>
      <w:r w:rsidR="00BE3697">
        <w:t> » sont ajoutés les mo</w:t>
      </w:r>
      <w:r w:rsidR="003D0F22">
        <w:t>ts : « contenant de l’amiante »</w:t>
      </w:r>
      <w:r w:rsidR="003A03F2">
        <w:t xml:space="preserve"> </w:t>
      </w:r>
      <w:r w:rsidR="00BE3697">
        <w:t>et après les mots : « </w:t>
      </w:r>
      <w:r w:rsidR="00BE3697" w:rsidRPr="00BE3697">
        <w:t>travaux de génie civil</w:t>
      </w:r>
      <w:r w:rsidR="00BE3697">
        <w:t> » sont ajoutés les mots : « </w:t>
      </w:r>
      <w:r w:rsidR="00BE3697" w:rsidRPr="00BE3697">
        <w:t>et ne contenant pas d’autres substances dangereuses</w:t>
      </w:r>
      <w:r w:rsidR="00F71CD1">
        <w:t>,</w:t>
      </w:r>
      <w:r w:rsidR="00BE3697">
        <w:t> ».</w:t>
      </w:r>
      <w:r w:rsidR="00BE3697" w:rsidRPr="00BE3697">
        <w:t xml:space="preserve"> </w:t>
      </w:r>
    </w:p>
    <w:p w14:paraId="66711547" w14:textId="7180512F" w:rsidR="00C15FEB" w:rsidRDefault="001F7E86" w:rsidP="003E6B43">
      <w:pPr>
        <w:rPr>
          <w:lang w:eastAsia="fr-FR"/>
        </w:rPr>
      </w:pPr>
      <w:r>
        <w:rPr>
          <w:lang w:eastAsia="fr-FR"/>
        </w:rPr>
        <w:t>2</w:t>
      </w:r>
      <w:r w:rsidR="00C15FEB">
        <w:rPr>
          <w:lang w:eastAsia="fr-FR"/>
        </w:rPr>
        <w:t>° Au vingt-</w:t>
      </w:r>
      <w:r w:rsidR="003A03F2">
        <w:rPr>
          <w:lang w:eastAsia="fr-FR"/>
        </w:rPr>
        <w:t xml:space="preserve">huitième </w:t>
      </w:r>
      <w:r w:rsidR="00C15FEB">
        <w:rPr>
          <w:lang w:eastAsia="fr-FR"/>
        </w:rPr>
        <w:t>alinéa, les mots</w:t>
      </w:r>
      <w:r>
        <w:rPr>
          <w:lang w:eastAsia="fr-FR"/>
        </w:rPr>
        <w:t xml:space="preserve"> : </w:t>
      </w:r>
      <w:r w:rsidR="00C15FEB">
        <w:rPr>
          <w:lang w:eastAsia="fr-FR"/>
        </w:rPr>
        <w:t>« à la réception » sont remplacés par les mots</w:t>
      </w:r>
      <w:r>
        <w:rPr>
          <w:lang w:eastAsia="fr-FR"/>
        </w:rPr>
        <w:t xml:space="preserve"> : </w:t>
      </w:r>
      <w:r w:rsidR="00C15FEB">
        <w:rPr>
          <w:lang w:eastAsia="fr-FR"/>
        </w:rPr>
        <w:t>« au stockage ».</w:t>
      </w:r>
    </w:p>
    <w:p w14:paraId="2F5B17EF" w14:textId="0A1459A5" w:rsidR="00C15FEB" w:rsidRDefault="00C15FEB" w:rsidP="00C15FEB">
      <w:pPr>
        <w:pStyle w:val="Sansinterligne"/>
      </w:pPr>
      <w:r>
        <w:t>Article 3</w:t>
      </w:r>
    </w:p>
    <w:p w14:paraId="54B2043D" w14:textId="72970780" w:rsidR="00C15FEB" w:rsidRPr="00BD7F5B" w:rsidRDefault="001775D4" w:rsidP="00C15FEB">
      <w:pPr>
        <w:rPr>
          <w:lang w:eastAsia="fr-FR"/>
        </w:rPr>
      </w:pPr>
      <w:r>
        <w:lastRenderedPageBreak/>
        <w:t>Au neuvième alinéa de l</w:t>
      </w:r>
      <w:r w:rsidR="00C15FEB">
        <w:t>’article 3</w:t>
      </w:r>
      <w:r>
        <w:t xml:space="preserve">, </w:t>
      </w:r>
      <w:r w:rsidRPr="00BD7F5B">
        <w:t>après le mot</w:t>
      </w:r>
      <w:r w:rsidR="00CD32BA" w:rsidRPr="00BD7F5B">
        <w:t> :</w:t>
      </w:r>
      <w:r w:rsidRPr="00BD7F5B">
        <w:t xml:space="preserve"> « boues » sont </w:t>
      </w:r>
      <w:r w:rsidR="00DE5AD6" w:rsidRPr="00BD7F5B">
        <w:t xml:space="preserve">insérés </w:t>
      </w:r>
      <w:r w:rsidRPr="00BD7F5B">
        <w:t>les mots</w:t>
      </w:r>
      <w:r w:rsidR="00CD32BA" w:rsidRPr="00BD7F5B">
        <w:t xml:space="preserve"> : </w:t>
      </w:r>
      <w:r w:rsidRPr="00BD7F5B">
        <w:t>« </w:t>
      </w:r>
      <w:r w:rsidRPr="00BD7F5B">
        <w:rPr>
          <w:lang w:eastAsia="fr-FR"/>
        </w:rPr>
        <w:t xml:space="preserve">et </w:t>
      </w:r>
      <w:r w:rsidR="0020127C" w:rsidRPr="00BD7F5B">
        <w:rPr>
          <w:lang w:eastAsia="fr-FR"/>
        </w:rPr>
        <w:t>des lixiviats injectés dans des casiers exploités en mode bioréacteur</w:t>
      </w:r>
      <w:r w:rsidR="0020127C" w:rsidRPr="00BD7F5B" w:rsidDel="0020127C">
        <w:rPr>
          <w:lang w:eastAsia="fr-FR"/>
        </w:rPr>
        <w:t xml:space="preserve"> </w:t>
      </w:r>
      <w:r w:rsidRPr="00BD7F5B">
        <w:rPr>
          <w:lang w:eastAsia="fr-FR"/>
        </w:rPr>
        <w:t>inertes »</w:t>
      </w:r>
      <w:r w:rsidR="00CD32BA" w:rsidRPr="00BD7F5B">
        <w:rPr>
          <w:lang w:eastAsia="fr-FR"/>
        </w:rPr>
        <w:t>.</w:t>
      </w:r>
    </w:p>
    <w:p w14:paraId="4C597EE3" w14:textId="77777777" w:rsidR="001775D4" w:rsidRPr="00BD7F5B" w:rsidRDefault="001775D4" w:rsidP="001775D4">
      <w:pPr>
        <w:pStyle w:val="Sansinterligne"/>
      </w:pPr>
      <w:r w:rsidRPr="00BD7F5B">
        <w:t>Article 4</w:t>
      </w:r>
    </w:p>
    <w:p w14:paraId="2065A56E" w14:textId="6C9A5516" w:rsidR="001775D4" w:rsidRDefault="001775D4" w:rsidP="001775D4">
      <w:r w:rsidRPr="00BD7F5B">
        <w:t xml:space="preserve">Au </w:t>
      </w:r>
      <w:r w:rsidR="00CD32BA" w:rsidRPr="00BD7F5B">
        <w:t xml:space="preserve">premier </w:t>
      </w:r>
      <w:r w:rsidRPr="00BD7F5B">
        <w:t xml:space="preserve">alinéa de l’article 7, </w:t>
      </w:r>
      <w:r w:rsidR="006A3B5A" w:rsidRPr="00BD7F5B">
        <w:t xml:space="preserve">après les mots : « période de suivi » </w:t>
      </w:r>
      <w:r w:rsidRPr="00BD7F5B">
        <w:t>le mot</w:t>
      </w:r>
      <w:r w:rsidR="006A3B5A" w:rsidRPr="00BD7F5B">
        <w:t xml:space="preserve"> : </w:t>
      </w:r>
      <w:r w:rsidRPr="00BD7F5B">
        <w:t>« site » est remplacé par le mot « casier ».</w:t>
      </w:r>
      <w:r>
        <w:t xml:space="preserve"> </w:t>
      </w:r>
    </w:p>
    <w:p w14:paraId="76883411" w14:textId="77777777" w:rsidR="001775D4" w:rsidRDefault="001775D4" w:rsidP="001775D4">
      <w:pPr>
        <w:pStyle w:val="Sansinterligne"/>
      </w:pPr>
      <w:r>
        <w:t>Article 5</w:t>
      </w:r>
    </w:p>
    <w:p w14:paraId="62425879" w14:textId="6317C8FB" w:rsidR="001775D4" w:rsidRDefault="001775D4" w:rsidP="001775D4">
      <w:r>
        <w:t xml:space="preserve">Le dernier alinéa du II de l’article 9 est remplacé par </w:t>
      </w:r>
      <w:r w:rsidR="00DE5AD6">
        <w:t xml:space="preserve">un </w:t>
      </w:r>
      <w:r>
        <w:t xml:space="preserve">alinéa </w:t>
      </w:r>
      <w:r w:rsidR="00DE5AD6">
        <w:t>ainsi rédigé </w:t>
      </w:r>
      <w:r>
        <w:t xml:space="preserve">: </w:t>
      </w:r>
    </w:p>
    <w:p w14:paraId="2649142B" w14:textId="77BF1CC8" w:rsidR="001775D4" w:rsidRDefault="001775D4" w:rsidP="001775D4">
      <w:pPr>
        <w:rPr>
          <w:lang w:eastAsia="fr-FR"/>
        </w:rPr>
      </w:pPr>
      <w:r>
        <w:rPr>
          <w:lang w:eastAsia="fr-FR"/>
        </w:rPr>
        <w:t>« Le</w:t>
      </w:r>
      <w:r w:rsidR="00C40EE4">
        <w:rPr>
          <w:lang w:eastAsia="fr-FR"/>
        </w:rPr>
        <w:t xml:space="preserve"> </w:t>
      </w:r>
      <w:r>
        <w:rPr>
          <w:lang w:eastAsia="fr-FR"/>
        </w:rPr>
        <w:t xml:space="preserve">dispositif mentionné au précédent alinéa peut être adapté par </w:t>
      </w:r>
      <w:r w:rsidR="006A3B5A">
        <w:rPr>
          <w:lang w:eastAsia="fr-FR"/>
        </w:rPr>
        <w:t>le préfet</w:t>
      </w:r>
      <w:r>
        <w:rPr>
          <w:lang w:eastAsia="fr-FR"/>
        </w:rPr>
        <w:t xml:space="preserve"> si l’exploitant en fait la demande et démontre l’équivalence du dispositif alternatif souhaité</w:t>
      </w:r>
      <w:r w:rsidR="00527CCA">
        <w:rPr>
          <w:lang w:eastAsia="fr-FR"/>
        </w:rPr>
        <w:t xml:space="preserve"> en termes d’évacuation des lixiviats</w:t>
      </w:r>
      <w:r>
        <w:rPr>
          <w:lang w:eastAsia="fr-FR"/>
        </w:rPr>
        <w:t>. Toutefois, l’épaisseur de la couche de drainage ne peut être inférieure à 30 centimètres. ».</w:t>
      </w:r>
    </w:p>
    <w:p w14:paraId="5C9772E9" w14:textId="77777777" w:rsidR="001775D4" w:rsidRDefault="001775D4" w:rsidP="001775D4">
      <w:pPr>
        <w:pStyle w:val="Sansinterligne"/>
      </w:pPr>
      <w:r>
        <w:t>Article 6</w:t>
      </w:r>
    </w:p>
    <w:p w14:paraId="392044D0" w14:textId="7E87F724" w:rsidR="001775D4" w:rsidRDefault="001775D4" w:rsidP="001775D4">
      <w:r>
        <w:t xml:space="preserve">Au quatrième alinéa du III de l’article 11, après </w:t>
      </w:r>
      <w:r w:rsidR="00F71CD1">
        <w:t>la référence à l’article</w:t>
      </w:r>
      <w:r>
        <w:t xml:space="preserve"> </w:t>
      </w:r>
      <w:r w:rsidR="00527CCA">
        <w:t xml:space="preserve">: </w:t>
      </w:r>
      <w:r>
        <w:t xml:space="preserve">« article 22 » sont </w:t>
      </w:r>
      <w:r w:rsidR="00DE5AD6">
        <w:t xml:space="preserve">insérés </w:t>
      </w:r>
      <w:r>
        <w:t>les mots</w:t>
      </w:r>
      <w:r w:rsidR="00F71CD1">
        <w:t xml:space="preserve"> : </w:t>
      </w:r>
      <w:r>
        <w:t xml:space="preserve">« de l’arrêté ». </w:t>
      </w:r>
    </w:p>
    <w:p w14:paraId="25FCB62E" w14:textId="77777777" w:rsidR="001775D4" w:rsidRDefault="001775D4" w:rsidP="001775D4">
      <w:pPr>
        <w:pStyle w:val="Sansinterligne"/>
      </w:pPr>
      <w:r>
        <w:t>Article 7</w:t>
      </w:r>
    </w:p>
    <w:p w14:paraId="6AE5DBA6" w14:textId="41917AC5" w:rsidR="001775D4" w:rsidRDefault="001775D4" w:rsidP="001775D4">
      <w:r>
        <w:t xml:space="preserve">L’article 16 </w:t>
      </w:r>
      <w:r w:rsidR="00011C88">
        <w:t>est ainsi modifié :</w:t>
      </w:r>
    </w:p>
    <w:p w14:paraId="0F286073" w14:textId="4121133E" w:rsidR="00011C88" w:rsidRDefault="00011C88" w:rsidP="001775D4">
      <w:r>
        <w:t>1° Au I, après les mots</w:t>
      </w:r>
      <w:r w:rsidR="00527CCA">
        <w:t xml:space="preserve"> : </w:t>
      </w:r>
      <w:r>
        <w:t xml:space="preserve">« personnes et » sont </w:t>
      </w:r>
      <w:r w:rsidR="00DE5AD6">
        <w:t xml:space="preserve">insérés </w:t>
      </w:r>
      <w:r>
        <w:t>les mots</w:t>
      </w:r>
      <w:r w:rsidR="00527CCA">
        <w:t> :</w:t>
      </w:r>
      <w:r>
        <w:t xml:space="preserve"> « limite celle »</w:t>
      </w:r>
      <w:r w:rsidR="00F71CD1">
        <w:t> ;</w:t>
      </w:r>
      <w:r>
        <w:t xml:space="preserve"> </w:t>
      </w:r>
    </w:p>
    <w:p w14:paraId="1B08DA0C" w14:textId="676292DE" w:rsidR="00011C88" w:rsidRDefault="00011C88" w:rsidP="001775D4">
      <w:r>
        <w:t>2° Au</w:t>
      </w:r>
      <w:r w:rsidR="00F71CD1">
        <w:t xml:space="preserve"> 1</w:t>
      </w:r>
      <w:r w:rsidR="00F71CD1" w:rsidRPr="007E7DC6">
        <w:rPr>
          <w:vertAlign w:val="superscript"/>
        </w:rPr>
        <w:t>er</w:t>
      </w:r>
      <w:r w:rsidR="00F71CD1">
        <w:t xml:space="preserve"> alinéa du</w:t>
      </w:r>
      <w:r>
        <w:t xml:space="preserve"> IV, le mot</w:t>
      </w:r>
      <w:r w:rsidR="00527CCA">
        <w:t xml:space="preserve"> : </w:t>
      </w:r>
      <w:r>
        <w:t>« informatique » est supprimé</w:t>
      </w:r>
      <w:r w:rsidR="00527CCA">
        <w:t> ;</w:t>
      </w:r>
    </w:p>
    <w:p w14:paraId="012C1586" w14:textId="5A498534" w:rsidR="00F4402A" w:rsidRDefault="00011C88" w:rsidP="001775D4">
      <w:r>
        <w:t xml:space="preserve">3° </w:t>
      </w:r>
      <w:r w:rsidR="00527CCA">
        <w:t>L’article est complété par les alinéas suivants :</w:t>
      </w:r>
      <w:r w:rsidR="00F4402A">
        <w:t xml:space="preserve"> </w:t>
      </w:r>
    </w:p>
    <w:p w14:paraId="1DFDEE26" w14:textId="0ACF8909" w:rsidR="00F4402A" w:rsidRDefault="00F4402A" w:rsidP="001775D4">
      <w:pPr>
        <w:rPr>
          <w:lang w:eastAsia="fr-FR"/>
        </w:rPr>
      </w:pPr>
      <w:r>
        <w:rPr>
          <w:lang w:eastAsia="fr-FR"/>
        </w:rPr>
        <w:t xml:space="preserve">« VI. – Les casiers en cours d’exploitation et les zones d’entreposage de déchets sont équipées d’un dispositif de détection des départs d’incendies, correctement installé, entretenu et régulièrement testé. </w:t>
      </w:r>
    </w:p>
    <w:p w14:paraId="1BA04D21" w14:textId="4CCDAFB9" w:rsidR="00F4402A" w:rsidRDefault="00F4402A" w:rsidP="001775D4">
      <w:pPr>
        <w:rPr>
          <w:lang w:eastAsia="fr-FR"/>
        </w:rPr>
      </w:pPr>
      <w:r>
        <w:rPr>
          <w:lang w:eastAsia="fr-FR"/>
        </w:rPr>
        <w:t>« Ce dispositif est associé à une alarme facilement audible par le personnel présent sur le site.  Lorsqu’</w:t>
      </w:r>
      <w:r w:rsidR="00527CCA">
        <w:rPr>
          <w:lang w:eastAsia="fr-FR"/>
        </w:rPr>
        <w:t>aucun personnel n’est présent</w:t>
      </w:r>
      <w:r>
        <w:rPr>
          <w:lang w:eastAsia="fr-FR"/>
        </w:rPr>
        <w:t xml:space="preserve"> sur le site, l’alarme est transmise à du personnel formé et désigné par l’exploitant. Lorsqu’une présence permanente est assurée sur le site, des rondes régulières sont réalisées par du personnel formé aux abords des casiers en exploitation et des zones d’entreposage de déchets lors des périodes d’inactivité. </w:t>
      </w:r>
    </w:p>
    <w:p w14:paraId="27BA1AAD" w14:textId="2CEC1268" w:rsidR="00F4402A" w:rsidRDefault="00F4402A" w:rsidP="001775D4">
      <w:pPr>
        <w:rPr>
          <w:lang w:eastAsia="fr-FR"/>
        </w:rPr>
      </w:pPr>
      <w:r>
        <w:rPr>
          <w:lang w:eastAsia="fr-FR"/>
        </w:rPr>
        <w:t>« </w:t>
      </w:r>
      <w:r w:rsidR="00F71CD1">
        <w:rPr>
          <w:lang w:eastAsia="fr-FR"/>
        </w:rPr>
        <w:t xml:space="preserve">Dans </w:t>
      </w:r>
      <w:r w:rsidR="0047083A">
        <w:rPr>
          <w:lang w:eastAsia="fr-FR"/>
        </w:rPr>
        <w:t>tous</w:t>
      </w:r>
      <w:r w:rsidR="00F71CD1">
        <w:rPr>
          <w:lang w:eastAsia="fr-FR"/>
        </w:rPr>
        <w:t xml:space="preserve"> les cas u</w:t>
      </w:r>
      <w:r w:rsidR="00527CCA">
        <w:rPr>
          <w:lang w:eastAsia="fr-FR"/>
        </w:rPr>
        <w:t>ne</w:t>
      </w:r>
      <w:r>
        <w:rPr>
          <w:lang w:eastAsia="fr-FR"/>
        </w:rPr>
        <w:t xml:space="preserve"> ronde est organisée au moins deux heures après la réception du dernier arrivage de déchets sur le site et avant le départ du personnel. </w:t>
      </w:r>
      <w:r>
        <w:rPr>
          <w:lang w:eastAsia="fr-FR"/>
        </w:rPr>
        <w:br/>
        <w:t>Les modalités d</w:t>
      </w:r>
      <w:r w:rsidR="00527CCA">
        <w:rPr>
          <w:lang w:eastAsia="fr-FR"/>
        </w:rPr>
        <w:t>’application du présent VI</w:t>
      </w:r>
      <w:r>
        <w:rPr>
          <w:lang w:eastAsia="fr-FR"/>
        </w:rPr>
        <w:t xml:space="preserve"> sont précisées dans le plan de défense incendie de l’exploitant. </w:t>
      </w:r>
    </w:p>
    <w:p w14:paraId="3DA1AFAA" w14:textId="55D86A1C" w:rsidR="00011C88" w:rsidRDefault="00F4402A" w:rsidP="001775D4">
      <w:pPr>
        <w:rPr>
          <w:lang w:eastAsia="fr-FR"/>
        </w:rPr>
      </w:pPr>
      <w:r>
        <w:rPr>
          <w:lang w:eastAsia="fr-FR"/>
        </w:rPr>
        <w:br/>
        <w:t>« VII. – L’installation est dotée d’un moyen permettant d’alerter les services d’incendie et de secours. »</w:t>
      </w:r>
      <w:r w:rsidR="00BA52E1">
        <w:rPr>
          <w:lang w:eastAsia="fr-FR"/>
        </w:rPr>
        <w:t>.</w:t>
      </w:r>
    </w:p>
    <w:p w14:paraId="7EDCD429" w14:textId="77777777" w:rsidR="00011C88" w:rsidRDefault="00011C88" w:rsidP="00011C88">
      <w:pPr>
        <w:pStyle w:val="Sansinterligne"/>
      </w:pPr>
      <w:r>
        <w:t>Article 8</w:t>
      </w:r>
    </w:p>
    <w:p w14:paraId="78C42D11" w14:textId="614BDDA0" w:rsidR="00011C88" w:rsidRDefault="00011C88" w:rsidP="00011C88">
      <w:r>
        <w:t xml:space="preserve">Au </w:t>
      </w:r>
      <w:r w:rsidR="00527CCA">
        <w:t xml:space="preserve">deuxième </w:t>
      </w:r>
      <w:r>
        <w:t>alinéa de l’article 17, les mots</w:t>
      </w:r>
      <w:r w:rsidR="00527CCA">
        <w:t xml:space="preserve"> : </w:t>
      </w:r>
      <w:r w:rsidR="003D0F22">
        <w:t>« </w:t>
      </w:r>
      <w:proofErr w:type="spellStart"/>
      <w:r w:rsidR="003D0F22">
        <w:t xml:space="preserve">ci </w:t>
      </w:r>
      <w:r>
        <w:t>après</w:t>
      </w:r>
      <w:proofErr w:type="spellEnd"/>
      <w:r>
        <w:t> » sont remplacés par le mot</w:t>
      </w:r>
      <w:r w:rsidR="00527CCA">
        <w:t xml:space="preserve"> : </w:t>
      </w:r>
      <w:r>
        <w:t xml:space="preserve">« ci-après ». </w:t>
      </w:r>
    </w:p>
    <w:p w14:paraId="1901CEE7" w14:textId="77777777" w:rsidR="00011C88" w:rsidRDefault="00011C88" w:rsidP="00011C88">
      <w:pPr>
        <w:pStyle w:val="Sansinterligne"/>
      </w:pPr>
      <w:r>
        <w:t>Article 9</w:t>
      </w:r>
    </w:p>
    <w:p w14:paraId="756B32C8" w14:textId="1B76E52F" w:rsidR="00011C88" w:rsidRDefault="00011C88" w:rsidP="00011C88">
      <w:r>
        <w:t>Au premier alinéa de l’article 19, les mots</w:t>
      </w:r>
      <w:r w:rsidR="00527CCA">
        <w:t xml:space="preserve"> : </w:t>
      </w:r>
      <w:r>
        <w:t>« </w:t>
      </w:r>
      <w:r w:rsidR="00840370">
        <w:t xml:space="preserve">avant leur installation sur le site </w:t>
      </w:r>
      <w:r>
        <w:t xml:space="preserve">» </w:t>
      </w:r>
      <w:r w:rsidR="00840370">
        <w:t xml:space="preserve">sont supprimés. </w:t>
      </w:r>
      <w:r>
        <w:t xml:space="preserve"> </w:t>
      </w:r>
    </w:p>
    <w:p w14:paraId="2C880BB5" w14:textId="77777777" w:rsidR="00840370" w:rsidRDefault="00840370" w:rsidP="00840370">
      <w:pPr>
        <w:pStyle w:val="Sansinterligne"/>
      </w:pPr>
      <w:r>
        <w:lastRenderedPageBreak/>
        <w:t>Article 10</w:t>
      </w:r>
    </w:p>
    <w:p w14:paraId="7A35EBB4" w14:textId="741C5D8A" w:rsidR="00840370" w:rsidRDefault="00840370" w:rsidP="00011C88">
      <w:r>
        <w:t>L’article 21 est ainsi modifié :</w:t>
      </w:r>
    </w:p>
    <w:p w14:paraId="01A04724" w14:textId="77E0202F" w:rsidR="00011C88" w:rsidRDefault="00840370" w:rsidP="00011C88">
      <w:pPr>
        <w:rPr>
          <w:lang w:eastAsia="fr-FR"/>
        </w:rPr>
      </w:pPr>
      <w:r>
        <w:t>1° Au premier alinéa du II, après le mot</w:t>
      </w:r>
      <w:r w:rsidR="00527CCA">
        <w:t> :</w:t>
      </w:r>
      <w:r w:rsidR="003D0F22">
        <w:t xml:space="preserve"> « </w:t>
      </w:r>
      <w:proofErr w:type="spellStart"/>
      <w:r w:rsidR="003D0F22">
        <w:t>incidentelle</w:t>
      </w:r>
      <w:proofErr w:type="spellEnd"/>
      <w:r w:rsidR="003D0F22">
        <w:t>. »</w:t>
      </w:r>
      <w:r>
        <w:t xml:space="preserve"> </w:t>
      </w:r>
      <w:r w:rsidR="00527CCA">
        <w:t>est ajoutée la</w:t>
      </w:r>
      <w:r w:rsidR="00C0422A">
        <w:t xml:space="preserve"> phrase</w:t>
      </w:r>
      <w:r>
        <w:t xml:space="preserve"> « </w:t>
      </w:r>
      <w:r>
        <w:rPr>
          <w:lang w:eastAsia="fr-FR"/>
        </w:rPr>
        <w:t>Le programme prévoit en particulier le contrôle de l’étanchéité des équipements, des capteurs et des outils de mesure ainsi que l’étalonnage des capte</w:t>
      </w:r>
      <w:r w:rsidR="001A207A">
        <w:rPr>
          <w:lang w:eastAsia="fr-FR"/>
        </w:rPr>
        <w:t>urs et des outils de mesure. » ;</w:t>
      </w:r>
      <w:bookmarkStart w:id="0" w:name="_GoBack"/>
      <w:bookmarkEnd w:id="0"/>
    </w:p>
    <w:p w14:paraId="7CD5CF2C" w14:textId="77CB4424" w:rsidR="00840370" w:rsidRDefault="00840370" w:rsidP="00011C88">
      <w:pPr>
        <w:rPr>
          <w:lang w:eastAsia="fr-FR"/>
        </w:rPr>
      </w:pPr>
      <w:r>
        <w:rPr>
          <w:lang w:eastAsia="fr-FR"/>
        </w:rPr>
        <w:t xml:space="preserve">2° </w:t>
      </w:r>
      <w:r w:rsidR="00A47972">
        <w:rPr>
          <w:lang w:eastAsia="fr-FR"/>
        </w:rPr>
        <w:t>L’article est complété par</w:t>
      </w:r>
      <w:r w:rsidR="0047083A">
        <w:rPr>
          <w:lang w:eastAsia="fr-FR"/>
        </w:rPr>
        <w:t xml:space="preserve"> un V ainsi rédigé</w:t>
      </w:r>
      <w:r w:rsidR="00A47972">
        <w:rPr>
          <w:lang w:eastAsia="fr-FR"/>
        </w:rPr>
        <w:t xml:space="preserve"> : </w:t>
      </w:r>
    </w:p>
    <w:p w14:paraId="3179B370" w14:textId="208179AC" w:rsidR="00840370" w:rsidRDefault="00840370" w:rsidP="00840370">
      <w:pPr>
        <w:rPr>
          <w:lang w:eastAsia="fr-FR"/>
        </w:rPr>
      </w:pPr>
      <w:r>
        <w:rPr>
          <w:lang w:eastAsia="fr-FR"/>
        </w:rPr>
        <w:t xml:space="preserve">« V. </w:t>
      </w:r>
      <w:r w:rsidR="00A47972">
        <w:rPr>
          <w:lang w:eastAsia="fr-FR"/>
        </w:rPr>
        <w:t xml:space="preserve">- </w:t>
      </w:r>
      <w:r>
        <w:rPr>
          <w:lang w:eastAsia="fr-FR"/>
        </w:rPr>
        <w:t xml:space="preserve">L’exploitant établit un programme de détection et de réparation des fuites pour réduire les émissions fugitives de gaz. L’exploitant peut recourir à </w:t>
      </w:r>
      <w:r w:rsidR="00A47972">
        <w:rPr>
          <w:lang w:eastAsia="fr-FR"/>
        </w:rPr>
        <w:t>une</w:t>
      </w:r>
      <w:r>
        <w:rPr>
          <w:lang w:eastAsia="fr-FR"/>
        </w:rPr>
        <w:t xml:space="preserve"> méthode par reniflage ou </w:t>
      </w:r>
      <w:r w:rsidR="00A47972">
        <w:rPr>
          <w:lang w:eastAsia="fr-FR"/>
        </w:rPr>
        <w:t xml:space="preserve">à une </w:t>
      </w:r>
      <w:r>
        <w:rPr>
          <w:lang w:eastAsia="fr-FR"/>
        </w:rPr>
        <w:t xml:space="preserve">méthode de détection des gaz par imagerie optique. </w:t>
      </w:r>
    </w:p>
    <w:p w14:paraId="24E596A6" w14:textId="77777777" w:rsidR="00840370" w:rsidRDefault="00840370" w:rsidP="00840370">
      <w:pPr>
        <w:rPr>
          <w:lang w:eastAsia="fr-FR"/>
        </w:rPr>
      </w:pPr>
      <w:r>
        <w:rPr>
          <w:lang w:eastAsia="fr-FR"/>
        </w:rPr>
        <w:t xml:space="preserve">« Les résultats des mesures sont tenus à la disposition de l'inspection des installations classées et sont présentés dans le rapport annuel d'activité prévu à l'article 26 du présent arrêté, accompagnés des informations sur les fuites détectées ainsi que sur les actions correctives mises en œuvre ou envisagées. ». </w:t>
      </w:r>
    </w:p>
    <w:p w14:paraId="16D1124F" w14:textId="77777777" w:rsidR="00C40EE4" w:rsidRDefault="00C40EE4" w:rsidP="00C40EE4">
      <w:pPr>
        <w:pStyle w:val="Sansinterligne"/>
      </w:pPr>
      <w:r>
        <w:t>Article 11</w:t>
      </w:r>
    </w:p>
    <w:p w14:paraId="4A411024" w14:textId="28CB039E" w:rsidR="00C40EE4" w:rsidRPr="007E7DC6" w:rsidRDefault="00DE5AD6" w:rsidP="00C40EE4">
      <w:pPr>
        <w:rPr>
          <w:lang w:eastAsia="fr-FR"/>
        </w:rPr>
      </w:pPr>
      <w:r>
        <w:rPr>
          <w:lang w:eastAsia="fr-FR"/>
        </w:rPr>
        <w:t>Après l’article 24, i</w:t>
      </w:r>
      <w:r w:rsidR="00C40EE4">
        <w:t xml:space="preserve">l est </w:t>
      </w:r>
      <w:r>
        <w:t>insér</w:t>
      </w:r>
      <w:r w:rsidR="00C40EE4">
        <w:t>é un article 24 bis ainsi rédigé :</w:t>
      </w:r>
      <w:r>
        <w:br/>
        <w:t>« </w:t>
      </w:r>
      <w:r w:rsidR="006341A3">
        <w:t>Art.</w:t>
      </w:r>
      <w:r w:rsidR="0047083A">
        <w:t xml:space="preserve"> </w:t>
      </w:r>
      <w:r>
        <w:t>24 bis</w:t>
      </w:r>
      <w:r w:rsidR="0047083A">
        <w:t>. -</w:t>
      </w:r>
      <w:r w:rsidR="0047083A">
        <w:rPr>
          <w:lang w:eastAsia="fr-FR"/>
        </w:rPr>
        <w:t xml:space="preserve"> </w:t>
      </w:r>
      <w:r w:rsidR="00C40EE4" w:rsidRPr="007E7DC6">
        <w:rPr>
          <w:lang w:eastAsia="fr-FR"/>
        </w:rPr>
        <w:t>L’exploitant établit un programme de surveillance de</w:t>
      </w:r>
      <w:r w:rsidR="006341A3" w:rsidRPr="007E7DC6">
        <w:rPr>
          <w:lang w:eastAsia="fr-FR"/>
        </w:rPr>
        <w:t>s prélèvements et de</w:t>
      </w:r>
      <w:r w:rsidR="00C40EE4" w:rsidRPr="007E7DC6">
        <w:rPr>
          <w:lang w:eastAsia="fr-FR"/>
        </w:rPr>
        <w:t xml:space="preserve"> la consommation d’eau de l’installation. </w:t>
      </w:r>
    </w:p>
    <w:p w14:paraId="3D1505ED" w14:textId="1E3E6391" w:rsidR="00C40EE4" w:rsidRPr="00F52E92" w:rsidRDefault="00C40EE4" w:rsidP="00C40EE4">
      <w:pPr>
        <w:rPr>
          <w:lang w:eastAsia="fr-FR"/>
        </w:rPr>
      </w:pPr>
      <w:r w:rsidRPr="007E7DC6">
        <w:rPr>
          <w:lang w:eastAsia="fr-FR"/>
        </w:rPr>
        <w:t>« Les résultats de</w:t>
      </w:r>
      <w:r w:rsidR="006341A3" w:rsidRPr="007E7DC6">
        <w:rPr>
          <w:lang w:eastAsia="fr-FR"/>
        </w:rPr>
        <w:t xml:space="preserve"> ce programme de surveillance </w:t>
      </w:r>
      <w:r w:rsidR="008920E8" w:rsidRPr="007E7DC6">
        <w:rPr>
          <w:lang w:eastAsia="fr-FR"/>
        </w:rPr>
        <w:t>sont</w:t>
      </w:r>
      <w:r w:rsidR="006341A3" w:rsidRPr="007E7DC6">
        <w:rPr>
          <w:lang w:eastAsia="fr-FR"/>
        </w:rPr>
        <w:t xml:space="preserve"> tenu</w:t>
      </w:r>
      <w:r w:rsidR="008920E8" w:rsidRPr="007E7DC6">
        <w:rPr>
          <w:lang w:eastAsia="fr-FR"/>
        </w:rPr>
        <w:t>s</w:t>
      </w:r>
      <w:r w:rsidRPr="007E7DC6">
        <w:rPr>
          <w:lang w:eastAsia="fr-FR"/>
        </w:rPr>
        <w:t xml:space="preserve"> à la disposition de l'inspection des installations classées et sont présentés dans le rapport annuel d'activité prévu à l'article 26 du présent arrêté, accompagnés de</w:t>
      </w:r>
      <w:r w:rsidR="00A47972" w:rsidRPr="007E7DC6">
        <w:rPr>
          <w:lang w:eastAsia="fr-FR"/>
        </w:rPr>
        <w:t xml:space="preserve"> commentaires sur les évolutions constatées</w:t>
      </w:r>
      <w:r w:rsidRPr="007E7DC6">
        <w:rPr>
          <w:lang w:eastAsia="fr-FR"/>
        </w:rPr>
        <w:t xml:space="preserve"> informations sur les changements importants de la consommation d’eau. </w:t>
      </w:r>
      <w:r w:rsidRPr="00F52E92">
        <w:rPr>
          <w:lang w:eastAsia="fr-FR"/>
        </w:rPr>
        <w:t>».</w:t>
      </w:r>
    </w:p>
    <w:p w14:paraId="6A912E8F" w14:textId="5CE525DF" w:rsidR="00C40EE4" w:rsidRDefault="00C40EE4" w:rsidP="00C40EE4">
      <w:pPr>
        <w:pStyle w:val="Sansinterligne"/>
      </w:pPr>
      <w:r>
        <w:t>Article 12</w:t>
      </w:r>
    </w:p>
    <w:p w14:paraId="6BCD2632" w14:textId="77777777" w:rsidR="00037712" w:rsidRDefault="00DE5AD6" w:rsidP="00C40EE4">
      <w:r>
        <w:rPr>
          <w:lang w:eastAsia="fr-FR"/>
        </w:rPr>
        <w:t>Après l’article 24</w:t>
      </w:r>
      <w:r w:rsidR="00C40EE4">
        <w:t xml:space="preserve">, il est </w:t>
      </w:r>
      <w:r>
        <w:t xml:space="preserve">inséré </w:t>
      </w:r>
      <w:r w:rsidR="00C40EE4">
        <w:t xml:space="preserve">un article 24 ter ainsi rédigé : </w:t>
      </w:r>
    </w:p>
    <w:p w14:paraId="3F2985DC" w14:textId="730E63A5" w:rsidR="00C40EE4" w:rsidRDefault="00DE5AD6" w:rsidP="00C40EE4">
      <w:proofErr w:type="gramStart"/>
      <w:r>
        <w:t>«  Art</w:t>
      </w:r>
      <w:r w:rsidR="006341A3">
        <w:t>.</w:t>
      </w:r>
      <w:proofErr w:type="gramEnd"/>
      <w:r>
        <w:t xml:space="preserve"> 24 ter</w:t>
      </w:r>
      <w:r w:rsidR="00A47972">
        <w:t>. -</w:t>
      </w:r>
      <w:r w:rsidR="00C40EE4">
        <w:t xml:space="preserve"> L’exploitant établit un bilan énergétique annuel de sa consommation et de sa production d’énergie. Il comprend : </w:t>
      </w:r>
    </w:p>
    <w:p w14:paraId="37011546" w14:textId="77777777" w:rsidR="00C40EE4" w:rsidRDefault="00C40EE4" w:rsidP="00C40EE4">
      <w:r>
        <w:t>« </w:t>
      </w:r>
      <w:proofErr w:type="gramStart"/>
      <w:r>
        <w:t>i</w:t>
      </w:r>
      <w:proofErr w:type="gramEnd"/>
      <w:r>
        <w:t>) des informations sur la consommation d'énergie, exprimée en énergie fournie ;</w:t>
      </w:r>
    </w:p>
    <w:p w14:paraId="3F99FBCA" w14:textId="0A11A8FB" w:rsidR="00C40EE4" w:rsidRDefault="00C40EE4" w:rsidP="00C40EE4">
      <w:r>
        <w:t>« </w:t>
      </w:r>
      <w:proofErr w:type="gramStart"/>
      <w:r>
        <w:t>ii</w:t>
      </w:r>
      <w:proofErr w:type="gramEnd"/>
      <w:r>
        <w:t>) des informations sur l'énergie produite dans l’installation, et en particulier sur la quantité de biogaz valorisée</w:t>
      </w:r>
      <w:r w:rsidR="00A47972">
        <w:t> ;</w:t>
      </w:r>
    </w:p>
    <w:p w14:paraId="115D5AAA" w14:textId="3D269D96" w:rsidR="00C40EE4" w:rsidRDefault="00C40EE4" w:rsidP="00C40EE4">
      <w:r>
        <w:t>« </w:t>
      </w:r>
      <w:proofErr w:type="gramStart"/>
      <w:r>
        <w:t>iii</w:t>
      </w:r>
      <w:proofErr w:type="gramEnd"/>
      <w:r>
        <w:t xml:space="preserve">) des informations sur l’énergie </w:t>
      </w:r>
      <w:r w:rsidR="00A47972">
        <w:t xml:space="preserve">valorisée </w:t>
      </w:r>
      <w:r>
        <w:t>hors de l'installation</w:t>
      </w:r>
      <w:r w:rsidR="006341A3">
        <w:t>.</w:t>
      </w:r>
    </w:p>
    <w:p w14:paraId="456BDCE9" w14:textId="77777777" w:rsidR="00C40EE4" w:rsidRDefault="00C40EE4" w:rsidP="00C40EE4">
      <w:r>
        <w:t>« Le bilan énergétique annuel est tenu à la disposition de l'inspection des installations classées et présenté dans le rapport annuel d'activité prévu à l'article 26 du présent arrêté.</w:t>
      </w:r>
    </w:p>
    <w:p w14:paraId="5606B67A" w14:textId="19F5DCF4" w:rsidR="00C40EE4" w:rsidRDefault="00C40EE4" w:rsidP="00C40EE4">
      <w:r>
        <w:t xml:space="preserve">« Le bilan énergétique annuel réalisé </w:t>
      </w:r>
      <w:r w:rsidR="00A47972">
        <w:t>au titre de l’année</w:t>
      </w:r>
      <w:r>
        <w:t xml:space="preserve"> 2023 comprend également une étude technico-économique et environnementale sur l’opportunité de valoriser le biogaz capté dans les casiers de l’installation, à </w:t>
      </w:r>
      <w:r w:rsidRPr="00F4402A">
        <w:t>l’exclusion du cas où elle est exclusivement équipée de casiers dédiés aux déchets de matériaux de construction contenant de l'amiante, de casiers dont la période de post exploitation s’est achevée ou de casiers ne produisant pas de biogaz. »</w:t>
      </w:r>
      <w:r w:rsidR="00A645DE">
        <w:t>.</w:t>
      </w:r>
    </w:p>
    <w:p w14:paraId="5A934C5F" w14:textId="77777777" w:rsidR="00C40EE4" w:rsidRDefault="00C40EE4" w:rsidP="00C40EE4">
      <w:pPr>
        <w:pStyle w:val="Sansinterligne"/>
      </w:pPr>
      <w:r>
        <w:t>Article 13</w:t>
      </w:r>
    </w:p>
    <w:p w14:paraId="5FE5C17C" w14:textId="7810E693" w:rsidR="00C40EE4" w:rsidRDefault="00A47972" w:rsidP="00C40EE4">
      <w:r>
        <w:rPr>
          <w:lang w:eastAsia="fr-FR"/>
        </w:rPr>
        <w:t>L</w:t>
      </w:r>
      <w:r w:rsidR="00F12DED">
        <w:rPr>
          <w:lang w:eastAsia="fr-FR"/>
        </w:rPr>
        <w:t>’article 33</w:t>
      </w:r>
      <w:r w:rsidR="00F979EB">
        <w:t xml:space="preserve">, </w:t>
      </w:r>
      <w:r>
        <w:t xml:space="preserve">est complété par un </w:t>
      </w:r>
      <w:r w:rsidR="00F979EB">
        <w:t>VIII et un IX</w:t>
      </w:r>
      <w:r w:rsidR="00F0337C">
        <w:t xml:space="preserve"> ainsi rédigés</w:t>
      </w:r>
      <w:r w:rsidR="00F979EB">
        <w:t> :</w:t>
      </w:r>
    </w:p>
    <w:p w14:paraId="7C550992" w14:textId="00DDC55F" w:rsidR="00A47972" w:rsidRDefault="00F979EB" w:rsidP="00C40EE4">
      <w:pPr>
        <w:rPr>
          <w:lang w:eastAsia="fr-FR"/>
        </w:rPr>
      </w:pPr>
      <w:r w:rsidRPr="00F4402A">
        <w:rPr>
          <w:lang w:eastAsia="fr-FR"/>
        </w:rPr>
        <w:t>« </w:t>
      </w:r>
      <w:r w:rsidR="007663CA" w:rsidRPr="00F4402A">
        <w:rPr>
          <w:lang w:eastAsia="fr-FR"/>
        </w:rPr>
        <w:t>VIII.</w:t>
      </w:r>
      <w:r w:rsidR="008920E8">
        <w:rPr>
          <w:lang w:eastAsia="fr-FR"/>
        </w:rPr>
        <w:t xml:space="preserve"> -</w:t>
      </w:r>
      <w:r w:rsidR="007663CA" w:rsidRPr="00F4402A">
        <w:rPr>
          <w:lang w:eastAsia="fr-FR"/>
        </w:rPr>
        <w:t xml:space="preserve"> </w:t>
      </w:r>
      <w:r w:rsidR="00857F3C">
        <w:rPr>
          <w:lang w:eastAsia="fr-FR"/>
        </w:rPr>
        <w:t>Une</w:t>
      </w:r>
      <w:r w:rsidR="007663CA" w:rsidRPr="00F4402A">
        <w:rPr>
          <w:lang w:eastAsia="fr-FR"/>
        </w:rPr>
        <w:t xml:space="preserve"> part suffisante du personnel est formée à l’utilisation et au transport des matériaux de recouvrement en cas de sinistre. Le personnel extérieur au site reçoit une information sur les risques incendies du site et sur la conduite à tenir en cas de sinistre. </w:t>
      </w:r>
      <w:r w:rsidR="00857F3C">
        <w:rPr>
          <w:lang w:eastAsia="fr-FR"/>
        </w:rPr>
        <w:t xml:space="preserve">Les dispositions du présent paragraphe ne sont pas applicables aux </w:t>
      </w:r>
      <w:r w:rsidR="00A47972">
        <w:rPr>
          <w:lang w:eastAsia="fr-FR"/>
        </w:rPr>
        <w:t xml:space="preserve">sites exclusivement dédiés </w:t>
      </w:r>
      <w:r w:rsidR="00D70ECB">
        <w:rPr>
          <w:lang w:eastAsia="fr-FR"/>
        </w:rPr>
        <w:t>au stockage</w:t>
      </w:r>
      <w:r w:rsidR="00A47972">
        <w:rPr>
          <w:lang w:eastAsia="fr-FR"/>
        </w:rPr>
        <w:t xml:space="preserve"> de d</w:t>
      </w:r>
      <w:r w:rsidR="00A47972" w:rsidRPr="00797306">
        <w:rPr>
          <w:lang w:eastAsia="fr-FR"/>
        </w:rPr>
        <w:t>échets de matériaux de construction contenant de l'amiante</w:t>
      </w:r>
      <w:r w:rsidR="00A47972">
        <w:rPr>
          <w:lang w:eastAsia="fr-FR"/>
        </w:rPr>
        <w:t>.</w:t>
      </w:r>
    </w:p>
    <w:p w14:paraId="0C8F9575" w14:textId="4CBAA66F" w:rsidR="00C40EE4" w:rsidRDefault="00A47972" w:rsidP="00C40EE4">
      <w:pPr>
        <w:rPr>
          <w:lang w:eastAsia="fr-FR"/>
        </w:rPr>
      </w:pPr>
      <w:r>
        <w:rPr>
          <w:lang w:eastAsia="fr-FR"/>
        </w:rPr>
        <w:t xml:space="preserve"> </w:t>
      </w:r>
      <w:r w:rsidR="007663CA" w:rsidRPr="00F4402A">
        <w:rPr>
          <w:lang w:eastAsia="fr-FR"/>
        </w:rPr>
        <w:br/>
      </w:r>
      <w:r w:rsidR="00F979EB" w:rsidRPr="00F4402A">
        <w:rPr>
          <w:lang w:eastAsia="fr-FR"/>
        </w:rPr>
        <w:t>« </w:t>
      </w:r>
      <w:r w:rsidR="007663CA" w:rsidRPr="00F4402A">
        <w:rPr>
          <w:lang w:eastAsia="fr-FR"/>
        </w:rPr>
        <w:t xml:space="preserve">IX.- </w:t>
      </w:r>
      <w:r w:rsidR="00857F3C">
        <w:rPr>
          <w:lang w:eastAsia="fr-FR"/>
        </w:rPr>
        <w:t>D</w:t>
      </w:r>
      <w:r w:rsidR="007663CA" w:rsidRPr="00F4402A">
        <w:rPr>
          <w:lang w:eastAsia="fr-FR"/>
        </w:rPr>
        <w:t xml:space="preserve">ans le trimestre suivant le début de l’exploitation de l’installation, l’exploitant organise un exercice de défense contre les incendies. Cet exercice est renouvelé tous les trois ans, jusqu’à la fin de la période d’exploitation du site. </w:t>
      </w:r>
      <w:r w:rsidR="00857F3C">
        <w:rPr>
          <w:lang w:eastAsia="fr-FR"/>
        </w:rPr>
        <w:t>Chaque exercice fait l’objet d’un compte rendu</w:t>
      </w:r>
      <w:r w:rsidR="007663CA" w:rsidRPr="00F4402A">
        <w:rPr>
          <w:lang w:eastAsia="fr-FR"/>
        </w:rPr>
        <w:t>.</w:t>
      </w:r>
      <w:r w:rsidR="00857F3C" w:rsidRPr="00857F3C">
        <w:rPr>
          <w:lang w:eastAsia="fr-FR"/>
        </w:rPr>
        <w:t xml:space="preserve"> </w:t>
      </w:r>
      <w:r>
        <w:rPr>
          <w:lang w:eastAsia="fr-FR"/>
        </w:rPr>
        <w:t xml:space="preserve">Les dispositions du présent paragraphe ne sont pas applicables aux sites exclusivement dédiés </w:t>
      </w:r>
      <w:r w:rsidR="00D70ECB">
        <w:rPr>
          <w:lang w:eastAsia="fr-FR"/>
        </w:rPr>
        <w:t>au stockage</w:t>
      </w:r>
      <w:r>
        <w:rPr>
          <w:lang w:eastAsia="fr-FR"/>
        </w:rPr>
        <w:t xml:space="preserve"> de d</w:t>
      </w:r>
      <w:r w:rsidRPr="00797306">
        <w:rPr>
          <w:lang w:eastAsia="fr-FR"/>
        </w:rPr>
        <w:t>échets de matériaux de construction contenant de l'amiante</w:t>
      </w:r>
      <w:r>
        <w:rPr>
          <w:lang w:eastAsia="fr-FR"/>
        </w:rPr>
        <w:t>.</w:t>
      </w:r>
      <w:r w:rsidR="00F979EB" w:rsidRPr="00F4402A">
        <w:rPr>
          <w:lang w:eastAsia="fr-FR"/>
        </w:rPr>
        <w:t> »</w:t>
      </w:r>
      <w:r w:rsidR="00BA52E1">
        <w:rPr>
          <w:lang w:eastAsia="fr-FR"/>
        </w:rPr>
        <w:t>.</w:t>
      </w:r>
    </w:p>
    <w:p w14:paraId="7B655050" w14:textId="77777777" w:rsidR="00F979EB" w:rsidRDefault="00F979EB" w:rsidP="00F979EB">
      <w:pPr>
        <w:pStyle w:val="Sansinterligne"/>
      </w:pPr>
      <w:r>
        <w:t>Article 14</w:t>
      </w:r>
    </w:p>
    <w:p w14:paraId="78C710B5" w14:textId="2A8AB5D8" w:rsidR="00F979EB" w:rsidRDefault="00686CEA" w:rsidP="00F979EB">
      <w:r>
        <w:rPr>
          <w:lang w:eastAsia="fr-FR"/>
        </w:rPr>
        <w:t>Après l’article 33</w:t>
      </w:r>
      <w:r w:rsidR="00F979EB">
        <w:t xml:space="preserve">, il est </w:t>
      </w:r>
      <w:r>
        <w:t xml:space="preserve">inséré </w:t>
      </w:r>
      <w:r w:rsidR="00F979EB">
        <w:t xml:space="preserve">un article 33 bis ainsi rédigé : </w:t>
      </w:r>
    </w:p>
    <w:p w14:paraId="07D8F581" w14:textId="1D8F0386" w:rsidR="00F979EB" w:rsidRDefault="00F979EB" w:rsidP="00F979EB">
      <w:pPr>
        <w:rPr>
          <w:lang w:eastAsia="fr-FR"/>
        </w:rPr>
      </w:pPr>
      <w:r>
        <w:rPr>
          <w:lang w:eastAsia="fr-FR"/>
        </w:rPr>
        <w:t xml:space="preserve">« I. </w:t>
      </w:r>
      <w:r w:rsidR="00D70ECB">
        <w:rPr>
          <w:lang w:eastAsia="fr-FR"/>
        </w:rPr>
        <w:t xml:space="preserve">- </w:t>
      </w:r>
      <w:r>
        <w:rPr>
          <w:lang w:eastAsia="fr-FR"/>
        </w:rPr>
        <w:t xml:space="preserve">L’exploitant réalise et tient à jour un plan de défense incendie comprenant au </w:t>
      </w:r>
      <w:r w:rsidR="00D70ECB">
        <w:rPr>
          <w:lang w:eastAsia="fr-FR"/>
        </w:rPr>
        <w:t xml:space="preserve">moins </w:t>
      </w:r>
      <w:r>
        <w:rPr>
          <w:lang w:eastAsia="fr-FR"/>
        </w:rPr>
        <w:t xml:space="preserve">: </w:t>
      </w:r>
    </w:p>
    <w:p w14:paraId="294F122F" w14:textId="06CDF52F" w:rsidR="00F979EB" w:rsidRDefault="00F979EB" w:rsidP="00F979EB">
      <w:pPr>
        <w:rPr>
          <w:lang w:eastAsia="fr-FR"/>
        </w:rPr>
      </w:pPr>
      <w:r>
        <w:rPr>
          <w:lang w:eastAsia="fr-FR"/>
        </w:rPr>
        <w:t>« - la procédure relative à la conduite à tenir en cas d'incendie sur l'installation</w:t>
      </w:r>
      <w:r w:rsidR="0047083A">
        <w:rPr>
          <w:lang w:eastAsia="fr-FR"/>
        </w:rPr>
        <w:t> ;</w:t>
      </w:r>
    </w:p>
    <w:p w14:paraId="59795104" w14:textId="77777777" w:rsidR="00F979EB" w:rsidRDefault="00F979EB" w:rsidP="00F979EB">
      <w:pPr>
        <w:rPr>
          <w:lang w:eastAsia="fr-FR"/>
        </w:rPr>
      </w:pPr>
      <w:r>
        <w:rPr>
          <w:lang w:eastAsia="fr-FR"/>
        </w:rPr>
        <w:t xml:space="preserve">« - les schémas d'alarme et d'alerte décrivant les actions à mener par l’exploitant à compter de la détection d'un incendie (l'origine et la prise en compte de l'alerte, l'appel des secours extérieurs, la liste des interlocuteurs internes et externes) ; </w:t>
      </w:r>
    </w:p>
    <w:p w14:paraId="1E25EC48" w14:textId="77777777" w:rsidR="00F979EB" w:rsidRDefault="00F979EB" w:rsidP="00F979EB">
      <w:pPr>
        <w:rPr>
          <w:lang w:eastAsia="fr-FR"/>
        </w:rPr>
      </w:pPr>
      <w:r>
        <w:rPr>
          <w:lang w:eastAsia="fr-FR"/>
        </w:rPr>
        <w:t xml:space="preserve">« - l'organisation de la première intervention et de l'évacuation face à un incendie en périodes ouvrées ; </w:t>
      </w:r>
    </w:p>
    <w:p w14:paraId="2FE65A3A" w14:textId="77777777" w:rsidR="00F979EB" w:rsidRDefault="00F979EB" w:rsidP="00F979EB">
      <w:pPr>
        <w:rPr>
          <w:lang w:eastAsia="fr-FR"/>
        </w:rPr>
      </w:pPr>
      <w:r>
        <w:rPr>
          <w:lang w:eastAsia="fr-FR"/>
        </w:rPr>
        <w:t xml:space="preserve">« - 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 </w:t>
      </w:r>
    </w:p>
    <w:p w14:paraId="33203545" w14:textId="77777777" w:rsidR="00F979EB" w:rsidRDefault="00F979EB" w:rsidP="00F979EB">
      <w:pPr>
        <w:rPr>
          <w:lang w:eastAsia="fr-FR"/>
        </w:rPr>
      </w:pPr>
      <w:r>
        <w:rPr>
          <w:lang w:eastAsia="fr-FR"/>
        </w:rPr>
        <w:t>« - 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75A85581" w14:textId="77777777" w:rsidR="00F979EB" w:rsidRDefault="00F979EB" w:rsidP="00F979EB">
      <w:pPr>
        <w:rPr>
          <w:lang w:eastAsia="fr-FR"/>
        </w:rPr>
      </w:pPr>
      <w:r>
        <w:rPr>
          <w:lang w:eastAsia="fr-FR"/>
        </w:rPr>
        <w:t xml:space="preserve">« - 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 </w:t>
      </w:r>
    </w:p>
    <w:p w14:paraId="55E533F7" w14:textId="1286F9C2" w:rsidR="00F979EB" w:rsidRDefault="00F979EB" w:rsidP="00F979EB">
      <w:pPr>
        <w:rPr>
          <w:lang w:eastAsia="fr-FR"/>
        </w:rPr>
      </w:pPr>
      <w:r>
        <w:rPr>
          <w:lang w:eastAsia="fr-FR"/>
        </w:rPr>
        <w:t xml:space="preserve">« - le plan de situation des réseaux de collecte, des bassins de rétention, avec mention des ouvrages permettant leur sectorisation ou leur isolement en cas de sinistre et, le cas échéant, des modalités de leur manœuvre ; </w:t>
      </w:r>
    </w:p>
    <w:p w14:paraId="55077F8B" w14:textId="26F72278" w:rsidR="00F979EB" w:rsidRDefault="00F979EB" w:rsidP="00F979EB">
      <w:pPr>
        <w:rPr>
          <w:lang w:eastAsia="fr-FR"/>
        </w:rPr>
      </w:pPr>
      <w:r>
        <w:rPr>
          <w:lang w:eastAsia="fr-FR"/>
        </w:rPr>
        <w:t xml:space="preserve">« - </w:t>
      </w:r>
      <w:r w:rsidR="00D70ECB">
        <w:rPr>
          <w:lang w:eastAsia="fr-FR"/>
        </w:rPr>
        <w:t>l</w:t>
      </w:r>
      <w:r>
        <w:rPr>
          <w:lang w:eastAsia="fr-FR"/>
        </w:rPr>
        <w:t>es plans des casiers en cours d’exploitation et des lieux d’entreposage de déchets</w:t>
      </w:r>
      <w:r w:rsidR="00D70ECB">
        <w:rPr>
          <w:lang w:eastAsia="fr-FR"/>
        </w:rPr>
        <w:t>,</w:t>
      </w:r>
      <w:r>
        <w:rPr>
          <w:lang w:eastAsia="fr-FR"/>
        </w:rPr>
        <w:t xml:space="preserve"> avec une description des dangers et des moyens de lutte contre l’incendie situés à proximité ; </w:t>
      </w:r>
    </w:p>
    <w:p w14:paraId="1BB4D828" w14:textId="77777777" w:rsidR="00F979EB" w:rsidRDefault="00F979EB" w:rsidP="00F979EB">
      <w:pPr>
        <w:rPr>
          <w:lang w:eastAsia="fr-FR"/>
        </w:rPr>
      </w:pPr>
      <w:r>
        <w:rPr>
          <w:lang w:eastAsia="fr-FR"/>
        </w:rPr>
        <w:t>« - la justification des compétences du personnel susceptible, en cas d'alerte, d'intervenir avant l’arrivée des secours, notamment en matière de formation, de qualification et d'entraînement ;</w:t>
      </w:r>
    </w:p>
    <w:p w14:paraId="03D53626" w14:textId="77777777" w:rsidR="00F979EB" w:rsidRDefault="00F979EB" w:rsidP="00F979EB">
      <w:pPr>
        <w:rPr>
          <w:lang w:eastAsia="fr-FR"/>
        </w:rPr>
      </w:pPr>
      <w:r>
        <w:rPr>
          <w:lang w:eastAsia="fr-FR"/>
        </w:rPr>
        <w:t>« - les comptes rendus des exercices de défense contre les incendies.</w:t>
      </w:r>
    </w:p>
    <w:p w14:paraId="258B0B73" w14:textId="4A480650" w:rsidR="00F979EB" w:rsidRDefault="00F979EB" w:rsidP="00F979EB">
      <w:pPr>
        <w:rPr>
          <w:lang w:eastAsia="fr-FR"/>
        </w:rPr>
      </w:pPr>
      <w:r>
        <w:rPr>
          <w:lang w:eastAsia="fr-FR"/>
        </w:rPr>
        <w:t xml:space="preserve">« II. </w:t>
      </w:r>
      <w:r w:rsidR="00D70ECB">
        <w:rPr>
          <w:lang w:eastAsia="fr-FR"/>
        </w:rPr>
        <w:t xml:space="preserve">- </w:t>
      </w:r>
      <w:r>
        <w:rPr>
          <w:lang w:eastAsia="fr-FR"/>
        </w:rPr>
        <w:t xml:space="preserve">Le plan de défense incendie ainsi que ses mises à jour sont </w:t>
      </w:r>
      <w:proofErr w:type="gramStart"/>
      <w:r>
        <w:rPr>
          <w:lang w:eastAsia="fr-FR"/>
        </w:rPr>
        <w:t>transmis</w:t>
      </w:r>
      <w:proofErr w:type="gramEnd"/>
      <w:r>
        <w:rPr>
          <w:lang w:eastAsia="fr-FR"/>
        </w:rPr>
        <w:t xml:space="preserve"> aux services d'incendie et de secours. </w:t>
      </w:r>
    </w:p>
    <w:p w14:paraId="624304BB" w14:textId="71F20F5C" w:rsidR="00F979EB" w:rsidRDefault="00F979EB" w:rsidP="00F979EB">
      <w:pPr>
        <w:rPr>
          <w:lang w:eastAsia="fr-FR"/>
        </w:rPr>
      </w:pPr>
      <w:r>
        <w:rPr>
          <w:lang w:eastAsia="fr-FR"/>
        </w:rPr>
        <w:t xml:space="preserve">« III. </w:t>
      </w:r>
      <w:r w:rsidR="00D70ECB">
        <w:rPr>
          <w:lang w:eastAsia="fr-FR"/>
        </w:rPr>
        <w:t xml:space="preserve">- </w:t>
      </w:r>
      <w:r>
        <w:rPr>
          <w:lang w:eastAsia="fr-FR"/>
        </w:rPr>
        <w:t xml:space="preserve">En cas d’incendie, l’exploitant met en œuvre les actions prévues par le plan de défense incendie.  </w:t>
      </w:r>
    </w:p>
    <w:p w14:paraId="40195E7D" w14:textId="2F8FD388" w:rsidR="00C40EE4" w:rsidRDefault="00F979EB" w:rsidP="00F979EB">
      <w:pPr>
        <w:rPr>
          <w:lang w:eastAsia="fr-FR"/>
        </w:rPr>
      </w:pPr>
      <w:r>
        <w:rPr>
          <w:lang w:eastAsia="fr-FR"/>
        </w:rPr>
        <w:t xml:space="preserve">« IV. </w:t>
      </w:r>
      <w:r w:rsidR="00D70ECB">
        <w:rPr>
          <w:lang w:eastAsia="fr-FR"/>
        </w:rPr>
        <w:t xml:space="preserve">- </w:t>
      </w:r>
      <w:r>
        <w:rPr>
          <w:lang w:eastAsia="fr-FR"/>
        </w:rPr>
        <w:t xml:space="preserve">Le présent article ne s’applique pas aux sites </w:t>
      </w:r>
      <w:r w:rsidR="00D70ECB">
        <w:rPr>
          <w:lang w:eastAsia="fr-FR"/>
        </w:rPr>
        <w:t>exclusivement dédiés au stockage de d</w:t>
      </w:r>
      <w:r w:rsidR="00D70ECB" w:rsidRPr="00797306">
        <w:rPr>
          <w:lang w:eastAsia="fr-FR"/>
        </w:rPr>
        <w:t>échets de matériaux de construction contenant de l'amiante</w:t>
      </w:r>
      <w:r>
        <w:rPr>
          <w:lang w:eastAsia="fr-FR"/>
        </w:rPr>
        <w:t>. »</w:t>
      </w:r>
      <w:r w:rsidR="00BA52E1">
        <w:rPr>
          <w:lang w:eastAsia="fr-FR"/>
        </w:rPr>
        <w:t>.</w:t>
      </w:r>
    </w:p>
    <w:p w14:paraId="54544636" w14:textId="645CA43C" w:rsidR="00F12DED" w:rsidRDefault="00F12DED" w:rsidP="00F12DED">
      <w:pPr>
        <w:pStyle w:val="Sansinterligne"/>
      </w:pPr>
      <w:r>
        <w:t>Article 15</w:t>
      </w:r>
    </w:p>
    <w:p w14:paraId="284AB21C" w14:textId="2643C133" w:rsidR="00C40EE4" w:rsidRDefault="00D70ECB" w:rsidP="00C40EE4">
      <w:pPr>
        <w:rPr>
          <w:lang w:eastAsia="fr-FR"/>
        </w:rPr>
      </w:pPr>
      <w:r>
        <w:rPr>
          <w:lang w:eastAsia="fr-FR"/>
        </w:rPr>
        <w:t xml:space="preserve">A </w:t>
      </w:r>
      <w:r w:rsidR="00F12DED">
        <w:rPr>
          <w:lang w:eastAsia="fr-FR"/>
        </w:rPr>
        <w:t>l’article 34, le mot</w:t>
      </w:r>
      <w:r>
        <w:rPr>
          <w:lang w:eastAsia="fr-FR"/>
        </w:rPr>
        <w:t xml:space="preserve"> : </w:t>
      </w:r>
      <w:r w:rsidR="00F12DED">
        <w:rPr>
          <w:lang w:eastAsia="fr-FR"/>
        </w:rPr>
        <w:t>« Cette » est remplacé par les mots</w:t>
      </w:r>
      <w:r>
        <w:rPr>
          <w:lang w:eastAsia="fr-FR"/>
        </w:rPr>
        <w:t xml:space="preserve"> : </w:t>
      </w:r>
      <w:r w:rsidR="00F12DED">
        <w:rPr>
          <w:lang w:eastAsia="fr-FR"/>
        </w:rPr>
        <w:t xml:space="preserve">« A l’exception du cas des </w:t>
      </w:r>
      <w:r w:rsidR="00F12DED" w:rsidRPr="000B01B7">
        <w:rPr>
          <w:lang w:eastAsia="fr-FR"/>
        </w:rPr>
        <w:t>casiers exploité</w:t>
      </w:r>
      <w:r w:rsidR="00F12DED">
        <w:rPr>
          <w:lang w:eastAsia="fr-FR"/>
        </w:rPr>
        <w:t>s</w:t>
      </w:r>
      <w:r w:rsidR="00F12DED" w:rsidRPr="000B01B7">
        <w:rPr>
          <w:lang w:eastAsia="fr-FR"/>
        </w:rPr>
        <w:t xml:space="preserve"> en mode bioréacteur</w:t>
      </w:r>
      <w:r w:rsidR="00F12DED">
        <w:rPr>
          <w:lang w:eastAsia="fr-FR"/>
        </w:rPr>
        <w:t>, c</w:t>
      </w:r>
      <w:r w:rsidR="00F12DED" w:rsidRPr="00837E0D">
        <w:rPr>
          <w:lang w:eastAsia="fr-FR"/>
        </w:rPr>
        <w:t>ette</w:t>
      </w:r>
      <w:r w:rsidR="00F12DED">
        <w:rPr>
          <w:lang w:eastAsia="fr-FR"/>
        </w:rPr>
        <w:t> » et les mots</w:t>
      </w:r>
      <w:r>
        <w:rPr>
          <w:lang w:eastAsia="fr-FR"/>
        </w:rPr>
        <w:t xml:space="preserve"> : </w:t>
      </w:r>
      <w:r w:rsidR="00F12DED">
        <w:rPr>
          <w:lang w:eastAsia="fr-FR"/>
        </w:rPr>
        <w:t xml:space="preserve">« La couverture intermédiaire » sont remplacés par </w:t>
      </w:r>
      <w:r>
        <w:rPr>
          <w:lang w:eastAsia="fr-FR"/>
        </w:rPr>
        <w:t>les mots</w:t>
      </w:r>
      <w:r w:rsidR="0047083A">
        <w:rPr>
          <w:lang w:eastAsia="fr-FR"/>
        </w:rPr>
        <w:t xml:space="preserve"> : </w:t>
      </w:r>
      <w:r w:rsidR="00F12DED">
        <w:rPr>
          <w:lang w:eastAsia="fr-FR"/>
        </w:rPr>
        <w:t xml:space="preserve">« A l’exception du cas des </w:t>
      </w:r>
      <w:r w:rsidR="00F12DED" w:rsidRPr="000B01B7">
        <w:rPr>
          <w:lang w:eastAsia="fr-FR"/>
        </w:rPr>
        <w:t>casiers exploité</w:t>
      </w:r>
      <w:r w:rsidR="00F12DED">
        <w:rPr>
          <w:lang w:eastAsia="fr-FR"/>
        </w:rPr>
        <w:t>s</w:t>
      </w:r>
      <w:r w:rsidR="00F12DED" w:rsidRPr="000B01B7">
        <w:rPr>
          <w:lang w:eastAsia="fr-FR"/>
        </w:rPr>
        <w:t xml:space="preserve"> en mode bioréacteur</w:t>
      </w:r>
      <w:r w:rsidR="00F12DED">
        <w:rPr>
          <w:lang w:eastAsia="fr-FR"/>
        </w:rPr>
        <w:t>,</w:t>
      </w:r>
      <w:r w:rsidR="00686CEA">
        <w:rPr>
          <w:lang w:eastAsia="fr-FR"/>
        </w:rPr>
        <w:t xml:space="preserve"> la couverture intermédiaire</w:t>
      </w:r>
      <w:r w:rsidR="00F12DED">
        <w:rPr>
          <w:lang w:eastAsia="fr-FR"/>
        </w:rPr>
        <w:t xml:space="preserve"> ». </w:t>
      </w:r>
    </w:p>
    <w:p w14:paraId="1CD89E24" w14:textId="37CA7A80" w:rsidR="00F12DED" w:rsidRDefault="00F12DED" w:rsidP="00F12DED">
      <w:pPr>
        <w:pStyle w:val="Sansinterligne"/>
      </w:pPr>
      <w:r>
        <w:t>Article 16</w:t>
      </w:r>
    </w:p>
    <w:p w14:paraId="4A23980A" w14:textId="58F9E5F0" w:rsidR="00F12DED" w:rsidRDefault="00F12DED" w:rsidP="00C40EE4">
      <w:pPr>
        <w:rPr>
          <w:lang w:eastAsia="fr-FR"/>
        </w:rPr>
      </w:pPr>
      <w:r>
        <w:rPr>
          <w:lang w:eastAsia="fr-FR"/>
        </w:rPr>
        <w:t xml:space="preserve">A l’article 35, le huitième alinéa est remplacé par les alinéas suivants : </w:t>
      </w:r>
    </w:p>
    <w:p w14:paraId="62C79C04" w14:textId="5EFC57E3" w:rsidR="00F12DED" w:rsidRDefault="00F12DED" w:rsidP="003D0F22">
      <w:pPr>
        <w:rPr>
          <w:lang w:eastAsia="fr-FR"/>
        </w:rPr>
      </w:pPr>
      <w:r>
        <w:rPr>
          <w:lang w:eastAsia="fr-FR"/>
        </w:rPr>
        <w:t>« Les dispositions du présent article peuvent être adaptées par l’arrêté préfectoral d’autorisation si l'exploitant en fait la demande et démontre l’équivalence des dispos</w:t>
      </w:r>
      <w:r w:rsidR="003D0F22">
        <w:rPr>
          <w:lang w:eastAsia="fr-FR"/>
        </w:rPr>
        <w:t xml:space="preserve">itions qu’il prévoit. Toutefois </w:t>
      </w:r>
      <w:r>
        <w:rPr>
          <w:lang w:eastAsia="fr-FR"/>
        </w:rPr>
        <w:t>:</w:t>
      </w:r>
    </w:p>
    <w:p w14:paraId="3FDE0750" w14:textId="728A4DE7" w:rsidR="00F12DED" w:rsidRDefault="003D0F22" w:rsidP="00F12DED">
      <w:pPr>
        <w:rPr>
          <w:lang w:eastAsia="fr-FR"/>
        </w:rPr>
      </w:pPr>
      <w:r>
        <w:rPr>
          <w:lang w:eastAsia="fr-FR"/>
        </w:rPr>
        <w:t xml:space="preserve">« - </w:t>
      </w:r>
      <w:r w:rsidR="00F12DED">
        <w:rPr>
          <w:lang w:eastAsia="fr-FR"/>
        </w:rPr>
        <w:t>la somme de l'épaisseur de la couche de drainage des eaux de ruissellement et de celle de la couche de terre de revêtement ne peut être inférieure à 0,8 mètre ;</w:t>
      </w:r>
    </w:p>
    <w:p w14:paraId="72104E18" w14:textId="1CA3BAA4" w:rsidR="00F12DED" w:rsidRDefault="00F12DED" w:rsidP="00F12DED">
      <w:pPr>
        <w:rPr>
          <w:lang w:eastAsia="fr-FR"/>
        </w:rPr>
      </w:pPr>
      <w:r>
        <w:rPr>
          <w:lang w:eastAsia="fr-FR"/>
        </w:rPr>
        <w:t>« </w:t>
      </w:r>
      <w:r w:rsidR="003D0F22">
        <w:rPr>
          <w:lang w:eastAsia="fr-FR"/>
        </w:rPr>
        <w:t xml:space="preserve">- </w:t>
      </w:r>
      <w:r>
        <w:rPr>
          <w:lang w:eastAsia="fr-FR"/>
        </w:rPr>
        <w:t>pour les talus dont la pente excède 14</w:t>
      </w:r>
      <w:r w:rsidR="0047083A">
        <w:rPr>
          <w:lang w:eastAsia="fr-FR"/>
        </w:rPr>
        <w:t xml:space="preserve"> </w:t>
      </w:r>
      <w:r>
        <w:rPr>
          <w:lang w:eastAsia="fr-FR"/>
        </w:rPr>
        <w:t xml:space="preserve">%, une telle adaptation est conditionnée à la présence d’une couche de drainage constituée de </w:t>
      </w:r>
      <w:proofErr w:type="spellStart"/>
      <w:r>
        <w:rPr>
          <w:lang w:eastAsia="fr-FR"/>
        </w:rPr>
        <w:t>géosynthétiques</w:t>
      </w:r>
      <w:proofErr w:type="spellEnd"/>
      <w:r>
        <w:rPr>
          <w:lang w:eastAsia="fr-FR"/>
        </w:rPr>
        <w:t xml:space="preserve"> et à la réalisation d’une étude de stabilité, l’épaisseur finale de la couche de terre de revêtement supérieure ne pouvant être inférieure à 0,5 mètre. ». </w:t>
      </w:r>
    </w:p>
    <w:p w14:paraId="1FAF5776" w14:textId="474280FE" w:rsidR="00F12DED" w:rsidRDefault="00F12DED" w:rsidP="00F12DED">
      <w:pPr>
        <w:pStyle w:val="Sansinterligne"/>
      </w:pPr>
      <w:r>
        <w:t>Article 17</w:t>
      </w:r>
    </w:p>
    <w:p w14:paraId="6D58C965" w14:textId="1294F49B" w:rsidR="00F12DED" w:rsidRDefault="00F12DED" w:rsidP="00F12DED">
      <w:pPr>
        <w:rPr>
          <w:lang w:eastAsia="fr-FR"/>
        </w:rPr>
      </w:pPr>
      <w:r>
        <w:rPr>
          <w:lang w:eastAsia="fr-FR"/>
        </w:rPr>
        <w:t>Au vingt-et-unième alinéa de l’article 37, les mots</w:t>
      </w:r>
      <w:r w:rsidR="00D70ECB">
        <w:rPr>
          <w:lang w:eastAsia="fr-FR"/>
        </w:rPr>
        <w:t xml:space="preserve"> : </w:t>
      </w:r>
      <w:r>
        <w:rPr>
          <w:lang w:eastAsia="fr-FR"/>
        </w:rPr>
        <w:t xml:space="preserve">« l’absence d’impact » sont remplacés par </w:t>
      </w:r>
      <w:r w:rsidR="00D70ECB">
        <w:rPr>
          <w:lang w:eastAsia="fr-FR"/>
        </w:rPr>
        <w:t xml:space="preserve">les mots : </w:t>
      </w:r>
      <w:r>
        <w:rPr>
          <w:lang w:eastAsia="fr-FR"/>
        </w:rPr>
        <w:t xml:space="preserve">« la maîtrise </w:t>
      </w:r>
      <w:r w:rsidR="00D70ECB">
        <w:rPr>
          <w:lang w:eastAsia="fr-FR"/>
        </w:rPr>
        <w:t xml:space="preserve">des </w:t>
      </w:r>
      <w:r>
        <w:rPr>
          <w:lang w:eastAsia="fr-FR"/>
        </w:rPr>
        <w:t>impact</w:t>
      </w:r>
      <w:r w:rsidR="00D70ECB">
        <w:rPr>
          <w:lang w:eastAsia="fr-FR"/>
        </w:rPr>
        <w:t>s</w:t>
      </w:r>
      <w:r>
        <w:rPr>
          <w:lang w:eastAsia="fr-FR"/>
        </w:rPr>
        <w:t> ».</w:t>
      </w:r>
    </w:p>
    <w:p w14:paraId="7D2D5D28" w14:textId="04C15952" w:rsidR="001C6A15" w:rsidRPr="001C6A15" w:rsidRDefault="00F0337C" w:rsidP="001C6A15">
      <w:pPr>
        <w:pStyle w:val="Sansinterligne"/>
        <w:rPr>
          <w:highlight w:val="yellow"/>
          <w:lang w:eastAsia="fr-FR"/>
        </w:rPr>
      </w:pPr>
      <w:r>
        <w:t>Article 18</w:t>
      </w:r>
    </w:p>
    <w:p w14:paraId="22CC5B8F" w14:textId="6804DE64" w:rsidR="002F6554" w:rsidRDefault="002F6554" w:rsidP="002F6554">
      <w:pPr>
        <w:rPr>
          <w:lang w:eastAsia="fr-FR"/>
        </w:rPr>
      </w:pPr>
      <w:r w:rsidRPr="00BD7F5B">
        <w:rPr>
          <w:lang w:eastAsia="fr-FR"/>
        </w:rPr>
        <w:t>Au</w:t>
      </w:r>
      <w:r w:rsidR="00D70ECB" w:rsidRPr="00BD7F5B">
        <w:rPr>
          <w:lang w:eastAsia="fr-FR"/>
        </w:rPr>
        <w:t xml:space="preserve"> deuxième</w:t>
      </w:r>
      <w:r w:rsidRPr="00BD7F5B">
        <w:rPr>
          <w:lang w:eastAsia="fr-FR"/>
        </w:rPr>
        <w:t xml:space="preserve"> alinéa de l’article 39, l</w:t>
      </w:r>
      <w:r w:rsidR="00D70ECB" w:rsidRPr="00BD7F5B">
        <w:rPr>
          <w:lang w:eastAsia="fr-FR"/>
        </w:rPr>
        <w:t xml:space="preserve">a référence : </w:t>
      </w:r>
      <w:r w:rsidRPr="00BD7F5B">
        <w:rPr>
          <w:lang w:eastAsia="fr-FR"/>
        </w:rPr>
        <w:t xml:space="preserve">« l’article 16-III, » </w:t>
      </w:r>
      <w:r w:rsidR="00D70ECB" w:rsidRPr="00BD7F5B">
        <w:rPr>
          <w:lang w:eastAsia="fr-FR"/>
        </w:rPr>
        <w:t>est remplacée par les références : « </w:t>
      </w:r>
      <w:r w:rsidR="008920E8" w:rsidRPr="00BD7F5B">
        <w:rPr>
          <w:lang w:eastAsia="fr-FR"/>
        </w:rPr>
        <w:t xml:space="preserve">le III de l’article 16, </w:t>
      </w:r>
      <w:r w:rsidR="00D70ECB" w:rsidRPr="00BD7F5B">
        <w:rPr>
          <w:lang w:eastAsia="fr-FR"/>
        </w:rPr>
        <w:t xml:space="preserve">le VIII et le IX de </w:t>
      </w:r>
      <w:r w:rsidRPr="00BD7F5B">
        <w:rPr>
          <w:lang w:eastAsia="fr-FR"/>
        </w:rPr>
        <w:t>l’article 33</w:t>
      </w:r>
      <w:r w:rsidR="00D43F2B">
        <w:rPr>
          <w:lang w:eastAsia="fr-FR"/>
        </w:rPr>
        <w:t xml:space="preserve"> </w:t>
      </w:r>
      <w:r w:rsidRPr="00BD7F5B">
        <w:rPr>
          <w:lang w:eastAsia="fr-FR"/>
        </w:rPr>
        <w:t>»</w:t>
      </w:r>
      <w:r w:rsidR="00686CEA" w:rsidRPr="00BD7F5B">
        <w:rPr>
          <w:lang w:eastAsia="fr-FR"/>
        </w:rPr>
        <w:t xml:space="preserve"> et</w:t>
      </w:r>
      <w:r w:rsidRPr="00BD7F5B">
        <w:rPr>
          <w:lang w:eastAsia="fr-FR"/>
        </w:rPr>
        <w:t xml:space="preserve"> </w:t>
      </w:r>
      <w:r w:rsidR="00FB432E" w:rsidRPr="00BD7F5B">
        <w:rPr>
          <w:lang w:eastAsia="fr-FR"/>
        </w:rPr>
        <w:t>après la référence : « 22, » est insérée la référence : « 33 bis, 34, ».</w:t>
      </w:r>
    </w:p>
    <w:p w14:paraId="7279E025" w14:textId="0829EA9D" w:rsidR="00F12DED" w:rsidRDefault="00F0337C" w:rsidP="002F6554">
      <w:pPr>
        <w:pStyle w:val="Sansinterligne"/>
        <w:rPr>
          <w:lang w:eastAsia="fr-FR"/>
        </w:rPr>
      </w:pPr>
      <w:r>
        <w:t>Article 19</w:t>
      </w:r>
    </w:p>
    <w:p w14:paraId="70856113" w14:textId="1CD4114C" w:rsidR="00F12DED" w:rsidRDefault="002F6554" w:rsidP="00C40EE4">
      <w:r>
        <w:t>L’article 42 est ainsi modifié :</w:t>
      </w:r>
    </w:p>
    <w:p w14:paraId="44BF2E01" w14:textId="5F590216" w:rsidR="002F6554" w:rsidRDefault="002F6554" w:rsidP="00C40EE4">
      <w:r>
        <w:t>1° Au troisième alinéa, les mots</w:t>
      </w:r>
      <w:r w:rsidR="00156932">
        <w:t xml:space="preserve"> : </w:t>
      </w:r>
      <w:r>
        <w:t>« tel qu’un chariot élévateur » sont supprimés</w:t>
      </w:r>
      <w:r w:rsidR="00686CEA">
        <w:t xml:space="preserve"> </w:t>
      </w:r>
      <w:r>
        <w:t>et la phrase</w:t>
      </w:r>
      <w:r w:rsidR="0047083A">
        <w:t> :</w:t>
      </w:r>
      <w:r>
        <w:t xml:space="preserve"> « </w:t>
      </w:r>
      <w:r w:rsidRPr="000B01B7">
        <w:rPr>
          <w:lang w:eastAsia="fr-FR"/>
        </w:rPr>
        <w:t>Les opérations de déversement direct au moyen d'une benne sont interdites.</w:t>
      </w:r>
      <w:r>
        <w:rPr>
          <w:lang w:eastAsia="fr-FR"/>
        </w:rPr>
        <w:t> » est remplacée par la phrase</w:t>
      </w:r>
      <w:r w:rsidR="00156932">
        <w:rPr>
          <w:lang w:eastAsia="fr-FR"/>
        </w:rPr>
        <w:t xml:space="preserve"> : </w:t>
      </w:r>
      <w:r>
        <w:rPr>
          <w:lang w:eastAsia="fr-FR"/>
        </w:rPr>
        <w:t>« </w:t>
      </w:r>
      <w:r w:rsidRPr="002F6554">
        <w:rPr>
          <w:lang w:eastAsia="fr-FR"/>
        </w:rPr>
        <w:t xml:space="preserve">Les opérations de déchargement </w:t>
      </w:r>
      <w:r w:rsidR="00662F2C">
        <w:rPr>
          <w:lang w:eastAsia="fr-FR"/>
        </w:rPr>
        <w:t xml:space="preserve">permettent </w:t>
      </w:r>
      <w:r w:rsidRPr="002F6554">
        <w:rPr>
          <w:lang w:eastAsia="fr-FR"/>
        </w:rPr>
        <w:t>de préserver l’intégrité du conditionnement.</w:t>
      </w:r>
      <w:r>
        <w:rPr>
          <w:lang w:eastAsia="fr-FR"/>
        </w:rPr>
        <w:t> »</w:t>
      </w:r>
      <w:r w:rsidR="003D0F22">
        <w:rPr>
          <w:lang w:eastAsia="fr-FR"/>
        </w:rPr>
        <w:t> ;</w:t>
      </w:r>
    </w:p>
    <w:p w14:paraId="78C8DF03" w14:textId="3E4BD144" w:rsidR="002F6554" w:rsidRDefault="002F6554" w:rsidP="00C40EE4">
      <w:r>
        <w:t>2° Au</w:t>
      </w:r>
      <w:r w:rsidR="00662F2C">
        <w:t xml:space="preserve"> cinquième</w:t>
      </w:r>
      <w:r>
        <w:t xml:space="preserve"> alinéa, les mots</w:t>
      </w:r>
      <w:r w:rsidR="00156932">
        <w:t xml:space="preserve"> : </w:t>
      </w:r>
      <w:r>
        <w:t>« « amiante » imposé par le décret n°</w:t>
      </w:r>
      <w:r w:rsidR="00FB432E">
        <w:t xml:space="preserve"> </w:t>
      </w:r>
      <w:r>
        <w:t>88-466 du 28 avril 1988 » sont remplacés par les mots</w:t>
      </w:r>
      <w:r w:rsidR="00156932">
        <w:t xml:space="preserve"> : </w:t>
      </w:r>
      <w:r>
        <w:t>« </w:t>
      </w:r>
      <w:r>
        <w:rPr>
          <w:lang w:eastAsia="fr-FR"/>
        </w:rPr>
        <w:t xml:space="preserve">prévu par l’article 4 du </w:t>
      </w:r>
      <w:r>
        <w:t>d</w:t>
      </w:r>
      <w:r w:rsidRPr="00A33D9A">
        <w:t>écret n°</w:t>
      </w:r>
      <w:r w:rsidR="00FB432E">
        <w:t xml:space="preserve"> </w:t>
      </w:r>
      <w:r w:rsidRPr="00A33D9A">
        <w:t>96-1133 du 24 décembre 1996 relatif à l'interdiction de l'amiante, pris en application du code du travail et du code de la consommation</w:t>
      </w:r>
      <w:r w:rsidR="00FB432E">
        <w:t>,</w:t>
      </w:r>
      <w:r w:rsidR="003D0F22">
        <w:t> » ;</w:t>
      </w:r>
    </w:p>
    <w:p w14:paraId="57A5EBF6" w14:textId="4D3FE5A2" w:rsidR="002F6554" w:rsidRDefault="002F6554" w:rsidP="00C40EE4">
      <w:r>
        <w:t xml:space="preserve">3° Le dernier alinéa est supprimé. </w:t>
      </w:r>
    </w:p>
    <w:p w14:paraId="0DDFA10E" w14:textId="2D9E7CB2" w:rsidR="00104FE5" w:rsidRDefault="00104FE5" w:rsidP="00104FE5">
      <w:pPr>
        <w:pStyle w:val="Sansinterligne"/>
        <w:rPr>
          <w:lang w:eastAsia="fr-FR"/>
        </w:rPr>
      </w:pPr>
      <w:r>
        <w:t>Article 2</w:t>
      </w:r>
      <w:r w:rsidR="00FB432E">
        <w:t>2</w:t>
      </w:r>
    </w:p>
    <w:p w14:paraId="41A221EF" w14:textId="7DA7EF4C" w:rsidR="00104FE5" w:rsidRDefault="00104FE5" w:rsidP="00C40EE4">
      <w:r>
        <w:t xml:space="preserve">Les quatrième, </w:t>
      </w:r>
      <w:r w:rsidR="00ED2766">
        <w:t xml:space="preserve">sixième, </w:t>
      </w:r>
      <w:r>
        <w:t xml:space="preserve">septième et huitième alinéas de l’article 45 sont supprimés. </w:t>
      </w:r>
    </w:p>
    <w:p w14:paraId="2E942F65" w14:textId="05EB080B" w:rsidR="003D0F22" w:rsidRDefault="003D0F22" w:rsidP="00C40EE4"/>
    <w:p w14:paraId="24A03303" w14:textId="77777777" w:rsidR="003D0F22" w:rsidRDefault="003D0F22" w:rsidP="00C40EE4"/>
    <w:p w14:paraId="5BC059FA" w14:textId="34227CB3" w:rsidR="00104FE5" w:rsidRDefault="00104FE5" w:rsidP="00104FE5">
      <w:pPr>
        <w:pStyle w:val="Sansinterligne"/>
        <w:rPr>
          <w:lang w:eastAsia="fr-FR"/>
        </w:rPr>
      </w:pPr>
      <w:r>
        <w:t>Article 2</w:t>
      </w:r>
      <w:r w:rsidR="00FB432E">
        <w:t>3</w:t>
      </w:r>
    </w:p>
    <w:p w14:paraId="3A81A5FA" w14:textId="28B11030" w:rsidR="00104FE5" w:rsidRDefault="00104FE5" w:rsidP="00C40EE4">
      <w:r>
        <w:t xml:space="preserve">Après le premier alinéa de l’article 52, il est </w:t>
      </w:r>
      <w:r w:rsidR="00686CEA">
        <w:t xml:space="preserve">inséré </w:t>
      </w:r>
      <w:r>
        <w:t xml:space="preserve">un alinéa ainsi rédigé : </w:t>
      </w:r>
    </w:p>
    <w:p w14:paraId="1B5D39BB" w14:textId="2F29BFC9" w:rsidR="00104FE5" w:rsidRDefault="00104FE5" w:rsidP="00C40EE4">
      <w:r>
        <w:t>« </w:t>
      </w:r>
      <w:r w:rsidRPr="00104FE5">
        <w:t xml:space="preserve">Les lixiviats réinjectés dans les casiers </w:t>
      </w:r>
      <w:r w:rsidR="00156932">
        <w:t xml:space="preserve">ainsi </w:t>
      </w:r>
      <w:r w:rsidRPr="00104FE5">
        <w:t>équipés</w:t>
      </w:r>
      <w:r w:rsidR="0047083A">
        <w:t xml:space="preserve"> peuvent être</w:t>
      </w:r>
      <w:r w:rsidRPr="00104FE5">
        <w:t xml:space="preserve"> les lixiviats collectés dans ces casiers</w:t>
      </w:r>
      <w:r w:rsidR="0047083A">
        <w:t xml:space="preserve"> </w:t>
      </w:r>
      <w:r w:rsidR="003F7A8A">
        <w:t>et</w:t>
      </w:r>
      <w:r w:rsidRPr="00104FE5">
        <w:t xml:space="preserve"> les lixiviats collectés dans d’autres casiers où sont stockés des déchets non dangereux non inertes, qui ne sont pas équipés de ces dispositifs et qui sont éventuellement extérieurs à l’installation.</w:t>
      </w:r>
      <w:r>
        <w:t xml:space="preserve"> ». </w:t>
      </w:r>
    </w:p>
    <w:p w14:paraId="68924F17" w14:textId="445772FA" w:rsidR="00104FE5" w:rsidRDefault="00104FE5" w:rsidP="00104FE5">
      <w:pPr>
        <w:pStyle w:val="Sansinterligne"/>
        <w:rPr>
          <w:lang w:eastAsia="fr-FR"/>
        </w:rPr>
      </w:pPr>
      <w:r>
        <w:t>Article 2</w:t>
      </w:r>
      <w:r w:rsidR="00FB432E">
        <w:t>4</w:t>
      </w:r>
    </w:p>
    <w:p w14:paraId="0184C13B" w14:textId="5AAAB9E5" w:rsidR="00104FE5" w:rsidRDefault="00104FE5" w:rsidP="00C40EE4">
      <w:r>
        <w:t>Au I de l’article 54, le mot</w:t>
      </w:r>
      <w:r w:rsidR="00156932">
        <w:t xml:space="preserve"> : </w:t>
      </w:r>
      <w:r>
        <w:t>« quotidiennement »</w:t>
      </w:r>
      <w:r w:rsidR="00BB5D3C">
        <w:t xml:space="preserve"> est remplacé par les mots</w:t>
      </w:r>
      <w:r w:rsidR="00156932">
        <w:t xml:space="preserve"> : </w:t>
      </w:r>
      <w:r w:rsidR="00BB5D3C">
        <w:t>« de manière hebdomadaire »</w:t>
      </w:r>
      <w:r>
        <w:t xml:space="preserve"> </w:t>
      </w:r>
      <w:r w:rsidR="00BB5D3C">
        <w:t>et les mots</w:t>
      </w:r>
      <w:r w:rsidR="00156932">
        <w:t xml:space="preserve"> : </w:t>
      </w:r>
      <w:r w:rsidR="00BB5D3C">
        <w:t>« le contrôle de l’humidité des déchets entrants » sont remplacés par les mots</w:t>
      </w:r>
      <w:r w:rsidR="00156932">
        <w:t xml:space="preserve"> : </w:t>
      </w:r>
      <w:r w:rsidR="00BB5D3C">
        <w:t xml:space="preserve">« un suivi des déchets réceptionnés dans le casier afin d’évaluer l’état hydrique du casier ». </w:t>
      </w:r>
    </w:p>
    <w:p w14:paraId="53F67815" w14:textId="62AA705D" w:rsidR="00BB5D3C" w:rsidRDefault="00BB5D3C" w:rsidP="00BB5D3C">
      <w:pPr>
        <w:pStyle w:val="Sansinterligne"/>
        <w:rPr>
          <w:lang w:eastAsia="fr-FR"/>
        </w:rPr>
      </w:pPr>
      <w:r>
        <w:t>Article 2</w:t>
      </w:r>
      <w:r w:rsidR="00FB432E">
        <w:t>5</w:t>
      </w:r>
    </w:p>
    <w:p w14:paraId="5C1F1804" w14:textId="4C6E0752" w:rsidR="00BB5D3C" w:rsidRDefault="00BB5D3C" w:rsidP="00C40EE4">
      <w:r>
        <w:t>A l’article 55, après le mot</w:t>
      </w:r>
      <w:r w:rsidR="00156932">
        <w:t xml:space="preserve"> : </w:t>
      </w:r>
      <w:r>
        <w:t xml:space="preserve">« couverture » est </w:t>
      </w:r>
      <w:r w:rsidR="00686CEA">
        <w:t xml:space="preserve">inséré </w:t>
      </w:r>
      <w:r>
        <w:t>le mot</w:t>
      </w:r>
      <w:r w:rsidR="00156932">
        <w:t xml:space="preserve"> : </w:t>
      </w:r>
      <w:r>
        <w:t xml:space="preserve">« intermédiaire ». </w:t>
      </w:r>
    </w:p>
    <w:p w14:paraId="79E8807D" w14:textId="341BA7F6" w:rsidR="00F0337C" w:rsidRDefault="00F0337C" w:rsidP="001C6A15">
      <w:pPr>
        <w:pStyle w:val="Sansinterligne"/>
      </w:pPr>
      <w:r>
        <w:t>Article 2</w:t>
      </w:r>
      <w:r w:rsidR="00FB432E">
        <w:t>6</w:t>
      </w:r>
    </w:p>
    <w:p w14:paraId="2F609A22" w14:textId="240753AC" w:rsidR="00F0337C" w:rsidRDefault="00F0337C" w:rsidP="00F0337C">
      <w:r>
        <w:t>A</w:t>
      </w:r>
      <w:r w:rsidR="00156932">
        <w:t>u tableau 3 de</w:t>
      </w:r>
      <w:r>
        <w:t xml:space="preserve"> l’annexe I, est</w:t>
      </w:r>
      <w:r w:rsidR="00156932">
        <w:t xml:space="preserve"> inséré une treizième</w:t>
      </w:r>
      <w:r>
        <w:t xml:space="preserve"> une ligne ainsi rédigée : </w:t>
      </w:r>
    </w:p>
    <w:tbl>
      <w:tblPr>
        <w:tblStyle w:val="Grilledutableau"/>
        <w:tblW w:w="0" w:type="auto"/>
        <w:tblLook w:val="04A0" w:firstRow="1" w:lastRow="0" w:firstColumn="1" w:lastColumn="0" w:noHBand="0" w:noVBand="1"/>
      </w:tblPr>
      <w:tblGrid>
        <w:gridCol w:w="3200"/>
        <w:gridCol w:w="1929"/>
        <w:gridCol w:w="2043"/>
        <w:gridCol w:w="2172"/>
      </w:tblGrid>
      <w:tr w:rsidR="00156932" w14:paraId="7759EC7E" w14:textId="77777777" w:rsidTr="002F30E4">
        <w:tc>
          <w:tcPr>
            <w:tcW w:w="3200" w:type="dxa"/>
          </w:tcPr>
          <w:p w14:paraId="7D3A3165" w14:textId="4821B604" w:rsidR="00156932" w:rsidRDefault="00156932" w:rsidP="002F30E4">
            <w:pPr>
              <w:suppressAutoHyphens w:val="0"/>
              <w:spacing w:after="160" w:line="259" w:lineRule="auto"/>
              <w:jc w:val="left"/>
            </w:pPr>
            <w:proofErr w:type="spellStart"/>
            <w:r>
              <w:t>Nonylphénols</w:t>
            </w:r>
            <w:proofErr w:type="spellEnd"/>
            <w:r>
              <w:t xml:space="preserve">* </w:t>
            </w:r>
          </w:p>
        </w:tc>
        <w:tc>
          <w:tcPr>
            <w:tcW w:w="1929" w:type="dxa"/>
          </w:tcPr>
          <w:p w14:paraId="4DCC60FF" w14:textId="38279587" w:rsidR="00156932" w:rsidRDefault="00156932" w:rsidP="00C82C97">
            <w:r w:rsidRPr="00156932">
              <w:t>84-852-15-3</w:t>
            </w:r>
          </w:p>
        </w:tc>
        <w:tc>
          <w:tcPr>
            <w:tcW w:w="2043" w:type="dxa"/>
          </w:tcPr>
          <w:p w14:paraId="6DD00CFD" w14:textId="215668B5" w:rsidR="00156932" w:rsidRDefault="00156932" w:rsidP="00C82C97">
            <w:r w:rsidRPr="00156932">
              <w:t>1958</w:t>
            </w:r>
          </w:p>
        </w:tc>
        <w:tc>
          <w:tcPr>
            <w:tcW w:w="2172" w:type="dxa"/>
          </w:tcPr>
          <w:p w14:paraId="3C85E2C8" w14:textId="50508AB3" w:rsidR="00156932" w:rsidRDefault="00156932" w:rsidP="00C82C97">
            <w:r>
              <w:t xml:space="preserve">25 µg/l </w:t>
            </w:r>
          </w:p>
        </w:tc>
      </w:tr>
    </w:tbl>
    <w:p w14:paraId="4F1289CF" w14:textId="3CE5C74D" w:rsidR="001C6A15" w:rsidRDefault="00F0337C" w:rsidP="001C6A15">
      <w:pPr>
        <w:pStyle w:val="Sansinterligne"/>
        <w:rPr>
          <w:lang w:eastAsia="fr-FR"/>
        </w:rPr>
      </w:pPr>
      <w:r>
        <w:t>Article 2</w:t>
      </w:r>
      <w:r w:rsidR="00FB432E">
        <w:t>7</w:t>
      </w:r>
    </w:p>
    <w:p w14:paraId="55E5EC19" w14:textId="21A7EDEE" w:rsidR="00CD32BA" w:rsidRDefault="001C6A15" w:rsidP="00C40EE4">
      <w:r>
        <w:t>A</w:t>
      </w:r>
      <w:r w:rsidR="00156932">
        <w:t xml:space="preserve"> la ligne 4 du tableau </w:t>
      </w:r>
      <w:r>
        <w:t>1 de l’annexe II, le</w:t>
      </w:r>
      <w:r w:rsidR="0061403D">
        <w:t xml:space="preserve"> sigle</w:t>
      </w:r>
      <w:r>
        <w:t xml:space="preserve"> « H</w:t>
      </w:r>
      <w:r w:rsidR="0047083A" w:rsidRPr="007E7DC6">
        <w:rPr>
          <w:vertAlign w:val="subscript"/>
        </w:rPr>
        <w:t>2</w:t>
      </w:r>
      <w:r w:rsidR="0061403D">
        <w:t>O</w:t>
      </w:r>
      <w:r>
        <w:t> »</w:t>
      </w:r>
      <w:r w:rsidR="0061403D">
        <w:t xml:space="preserve"> </w:t>
      </w:r>
      <w:r>
        <w:t xml:space="preserve">est supprimé. </w:t>
      </w:r>
    </w:p>
    <w:p w14:paraId="4434EDF1" w14:textId="16C53638" w:rsidR="00911AC7" w:rsidRDefault="00911AC7" w:rsidP="00911AC7">
      <w:pPr>
        <w:pStyle w:val="Sansinterligne"/>
        <w:rPr>
          <w:lang w:eastAsia="fr-FR"/>
        </w:rPr>
      </w:pPr>
      <w:r>
        <w:t xml:space="preserve">Article </w:t>
      </w:r>
      <w:r w:rsidR="00FB432E">
        <w:t>28</w:t>
      </w:r>
    </w:p>
    <w:p w14:paraId="6C47942C" w14:textId="4125461F" w:rsidR="00037712" w:rsidRDefault="00037712" w:rsidP="00C40EE4">
      <w:r>
        <w:t>L’article 63 est complété par les alinéas suivants :</w:t>
      </w:r>
    </w:p>
    <w:p w14:paraId="55B17CC2" w14:textId="2ADC341F" w:rsidR="00BD7F5B" w:rsidRDefault="00BD7F5B" w:rsidP="00BD7F5B">
      <w:r>
        <w:t>« Le V de l’article 21 et l’article 24 bis entrent en vigueur à partir du 1</w:t>
      </w:r>
      <w:r w:rsidRPr="008132D3">
        <w:rPr>
          <w:vertAlign w:val="superscript"/>
        </w:rPr>
        <w:t>er</w:t>
      </w:r>
      <w:r>
        <w:t xml:space="preserve"> janvier 2024. </w:t>
      </w:r>
    </w:p>
    <w:p w14:paraId="150C0342" w14:textId="4C318D2C" w:rsidR="00BD7F5B" w:rsidRDefault="00BD7F5B" w:rsidP="00BD7F5B">
      <w:r>
        <w:t>« Le VI et le VII de l’article 16 et l’article 33 bis entrent en vigueur à partir du 1</w:t>
      </w:r>
      <w:r w:rsidRPr="008132D3">
        <w:rPr>
          <w:vertAlign w:val="superscript"/>
        </w:rPr>
        <w:t>er</w:t>
      </w:r>
      <w:r>
        <w:t xml:space="preserve"> juillet 2024. </w:t>
      </w:r>
    </w:p>
    <w:p w14:paraId="08E5BA38" w14:textId="5D06E0F1" w:rsidR="00BD7F5B" w:rsidRPr="00042121" w:rsidRDefault="00BD7F5B" w:rsidP="00BD7F5B">
      <w:pPr>
        <w:pStyle w:val="Corpsdetexte"/>
      </w:pPr>
      <w:r>
        <w:t>« </w:t>
      </w:r>
      <w:r w:rsidRPr="00042121">
        <w:t>Sans préjudice de dispositions plus contraignantes prévues par le présent arrêté, les articles ci-après de l'arrêté du 2 février 1998 modifié relatif aux prélèvements et à la consommation d'eau ainsi qu'aux émissions de toute nature des installations classées pour la protection de l'environnement soumises à autorisation s'appliquent dans les conditions et dans les délais suivants :</w:t>
      </w:r>
    </w:p>
    <w:p w14:paraId="7025B581" w14:textId="681CD069" w:rsidR="00BD7F5B" w:rsidRPr="00042121" w:rsidRDefault="00BD7F5B" w:rsidP="00BD7F5B">
      <w:pPr>
        <w:pStyle w:val="Corpsdetexte"/>
      </w:pPr>
      <w:r>
        <w:t>« </w:t>
      </w:r>
      <w:r w:rsidRPr="00042121">
        <w:t>- les articles 2, 4, 19 (sauf son dernier alinéa) et 49 sont applicables aux installations nouvelles et existantes au 1</w:t>
      </w:r>
      <w:r w:rsidR="00F52E92" w:rsidRPr="007E7DC6">
        <w:rPr>
          <w:vertAlign w:val="superscript"/>
        </w:rPr>
        <w:t>er</w:t>
      </w:r>
      <w:r w:rsidR="00F52E92">
        <w:t xml:space="preserve"> </w:t>
      </w:r>
      <w:r w:rsidRPr="00042121">
        <w:t>janvier 2024 ;</w:t>
      </w:r>
    </w:p>
    <w:p w14:paraId="71B11AC9" w14:textId="34744348" w:rsidR="00BD7F5B" w:rsidRPr="00042121" w:rsidRDefault="00BD7F5B" w:rsidP="00BD7F5B">
      <w:pPr>
        <w:pStyle w:val="Corpsdetexte"/>
      </w:pPr>
      <w:r>
        <w:t>« </w:t>
      </w:r>
      <w:r w:rsidRPr="00042121">
        <w:t xml:space="preserve">- le dernier alinéa de l’article 19 est applicable aux installations dont le dépôt du dossier complet d’autorisation est postérieur à la date </w:t>
      </w:r>
      <w:r w:rsidR="00F52E92">
        <w:t>du 1</w:t>
      </w:r>
      <w:r w:rsidR="00F52E92" w:rsidRPr="007E7DC6">
        <w:rPr>
          <w:vertAlign w:val="superscript"/>
        </w:rPr>
        <w:t>er</w:t>
      </w:r>
      <w:r w:rsidR="00F52E92">
        <w:t xml:space="preserve"> juillet 2023</w:t>
      </w:r>
      <w:r w:rsidRPr="00042121">
        <w:t xml:space="preserve"> ;</w:t>
      </w:r>
    </w:p>
    <w:p w14:paraId="325D73DA" w14:textId="3BB2CEC4" w:rsidR="00BD7F5B" w:rsidRPr="00042121" w:rsidRDefault="00BD7F5B" w:rsidP="00BD7F5B">
      <w:pPr>
        <w:pStyle w:val="Corpsdetexte"/>
      </w:pPr>
      <w:r>
        <w:t>« </w:t>
      </w:r>
      <w:r w:rsidRPr="00042121">
        <w:t>- l’article 24 est applicable aux installations nouvelles et existantes au 1</w:t>
      </w:r>
      <w:r w:rsidRPr="00042121">
        <w:rPr>
          <w:vertAlign w:val="superscript"/>
        </w:rPr>
        <w:t>er</w:t>
      </w:r>
      <w:r>
        <w:t xml:space="preserve"> juillet 2023. »</w:t>
      </w:r>
      <w:r w:rsidR="00BA52E1">
        <w:t>.</w:t>
      </w:r>
    </w:p>
    <w:p w14:paraId="2586AD06" w14:textId="13559790" w:rsidR="00370038" w:rsidRDefault="00BE2B9A" w:rsidP="003E6B43">
      <w:pPr>
        <w:pStyle w:val="SNArticle"/>
      </w:pPr>
      <w:r>
        <w:t xml:space="preserve">Article </w:t>
      </w:r>
      <w:r w:rsidR="003B5357">
        <w:t>2</w:t>
      </w:r>
      <w:r w:rsidR="00FB432E">
        <w:t>9</w:t>
      </w:r>
    </w:p>
    <w:p w14:paraId="439BA23B" w14:textId="2F13F4D3" w:rsidR="003B5357" w:rsidRPr="003B5357" w:rsidRDefault="00D90B1A" w:rsidP="003B5357">
      <w:pPr>
        <w:pStyle w:val="Corpsdetexte"/>
      </w:pPr>
      <w:r>
        <w:t xml:space="preserve">Le ministre de la transition écologique et de la cohésion des territoires est chargé de l’exécution du présent arrêté, qui sera publié au </w:t>
      </w:r>
      <w:r>
        <w:rPr>
          <w:i/>
          <w:iCs/>
        </w:rPr>
        <w:t>Journal officiel</w:t>
      </w:r>
      <w:r>
        <w:t xml:space="preserve"> de la République française</w:t>
      </w:r>
    </w:p>
    <w:p w14:paraId="70CF68D0" w14:textId="3B37BE4F" w:rsidR="00370038" w:rsidRDefault="003B5357" w:rsidP="003E6B43">
      <w:pPr>
        <w:pStyle w:val="SNDatearrt"/>
      </w:pPr>
      <w:r>
        <w:br/>
        <w:t>[Fait le</w:t>
      </w:r>
      <w:r w:rsidR="00030FAE">
        <w:t xml:space="preserve"> X à X</w:t>
      </w:r>
      <w:r>
        <w:t>]</w:t>
      </w:r>
    </w:p>
    <w:p w14:paraId="5FF4F0C4" w14:textId="77777777" w:rsidR="00370038" w:rsidRDefault="00BE2B9A" w:rsidP="003E6B43">
      <w:pPr>
        <w:pStyle w:val="SNSignature"/>
      </w:pPr>
      <w:r>
        <w:t>[Prénom NOM du ministre]</w:t>
      </w:r>
    </w:p>
    <w:p w14:paraId="52C57D1F" w14:textId="77777777" w:rsidR="00370038" w:rsidRDefault="00370038" w:rsidP="003E6B43"/>
    <w:p w14:paraId="7D5DFA01" w14:textId="77777777" w:rsidR="00370038" w:rsidRDefault="00BE2B9A" w:rsidP="003E6B43">
      <w:proofErr w:type="gramStart"/>
      <w:r>
        <w:t>ou</w:t>
      </w:r>
      <w:proofErr w:type="gramEnd"/>
      <w:r>
        <w:t xml:space="preserve"> </w:t>
      </w:r>
    </w:p>
    <w:p w14:paraId="194D0036" w14:textId="77777777" w:rsidR="00370038" w:rsidRDefault="00370038" w:rsidP="003E6B43"/>
    <w:p w14:paraId="3A0DD73B" w14:textId="77777777" w:rsidR="00370038" w:rsidRDefault="00BE2B9A" w:rsidP="003E6B43">
      <w:pPr>
        <w:pStyle w:val="SNSignature"/>
      </w:pPr>
      <w:r>
        <w:t>Pour le ministre et par délégation :</w:t>
      </w:r>
    </w:p>
    <w:p w14:paraId="4006D471" w14:textId="77777777" w:rsidR="00370038" w:rsidRDefault="00BE2B9A" w:rsidP="003E6B43">
      <w:pPr>
        <w:pStyle w:val="SNSignature"/>
      </w:pPr>
      <w:r>
        <w:t>[Fonction],</w:t>
      </w:r>
    </w:p>
    <w:p w14:paraId="6110BD01" w14:textId="77777777" w:rsidR="00370038" w:rsidRDefault="00BE2B9A" w:rsidP="003E6B43">
      <w:pPr>
        <w:pStyle w:val="SNSignature"/>
      </w:pPr>
      <w:r>
        <w:t>[Initiale du prénom + NOM]</w:t>
      </w:r>
    </w:p>
    <w:sectPr w:rsidR="00370038">
      <w:pgSz w:w="11906" w:h="16838"/>
      <w:pgMar w:top="1134"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A10866"/>
    <w:multiLevelType w:val="hybridMultilevel"/>
    <w:tmpl w:val="358C9F6E"/>
    <w:lvl w:ilvl="0" w:tplc="4D7E2D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7C4A1B"/>
    <w:multiLevelType w:val="hybridMultilevel"/>
    <w:tmpl w:val="3F9CBBB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F27D0D"/>
    <w:multiLevelType w:val="hybridMultilevel"/>
    <w:tmpl w:val="B7F4C328"/>
    <w:lvl w:ilvl="0" w:tplc="040C000B">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616485"/>
    <w:multiLevelType w:val="hybridMultilevel"/>
    <w:tmpl w:val="D06A3026"/>
    <w:lvl w:ilvl="0" w:tplc="1FE4EB6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9D"/>
    <w:rsid w:val="00011C88"/>
    <w:rsid w:val="00030FAE"/>
    <w:rsid w:val="00037712"/>
    <w:rsid w:val="000B2AF8"/>
    <w:rsid w:val="00104FE5"/>
    <w:rsid w:val="00156932"/>
    <w:rsid w:val="001769FD"/>
    <w:rsid w:val="001775D4"/>
    <w:rsid w:val="001A207A"/>
    <w:rsid w:val="001C6A15"/>
    <w:rsid w:val="001F7E86"/>
    <w:rsid w:val="0020127C"/>
    <w:rsid w:val="002C28CD"/>
    <w:rsid w:val="002F30E4"/>
    <w:rsid w:val="002F6554"/>
    <w:rsid w:val="00322053"/>
    <w:rsid w:val="00370038"/>
    <w:rsid w:val="003A03F2"/>
    <w:rsid w:val="003B5357"/>
    <w:rsid w:val="003D0F22"/>
    <w:rsid w:val="003E6B43"/>
    <w:rsid w:val="003F7A8A"/>
    <w:rsid w:val="004155F7"/>
    <w:rsid w:val="00446792"/>
    <w:rsid w:val="0047083A"/>
    <w:rsid w:val="004747C0"/>
    <w:rsid w:val="00527CCA"/>
    <w:rsid w:val="005722FA"/>
    <w:rsid w:val="005750A8"/>
    <w:rsid w:val="00586BCF"/>
    <w:rsid w:val="005D4789"/>
    <w:rsid w:val="0061403D"/>
    <w:rsid w:val="006341A3"/>
    <w:rsid w:val="00662F2C"/>
    <w:rsid w:val="00686CEA"/>
    <w:rsid w:val="006A3B5A"/>
    <w:rsid w:val="006F2DED"/>
    <w:rsid w:val="00703745"/>
    <w:rsid w:val="00734B47"/>
    <w:rsid w:val="007663CA"/>
    <w:rsid w:val="007E7DC6"/>
    <w:rsid w:val="00833546"/>
    <w:rsid w:val="00840370"/>
    <w:rsid w:val="00857F3C"/>
    <w:rsid w:val="0088789C"/>
    <w:rsid w:val="008920E8"/>
    <w:rsid w:val="008B7127"/>
    <w:rsid w:val="00911AC7"/>
    <w:rsid w:val="00960A9D"/>
    <w:rsid w:val="009824CA"/>
    <w:rsid w:val="00A47972"/>
    <w:rsid w:val="00A645DE"/>
    <w:rsid w:val="00A81F12"/>
    <w:rsid w:val="00AA370F"/>
    <w:rsid w:val="00B534D2"/>
    <w:rsid w:val="00B543BB"/>
    <w:rsid w:val="00BA52E1"/>
    <w:rsid w:val="00BB5D3C"/>
    <w:rsid w:val="00BD7F5B"/>
    <w:rsid w:val="00BE2B9A"/>
    <w:rsid w:val="00BE3697"/>
    <w:rsid w:val="00C0422A"/>
    <w:rsid w:val="00C12090"/>
    <w:rsid w:val="00C15FEB"/>
    <w:rsid w:val="00C40EE4"/>
    <w:rsid w:val="00C56E01"/>
    <w:rsid w:val="00C82C97"/>
    <w:rsid w:val="00CD32BA"/>
    <w:rsid w:val="00D43F2B"/>
    <w:rsid w:val="00D70ECB"/>
    <w:rsid w:val="00D90B1A"/>
    <w:rsid w:val="00D94F00"/>
    <w:rsid w:val="00DE5AD6"/>
    <w:rsid w:val="00E65CC1"/>
    <w:rsid w:val="00EB6D46"/>
    <w:rsid w:val="00ED2766"/>
    <w:rsid w:val="00F0337C"/>
    <w:rsid w:val="00F12DED"/>
    <w:rsid w:val="00F137E9"/>
    <w:rsid w:val="00F4402A"/>
    <w:rsid w:val="00F52E92"/>
    <w:rsid w:val="00F71CD1"/>
    <w:rsid w:val="00F937B3"/>
    <w:rsid w:val="00F979EB"/>
    <w:rsid w:val="00FB4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EFAEAD"/>
  <w15:chartTrackingRefBased/>
  <w15:docId w15:val="{107C1724-A745-4C1C-A04A-A5FA2E8F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ED"/>
    <w:pPr>
      <w:suppressAutoHyphens/>
      <w:spacing w:after="120"/>
      <w:jc w:val="both"/>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basedOn w:val="Policepardfaut1"/>
    <w:rPr>
      <w:rFonts w:eastAsia="Lucida Sans Unicode"/>
      <w:sz w:val="24"/>
      <w:szCs w:val="24"/>
      <w:lang w:val="fr-FR" w:bidi="ar-SA"/>
    </w:rPr>
  </w:style>
  <w:style w:type="character" w:customStyle="1" w:styleId="SNDatearrtCar">
    <w:name w:val="SNDate arrêté Car"/>
    <w:basedOn w:val="Policepardfaut1"/>
    <w:rPr>
      <w:sz w:val="24"/>
      <w:szCs w:val="24"/>
      <w:lang w:val="fr-FR" w:bidi="ar-SA"/>
    </w:rPr>
  </w:style>
  <w:style w:type="character" w:customStyle="1" w:styleId="SNArticleCar">
    <w:name w:val="SNArticle Car"/>
    <w:basedOn w:val="Policepardfaut1"/>
    <w:rPr>
      <w:b/>
      <w:sz w:val="24"/>
      <w:szCs w:val="24"/>
      <w:lang w:val="fr-FR" w:bidi="ar-SA"/>
    </w:rPr>
  </w:style>
  <w:style w:type="paragraph" w:customStyle="1" w:styleId="Titre10">
    <w:name w:val="Titre1"/>
    <w:basedOn w:val="Normal"/>
    <w:next w:val="Corpsdetexte"/>
    <w:pPr>
      <w:keepNext/>
      <w:spacing w:before="240"/>
    </w:pPr>
    <w:rPr>
      <w:rFonts w:ascii="Liberation Sans" w:eastAsia="Microsoft YaHei" w:hAnsi="Liberation Sans" w:cs="Lucida Sans"/>
      <w:sz w:val="28"/>
      <w:szCs w:val="28"/>
    </w:rPr>
  </w:style>
  <w:style w:type="paragraph" w:styleId="Corpsdetexte">
    <w:name w:val="Body Text"/>
    <w:basedOn w:val="Normal"/>
    <w:link w:val="CorpsdetexteCar"/>
  </w:style>
  <w:style w:type="paragraph" w:styleId="Liste">
    <w:name w:val="List"/>
    <w:basedOn w:val="Corpsdetexte"/>
    <w:rPr>
      <w:rFonts w:cs="Lucida Sans"/>
    </w:rPr>
  </w:style>
  <w:style w:type="paragraph" w:styleId="Lgende">
    <w:name w:val="caption"/>
    <w:basedOn w:val="Normal"/>
    <w:qFormat/>
    <w:pPr>
      <w:suppressLineNumbers/>
      <w:spacing w:before="120"/>
    </w:pPr>
    <w:rPr>
      <w:rFonts w:cs="Lucida Sans"/>
      <w:i/>
      <w:iCs/>
    </w:rPr>
  </w:style>
  <w:style w:type="paragraph" w:customStyle="1" w:styleId="Index">
    <w:name w:val="Index"/>
    <w:basedOn w:val="Normal"/>
    <w:pPr>
      <w:suppressLineNumbers/>
    </w:pPr>
    <w:rPr>
      <w:rFonts w:cs="Lucida Sans"/>
    </w:rPr>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ind w:firstLine="709"/>
    </w:pPr>
    <w:rPr>
      <w:rFonts w:eastAsia="Lucida Sans Unicode"/>
    </w:rPr>
  </w:style>
  <w:style w:type="paragraph" w:customStyle="1" w:styleId="SNNature">
    <w:name w:val="SNNature"/>
    <w:basedOn w:val="Normal"/>
    <w:next w:val="SNtitre"/>
    <w:pPr>
      <w:widowControl w:val="0"/>
      <w:suppressLineNumbers/>
      <w:spacing w:before="7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ind w:firstLine="720"/>
    </w:pPr>
  </w:style>
  <w:style w:type="paragraph" w:customStyle="1" w:styleId="SNVisa">
    <w:name w:val="SNVisa"/>
    <w:basedOn w:val="Normal"/>
    <w:pPr>
      <w:spacing w:before="120"/>
      <w:ind w:firstLine="720"/>
    </w:pPr>
  </w:style>
  <w:style w:type="paragraph" w:customStyle="1" w:styleId="SNDatearrt">
    <w:name w:val="SNDate arrêté"/>
    <w:basedOn w:val="Normal"/>
    <w:next w:val="SNContreseing"/>
    <w:pPr>
      <w:spacing w:before="480" w:after="1680"/>
      <w:ind w:firstLine="720"/>
    </w:pPr>
  </w:style>
  <w:style w:type="paragraph" w:customStyle="1" w:styleId="SNContreseing">
    <w:name w:val="SNContreseing"/>
    <w:basedOn w:val="Normal"/>
    <w:next w:val="Normal"/>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Titre1objet">
    <w:name w:val="Titre 1 objet"/>
    <w:basedOn w:val="Titre1"/>
    <w:next w:val="Normal"/>
    <w:pPr>
      <w:numPr>
        <w:numId w:val="0"/>
      </w:numPr>
      <w:spacing w:before="0"/>
    </w:pPr>
    <w:rPr>
      <w:b/>
    </w:rPr>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Titre2objet">
    <w:name w:val="Titre 2 objet"/>
    <w:basedOn w:val="Titre2"/>
    <w:pPr>
      <w:numPr>
        <w:ilvl w:val="0"/>
        <w:numId w:val="0"/>
      </w:numPr>
      <w:spacing w:before="0"/>
    </w:pPr>
    <w:rPr>
      <w:b/>
    </w:rPr>
  </w:style>
  <w:style w:type="paragraph" w:customStyle="1" w:styleId="Style1">
    <w:name w:val="Style1"/>
    <w:basedOn w:val="Titre3"/>
    <w:next w:val="Normal"/>
    <w:pPr>
      <w:numPr>
        <w:ilvl w:val="0"/>
        <w:numId w:val="0"/>
      </w:numPr>
      <w:spacing w:before="0"/>
    </w:pPr>
    <w:rPr>
      <w:b/>
    </w:rPr>
  </w:style>
  <w:style w:type="paragraph" w:customStyle="1" w:styleId="Titre3objet">
    <w:name w:val="Titre 3 objet"/>
    <w:basedOn w:val="Titre3"/>
    <w:next w:val="Normal"/>
    <w:pPr>
      <w:numPr>
        <w:ilvl w:val="0"/>
        <w:numId w:val="0"/>
      </w:numPr>
      <w:spacing w:before="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Sansinterligne">
    <w:name w:val="No Spacing"/>
    <w:basedOn w:val="SNArticle"/>
    <w:uiPriority w:val="1"/>
    <w:qFormat/>
    <w:rsid w:val="003E6B43"/>
  </w:style>
  <w:style w:type="paragraph" w:styleId="Paragraphedeliste">
    <w:name w:val="List Paragraph"/>
    <w:basedOn w:val="Normal"/>
    <w:uiPriority w:val="34"/>
    <w:qFormat/>
    <w:rsid w:val="00F137E9"/>
    <w:pPr>
      <w:ind w:left="720"/>
      <w:contextualSpacing/>
    </w:pPr>
  </w:style>
  <w:style w:type="character" w:styleId="Marquedecommentaire">
    <w:name w:val="annotation reference"/>
    <w:basedOn w:val="Policepardfaut"/>
    <w:uiPriority w:val="99"/>
    <w:semiHidden/>
    <w:unhideWhenUsed/>
    <w:rsid w:val="001775D4"/>
    <w:rPr>
      <w:sz w:val="16"/>
      <w:szCs w:val="16"/>
    </w:rPr>
  </w:style>
  <w:style w:type="paragraph" w:styleId="Commentaire">
    <w:name w:val="annotation text"/>
    <w:basedOn w:val="Normal"/>
    <w:link w:val="CommentaireCar"/>
    <w:uiPriority w:val="99"/>
    <w:unhideWhenUsed/>
    <w:rsid w:val="001775D4"/>
    <w:rPr>
      <w:sz w:val="20"/>
      <w:szCs w:val="20"/>
    </w:rPr>
  </w:style>
  <w:style w:type="character" w:customStyle="1" w:styleId="CommentaireCar">
    <w:name w:val="Commentaire Car"/>
    <w:basedOn w:val="Policepardfaut"/>
    <w:link w:val="Commentaire"/>
    <w:uiPriority w:val="99"/>
    <w:rsid w:val="001775D4"/>
    <w:rPr>
      <w:lang w:eastAsia="zh-CN"/>
    </w:rPr>
  </w:style>
  <w:style w:type="paragraph" w:styleId="Objetducommentaire">
    <w:name w:val="annotation subject"/>
    <w:basedOn w:val="Commentaire"/>
    <w:next w:val="Commentaire"/>
    <w:link w:val="ObjetducommentaireCar"/>
    <w:uiPriority w:val="99"/>
    <w:semiHidden/>
    <w:unhideWhenUsed/>
    <w:rsid w:val="001775D4"/>
    <w:rPr>
      <w:b/>
      <w:bCs/>
    </w:rPr>
  </w:style>
  <w:style w:type="character" w:customStyle="1" w:styleId="ObjetducommentaireCar">
    <w:name w:val="Objet du commentaire Car"/>
    <w:basedOn w:val="CommentaireCar"/>
    <w:link w:val="Objetducommentaire"/>
    <w:uiPriority w:val="99"/>
    <w:semiHidden/>
    <w:rsid w:val="001775D4"/>
    <w:rPr>
      <w:b/>
      <w:bCs/>
      <w:lang w:eastAsia="zh-CN"/>
    </w:rPr>
  </w:style>
  <w:style w:type="table" w:styleId="Grilledutableau">
    <w:name w:val="Table Grid"/>
    <w:basedOn w:val="TableauNormal"/>
    <w:uiPriority w:val="39"/>
    <w:rsid w:val="00F0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rsid w:val="003A03F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E1D0-56EB-4A94-9DFD-B2BFD964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Template>
  <TotalTime>6</TotalTime>
  <Pages>7</Pages>
  <Words>2267</Words>
  <Characters>12474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cp:lastModifiedBy>BEAU Marie</cp:lastModifiedBy>
  <cp:revision>9</cp:revision>
  <cp:lastPrinted>1899-12-31T23:00:00Z</cp:lastPrinted>
  <dcterms:created xsi:type="dcterms:W3CDTF">2023-05-17T12:40:00Z</dcterms:created>
  <dcterms:modified xsi:type="dcterms:W3CDTF">2023-05-17T13:47:00Z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