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2268" w:type="dxa"/>
        <w:tblCellMar>
          <w:top w:w="57" w:type="dxa"/>
          <w:left w:w="57" w:type="dxa"/>
          <w:bottom w:w="57" w:type="dxa"/>
          <w:right w:w="57" w:type="dxa"/>
        </w:tblCellMar>
        <w:tblLook w:val="0000" w:firstRow="0" w:lastRow="0" w:firstColumn="0" w:lastColumn="0" w:noHBand="0" w:noVBand="0"/>
      </w:tblPr>
      <w:tblGrid>
        <w:gridCol w:w="1526"/>
        <w:gridCol w:w="968"/>
        <w:gridCol w:w="2468"/>
      </w:tblGrid>
      <w:tr w:rsidR="00030614">
        <w:trPr>
          <w:cantSplit/>
        </w:trPr>
        <w:tc>
          <w:tcPr>
            <w:tcW w:w="4962" w:type="dxa"/>
            <w:gridSpan w:val="3"/>
            <w:shd w:val="clear" w:color="auto" w:fill="auto"/>
          </w:tcPr>
          <w:p w:rsidR="00030614" w:rsidRDefault="00DD4334">
            <w:pPr>
              <w:pStyle w:val="SNREPUBLIQUE"/>
            </w:pPr>
            <w:r>
              <w:t>RÉPUBLIQUE FRANÇAISE</w:t>
            </w:r>
          </w:p>
        </w:tc>
      </w:tr>
      <w:tr w:rsidR="00030614">
        <w:trPr>
          <w:cantSplit/>
          <w:trHeight w:hRule="exact" w:val="113"/>
        </w:trPr>
        <w:tc>
          <w:tcPr>
            <w:tcW w:w="1526" w:type="dxa"/>
            <w:shd w:val="clear" w:color="auto" w:fill="auto"/>
          </w:tcPr>
          <w:p w:rsidR="00030614" w:rsidRDefault="00030614"/>
        </w:tc>
        <w:tc>
          <w:tcPr>
            <w:tcW w:w="968" w:type="dxa"/>
            <w:tcBorders>
              <w:bottom w:val="single" w:sz="2" w:space="0" w:color="000001"/>
            </w:tcBorders>
            <w:shd w:val="clear" w:color="auto" w:fill="auto"/>
          </w:tcPr>
          <w:p w:rsidR="00030614" w:rsidRDefault="00030614"/>
        </w:tc>
        <w:tc>
          <w:tcPr>
            <w:tcW w:w="2468" w:type="dxa"/>
            <w:shd w:val="clear" w:color="auto" w:fill="auto"/>
          </w:tcPr>
          <w:p w:rsidR="00030614" w:rsidRDefault="00030614"/>
        </w:tc>
      </w:tr>
      <w:tr w:rsidR="00030614">
        <w:trPr>
          <w:cantSplit/>
        </w:trPr>
        <w:tc>
          <w:tcPr>
            <w:tcW w:w="4962" w:type="dxa"/>
            <w:gridSpan w:val="3"/>
            <w:shd w:val="clear" w:color="auto" w:fill="auto"/>
          </w:tcPr>
          <w:p w:rsidR="00030614" w:rsidRDefault="00DD4334">
            <w:pPr>
              <w:pStyle w:val="SNTimbre"/>
            </w:pPr>
            <w:r>
              <w:t>Ministère de la tr</w:t>
            </w:r>
            <w:r w:rsidR="000C6673">
              <w:t>ansition écologique</w:t>
            </w:r>
          </w:p>
        </w:tc>
      </w:tr>
      <w:tr w:rsidR="00030614">
        <w:trPr>
          <w:cantSplit/>
          <w:trHeight w:hRule="exact" w:val="227"/>
        </w:trPr>
        <w:tc>
          <w:tcPr>
            <w:tcW w:w="1526" w:type="dxa"/>
            <w:shd w:val="clear" w:color="auto" w:fill="auto"/>
          </w:tcPr>
          <w:p w:rsidR="00030614" w:rsidRDefault="00030614"/>
        </w:tc>
        <w:tc>
          <w:tcPr>
            <w:tcW w:w="968" w:type="dxa"/>
            <w:tcBorders>
              <w:bottom w:val="single" w:sz="2" w:space="0" w:color="000001"/>
            </w:tcBorders>
            <w:shd w:val="clear" w:color="auto" w:fill="auto"/>
          </w:tcPr>
          <w:p w:rsidR="00030614" w:rsidRDefault="00030614"/>
        </w:tc>
        <w:tc>
          <w:tcPr>
            <w:tcW w:w="2468" w:type="dxa"/>
            <w:shd w:val="clear" w:color="auto" w:fill="auto"/>
          </w:tcPr>
          <w:p w:rsidR="00030614" w:rsidRDefault="00030614"/>
        </w:tc>
      </w:tr>
      <w:tr w:rsidR="00030614">
        <w:trPr>
          <w:cantSplit/>
          <w:trHeight w:hRule="exact" w:val="227"/>
        </w:trPr>
        <w:tc>
          <w:tcPr>
            <w:tcW w:w="1526" w:type="dxa"/>
            <w:shd w:val="clear" w:color="auto" w:fill="auto"/>
          </w:tcPr>
          <w:p w:rsidR="00030614" w:rsidRDefault="00030614"/>
        </w:tc>
        <w:tc>
          <w:tcPr>
            <w:tcW w:w="968" w:type="dxa"/>
            <w:shd w:val="clear" w:color="auto" w:fill="auto"/>
          </w:tcPr>
          <w:p w:rsidR="00030614" w:rsidRDefault="00030614"/>
        </w:tc>
        <w:tc>
          <w:tcPr>
            <w:tcW w:w="2468" w:type="dxa"/>
            <w:shd w:val="clear" w:color="auto" w:fill="auto"/>
          </w:tcPr>
          <w:p w:rsidR="00030614" w:rsidRDefault="00030614"/>
        </w:tc>
      </w:tr>
    </w:tbl>
    <w:p w:rsidR="00030614" w:rsidRDefault="00DD4334">
      <w:pPr>
        <w:pStyle w:val="SNNature"/>
      </w:pPr>
      <w:r>
        <w:t xml:space="preserve">Arrêté du </w:t>
      </w:r>
    </w:p>
    <w:p w:rsidR="00030614" w:rsidRDefault="00DD4334">
      <w:pPr>
        <w:pStyle w:val="SNtitre"/>
      </w:pPr>
      <w:proofErr w:type="gramStart"/>
      <w:r>
        <w:t>modifiant</w:t>
      </w:r>
      <w:proofErr w:type="gramEnd"/>
      <w:r>
        <w:t xml:space="preserve"> l’arrêté du 26 août 2011 modifié relatif aux installations de production d’électricité utilisant l’énergie mécanique du vent au sein d’une installation soumise à autorisation au titre de la rubrique 2980 de la législation des installations classées pour la protection de l’environnement</w:t>
      </w:r>
    </w:p>
    <w:p w:rsidR="00030614" w:rsidRDefault="00DD4334">
      <w:pPr>
        <w:pStyle w:val="SNNORCentr"/>
      </w:pPr>
      <w:r>
        <w:t xml:space="preserve">NOR : </w:t>
      </w:r>
      <w:r w:rsidR="001F65C9" w:rsidRPr="00812E7D">
        <w:rPr>
          <w:highlight w:val="yellow"/>
        </w:rPr>
        <w:t>TREP</w:t>
      </w:r>
      <w:r w:rsidR="00812E7D" w:rsidRPr="00812E7D">
        <w:rPr>
          <w:highlight w:val="yellow"/>
        </w:rPr>
        <w:t xml:space="preserve"> XXXXX</w:t>
      </w:r>
    </w:p>
    <w:p w:rsidR="00030614" w:rsidRDefault="0037268F" w:rsidP="00812E7D">
      <w:pPr>
        <w:pStyle w:val="SNAutorit"/>
        <w:spacing w:before="0" w:after="120"/>
        <w:ind w:firstLine="0"/>
        <w:jc w:val="center"/>
      </w:pPr>
      <w:r>
        <w:rPr>
          <w:highlight w:val="cyan"/>
        </w:rPr>
        <w:t xml:space="preserve">Version projet au </w:t>
      </w:r>
      <w:r w:rsidR="003A2C6E">
        <w:rPr>
          <w:highlight w:val="cyan"/>
        </w:rPr>
        <w:t>11</w:t>
      </w:r>
      <w:bookmarkStart w:id="0" w:name="_GoBack"/>
      <w:bookmarkEnd w:id="0"/>
      <w:r>
        <w:rPr>
          <w:highlight w:val="cyan"/>
        </w:rPr>
        <w:t>/10</w:t>
      </w:r>
      <w:r w:rsidR="00812E7D" w:rsidRPr="00812E7D">
        <w:rPr>
          <w:highlight w:val="cyan"/>
        </w:rPr>
        <w:t>/2021</w:t>
      </w:r>
    </w:p>
    <w:p w:rsidR="00030614" w:rsidRDefault="00DD4334">
      <w:pPr>
        <w:pStyle w:val="SNAutorit"/>
        <w:spacing w:before="0" w:after="120"/>
        <w:ind w:firstLine="0"/>
        <w:jc w:val="both"/>
        <w:rPr>
          <w:b w:val="0"/>
        </w:rPr>
      </w:pPr>
      <w:r>
        <w:t>Publics concernés</w:t>
      </w:r>
      <w:r>
        <w:rPr>
          <w:b w:val="0"/>
        </w:rPr>
        <w:t xml:space="preserve"> : exploitants d'installations terrestres de production d'électricité utilisant l'énergie mécanique du vent relevant du régime de l’autorisation.</w:t>
      </w:r>
    </w:p>
    <w:p w:rsidR="00030614" w:rsidRDefault="00DD4334">
      <w:pPr>
        <w:pStyle w:val="SNAutorit"/>
        <w:spacing w:before="0" w:after="120"/>
        <w:ind w:firstLine="0"/>
        <w:jc w:val="both"/>
        <w:rPr>
          <w:b w:val="0"/>
        </w:rPr>
      </w:pPr>
      <w:r>
        <w:t>Objet</w:t>
      </w:r>
      <w:r>
        <w:rPr>
          <w:b w:val="0"/>
        </w:rPr>
        <w:t xml:space="preserve"> : </w:t>
      </w:r>
      <w:r w:rsidR="00E334CC">
        <w:rPr>
          <w:b w:val="0"/>
        </w:rPr>
        <w:t xml:space="preserve">Modification de l’arrêté ministériel du 26 août 2011 </w:t>
      </w:r>
      <w:r w:rsidR="00E334CC" w:rsidRPr="00E334CC">
        <w:rPr>
          <w:b w:val="0"/>
        </w:rPr>
        <w:t>modifié relatif aux installations de production d’électricité utilisant l’énergie mécanique du vent au sein d’une installation soumise à autorisation au titre de la rubrique 2980 de la législation des installations classées pour la protection de l’environnement</w:t>
      </w:r>
      <w:r>
        <w:rPr>
          <w:b w:val="0"/>
        </w:rPr>
        <w:t xml:space="preserve">. </w:t>
      </w:r>
    </w:p>
    <w:p w:rsidR="00030614" w:rsidRDefault="00DD4334">
      <w:pPr>
        <w:pStyle w:val="SNAutorit"/>
        <w:spacing w:before="0" w:after="120"/>
        <w:ind w:firstLine="0"/>
        <w:jc w:val="both"/>
        <w:rPr>
          <w:b w:val="0"/>
        </w:rPr>
      </w:pPr>
      <w:r>
        <w:t>Entrée en vigueur</w:t>
      </w:r>
      <w:r>
        <w:rPr>
          <w:b w:val="0"/>
        </w:rPr>
        <w:t xml:space="preserve"> : le texte entre en vigueur </w:t>
      </w:r>
      <w:r w:rsidR="00812E7D">
        <w:rPr>
          <w:b w:val="0"/>
        </w:rPr>
        <w:t>le 1</w:t>
      </w:r>
      <w:r w:rsidR="00812E7D" w:rsidRPr="00812E7D">
        <w:rPr>
          <w:b w:val="0"/>
          <w:vertAlign w:val="superscript"/>
        </w:rPr>
        <w:t>er</w:t>
      </w:r>
      <w:r w:rsidR="00812E7D">
        <w:rPr>
          <w:b w:val="0"/>
        </w:rPr>
        <w:t xml:space="preserve"> janvier 2022</w:t>
      </w:r>
      <w:r>
        <w:rPr>
          <w:b w:val="0"/>
        </w:rPr>
        <w:t>.</w:t>
      </w:r>
    </w:p>
    <w:p w:rsidR="00030614" w:rsidRDefault="00DD4334">
      <w:pPr>
        <w:pStyle w:val="SNAutorit"/>
        <w:spacing w:before="0" w:after="120"/>
        <w:ind w:firstLine="0"/>
        <w:jc w:val="both"/>
        <w:rPr>
          <w:b w:val="0"/>
        </w:rPr>
      </w:pPr>
      <w:r>
        <w:t>Notice</w:t>
      </w:r>
      <w:r>
        <w:rPr>
          <w:b w:val="0"/>
        </w:rPr>
        <w:t xml:space="preserve"> : le présent arrêté </w:t>
      </w:r>
      <w:r w:rsidR="00E334CC">
        <w:rPr>
          <w:b w:val="0"/>
        </w:rPr>
        <w:t xml:space="preserve">a pour objectif de clarifier </w:t>
      </w:r>
      <w:r w:rsidR="008E1D11">
        <w:rPr>
          <w:b w:val="0"/>
        </w:rPr>
        <w:t>l</w:t>
      </w:r>
      <w:r w:rsidR="00E334CC" w:rsidRPr="00E334CC">
        <w:rPr>
          <w:b w:val="0"/>
        </w:rPr>
        <w:t>es prescriptions applicables en fonction d</w:t>
      </w:r>
      <w:r w:rsidR="00E334CC">
        <w:rPr>
          <w:b w:val="0"/>
        </w:rPr>
        <w:t xml:space="preserve">e la date de dépôt de dossier </w:t>
      </w:r>
      <w:r w:rsidR="008E1D11">
        <w:rPr>
          <w:b w:val="0"/>
        </w:rPr>
        <w:t xml:space="preserve">d’autorisation </w:t>
      </w:r>
      <w:r w:rsidR="00E334CC">
        <w:rPr>
          <w:b w:val="0"/>
        </w:rPr>
        <w:t xml:space="preserve">ou </w:t>
      </w:r>
      <w:r w:rsidR="00E334CC" w:rsidRPr="00E334CC">
        <w:rPr>
          <w:b w:val="0"/>
        </w:rPr>
        <w:t>du renouvellement</w:t>
      </w:r>
      <w:r w:rsidR="000C6673">
        <w:rPr>
          <w:b w:val="0"/>
        </w:rPr>
        <w:t xml:space="preserve">, y compris concernant le </w:t>
      </w:r>
      <w:r w:rsidR="000C6673" w:rsidRPr="000C6673">
        <w:rPr>
          <w:b w:val="0"/>
        </w:rPr>
        <w:t xml:space="preserve">critère d’appréciation de l’impact sur les radars Météo </w:t>
      </w:r>
      <w:r w:rsidR="000C6673">
        <w:rPr>
          <w:b w:val="0"/>
        </w:rPr>
        <w:t xml:space="preserve">France. </w:t>
      </w:r>
      <w:r w:rsidR="008E1D11">
        <w:rPr>
          <w:b w:val="0"/>
        </w:rPr>
        <w:t>Il</w:t>
      </w:r>
      <w:r w:rsidR="00E334CC">
        <w:rPr>
          <w:b w:val="0"/>
        </w:rPr>
        <w:t xml:space="preserve"> apporte des précisions</w:t>
      </w:r>
      <w:r w:rsidR="00D8635F">
        <w:rPr>
          <w:b w:val="0"/>
        </w:rPr>
        <w:t xml:space="preserve"> </w:t>
      </w:r>
      <w:r w:rsidR="00D8635F" w:rsidRPr="00D8635F">
        <w:rPr>
          <w:b w:val="0"/>
        </w:rPr>
        <w:t xml:space="preserve">sur </w:t>
      </w:r>
      <w:r w:rsidR="000C6673">
        <w:rPr>
          <w:b w:val="0"/>
        </w:rPr>
        <w:t>le montant recalculé et l’</w:t>
      </w:r>
      <w:r w:rsidR="00D8635F" w:rsidRPr="00D8635F">
        <w:rPr>
          <w:b w:val="0"/>
        </w:rPr>
        <w:t xml:space="preserve">actualisation des garanties financières </w:t>
      </w:r>
      <w:r w:rsidR="000C6673">
        <w:rPr>
          <w:b w:val="0"/>
        </w:rPr>
        <w:t>à</w:t>
      </w:r>
      <w:r w:rsidR="00D8635F" w:rsidRPr="00D8635F">
        <w:rPr>
          <w:b w:val="0"/>
        </w:rPr>
        <w:t xml:space="preserve"> la mise en service</w:t>
      </w:r>
      <w:r w:rsidR="008E1D11">
        <w:rPr>
          <w:b w:val="0"/>
        </w:rPr>
        <w:t xml:space="preserve"> et</w:t>
      </w:r>
      <w:r w:rsidR="00E334CC">
        <w:rPr>
          <w:b w:val="0"/>
        </w:rPr>
        <w:t xml:space="preserve"> introduit</w:t>
      </w:r>
      <w:r w:rsidR="008E1D11">
        <w:rPr>
          <w:b w:val="0"/>
        </w:rPr>
        <w:t xml:space="preserve"> des évolutions en cas de renouvellement (</w:t>
      </w:r>
      <w:r w:rsidR="00E334CC" w:rsidRPr="00E334CC">
        <w:rPr>
          <w:b w:val="0"/>
        </w:rPr>
        <w:t>distance d’éloignement par rapport aux habitations</w:t>
      </w:r>
      <w:r w:rsidR="008E1D11">
        <w:rPr>
          <w:b w:val="0"/>
        </w:rPr>
        <w:t>)</w:t>
      </w:r>
      <w:r w:rsidR="00E334CC">
        <w:rPr>
          <w:b w:val="0"/>
        </w:rPr>
        <w:t xml:space="preserve">. Il </w:t>
      </w:r>
      <w:r w:rsidR="00D56A69">
        <w:rPr>
          <w:b w:val="0"/>
        </w:rPr>
        <w:t>définit</w:t>
      </w:r>
      <w:r w:rsidR="00E334CC">
        <w:rPr>
          <w:b w:val="0"/>
        </w:rPr>
        <w:t xml:space="preserve"> le</w:t>
      </w:r>
      <w:r w:rsidR="00E334CC" w:rsidRPr="00E334CC">
        <w:rPr>
          <w:b w:val="0"/>
        </w:rPr>
        <w:t xml:space="preserve"> protocole de mesure acoustique à </w:t>
      </w:r>
      <w:r w:rsidR="008E1D11">
        <w:rPr>
          <w:b w:val="0"/>
        </w:rPr>
        <w:t>appliquer</w:t>
      </w:r>
      <w:r w:rsidR="008E1D11" w:rsidRPr="00E334CC">
        <w:rPr>
          <w:b w:val="0"/>
        </w:rPr>
        <w:t xml:space="preserve"> </w:t>
      </w:r>
      <w:r w:rsidR="00E334CC" w:rsidRPr="00E334CC">
        <w:rPr>
          <w:b w:val="0"/>
        </w:rPr>
        <w:t>et instaur</w:t>
      </w:r>
      <w:r w:rsidR="00E334CC">
        <w:rPr>
          <w:b w:val="0"/>
        </w:rPr>
        <w:t xml:space="preserve">e </w:t>
      </w:r>
      <w:r w:rsidR="00E334CC" w:rsidRPr="00E334CC">
        <w:rPr>
          <w:b w:val="0"/>
        </w:rPr>
        <w:t>un contrôle acoustique systématique à réception</w:t>
      </w:r>
      <w:r w:rsidR="00E334CC">
        <w:rPr>
          <w:b w:val="0"/>
        </w:rPr>
        <w:t xml:space="preserve">. </w:t>
      </w:r>
    </w:p>
    <w:p w:rsidR="00030614" w:rsidRDefault="00DD4334">
      <w:pPr>
        <w:pStyle w:val="SNAutorit"/>
        <w:spacing w:before="0" w:after="120"/>
        <w:ind w:firstLine="0"/>
        <w:jc w:val="both"/>
        <w:rPr>
          <w:b w:val="0"/>
        </w:rPr>
      </w:pPr>
      <w:r>
        <w:t>Références</w:t>
      </w:r>
      <w:r>
        <w:rPr>
          <w:b w:val="0"/>
        </w:rPr>
        <w:t xml:space="preserve"> : les textes modifiés par le présent arrêté peuvent être consultés dans leur rédaction issue de ces modifications, sur le site Légifrance (http://www.legifrance.gouv.fr).</w:t>
      </w:r>
    </w:p>
    <w:p w:rsidR="00030614" w:rsidRDefault="00030614">
      <w:pPr>
        <w:pStyle w:val="SNAutorit"/>
        <w:spacing w:before="0" w:after="120"/>
        <w:ind w:firstLine="0"/>
        <w:jc w:val="both"/>
        <w:rPr>
          <w:b w:val="0"/>
        </w:rPr>
      </w:pPr>
    </w:p>
    <w:p w:rsidR="00030614" w:rsidRDefault="00DD4334">
      <w:pPr>
        <w:pStyle w:val="SNAutorit"/>
        <w:spacing w:before="0" w:after="120"/>
        <w:ind w:firstLine="0"/>
        <w:jc w:val="both"/>
        <w:rPr>
          <w:b w:val="0"/>
        </w:rPr>
      </w:pPr>
      <w:r>
        <w:rPr>
          <w:b w:val="0"/>
        </w:rPr>
        <w:t>La ministre de la transition écologique,</w:t>
      </w:r>
    </w:p>
    <w:p w:rsidR="00030614" w:rsidRDefault="00DD4334">
      <w:pPr>
        <w:pStyle w:val="SNAutorit"/>
        <w:spacing w:before="0" w:after="120"/>
        <w:ind w:firstLine="0"/>
        <w:jc w:val="both"/>
        <w:rPr>
          <w:b w:val="0"/>
        </w:rPr>
      </w:pPr>
      <w:r>
        <w:rPr>
          <w:b w:val="0"/>
        </w:rPr>
        <w:t>Vu le code de l'environnement, notamment le titre VIII de son livre Ier et le titre Ier de son livre V ;</w:t>
      </w:r>
    </w:p>
    <w:p w:rsidR="00030614" w:rsidRDefault="00DD4334">
      <w:pPr>
        <w:pStyle w:val="SNAutorit"/>
        <w:spacing w:before="0" w:after="120"/>
        <w:ind w:firstLine="0"/>
        <w:jc w:val="both"/>
        <w:rPr>
          <w:b w:val="0"/>
        </w:rPr>
      </w:pPr>
      <w:r>
        <w:rPr>
          <w:b w:val="0"/>
        </w:rPr>
        <w:t xml:space="preserve">Vu l'arrêté </w:t>
      </w:r>
      <w:r w:rsidR="00DC1F10">
        <w:rPr>
          <w:b w:val="0"/>
        </w:rPr>
        <w:t xml:space="preserve">ministériel </w:t>
      </w:r>
      <w:r>
        <w:rPr>
          <w:b w:val="0"/>
        </w:rPr>
        <w:t>du 26 août 2011</w:t>
      </w:r>
      <w:r w:rsidR="00DC1F10">
        <w:rPr>
          <w:b w:val="0"/>
        </w:rPr>
        <w:t xml:space="preserve"> modifié</w:t>
      </w:r>
      <w:r>
        <w:rPr>
          <w:b w:val="0"/>
        </w:rPr>
        <w:t xml:space="preserve"> relatif aux installations de production d’électricité utilisant l’énergie mécanique du vent au sein d’une installation soumise à autorisation au titre de la rubrique 2980 de la législation des installations classées pour l</w:t>
      </w:r>
      <w:r w:rsidR="00DC1F10">
        <w:rPr>
          <w:b w:val="0"/>
        </w:rPr>
        <w:t xml:space="preserve">a protection de l’environnement </w:t>
      </w:r>
      <w:r>
        <w:rPr>
          <w:b w:val="0"/>
        </w:rPr>
        <w:t>;</w:t>
      </w:r>
    </w:p>
    <w:p w:rsidR="00DC1F10" w:rsidRDefault="00DC1F10">
      <w:pPr>
        <w:pStyle w:val="SNAutorit"/>
        <w:spacing w:before="0" w:after="120"/>
        <w:ind w:firstLine="0"/>
        <w:jc w:val="both"/>
        <w:rPr>
          <w:b w:val="0"/>
        </w:rPr>
      </w:pPr>
      <w:r w:rsidRPr="00DC1F10">
        <w:rPr>
          <w:b w:val="0"/>
        </w:rPr>
        <w:lastRenderedPageBreak/>
        <w:t>Vu l’avis des ministres intéressés ;</w:t>
      </w:r>
    </w:p>
    <w:p w:rsidR="00030614" w:rsidRDefault="00DD4334">
      <w:pPr>
        <w:pStyle w:val="SNAutorit"/>
        <w:spacing w:before="0" w:after="120"/>
        <w:ind w:firstLine="0"/>
        <w:jc w:val="both"/>
        <w:rPr>
          <w:b w:val="0"/>
        </w:rPr>
      </w:pPr>
      <w:r>
        <w:rPr>
          <w:b w:val="0"/>
        </w:rPr>
        <w:t>Vu l'avis des organisations professionnelles concernées ;</w:t>
      </w:r>
    </w:p>
    <w:p w:rsidR="00030614" w:rsidRDefault="00DD4334">
      <w:pPr>
        <w:pStyle w:val="SNAutorit"/>
        <w:spacing w:before="0" w:after="120"/>
        <w:ind w:firstLine="0"/>
        <w:jc w:val="both"/>
        <w:rPr>
          <w:b w:val="0"/>
        </w:rPr>
      </w:pPr>
      <w:r>
        <w:rPr>
          <w:b w:val="0"/>
        </w:rPr>
        <w:t xml:space="preserve">Vu l'avis du Conseil supérieur de la prévention des risques technologiques </w:t>
      </w:r>
      <w:r w:rsidRPr="00DC1F10">
        <w:rPr>
          <w:b w:val="0"/>
          <w:highlight w:val="yellow"/>
        </w:rPr>
        <w:t>en date du</w:t>
      </w:r>
      <w:r>
        <w:rPr>
          <w:b w:val="0"/>
        </w:rPr>
        <w:t> ;</w:t>
      </w:r>
    </w:p>
    <w:p w:rsidR="00DC1F10" w:rsidRDefault="00DD4334" w:rsidP="00DC1F10">
      <w:pPr>
        <w:pStyle w:val="SNAutorit"/>
        <w:spacing w:before="0" w:after="120"/>
        <w:ind w:firstLine="0"/>
        <w:jc w:val="both"/>
        <w:rPr>
          <w:b w:val="0"/>
        </w:rPr>
      </w:pPr>
      <w:r>
        <w:rPr>
          <w:b w:val="0"/>
        </w:rPr>
        <w:t xml:space="preserve">Vu l’avis du Conseil supérieur de l’énergie </w:t>
      </w:r>
      <w:r w:rsidRPr="00DC1F10">
        <w:rPr>
          <w:b w:val="0"/>
          <w:highlight w:val="yellow"/>
        </w:rPr>
        <w:t>en date du</w:t>
      </w:r>
      <w:r w:rsidR="00DC1F10">
        <w:rPr>
          <w:b w:val="0"/>
        </w:rPr>
        <w:t> ;</w:t>
      </w:r>
    </w:p>
    <w:p w:rsidR="00DC1F10" w:rsidRDefault="00DC1F10" w:rsidP="00DC1F10">
      <w:pPr>
        <w:pStyle w:val="SNAutorit"/>
        <w:spacing w:before="0" w:after="120"/>
        <w:ind w:firstLine="0"/>
        <w:jc w:val="both"/>
        <w:rPr>
          <w:b w:val="0"/>
        </w:rPr>
      </w:pPr>
      <w:r w:rsidRPr="00DC1F10">
        <w:rPr>
          <w:b w:val="0"/>
        </w:rPr>
        <w:t xml:space="preserve">Vu les observations formulées lors de la consultation du public réalisée </w:t>
      </w:r>
      <w:r w:rsidRPr="00DC1F10">
        <w:rPr>
          <w:b w:val="0"/>
          <w:highlight w:val="yellow"/>
        </w:rPr>
        <w:t xml:space="preserve">du </w:t>
      </w:r>
      <w:proofErr w:type="spellStart"/>
      <w:r w:rsidRPr="00DC1F10">
        <w:rPr>
          <w:b w:val="0"/>
          <w:highlight w:val="yellow"/>
        </w:rPr>
        <w:t>au</w:t>
      </w:r>
      <w:proofErr w:type="spellEnd"/>
      <w:r w:rsidRPr="00DC1F10">
        <w:rPr>
          <w:b w:val="0"/>
        </w:rPr>
        <w:t xml:space="preserve"> en</w:t>
      </w:r>
      <w:r>
        <w:rPr>
          <w:b w:val="0"/>
        </w:rPr>
        <w:t xml:space="preserve"> </w:t>
      </w:r>
      <w:r w:rsidRPr="00DC1F10">
        <w:rPr>
          <w:b w:val="0"/>
        </w:rPr>
        <w:t>application de l'article L. 123-1</w:t>
      </w:r>
      <w:r>
        <w:rPr>
          <w:b w:val="0"/>
        </w:rPr>
        <w:t>9-1 du code de l'environnement,</w:t>
      </w:r>
    </w:p>
    <w:p w:rsidR="00030614" w:rsidRDefault="00DD4334">
      <w:pPr>
        <w:pStyle w:val="SNActe"/>
      </w:pPr>
      <w:r>
        <w:t>Arrête :</w:t>
      </w:r>
    </w:p>
    <w:p w:rsidR="00030614" w:rsidRDefault="00DD4334">
      <w:pPr>
        <w:pStyle w:val="Sous-titre"/>
        <w:ind w:left="-142"/>
      </w:pPr>
      <w:r>
        <w:t>Article 1</w:t>
      </w:r>
    </w:p>
    <w:p w:rsidR="00030614" w:rsidRDefault="008E1D11">
      <w:pPr>
        <w:pStyle w:val="Corpsdetexte"/>
      </w:pPr>
      <w:r>
        <w:t xml:space="preserve">L’arrêté ministériel du 26 août 2011 </w:t>
      </w:r>
      <w:r w:rsidRPr="00E334CC">
        <w:t>modifié relatif aux installations de production d’électricité utilisant l’énergie mécanique du vent au sein d’une installation soumise à autorisation au titre de la rubrique 2980 de la législation des installations classées pour la protection de l’environnement</w:t>
      </w:r>
      <w:r>
        <w:t xml:space="preserve"> est modifié conformément aux dispositions des articles 2 à </w:t>
      </w:r>
      <w:r w:rsidR="00996074">
        <w:t>21</w:t>
      </w:r>
      <w:r>
        <w:t xml:space="preserve"> du présent arrêté. </w:t>
      </w:r>
    </w:p>
    <w:p w:rsidR="008E1D11" w:rsidRDefault="008E1D11">
      <w:pPr>
        <w:pStyle w:val="Corpsdetexte"/>
      </w:pPr>
    </w:p>
    <w:p w:rsidR="008E1D11" w:rsidRDefault="008E1D11" w:rsidP="008E1D11">
      <w:pPr>
        <w:pStyle w:val="Sous-titre"/>
        <w:ind w:left="-142"/>
      </w:pPr>
      <w:r>
        <w:t xml:space="preserve">Article </w:t>
      </w:r>
      <w:r w:rsidR="00B82F36">
        <w:t>2</w:t>
      </w:r>
    </w:p>
    <w:p w:rsidR="00030614" w:rsidRDefault="00DC1F10">
      <w:pPr>
        <w:pStyle w:val="Corpsdetexte"/>
      </w:pPr>
      <w:r>
        <w:t xml:space="preserve">L’article 1 </w:t>
      </w:r>
      <w:r w:rsidR="00DD4334">
        <w:t xml:space="preserve">est </w:t>
      </w:r>
      <w:r w:rsidR="003A0FD6">
        <w:t xml:space="preserve">ainsi </w:t>
      </w:r>
      <w:r w:rsidR="00DD4334">
        <w:t>modifié:</w:t>
      </w:r>
    </w:p>
    <w:p w:rsidR="003A0FD6" w:rsidRDefault="003A0FD6" w:rsidP="00B26CA9">
      <w:pPr>
        <w:pStyle w:val="Corpsdetexte"/>
        <w:numPr>
          <w:ilvl w:val="0"/>
          <w:numId w:val="1"/>
        </w:numPr>
      </w:pPr>
      <w:r>
        <w:t>Il est inséré</w:t>
      </w:r>
      <w:r w:rsidR="008E1D11">
        <w:t xml:space="preserve"> : </w:t>
      </w:r>
      <w:r>
        <w:t xml:space="preserve">« I. </w:t>
      </w:r>
      <w:proofErr w:type="gramStart"/>
      <w:r>
        <w:t>–»</w:t>
      </w:r>
      <w:proofErr w:type="gramEnd"/>
      <w:r>
        <w:t xml:space="preserve"> avant le premier alinéa.</w:t>
      </w:r>
    </w:p>
    <w:p w:rsidR="003A0FD6" w:rsidRDefault="003A0FD6" w:rsidP="00B26CA9">
      <w:pPr>
        <w:pStyle w:val="Corpsdetexte"/>
        <w:numPr>
          <w:ilvl w:val="0"/>
          <w:numId w:val="1"/>
        </w:numPr>
      </w:pPr>
      <w:r>
        <w:t>Le deuxième alinéa est remplacé par </w:t>
      </w:r>
      <w:r w:rsidR="008E1D11">
        <w:t xml:space="preserve">l’alinéa suivant </w:t>
      </w:r>
      <w:r>
        <w:t xml:space="preserve">: </w:t>
      </w:r>
    </w:p>
    <w:p w:rsidR="003A0FD6" w:rsidRDefault="003A0FD6" w:rsidP="003A0FD6">
      <w:pPr>
        <w:pStyle w:val="Corpsdetexte"/>
      </w:pPr>
      <w:r>
        <w:t>« </w:t>
      </w:r>
      <w:r w:rsidRPr="003A0FD6">
        <w:t>II. - Les installations dont le dépôt du dossier complet de demande d'autorisation environnementale, y compris en cas de modification substantielle, est postérieur au 1er janvier 2022, sont dénommées « installations nouvelles ».</w:t>
      </w:r>
      <w:r>
        <w:t> »</w:t>
      </w:r>
    </w:p>
    <w:p w:rsidR="003A0FD6" w:rsidRDefault="003A0FD6" w:rsidP="007A26EF">
      <w:pPr>
        <w:pStyle w:val="Corpsdetexte"/>
        <w:numPr>
          <w:ilvl w:val="0"/>
          <w:numId w:val="1"/>
        </w:numPr>
      </w:pPr>
      <w:r>
        <w:t xml:space="preserve">Il </w:t>
      </w:r>
      <w:r w:rsidRPr="003A0FD6">
        <w:t>est inséré</w:t>
      </w:r>
      <w:r w:rsidR="008E1D11">
        <w:t xml:space="preserve"> : </w:t>
      </w:r>
      <w:r w:rsidRPr="003A0FD6">
        <w:t xml:space="preserve">« </w:t>
      </w:r>
      <w:r>
        <w:t>II</w:t>
      </w:r>
      <w:r w:rsidRPr="003A0FD6">
        <w:t>I. –</w:t>
      </w:r>
      <w:r w:rsidR="007A26EF" w:rsidRPr="007A26EF">
        <w:t xml:space="preserve"> Les autres installations sont déno</w:t>
      </w:r>
      <w:r w:rsidR="007A26EF">
        <w:t xml:space="preserve">mmées installations existantes. </w:t>
      </w:r>
      <w:r w:rsidRPr="003A0FD6">
        <w:t>» avant le</w:t>
      </w:r>
      <w:r>
        <w:t xml:space="preserve"> troisième alinéa.</w:t>
      </w:r>
    </w:p>
    <w:p w:rsidR="007A26EF" w:rsidRDefault="007A26EF" w:rsidP="007A26EF">
      <w:pPr>
        <w:pStyle w:val="Corpsdetexte"/>
        <w:numPr>
          <w:ilvl w:val="0"/>
          <w:numId w:val="1"/>
        </w:numPr>
      </w:pPr>
      <w:r>
        <w:t>A la fin du troisième alinéa, les mots : « </w:t>
      </w:r>
      <w:r w:rsidRPr="007A26EF">
        <w:t>“installations existantes</w:t>
      </w:r>
      <w:r>
        <w:t> </w:t>
      </w:r>
      <w:r w:rsidRPr="00DA28FD">
        <w:t>”</w:t>
      </w:r>
      <w:r>
        <w:t> » sont remplacés par les mots : « </w:t>
      </w:r>
      <w:r w:rsidRPr="007A26EF">
        <w:t>“installations existantes historiques”</w:t>
      </w:r>
      <w:r>
        <w:t xml:space="preserve"> ». </w:t>
      </w:r>
    </w:p>
    <w:p w:rsidR="003A0FD6" w:rsidRDefault="003A0FD6" w:rsidP="00B26CA9">
      <w:pPr>
        <w:pStyle w:val="Corpsdetexte"/>
        <w:numPr>
          <w:ilvl w:val="0"/>
          <w:numId w:val="1"/>
        </w:numPr>
      </w:pPr>
      <w:proofErr w:type="gramStart"/>
      <w:r>
        <w:t>Les quatrième et cinquième alinéas</w:t>
      </w:r>
      <w:proofErr w:type="gramEnd"/>
      <w:r>
        <w:t xml:space="preserve"> sont remplacés par </w:t>
      </w:r>
      <w:r w:rsidR="008E1D11">
        <w:t xml:space="preserve">les alinéas suivants </w:t>
      </w:r>
      <w:r>
        <w:t>:</w:t>
      </w:r>
    </w:p>
    <w:p w:rsidR="003A0FD6" w:rsidRDefault="003A0FD6" w:rsidP="003A0FD6">
      <w:pPr>
        <w:pStyle w:val="Corpsdetexte"/>
      </w:pPr>
      <w:r>
        <w:t xml:space="preserve">« IV. - </w:t>
      </w:r>
      <w:r w:rsidR="00B86B38" w:rsidRPr="00B86B38">
        <w:t>L’ensemble des dispositions du présent arrêté sont applicables aux installations nouvelles. L’ensemble des dispositions du présent arrêté sont applicables aux installations, ou, le cas échéant, aux aérogénérateurs faisant l’objet d’un porter-à-connaissance déposé en vue d’un renouvellement à compter du 1er janvier 2022.</w:t>
      </w:r>
    </w:p>
    <w:p w:rsidR="003A0FD6" w:rsidRDefault="003A0FD6" w:rsidP="003A0FD6">
      <w:pPr>
        <w:pStyle w:val="Corpsdetexte"/>
      </w:pPr>
      <w:r>
        <w:t>Pour les installations existantes</w:t>
      </w:r>
      <w:r w:rsidR="00444C3F">
        <w:t>,</w:t>
      </w:r>
      <w:r>
        <w:t xml:space="preserve"> </w:t>
      </w:r>
      <w:r w:rsidR="00444C3F" w:rsidRPr="00444C3F">
        <w:t>y compris les installations existantes historiques,</w:t>
      </w:r>
      <w:r>
        <w:t xml:space="preserve"> les dispositions applicables sont définies en annexe III. »</w:t>
      </w:r>
    </w:p>
    <w:p w:rsidR="00030614" w:rsidRDefault="00030614">
      <w:pPr>
        <w:pStyle w:val="Titre3objet"/>
      </w:pPr>
    </w:p>
    <w:p w:rsidR="00030614" w:rsidRDefault="00DD4334">
      <w:pPr>
        <w:pStyle w:val="Sous-titre"/>
      </w:pPr>
      <w:r>
        <w:t xml:space="preserve"> Article </w:t>
      </w:r>
      <w:r w:rsidR="00B82F36">
        <w:t>3</w:t>
      </w:r>
    </w:p>
    <w:p w:rsidR="00030614" w:rsidRDefault="008E1D11">
      <w:pPr>
        <w:pStyle w:val="Corpsdetexte"/>
      </w:pPr>
      <w:r>
        <w:lastRenderedPageBreak/>
        <w:t>L</w:t>
      </w:r>
      <w:r w:rsidR="0045316A">
        <w:t>’article 2.1</w:t>
      </w:r>
      <w:r w:rsidR="007B6795">
        <w:t xml:space="preserve"> </w:t>
      </w:r>
      <w:r>
        <w:t>est ainsi modifié</w:t>
      </w:r>
      <w:r w:rsidR="00DD4334">
        <w:t> :</w:t>
      </w:r>
    </w:p>
    <w:p w:rsidR="0045316A" w:rsidRDefault="0045316A" w:rsidP="0037268F">
      <w:pPr>
        <w:pStyle w:val="Corpsdetexte"/>
        <w:numPr>
          <w:ilvl w:val="0"/>
          <w:numId w:val="2"/>
        </w:numPr>
      </w:pPr>
      <w:r>
        <w:t xml:space="preserve">Dans la définition de mise en service industrielle, </w:t>
      </w:r>
      <w:r w:rsidR="008E1D11">
        <w:t xml:space="preserve">les mots : </w:t>
      </w:r>
      <w:r>
        <w:t>« </w:t>
      </w:r>
      <w:r w:rsidR="0037268F">
        <w:t>la période d’essais</w:t>
      </w:r>
      <w:r>
        <w:t xml:space="preserve"> » </w:t>
      </w:r>
      <w:r w:rsidR="008E1D11">
        <w:t xml:space="preserve">sont </w:t>
      </w:r>
      <w:r>
        <w:t>remplacé</w:t>
      </w:r>
      <w:r w:rsidR="008E1D11">
        <w:t>s</w:t>
      </w:r>
      <w:r>
        <w:t xml:space="preserve"> par </w:t>
      </w:r>
      <w:r w:rsidR="008E1D11">
        <w:t xml:space="preserve">les mots : </w:t>
      </w:r>
      <w:r>
        <w:t xml:space="preserve">« </w:t>
      </w:r>
      <w:r w:rsidR="0037268F" w:rsidRPr="0037268F">
        <w:t>la fin des essais du bon fonctionnement et de mise en sécurité de l’ensemble des turbines, à réception du certificat de contrôle signé par les parties prenantes, suivant la validation des essais de la dernière turbine du parc</w:t>
      </w:r>
      <w:r w:rsidR="0037268F">
        <w:t xml:space="preserve"> </w:t>
      </w:r>
      <w:r>
        <w:t>».</w:t>
      </w:r>
    </w:p>
    <w:p w:rsidR="0045316A" w:rsidRDefault="0045316A" w:rsidP="00C222A6">
      <w:pPr>
        <w:pStyle w:val="Corpsdetexte"/>
        <w:numPr>
          <w:ilvl w:val="0"/>
          <w:numId w:val="2"/>
        </w:numPr>
      </w:pPr>
      <w:r>
        <w:t xml:space="preserve">Dans la définition d’aérogénérateur, </w:t>
      </w:r>
      <w:r w:rsidR="007D136D">
        <w:t xml:space="preserve">les mots : </w:t>
      </w:r>
      <w:r>
        <w:t>« </w:t>
      </w:r>
      <w:r w:rsidR="00C222A6" w:rsidRPr="00C222A6">
        <w:t>un mât, une nacelle, le rotor auquel sont fixées les pales</w:t>
      </w:r>
      <w:r w:rsidR="00C222A6">
        <w:t xml:space="preserve"> </w:t>
      </w:r>
      <w:r>
        <w:t xml:space="preserve">» </w:t>
      </w:r>
      <w:r w:rsidR="007D136D">
        <w:t xml:space="preserve">sont </w:t>
      </w:r>
      <w:r>
        <w:t>remplacé</w:t>
      </w:r>
      <w:r w:rsidR="007D136D">
        <w:t>s</w:t>
      </w:r>
      <w:r>
        <w:t xml:space="preserve"> par </w:t>
      </w:r>
      <w:r w:rsidR="007D136D">
        <w:t xml:space="preserve">les mots : </w:t>
      </w:r>
      <w:r>
        <w:t>« </w:t>
      </w:r>
      <w:r w:rsidR="00C222A6" w:rsidRPr="00C222A6">
        <w:t>un mât, une nacelle, une génératrice, un rotor constitué d’un moyeu et de pales</w:t>
      </w:r>
      <w:r w:rsidR="00C222A6">
        <w:t xml:space="preserve"> </w:t>
      </w:r>
      <w:r>
        <w:t>».</w:t>
      </w:r>
    </w:p>
    <w:p w:rsidR="004E5099" w:rsidRDefault="004E5099" w:rsidP="004E5099">
      <w:pPr>
        <w:pStyle w:val="Corpsdetexte"/>
        <w:numPr>
          <w:ilvl w:val="0"/>
          <w:numId w:val="2"/>
        </w:numPr>
      </w:pPr>
      <w:r>
        <w:t xml:space="preserve">Dans la définition de zones </w:t>
      </w:r>
      <w:r w:rsidRPr="004E5099">
        <w:t>à émergence réglementée</w:t>
      </w:r>
      <w:r w:rsidR="000C0A27">
        <w:t> :</w:t>
      </w:r>
    </w:p>
    <w:p w:rsidR="000C0A27" w:rsidRDefault="00260A57" w:rsidP="000213CE">
      <w:pPr>
        <w:pStyle w:val="Corpsdetexte"/>
        <w:numPr>
          <w:ilvl w:val="1"/>
          <w:numId w:val="2"/>
        </w:numPr>
      </w:pPr>
      <w:r>
        <w:t xml:space="preserve">Dans le premier tiret, les mots : « pour les installations nouvelles » sont supprimés et le mot : « historiques » est inséré après les mots : « installations existantes ». </w:t>
      </w:r>
    </w:p>
    <w:p w:rsidR="000213CE" w:rsidRDefault="000213CE" w:rsidP="000213CE">
      <w:pPr>
        <w:pStyle w:val="Paragraphedeliste"/>
        <w:numPr>
          <w:ilvl w:val="1"/>
          <w:numId w:val="2"/>
        </w:numPr>
        <w:jc w:val="both"/>
      </w:pPr>
      <w:r w:rsidRPr="000213CE">
        <w:t xml:space="preserve">Dans le </w:t>
      </w:r>
      <w:r>
        <w:t>deuxième</w:t>
      </w:r>
      <w:r w:rsidRPr="000213CE">
        <w:t xml:space="preserve"> tiret, les mots : « pour les installations nouvelles » sont supprimés et le mot : « historiques » est inséré après les mots : « installations existantes ». </w:t>
      </w:r>
    </w:p>
    <w:p w:rsidR="00390517" w:rsidRDefault="00390517" w:rsidP="00B26CA9">
      <w:pPr>
        <w:pStyle w:val="Corpsdetexte"/>
        <w:numPr>
          <w:ilvl w:val="0"/>
          <w:numId w:val="2"/>
        </w:numPr>
      </w:pPr>
      <w:r>
        <w:t>L’alinéa suivant</w:t>
      </w:r>
      <w:r w:rsidR="007D136D">
        <w:t xml:space="preserve"> est supprimé : </w:t>
      </w:r>
      <w:r>
        <w:t>« </w:t>
      </w:r>
      <w:r w:rsidRPr="00390517">
        <w:t>Zones d'impact : au sens du présent arrêté, les zones d'impact s'entendent à l'intérieur de la surface définie par les distances minimales d'éloignement précisées au tableau I de l'article 4 et pour lesquelles les mesures du radar météorologique sont inexploitables du fait de l'impact cumulé des aérogénérateurs.</w:t>
      </w:r>
      <w:r>
        <w:t> ».</w:t>
      </w:r>
    </w:p>
    <w:p w:rsidR="00390517" w:rsidRDefault="00390517" w:rsidP="00B26CA9">
      <w:pPr>
        <w:pStyle w:val="Corpsdetexte"/>
        <w:numPr>
          <w:ilvl w:val="0"/>
          <w:numId w:val="2"/>
        </w:numPr>
      </w:pPr>
      <w:r>
        <w:t xml:space="preserve">Dans la définition de garantie financière initiale, il est inséré </w:t>
      </w:r>
      <w:r w:rsidR="007D136D">
        <w:t xml:space="preserve">le mot : </w:t>
      </w:r>
      <w:r>
        <w:t xml:space="preserve">« industrielle » après </w:t>
      </w:r>
      <w:r w:rsidR="007D136D">
        <w:t xml:space="preserve">les mots : </w:t>
      </w:r>
      <w:r>
        <w:t>« la mise en service ».</w:t>
      </w:r>
    </w:p>
    <w:p w:rsidR="00390517" w:rsidRDefault="00332065" w:rsidP="00B26CA9">
      <w:pPr>
        <w:pStyle w:val="Corpsdetexte"/>
        <w:numPr>
          <w:ilvl w:val="0"/>
          <w:numId w:val="2"/>
        </w:numPr>
      </w:pPr>
      <w:r w:rsidRPr="00332065">
        <w:t xml:space="preserve">Dans la définition de garantie financière </w:t>
      </w:r>
      <w:r>
        <w:t>actualisée, les mots</w:t>
      </w:r>
      <w:r w:rsidR="007D136D">
        <w:t xml:space="preserve"> : </w:t>
      </w:r>
      <w:r>
        <w:t>« en exploitation » sont supprimés.</w:t>
      </w:r>
    </w:p>
    <w:p w:rsidR="00C222A6" w:rsidRDefault="00D15E31" w:rsidP="00C222A6">
      <w:pPr>
        <w:pStyle w:val="Corpsdetexte"/>
        <w:numPr>
          <w:ilvl w:val="0"/>
          <w:numId w:val="2"/>
        </w:numPr>
      </w:pPr>
      <w:r>
        <w:t>A la fin de</w:t>
      </w:r>
      <w:r w:rsidR="00C222A6" w:rsidRPr="00332065">
        <w:t xml:space="preserve"> la définition de garantie financière </w:t>
      </w:r>
      <w:r w:rsidR="00C222A6">
        <w:t xml:space="preserve">actualisée, les mots : </w:t>
      </w:r>
      <w:proofErr w:type="gramStart"/>
      <w:r w:rsidR="00C222A6">
        <w:t>« ,</w:t>
      </w:r>
      <w:r w:rsidR="00C222A6" w:rsidRPr="00C222A6">
        <w:t>en</w:t>
      </w:r>
      <w:proofErr w:type="gramEnd"/>
      <w:r w:rsidR="00C222A6" w:rsidRPr="00C222A6">
        <w:t xml:space="preserve"> application de la formule mentionnée en annexe II du présent arrêté</w:t>
      </w:r>
      <w:r w:rsidR="00C222A6">
        <w:t>» sont ajoutés.</w:t>
      </w:r>
    </w:p>
    <w:p w:rsidR="00203312" w:rsidRDefault="00203312" w:rsidP="00B26CA9">
      <w:pPr>
        <w:pStyle w:val="Corpsdetexte"/>
        <w:numPr>
          <w:ilvl w:val="0"/>
          <w:numId w:val="2"/>
        </w:numPr>
      </w:pPr>
      <w:r>
        <w:t xml:space="preserve">Le dernier alinéa est supprimé et remplacé </w:t>
      </w:r>
      <w:r w:rsidR="00F6738A">
        <w:t>par les</w:t>
      </w:r>
      <w:r w:rsidR="00D15E31">
        <w:t xml:space="preserve"> cinq</w:t>
      </w:r>
      <w:r w:rsidR="00E63C7F">
        <w:t xml:space="preserve"> alinéas suivants </w:t>
      </w:r>
      <w:r>
        <w:t>:</w:t>
      </w:r>
    </w:p>
    <w:p w:rsidR="00D15E31" w:rsidRDefault="00203312" w:rsidP="00D15E31">
      <w:pPr>
        <w:pStyle w:val="Corpsdetexte"/>
      </w:pPr>
      <w:r>
        <w:t>« </w:t>
      </w:r>
      <w:r w:rsidR="00D15E31">
        <w:t xml:space="preserve">Garantie financière recalculée : garantie financière réévaluée au regard de la formule de l’annexe I du présent arrêté </w:t>
      </w:r>
    </w:p>
    <w:p w:rsidR="00D15E31" w:rsidRDefault="00D15E31" w:rsidP="00D15E31">
      <w:pPr>
        <w:pStyle w:val="Corpsdetexte"/>
      </w:pPr>
      <w:r>
        <w:t>Porter à connaissance : dossier transmis au préfet en application de l’article R.181-46 du code de l’environnement.</w:t>
      </w:r>
    </w:p>
    <w:p w:rsidR="00D15E31" w:rsidRDefault="00D15E31" w:rsidP="00D15E31">
      <w:pPr>
        <w:pStyle w:val="Corpsdetexte"/>
      </w:pPr>
      <w:r>
        <w:t>Renouvellement : pour le présent arrêté, remplacement d’un ou plusieurs aérogénérateurs constituant une modification notable au sens de l’article R. 181-46.</w:t>
      </w:r>
    </w:p>
    <w:p w:rsidR="00D15E31" w:rsidRDefault="00D15E31" w:rsidP="00D15E31">
      <w:pPr>
        <w:pStyle w:val="Corpsdetexte"/>
      </w:pPr>
      <w:r>
        <w:t>Zone d'impact globale pour un radar météorologique : zone d'impact correspondant au cumul des zones d’impact des parcs existants ou autorisés situés en deçà de la distance minimale d'éloignement du radar.</w:t>
      </w:r>
    </w:p>
    <w:p w:rsidR="00203312" w:rsidRDefault="00D15E31" w:rsidP="00D15E31">
      <w:pPr>
        <w:pStyle w:val="Corpsdetexte"/>
      </w:pPr>
      <w:r>
        <w:t xml:space="preserve">Zone d'impact de l’installation pour un radar météorologique : zone d'impact d’une installation, seule, ou regroupée avec des zones d'impacts voisines dans la limite d'une longueur maximale de 10 km. </w:t>
      </w:r>
      <w:r w:rsidR="00203312">
        <w:t>»</w:t>
      </w:r>
    </w:p>
    <w:p w:rsidR="00756037" w:rsidRPr="00756037" w:rsidRDefault="00756037" w:rsidP="00756037"/>
    <w:p w:rsidR="00030614" w:rsidRDefault="00DD4334">
      <w:pPr>
        <w:pStyle w:val="Sous-titre"/>
        <w:rPr>
          <w:bCs/>
        </w:rPr>
      </w:pPr>
      <w:r>
        <w:rPr>
          <w:bCs/>
        </w:rPr>
        <w:t xml:space="preserve">Article </w:t>
      </w:r>
      <w:r w:rsidR="00B82F36">
        <w:rPr>
          <w:bCs/>
        </w:rPr>
        <w:t>4</w:t>
      </w:r>
    </w:p>
    <w:p w:rsidR="00DC1FED" w:rsidRDefault="007D136D">
      <w:pPr>
        <w:pStyle w:val="Corpsdetexte"/>
      </w:pPr>
      <w:r>
        <w:lastRenderedPageBreak/>
        <w:t>L</w:t>
      </w:r>
      <w:r w:rsidR="00E63C7F">
        <w:t>’article 2.2</w:t>
      </w:r>
      <w:r w:rsidR="007B6795" w:rsidRPr="007B6795">
        <w:t xml:space="preserve"> </w:t>
      </w:r>
      <w:r>
        <w:t>est ainsi modifié</w:t>
      </w:r>
      <w:r w:rsidR="00DC1FED">
        <w:t xml:space="preserve"> : </w:t>
      </w:r>
    </w:p>
    <w:p w:rsidR="00030614" w:rsidRDefault="00DC1FED">
      <w:pPr>
        <w:pStyle w:val="Corpsdetexte"/>
      </w:pPr>
      <w:r>
        <w:t>Au point I,</w:t>
      </w:r>
      <w:r w:rsidR="00E63C7F">
        <w:t xml:space="preserve"> </w:t>
      </w:r>
      <w:r>
        <w:t>les mots :</w:t>
      </w:r>
      <w:r w:rsidR="00E63C7F">
        <w:t xml:space="preserve"> « </w:t>
      </w:r>
      <w:r w:rsidR="00E63C7F" w:rsidRPr="00E63C7F">
        <w:t>et du(des) poste(s) de livraison</w:t>
      </w:r>
      <w:r w:rsidR="00E63C7F">
        <w:t xml:space="preserve"> » </w:t>
      </w:r>
      <w:r>
        <w:t xml:space="preserve">sont insérés </w:t>
      </w:r>
      <w:r w:rsidR="00E63C7F">
        <w:t>après les mots</w:t>
      </w:r>
      <w:r>
        <w:t xml:space="preserve"> : </w:t>
      </w:r>
      <w:r w:rsidR="00E63C7F">
        <w:t>« </w:t>
      </w:r>
      <w:r w:rsidR="00E63C7F" w:rsidRPr="00E63C7F">
        <w:t>l'ensemble des aérogénérateurs</w:t>
      </w:r>
      <w:r w:rsidR="00F6738A">
        <w:t> ».</w:t>
      </w:r>
    </w:p>
    <w:p w:rsidR="00F6738A" w:rsidRDefault="00F6738A">
      <w:pPr>
        <w:pStyle w:val="Corpsdetexte"/>
      </w:pPr>
      <w:r>
        <w:t xml:space="preserve">Au point </w:t>
      </w:r>
      <w:proofErr w:type="gramStart"/>
      <w:r>
        <w:t>II  :</w:t>
      </w:r>
      <w:proofErr w:type="gramEnd"/>
    </w:p>
    <w:p w:rsidR="00F6738A" w:rsidRDefault="00F6738A" w:rsidP="00B26CA9">
      <w:pPr>
        <w:pStyle w:val="Corpsdetexte"/>
        <w:numPr>
          <w:ilvl w:val="0"/>
          <w:numId w:val="2"/>
        </w:numPr>
      </w:pPr>
      <w:r>
        <w:t>Au premier tiret, les mots</w:t>
      </w:r>
      <w:r w:rsidR="007D136D">
        <w:t> :</w:t>
      </w:r>
      <w:r>
        <w:t xml:space="preserve"> « le dépôt du </w:t>
      </w:r>
      <w:proofErr w:type="gramStart"/>
      <w:r>
        <w:t>dossier»</w:t>
      </w:r>
      <w:proofErr w:type="gramEnd"/>
      <w:r>
        <w:t xml:space="preserve"> sont remplacées par</w:t>
      </w:r>
      <w:r w:rsidR="00DC1FED">
        <w:t xml:space="preserve"> les mots :</w:t>
      </w:r>
      <w:r>
        <w:t xml:space="preserve"> « le dépôt d’un dossier».</w:t>
      </w:r>
    </w:p>
    <w:p w:rsidR="00F6738A" w:rsidRDefault="00F6738A" w:rsidP="00B26CA9">
      <w:pPr>
        <w:pStyle w:val="Corpsdetexte"/>
        <w:numPr>
          <w:ilvl w:val="0"/>
          <w:numId w:val="2"/>
        </w:numPr>
      </w:pPr>
      <w:r>
        <w:t>Au deuxième tiret, les mots</w:t>
      </w:r>
      <w:r w:rsidR="007D136D">
        <w:t xml:space="preserve"> : </w:t>
      </w:r>
      <w:r>
        <w:t>« </w:t>
      </w:r>
      <w:r w:rsidRPr="00F6738A">
        <w:t>en application du II de l'article R. 181-46 du code de l'environnement</w:t>
      </w:r>
      <w:r>
        <w:t xml:space="preserve"> » sont remplacés par </w:t>
      </w:r>
      <w:r w:rsidR="00DC1FED">
        <w:t xml:space="preserve">les mots : </w:t>
      </w:r>
      <w:r>
        <w:t>« </w:t>
      </w:r>
      <w:r w:rsidRPr="00F6738A">
        <w:t>pour le renouvellement de l’installation</w:t>
      </w:r>
      <w:r>
        <w:t> ».</w:t>
      </w:r>
    </w:p>
    <w:p w:rsidR="00F6738A" w:rsidRDefault="00F6738A" w:rsidP="00B26CA9">
      <w:pPr>
        <w:pStyle w:val="Corpsdetexte"/>
        <w:numPr>
          <w:ilvl w:val="0"/>
          <w:numId w:val="2"/>
        </w:numPr>
      </w:pPr>
      <w:r>
        <w:t>Au troisième tiret, les mots</w:t>
      </w:r>
      <w:r w:rsidR="007D136D">
        <w:t xml:space="preserve"> : </w:t>
      </w:r>
      <w:r>
        <w:t>« </w:t>
      </w:r>
      <w:r w:rsidRPr="00F6738A">
        <w:t>y compris, le cas échéant, pour le renouvellement de l’installation</w:t>
      </w:r>
      <w:r>
        <w:t> »</w:t>
      </w:r>
      <w:r w:rsidR="00DC1FED">
        <w:t xml:space="preserve"> sont insérés</w:t>
      </w:r>
      <w:r>
        <w:t xml:space="preserve"> après </w:t>
      </w:r>
      <w:r w:rsidR="00DC1FED">
        <w:t xml:space="preserve">le mot : </w:t>
      </w:r>
      <w:r>
        <w:t>« </w:t>
      </w:r>
      <w:r w:rsidRPr="00F6738A">
        <w:t>aérogénérateurs</w:t>
      </w:r>
      <w:r>
        <w:t> ».</w:t>
      </w:r>
    </w:p>
    <w:p w:rsidR="00F6738A" w:rsidRDefault="00F6738A" w:rsidP="00B26CA9">
      <w:pPr>
        <w:pStyle w:val="Corpsdetexte"/>
        <w:numPr>
          <w:ilvl w:val="0"/>
          <w:numId w:val="2"/>
        </w:numPr>
      </w:pPr>
      <w:r>
        <w:t>Au cinquième tiret, les mots</w:t>
      </w:r>
      <w:r w:rsidR="007D136D">
        <w:t xml:space="preserve"> : </w:t>
      </w:r>
      <w:r>
        <w:t>« d’un aérogénérateur</w:t>
      </w:r>
      <w:proofErr w:type="gramStart"/>
      <w:r>
        <w:t>.»</w:t>
      </w:r>
      <w:proofErr w:type="gramEnd"/>
      <w:r>
        <w:t xml:space="preserve"> sont remplacés </w:t>
      </w:r>
      <w:proofErr w:type="spellStart"/>
      <w:r>
        <w:t>par</w:t>
      </w:r>
      <w:r w:rsidR="00DC1FED">
        <w:t>les</w:t>
      </w:r>
      <w:proofErr w:type="spellEnd"/>
      <w:r w:rsidR="00DC1FED">
        <w:t xml:space="preserve"> mots</w:t>
      </w:r>
      <w:r w:rsidR="007D136D">
        <w:t xml:space="preserve"> : </w:t>
      </w:r>
      <w:r>
        <w:t>« de l’installation ; ».</w:t>
      </w:r>
    </w:p>
    <w:p w:rsidR="00F6738A" w:rsidRDefault="00F6738A" w:rsidP="00B26CA9">
      <w:pPr>
        <w:pStyle w:val="Corpsdetexte"/>
        <w:numPr>
          <w:ilvl w:val="0"/>
          <w:numId w:val="2"/>
        </w:numPr>
      </w:pPr>
      <w:r>
        <w:t>Avant le dernier alinéa, il est ajouté l’alinéa suivant :</w:t>
      </w:r>
    </w:p>
    <w:p w:rsidR="00F6738A" w:rsidRDefault="00F6738A" w:rsidP="00F6738A">
      <w:pPr>
        <w:pStyle w:val="Corpsdetexte"/>
      </w:pPr>
      <w:r>
        <w:t xml:space="preserve">« - </w:t>
      </w:r>
      <w:r w:rsidRPr="00F6738A">
        <w:t>la scission d’un parc éolien en plusieurs parcs.</w:t>
      </w:r>
      <w:r>
        <w:t> »</w:t>
      </w:r>
    </w:p>
    <w:p w:rsidR="00F6738A" w:rsidRDefault="00F6738A">
      <w:pPr>
        <w:pStyle w:val="Corpsdetexte"/>
      </w:pPr>
    </w:p>
    <w:p w:rsidR="00030614" w:rsidRDefault="00030614">
      <w:pPr>
        <w:pStyle w:val="Corpsdetexte"/>
      </w:pPr>
    </w:p>
    <w:p w:rsidR="00030614" w:rsidRDefault="00DD4334">
      <w:pPr>
        <w:pStyle w:val="Sous-titre"/>
        <w:rPr>
          <w:bCs/>
        </w:rPr>
      </w:pPr>
      <w:r>
        <w:rPr>
          <w:bCs/>
        </w:rPr>
        <w:t xml:space="preserve">Article </w:t>
      </w:r>
      <w:r w:rsidR="00B82F36">
        <w:rPr>
          <w:bCs/>
        </w:rPr>
        <w:t>5</w:t>
      </w:r>
    </w:p>
    <w:p w:rsidR="00CC5211" w:rsidRDefault="00DC1FED">
      <w:pPr>
        <w:pStyle w:val="Corpsdetexte"/>
      </w:pPr>
      <w:r>
        <w:t>L</w:t>
      </w:r>
      <w:r w:rsidR="006916BC">
        <w:t>e I de l</w:t>
      </w:r>
      <w:r w:rsidR="00DD4334">
        <w:t xml:space="preserve">’article </w:t>
      </w:r>
      <w:r w:rsidR="00CC5211">
        <w:t>2.3</w:t>
      </w:r>
      <w:r w:rsidR="007B6795" w:rsidRPr="007B6795">
        <w:t xml:space="preserve"> </w:t>
      </w:r>
      <w:r>
        <w:t xml:space="preserve">est </w:t>
      </w:r>
      <w:r w:rsidR="006916BC">
        <w:t>remplacé par</w:t>
      </w:r>
      <w:r w:rsidR="00CC5211">
        <w:t> :</w:t>
      </w:r>
    </w:p>
    <w:p w:rsidR="006916BC" w:rsidRDefault="006916BC" w:rsidP="006916BC">
      <w:pPr>
        <w:pStyle w:val="Corpsdetexte"/>
      </w:pPr>
      <w:proofErr w:type="gramStart"/>
      <w:r>
        <w:t>«  I.</w:t>
      </w:r>
      <w:proofErr w:type="gramEnd"/>
      <w:r>
        <w:t xml:space="preserve"> - L'exploitant tient à la disposition de l'inspection des installations classées le registre de maintenance, le manuel d’entretien, les consignes et tous rapports ou justificatifs visés par le présent arrêté, le cas échéant en version dématérialisée. Tous les documents établis à compter du 1er juillet 2020 sont disponibles dans leur version française. </w:t>
      </w:r>
    </w:p>
    <w:p w:rsidR="006916BC" w:rsidRDefault="006916BC" w:rsidP="006916BC">
      <w:pPr>
        <w:pStyle w:val="Corpsdetexte"/>
      </w:pPr>
      <w:r>
        <w:t>Les documents attestant de la conformité de l’installation avant sa mise en service ainsi que les rapports de contrôles et de maintenance établis avant le 30 juin 2020 peuvent ne pas être disponibles dans leur version française.</w:t>
      </w:r>
    </w:p>
    <w:p w:rsidR="00CC5211" w:rsidRDefault="006916BC" w:rsidP="006916BC">
      <w:pPr>
        <w:pStyle w:val="Corpsdetexte"/>
      </w:pPr>
      <w:r>
        <w:t>Les autres documents établis avant le 30 juin 2020 doivent être disponibles en version française à compter du 1er juillet 2022</w:t>
      </w:r>
      <w:proofErr w:type="gramStart"/>
      <w:r>
        <w:t>.</w:t>
      </w:r>
      <w:r w:rsidR="00CC5211">
        <w:t>»</w:t>
      </w:r>
      <w:proofErr w:type="gramEnd"/>
    </w:p>
    <w:p w:rsidR="00030614" w:rsidRDefault="00CC5211">
      <w:pPr>
        <w:pStyle w:val="Corpsdetexte"/>
      </w:pPr>
      <w:r>
        <w:t xml:space="preserve"> </w:t>
      </w:r>
    </w:p>
    <w:p w:rsidR="00030614" w:rsidRDefault="00DD4334">
      <w:pPr>
        <w:pStyle w:val="Sous-titre"/>
        <w:rPr>
          <w:bCs/>
        </w:rPr>
      </w:pPr>
      <w:r>
        <w:rPr>
          <w:bCs/>
        </w:rPr>
        <w:t xml:space="preserve">Article </w:t>
      </w:r>
      <w:r w:rsidR="00B82F36">
        <w:rPr>
          <w:bCs/>
        </w:rPr>
        <w:t>6</w:t>
      </w:r>
    </w:p>
    <w:p w:rsidR="00030614" w:rsidRDefault="0035282B">
      <w:pPr>
        <w:pStyle w:val="Corpsdetexte"/>
      </w:pPr>
      <w:r>
        <w:t xml:space="preserve">A la fin de l’article 3, il est </w:t>
      </w:r>
      <w:r w:rsidR="00DC1FED">
        <w:t xml:space="preserve">ajouté </w:t>
      </w:r>
      <w:r>
        <w:t xml:space="preserve">un nouvel alinéa </w:t>
      </w:r>
      <w:r w:rsidR="00DD4334">
        <w:t>:</w:t>
      </w:r>
    </w:p>
    <w:p w:rsidR="00030614" w:rsidRDefault="0035282B">
      <w:pPr>
        <w:pStyle w:val="Corpsdetexte"/>
      </w:pPr>
      <w:r>
        <w:t>« </w:t>
      </w:r>
      <w:r w:rsidRPr="0035282B">
        <w:t xml:space="preserve">III. - Lors d’un renouvellement, lorsque les distances d’éloignement </w:t>
      </w:r>
      <w:r w:rsidR="00F86697" w:rsidRPr="00F86697">
        <w:t>au moment du dépôt du porter à connaissance</w:t>
      </w:r>
      <w:r w:rsidRPr="0035282B">
        <w:t xml:space="preserve"> sont inférieures à celles mentionnées par l’article L. 515-44 du code de l’environnement, ces distances ne peuvent en aucun cas être diminuées.</w:t>
      </w:r>
      <w:r>
        <w:t> »</w:t>
      </w:r>
    </w:p>
    <w:p w:rsidR="00030614" w:rsidRDefault="00DD4334">
      <w:pPr>
        <w:pStyle w:val="Sous-titre"/>
        <w:ind w:left="-79"/>
        <w:rPr>
          <w:bCs/>
        </w:rPr>
      </w:pPr>
      <w:r>
        <w:rPr>
          <w:bCs/>
        </w:rPr>
        <w:t xml:space="preserve">Article </w:t>
      </w:r>
      <w:r w:rsidR="00B82F36">
        <w:rPr>
          <w:bCs/>
        </w:rPr>
        <w:t>7</w:t>
      </w:r>
    </w:p>
    <w:p w:rsidR="00265552" w:rsidRDefault="00265552">
      <w:pPr>
        <w:pStyle w:val="Corpsdetexte"/>
      </w:pPr>
      <w:r>
        <w:lastRenderedPageBreak/>
        <w:t>Les cinq premiers alinéas du point II de l’article 4.1 sont remplacés par :</w:t>
      </w:r>
    </w:p>
    <w:p w:rsidR="00265552" w:rsidRDefault="00265552" w:rsidP="00265552">
      <w:pPr>
        <w:pStyle w:val="Corpsdetexte"/>
      </w:pPr>
      <w:proofErr w:type="gramStart"/>
      <w:r>
        <w:t>«  II.</w:t>
      </w:r>
      <w:proofErr w:type="gramEnd"/>
      <w:r>
        <w:t>- L'étude des impacts cumulés, prévue par le point 12° d de l'article D. 181-15-2 du code de l'environnement, justifie du respect :</w:t>
      </w:r>
    </w:p>
    <w:p w:rsidR="00265552" w:rsidRDefault="00265552" w:rsidP="00265552">
      <w:pPr>
        <w:pStyle w:val="Corpsdetexte"/>
      </w:pPr>
      <w:r>
        <w:t>- d'une occultation maximale, à tout moment, de 10 % de la surface du faisceau radar par un ou plusieurs aérogénérateurs ;</w:t>
      </w:r>
    </w:p>
    <w:p w:rsidR="00265552" w:rsidRDefault="00265552" w:rsidP="00265552">
      <w:pPr>
        <w:pStyle w:val="Corpsdetexte"/>
      </w:pPr>
      <w:r>
        <w:t>- d'une longueur maximale de 10 km de la zone d'impact de l’installation ;</w:t>
      </w:r>
    </w:p>
    <w:p w:rsidR="00265552" w:rsidRDefault="00265552" w:rsidP="00265552">
      <w:pPr>
        <w:pStyle w:val="Corpsdetexte"/>
      </w:pPr>
      <w:r>
        <w:t>- d'une inter-distance minimale de 10 km entre la zone d’impact de l’installation et les zones d'impacts des autres parcs;</w:t>
      </w:r>
    </w:p>
    <w:p w:rsidR="00265552" w:rsidRDefault="00265552" w:rsidP="00265552">
      <w:pPr>
        <w:pStyle w:val="Corpsdetexte"/>
      </w:pPr>
      <w:r>
        <w:t xml:space="preserve">- d'une inter-distance minimale de 10 km entre la zone d'impact de l’installation et les sites sensibles constitués des installations nucléaires de base et des installations mentionnées à </w:t>
      </w:r>
      <w:proofErr w:type="gramStart"/>
      <w:r>
        <w:t>l' article</w:t>
      </w:r>
      <w:proofErr w:type="gramEnd"/>
      <w:r>
        <w:t xml:space="preserve"> L. 515-8 du code de l'environnement jusqu'au 31 mai 2015 ou à l' article L. 515-36 du code de l'environnement à partir du 1er juin 2015.</w:t>
      </w:r>
    </w:p>
    <w:p w:rsidR="00265552" w:rsidRDefault="00265552" w:rsidP="00265552">
      <w:pPr>
        <w:pStyle w:val="Corpsdetexte"/>
      </w:pPr>
      <w:r>
        <w:t>Dans le cas où l’étude des impacts cumulés montre que la zone d’impact globale n’est pas modifiée, le respect du seul critère d’occultation maximale mentionné ci-dessus est suffisant. »</w:t>
      </w:r>
    </w:p>
    <w:p w:rsidR="00265552" w:rsidRDefault="00265552">
      <w:pPr>
        <w:pStyle w:val="Corpsdetexte"/>
      </w:pPr>
    </w:p>
    <w:p w:rsidR="00030614" w:rsidRDefault="00DD4334">
      <w:pPr>
        <w:pStyle w:val="Corpsdetexte"/>
      </w:pPr>
      <w:r>
        <w:t>L</w:t>
      </w:r>
      <w:r w:rsidR="00F57E29">
        <w:t>e point V de l</w:t>
      </w:r>
      <w:r>
        <w:t xml:space="preserve">’article </w:t>
      </w:r>
      <w:r w:rsidR="00F57E29">
        <w:t>4.1</w:t>
      </w:r>
      <w:r w:rsidR="007B6795">
        <w:t xml:space="preserve"> </w:t>
      </w:r>
      <w:r>
        <w:t>est remplacé par </w:t>
      </w:r>
      <w:r w:rsidR="00DC1FED">
        <w:t xml:space="preserve">les dispositions suivantes </w:t>
      </w:r>
      <w:r>
        <w:t>:</w:t>
      </w:r>
    </w:p>
    <w:p w:rsidR="000F5578" w:rsidRDefault="00DD4334" w:rsidP="000F5578">
      <w:pPr>
        <w:pStyle w:val="Corpsdetexte"/>
      </w:pPr>
      <w:r>
        <w:t>« </w:t>
      </w:r>
      <w:r w:rsidR="000F5578">
        <w:t>V.-  Un projet faisant l’objet d’un renouvellement, autre qu’un renouvellement à l'identique</w:t>
      </w:r>
      <w:r w:rsidR="00E10FC9">
        <w:t>,</w:t>
      </w:r>
      <w:r w:rsidR="000F5578">
        <w:t xml:space="preserve"> vérifie l’une des conditions suivantes: </w:t>
      </w:r>
    </w:p>
    <w:p w:rsidR="000F5578" w:rsidRDefault="000F5578" w:rsidP="000F5578">
      <w:pPr>
        <w:pStyle w:val="Corpsdetexte"/>
      </w:pPr>
      <w:r>
        <w:t xml:space="preserve">- le projet justifie du respect des quatre critères définis au premier alinéa de l’article 4.1.II, ou n'augmente pas les risques de perturbations des radars météorologiques du ou des critères qui ne sont pas respectés dans la situation </w:t>
      </w:r>
      <w:proofErr w:type="spellStart"/>
      <w:r>
        <w:t>pré-existante</w:t>
      </w:r>
      <w:proofErr w:type="spellEnd"/>
      <w:r>
        <w:t>.</w:t>
      </w:r>
    </w:p>
    <w:p w:rsidR="000F5578" w:rsidRDefault="000F5578" w:rsidP="000F5578">
      <w:pPr>
        <w:pStyle w:val="Corpsdetexte"/>
      </w:pPr>
      <w:r>
        <w:t xml:space="preserve">- le projet ne modifie pas la zone d’impact globale et satisfait au critère d’occultation défini au premier alinéa de l’article 4.1.II, ou n'augmente pas les risques de perturbations des radars météorologiques de ce critère s'il n'est pas respecté dans la situation </w:t>
      </w:r>
      <w:proofErr w:type="spellStart"/>
      <w:r>
        <w:t>pré-existante</w:t>
      </w:r>
      <w:proofErr w:type="spellEnd"/>
      <w:r>
        <w:t>.</w:t>
      </w:r>
    </w:p>
    <w:p w:rsidR="00030614" w:rsidRDefault="000F5578" w:rsidP="000F5578">
      <w:pPr>
        <w:pStyle w:val="Corpsdetexte"/>
      </w:pPr>
      <w:r>
        <w:t>Dans ces deux cas, les éléments portés à la connaissance du préfet en application du II de l'article R. 181-46 du code de l'environnement contiennent une étude comparant les impacts avant et après modification.</w:t>
      </w:r>
      <w:r w:rsidR="00F57E29">
        <w:t> »</w:t>
      </w:r>
    </w:p>
    <w:p w:rsidR="00030614" w:rsidRDefault="00DD4334">
      <w:pPr>
        <w:pStyle w:val="Sous-titre"/>
        <w:ind w:left="-79"/>
        <w:rPr>
          <w:bCs/>
        </w:rPr>
      </w:pPr>
      <w:r>
        <w:rPr>
          <w:bCs/>
        </w:rPr>
        <w:t xml:space="preserve">Article </w:t>
      </w:r>
      <w:r w:rsidR="00B82F36">
        <w:rPr>
          <w:bCs/>
        </w:rPr>
        <w:t>8</w:t>
      </w:r>
    </w:p>
    <w:p w:rsidR="00030614" w:rsidRDefault="00937319">
      <w:pPr>
        <w:pStyle w:val="Corpsdetexte"/>
      </w:pPr>
      <w:r>
        <w:t>L</w:t>
      </w:r>
      <w:r w:rsidR="006846ED">
        <w:t>’article 8 </w:t>
      </w:r>
      <w:r w:rsidR="00B82F36">
        <w:t>est ainsi modifié</w:t>
      </w:r>
      <w:r w:rsidR="00DD4334">
        <w:t> :</w:t>
      </w:r>
    </w:p>
    <w:p w:rsidR="006846ED" w:rsidRDefault="006846ED" w:rsidP="00B26CA9">
      <w:pPr>
        <w:pStyle w:val="Corpsdetexte"/>
        <w:numPr>
          <w:ilvl w:val="0"/>
          <w:numId w:val="2"/>
        </w:numPr>
      </w:pPr>
      <w:r>
        <w:t>Au premier alinéa, après les mots</w:t>
      </w:r>
      <w:r w:rsidR="00B82F36">
        <w:t xml:space="preserve"> : </w:t>
      </w:r>
      <w:r>
        <w:t>« </w:t>
      </w:r>
      <w:r w:rsidRPr="006846ED">
        <w:t>du code de l'environnement, ou</w:t>
      </w:r>
      <w:r>
        <w:t xml:space="preserve"> », </w:t>
      </w:r>
      <w:r w:rsidR="00B82F36">
        <w:t>sont</w:t>
      </w:r>
      <w:r>
        <w:t xml:space="preserve"> inséré</w:t>
      </w:r>
      <w:r w:rsidR="00B82F36">
        <w:t>s</w:t>
      </w:r>
      <w:r>
        <w:t xml:space="preserve"> les mots </w:t>
      </w:r>
      <w:proofErr w:type="gramStart"/>
      <w:r>
        <w:t>« </w:t>
      </w:r>
      <w:r w:rsidRPr="006846ED">
        <w:t>,</w:t>
      </w:r>
      <w:proofErr w:type="gramEnd"/>
      <w:r w:rsidRPr="006846ED">
        <w:t xml:space="preserve"> pour un projet de renouvellement, dans sa version en vigueur à la date du dépôt d'un porter à connaissance auprès du préfet, ou le</w:t>
      </w:r>
      <w:r>
        <w:t xml:space="preserve"> respect de ».</w:t>
      </w:r>
    </w:p>
    <w:p w:rsidR="006846ED" w:rsidRDefault="006846ED" w:rsidP="00B26CA9">
      <w:pPr>
        <w:pStyle w:val="Corpsdetexte"/>
        <w:numPr>
          <w:ilvl w:val="0"/>
          <w:numId w:val="2"/>
        </w:numPr>
      </w:pPr>
      <w:r>
        <w:t>Au deuxième alinéa, les mots</w:t>
      </w:r>
      <w:r w:rsidR="00B82F36">
        <w:t> </w:t>
      </w:r>
      <w:proofErr w:type="gramStart"/>
      <w:r w:rsidR="00B82F36">
        <w:t xml:space="preserve">: </w:t>
      </w:r>
      <w:r>
        <w:t xml:space="preserve"> «</w:t>
      </w:r>
      <w:proofErr w:type="gramEnd"/>
      <w:r>
        <w:t> l</w:t>
      </w:r>
      <w:r w:rsidRPr="006846ED">
        <w:t>eur mise en service industrielle</w:t>
      </w:r>
      <w:r>
        <w:t> » sont remplacés par les mots</w:t>
      </w:r>
      <w:r w:rsidR="00B82F36">
        <w:t> :</w:t>
      </w:r>
      <w:r>
        <w:t xml:space="preserve"> « </w:t>
      </w:r>
      <w:r w:rsidRPr="006846ED">
        <w:t>la mise en service industrielle de l’installation</w:t>
      </w:r>
      <w:r>
        <w:t> ».</w:t>
      </w:r>
    </w:p>
    <w:p w:rsidR="006846ED" w:rsidRPr="006846ED" w:rsidRDefault="006846ED" w:rsidP="00701A3F">
      <w:pPr>
        <w:pStyle w:val="Paragraphedeliste"/>
        <w:numPr>
          <w:ilvl w:val="0"/>
          <w:numId w:val="2"/>
        </w:numPr>
      </w:pPr>
      <w:r w:rsidRPr="006846ED">
        <w:t xml:space="preserve">Au </w:t>
      </w:r>
      <w:r>
        <w:t>dernier</w:t>
      </w:r>
      <w:r w:rsidRPr="006846ED">
        <w:t xml:space="preserve"> alinéa, les mots</w:t>
      </w:r>
      <w:r w:rsidR="00B82F36">
        <w:t> :</w:t>
      </w:r>
      <w:r w:rsidRPr="006846ED">
        <w:t xml:space="preserve"> « est conforme aux dispositions </w:t>
      </w:r>
      <w:r w:rsidR="00701A3F" w:rsidRPr="00701A3F">
        <w:t>de l'article R. 111-38 du code de la construction et de l'habitation</w:t>
      </w:r>
      <w:r>
        <w:t xml:space="preserve"> </w:t>
      </w:r>
      <w:r w:rsidRPr="006846ED">
        <w:t>» sont remplacés par les mots</w:t>
      </w:r>
      <w:r w:rsidR="00B82F36">
        <w:t xml:space="preserve"> : </w:t>
      </w:r>
      <w:r w:rsidRPr="006846ED">
        <w:t xml:space="preserve">« a fait l’objet du contrôle prévu </w:t>
      </w:r>
      <w:r w:rsidR="00701A3F" w:rsidRPr="00701A3F">
        <w:t>à l'article R. 125-17 du code de la construction et de l'habitation</w:t>
      </w:r>
      <w:r>
        <w:t xml:space="preserve"> </w:t>
      </w:r>
      <w:r w:rsidRPr="006846ED">
        <w:t>».</w:t>
      </w:r>
    </w:p>
    <w:p w:rsidR="00030614" w:rsidRDefault="00030614" w:rsidP="009B2306">
      <w:pPr>
        <w:pStyle w:val="Corpsdetexte"/>
      </w:pPr>
    </w:p>
    <w:p w:rsidR="00030614" w:rsidRDefault="00030614">
      <w:pPr>
        <w:pStyle w:val="Corpsdetexte"/>
      </w:pPr>
    </w:p>
    <w:p w:rsidR="00030614" w:rsidRDefault="00DD4334">
      <w:pPr>
        <w:pStyle w:val="Sous-titre"/>
        <w:ind w:left="-79"/>
        <w:rPr>
          <w:bCs/>
        </w:rPr>
      </w:pPr>
      <w:r>
        <w:rPr>
          <w:bCs/>
        </w:rPr>
        <w:t xml:space="preserve">Article </w:t>
      </w:r>
      <w:r w:rsidR="00B82F36">
        <w:rPr>
          <w:bCs/>
        </w:rPr>
        <w:t>9</w:t>
      </w:r>
    </w:p>
    <w:p w:rsidR="00894E27" w:rsidRDefault="00894E27">
      <w:pPr>
        <w:pStyle w:val="Corpsdetexte"/>
      </w:pPr>
      <w:r>
        <w:t>L</w:t>
      </w:r>
      <w:r w:rsidR="00F55A73">
        <w:t>’article 9</w:t>
      </w:r>
      <w:r>
        <w:t xml:space="preserve"> est ainsi modifié :</w:t>
      </w:r>
    </w:p>
    <w:p w:rsidR="00894E27" w:rsidRDefault="00894E27" w:rsidP="00894E27">
      <w:pPr>
        <w:pStyle w:val="Corpsdetexte"/>
        <w:numPr>
          <w:ilvl w:val="0"/>
          <w:numId w:val="2"/>
        </w:numPr>
      </w:pPr>
      <w:r>
        <w:t xml:space="preserve">Au premier alinéa, les mots : « NF EN » sont insérés avant les mots : « </w:t>
      </w:r>
      <w:r w:rsidRPr="00DA28FD">
        <w:t>IEC 61 400-24</w:t>
      </w:r>
      <w:r>
        <w:t> ».</w:t>
      </w:r>
    </w:p>
    <w:p w:rsidR="00F55A73" w:rsidRDefault="00894E27" w:rsidP="00894E27">
      <w:pPr>
        <w:pStyle w:val="Corpsdetexte"/>
        <w:numPr>
          <w:ilvl w:val="0"/>
          <w:numId w:val="2"/>
        </w:numPr>
      </w:pPr>
      <w:r>
        <w:t>Au premier alinéa</w:t>
      </w:r>
      <w:r w:rsidR="00F55A73">
        <w:t xml:space="preserve">, </w:t>
      </w:r>
      <w:r w:rsidR="00B82F36">
        <w:t>après les mots : « </w:t>
      </w:r>
      <w:r w:rsidR="00B82F36" w:rsidRPr="00F55A73">
        <w:t>du code de l'environnement,</w:t>
      </w:r>
      <w:r w:rsidR="00B82F36">
        <w:t xml:space="preserve"> » sont insérés </w:t>
      </w:r>
      <w:r w:rsidR="00F55A73">
        <w:t>les mots</w:t>
      </w:r>
      <w:r w:rsidR="00B82F36">
        <w:t xml:space="preserve"> : </w:t>
      </w:r>
      <w:r w:rsidR="00F55A73">
        <w:t>« </w:t>
      </w:r>
      <w:r w:rsidR="00F55A73" w:rsidRPr="00F55A73">
        <w:t>ou, pour un projet de renouvellement, dans sa version en vigueur à la date du dépôt d’un porter à connaissance auprès du préfet</w:t>
      </w:r>
      <w:r>
        <w:t> ».</w:t>
      </w:r>
    </w:p>
    <w:p w:rsidR="00894E27" w:rsidRDefault="00894E27" w:rsidP="00894E27">
      <w:pPr>
        <w:pStyle w:val="Corpsdetexte"/>
        <w:numPr>
          <w:ilvl w:val="0"/>
          <w:numId w:val="2"/>
        </w:numPr>
      </w:pPr>
      <w:r>
        <w:t>A la fin du deuxième alinéa sont ajoutés les mots : « </w:t>
      </w:r>
      <w:r w:rsidRPr="00894E27">
        <w:t>Des contrôles périodiques sont effectués pour vérifier la pérennité de la mise à la terre.</w:t>
      </w:r>
      <w:r>
        <w:t> »</w:t>
      </w:r>
    </w:p>
    <w:p w:rsidR="00B82F36" w:rsidRDefault="00B82F36">
      <w:pPr>
        <w:pStyle w:val="Corpsdetexte"/>
      </w:pPr>
    </w:p>
    <w:p w:rsidR="00B82F36" w:rsidRDefault="00B82F36" w:rsidP="00B82F36">
      <w:pPr>
        <w:pStyle w:val="Sous-titre"/>
        <w:ind w:left="-79"/>
        <w:rPr>
          <w:bCs/>
        </w:rPr>
      </w:pPr>
      <w:r>
        <w:rPr>
          <w:bCs/>
        </w:rPr>
        <w:t>Article 10</w:t>
      </w:r>
    </w:p>
    <w:p w:rsidR="00B82F36" w:rsidRDefault="00B82F36">
      <w:pPr>
        <w:pStyle w:val="Corpsdetexte"/>
      </w:pPr>
    </w:p>
    <w:p w:rsidR="00EB03C6" w:rsidRDefault="00EB03C6">
      <w:pPr>
        <w:jc w:val="both"/>
      </w:pPr>
      <w:r>
        <w:t>L</w:t>
      </w:r>
      <w:r w:rsidR="00F55A73" w:rsidRPr="00F55A73">
        <w:t xml:space="preserve">’article </w:t>
      </w:r>
      <w:r w:rsidR="00F55A73">
        <w:t>10</w:t>
      </w:r>
      <w:r>
        <w:t xml:space="preserve"> est ainsi modifié :</w:t>
      </w:r>
    </w:p>
    <w:p w:rsidR="00EB03C6" w:rsidRDefault="00EB03C6">
      <w:pPr>
        <w:jc w:val="both"/>
      </w:pPr>
      <w:r>
        <w:t>- Au premier alinéa, le mot : « électriques » est remplacé par : les mots : « </w:t>
      </w:r>
      <w:r w:rsidRPr="00EB03C6">
        <w:t>d’incendie et d’explosion d’origine électrique</w:t>
      </w:r>
      <w:r>
        <w:t> ».</w:t>
      </w:r>
    </w:p>
    <w:p w:rsidR="00EB03C6" w:rsidRDefault="00EB03C6">
      <w:pPr>
        <w:jc w:val="both"/>
      </w:pPr>
      <w:r>
        <w:t>- Les mots : « </w:t>
      </w:r>
      <w:r w:rsidRPr="00EB03C6">
        <w:t>pour les installations électriques extérieures</w:t>
      </w:r>
      <w:r>
        <w:t> </w:t>
      </w:r>
      <w:r w:rsidRPr="00EB03C6">
        <w:t>à l'aérogénérateur, le respect des normes</w:t>
      </w:r>
      <w:r>
        <w:t xml:space="preserve"> » sont remplacés par les mots : « </w:t>
      </w:r>
      <w:r w:rsidRPr="00EB03C6">
        <w:t>pour les installations électriques non visées par la directive du 17 mai 2006, notamment les installations extérieures</w:t>
      </w:r>
      <w:r>
        <w:t> </w:t>
      </w:r>
      <w:r w:rsidRPr="00EB03C6">
        <w:t xml:space="preserve">à l'aérogénérateur, le respect des dispositions des </w:t>
      </w:r>
      <w:proofErr w:type="gramStart"/>
      <w:r w:rsidRPr="00EB03C6">
        <w:t>normes</w:t>
      </w:r>
      <w:r>
        <w:t>»</w:t>
      </w:r>
      <w:proofErr w:type="gramEnd"/>
    </w:p>
    <w:p w:rsidR="00F55A73" w:rsidRDefault="00EB03C6">
      <w:pPr>
        <w:jc w:val="both"/>
      </w:pPr>
      <w:r>
        <w:t>-</w:t>
      </w:r>
      <w:r w:rsidR="00F55A73" w:rsidRPr="00F55A73">
        <w:t xml:space="preserve"> </w:t>
      </w:r>
      <w:r>
        <w:t>A</w:t>
      </w:r>
      <w:r w:rsidR="00B82F36">
        <w:t>près les mots : « </w:t>
      </w:r>
      <w:r w:rsidR="00B82F36" w:rsidRPr="00F55A73">
        <w:t>du code de l'environnement,</w:t>
      </w:r>
      <w:r w:rsidR="00B82F36">
        <w:t> » sont insérés</w:t>
      </w:r>
      <w:r w:rsidR="00B82F36" w:rsidRPr="00F55A73">
        <w:t xml:space="preserve"> </w:t>
      </w:r>
      <w:r w:rsidR="00F55A73" w:rsidRPr="00F55A73">
        <w:t xml:space="preserve">les mots « ou, pour un projet de renouvellement, dans sa version en vigueur à la date du dépôt d’un porter à connaissance auprès du préfet ». </w:t>
      </w:r>
    </w:p>
    <w:p w:rsidR="00EB03C6" w:rsidRDefault="00EB03C6">
      <w:pPr>
        <w:jc w:val="both"/>
      </w:pPr>
      <w:r>
        <w:t>- Le dernier alinéa est remplacé par les mots : « </w:t>
      </w:r>
      <w:r w:rsidRPr="00EB03C6">
        <w:t>Un rapport de contrôle d'un organisme compétent atteste de la conformité de l’ensemble des installations électriques, avant la mise en service industrielle des aérogénérateurs.</w:t>
      </w:r>
      <w:r>
        <w:t> »</w:t>
      </w:r>
    </w:p>
    <w:p w:rsidR="00F55A73" w:rsidRDefault="00F55A73">
      <w:pPr>
        <w:jc w:val="both"/>
      </w:pPr>
    </w:p>
    <w:p w:rsidR="00030614" w:rsidRDefault="00DD4334">
      <w:pPr>
        <w:pStyle w:val="Sous-titre"/>
        <w:ind w:left="-79"/>
        <w:rPr>
          <w:bCs/>
        </w:rPr>
      </w:pPr>
      <w:r>
        <w:rPr>
          <w:bCs/>
        </w:rPr>
        <w:t xml:space="preserve">Article </w:t>
      </w:r>
      <w:r w:rsidR="00B82F36">
        <w:rPr>
          <w:bCs/>
        </w:rPr>
        <w:t>11</w:t>
      </w:r>
    </w:p>
    <w:p w:rsidR="00030614" w:rsidRDefault="00B82F36">
      <w:pPr>
        <w:pStyle w:val="Corpsdetexte"/>
      </w:pPr>
      <w:r>
        <w:t>L</w:t>
      </w:r>
      <w:r w:rsidR="005771C0">
        <w:t>’article 12</w:t>
      </w:r>
      <w:r w:rsidR="007B6795" w:rsidRPr="007B6795">
        <w:t xml:space="preserve"> </w:t>
      </w:r>
      <w:r>
        <w:t>est ainsi modifié</w:t>
      </w:r>
      <w:r w:rsidR="00DD4334">
        <w:t> :</w:t>
      </w:r>
    </w:p>
    <w:p w:rsidR="005771C0" w:rsidRDefault="005771C0" w:rsidP="00B26CA9">
      <w:pPr>
        <w:pStyle w:val="Corpsdetexte"/>
        <w:numPr>
          <w:ilvl w:val="0"/>
          <w:numId w:val="2"/>
        </w:numPr>
      </w:pPr>
      <w:r>
        <w:t>Au cinquième alinéa :</w:t>
      </w:r>
    </w:p>
    <w:p w:rsidR="005771C0" w:rsidRDefault="005771C0" w:rsidP="00B26CA9">
      <w:pPr>
        <w:pStyle w:val="Corpsdetexte"/>
        <w:numPr>
          <w:ilvl w:val="1"/>
          <w:numId w:val="2"/>
        </w:numPr>
      </w:pPr>
      <w:r>
        <w:t>Les mots</w:t>
      </w:r>
      <w:r w:rsidR="00B82F36">
        <w:t xml:space="preserve"> : </w:t>
      </w:r>
      <w:r>
        <w:t>« Dans le cas d’un » sont remplacés par</w:t>
      </w:r>
      <w:r w:rsidR="00B82F36">
        <w:t xml:space="preserve"> : </w:t>
      </w:r>
      <w:r>
        <w:t>« Pour un »</w:t>
      </w:r>
    </w:p>
    <w:p w:rsidR="005771C0" w:rsidRDefault="005771C0" w:rsidP="00B26CA9">
      <w:pPr>
        <w:pStyle w:val="Corpsdetexte"/>
        <w:numPr>
          <w:ilvl w:val="1"/>
          <w:numId w:val="2"/>
        </w:numPr>
      </w:pPr>
      <w:r>
        <w:t>Les mots</w:t>
      </w:r>
      <w:r w:rsidR="00B82F36">
        <w:t xml:space="preserve"> : </w:t>
      </w:r>
      <w:r>
        <w:t>« d’une installation existante, » et</w:t>
      </w:r>
      <w:r w:rsidR="00B82F36">
        <w:t xml:space="preserve"> les mots :</w:t>
      </w:r>
      <w:r>
        <w:t xml:space="preserve"> « </w:t>
      </w:r>
      <w:r w:rsidRPr="005771C0">
        <w:t>ou une extension au sens de l'article R. 181-46-I du code de l'environnement</w:t>
      </w:r>
      <w:r>
        <w:t> » sont supprimés.</w:t>
      </w:r>
    </w:p>
    <w:p w:rsidR="005771C0" w:rsidRDefault="005771C0" w:rsidP="00B26CA9">
      <w:pPr>
        <w:pStyle w:val="Corpsdetexte"/>
        <w:numPr>
          <w:ilvl w:val="1"/>
          <w:numId w:val="2"/>
        </w:numPr>
      </w:pPr>
      <w:r>
        <w:lastRenderedPageBreak/>
        <w:t xml:space="preserve">Il est inséré </w:t>
      </w:r>
      <w:r w:rsidR="00B82F36">
        <w:t xml:space="preserve">les mots : </w:t>
      </w:r>
      <w:r>
        <w:t>« le II de » avant les mots</w:t>
      </w:r>
      <w:r w:rsidR="00B82F36">
        <w:t xml:space="preserve"> : </w:t>
      </w:r>
      <w:r>
        <w:t>« </w:t>
      </w:r>
      <w:r w:rsidRPr="005771C0">
        <w:t>l'article R. 181-46</w:t>
      </w:r>
      <w:r>
        <w:t> ».</w:t>
      </w:r>
    </w:p>
    <w:p w:rsidR="00030614" w:rsidRDefault="00030614">
      <w:pPr>
        <w:pStyle w:val="SNArticle"/>
        <w:jc w:val="left"/>
        <w:rPr>
          <w:bCs/>
        </w:rPr>
      </w:pPr>
    </w:p>
    <w:p w:rsidR="00030614" w:rsidRDefault="00DD4334">
      <w:pPr>
        <w:pStyle w:val="Sous-titre"/>
        <w:ind w:left="-79"/>
        <w:rPr>
          <w:bCs/>
        </w:rPr>
      </w:pPr>
      <w:r>
        <w:rPr>
          <w:bCs/>
        </w:rPr>
        <w:t>Article 1</w:t>
      </w:r>
      <w:r w:rsidR="00BE07EA">
        <w:rPr>
          <w:bCs/>
        </w:rPr>
        <w:t>2</w:t>
      </w:r>
    </w:p>
    <w:p w:rsidR="00030614" w:rsidRDefault="00BE07EA">
      <w:pPr>
        <w:pStyle w:val="Corpsdetexte"/>
      </w:pPr>
      <w:r>
        <w:t>L</w:t>
      </w:r>
      <w:r w:rsidR="00A867D6">
        <w:t>’article 17</w:t>
      </w:r>
      <w:r w:rsidR="00DD4334">
        <w:t> </w:t>
      </w:r>
      <w:r>
        <w:t>est ainsi modifié</w:t>
      </w:r>
      <w:r w:rsidR="00DD4334">
        <w:t>:</w:t>
      </w:r>
    </w:p>
    <w:p w:rsidR="00A908E6" w:rsidRDefault="00BE07EA" w:rsidP="00B26CA9">
      <w:pPr>
        <w:pStyle w:val="Corpsdetexte"/>
        <w:numPr>
          <w:ilvl w:val="0"/>
          <w:numId w:val="2"/>
        </w:numPr>
      </w:pPr>
      <w:r>
        <w:t>Le premier alinéa</w:t>
      </w:r>
      <w:r w:rsidR="00A908E6">
        <w:t xml:space="preserve"> est remplacé par : « </w:t>
      </w:r>
      <w:r w:rsidR="00A908E6" w:rsidRPr="00A908E6">
        <w:t>Avant toute mise en service industrielle, l'exploitant réalise des essais sur chaque aérogénérateur permettant de s'assurer du bon fonctionnement de l'ensemble des équipements mobilisés pour mettre chaque aérogénérateur en sécurité.</w:t>
      </w:r>
      <w:r w:rsidR="00A908E6">
        <w:t> »</w:t>
      </w:r>
    </w:p>
    <w:p w:rsidR="00A908E6" w:rsidRDefault="00BE07EA" w:rsidP="00B26CA9">
      <w:pPr>
        <w:pStyle w:val="Corpsdetexte"/>
        <w:numPr>
          <w:ilvl w:val="0"/>
          <w:numId w:val="2"/>
        </w:numPr>
      </w:pPr>
      <w:r>
        <w:t>Aux troisième et quatrième alinéas, l</w:t>
      </w:r>
      <w:r w:rsidR="00A908E6">
        <w:t>es mots</w:t>
      </w:r>
      <w:r>
        <w:t xml:space="preserve"> : </w:t>
      </w:r>
      <w:r w:rsidR="00A908E6">
        <w:t>« Avant la mise en service industrielle des aérogénérateurs et des équipements connexes, les installations électriques visées à l'article 10 sont contrôlées par une personne compétente. Par ailleurs elles sont e</w:t>
      </w:r>
      <w:r w:rsidR="00EB03C6">
        <w:t>ntretenues, elles sont maintenu</w:t>
      </w:r>
      <w:r w:rsidR="000C3D1F">
        <w:t>e</w:t>
      </w:r>
      <w:r w:rsidR="00A908E6">
        <w:t>s en bon état et elles sont contrôlées » sont remplacés par</w:t>
      </w:r>
      <w:r>
        <w:t xml:space="preserve"> les mots</w:t>
      </w:r>
      <w:r w:rsidR="00A908E6">
        <w:t> : « </w:t>
      </w:r>
      <w:r w:rsidR="00A67876" w:rsidRPr="00A67876">
        <w:t xml:space="preserve">Les installations électriques intérieures et </w:t>
      </w:r>
      <w:r w:rsidR="00EB03C6">
        <w:t>les postes de livraison</w:t>
      </w:r>
      <w:r w:rsidR="000C3D1F">
        <w:t xml:space="preserve"> sont maintenus en bon état et sont contrôlés</w:t>
      </w:r>
      <w:r w:rsidR="00A67876" w:rsidRPr="00A67876">
        <w:t xml:space="preserve"> par un organisme compétent</w:t>
      </w:r>
      <w:r w:rsidR="00A67876">
        <w:t> ».</w:t>
      </w:r>
    </w:p>
    <w:p w:rsidR="00A67876" w:rsidRDefault="00A67876" w:rsidP="00A67876">
      <w:pPr>
        <w:pStyle w:val="Corpsdetexte"/>
        <w:ind w:left="284"/>
      </w:pPr>
    </w:p>
    <w:p w:rsidR="00A67876" w:rsidRDefault="00A67876" w:rsidP="00A67876">
      <w:pPr>
        <w:pStyle w:val="Corpsdetexte"/>
        <w:ind w:left="284"/>
      </w:pPr>
    </w:p>
    <w:p w:rsidR="00030614" w:rsidRDefault="00030614">
      <w:pPr>
        <w:pStyle w:val="Corpsdetexte"/>
      </w:pPr>
    </w:p>
    <w:p w:rsidR="00030614" w:rsidRDefault="00756037">
      <w:pPr>
        <w:pStyle w:val="Sous-titre"/>
        <w:ind w:left="-79"/>
        <w:rPr>
          <w:bCs/>
        </w:rPr>
      </w:pPr>
      <w:r>
        <w:rPr>
          <w:bCs/>
        </w:rPr>
        <w:t>Article 1</w:t>
      </w:r>
      <w:r w:rsidR="00BE07EA">
        <w:rPr>
          <w:bCs/>
        </w:rPr>
        <w:t>3</w:t>
      </w:r>
    </w:p>
    <w:p w:rsidR="00030614" w:rsidRDefault="00A867D6">
      <w:pPr>
        <w:pStyle w:val="Corpsdetexte"/>
      </w:pPr>
      <w:r>
        <w:t xml:space="preserve">A </w:t>
      </w:r>
      <w:r w:rsidR="00A67876">
        <w:t xml:space="preserve">l’article 26, </w:t>
      </w:r>
      <w:r w:rsidR="00D77183">
        <w:t>les dispositions suivantes sont</w:t>
      </w:r>
      <w:r w:rsidR="00A67876">
        <w:t xml:space="preserve"> supprimé</w:t>
      </w:r>
      <w:r w:rsidR="00D77183">
        <w:t>es</w:t>
      </w:r>
      <w:r w:rsidR="00A67876">
        <w:t> :</w:t>
      </w:r>
    </w:p>
    <w:p w:rsidR="00A67876" w:rsidRDefault="00A67876" w:rsidP="00A67876">
      <w:pPr>
        <w:pStyle w:val="Corpsdetexte"/>
      </w:pPr>
      <w:r>
        <w:t>« Les valeurs d'émergence mentionnées ci-dessus peuvent être augmentées d'un terme correctif en dB (A), fonction de la durée cumulée d'apparition du bruit de l'installation égal à :</w:t>
      </w:r>
    </w:p>
    <w:p w:rsidR="00A67876" w:rsidRDefault="00A67876" w:rsidP="00A67876">
      <w:pPr>
        <w:pStyle w:val="Corpsdetexte"/>
      </w:pPr>
      <w:r>
        <w:t>Trois pour une durée supérieure à vingt minutes et inférieure ou égale à deux heures ;</w:t>
      </w:r>
    </w:p>
    <w:p w:rsidR="00A67876" w:rsidRDefault="00A67876" w:rsidP="00A67876">
      <w:pPr>
        <w:pStyle w:val="Corpsdetexte"/>
      </w:pPr>
      <w:r>
        <w:t>Deux pour une durée supérieure à deux heures et inférieure ou égale à quatre heures ;</w:t>
      </w:r>
    </w:p>
    <w:p w:rsidR="00A67876" w:rsidRDefault="00A67876" w:rsidP="00A67876">
      <w:pPr>
        <w:pStyle w:val="Corpsdetexte"/>
      </w:pPr>
      <w:r>
        <w:t>Un pour une durée supérieure à quatre heures et inférieure ou égale à huit heures ;</w:t>
      </w:r>
    </w:p>
    <w:p w:rsidR="00A67876" w:rsidRDefault="00A67876" w:rsidP="00A67876">
      <w:pPr>
        <w:pStyle w:val="Corpsdetexte"/>
      </w:pPr>
      <w:r>
        <w:t>Zéro pour une durée supérieure à huit heures. »</w:t>
      </w:r>
    </w:p>
    <w:p w:rsidR="00A67876" w:rsidRDefault="00A67876" w:rsidP="00A67876">
      <w:pPr>
        <w:pStyle w:val="Corpsdetexte"/>
      </w:pPr>
    </w:p>
    <w:p w:rsidR="00030614" w:rsidRDefault="00030614">
      <w:pPr>
        <w:pStyle w:val="Corpsdetexte"/>
      </w:pPr>
    </w:p>
    <w:p w:rsidR="00030614" w:rsidRDefault="00DD4334">
      <w:pPr>
        <w:pStyle w:val="Sous-titre"/>
        <w:ind w:left="-79"/>
        <w:rPr>
          <w:bCs/>
        </w:rPr>
      </w:pPr>
      <w:r>
        <w:rPr>
          <w:bCs/>
        </w:rPr>
        <w:t>Article 1</w:t>
      </w:r>
      <w:r w:rsidR="00BE07EA">
        <w:rPr>
          <w:bCs/>
        </w:rPr>
        <w:t>4</w:t>
      </w:r>
    </w:p>
    <w:p w:rsidR="00030614" w:rsidRDefault="00A67876">
      <w:pPr>
        <w:pStyle w:val="Corpsdetexte"/>
      </w:pPr>
      <w:r>
        <w:t>L’article 2</w:t>
      </w:r>
      <w:r w:rsidR="00DD4334">
        <w:t>8 est remplacé par </w:t>
      </w:r>
      <w:r w:rsidR="00BE07EA">
        <w:t xml:space="preserve">les dispositions suivantes </w:t>
      </w:r>
      <w:r w:rsidR="00DD4334">
        <w:t>:</w:t>
      </w:r>
    </w:p>
    <w:p w:rsidR="00896886" w:rsidRDefault="00DD4334" w:rsidP="00A67876">
      <w:pPr>
        <w:pStyle w:val="Corpsdetexte"/>
      </w:pPr>
      <w:r>
        <w:t>« </w:t>
      </w:r>
      <w:r w:rsidR="00AB0A34" w:rsidRPr="00AB0A34">
        <w:t xml:space="preserve">I.  </w:t>
      </w:r>
      <w:r w:rsidR="00896886" w:rsidRPr="00896886">
        <w:t>L’exploitant fait vérifier la conformité acoustique de l’installation aux dispositions de l’article 26 du présent arrêté.  Sauf cas particulier justifié et faisant l'objet d'un accord du Préfet, cette vérification est faite dans les 12 mois qui suivent la mise en service industrielle. Dans le cas d'une dérogation accordée par le Préfet, la conformité acoustique de l’installation doit être vérifiée au plus tard dans les 18 mois qui suivent la mise en service industrielle de l'installation.</w:t>
      </w:r>
    </w:p>
    <w:p w:rsidR="00896886" w:rsidRDefault="00896886" w:rsidP="00A67876">
      <w:pPr>
        <w:pStyle w:val="Corpsdetexte"/>
      </w:pPr>
    </w:p>
    <w:p w:rsidR="00896886" w:rsidRDefault="00896886" w:rsidP="00A67876">
      <w:pPr>
        <w:pStyle w:val="Corpsdetexte"/>
      </w:pPr>
    </w:p>
    <w:p w:rsidR="00A67876" w:rsidRDefault="00A67876" w:rsidP="00A67876">
      <w:pPr>
        <w:pStyle w:val="Corpsdetexte"/>
      </w:pPr>
      <w:r>
        <w:t>II. - Les mesures effectuées pour vérifier le respect des dispositions de l’article 26, ainsi que leur traitement, sont conformes au protocole de mesure acoustique des parcs éoliens terrestres reconnu par le ministre chargé des installations classées. »</w:t>
      </w:r>
    </w:p>
    <w:p w:rsidR="00A67876" w:rsidRDefault="00A67876" w:rsidP="00A67876">
      <w:pPr>
        <w:pStyle w:val="Corpsdetexte"/>
      </w:pPr>
    </w:p>
    <w:p w:rsidR="00030614" w:rsidRDefault="00030614">
      <w:pPr>
        <w:pStyle w:val="Corpsdetexte"/>
      </w:pPr>
    </w:p>
    <w:p w:rsidR="00030614" w:rsidRDefault="00DD4334">
      <w:pPr>
        <w:pStyle w:val="Sous-titre"/>
        <w:ind w:left="-79"/>
        <w:rPr>
          <w:bCs/>
        </w:rPr>
      </w:pPr>
      <w:r>
        <w:rPr>
          <w:bCs/>
        </w:rPr>
        <w:t>Article 1</w:t>
      </w:r>
      <w:r w:rsidR="008A325A">
        <w:rPr>
          <w:bCs/>
        </w:rPr>
        <w:t>5</w:t>
      </w:r>
    </w:p>
    <w:p w:rsidR="00030614" w:rsidRDefault="00C669A1">
      <w:pPr>
        <w:pStyle w:val="Corpsdetexte"/>
      </w:pPr>
      <w:r>
        <w:t>A</w:t>
      </w:r>
      <w:r w:rsidR="008A325A">
        <w:t>u premier alinéa de</w:t>
      </w:r>
      <w:r>
        <w:t xml:space="preserve"> l’article 2</w:t>
      </w:r>
      <w:r w:rsidR="00DD4334">
        <w:t>9</w:t>
      </w:r>
      <w:r>
        <w:t xml:space="preserve">, après </w:t>
      </w:r>
      <w:r w:rsidR="008A325A">
        <w:t xml:space="preserve">les mots </w:t>
      </w:r>
      <w:r>
        <w:t>« </w:t>
      </w:r>
      <w:r w:rsidRPr="00C669A1">
        <w:t>du code de l'environnement</w:t>
      </w:r>
      <w:r>
        <w:t> »</w:t>
      </w:r>
      <w:r w:rsidR="008A325A">
        <w:t xml:space="preserve"> sont insérés</w:t>
      </w:r>
      <w:r>
        <w:t xml:space="preserve"> les mots: « </w:t>
      </w:r>
      <w:r w:rsidRPr="00C669A1">
        <w:t>s’appliquent également au démantèlement des aérogénérateurs qui font l’objet d’un renouvellement. Elles</w:t>
      </w:r>
      <w:r>
        <w:t> ».</w:t>
      </w:r>
    </w:p>
    <w:p w:rsidR="00592846" w:rsidRDefault="00592846">
      <w:pPr>
        <w:pStyle w:val="Corpsdetexte"/>
      </w:pPr>
    </w:p>
    <w:p w:rsidR="00592846" w:rsidRDefault="00592846">
      <w:pPr>
        <w:pStyle w:val="Corpsdetexte"/>
      </w:pPr>
      <w:r>
        <w:t>Le deuxième alinéa est remplacé par les deux alinéas suivants :</w:t>
      </w:r>
    </w:p>
    <w:p w:rsidR="00592846" w:rsidRDefault="00592846" w:rsidP="00592846">
      <w:pPr>
        <w:pStyle w:val="Corpsdetexte"/>
      </w:pPr>
      <w:r>
        <w:t>« - le démantèlement des installations de production d'électricité ;</w:t>
      </w:r>
    </w:p>
    <w:p w:rsidR="00592846" w:rsidRDefault="00592846" w:rsidP="00592846">
      <w:pPr>
        <w:pStyle w:val="Corpsdetexte"/>
      </w:pPr>
      <w:r>
        <w:t xml:space="preserve">- le démantèlement des postes de livraison ainsi que les câbles dans un rayon de 10 mètres autour des aérogénérateurs et des postes de livraison. Dans le cas d’un renouvellement, les postes de livraison ainsi que les câbles dans un rayon de 10 mètres autour des aérogénérateurs et des postes de livraison peuvent être réutilisés ; » </w:t>
      </w:r>
    </w:p>
    <w:p w:rsidR="00A57CA0" w:rsidRDefault="00A57CA0" w:rsidP="00592846">
      <w:pPr>
        <w:pStyle w:val="Corpsdetexte"/>
      </w:pPr>
    </w:p>
    <w:p w:rsidR="00A57CA0" w:rsidRDefault="00A57CA0" w:rsidP="00592846">
      <w:pPr>
        <w:pStyle w:val="Corpsdetexte"/>
      </w:pPr>
      <w:r>
        <w:t>Dans le troisième alinéa devenu le quatrième, les mots : « </w:t>
      </w:r>
      <w:r w:rsidRPr="00A57CA0">
        <w:t>et ayant été acceptée par ce dernier</w:t>
      </w:r>
      <w:r>
        <w:t> » sont insérés après les mots : « </w:t>
      </w:r>
      <w:r w:rsidRPr="00A57CA0">
        <w:t>adressée au préfet</w:t>
      </w:r>
      <w:r>
        <w:t xml:space="preserve"> ». </w:t>
      </w:r>
    </w:p>
    <w:p w:rsidR="00592846" w:rsidRDefault="00592846" w:rsidP="00592846">
      <w:pPr>
        <w:pStyle w:val="Corpsdetexte"/>
      </w:pPr>
    </w:p>
    <w:p w:rsidR="00592846" w:rsidRDefault="00592846" w:rsidP="00592846">
      <w:pPr>
        <w:pStyle w:val="Corpsdetexte"/>
      </w:pPr>
      <w:r>
        <w:t xml:space="preserve">A la fin du troisième alinéa </w:t>
      </w:r>
      <w:r w:rsidR="00236EB1">
        <w:t xml:space="preserve">devenu le quatrième alinéa </w:t>
      </w:r>
      <w:r>
        <w:t>sont insérés les mots : « </w:t>
      </w:r>
      <w:r w:rsidRPr="00592846">
        <w:t xml:space="preserve">Dans le cas d’un renouvellement, les fondations en place peuvent ne pas être excavées si elles sont réutilisées pour fixer les nouveaux </w:t>
      </w:r>
      <w:proofErr w:type="spellStart"/>
      <w:r w:rsidRPr="00592846">
        <w:t>arérogénérateurs</w:t>
      </w:r>
      <w:proofErr w:type="spellEnd"/>
      <w:r w:rsidRPr="00592846">
        <w:t>.</w:t>
      </w:r>
      <w:r>
        <w:t> »</w:t>
      </w:r>
    </w:p>
    <w:p w:rsidR="001250F4" w:rsidRDefault="001250F4" w:rsidP="00592846">
      <w:pPr>
        <w:pStyle w:val="Corpsdetexte"/>
      </w:pPr>
    </w:p>
    <w:p w:rsidR="001250F4" w:rsidRDefault="001250F4" w:rsidP="00592846">
      <w:pPr>
        <w:pStyle w:val="Corpsdetexte"/>
      </w:pPr>
      <w:r>
        <w:t xml:space="preserve">Dans le point II, les mots : « d’une installation existante » sont supprimés. </w:t>
      </w:r>
    </w:p>
    <w:p w:rsidR="00592846" w:rsidRDefault="00592846" w:rsidP="00592846">
      <w:pPr>
        <w:pStyle w:val="Corpsdetexte"/>
      </w:pPr>
    </w:p>
    <w:p w:rsidR="00592846" w:rsidRPr="00592846" w:rsidRDefault="000F6A59" w:rsidP="00592846">
      <w:pPr>
        <w:pStyle w:val="Corpsdetexte"/>
      </w:pPr>
      <w:r w:rsidRPr="00592846">
        <w:t xml:space="preserve">A la fin de l’article 29 sont ajoutés les </w:t>
      </w:r>
      <w:r w:rsidR="00236EB1">
        <w:t>deux alinéas suivants</w:t>
      </w:r>
      <w:r w:rsidRPr="00592846">
        <w:t> : « </w:t>
      </w:r>
      <w:r w:rsidR="00592846" w:rsidRPr="00592846">
        <w:t>III- Une fois les opérations de démantèlement et de remise en état achevées, l’exploitant fait attester, conformément à l’article R. 515-106 du code de l’environnement, que les opérations visées aux I et aux trois premiers alinéas du II ont été réalisées conformément aux prescriptions applicables.</w:t>
      </w:r>
    </w:p>
    <w:p w:rsidR="00C669A1" w:rsidRDefault="00592846" w:rsidP="00592846">
      <w:pPr>
        <w:pStyle w:val="Corpsdetexte"/>
      </w:pPr>
      <w:r w:rsidRPr="00592846">
        <w:t>Cette attestation est établie par une entreprise répondant aux conditions fixées par les textes d'application de l'article L512-6-1 du code de l'environnement</w:t>
      </w:r>
      <w:r w:rsidR="000F6A59" w:rsidRPr="00592846">
        <w:t>. »</w:t>
      </w:r>
      <w:r w:rsidR="000F6A59">
        <w:t xml:space="preserve"> </w:t>
      </w:r>
    </w:p>
    <w:p w:rsidR="00030614" w:rsidRDefault="00030614">
      <w:pPr>
        <w:pStyle w:val="Corpsdetexte"/>
      </w:pPr>
    </w:p>
    <w:p w:rsidR="00030614" w:rsidRDefault="00756037">
      <w:pPr>
        <w:pStyle w:val="Sous-titre"/>
        <w:ind w:left="-79"/>
        <w:rPr>
          <w:bCs/>
        </w:rPr>
      </w:pPr>
      <w:r>
        <w:rPr>
          <w:bCs/>
        </w:rPr>
        <w:t xml:space="preserve">Article </w:t>
      </w:r>
      <w:r w:rsidR="008A325A">
        <w:rPr>
          <w:bCs/>
        </w:rPr>
        <w:t>16</w:t>
      </w:r>
    </w:p>
    <w:p w:rsidR="00030614" w:rsidRDefault="008A325A">
      <w:pPr>
        <w:pStyle w:val="Corpsdetexte"/>
      </w:pPr>
      <w:r>
        <w:lastRenderedPageBreak/>
        <w:t>A la fin de l</w:t>
      </w:r>
      <w:r w:rsidR="00C669A1">
        <w:t>’article 30</w:t>
      </w:r>
      <w:r w:rsidR="00DD4334">
        <w:t xml:space="preserve"> </w:t>
      </w:r>
      <w:r>
        <w:t>sont ajoutées</w:t>
      </w:r>
      <w:r w:rsidR="00DD4334">
        <w:t> </w:t>
      </w:r>
      <w:r>
        <w:t xml:space="preserve">les dispositions suivantes </w:t>
      </w:r>
      <w:r w:rsidR="00DD4334">
        <w:t>:</w:t>
      </w:r>
      <w:r w:rsidR="00C669A1">
        <w:t xml:space="preserve"> « </w:t>
      </w:r>
      <w:r w:rsidR="00C669A1" w:rsidRPr="00C669A1">
        <w:t xml:space="preserve">Ce montant </w:t>
      </w:r>
      <w:r w:rsidR="00592846">
        <w:t>est recalculé</w:t>
      </w:r>
      <w:r w:rsidR="00C669A1" w:rsidRPr="00C669A1">
        <w:t xml:space="preserve"> lors de leur première constitution </w:t>
      </w:r>
      <w:r w:rsidR="00BE0F3D">
        <w:t>avant</w:t>
      </w:r>
      <w:r w:rsidR="00C669A1" w:rsidRPr="00C669A1">
        <w:t xml:space="preserve"> </w:t>
      </w:r>
      <w:r w:rsidR="006765BC">
        <w:t>la mise en service industrielle</w:t>
      </w:r>
      <w:r w:rsidR="00C669A1" w:rsidRPr="00C669A1">
        <w:t>.</w:t>
      </w:r>
      <w:r w:rsidR="00C669A1">
        <w:t> »</w:t>
      </w:r>
    </w:p>
    <w:p w:rsidR="00030614" w:rsidRDefault="00DD4334">
      <w:pPr>
        <w:pStyle w:val="Sous-titre"/>
        <w:ind w:left="-79"/>
        <w:rPr>
          <w:bCs/>
        </w:rPr>
      </w:pPr>
      <w:r>
        <w:rPr>
          <w:bCs/>
        </w:rPr>
        <w:t>Article 1</w:t>
      </w:r>
      <w:r w:rsidR="0009242B">
        <w:rPr>
          <w:bCs/>
        </w:rPr>
        <w:t>7</w:t>
      </w:r>
    </w:p>
    <w:p w:rsidR="008A325A" w:rsidRDefault="008A325A" w:rsidP="008A325A">
      <w:pPr>
        <w:pStyle w:val="Corpsdetexte"/>
      </w:pPr>
      <w:r>
        <w:t>L</w:t>
      </w:r>
      <w:r w:rsidR="00DD4334">
        <w:t xml:space="preserve">’article </w:t>
      </w:r>
      <w:r w:rsidR="00433A6A">
        <w:t xml:space="preserve">31 </w:t>
      </w:r>
      <w:r>
        <w:t>est remplacé par les dispositions suivantes</w:t>
      </w:r>
      <w:r w:rsidR="00433A6A">
        <w:t xml:space="preserve"> </w:t>
      </w:r>
      <w:r w:rsidR="00DD4334">
        <w:t>:</w:t>
      </w:r>
    </w:p>
    <w:p w:rsidR="00433A6A" w:rsidRDefault="00433A6A" w:rsidP="00592846">
      <w:pPr>
        <w:pStyle w:val="Corpsdetexte"/>
      </w:pPr>
      <w:r>
        <w:t xml:space="preserve"> « </w:t>
      </w:r>
      <w:r w:rsidR="00592846" w:rsidRPr="00592846">
        <w:t xml:space="preserve">Dès la première constitution des garanties financières visées à l’article 30, l’exploitant en actualise le montant </w:t>
      </w:r>
      <w:r w:rsidR="00BE0F3D">
        <w:t>avant</w:t>
      </w:r>
      <w:r w:rsidR="00592846" w:rsidRPr="00592846">
        <w:t xml:space="preserve"> la mise en service industrielle de l’installation, puis actualise ce montant tous les cinq ans. L’actualisation se fait en application de la formule mentionnée en annexe II au présent arrêté.</w:t>
      </w:r>
      <w:r w:rsidR="00592846">
        <w:t xml:space="preserve"> </w:t>
      </w:r>
      <w:r>
        <w:t>».</w:t>
      </w:r>
    </w:p>
    <w:p w:rsidR="00433A6A" w:rsidRDefault="00433A6A" w:rsidP="00433A6A">
      <w:pPr>
        <w:pStyle w:val="Corpsdetexte"/>
        <w:ind w:left="644"/>
      </w:pPr>
    </w:p>
    <w:p w:rsidR="00433A6A" w:rsidRDefault="00433A6A" w:rsidP="00433A6A">
      <w:pPr>
        <w:pStyle w:val="Corpsdetexte"/>
        <w:ind w:left="644"/>
      </w:pPr>
    </w:p>
    <w:p w:rsidR="00030614" w:rsidRDefault="00DD4334">
      <w:pPr>
        <w:pStyle w:val="Sous-titre"/>
        <w:ind w:left="-79"/>
        <w:rPr>
          <w:bCs/>
        </w:rPr>
      </w:pPr>
      <w:r>
        <w:rPr>
          <w:bCs/>
        </w:rPr>
        <w:t>Article 1</w:t>
      </w:r>
      <w:r w:rsidR="0009242B">
        <w:rPr>
          <w:bCs/>
        </w:rPr>
        <w:t>8</w:t>
      </w:r>
    </w:p>
    <w:p w:rsidR="00433A6A" w:rsidRDefault="00433A6A">
      <w:pPr>
        <w:pStyle w:val="Corpsdetexte"/>
      </w:pPr>
      <w:r>
        <w:t xml:space="preserve">A </w:t>
      </w:r>
      <w:r w:rsidR="008A325A">
        <w:t xml:space="preserve">la fin de </w:t>
      </w:r>
      <w:r>
        <w:t>l</w:t>
      </w:r>
      <w:r w:rsidR="00DD4334">
        <w:t xml:space="preserve">’article </w:t>
      </w:r>
      <w:r>
        <w:t xml:space="preserve">32 </w:t>
      </w:r>
      <w:r w:rsidR="008A325A">
        <w:t>sont insérés les mots :</w:t>
      </w:r>
      <w:r>
        <w:t xml:space="preserve"> « </w:t>
      </w:r>
      <w:r w:rsidRPr="00433A6A">
        <w:t>mentionné à l’article 30</w:t>
      </w:r>
      <w:r>
        <w:t xml:space="preserve"> » après </w:t>
      </w:r>
      <w:r w:rsidR="008A325A">
        <w:t xml:space="preserve">les mots : </w:t>
      </w:r>
      <w:r>
        <w:t xml:space="preserve">« </w:t>
      </w:r>
      <w:r w:rsidRPr="00433A6A">
        <w:t>garantie financière</w:t>
      </w:r>
      <w:r>
        <w:t> ».</w:t>
      </w:r>
    </w:p>
    <w:p w:rsidR="00433A6A" w:rsidRDefault="00433A6A">
      <w:pPr>
        <w:pStyle w:val="Corpsdetexte"/>
      </w:pPr>
    </w:p>
    <w:p w:rsidR="00030614" w:rsidRDefault="00030614">
      <w:pPr>
        <w:pStyle w:val="Sous-titre"/>
        <w:ind w:left="-79"/>
        <w:rPr>
          <w:bCs/>
        </w:rPr>
      </w:pPr>
    </w:p>
    <w:p w:rsidR="00030614" w:rsidRDefault="00756037">
      <w:pPr>
        <w:pStyle w:val="Sous-titre"/>
        <w:ind w:left="-79"/>
        <w:rPr>
          <w:bCs/>
        </w:rPr>
      </w:pPr>
      <w:r>
        <w:rPr>
          <w:bCs/>
        </w:rPr>
        <w:t>Article 1</w:t>
      </w:r>
      <w:r w:rsidR="0009242B">
        <w:rPr>
          <w:bCs/>
        </w:rPr>
        <w:t>9</w:t>
      </w:r>
    </w:p>
    <w:p w:rsidR="00030614" w:rsidRDefault="0009242B">
      <w:pPr>
        <w:pStyle w:val="Corpsdetexte"/>
      </w:pPr>
      <w:r>
        <w:t>L</w:t>
      </w:r>
      <w:r w:rsidR="00433A6A">
        <w:t xml:space="preserve">’annexe I </w:t>
      </w:r>
      <w:r>
        <w:t>est ainsi modifiée</w:t>
      </w:r>
      <w:r w:rsidR="00DD4334">
        <w:t>:</w:t>
      </w:r>
    </w:p>
    <w:p w:rsidR="00433A6A" w:rsidRDefault="00433A6A" w:rsidP="00B26CA9">
      <w:pPr>
        <w:pStyle w:val="Corpsdetexte"/>
        <w:numPr>
          <w:ilvl w:val="0"/>
          <w:numId w:val="2"/>
        </w:numPr>
      </w:pPr>
      <w:r>
        <w:t xml:space="preserve">Au point I, </w:t>
      </w:r>
      <w:r w:rsidR="0009242B">
        <w:t>la référence à l’</w:t>
      </w:r>
      <w:r w:rsidRPr="00433A6A">
        <w:t xml:space="preserve">article R. 515-36 du code de </w:t>
      </w:r>
      <w:proofErr w:type="gramStart"/>
      <w:r w:rsidRPr="00433A6A">
        <w:t>l'environnement</w:t>
      </w:r>
      <w:r>
        <w:t xml:space="preserve">  </w:t>
      </w:r>
      <w:r w:rsidR="0009242B">
        <w:t>est</w:t>
      </w:r>
      <w:proofErr w:type="gramEnd"/>
      <w:r w:rsidR="0009242B">
        <w:t xml:space="preserve"> </w:t>
      </w:r>
      <w:r>
        <w:t xml:space="preserve">remplacés par </w:t>
      </w:r>
      <w:r w:rsidR="0009242B">
        <w:t>la référence à</w:t>
      </w:r>
      <w:r>
        <w:t> </w:t>
      </w:r>
      <w:r w:rsidRPr="00433A6A">
        <w:t>l'article R. 515-106 du code de l'environnement</w:t>
      </w:r>
      <w:r>
        <w:t>.</w:t>
      </w:r>
    </w:p>
    <w:p w:rsidR="00433A6A" w:rsidRDefault="00433A6A" w:rsidP="00B26CA9">
      <w:pPr>
        <w:pStyle w:val="Corpsdetexte"/>
        <w:numPr>
          <w:ilvl w:val="0"/>
          <w:numId w:val="2"/>
        </w:numPr>
      </w:pPr>
      <w:r>
        <w:t xml:space="preserve">Aux points II. a) et </w:t>
      </w:r>
      <w:proofErr w:type="spellStart"/>
      <w:r>
        <w:t>II.b</w:t>
      </w:r>
      <w:proofErr w:type="spellEnd"/>
      <w:r>
        <w:t>), le</w:t>
      </w:r>
      <w:r w:rsidR="0009242B">
        <w:t>s mots :</w:t>
      </w:r>
      <w:r>
        <w:t xml:space="preserve"> « 2 MW » </w:t>
      </w:r>
      <w:r w:rsidR="0009242B">
        <w:t xml:space="preserve">sont </w:t>
      </w:r>
      <w:r>
        <w:t>remplacé</w:t>
      </w:r>
      <w:r w:rsidR="0009242B">
        <w:t>s</w:t>
      </w:r>
      <w:r>
        <w:t xml:space="preserve"> par </w:t>
      </w:r>
      <w:r w:rsidR="0009242B">
        <w:t xml:space="preserve">les mots : </w:t>
      </w:r>
      <w:r>
        <w:t>« 2,0 MW ».</w:t>
      </w:r>
    </w:p>
    <w:p w:rsidR="00592846" w:rsidRDefault="00592846" w:rsidP="00B26CA9">
      <w:pPr>
        <w:pStyle w:val="Corpsdetexte"/>
        <w:numPr>
          <w:ilvl w:val="0"/>
          <w:numId w:val="2"/>
        </w:numPr>
      </w:pPr>
      <w:r>
        <w:t xml:space="preserve">Au point III, le mot : « réactualisé » est remplacé par le mot : « recalculé » et les mots : « La réactualisation » sont remplacés par les mots : « Le montant recalculé ». </w:t>
      </w:r>
    </w:p>
    <w:p w:rsidR="00030614" w:rsidRDefault="00030614">
      <w:pPr>
        <w:pStyle w:val="Corpsdetexte"/>
      </w:pPr>
    </w:p>
    <w:p w:rsidR="00030614" w:rsidRDefault="00756037">
      <w:pPr>
        <w:pStyle w:val="Sous-titre"/>
        <w:ind w:left="-79"/>
        <w:rPr>
          <w:bCs/>
        </w:rPr>
      </w:pPr>
      <w:r>
        <w:rPr>
          <w:bCs/>
        </w:rPr>
        <w:t xml:space="preserve">Article </w:t>
      </w:r>
      <w:r w:rsidR="0009242B">
        <w:rPr>
          <w:bCs/>
        </w:rPr>
        <w:t>20</w:t>
      </w:r>
    </w:p>
    <w:p w:rsidR="00433A6A" w:rsidRDefault="0009242B">
      <w:pPr>
        <w:pStyle w:val="Corpsdetexte"/>
      </w:pPr>
      <w:r>
        <w:t>L</w:t>
      </w:r>
      <w:r w:rsidR="00433A6A" w:rsidRPr="00433A6A">
        <w:t xml:space="preserve">’annexe </w:t>
      </w:r>
      <w:r w:rsidR="00433A6A">
        <w:t>I</w:t>
      </w:r>
      <w:r w:rsidR="00433A6A" w:rsidRPr="00433A6A">
        <w:t xml:space="preserve">I </w:t>
      </w:r>
      <w:r>
        <w:t>est ainsi modifiée</w:t>
      </w:r>
      <w:r w:rsidR="00433A6A" w:rsidRPr="00433A6A">
        <w:t xml:space="preserve">: </w:t>
      </w:r>
    </w:p>
    <w:p w:rsidR="00433A6A" w:rsidRDefault="00433A6A" w:rsidP="00412A61">
      <w:pPr>
        <w:pStyle w:val="Corpsdetexte"/>
        <w:numPr>
          <w:ilvl w:val="0"/>
          <w:numId w:val="2"/>
        </w:numPr>
      </w:pPr>
      <w:r>
        <w:t>Les mots</w:t>
      </w:r>
      <w:r w:rsidR="0009242B">
        <w:t> </w:t>
      </w:r>
      <w:proofErr w:type="gramStart"/>
      <w:r w:rsidR="0009242B">
        <w:t xml:space="preserve">: </w:t>
      </w:r>
      <w:r>
        <w:t xml:space="preserve"> «</w:t>
      </w:r>
      <w:proofErr w:type="gramEnd"/>
      <w:r>
        <w:t> </w:t>
      </w:r>
      <w:r w:rsidR="00412A61" w:rsidRPr="00412A61">
        <w:t>calculé sur la base 20</w:t>
      </w:r>
      <w:r>
        <w:t>» sont remplacés par</w:t>
      </w:r>
      <w:r w:rsidR="0009242B">
        <w:t xml:space="preserve"> les mots :</w:t>
      </w:r>
      <w:r>
        <w:t xml:space="preserve"> « </w:t>
      </w:r>
      <w:r w:rsidR="00412A61" w:rsidRPr="00412A61">
        <w:t>converti avec la base 2010, en vigueur depuis octobre 2014</w:t>
      </w:r>
      <w:r>
        <w:t>».</w:t>
      </w:r>
    </w:p>
    <w:p w:rsidR="00433A6A" w:rsidRDefault="00433A6A" w:rsidP="00B26CA9">
      <w:pPr>
        <w:pStyle w:val="Corpsdetexte"/>
        <w:numPr>
          <w:ilvl w:val="0"/>
          <w:numId w:val="2"/>
        </w:numPr>
      </w:pPr>
      <w:r>
        <w:t xml:space="preserve">Il est inséré </w:t>
      </w:r>
      <w:r w:rsidR="0009242B">
        <w:t>les mots </w:t>
      </w:r>
      <w:proofErr w:type="gramStart"/>
      <w:r w:rsidR="0009242B">
        <w:t>:</w:t>
      </w:r>
      <w:r>
        <w:t>«</w:t>
      </w:r>
      <w:proofErr w:type="gramEnd"/>
      <w:r>
        <w:t> </w:t>
      </w:r>
      <w:r w:rsidRPr="00433A6A">
        <w:t>en France métropolitaine en 2021</w:t>
      </w:r>
      <w:r>
        <w:t> » après les mots</w:t>
      </w:r>
      <w:r w:rsidR="0009242B">
        <w:t xml:space="preserve"> : </w:t>
      </w:r>
      <w:r>
        <w:t>« </w:t>
      </w:r>
      <w:r w:rsidRPr="00433A6A">
        <w:t>19,60 %</w:t>
      </w:r>
      <w:r>
        <w:t> »</w:t>
      </w:r>
    </w:p>
    <w:p w:rsidR="00030614" w:rsidRDefault="00030614">
      <w:pPr>
        <w:pStyle w:val="Corpsdetexte"/>
        <w:jc w:val="center"/>
      </w:pPr>
    </w:p>
    <w:p w:rsidR="00F3539A" w:rsidRDefault="00F3539A">
      <w:pPr>
        <w:pStyle w:val="Sous-titre"/>
        <w:ind w:left="-79"/>
        <w:rPr>
          <w:bCs/>
        </w:rPr>
      </w:pPr>
    </w:p>
    <w:p w:rsidR="00030614" w:rsidRDefault="00756037">
      <w:pPr>
        <w:pStyle w:val="Sous-titre"/>
        <w:ind w:left="-79"/>
        <w:rPr>
          <w:bCs/>
        </w:rPr>
      </w:pPr>
      <w:r>
        <w:rPr>
          <w:bCs/>
        </w:rPr>
        <w:t xml:space="preserve">Article </w:t>
      </w:r>
      <w:r w:rsidR="0009242B">
        <w:rPr>
          <w:bCs/>
        </w:rPr>
        <w:t>21</w:t>
      </w:r>
    </w:p>
    <w:p w:rsidR="00030614" w:rsidRDefault="00433A6A">
      <w:pPr>
        <w:pStyle w:val="Corpsdetexte"/>
      </w:pPr>
      <w:r>
        <w:lastRenderedPageBreak/>
        <w:t>Il est ajouté l’annexe III suivante:</w:t>
      </w:r>
    </w:p>
    <w:p w:rsidR="00433A6A" w:rsidRPr="00433A6A" w:rsidRDefault="00433A6A" w:rsidP="00433A6A">
      <w:pPr>
        <w:spacing w:after="100" w:afterAutospacing="1" w:line="240" w:lineRule="auto"/>
        <w:ind w:left="750"/>
        <w:jc w:val="center"/>
        <w:outlineLvl w:val="3"/>
        <w:rPr>
          <w:b/>
          <w:bCs/>
        </w:rPr>
      </w:pPr>
      <w:r>
        <w:t>« </w:t>
      </w:r>
      <w:r w:rsidRPr="00433A6A">
        <w:rPr>
          <w:b/>
          <w:bCs/>
        </w:rPr>
        <w:t>Annexe III</w:t>
      </w:r>
    </w:p>
    <w:p w:rsidR="00433A6A" w:rsidRPr="00433A6A" w:rsidRDefault="00433A6A" w:rsidP="00433A6A">
      <w:pPr>
        <w:spacing w:after="100" w:afterAutospacing="1" w:line="240" w:lineRule="auto"/>
        <w:ind w:left="750"/>
        <w:jc w:val="center"/>
        <w:outlineLvl w:val="3"/>
        <w:rPr>
          <w:b/>
          <w:bCs/>
        </w:rPr>
      </w:pPr>
    </w:p>
    <w:p w:rsidR="00433A6A" w:rsidRPr="00433A6A" w:rsidRDefault="00433A6A" w:rsidP="00433A6A">
      <w:pPr>
        <w:spacing w:after="100" w:afterAutospacing="1" w:line="240" w:lineRule="auto"/>
        <w:outlineLvl w:val="3"/>
        <w:rPr>
          <w:bCs/>
        </w:rPr>
      </w:pPr>
      <w:r w:rsidRPr="00433A6A">
        <w:rPr>
          <w:bCs/>
        </w:rPr>
        <w:t xml:space="preserve">Les dispositions du présent arrêté sont applicables aux installations qui ne sont pas nouvelles </w:t>
      </w:r>
      <w:r w:rsidR="0009242B">
        <w:rPr>
          <w:bCs/>
        </w:rPr>
        <w:t>ou qui ont fait l’objet d’un porter-à-connaissance en vue d’un renouvellement avant le 31 décembre 2021selon</w:t>
      </w:r>
      <w:r w:rsidR="0009242B" w:rsidRPr="00433A6A">
        <w:rPr>
          <w:bCs/>
        </w:rPr>
        <w:t xml:space="preserve"> </w:t>
      </w:r>
      <w:r w:rsidRPr="00433A6A">
        <w:rPr>
          <w:bCs/>
        </w:rPr>
        <w:t xml:space="preserve">les modalités d’application particulières précisées dans les tableaux suivants: </w:t>
      </w:r>
    </w:p>
    <w:p w:rsidR="00433A6A" w:rsidRPr="00433A6A" w:rsidRDefault="00433A6A" w:rsidP="00433A6A">
      <w:pPr>
        <w:spacing w:after="100" w:afterAutospacing="1" w:line="240" w:lineRule="auto"/>
        <w:outlineLvl w:val="3"/>
        <w:rPr>
          <w:bCs/>
        </w:rPr>
      </w:pPr>
      <w:r w:rsidRPr="00433A6A">
        <w:rPr>
          <w:bCs/>
        </w:rPr>
        <w:t>III. 1</w:t>
      </w:r>
      <w:r w:rsidRPr="00433A6A">
        <w:rPr>
          <w:rFonts w:asciiTheme="minorHAnsi" w:eastAsiaTheme="minorHAnsi" w:hAnsiTheme="minorHAnsi" w:cstheme="minorBidi"/>
          <w:sz w:val="22"/>
          <w:szCs w:val="22"/>
          <w:lang w:eastAsia="en-US"/>
        </w:rPr>
        <w:t xml:space="preserve"> / </w:t>
      </w:r>
      <w:r w:rsidRPr="00433A6A">
        <w:rPr>
          <w:bCs/>
        </w:rPr>
        <w:t xml:space="preserve">Installation </w:t>
      </w:r>
      <w:r w:rsidR="00F3539A">
        <w:rPr>
          <w:bCs/>
        </w:rPr>
        <w:t xml:space="preserve">existante </w:t>
      </w:r>
      <w:r w:rsidRPr="00433A6A">
        <w:rPr>
          <w:bCs/>
        </w:rPr>
        <w:t xml:space="preserve">dont le dépôt de demande d’autorisation environnementale ou de </w:t>
      </w:r>
      <w:r w:rsidR="00412A61" w:rsidRPr="00412A61">
        <w:rPr>
          <w:bCs/>
        </w:rPr>
        <w:t xml:space="preserve">porter-à-connaissance </w:t>
      </w:r>
      <w:r w:rsidRPr="00433A6A">
        <w:rPr>
          <w:bCs/>
        </w:rPr>
        <w:t>(renouvellement) a été fait entre le 1er juillet 2020 et le 31 décembre 2021 inclus</w:t>
      </w:r>
    </w:p>
    <w:tbl>
      <w:tblPr>
        <w:tblW w:w="10201" w:type="dxa"/>
        <w:tblCellMar>
          <w:left w:w="70" w:type="dxa"/>
          <w:right w:w="70" w:type="dxa"/>
        </w:tblCellMar>
        <w:tblLook w:val="04A0" w:firstRow="1" w:lastRow="0" w:firstColumn="1" w:lastColumn="0" w:noHBand="0" w:noVBand="1"/>
      </w:tblPr>
      <w:tblGrid>
        <w:gridCol w:w="969"/>
        <w:gridCol w:w="1023"/>
        <w:gridCol w:w="4099"/>
        <w:gridCol w:w="4110"/>
      </w:tblGrid>
      <w:tr w:rsidR="00433A6A" w:rsidRPr="00433A6A" w:rsidTr="00433A6A">
        <w:trPr>
          <w:trHeight w:val="1215"/>
        </w:trPr>
        <w:tc>
          <w:tcPr>
            <w:tcW w:w="969"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433A6A" w:rsidRDefault="00433A6A" w:rsidP="00433A6A">
            <w:pPr>
              <w:spacing w:after="0" w:line="240" w:lineRule="auto"/>
              <w:jc w:val="center"/>
              <w:rPr>
                <w:rFonts w:ascii="Calibri" w:hAnsi="Calibri" w:cs="Calibri"/>
                <w:color w:val="FFFFFF"/>
                <w:sz w:val="22"/>
                <w:szCs w:val="22"/>
              </w:rPr>
            </w:pPr>
            <w:r w:rsidRPr="00433A6A">
              <w:rPr>
                <w:rFonts w:ascii="Calibri" w:hAnsi="Calibri" w:cs="Calibri"/>
                <w:color w:val="FFFFFF"/>
                <w:sz w:val="22"/>
                <w:szCs w:val="22"/>
              </w:rPr>
              <w:t>Article concerné</w:t>
            </w:r>
          </w:p>
        </w:tc>
        <w:tc>
          <w:tcPr>
            <w:tcW w:w="1023"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33A6A" w:rsidRPr="00433A6A" w:rsidRDefault="00433A6A" w:rsidP="00433A6A">
            <w:pPr>
              <w:spacing w:after="0" w:line="240" w:lineRule="auto"/>
              <w:jc w:val="center"/>
              <w:rPr>
                <w:rFonts w:ascii="Calibri" w:hAnsi="Calibri" w:cs="Calibri"/>
                <w:color w:val="FFFFFF"/>
                <w:sz w:val="22"/>
                <w:szCs w:val="22"/>
              </w:rPr>
            </w:pPr>
            <w:r w:rsidRPr="00433A6A">
              <w:rPr>
                <w:rFonts w:ascii="Calibri" w:hAnsi="Calibri" w:cs="Calibri"/>
                <w:color w:val="FFFFFF"/>
                <w:sz w:val="22"/>
                <w:szCs w:val="22"/>
              </w:rPr>
              <w:t>Sous</w:t>
            </w:r>
            <w:r w:rsidRPr="00433A6A">
              <w:rPr>
                <w:rFonts w:ascii="Calibri" w:hAnsi="Calibri" w:cs="Calibri"/>
                <w:color w:val="FFFFFF"/>
                <w:sz w:val="22"/>
                <w:szCs w:val="22"/>
              </w:rPr>
              <w:br/>
              <w:t xml:space="preserve"> - art.</w:t>
            </w:r>
          </w:p>
        </w:tc>
        <w:tc>
          <w:tcPr>
            <w:tcW w:w="4099"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33A6A" w:rsidRPr="00433A6A" w:rsidRDefault="00433A6A" w:rsidP="00433A6A">
            <w:pPr>
              <w:spacing w:after="0" w:line="240" w:lineRule="auto"/>
              <w:jc w:val="center"/>
              <w:rPr>
                <w:rFonts w:ascii="Calibri" w:hAnsi="Calibri" w:cs="Calibri"/>
                <w:color w:val="FFFFFF"/>
                <w:sz w:val="22"/>
                <w:szCs w:val="22"/>
              </w:rPr>
            </w:pPr>
            <w:r w:rsidRPr="00433A6A">
              <w:rPr>
                <w:rFonts w:ascii="Calibri" w:hAnsi="Calibri" w:cs="Calibri"/>
                <w:color w:val="FFFFFF"/>
                <w:sz w:val="22"/>
                <w:szCs w:val="22"/>
              </w:rPr>
              <w:t>Modalités particulières d’application pour les dépôts d’autorisation environnementale</w:t>
            </w:r>
          </w:p>
        </w:tc>
        <w:tc>
          <w:tcPr>
            <w:tcW w:w="4110" w:type="dxa"/>
            <w:tcBorders>
              <w:top w:val="single" w:sz="4" w:space="0" w:color="auto"/>
              <w:left w:val="single" w:sz="4" w:space="0" w:color="auto"/>
              <w:bottom w:val="single" w:sz="4" w:space="0" w:color="auto"/>
              <w:right w:val="single" w:sz="4" w:space="0" w:color="auto"/>
            </w:tcBorders>
            <w:shd w:val="clear" w:color="000000" w:fill="4472C4"/>
          </w:tcPr>
          <w:p w:rsidR="00433A6A" w:rsidRPr="00433A6A" w:rsidRDefault="00433A6A" w:rsidP="00433A6A">
            <w:pPr>
              <w:spacing w:after="0" w:line="240" w:lineRule="auto"/>
              <w:jc w:val="center"/>
              <w:rPr>
                <w:rFonts w:ascii="Calibri" w:hAnsi="Calibri" w:cs="Calibri"/>
                <w:color w:val="FFFFFF"/>
                <w:sz w:val="22"/>
                <w:szCs w:val="22"/>
              </w:rPr>
            </w:pPr>
          </w:p>
          <w:p w:rsidR="00433A6A" w:rsidRPr="00433A6A" w:rsidRDefault="00433A6A" w:rsidP="00433A6A">
            <w:pPr>
              <w:spacing w:after="0" w:line="240" w:lineRule="auto"/>
              <w:rPr>
                <w:rFonts w:ascii="Calibri" w:hAnsi="Calibri" w:cs="Calibri"/>
                <w:color w:val="FFFFFF"/>
                <w:sz w:val="22"/>
                <w:szCs w:val="22"/>
              </w:rPr>
            </w:pPr>
            <w:r w:rsidRPr="00433A6A">
              <w:rPr>
                <w:rFonts w:ascii="Calibri" w:hAnsi="Calibri" w:cs="Calibri"/>
                <w:color w:val="FFFFFF"/>
                <w:sz w:val="22"/>
                <w:szCs w:val="22"/>
              </w:rPr>
              <w:t xml:space="preserve">Modalités particulières d’application pour les dépôts de </w:t>
            </w:r>
            <w:r w:rsidR="00412A61" w:rsidRPr="00412A61">
              <w:rPr>
                <w:rFonts w:ascii="Calibri" w:hAnsi="Calibri" w:cs="Calibri"/>
                <w:color w:val="FFFFFF"/>
                <w:sz w:val="22"/>
                <w:szCs w:val="22"/>
              </w:rPr>
              <w:t xml:space="preserve">porter-à-connaissance  </w:t>
            </w:r>
            <w:r w:rsidRPr="00433A6A">
              <w:rPr>
                <w:rFonts w:ascii="Calibri" w:hAnsi="Calibri" w:cs="Calibri"/>
                <w:color w:val="FFFFFF"/>
                <w:sz w:val="22"/>
                <w:szCs w:val="22"/>
              </w:rPr>
              <w:t>(renouvellement)</w:t>
            </w:r>
          </w:p>
        </w:tc>
      </w:tr>
      <w:tr w:rsidR="00433A6A" w:rsidRPr="00433A6A" w:rsidTr="00433A6A">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2.1</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2.2</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2.3-I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2.3-II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3-III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4.1-I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4.1-II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4.1-III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4.1-IV</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4.1-V</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F3539A" w:rsidP="00433A6A">
            <w:pPr>
              <w:spacing w:after="0" w:line="240" w:lineRule="auto"/>
              <w:jc w:val="center"/>
              <w:rPr>
                <w:rFonts w:ascii="Calibri" w:hAnsi="Calibri" w:cs="Calibri"/>
                <w:color w:val="006100"/>
                <w:sz w:val="22"/>
                <w:szCs w:val="22"/>
              </w:rPr>
            </w:pPr>
            <w:r>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4.2-I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4.2-II</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Non 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4.3</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8</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9</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10</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11</w:t>
            </w:r>
          </w:p>
        </w:tc>
        <w:tc>
          <w:tcPr>
            <w:tcW w:w="1023" w:type="dxa"/>
            <w:tcBorders>
              <w:top w:val="nil"/>
              <w:left w:val="nil"/>
              <w:bottom w:val="single" w:sz="8"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8"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432"/>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12</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8"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13</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14</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15</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16</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0"/>
        </w:trPr>
        <w:tc>
          <w:tcPr>
            <w:tcW w:w="969" w:type="dxa"/>
            <w:tcBorders>
              <w:top w:val="nil"/>
              <w:left w:val="single" w:sz="8" w:space="0" w:color="auto"/>
              <w:bottom w:val="nil"/>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17</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425"/>
        </w:trPr>
        <w:tc>
          <w:tcPr>
            <w:tcW w:w="96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lastRenderedPageBreak/>
              <w:t>18</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18-I</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8" w:space="0" w:color="auto"/>
              <w:bottom w:val="single" w:sz="4" w:space="0" w:color="000000"/>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18-II</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8" w:space="0" w:color="auto"/>
              <w:bottom w:val="single" w:sz="4" w:space="0" w:color="000000"/>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18-III</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vMerge/>
            <w:tcBorders>
              <w:top w:val="single" w:sz="4" w:space="0" w:color="auto"/>
              <w:left w:val="single" w:sz="8" w:space="0" w:color="auto"/>
              <w:bottom w:val="single" w:sz="4" w:space="0" w:color="000000"/>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18-IV</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19</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tcBorders>
              <w:top w:val="nil"/>
              <w:left w:val="single" w:sz="8" w:space="0" w:color="auto"/>
              <w:bottom w:val="nil"/>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21</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22</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23</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24</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25</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26</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27</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630"/>
        </w:trPr>
        <w:tc>
          <w:tcPr>
            <w:tcW w:w="96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28</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28-I</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highlight w:val="yellow"/>
              </w:rPr>
            </w:pPr>
            <w:r w:rsidRPr="00433A6A">
              <w:rPr>
                <w:rFonts w:asciiTheme="minorHAnsi" w:eastAsiaTheme="minorHAnsi" w:hAnsiTheme="minorHAnsi" w:cstheme="minorBidi"/>
                <w:sz w:val="22"/>
                <w:szCs w:val="22"/>
                <w:lang w:eastAsia="en-US"/>
              </w:rPr>
              <w:t>Applicable pour les installations dont la mise en service industrielle est postérieure au 01/01/2022</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highlight w:val="yellow"/>
              </w:rPr>
            </w:pPr>
            <w:r w:rsidRPr="00433A6A">
              <w:rPr>
                <w:rFonts w:asciiTheme="minorHAnsi" w:eastAsiaTheme="minorHAnsi" w:hAnsiTheme="minorHAnsi" w:cstheme="minorBidi"/>
                <w:sz w:val="22"/>
                <w:szCs w:val="22"/>
                <w:lang w:eastAsia="en-US"/>
              </w:rPr>
              <w:t>Applicable pour les installations dont la mise en service industrielle est postérieure au 01/01/2022</w:t>
            </w:r>
          </w:p>
        </w:tc>
      </w:tr>
      <w:tr w:rsidR="00433A6A" w:rsidRPr="00433A6A" w:rsidTr="00433A6A">
        <w:trPr>
          <w:trHeight w:val="360"/>
        </w:trPr>
        <w:tc>
          <w:tcPr>
            <w:tcW w:w="969" w:type="dxa"/>
            <w:vMerge/>
            <w:tcBorders>
              <w:top w:val="nil"/>
              <w:left w:val="single" w:sz="8" w:space="0" w:color="auto"/>
              <w:bottom w:val="single" w:sz="8" w:space="0" w:color="000000"/>
              <w:right w:val="single" w:sz="4" w:space="0" w:color="auto"/>
            </w:tcBorders>
            <w:vAlign w:val="center"/>
            <w:hideMark/>
          </w:tcPr>
          <w:p w:rsidR="00433A6A" w:rsidRPr="00433A6A" w:rsidRDefault="00433A6A" w:rsidP="00433A6A">
            <w:pPr>
              <w:spacing w:after="0" w:line="240" w:lineRule="auto"/>
              <w:rPr>
                <w:rFonts w:ascii="Calibri" w:hAnsi="Calibri" w:cs="Calibri"/>
                <w:color w:val="000000"/>
                <w:sz w:val="22"/>
                <w:szCs w:val="22"/>
              </w:rPr>
            </w:pPr>
          </w:p>
        </w:tc>
        <w:tc>
          <w:tcPr>
            <w:tcW w:w="1023" w:type="dxa"/>
            <w:tcBorders>
              <w:top w:val="nil"/>
              <w:left w:val="nil"/>
              <w:bottom w:val="single" w:sz="8"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28-II</w:t>
            </w:r>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8"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236EB1" w:rsidRPr="00433A6A" w:rsidTr="0030518C">
        <w:trPr>
          <w:trHeight w:val="300"/>
        </w:trPr>
        <w:tc>
          <w:tcPr>
            <w:tcW w:w="969" w:type="dxa"/>
            <w:vMerge w:val="restart"/>
            <w:tcBorders>
              <w:top w:val="nil"/>
              <w:left w:val="single" w:sz="8" w:space="0" w:color="auto"/>
              <w:right w:val="single" w:sz="4" w:space="0" w:color="auto"/>
            </w:tcBorders>
            <w:shd w:val="clear" w:color="auto" w:fill="auto"/>
            <w:noWrap/>
            <w:vAlign w:val="center"/>
            <w:hideMark/>
          </w:tcPr>
          <w:p w:rsidR="00236EB1" w:rsidRPr="00433A6A" w:rsidRDefault="00236EB1"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29</w:t>
            </w:r>
          </w:p>
        </w:tc>
        <w:tc>
          <w:tcPr>
            <w:tcW w:w="1023" w:type="dxa"/>
            <w:tcBorders>
              <w:top w:val="nil"/>
              <w:left w:val="nil"/>
              <w:bottom w:val="single" w:sz="4" w:space="0" w:color="auto"/>
              <w:right w:val="single" w:sz="8" w:space="0" w:color="auto"/>
            </w:tcBorders>
            <w:shd w:val="clear" w:color="auto" w:fill="auto"/>
            <w:noWrap/>
            <w:vAlign w:val="center"/>
            <w:hideMark/>
          </w:tcPr>
          <w:p w:rsidR="00236EB1" w:rsidRPr="00433A6A" w:rsidRDefault="00236EB1"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29-I</w:t>
            </w:r>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rsidR="00236EB1" w:rsidRPr="00433A6A" w:rsidRDefault="00236EB1"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8" w:space="0" w:color="auto"/>
              <w:left w:val="single" w:sz="4" w:space="0" w:color="auto"/>
              <w:bottom w:val="single" w:sz="4" w:space="0" w:color="auto"/>
              <w:right w:val="single" w:sz="8" w:space="0" w:color="auto"/>
            </w:tcBorders>
            <w:shd w:val="clear" w:color="auto" w:fill="auto"/>
          </w:tcPr>
          <w:p w:rsidR="00236EB1" w:rsidRPr="00433A6A" w:rsidRDefault="00236EB1"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236EB1" w:rsidRPr="00433A6A" w:rsidTr="0030518C">
        <w:trPr>
          <w:trHeight w:val="315"/>
        </w:trPr>
        <w:tc>
          <w:tcPr>
            <w:tcW w:w="969" w:type="dxa"/>
            <w:vMerge/>
            <w:tcBorders>
              <w:left w:val="single" w:sz="8" w:space="0" w:color="auto"/>
              <w:right w:val="single" w:sz="4" w:space="0" w:color="auto"/>
            </w:tcBorders>
            <w:vAlign w:val="center"/>
            <w:hideMark/>
          </w:tcPr>
          <w:p w:rsidR="00236EB1" w:rsidRPr="00433A6A" w:rsidRDefault="00236EB1" w:rsidP="00433A6A">
            <w:pPr>
              <w:spacing w:after="0" w:line="240" w:lineRule="auto"/>
              <w:rPr>
                <w:rFonts w:ascii="Calibri" w:hAnsi="Calibri" w:cs="Calibri"/>
                <w:color w:val="000000"/>
                <w:sz w:val="22"/>
                <w:szCs w:val="22"/>
              </w:rPr>
            </w:pPr>
          </w:p>
        </w:tc>
        <w:tc>
          <w:tcPr>
            <w:tcW w:w="1023" w:type="dxa"/>
            <w:tcBorders>
              <w:top w:val="nil"/>
              <w:left w:val="nil"/>
              <w:bottom w:val="single" w:sz="8" w:space="0" w:color="auto"/>
              <w:right w:val="single" w:sz="8" w:space="0" w:color="auto"/>
            </w:tcBorders>
            <w:shd w:val="clear" w:color="auto" w:fill="auto"/>
            <w:noWrap/>
            <w:vAlign w:val="center"/>
            <w:hideMark/>
          </w:tcPr>
          <w:p w:rsidR="00236EB1" w:rsidRPr="00433A6A" w:rsidRDefault="00236EB1"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29-II</w:t>
            </w:r>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rsidR="00236EB1" w:rsidRPr="00433A6A" w:rsidRDefault="00236EB1"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8" w:space="0" w:color="auto"/>
              <w:right w:val="single" w:sz="8" w:space="0" w:color="auto"/>
            </w:tcBorders>
            <w:shd w:val="clear" w:color="auto" w:fill="auto"/>
          </w:tcPr>
          <w:p w:rsidR="00236EB1" w:rsidRPr="00433A6A" w:rsidRDefault="00236EB1"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236EB1" w:rsidRPr="00433A6A" w:rsidTr="0030518C">
        <w:trPr>
          <w:trHeight w:val="315"/>
        </w:trPr>
        <w:tc>
          <w:tcPr>
            <w:tcW w:w="969" w:type="dxa"/>
            <w:vMerge/>
            <w:tcBorders>
              <w:left w:val="single" w:sz="8" w:space="0" w:color="auto"/>
              <w:bottom w:val="single" w:sz="8" w:space="0" w:color="000000"/>
              <w:right w:val="single" w:sz="4" w:space="0" w:color="auto"/>
            </w:tcBorders>
            <w:vAlign w:val="center"/>
          </w:tcPr>
          <w:p w:rsidR="00236EB1" w:rsidRPr="00433A6A" w:rsidRDefault="00236EB1" w:rsidP="00433A6A">
            <w:pPr>
              <w:spacing w:after="0" w:line="240" w:lineRule="auto"/>
              <w:rPr>
                <w:rFonts w:ascii="Calibri" w:hAnsi="Calibri" w:cs="Calibri"/>
                <w:color w:val="000000"/>
                <w:sz w:val="22"/>
                <w:szCs w:val="22"/>
              </w:rPr>
            </w:pPr>
          </w:p>
        </w:tc>
        <w:tc>
          <w:tcPr>
            <w:tcW w:w="1023" w:type="dxa"/>
            <w:tcBorders>
              <w:top w:val="nil"/>
              <w:left w:val="nil"/>
              <w:bottom w:val="single" w:sz="8" w:space="0" w:color="auto"/>
              <w:right w:val="single" w:sz="8" w:space="0" w:color="auto"/>
            </w:tcBorders>
            <w:shd w:val="clear" w:color="auto" w:fill="auto"/>
            <w:noWrap/>
            <w:vAlign w:val="center"/>
          </w:tcPr>
          <w:p w:rsidR="00236EB1" w:rsidRPr="00433A6A" w:rsidRDefault="00236EB1" w:rsidP="00433A6A">
            <w:pPr>
              <w:spacing w:after="0" w:line="240" w:lineRule="auto"/>
              <w:jc w:val="center"/>
              <w:rPr>
                <w:rFonts w:ascii="Calibri" w:hAnsi="Calibri" w:cs="Calibri"/>
                <w:color w:val="000000"/>
                <w:sz w:val="22"/>
                <w:szCs w:val="22"/>
              </w:rPr>
            </w:pPr>
            <w:r>
              <w:rPr>
                <w:rFonts w:ascii="Calibri" w:hAnsi="Calibri" w:cs="Calibri"/>
                <w:color w:val="000000"/>
                <w:sz w:val="22"/>
                <w:szCs w:val="22"/>
              </w:rPr>
              <w:t>29-III</w:t>
            </w:r>
          </w:p>
        </w:tc>
        <w:tc>
          <w:tcPr>
            <w:tcW w:w="4099" w:type="dxa"/>
            <w:tcBorders>
              <w:top w:val="single" w:sz="4" w:space="0" w:color="auto"/>
              <w:left w:val="single" w:sz="4" w:space="0" w:color="auto"/>
              <w:bottom w:val="single" w:sz="8" w:space="0" w:color="auto"/>
              <w:right w:val="single" w:sz="8" w:space="0" w:color="auto"/>
            </w:tcBorders>
            <w:shd w:val="clear" w:color="auto" w:fill="auto"/>
            <w:noWrap/>
          </w:tcPr>
          <w:p w:rsidR="00236EB1" w:rsidRPr="00433A6A" w:rsidRDefault="00236EB1" w:rsidP="00236EB1">
            <w:pPr>
              <w:spacing w:after="0" w:line="240"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Applicable</w:t>
            </w:r>
            <w:r w:rsidR="00F3539A">
              <w:rPr>
                <w:rFonts w:asciiTheme="minorHAnsi" w:eastAsiaTheme="minorHAnsi" w:hAnsiTheme="minorHAnsi" w:cstheme="minorBidi"/>
                <w:sz w:val="22"/>
                <w:szCs w:val="22"/>
                <w:lang w:eastAsia="en-US"/>
              </w:rPr>
              <w:t xml:space="preserve"> </w:t>
            </w:r>
            <w:r w:rsidR="000C6673" w:rsidRPr="000C6673">
              <w:rPr>
                <w:rFonts w:asciiTheme="minorHAnsi" w:eastAsiaTheme="minorHAnsi" w:hAnsiTheme="minorHAnsi" w:cstheme="minorBidi"/>
                <w:sz w:val="22"/>
                <w:szCs w:val="22"/>
                <w:lang w:eastAsia="en-US"/>
              </w:rPr>
              <w:t>aux cessations d’activités déclarées</w:t>
            </w:r>
            <w:r>
              <w:rPr>
                <w:rFonts w:asciiTheme="minorHAnsi" w:eastAsiaTheme="minorHAnsi" w:hAnsiTheme="minorHAnsi" w:cstheme="minorBidi"/>
                <w:sz w:val="22"/>
                <w:szCs w:val="22"/>
                <w:lang w:eastAsia="en-US"/>
              </w:rPr>
              <w:t xml:space="preserve"> à partir du 01/06/ 2022</w:t>
            </w:r>
          </w:p>
        </w:tc>
        <w:tc>
          <w:tcPr>
            <w:tcW w:w="4110" w:type="dxa"/>
            <w:tcBorders>
              <w:top w:val="single" w:sz="4" w:space="0" w:color="auto"/>
              <w:left w:val="single" w:sz="4" w:space="0" w:color="auto"/>
              <w:bottom w:val="single" w:sz="8" w:space="0" w:color="auto"/>
              <w:right w:val="single" w:sz="8" w:space="0" w:color="auto"/>
            </w:tcBorders>
            <w:shd w:val="clear" w:color="auto" w:fill="auto"/>
          </w:tcPr>
          <w:p w:rsidR="00236EB1" w:rsidRPr="00433A6A" w:rsidRDefault="00236EB1" w:rsidP="00433A6A">
            <w:pPr>
              <w:spacing w:after="0" w:line="240"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Applicable </w:t>
            </w:r>
            <w:r w:rsidR="000C6673" w:rsidRPr="000C6673">
              <w:rPr>
                <w:rFonts w:asciiTheme="minorHAnsi" w:eastAsiaTheme="minorHAnsi" w:hAnsiTheme="minorHAnsi" w:cstheme="minorBidi"/>
                <w:sz w:val="22"/>
                <w:szCs w:val="22"/>
                <w:lang w:eastAsia="en-US"/>
              </w:rPr>
              <w:t xml:space="preserve">aux cessations d’activités déclarées </w:t>
            </w:r>
            <w:r>
              <w:rPr>
                <w:rFonts w:asciiTheme="minorHAnsi" w:eastAsiaTheme="minorHAnsi" w:hAnsiTheme="minorHAnsi" w:cstheme="minorBidi"/>
                <w:sz w:val="22"/>
                <w:szCs w:val="22"/>
                <w:lang w:eastAsia="en-US"/>
              </w:rPr>
              <w:t>à partir du 01/06/ 2022</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30</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8"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8"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00"/>
        </w:trPr>
        <w:tc>
          <w:tcPr>
            <w:tcW w:w="969" w:type="dxa"/>
            <w:tcBorders>
              <w:top w:val="nil"/>
              <w:left w:val="single" w:sz="8" w:space="0" w:color="auto"/>
              <w:bottom w:val="single" w:sz="4"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31</w:t>
            </w:r>
          </w:p>
        </w:tc>
        <w:tc>
          <w:tcPr>
            <w:tcW w:w="1023" w:type="dxa"/>
            <w:tcBorders>
              <w:top w:val="nil"/>
              <w:left w:val="nil"/>
              <w:bottom w:val="single" w:sz="4"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4"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4"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r w:rsidR="00433A6A" w:rsidRPr="00433A6A" w:rsidTr="00433A6A">
        <w:trPr>
          <w:trHeight w:val="315"/>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32</w:t>
            </w:r>
          </w:p>
        </w:tc>
        <w:tc>
          <w:tcPr>
            <w:tcW w:w="1023" w:type="dxa"/>
            <w:tcBorders>
              <w:top w:val="nil"/>
              <w:left w:val="nil"/>
              <w:bottom w:val="single" w:sz="8" w:space="0" w:color="auto"/>
              <w:right w:val="single" w:sz="8" w:space="0" w:color="auto"/>
            </w:tcBorders>
            <w:shd w:val="clear" w:color="auto" w:fill="auto"/>
            <w:noWrap/>
            <w:vAlign w:val="center"/>
            <w:hideMark/>
          </w:tcPr>
          <w:p w:rsidR="00433A6A" w:rsidRPr="00433A6A" w:rsidRDefault="00433A6A" w:rsidP="00433A6A">
            <w:pPr>
              <w:spacing w:after="0" w:line="240" w:lineRule="auto"/>
              <w:jc w:val="center"/>
              <w:rPr>
                <w:rFonts w:ascii="Calibri" w:hAnsi="Calibri" w:cs="Calibri"/>
                <w:color w:val="000000"/>
                <w:sz w:val="22"/>
                <w:szCs w:val="22"/>
              </w:rPr>
            </w:pPr>
            <w:r w:rsidRPr="00433A6A">
              <w:rPr>
                <w:rFonts w:ascii="Calibri" w:hAnsi="Calibri" w:cs="Calibri"/>
                <w:color w:val="000000"/>
                <w:sz w:val="22"/>
                <w:szCs w:val="22"/>
              </w:rPr>
              <w:t xml:space="preserve"> -</w:t>
            </w:r>
          </w:p>
        </w:tc>
        <w:tc>
          <w:tcPr>
            <w:tcW w:w="4099" w:type="dxa"/>
            <w:tcBorders>
              <w:top w:val="single" w:sz="4" w:space="0" w:color="auto"/>
              <w:left w:val="single" w:sz="4" w:space="0" w:color="auto"/>
              <w:bottom w:val="single" w:sz="8" w:space="0" w:color="auto"/>
              <w:right w:val="single" w:sz="8" w:space="0" w:color="auto"/>
            </w:tcBorders>
            <w:shd w:val="clear" w:color="auto" w:fill="auto"/>
            <w:noWrap/>
            <w:hideMark/>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c>
          <w:tcPr>
            <w:tcW w:w="4110" w:type="dxa"/>
            <w:tcBorders>
              <w:top w:val="single" w:sz="4" w:space="0" w:color="auto"/>
              <w:left w:val="single" w:sz="4" w:space="0" w:color="auto"/>
              <w:bottom w:val="single" w:sz="8" w:space="0" w:color="auto"/>
              <w:right w:val="single" w:sz="8" w:space="0" w:color="auto"/>
            </w:tcBorders>
            <w:shd w:val="clear" w:color="auto" w:fill="auto"/>
          </w:tcPr>
          <w:p w:rsidR="00433A6A" w:rsidRPr="00433A6A" w:rsidRDefault="00433A6A" w:rsidP="00433A6A">
            <w:pPr>
              <w:spacing w:after="0" w:line="240" w:lineRule="auto"/>
              <w:jc w:val="center"/>
              <w:rPr>
                <w:rFonts w:ascii="Calibri" w:hAnsi="Calibri" w:cs="Calibri"/>
                <w:color w:val="006100"/>
                <w:sz w:val="22"/>
                <w:szCs w:val="22"/>
              </w:rPr>
            </w:pPr>
            <w:r w:rsidRPr="00433A6A">
              <w:rPr>
                <w:rFonts w:asciiTheme="minorHAnsi" w:eastAsiaTheme="minorHAnsi" w:hAnsiTheme="minorHAnsi" w:cstheme="minorBidi"/>
                <w:sz w:val="22"/>
                <w:szCs w:val="22"/>
                <w:lang w:eastAsia="en-US"/>
              </w:rPr>
              <w:t>Applicable</w:t>
            </w:r>
          </w:p>
        </w:tc>
      </w:tr>
    </w:tbl>
    <w:p w:rsidR="00433A6A" w:rsidRPr="00433A6A" w:rsidRDefault="00433A6A" w:rsidP="00433A6A">
      <w:pPr>
        <w:spacing w:after="100" w:afterAutospacing="1" w:line="240" w:lineRule="auto"/>
        <w:ind w:left="750"/>
        <w:jc w:val="center"/>
        <w:outlineLvl w:val="3"/>
        <w:rPr>
          <w:b/>
          <w:bCs/>
        </w:rPr>
      </w:pPr>
    </w:p>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III.2 / Installation</w:t>
      </w:r>
      <w:r w:rsidR="000C6673">
        <w:rPr>
          <w:rFonts w:asciiTheme="minorHAnsi" w:hAnsiTheme="minorHAnsi" w:cstheme="minorHAnsi"/>
          <w:sz w:val="22"/>
          <w:szCs w:val="22"/>
        </w:rPr>
        <w:t xml:space="preserve"> existante</w:t>
      </w:r>
      <w:r w:rsidRPr="00233496">
        <w:rPr>
          <w:rFonts w:asciiTheme="minorHAnsi" w:hAnsiTheme="minorHAnsi" w:cstheme="minorHAnsi"/>
          <w:sz w:val="22"/>
          <w:szCs w:val="22"/>
        </w:rPr>
        <w:t xml:space="preserve"> dont le dépôt de demande d’autorisation environnementale ou de </w:t>
      </w:r>
      <w:r w:rsidR="00412A61" w:rsidRPr="00412A61">
        <w:rPr>
          <w:rFonts w:asciiTheme="minorHAnsi" w:hAnsiTheme="minorHAnsi" w:cstheme="minorHAnsi"/>
          <w:sz w:val="22"/>
          <w:szCs w:val="22"/>
        </w:rPr>
        <w:t>porter-à-</w:t>
      </w:r>
      <w:proofErr w:type="gramStart"/>
      <w:r w:rsidR="00412A61" w:rsidRPr="00412A61">
        <w:rPr>
          <w:rFonts w:asciiTheme="minorHAnsi" w:hAnsiTheme="minorHAnsi" w:cstheme="minorHAnsi"/>
          <w:sz w:val="22"/>
          <w:szCs w:val="22"/>
        </w:rPr>
        <w:t xml:space="preserve">connaissance  </w:t>
      </w:r>
      <w:r w:rsidRPr="00233496">
        <w:rPr>
          <w:rFonts w:asciiTheme="minorHAnsi" w:hAnsiTheme="minorHAnsi" w:cstheme="minorHAnsi"/>
          <w:sz w:val="22"/>
          <w:szCs w:val="22"/>
        </w:rPr>
        <w:t>(</w:t>
      </w:r>
      <w:proofErr w:type="gramEnd"/>
      <w:r w:rsidRPr="00233496">
        <w:rPr>
          <w:rFonts w:asciiTheme="minorHAnsi" w:hAnsiTheme="minorHAnsi" w:cstheme="minorHAnsi"/>
          <w:sz w:val="22"/>
          <w:szCs w:val="22"/>
        </w:rPr>
        <w:t>renouvellement) a été fait entre le 23 novembre 2014 et le 30 juin 2020 inclus</w:t>
      </w:r>
    </w:p>
    <w:tbl>
      <w:tblPr>
        <w:tblW w:w="10343" w:type="dxa"/>
        <w:tblInd w:w="-142" w:type="dxa"/>
        <w:tblCellMar>
          <w:left w:w="70" w:type="dxa"/>
          <w:right w:w="70" w:type="dxa"/>
        </w:tblCellMar>
        <w:tblLook w:val="04A0" w:firstRow="1" w:lastRow="0" w:firstColumn="1" w:lastColumn="0" w:noHBand="0" w:noVBand="1"/>
      </w:tblPr>
      <w:tblGrid>
        <w:gridCol w:w="1007"/>
        <w:gridCol w:w="780"/>
        <w:gridCol w:w="4304"/>
        <w:gridCol w:w="4252"/>
      </w:tblGrid>
      <w:tr w:rsidR="00433A6A" w:rsidRPr="00233496" w:rsidTr="00433A6A">
        <w:trPr>
          <w:trHeight w:val="1138"/>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Article concerné</w:t>
            </w:r>
          </w:p>
        </w:tc>
        <w:tc>
          <w:tcPr>
            <w:tcW w:w="780"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Sous</w:t>
            </w:r>
            <w:r w:rsidRPr="00233496">
              <w:rPr>
                <w:rFonts w:asciiTheme="minorHAnsi" w:hAnsiTheme="minorHAnsi" w:cstheme="minorHAnsi"/>
                <w:color w:val="FFFFFF" w:themeColor="background1"/>
                <w:sz w:val="22"/>
                <w:szCs w:val="22"/>
              </w:rPr>
              <w:br/>
              <w:t xml:space="preserve"> - art.</w:t>
            </w:r>
          </w:p>
        </w:tc>
        <w:tc>
          <w:tcPr>
            <w:tcW w:w="4304"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Modalités particulières d’application pour les dépôts d’autorisation environnementale</w:t>
            </w:r>
          </w:p>
        </w:tc>
        <w:tc>
          <w:tcPr>
            <w:tcW w:w="4252" w:type="dxa"/>
            <w:tcBorders>
              <w:top w:val="single" w:sz="4" w:space="0" w:color="auto"/>
              <w:left w:val="single" w:sz="4" w:space="0" w:color="auto"/>
              <w:bottom w:val="single" w:sz="4" w:space="0" w:color="auto"/>
              <w:right w:val="single" w:sz="4" w:space="0" w:color="auto"/>
            </w:tcBorders>
            <w:shd w:val="clear" w:color="000000" w:fill="4472C4"/>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 xml:space="preserve">Modalités particulières d’application pour les dépôts de </w:t>
            </w:r>
            <w:r w:rsidR="00412A61" w:rsidRPr="00412A61">
              <w:rPr>
                <w:rFonts w:asciiTheme="minorHAnsi" w:hAnsiTheme="minorHAnsi" w:cstheme="minorHAnsi"/>
                <w:color w:val="FFFFFF" w:themeColor="background1"/>
                <w:sz w:val="22"/>
                <w:szCs w:val="22"/>
              </w:rPr>
              <w:t xml:space="preserve">porter-à-connaissance  </w:t>
            </w:r>
            <w:r w:rsidRPr="00233496">
              <w:rPr>
                <w:rFonts w:asciiTheme="minorHAnsi" w:hAnsiTheme="minorHAnsi" w:cstheme="minorHAnsi"/>
                <w:color w:val="FFFFFF" w:themeColor="background1"/>
                <w:sz w:val="22"/>
                <w:szCs w:val="22"/>
              </w:rPr>
              <w:t>(renouvellement)</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nil"/>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Non applicable</w:t>
            </w:r>
          </w:p>
        </w:tc>
        <w:tc>
          <w:tcPr>
            <w:tcW w:w="4252" w:type="dxa"/>
            <w:tcBorders>
              <w:top w:val="single" w:sz="4" w:space="0" w:color="auto"/>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233496" w:rsidRPr="00233496" w:rsidTr="000F6A59">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w:t>
            </w:r>
          </w:p>
        </w:tc>
        <w:tc>
          <w:tcPr>
            <w:tcW w:w="8556" w:type="dxa"/>
            <w:gridSpan w:val="2"/>
            <w:vMerge w:val="restart"/>
            <w:tcBorders>
              <w:top w:val="single" w:sz="4" w:space="0" w:color="auto"/>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eastAsiaTheme="minorHAnsi" w:hAnsiTheme="minorHAnsi" w:cstheme="minorHAnsi"/>
                <w:sz w:val="22"/>
                <w:szCs w:val="22"/>
                <w:lang w:eastAsia="en-US"/>
              </w:rPr>
            </w:pPr>
            <w:r w:rsidRPr="00233496">
              <w:rPr>
                <w:rFonts w:asciiTheme="minorHAnsi" w:hAnsiTheme="minorHAnsi" w:cstheme="minorHAnsi"/>
                <w:sz w:val="22"/>
                <w:szCs w:val="22"/>
              </w:rPr>
              <w:t>Les dispositions de l'article 4 sont remplacées par les dispositions suivantes :</w:t>
            </w:r>
            <w:r w:rsidRPr="00233496">
              <w:rPr>
                <w:rFonts w:asciiTheme="minorHAnsi" w:eastAsiaTheme="minorHAnsi" w:hAnsiTheme="minorHAnsi" w:cstheme="minorHAnsi"/>
                <w:sz w:val="22"/>
                <w:szCs w:val="22"/>
                <w:lang w:eastAsia="en-US"/>
              </w:rPr>
              <w:t xml:space="preserve"> </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L</w:t>
            </w:r>
            <w:r w:rsidRPr="00233496">
              <w:rPr>
                <w:rFonts w:asciiTheme="minorHAnsi" w:hAnsiTheme="minorHAnsi" w:cstheme="minorHAnsi"/>
                <w:sz w:val="22"/>
                <w:szCs w:val="22"/>
              </w:rPr>
              <w:t>'installation est implantée de façon à ne pas perturber de manière significative le fonctionnement des radars et des aides à la navigation utilisés dans le cadre des missions de sécurité de la navigation aérienne et de sécurité météorologique des personnes et des biens.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lastRenderedPageBreak/>
              <w:t>En outre, les perturbations générées par l'installation ne gênent pas de manière significative le fonctionnement des équipements militaires.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 Afin de satisfaire au premier alinéa du présent article, les aérogénérateurs sont implantés dans le respect des distances minimales d'éloignement indiquées dans le tableau I ci-dessous sauf si l'exploitant dispose de l'accord écrit du ministère en charge de l'aviation civile ou de l'autorité portuaire en charge de l'exploitation du radar.</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Tableau I</w:t>
            </w:r>
          </w:p>
          <w:tbl>
            <w:tblPr>
              <w:tblW w:w="410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1843"/>
            </w:tblGrid>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b/>
                      <w:bCs/>
                      <w:sz w:val="22"/>
                      <w:szCs w:val="22"/>
                    </w:rPr>
                  </w:pPr>
                  <w:r w:rsidRPr="00233496">
                    <w:rPr>
                      <w:rFonts w:asciiTheme="minorHAnsi" w:hAnsiTheme="minorHAnsi" w:cstheme="minorHAnsi"/>
                      <w:b/>
                      <w:bCs/>
                      <w:sz w:val="22"/>
                      <w:szCs w:val="22"/>
                    </w:rPr>
                    <w:br/>
                    <w:t xml:space="preserve">DISTANCE MINIMALE </w:t>
                  </w:r>
                  <w:r w:rsidRPr="00233496">
                    <w:rPr>
                      <w:rFonts w:asciiTheme="minorHAnsi" w:hAnsiTheme="minorHAnsi" w:cstheme="minorHAnsi"/>
                      <w:b/>
                      <w:bCs/>
                      <w:sz w:val="22"/>
                      <w:szCs w:val="22"/>
                    </w:rPr>
                    <w:br/>
                    <w:t>d'éloignement en kilomètres</w:t>
                  </w: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Radar de l'aviation civile :</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radar primaire ;</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30</w:t>
                  </w: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radar secondaire ;</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16</w:t>
                  </w: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VOR (Visual Omni Range).</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15</w:t>
                  </w: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Radar des ports (navigations maritimes et fluviales)</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Radar portuaire</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20</w:t>
                  </w:r>
                </w:p>
              </w:tc>
            </w:tr>
            <w:tr w:rsidR="00233496" w:rsidRPr="00233496" w:rsidTr="00433A6A">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Radar de centre régional de surveillance et de sauvetage</w:t>
                  </w:r>
                </w:p>
              </w:tc>
              <w:tc>
                <w:tcPr>
                  <w:tcW w:w="179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10</w:t>
                  </w:r>
                </w:p>
              </w:tc>
            </w:tr>
          </w:tbl>
          <w:p w:rsidR="00233496" w:rsidRPr="00233496" w:rsidRDefault="00233496" w:rsidP="00433A6A">
            <w:pPr>
              <w:spacing w:after="100" w:afterAutospacing="1" w:line="240" w:lineRule="auto"/>
              <w:jc w:val="both"/>
              <w:rPr>
                <w:rFonts w:asciiTheme="minorHAnsi" w:hAnsiTheme="minorHAnsi" w:cstheme="minorHAnsi"/>
                <w:sz w:val="22"/>
                <w:szCs w:val="22"/>
              </w:rPr>
            </w:pP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4-2-1. Afin de satisfaire au premier alinéa du présent article, l'implantation des aérogénérateurs est interdite à l'intérieur de la surface définie par la distance de protection précisée au tableau II de l'article 4 sauf avis favorable délivré par l'établissement public chargé des missions de l'Etat en matière de sécurité météorologique des personnes et des biens.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Afin de satisfaire au premier alinéa du présent article, les aérogénérateurs sont implantés dans le respect des distances minimales d'éloignement indiquées dans le tableau II ci-dessous, sauf si l'exploitant fournit une étude des impacts cumulés sur les risques de perturbations des radars météorologiques par les aérogénérateurs implantés en deçà des distances minimales d'éloignement indiquées dans le tableau II ci-dessous. Cette étude des impacts justifie du respect d'une longueur maximale de 10 km de chaque zone d'impact associée au projet, d'une inter-distance minimale de 10 km entre les différentes zones d'impacts, à tout moment d'une occultation maximale de 10 % de la surface du faisceau radar par un ou plusieurs </w:t>
            </w:r>
            <w:r w:rsidRPr="00233496">
              <w:rPr>
                <w:rFonts w:asciiTheme="minorHAnsi" w:hAnsiTheme="minorHAnsi" w:cstheme="minorHAnsi"/>
                <w:sz w:val="22"/>
                <w:szCs w:val="22"/>
              </w:rPr>
              <w:lastRenderedPageBreak/>
              <w:t xml:space="preserve">aérogénérateurs et d'une </w:t>
            </w:r>
            <w:proofErr w:type="spellStart"/>
            <w:r w:rsidRPr="00233496">
              <w:rPr>
                <w:rFonts w:asciiTheme="minorHAnsi" w:hAnsiTheme="minorHAnsi" w:cstheme="minorHAnsi"/>
                <w:sz w:val="22"/>
                <w:szCs w:val="22"/>
              </w:rPr>
              <w:t>interdistance</w:t>
            </w:r>
            <w:proofErr w:type="spellEnd"/>
            <w:r w:rsidRPr="00233496">
              <w:rPr>
                <w:rFonts w:asciiTheme="minorHAnsi" w:hAnsiTheme="minorHAnsi" w:cstheme="minorHAnsi"/>
                <w:sz w:val="22"/>
                <w:szCs w:val="22"/>
              </w:rPr>
              <w:t xml:space="preserve"> minimale de 10 km entre chaque zone d'impact et les sites sensibles constitués des installations nucléaires de base et des installations mentionnées à l'article L. 515-8 du code de l'environnement jusqu'au 31 mai 2015 ou à l'article L. 515-36 du code de l'environnement à partir du 1er juin 2015.</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L'étude des impacts peut être réalisée selon une méthode reconnue par le ministre chargé des installations classées pour la protection de l'environnement dans les conditions définies à l'article 4-2-2. A défaut, le préfet peut exiger l'avis d'un tiers-expert sur cette étude, dans les conditions de l'article R. 512-7 du code de l'environnement et il consulte pour avis l'établissement public chargé des missions de l'Etat en matière de sécurité météorologique des personnes et des biens ; cet avis est réputé favorable en l'absence de réponse dans les deux mois.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Pour les départements d'outre-mer et dans le cadre de la mise en œuvre d'une méthode reconnue par le ministre chargé des installations classées pour la protection de l'environnement, les critères fixés au deuxième alinéa du présent point 4-2-1 peuvent faire l'objet d'un aménagement spécifique au département concerné par décision du ministre chargé des installations classées pour la protection de l'environnement sur la base de l'avis consultatif de l'établissement public chargé des missions de l'Etat en matière de sécurité météorologique des personnes et des biens qu'il aura consulté, avis réputé favorable en l'absence de réponse dans les deux mois.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Tableau II</w:t>
            </w:r>
          </w:p>
          <w:tbl>
            <w:tblPr>
              <w:tblW w:w="36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4"/>
              <w:gridCol w:w="1065"/>
              <w:gridCol w:w="1429"/>
            </w:tblGrid>
            <w:tr w:rsidR="00233496" w:rsidRPr="00233496" w:rsidTr="00433A6A">
              <w:trPr>
                <w:trHeight w:val="1295"/>
                <w:tblCellSpacing w:w="15" w:type="dxa"/>
              </w:trPr>
              <w:tc>
                <w:tcPr>
                  <w:tcW w:w="141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c>
                <w:tcPr>
                  <w:tcW w:w="989"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b/>
                      <w:bCs/>
                      <w:sz w:val="22"/>
                      <w:szCs w:val="22"/>
                    </w:rPr>
                  </w:pPr>
                  <w:r w:rsidRPr="00233496">
                    <w:rPr>
                      <w:rFonts w:asciiTheme="minorHAnsi" w:hAnsiTheme="minorHAnsi" w:cstheme="minorHAnsi"/>
                      <w:b/>
                      <w:bCs/>
                      <w:sz w:val="22"/>
                      <w:szCs w:val="22"/>
                    </w:rPr>
                    <w:br/>
                    <w:t xml:space="preserve">DISTANCE </w:t>
                  </w:r>
                  <w:r w:rsidRPr="00233496">
                    <w:rPr>
                      <w:rFonts w:asciiTheme="minorHAnsi" w:hAnsiTheme="minorHAnsi" w:cstheme="minorHAnsi"/>
                      <w:b/>
                      <w:bCs/>
                      <w:sz w:val="22"/>
                      <w:szCs w:val="22"/>
                    </w:rPr>
                    <w:br/>
                    <w:t xml:space="preserve">de protection </w:t>
                  </w:r>
                  <w:r w:rsidRPr="00233496">
                    <w:rPr>
                      <w:rFonts w:asciiTheme="minorHAnsi" w:hAnsiTheme="minorHAnsi" w:cstheme="minorHAnsi"/>
                      <w:b/>
                      <w:bCs/>
                      <w:sz w:val="22"/>
                      <w:szCs w:val="22"/>
                    </w:rPr>
                    <w:br/>
                    <w:t>en kilomètres</w:t>
                  </w:r>
                </w:p>
              </w:tc>
              <w:tc>
                <w:tcPr>
                  <w:tcW w:w="113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b/>
                      <w:bCs/>
                      <w:sz w:val="22"/>
                      <w:szCs w:val="22"/>
                    </w:rPr>
                  </w:pPr>
                  <w:r w:rsidRPr="00233496">
                    <w:rPr>
                      <w:rFonts w:asciiTheme="minorHAnsi" w:hAnsiTheme="minorHAnsi" w:cstheme="minorHAnsi"/>
                      <w:b/>
                      <w:bCs/>
                      <w:sz w:val="22"/>
                      <w:szCs w:val="22"/>
                    </w:rPr>
                    <w:br/>
                    <w:t xml:space="preserve">DISTANCE MINIMALE </w:t>
                  </w:r>
                  <w:r w:rsidRPr="00233496">
                    <w:rPr>
                      <w:rFonts w:asciiTheme="minorHAnsi" w:hAnsiTheme="minorHAnsi" w:cstheme="minorHAnsi"/>
                      <w:b/>
                      <w:bCs/>
                      <w:sz w:val="22"/>
                      <w:szCs w:val="22"/>
                    </w:rPr>
                    <w:br/>
                    <w:t>d'éloignement en kilomètres</w:t>
                  </w:r>
                </w:p>
              </w:tc>
            </w:tr>
            <w:tr w:rsidR="00233496" w:rsidRPr="00233496" w:rsidTr="00433A6A">
              <w:trPr>
                <w:trHeight w:val="1024"/>
                <w:tblCellSpacing w:w="15" w:type="dxa"/>
              </w:trPr>
              <w:tc>
                <w:tcPr>
                  <w:tcW w:w="141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Radar météorologique :</w:t>
                  </w:r>
                </w:p>
              </w:tc>
              <w:tc>
                <w:tcPr>
                  <w:tcW w:w="989"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c>
                <w:tcPr>
                  <w:tcW w:w="113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433A6A">
              <w:trPr>
                <w:trHeight w:val="1037"/>
                <w:tblCellSpacing w:w="15" w:type="dxa"/>
              </w:trPr>
              <w:tc>
                <w:tcPr>
                  <w:tcW w:w="141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radar de bande de fréquence C</w:t>
                  </w:r>
                </w:p>
              </w:tc>
              <w:tc>
                <w:tcPr>
                  <w:tcW w:w="989"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5</w:t>
                  </w:r>
                </w:p>
              </w:tc>
              <w:tc>
                <w:tcPr>
                  <w:tcW w:w="113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20</w:t>
                  </w:r>
                </w:p>
              </w:tc>
            </w:tr>
            <w:tr w:rsidR="00233496" w:rsidRPr="00233496" w:rsidTr="00433A6A">
              <w:trPr>
                <w:trHeight w:val="1024"/>
                <w:tblCellSpacing w:w="15" w:type="dxa"/>
              </w:trPr>
              <w:tc>
                <w:tcPr>
                  <w:tcW w:w="141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radar de bande de fréquence S</w:t>
                  </w:r>
                </w:p>
              </w:tc>
              <w:tc>
                <w:tcPr>
                  <w:tcW w:w="989"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10</w:t>
                  </w:r>
                </w:p>
              </w:tc>
              <w:tc>
                <w:tcPr>
                  <w:tcW w:w="113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30</w:t>
                  </w:r>
                </w:p>
              </w:tc>
            </w:tr>
            <w:tr w:rsidR="00233496" w:rsidRPr="00233496" w:rsidTr="00433A6A">
              <w:trPr>
                <w:trHeight w:val="1037"/>
                <w:tblCellSpacing w:w="15" w:type="dxa"/>
              </w:trPr>
              <w:tc>
                <w:tcPr>
                  <w:tcW w:w="141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rPr>
                      <w:rFonts w:asciiTheme="minorHAnsi" w:hAnsiTheme="minorHAnsi" w:cstheme="minorHAnsi"/>
                      <w:sz w:val="22"/>
                      <w:szCs w:val="22"/>
                    </w:rPr>
                  </w:pPr>
                  <w:r w:rsidRPr="00233496">
                    <w:rPr>
                      <w:rFonts w:asciiTheme="minorHAnsi" w:hAnsiTheme="minorHAnsi" w:cstheme="minorHAnsi"/>
                      <w:sz w:val="22"/>
                      <w:szCs w:val="22"/>
                    </w:rPr>
                    <w:br/>
                    <w:t>- radar de bande de fréquence X</w:t>
                  </w:r>
                </w:p>
              </w:tc>
              <w:tc>
                <w:tcPr>
                  <w:tcW w:w="989"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4</w:t>
                  </w:r>
                </w:p>
              </w:tc>
              <w:tc>
                <w:tcPr>
                  <w:tcW w:w="1138"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10</w:t>
                  </w:r>
                </w:p>
              </w:tc>
            </w:tr>
          </w:tbl>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b/>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4-2-2. La reconnaissance d'une méthode de modélisation des perturbations générées par les aérogénérateurs sur les radars météorologiques, prévue à l'article 4-2-1, ainsi que des </w:t>
            </w:r>
            <w:r w:rsidRPr="00233496">
              <w:rPr>
                <w:rFonts w:asciiTheme="minorHAnsi" w:hAnsiTheme="minorHAnsi" w:cstheme="minorHAnsi"/>
                <w:sz w:val="22"/>
                <w:szCs w:val="22"/>
              </w:rPr>
              <w:lastRenderedPageBreak/>
              <w:t>organismes compétents pour la mettre en œuvre est conditionnée par la fourniture au ministre chargé des installations classées pour la protection de l'environnement :</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d'une présentation de la méthode de modélisation ;</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d'une justification de la compétence du ou des organismes chargés de mettre en œuvre cette méthode de modélisation ;</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de la comparaison entre les perturbations réellement observées et les résultats issus de la modélisation effectuée sur la base d'un ou de plusieurs parcs éoliens implantés dans les distances d'éloignements d'un radar météorologique telles que définies dans le tableau II. Le choix de ces parcs fait l'objet d'un accord préalable du ministre chargé des installations classées pour la protection de l'environnement après consultation par ce dernier de l'établissement public chargé des missions de l'Etat en matière de sécurité météorologique des personnes et des biens.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Sur la base des éléments fournis, le ministre chargé des installations classées pour la protection de l'environnement consulte l'établissement public chargé des missions de l'Etat en matière de sécurité météorologique des personnes et des biens.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La reconnaissance d'une méthode de modélisation et des organismes compétents pour la mettre en œuvre fait l'objet d'une décision du ministre chargé des installations classées pour la protection de l'environnement.</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4-3. Afin de satisfaire au deuxième alinéa du présent article, l'exploitant implante les aérogénérateurs selon une configuration qui fait l'objet d'un accord écrit de l'autorité militaire compétente concernant le projet d'implantation de l'installation.</w:t>
            </w:r>
          </w:p>
          <w:p w:rsidR="00233496" w:rsidRPr="00233496" w:rsidRDefault="00233496" w:rsidP="00233496">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p w:rsidR="00233496" w:rsidRPr="00233496" w:rsidRDefault="00233496" w:rsidP="00233496">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4.1-III</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4.1-IV</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4.1-V</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4.2-II</w:t>
            </w:r>
          </w:p>
        </w:tc>
        <w:tc>
          <w:tcPr>
            <w:tcW w:w="8556"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7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4.3</w:t>
            </w:r>
          </w:p>
        </w:tc>
        <w:tc>
          <w:tcPr>
            <w:tcW w:w="8556" w:type="dxa"/>
            <w:gridSpan w:val="2"/>
            <w:vMerge/>
            <w:tcBorders>
              <w:left w:val="single" w:sz="4" w:space="0" w:color="auto"/>
              <w:bottom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lastRenderedPageBreak/>
              <w:t>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6</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nil"/>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nil"/>
              <w:left w:val="single" w:sz="4" w:space="0" w:color="auto"/>
              <w:bottom w:val="single" w:sz="8"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7</w:t>
            </w:r>
          </w:p>
        </w:tc>
        <w:tc>
          <w:tcPr>
            <w:tcW w:w="780" w:type="dxa"/>
            <w:tcBorders>
              <w:top w:val="single" w:sz="4"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8</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nil"/>
              <w:left w:val="nil"/>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9</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Applicable </w:t>
            </w:r>
          </w:p>
        </w:tc>
        <w:tc>
          <w:tcPr>
            <w:tcW w:w="4252" w:type="dxa"/>
            <w:tcBorders>
              <w:top w:val="nil"/>
              <w:left w:val="nil"/>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Applicable </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10</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nil"/>
              <w:left w:val="nil"/>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11</w:t>
            </w:r>
          </w:p>
        </w:tc>
        <w:tc>
          <w:tcPr>
            <w:tcW w:w="780"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420"/>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12</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13</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14</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15</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16</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546"/>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17</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527"/>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18-III</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18-IV</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lastRenderedPageBreak/>
              <w:t>19</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20</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95"/>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780" w:type="dxa"/>
            <w:tcBorders>
              <w:top w:val="nil"/>
              <w:left w:val="nil"/>
              <w:bottom w:val="nil"/>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780" w:type="dxa"/>
            <w:tcBorders>
              <w:top w:val="single" w:sz="8"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24</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25</w:t>
            </w:r>
          </w:p>
        </w:tc>
        <w:tc>
          <w:tcPr>
            <w:tcW w:w="780"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26</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27</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590"/>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w:t>
            </w:r>
          </w:p>
        </w:tc>
        <w:tc>
          <w:tcPr>
            <w:tcW w:w="4304" w:type="dxa"/>
            <w:tcBorders>
              <w:top w:val="single" w:sz="4" w:space="0" w:color="auto"/>
              <w:left w:val="nil"/>
              <w:bottom w:val="single" w:sz="4" w:space="0" w:color="auto"/>
              <w:right w:val="single" w:sz="4" w:space="0" w:color="auto"/>
            </w:tcBorders>
            <w:shd w:val="clear" w:color="auto" w:fill="auto"/>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 pour les installations dont la mise en service industrielle est postérieure au 01/01/2022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 pour les installations dont la mise en service industrielle est postérieure au 01/01/2022</w:t>
            </w:r>
          </w:p>
        </w:tc>
      </w:tr>
      <w:tr w:rsidR="00433A6A" w:rsidRPr="00233496" w:rsidTr="00433A6A">
        <w:trPr>
          <w:trHeight w:val="337"/>
        </w:trPr>
        <w:tc>
          <w:tcPr>
            <w:tcW w:w="1007" w:type="dxa"/>
            <w:vMerge/>
            <w:tcBorders>
              <w:top w:val="nil"/>
              <w:left w:val="single" w:sz="8" w:space="0" w:color="auto"/>
              <w:bottom w:val="single" w:sz="8"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28-II</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236EB1" w:rsidRPr="00233496" w:rsidTr="00034A10">
        <w:trPr>
          <w:trHeight w:val="281"/>
        </w:trPr>
        <w:tc>
          <w:tcPr>
            <w:tcW w:w="1007" w:type="dxa"/>
            <w:vMerge w:val="restart"/>
            <w:tcBorders>
              <w:top w:val="nil"/>
              <w:left w:val="single" w:sz="8"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w:t>
            </w:r>
          </w:p>
        </w:tc>
        <w:tc>
          <w:tcPr>
            <w:tcW w:w="780" w:type="dxa"/>
            <w:tcBorders>
              <w:top w:val="nil"/>
              <w:left w:val="nil"/>
              <w:bottom w:val="single" w:sz="4"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236EB1" w:rsidRPr="00233496" w:rsidTr="00034A10">
        <w:trPr>
          <w:trHeight w:val="295"/>
        </w:trPr>
        <w:tc>
          <w:tcPr>
            <w:tcW w:w="1007" w:type="dxa"/>
            <w:vMerge/>
            <w:tcBorders>
              <w:left w:val="single" w:sz="8" w:space="0" w:color="auto"/>
              <w:right w:val="single" w:sz="4" w:space="0" w:color="auto"/>
            </w:tcBorders>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8"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29-II</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236EB1" w:rsidRPr="00233496" w:rsidTr="00034A10">
        <w:trPr>
          <w:trHeight w:val="295"/>
        </w:trPr>
        <w:tc>
          <w:tcPr>
            <w:tcW w:w="1007" w:type="dxa"/>
            <w:vMerge/>
            <w:tcBorders>
              <w:left w:val="single" w:sz="8" w:space="0" w:color="auto"/>
              <w:bottom w:val="single" w:sz="8" w:space="0" w:color="000000"/>
              <w:right w:val="single" w:sz="4" w:space="0" w:color="auto"/>
            </w:tcBorders>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780" w:type="dxa"/>
            <w:tcBorders>
              <w:top w:val="nil"/>
              <w:left w:val="nil"/>
              <w:bottom w:val="single" w:sz="8" w:space="0" w:color="auto"/>
              <w:right w:val="single" w:sz="8" w:space="0" w:color="auto"/>
            </w:tcBorders>
            <w:shd w:val="clear" w:color="auto" w:fill="auto"/>
            <w:noWrap/>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Pr>
                <w:rFonts w:asciiTheme="minorHAnsi" w:hAnsiTheme="minorHAnsi" w:cstheme="minorHAnsi"/>
                <w:sz w:val="22"/>
                <w:szCs w:val="22"/>
              </w:rPr>
              <w:t>29-III</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6EB1">
              <w:rPr>
                <w:rFonts w:asciiTheme="minorHAnsi" w:hAnsiTheme="minorHAnsi" w:cstheme="minorHAnsi"/>
                <w:sz w:val="22"/>
                <w:szCs w:val="22"/>
              </w:rPr>
              <w:t xml:space="preserve">Applicable </w:t>
            </w:r>
            <w:r w:rsidR="000C6673" w:rsidRPr="000C6673">
              <w:rPr>
                <w:rFonts w:asciiTheme="minorHAnsi" w:hAnsiTheme="minorHAnsi" w:cstheme="minorHAnsi"/>
                <w:sz w:val="22"/>
                <w:szCs w:val="22"/>
              </w:rPr>
              <w:t xml:space="preserve">aux cessations d’activités déclarées </w:t>
            </w:r>
            <w:r w:rsidRPr="00236EB1">
              <w:rPr>
                <w:rFonts w:asciiTheme="minorHAnsi" w:hAnsiTheme="minorHAnsi" w:cstheme="minorHAnsi"/>
                <w:sz w:val="22"/>
                <w:szCs w:val="22"/>
              </w:rPr>
              <w:t>à partir du 01/06/ 2022</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6EB1">
              <w:rPr>
                <w:rFonts w:asciiTheme="minorHAnsi" w:hAnsiTheme="minorHAnsi" w:cstheme="minorHAnsi"/>
                <w:sz w:val="22"/>
                <w:szCs w:val="22"/>
              </w:rPr>
              <w:t xml:space="preserve">Applicable </w:t>
            </w:r>
            <w:r w:rsidR="000C6673" w:rsidRPr="000C6673">
              <w:rPr>
                <w:rFonts w:asciiTheme="minorHAnsi" w:hAnsiTheme="minorHAnsi" w:cstheme="minorHAnsi"/>
                <w:sz w:val="22"/>
                <w:szCs w:val="22"/>
              </w:rPr>
              <w:t xml:space="preserve">aux cessations d’activités déclarées </w:t>
            </w:r>
            <w:r w:rsidRPr="00236EB1">
              <w:rPr>
                <w:rFonts w:asciiTheme="minorHAnsi" w:hAnsiTheme="minorHAnsi" w:cstheme="minorHAnsi"/>
                <w:sz w:val="22"/>
                <w:szCs w:val="22"/>
              </w:rPr>
              <w:t>à partir du 01/06/ 2022</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30</w:t>
            </w:r>
          </w:p>
        </w:tc>
        <w:tc>
          <w:tcPr>
            <w:tcW w:w="780"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32</w:t>
            </w:r>
          </w:p>
        </w:tc>
        <w:tc>
          <w:tcPr>
            <w:tcW w:w="780"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430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4252" w:type="dxa"/>
            <w:tcBorders>
              <w:top w:val="single" w:sz="4" w:space="0" w:color="auto"/>
              <w:left w:val="single" w:sz="4" w:space="0" w:color="auto"/>
              <w:bottom w:val="single" w:sz="8"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r>
    </w:tbl>
    <w:p w:rsidR="00433A6A" w:rsidRPr="00233496" w:rsidRDefault="00433A6A" w:rsidP="00433A6A">
      <w:pPr>
        <w:spacing w:after="100" w:afterAutospacing="1" w:line="240" w:lineRule="auto"/>
        <w:jc w:val="both"/>
        <w:rPr>
          <w:rFonts w:asciiTheme="minorHAnsi" w:hAnsiTheme="minorHAnsi" w:cstheme="minorHAnsi"/>
          <w:sz w:val="22"/>
          <w:szCs w:val="22"/>
        </w:rPr>
      </w:pPr>
    </w:p>
    <w:p w:rsidR="00233496" w:rsidRDefault="00233496" w:rsidP="00433A6A">
      <w:pPr>
        <w:spacing w:after="100" w:afterAutospacing="1" w:line="240" w:lineRule="auto"/>
        <w:jc w:val="both"/>
        <w:rPr>
          <w:rFonts w:asciiTheme="minorHAnsi" w:hAnsiTheme="minorHAnsi" w:cstheme="minorHAnsi"/>
          <w:sz w:val="22"/>
          <w:szCs w:val="22"/>
        </w:rPr>
      </w:pPr>
    </w:p>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III.3 / Installation </w:t>
      </w:r>
      <w:r w:rsidR="000C6673">
        <w:rPr>
          <w:rFonts w:asciiTheme="minorHAnsi" w:hAnsiTheme="minorHAnsi" w:cstheme="minorHAnsi"/>
          <w:sz w:val="22"/>
          <w:szCs w:val="22"/>
        </w:rPr>
        <w:t xml:space="preserve">existante </w:t>
      </w:r>
      <w:r w:rsidRPr="00233496">
        <w:rPr>
          <w:rFonts w:asciiTheme="minorHAnsi" w:hAnsiTheme="minorHAnsi" w:cstheme="minorHAnsi"/>
          <w:sz w:val="22"/>
          <w:szCs w:val="22"/>
        </w:rPr>
        <w:t xml:space="preserve">dont le dépôt de demande d’autorisation environnementale ou de </w:t>
      </w:r>
      <w:r w:rsidR="00412A61" w:rsidRPr="00412A61">
        <w:rPr>
          <w:rFonts w:asciiTheme="minorHAnsi" w:hAnsiTheme="minorHAnsi" w:cstheme="minorHAnsi"/>
          <w:sz w:val="22"/>
          <w:szCs w:val="22"/>
        </w:rPr>
        <w:t>porter-à-connaissance</w:t>
      </w:r>
      <w:proofErr w:type="gramStart"/>
      <w:r w:rsidR="00412A61" w:rsidRPr="00412A61">
        <w:rPr>
          <w:rFonts w:asciiTheme="minorHAnsi" w:hAnsiTheme="minorHAnsi" w:cstheme="minorHAnsi"/>
          <w:sz w:val="22"/>
          <w:szCs w:val="22"/>
        </w:rPr>
        <w:t xml:space="preserve">  </w:t>
      </w:r>
      <w:r w:rsidRPr="00233496">
        <w:rPr>
          <w:rFonts w:asciiTheme="minorHAnsi" w:hAnsiTheme="minorHAnsi" w:cstheme="minorHAnsi"/>
          <w:sz w:val="22"/>
          <w:szCs w:val="22"/>
        </w:rPr>
        <w:t xml:space="preserve"> (</w:t>
      </w:r>
      <w:proofErr w:type="gramEnd"/>
      <w:r w:rsidRPr="00233496">
        <w:rPr>
          <w:rFonts w:asciiTheme="minorHAnsi" w:hAnsiTheme="minorHAnsi" w:cstheme="minorHAnsi"/>
          <w:sz w:val="22"/>
          <w:szCs w:val="22"/>
        </w:rPr>
        <w:t>renouvellement) a été fait entre le 13 juillet 2011 et le 22 novembre 2014 inclus</w:t>
      </w:r>
    </w:p>
    <w:tbl>
      <w:tblPr>
        <w:tblW w:w="9204" w:type="dxa"/>
        <w:tblInd w:w="-142" w:type="dxa"/>
        <w:tblCellMar>
          <w:left w:w="70" w:type="dxa"/>
          <w:right w:w="70" w:type="dxa"/>
        </w:tblCellMar>
        <w:tblLook w:val="04A0" w:firstRow="1" w:lastRow="0" w:firstColumn="1" w:lastColumn="0" w:noHBand="0" w:noVBand="1"/>
      </w:tblPr>
      <w:tblGrid>
        <w:gridCol w:w="1007"/>
        <w:gridCol w:w="805"/>
        <w:gridCol w:w="3878"/>
        <w:gridCol w:w="3514"/>
      </w:tblGrid>
      <w:tr w:rsidR="00433A6A" w:rsidRPr="00233496" w:rsidTr="00433A6A">
        <w:trPr>
          <w:trHeight w:val="1138"/>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Article concerné</w:t>
            </w:r>
          </w:p>
        </w:tc>
        <w:tc>
          <w:tcPr>
            <w:tcW w:w="805"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Sous</w:t>
            </w:r>
            <w:r w:rsidRPr="00233496">
              <w:rPr>
                <w:rFonts w:asciiTheme="minorHAnsi" w:hAnsiTheme="minorHAnsi" w:cstheme="minorHAnsi"/>
                <w:color w:val="FFFFFF" w:themeColor="background1"/>
                <w:sz w:val="22"/>
                <w:szCs w:val="22"/>
              </w:rPr>
              <w:br/>
              <w:t xml:space="preserve"> - art.</w:t>
            </w:r>
          </w:p>
        </w:tc>
        <w:tc>
          <w:tcPr>
            <w:tcW w:w="3878"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Modalités particulières d’application pour les dépôts d’autorisation environnementale</w:t>
            </w:r>
          </w:p>
        </w:tc>
        <w:tc>
          <w:tcPr>
            <w:tcW w:w="3514" w:type="dxa"/>
            <w:tcBorders>
              <w:top w:val="single" w:sz="4" w:space="0" w:color="auto"/>
              <w:left w:val="single" w:sz="4" w:space="0" w:color="auto"/>
              <w:bottom w:val="single" w:sz="4" w:space="0" w:color="auto"/>
              <w:right w:val="single" w:sz="4" w:space="0" w:color="auto"/>
            </w:tcBorders>
            <w:shd w:val="clear" w:color="000000" w:fill="4472C4"/>
          </w:tcPr>
          <w:p w:rsidR="00433A6A" w:rsidRPr="00233496" w:rsidRDefault="00433A6A" w:rsidP="00433A6A">
            <w:pPr>
              <w:spacing w:after="100" w:afterAutospacing="1" w:line="240" w:lineRule="auto"/>
              <w:jc w:val="both"/>
              <w:rPr>
                <w:rFonts w:asciiTheme="minorHAnsi" w:hAnsiTheme="minorHAnsi" w:cstheme="minorHAnsi"/>
                <w:color w:val="FFFFFF" w:themeColor="background1"/>
                <w:sz w:val="22"/>
                <w:szCs w:val="22"/>
              </w:rPr>
            </w:pPr>
            <w:r w:rsidRPr="00233496">
              <w:rPr>
                <w:rFonts w:asciiTheme="minorHAnsi" w:hAnsiTheme="minorHAnsi" w:cstheme="minorHAnsi"/>
                <w:color w:val="FFFFFF" w:themeColor="background1"/>
                <w:sz w:val="22"/>
                <w:szCs w:val="22"/>
              </w:rPr>
              <w:t xml:space="preserve">Modalités particulières d’application pour les dépôts de </w:t>
            </w:r>
            <w:r w:rsidR="00412A61" w:rsidRPr="00412A61">
              <w:rPr>
                <w:rFonts w:asciiTheme="minorHAnsi" w:hAnsiTheme="minorHAnsi" w:cstheme="minorHAnsi"/>
                <w:color w:val="FFFFFF" w:themeColor="background1"/>
                <w:sz w:val="22"/>
                <w:szCs w:val="22"/>
              </w:rPr>
              <w:t xml:space="preserve">porter-à-connaissance  </w:t>
            </w:r>
            <w:r w:rsidRPr="00233496">
              <w:rPr>
                <w:rFonts w:asciiTheme="minorHAnsi" w:hAnsiTheme="minorHAnsi" w:cstheme="minorHAnsi"/>
                <w:color w:val="FFFFFF" w:themeColor="background1"/>
                <w:sz w:val="22"/>
                <w:szCs w:val="22"/>
              </w:rPr>
              <w:t>(renouvellement)</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nil"/>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Non applicable</w:t>
            </w:r>
          </w:p>
        </w:tc>
        <w:tc>
          <w:tcPr>
            <w:tcW w:w="3514" w:type="dxa"/>
            <w:tcBorders>
              <w:top w:val="single" w:sz="4" w:space="0" w:color="auto"/>
              <w:left w:val="single" w:sz="4" w:space="0" w:color="auto"/>
              <w:bottom w:val="nil"/>
              <w:right w:val="single" w:sz="4" w:space="0" w:color="auto"/>
            </w:tcBorders>
            <w:shd w:val="clear" w:color="auto" w:fill="auto"/>
            <w:vAlign w:val="center"/>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233496" w:rsidRPr="00233496" w:rsidTr="000F6A59">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w:t>
            </w:r>
          </w:p>
        </w:tc>
        <w:tc>
          <w:tcPr>
            <w:tcW w:w="7392" w:type="dxa"/>
            <w:gridSpan w:val="2"/>
            <w:vMerge w:val="restart"/>
            <w:tcBorders>
              <w:top w:val="single" w:sz="4" w:space="0" w:color="auto"/>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Les dispositions de l'article 4 sont remplacées par les dispositions suivantes :</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L'installation est implantée de façon à ne pas perturber de manière significative le fonctionnement des radars et des aides à la navigation utilisés dans le cadre des missions de sécurité de la navigation aérienne et de sécurité météorologique des personnes et des biens.</w:t>
            </w:r>
          </w:p>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A cette fin, les aérogénérateurs sont implantés dans le respect des distances minimales d'éloignement indiquées ci-dessous sauf si l'exploitant dispose de l'accord écrit du ministère en charge de l'aviation civile, de l'établissement public </w:t>
            </w:r>
            <w:r w:rsidRPr="00233496">
              <w:rPr>
                <w:rFonts w:asciiTheme="minorHAnsi" w:hAnsiTheme="minorHAnsi" w:cstheme="minorHAnsi"/>
                <w:sz w:val="22"/>
                <w:szCs w:val="22"/>
              </w:rPr>
              <w:lastRenderedPageBreak/>
              <w:t>chargé des missions de l'Etat en matière de sécurité météorologique des personnes et des biens ou de l'autorité portuaire en charge de l'exploitation du radar.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2"/>
              <w:gridCol w:w="4357"/>
            </w:tblGrid>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b/>
                      <w:bCs/>
                      <w:sz w:val="22"/>
                      <w:szCs w:val="22"/>
                    </w:rPr>
                  </w:pP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b/>
                      <w:bCs/>
                      <w:sz w:val="22"/>
                      <w:szCs w:val="22"/>
                    </w:rPr>
                  </w:pPr>
                  <w:r w:rsidRPr="00233496">
                    <w:rPr>
                      <w:rFonts w:asciiTheme="minorHAnsi" w:hAnsiTheme="minorHAnsi" w:cstheme="minorHAnsi"/>
                      <w:b/>
                      <w:bCs/>
                      <w:sz w:val="22"/>
                      <w:szCs w:val="22"/>
                    </w:rPr>
                    <w:br/>
                    <w:t>DISTANCE MINIMALE</w:t>
                  </w:r>
                  <w:r w:rsidRPr="00233496">
                    <w:rPr>
                      <w:rFonts w:asciiTheme="minorHAnsi" w:hAnsiTheme="minorHAnsi" w:cstheme="minorHAnsi"/>
                      <w:b/>
                      <w:bCs/>
                      <w:sz w:val="22"/>
                      <w:szCs w:val="22"/>
                    </w:rPr>
                    <w:br/>
                    <w:t>d'éloignement en kilomètres</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météorologique</w:t>
                  </w:r>
                </w:p>
              </w:tc>
              <w:tc>
                <w:tcPr>
                  <w:tcW w:w="4312" w:type="dxa"/>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 bande de fréquence C</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20</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 bande de fréquence S</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30</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 bande de fréquence X</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10</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 l'aviation civile</w:t>
                  </w:r>
                </w:p>
              </w:tc>
              <w:tc>
                <w:tcPr>
                  <w:tcW w:w="4312" w:type="dxa"/>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primaire</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30</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secondaire</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16</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VOR (Visual Omni Range)</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15</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des ports (navigations maritimes et fluviales)</w:t>
                  </w:r>
                </w:p>
              </w:tc>
              <w:tc>
                <w:tcPr>
                  <w:tcW w:w="4312" w:type="dxa"/>
                  <w:vAlign w:val="center"/>
                  <w:hideMark/>
                </w:tcPr>
                <w:p w:rsidR="00233496" w:rsidRPr="00233496" w:rsidRDefault="00233496" w:rsidP="00433A6A">
                  <w:pPr>
                    <w:spacing w:after="0" w:line="240" w:lineRule="auto"/>
                    <w:rPr>
                      <w:rFonts w:asciiTheme="minorHAnsi" w:hAnsiTheme="minorHAnsi" w:cstheme="minorHAnsi"/>
                      <w:sz w:val="22"/>
                      <w:szCs w:val="22"/>
                    </w:rPr>
                  </w:pP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portuaire</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20</w:t>
                  </w:r>
                </w:p>
              </w:tc>
            </w:tr>
            <w:tr w:rsidR="00233496" w:rsidRPr="00233496" w:rsidTr="00233496">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Radar de centre régional de surveillance et de sauvetage</w:t>
                  </w:r>
                </w:p>
              </w:tc>
              <w:tc>
                <w:tcPr>
                  <w:tcW w:w="4312" w:type="dxa"/>
                  <w:tcBorders>
                    <w:top w:val="outset" w:sz="6" w:space="0" w:color="auto"/>
                    <w:left w:val="outset" w:sz="6" w:space="0" w:color="auto"/>
                    <w:bottom w:val="outset" w:sz="6" w:space="0" w:color="auto"/>
                    <w:right w:val="outset" w:sz="6" w:space="0" w:color="auto"/>
                  </w:tcBorders>
                  <w:vAlign w:val="center"/>
                  <w:hideMark/>
                </w:tcPr>
                <w:p w:rsidR="00233496" w:rsidRPr="00233496" w:rsidRDefault="00233496" w:rsidP="00433A6A">
                  <w:pPr>
                    <w:spacing w:after="0" w:line="240" w:lineRule="auto"/>
                    <w:jc w:val="center"/>
                    <w:rPr>
                      <w:rFonts w:asciiTheme="minorHAnsi" w:hAnsiTheme="minorHAnsi" w:cstheme="minorHAnsi"/>
                      <w:sz w:val="22"/>
                      <w:szCs w:val="22"/>
                    </w:rPr>
                  </w:pPr>
                  <w:r w:rsidRPr="00233496">
                    <w:rPr>
                      <w:rFonts w:asciiTheme="minorHAnsi" w:hAnsiTheme="minorHAnsi" w:cstheme="minorHAnsi"/>
                      <w:sz w:val="22"/>
                      <w:szCs w:val="22"/>
                    </w:rPr>
                    <w:br/>
                    <w:t>10</w:t>
                  </w:r>
                </w:p>
              </w:tc>
            </w:tr>
          </w:tbl>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En outre, les perturbations générées par l'installation ne gênent pas de manière significative le fonctionnement des équipements militaires. A cette fin, l'exploitant implante les aérogénérateurs selon une configuration qui fait l'objet d'un accord écrit des services de la zone aérienne de défense compétente sur le secteur d'implantation de l'installation concernant le projet d'implantation de l'installation.</w:t>
            </w:r>
          </w:p>
          <w:p w:rsidR="00233496" w:rsidRPr="00233496" w:rsidRDefault="00233496" w:rsidP="00233496">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Les distances d'éloignement indiquées ci-dessus feront l'objet d'un réexamen dans un délai n'excédant pas dix-huit mois en fonction des avancées technologiques obtenues. </w:t>
            </w: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4.1-III</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4.1-IV</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4.1-V</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4.2-II</w:t>
            </w:r>
          </w:p>
        </w:tc>
        <w:tc>
          <w:tcPr>
            <w:tcW w:w="7392" w:type="dxa"/>
            <w:gridSpan w:val="2"/>
            <w:vMerge/>
            <w:tcBorders>
              <w:left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233496" w:rsidRPr="00233496" w:rsidTr="000F6A59">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96" w:rsidRPr="00233496" w:rsidRDefault="00233496"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4.3</w:t>
            </w:r>
          </w:p>
        </w:tc>
        <w:tc>
          <w:tcPr>
            <w:tcW w:w="7392" w:type="dxa"/>
            <w:gridSpan w:val="2"/>
            <w:vMerge/>
            <w:tcBorders>
              <w:left w:val="single" w:sz="4" w:space="0" w:color="auto"/>
              <w:bottom w:val="single" w:sz="4" w:space="0" w:color="auto"/>
              <w:right w:val="single" w:sz="4" w:space="0" w:color="auto"/>
            </w:tcBorders>
            <w:shd w:val="clear" w:color="auto" w:fill="auto"/>
            <w:noWrap/>
            <w:vAlign w:val="center"/>
          </w:tcPr>
          <w:p w:rsidR="00233496" w:rsidRPr="00233496" w:rsidRDefault="00233496" w:rsidP="00433A6A">
            <w:pPr>
              <w:spacing w:after="100" w:afterAutospacing="1" w:line="240" w:lineRule="auto"/>
              <w:jc w:val="both"/>
              <w:rPr>
                <w:rFonts w:asciiTheme="minorHAnsi" w:hAnsiTheme="minorHAnsi" w:cstheme="minorHAnsi"/>
                <w:sz w:val="22"/>
                <w:szCs w:val="22"/>
              </w:rPr>
            </w:pP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nil"/>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nil"/>
              <w:left w:val="single" w:sz="4" w:space="0" w:color="auto"/>
              <w:bottom w:val="single" w:sz="8"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lastRenderedPageBreak/>
              <w:t>7</w:t>
            </w:r>
          </w:p>
        </w:tc>
        <w:tc>
          <w:tcPr>
            <w:tcW w:w="805" w:type="dxa"/>
            <w:tcBorders>
              <w:top w:val="single" w:sz="4"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8</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nil"/>
              <w:left w:val="nil"/>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9</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Applicable </w:t>
            </w:r>
          </w:p>
        </w:tc>
        <w:tc>
          <w:tcPr>
            <w:tcW w:w="3514" w:type="dxa"/>
            <w:tcBorders>
              <w:top w:val="nil"/>
              <w:left w:val="nil"/>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 xml:space="preserve">Applicable </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10</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nil"/>
              <w:left w:val="nil"/>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11</w:t>
            </w:r>
          </w:p>
        </w:tc>
        <w:tc>
          <w:tcPr>
            <w:tcW w:w="805"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420"/>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12</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13</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14</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15</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16</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46"/>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17</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27"/>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18-III</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18-IV</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19</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20</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805" w:type="dxa"/>
            <w:tcBorders>
              <w:top w:val="nil"/>
              <w:left w:val="nil"/>
              <w:bottom w:val="nil"/>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nil"/>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805" w:type="dxa"/>
            <w:tcBorders>
              <w:top w:val="single" w:sz="8"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24</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25</w:t>
            </w:r>
          </w:p>
        </w:tc>
        <w:tc>
          <w:tcPr>
            <w:tcW w:w="805"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26</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27</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90"/>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 pour les installations dont la mise en service industrielle est postérieure au 01/01/2022</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 pour les installations dont la mise en service industrielle est postérieure au 01/01/2022</w:t>
            </w:r>
          </w:p>
        </w:tc>
      </w:tr>
      <w:tr w:rsidR="00433A6A" w:rsidRPr="00233496" w:rsidTr="00433A6A">
        <w:trPr>
          <w:trHeight w:val="337"/>
        </w:trPr>
        <w:tc>
          <w:tcPr>
            <w:tcW w:w="1007" w:type="dxa"/>
            <w:vMerge/>
            <w:tcBorders>
              <w:top w:val="nil"/>
              <w:left w:val="single" w:sz="8" w:space="0" w:color="auto"/>
              <w:bottom w:val="single" w:sz="8"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28-II</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p>
        </w:tc>
      </w:tr>
      <w:tr w:rsidR="00236EB1" w:rsidRPr="00233496" w:rsidTr="00060FFF">
        <w:trPr>
          <w:trHeight w:val="281"/>
        </w:trPr>
        <w:tc>
          <w:tcPr>
            <w:tcW w:w="1007" w:type="dxa"/>
            <w:vMerge w:val="restart"/>
            <w:tcBorders>
              <w:top w:val="nil"/>
              <w:left w:val="single" w:sz="8"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w:t>
            </w:r>
          </w:p>
        </w:tc>
        <w:tc>
          <w:tcPr>
            <w:tcW w:w="805" w:type="dxa"/>
            <w:tcBorders>
              <w:top w:val="nil"/>
              <w:left w:val="nil"/>
              <w:bottom w:val="single" w:sz="4"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236EB1" w:rsidRPr="00233496" w:rsidTr="00060FFF">
        <w:trPr>
          <w:trHeight w:val="295"/>
        </w:trPr>
        <w:tc>
          <w:tcPr>
            <w:tcW w:w="1007" w:type="dxa"/>
            <w:vMerge/>
            <w:tcBorders>
              <w:left w:val="single" w:sz="8" w:space="0" w:color="auto"/>
              <w:right w:val="single" w:sz="4" w:space="0" w:color="auto"/>
            </w:tcBorders>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8"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29-II</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236EB1" w:rsidRPr="00233496" w:rsidTr="00060FFF">
        <w:trPr>
          <w:trHeight w:val="295"/>
        </w:trPr>
        <w:tc>
          <w:tcPr>
            <w:tcW w:w="1007" w:type="dxa"/>
            <w:vMerge/>
            <w:tcBorders>
              <w:left w:val="single" w:sz="8" w:space="0" w:color="auto"/>
              <w:bottom w:val="single" w:sz="8" w:space="0" w:color="000000"/>
              <w:right w:val="single" w:sz="4" w:space="0" w:color="auto"/>
            </w:tcBorders>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805" w:type="dxa"/>
            <w:tcBorders>
              <w:top w:val="nil"/>
              <w:left w:val="nil"/>
              <w:bottom w:val="single" w:sz="8" w:space="0" w:color="auto"/>
              <w:right w:val="single" w:sz="8" w:space="0" w:color="auto"/>
            </w:tcBorders>
            <w:shd w:val="clear" w:color="auto" w:fill="auto"/>
            <w:noWrap/>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Pr>
                <w:rFonts w:asciiTheme="minorHAnsi" w:hAnsiTheme="minorHAnsi" w:cstheme="minorHAnsi"/>
                <w:sz w:val="22"/>
                <w:szCs w:val="22"/>
              </w:rPr>
              <w:t>29-III</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6EB1">
              <w:rPr>
                <w:rFonts w:asciiTheme="minorHAnsi" w:hAnsiTheme="minorHAnsi" w:cstheme="minorHAnsi"/>
                <w:sz w:val="22"/>
                <w:szCs w:val="22"/>
              </w:rPr>
              <w:t xml:space="preserve">Applicable </w:t>
            </w:r>
            <w:r w:rsidR="000C6673" w:rsidRPr="000C6673">
              <w:rPr>
                <w:rFonts w:asciiTheme="minorHAnsi" w:hAnsiTheme="minorHAnsi" w:cstheme="minorHAnsi"/>
                <w:sz w:val="22"/>
                <w:szCs w:val="22"/>
              </w:rPr>
              <w:t xml:space="preserve">aux cessations d’activités déclarées </w:t>
            </w:r>
            <w:r w:rsidRPr="00236EB1">
              <w:rPr>
                <w:rFonts w:asciiTheme="minorHAnsi" w:hAnsiTheme="minorHAnsi" w:cstheme="minorHAnsi"/>
                <w:sz w:val="22"/>
                <w:szCs w:val="22"/>
              </w:rPr>
              <w:t>à partir du 01/06/ 2022</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236EB1" w:rsidRPr="00233496" w:rsidRDefault="00236EB1" w:rsidP="00433A6A">
            <w:pPr>
              <w:spacing w:after="100" w:afterAutospacing="1" w:line="240" w:lineRule="auto"/>
              <w:jc w:val="both"/>
              <w:rPr>
                <w:rFonts w:asciiTheme="minorHAnsi" w:eastAsiaTheme="minorHAnsi" w:hAnsiTheme="minorHAnsi" w:cstheme="minorHAnsi"/>
                <w:sz w:val="22"/>
                <w:szCs w:val="22"/>
                <w:lang w:eastAsia="en-US"/>
              </w:rPr>
            </w:pPr>
            <w:r w:rsidRPr="00236EB1">
              <w:rPr>
                <w:rFonts w:asciiTheme="minorHAnsi" w:eastAsiaTheme="minorHAnsi" w:hAnsiTheme="minorHAnsi" w:cstheme="minorHAnsi"/>
                <w:sz w:val="22"/>
                <w:szCs w:val="22"/>
                <w:lang w:eastAsia="en-US"/>
              </w:rPr>
              <w:t>Applicable</w:t>
            </w:r>
            <w:r w:rsidR="000C6673">
              <w:t xml:space="preserve"> </w:t>
            </w:r>
            <w:r w:rsidR="000C6673" w:rsidRPr="000C6673">
              <w:rPr>
                <w:rFonts w:asciiTheme="minorHAnsi" w:eastAsiaTheme="minorHAnsi" w:hAnsiTheme="minorHAnsi" w:cstheme="minorHAnsi"/>
                <w:sz w:val="22"/>
                <w:szCs w:val="22"/>
                <w:lang w:eastAsia="en-US"/>
              </w:rPr>
              <w:t>aux cessations d’activités déclarées</w:t>
            </w:r>
            <w:r w:rsidRPr="00236EB1">
              <w:rPr>
                <w:rFonts w:asciiTheme="minorHAnsi" w:eastAsiaTheme="minorHAnsi" w:hAnsiTheme="minorHAnsi" w:cstheme="minorHAnsi"/>
                <w:sz w:val="22"/>
                <w:szCs w:val="22"/>
                <w:lang w:eastAsia="en-US"/>
              </w:rPr>
              <w:t xml:space="preserve"> à partir du 01/06/ 2022</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30</w:t>
            </w:r>
          </w:p>
        </w:tc>
        <w:tc>
          <w:tcPr>
            <w:tcW w:w="805"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8"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32</w:t>
            </w:r>
          </w:p>
        </w:tc>
        <w:tc>
          <w:tcPr>
            <w:tcW w:w="805"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38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Applicable</w:t>
            </w:r>
          </w:p>
        </w:tc>
        <w:tc>
          <w:tcPr>
            <w:tcW w:w="3514" w:type="dxa"/>
            <w:tcBorders>
              <w:top w:val="single" w:sz="4" w:space="0" w:color="auto"/>
              <w:left w:val="single" w:sz="4" w:space="0" w:color="auto"/>
              <w:bottom w:val="single" w:sz="8" w:space="0" w:color="auto"/>
              <w:right w:val="single" w:sz="4" w:space="0" w:color="auto"/>
            </w:tcBorders>
            <w:shd w:val="clear" w:color="auto" w:fill="auto"/>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bl>
    <w:p w:rsidR="00433A6A" w:rsidRPr="00233496" w:rsidRDefault="00433A6A" w:rsidP="00433A6A">
      <w:pPr>
        <w:spacing w:after="100" w:afterAutospacing="1" w:line="240" w:lineRule="auto"/>
        <w:jc w:val="both"/>
        <w:rPr>
          <w:rFonts w:asciiTheme="minorHAnsi" w:hAnsiTheme="minorHAnsi" w:cstheme="minorHAnsi"/>
          <w:sz w:val="22"/>
          <w:szCs w:val="22"/>
        </w:rPr>
      </w:pPr>
    </w:p>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III.4 / Installation</w:t>
      </w:r>
      <w:r w:rsidR="00236EB1">
        <w:rPr>
          <w:rFonts w:asciiTheme="minorHAnsi" w:hAnsiTheme="minorHAnsi" w:cstheme="minorHAnsi"/>
          <w:sz w:val="22"/>
          <w:szCs w:val="22"/>
        </w:rPr>
        <w:t>s</w:t>
      </w:r>
      <w:r w:rsidRPr="00233496">
        <w:rPr>
          <w:rFonts w:asciiTheme="minorHAnsi" w:hAnsiTheme="minorHAnsi" w:cstheme="minorHAnsi"/>
          <w:sz w:val="22"/>
          <w:szCs w:val="22"/>
        </w:rPr>
        <w:t xml:space="preserve"> existante</w:t>
      </w:r>
      <w:r w:rsidR="00236EB1">
        <w:rPr>
          <w:rFonts w:asciiTheme="minorHAnsi" w:hAnsiTheme="minorHAnsi" w:cstheme="minorHAnsi"/>
          <w:sz w:val="22"/>
          <w:szCs w:val="22"/>
        </w:rPr>
        <w:t>s</w:t>
      </w:r>
      <w:r w:rsidRPr="00233496">
        <w:rPr>
          <w:rFonts w:asciiTheme="minorHAnsi" w:hAnsiTheme="minorHAnsi" w:cstheme="minorHAnsi"/>
          <w:sz w:val="22"/>
          <w:szCs w:val="22"/>
        </w:rPr>
        <w:t xml:space="preserve"> </w:t>
      </w:r>
      <w:r w:rsidR="000C6673">
        <w:rPr>
          <w:rFonts w:asciiTheme="minorHAnsi" w:hAnsiTheme="minorHAnsi" w:cstheme="minorHAnsi"/>
          <w:sz w:val="22"/>
          <w:szCs w:val="22"/>
        </w:rPr>
        <w:t>historiques</w:t>
      </w:r>
    </w:p>
    <w:tbl>
      <w:tblPr>
        <w:tblW w:w="10114" w:type="dxa"/>
        <w:tblInd w:w="-142" w:type="dxa"/>
        <w:tblCellMar>
          <w:left w:w="70" w:type="dxa"/>
          <w:right w:w="70" w:type="dxa"/>
        </w:tblCellMar>
        <w:tblLook w:val="04A0" w:firstRow="1" w:lastRow="0" w:firstColumn="1" w:lastColumn="0" w:noHBand="0" w:noVBand="1"/>
      </w:tblPr>
      <w:tblGrid>
        <w:gridCol w:w="1007"/>
        <w:gridCol w:w="891"/>
        <w:gridCol w:w="8216"/>
      </w:tblGrid>
      <w:tr w:rsidR="00433A6A" w:rsidRPr="00233496" w:rsidTr="00433A6A">
        <w:trPr>
          <w:trHeight w:val="1138"/>
        </w:trPr>
        <w:tc>
          <w:tcPr>
            <w:tcW w:w="100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Article concerné</w:t>
            </w:r>
          </w:p>
        </w:tc>
        <w:tc>
          <w:tcPr>
            <w:tcW w:w="891"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Sous</w:t>
            </w:r>
            <w:r w:rsidRPr="00233496">
              <w:rPr>
                <w:rFonts w:asciiTheme="minorHAnsi" w:hAnsiTheme="minorHAnsi" w:cstheme="minorHAnsi"/>
                <w:sz w:val="22"/>
                <w:szCs w:val="22"/>
              </w:rPr>
              <w:br/>
              <w:t xml:space="preserve"> - art.</w:t>
            </w:r>
          </w:p>
        </w:tc>
        <w:tc>
          <w:tcPr>
            <w:tcW w:w="8216"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Modalités particulières d’application</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3-III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4.1-IV</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4.1-V</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4.2-II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4.3</w:t>
            </w:r>
          </w:p>
        </w:tc>
        <w:tc>
          <w:tcPr>
            <w:tcW w:w="8216" w:type="dxa"/>
            <w:tcBorders>
              <w:top w:val="nil"/>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95"/>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6</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nil"/>
              <w:left w:val="single" w:sz="4" w:space="0" w:color="auto"/>
              <w:bottom w:val="single" w:sz="8"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7</w:t>
            </w:r>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8</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nil"/>
              <w:left w:val="nil"/>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9</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nil"/>
              <w:left w:val="nil"/>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10</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nil"/>
              <w:left w:val="nil"/>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11</w:t>
            </w:r>
          </w:p>
        </w:tc>
        <w:tc>
          <w:tcPr>
            <w:tcW w:w="891"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Non applicable</w:t>
            </w:r>
          </w:p>
        </w:tc>
      </w:tr>
      <w:tr w:rsidR="00433A6A" w:rsidRPr="00233496" w:rsidTr="00433A6A">
        <w:trPr>
          <w:trHeight w:val="420"/>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12</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13</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14</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15</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16</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46"/>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17</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27"/>
        </w:trPr>
        <w:tc>
          <w:tcPr>
            <w:tcW w:w="100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18-III</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vMerge/>
            <w:tcBorders>
              <w:top w:val="single" w:sz="4" w:space="0" w:color="auto"/>
              <w:left w:val="single" w:sz="8" w:space="0" w:color="auto"/>
              <w:bottom w:val="single" w:sz="4"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18-IV</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19</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20</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nil"/>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21</w:t>
            </w:r>
          </w:p>
        </w:tc>
        <w:tc>
          <w:tcPr>
            <w:tcW w:w="891" w:type="dxa"/>
            <w:tcBorders>
              <w:top w:val="nil"/>
              <w:left w:val="nil"/>
              <w:bottom w:val="nil"/>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nil"/>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22</w:t>
            </w:r>
          </w:p>
        </w:tc>
        <w:tc>
          <w:tcPr>
            <w:tcW w:w="891" w:type="dxa"/>
            <w:tcBorders>
              <w:top w:val="single" w:sz="8" w:space="0" w:color="auto"/>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23</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24</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25</w:t>
            </w:r>
          </w:p>
        </w:tc>
        <w:tc>
          <w:tcPr>
            <w:tcW w:w="891"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26</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27</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590"/>
        </w:trPr>
        <w:tc>
          <w:tcPr>
            <w:tcW w:w="100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w:t>
            </w:r>
          </w:p>
        </w:tc>
        <w:tc>
          <w:tcPr>
            <w:tcW w:w="891" w:type="dxa"/>
            <w:tcBorders>
              <w:top w:val="nil"/>
              <w:left w:val="nil"/>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w:t>
            </w:r>
          </w:p>
        </w:tc>
        <w:tc>
          <w:tcPr>
            <w:tcW w:w="8216" w:type="dxa"/>
            <w:tcBorders>
              <w:top w:val="single" w:sz="4" w:space="0" w:color="auto"/>
              <w:left w:val="single" w:sz="4" w:space="0" w:color="auto"/>
              <w:bottom w:val="single" w:sz="4" w:space="0" w:color="auto"/>
              <w:right w:val="single" w:sz="4" w:space="0" w:color="auto"/>
            </w:tcBorders>
            <w:shd w:val="clear" w:color="auto" w:fill="auto"/>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 pour les installations dont la mise en service industrielle est postérieure au 01/01/2022</w:t>
            </w:r>
          </w:p>
        </w:tc>
      </w:tr>
      <w:tr w:rsidR="00433A6A" w:rsidRPr="00233496" w:rsidTr="00433A6A">
        <w:trPr>
          <w:trHeight w:val="337"/>
        </w:trPr>
        <w:tc>
          <w:tcPr>
            <w:tcW w:w="1007" w:type="dxa"/>
            <w:vMerge/>
            <w:tcBorders>
              <w:top w:val="nil"/>
              <w:left w:val="single" w:sz="8" w:space="0" w:color="auto"/>
              <w:bottom w:val="single" w:sz="8" w:space="0" w:color="000000"/>
              <w:right w:val="single" w:sz="4" w:space="0" w:color="auto"/>
            </w:tcBorders>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28-II</w:t>
            </w:r>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236EB1" w:rsidRPr="00233496" w:rsidTr="00CB6BA1">
        <w:trPr>
          <w:trHeight w:val="281"/>
        </w:trPr>
        <w:tc>
          <w:tcPr>
            <w:tcW w:w="1007" w:type="dxa"/>
            <w:vMerge w:val="restart"/>
            <w:tcBorders>
              <w:top w:val="nil"/>
              <w:left w:val="single" w:sz="8" w:space="0" w:color="auto"/>
              <w:right w:val="single" w:sz="4"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w:t>
            </w:r>
          </w:p>
        </w:tc>
        <w:tc>
          <w:tcPr>
            <w:tcW w:w="891" w:type="dxa"/>
            <w:tcBorders>
              <w:top w:val="nil"/>
              <w:left w:val="nil"/>
              <w:bottom w:val="single" w:sz="4"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236EB1" w:rsidRPr="00233496" w:rsidTr="00CB6BA1">
        <w:trPr>
          <w:trHeight w:val="295"/>
        </w:trPr>
        <w:tc>
          <w:tcPr>
            <w:tcW w:w="1007" w:type="dxa"/>
            <w:vMerge/>
            <w:tcBorders>
              <w:left w:val="single" w:sz="8" w:space="0" w:color="auto"/>
              <w:right w:val="single" w:sz="4" w:space="0" w:color="auto"/>
            </w:tcBorders>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8" w:space="0" w:color="auto"/>
              <w:right w:val="single" w:sz="8" w:space="0" w:color="auto"/>
            </w:tcBorders>
            <w:shd w:val="clear" w:color="auto" w:fill="auto"/>
            <w:noWrap/>
            <w:vAlign w:val="center"/>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29-II</w:t>
            </w:r>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rsidR="00236EB1" w:rsidRPr="00233496" w:rsidRDefault="00236EB1"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236EB1" w:rsidRPr="00233496" w:rsidTr="00CB6BA1">
        <w:trPr>
          <w:trHeight w:val="295"/>
        </w:trPr>
        <w:tc>
          <w:tcPr>
            <w:tcW w:w="1007" w:type="dxa"/>
            <w:vMerge/>
            <w:tcBorders>
              <w:left w:val="single" w:sz="8" w:space="0" w:color="auto"/>
              <w:bottom w:val="single" w:sz="8" w:space="0" w:color="000000"/>
              <w:right w:val="single" w:sz="4" w:space="0" w:color="auto"/>
            </w:tcBorders>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p>
        </w:tc>
        <w:tc>
          <w:tcPr>
            <w:tcW w:w="891" w:type="dxa"/>
            <w:tcBorders>
              <w:top w:val="nil"/>
              <w:left w:val="nil"/>
              <w:bottom w:val="single" w:sz="8" w:space="0" w:color="auto"/>
              <w:right w:val="single" w:sz="8" w:space="0" w:color="auto"/>
            </w:tcBorders>
            <w:shd w:val="clear" w:color="auto" w:fill="auto"/>
            <w:noWrap/>
            <w:vAlign w:val="center"/>
          </w:tcPr>
          <w:p w:rsidR="00236EB1" w:rsidRPr="00233496" w:rsidRDefault="00236EB1" w:rsidP="00433A6A">
            <w:pPr>
              <w:spacing w:after="100" w:afterAutospacing="1" w:line="240" w:lineRule="auto"/>
              <w:jc w:val="both"/>
              <w:rPr>
                <w:rFonts w:asciiTheme="minorHAnsi" w:hAnsiTheme="minorHAnsi" w:cstheme="minorHAnsi"/>
                <w:sz w:val="22"/>
                <w:szCs w:val="22"/>
              </w:rPr>
            </w:pPr>
            <w:r>
              <w:rPr>
                <w:rFonts w:asciiTheme="minorHAnsi" w:hAnsiTheme="minorHAnsi" w:cstheme="minorHAnsi"/>
                <w:sz w:val="22"/>
                <w:szCs w:val="22"/>
              </w:rPr>
              <w:t>29-III</w:t>
            </w:r>
          </w:p>
        </w:tc>
        <w:tc>
          <w:tcPr>
            <w:tcW w:w="8216" w:type="dxa"/>
            <w:tcBorders>
              <w:top w:val="single" w:sz="4" w:space="0" w:color="auto"/>
              <w:left w:val="single" w:sz="4" w:space="0" w:color="auto"/>
              <w:bottom w:val="single" w:sz="8" w:space="0" w:color="auto"/>
              <w:right w:val="single" w:sz="4" w:space="0" w:color="auto"/>
            </w:tcBorders>
            <w:shd w:val="clear" w:color="auto" w:fill="auto"/>
            <w:noWrap/>
          </w:tcPr>
          <w:p w:rsidR="00236EB1" w:rsidRPr="00233496" w:rsidRDefault="00236EB1" w:rsidP="00433A6A">
            <w:pPr>
              <w:spacing w:after="100" w:afterAutospacing="1" w:line="240" w:lineRule="auto"/>
              <w:jc w:val="both"/>
              <w:rPr>
                <w:rFonts w:asciiTheme="minorHAnsi" w:eastAsiaTheme="minorHAnsi" w:hAnsiTheme="minorHAnsi" w:cstheme="minorHAnsi"/>
                <w:sz w:val="22"/>
                <w:szCs w:val="22"/>
                <w:lang w:eastAsia="en-US"/>
              </w:rPr>
            </w:pPr>
            <w:r w:rsidRPr="00236EB1">
              <w:rPr>
                <w:rFonts w:asciiTheme="minorHAnsi" w:eastAsiaTheme="minorHAnsi" w:hAnsiTheme="minorHAnsi" w:cstheme="minorHAnsi"/>
                <w:sz w:val="22"/>
                <w:szCs w:val="22"/>
                <w:lang w:eastAsia="en-US"/>
              </w:rPr>
              <w:t xml:space="preserve">Applicable </w:t>
            </w:r>
            <w:r w:rsidR="000C6673" w:rsidRPr="000C6673">
              <w:rPr>
                <w:rFonts w:asciiTheme="minorHAnsi" w:eastAsiaTheme="minorHAnsi" w:hAnsiTheme="minorHAnsi" w:cstheme="minorHAnsi"/>
                <w:sz w:val="22"/>
                <w:szCs w:val="22"/>
                <w:lang w:eastAsia="en-US"/>
              </w:rPr>
              <w:t xml:space="preserve">aux cessations d’activités déclarées </w:t>
            </w:r>
            <w:r w:rsidRPr="00236EB1">
              <w:rPr>
                <w:rFonts w:asciiTheme="minorHAnsi" w:eastAsiaTheme="minorHAnsi" w:hAnsiTheme="minorHAnsi" w:cstheme="minorHAnsi"/>
                <w:sz w:val="22"/>
                <w:szCs w:val="22"/>
                <w:lang w:eastAsia="en-US"/>
              </w:rPr>
              <w:t>à partir du 01/06/ 2022</w:t>
            </w:r>
          </w:p>
        </w:tc>
      </w:tr>
      <w:tr w:rsidR="00433A6A" w:rsidRPr="00233496" w:rsidTr="00433A6A">
        <w:trPr>
          <w:trHeight w:val="281"/>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lastRenderedPageBreak/>
              <w:t>30</w:t>
            </w:r>
          </w:p>
        </w:tc>
        <w:tc>
          <w:tcPr>
            <w:tcW w:w="891" w:type="dxa"/>
            <w:tcBorders>
              <w:top w:val="nil"/>
              <w:left w:val="nil"/>
              <w:bottom w:val="single" w:sz="4"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8"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81"/>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4"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r w:rsidR="00433A6A" w:rsidRPr="00233496" w:rsidTr="00433A6A">
        <w:trPr>
          <w:trHeight w:val="295"/>
        </w:trPr>
        <w:tc>
          <w:tcPr>
            <w:tcW w:w="1007" w:type="dxa"/>
            <w:tcBorders>
              <w:top w:val="nil"/>
              <w:left w:val="single" w:sz="8" w:space="0" w:color="auto"/>
              <w:bottom w:val="single" w:sz="8" w:space="0" w:color="auto"/>
              <w:right w:val="single" w:sz="4"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32</w:t>
            </w:r>
          </w:p>
        </w:tc>
        <w:tc>
          <w:tcPr>
            <w:tcW w:w="891" w:type="dxa"/>
            <w:tcBorders>
              <w:top w:val="nil"/>
              <w:left w:val="nil"/>
              <w:bottom w:val="single" w:sz="8" w:space="0" w:color="auto"/>
              <w:right w:val="single" w:sz="8" w:space="0" w:color="auto"/>
            </w:tcBorders>
            <w:shd w:val="clear" w:color="auto" w:fill="auto"/>
            <w:noWrap/>
            <w:vAlign w:val="center"/>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 -</w:t>
            </w:r>
          </w:p>
        </w:tc>
        <w:tc>
          <w:tcPr>
            <w:tcW w:w="8216" w:type="dxa"/>
            <w:tcBorders>
              <w:top w:val="single" w:sz="4" w:space="0" w:color="auto"/>
              <w:left w:val="single" w:sz="4" w:space="0" w:color="auto"/>
              <w:bottom w:val="single" w:sz="8" w:space="0" w:color="auto"/>
              <w:right w:val="single" w:sz="4" w:space="0" w:color="auto"/>
            </w:tcBorders>
            <w:shd w:val="clear" w:color="auto" w:fill="auto"/>
            <w:noWrap/>
            <w:hideMark/>
          </w:tcPr>
          <w:p w:rsidR="00433A6A" w:rsidRPr="00233496" w:rsidRDefault="00433A6A" w:rsidP="00433A6A">
            <w:pPr>
              <w:spacing w:after="100" w:afterAutospacing="1" w:line="240" w:lineRule="auto"/>
              <w:jc w:val="both"/>
              <w:rPr>
                <w:rFonts w:asciiTheme="minorHAnsi" w:hAnsiTheme="minorHAnsi" w:cstheme="minorHAnsi"/>
                <w:sz w:val="22"/>
                <w:szCs w:val="22"/>
              </w:rPr>
            </w:pPr>
            <w:r w:rsidRPr="00233496">
              <w:rPr>
                <w:rFonts w:asciiTheme="minorHAnsi" w:eastAsiaTheme="minorHAnsi" w:hAnsiTheme="minorHAnsi" w:cstheme="minorHAnsi"/>
                <w:sz w:val="22"/>
                <w:szCs w:val="22"/>
                <w:lang w:eastAsia="en-US"/>
              </w:rPr>
              <w:t>Applicable</w:t>
            </w:r>
          </w:p>
        </w:tc>
      </w:tr>
    </w:tbl>
    <w:p w:rsidR="00433A6A" w:rsidRPr="00233496" w:rsidRDefault="00433A6A" w:rsidP="00433A6A">
      <w:pPr>
        <w:spacing w:after="100" w:afterAutospacing="1" w:line="240" w:lineRule="auto"/>
        <w:jc w:val="both"/>
        <w:rPr>
          <w:rFonts w:asciiTheme="minorHAnsi" w:hAnsiTheme="minorHAnsi" w:cstheme="minorHAnsi"/>
          <w:sz w:val="22"/>
          <w:szCs w:val="22"/>
        </w:rPr>
      </w:pPr>
    </w:p>
    <w:p w:rsidR="00236EB1" w:rsidRDefault="00236EB1" w:rsidP="00433A6A">
      <w:pPr>
        <w:pStyle w:val="Sous-titre"/>
        <w:ind w:left="-79"/>
        <w:rPr>
          <w:rFonts w:asciiTheme="minorHAnsi" w:hAnsiTheme="minorHAnsi" w:cstheme="minorHAnsi"/>
          <w:bCs/>
          <w:sz w:val="22"/>
          <w:szCs w:val="22"/>
        </w:rPr>
      </w:pPr>
    </w:p>
    <w:p w:rsidR="00433A6A" w:rsidRPr="00233496" w:rsidRDefault="00433A6A" w:rsidP="00433A6A">
      <w:pPr>
        <w:pStyle w:val="Sous-titre"/>
        <w:ind w:left="-79"/>
        <w:rPr>
          <w:rFonts w:asciiTheme="minorHAnsi" w:hAnsiTheme="minorHAnsi" w:cstheme="minorHAnsi"/>
          <w:bCs/>
          <w:sz w:val="22"/>
          <w:szCs w:val="22"/>
        </w:rPr>
      </w:pPr>
      <w:r w:rsidRPr="00233496">
        <w:rPr>
          <w:rFonts w:asciiTheme="minorHAnsi" w:hAnsiTheme="minorHAnsi" w:cstheme="minorHAnsi"/>
          <w:bCs/>
          <w:sz w:val="22"/>
          <w:szCs w:val="22"/>
        </w:rPr>
        <w:t>Article 22</w:t>
      </w:r>
    </w:p>
    <w:p w:rsidR="00433A6A" w:rsidRPr="00233496" w:rsidRDefault="00B26CA9" w:rsidP="00433A6A">
      <w:pPr>
        <w:spacing w:after="100" w:afterAutospacing="1" w:line="240" w:lineRule="auto"/>
        <w:jc w:val="both"/>
        <w:rPr>
          <w:rFonts w:asciiTheme="minorHAnsi" w:hAnsiTheme="minorHAnsi" w:cstheme="minorHAnsi"/>
          <w:sz w:val="22"/>
          <w:szCs w:val="22"/>
        </w:rPr>
      </w:pPr>
      <w:r w:rsidRPr="00233496">
        <w:rPr>
          <w:rFonts w:asciiTheme="minorHAnsi" w:hAnsiTheme="minorHAnsi" w:cstheme="minorHAnsi"/>
          <w:sz w:val="22"/>
          <w:szCs w:val="22"/>
        </w:rPr>
        <w:t xml:space="preserve">Le présent arrêté entre en </w:t>
      </w:r>
      <w:r w:rsidR="00236EB1">
        <w:rPr>
          <w:rFonts w:asciiTheme="minorHAnsi" w:hAnsiTheme="minorHAnsi" w:cstheme="minorHAnsi"/>
          <w:sz w:val="22"/>
          <w:szCs w:val="22"/>
        </w:rPr>
        <w:t xml:space="preserve">vigueur le 1er janvier 2022, sauf </w:t>
      </w:r>
      <w:r w:rsidR="008A2325">
        <w:rPr>
          <w:rFonts w:asciiTheme="minorHAnsi" w:hAnsiTheme="minorHAnsi" w:cstheme="minorHAnsi"/>
          <w:sz w:val="22"/>
          <w:szCs w:val="22"/>
        </w:rPr>
        <w:t>les deux derniers alinéas de l’article 15</w:t>
      </w:r>
      <w:r w:rsidR="00236EB1">
        <w:rPr>
          <w:rFonts w:asciiTheme="minorHAnsi" w:hAnsiTheme="minorHAnsi" w:cstheme="minorHAnsi"/>
          <w:sz w:val="22"/>
          <w:szCs w:val="22"/>
        </w:rPr>
        <w:t xml:space="preserve"> qui entre</w:t>
      </w:r>
      <w:r w:rsidR="008A2325">
        <w:rPr>
          <w:rFonts w:asciiTheme="minorHAnsi" w:hAnsiTheme="minorHAnsi" w:cstheme="minorHAnsi"/>
          <w:sz w:val="22"/>
          <w:szCs w:val="22"/>
        </w:rPr>
        <w:t>nt</w:t>
      </w:r>
      <w:r w:rsidR="00236EB1">
        <w:rPr>
          <w:rFonts w:asciiTheme="minorHAnsi" w:hAnsiTheme="minorHAnsi" w:cstheme="minorHAnsi"/>
          <w:sz w:val="22"/>
          <w:szCs w:val="22"/>
        </w:rPr>
        <w:t xml:space="preserve"> en vigueur le 1</w:t>
      </w:r>
      <w:r w:rsidR="00236EB1" w:rsidRPr="00236EB1">
        <w:rPr>
          <w:rFonts w:asciiTheme="minorHAnsi" w:hAnsiTheme="minorHAnsi" w:cstheme="minorHAnsi"/>
          <w:sz w:val="22"/>
          <w:szCs w:val="22"/>
          <w:vertAlign w:val="superscript"/>
        </w:rPr>
        <w:t>er</w:t>
      </w:r>
      <w:r w:rsidR="00236EB1">
        <w:rPr>
          <w:rFonts w:asciiTheme="minorHAnsi" w:hAnsiTheme="minorHAnsi" w:cstheme="minorHAnsi"/>
          <w:sz w:val="22"/>
          <w:szCs w:val="22"/>
        </w:rPr>
        <w:t xml:space="preserve"> juin 2022.</w:t>
      </w:r>
    </w:p>
    <w:p w:rsidR="00433A6A" w:rsidRPr="00233496" w:rsidRDefault="00433A6A">
      <w:pPr>
        <w:pStyle w:val="Corpsdetexte"/>
        <w:rPr>
          <w:rFonts w:asciiTheme="minorHAnsi" w:hAnsiTheme="minorHAnsi" w:cstheme="minorHAnsi"/>
          <w:sz w:val="22"/>
          <w:szCs w:val="22"/>
        </w:rPr>
      </w:pPr>
    </w:p>
    <w:p w:rsidR="00030614" w:rsidRPr="00233496" w:rsidRDefault="00B26CA9">
      <w:pPr>
        <w:pStyle w:val="Sous-titre"/>
        <w:ind w:left="-79"/>
        <w:rPr>
          <w:rFonts w:asciiTheme="minorHAnsi" w:hAnsiTheme="minorHAnsi" w:cstheme="minorHAnsi"/>
          <w:bCs/>
          <w:sz w:val="22"/>
          <w:szCs w:val="22"/>
        </w:rPr>
      </w:pPr>
      <w:r w:rsidRPr="00233496">
        <w:rPr>
          <w:rFonts w:asciiTheme="minorHAnsi" w:hAnsiTheme="minorHAnsi" w:cstheme="minorHAnsi"/>
          <w:bCs/>
          <w:sz w:val="22"/>
          <w:szCs w:val="22"/>
        </w:rPr>
        <w:t>Article 23</w:t>
      </w:r>
    </w:p>
    <w:p w:rsidR="00030614" w:rsidRPr="00233496" w:rsidRDefault="00DD4334">
      <w:pPr>
        <w:pStyle w:val="Corpsdetexte"/>
        <w:rPr>
          <w:rFonts w:asciiTheme="minorHAnsi" w:hAnsiTheme="minorHAnsi" w:cstheme="minorHAnsi"/>
          <w:sz w:val="22"/>
          <w:szCs w:val="22"/>
        </w:rPr>
      </w:pPr>
      <w:r w:rsidRPr="00233496">
        <w:rPr>
          <w:rFonts w:asciiTheme="minorHAnsi" w:hAnsiTheme="minorHAnsi" w:cstheme="minorHAnsi"/>
          <w:sz w:val="22"/>
          <w:szCs w:val="22"/>
        </w:rPr>
        <w:t xml:space="preserve">Le directeur général de la prévention des risques est chargé de l’exécution du présent arrêté, qui sera publié au </w:t>
      </w:r>
      <w:r w:rsidRPr="00233496">
        <w:rPr>
          <w:rFonts w:asciiTheme="minorHAnsi" w:hAnsiTheme="minorHAnsi" w:cstheme="minorHAnsi"/>
          <w:i/>
          <w:sz w:val="22"/>
          <w:szCs w:val="22"/>
        </w:rPr>
        <w:t>Journal officiel</w:t>
      </w:r>
      <w:r w:rsidRPr="00233496">
        <w:rPr>
          <w:rFonts w:asciiTheme="minorHAnsi" w:hAnsiTheme="minorHAnsi" w:cstheme="minorHAnsi"/>
          <w:sz w:val="22"/>
          <w:szCs w:val="22"/>
        </w:rPr>
        <w:t xml:space="preserve"> de la République française.</w:t>
      </w:r>
    </w:p>
    <w:p w:rsidR="00030614" w:rsidRPr="00233496" w:rsidRDefault="00030614">
      <w:pPr>
        <w:spacing w:beforeAutospacing="1" w:afterAutospacing="1"/>
        <w:rPr>
          <w:rFonts w:asciiTheme="minorHAnsi" w:hAnsiTheme="minorHAnsi" w:cstheme="minorHAnsi"/>
          <w:sz w:val="22"/>
          <w:szCs w:val="22"/>
        </w:rPr>
      </w:pPr>
    </w:p>
    <w:p w:rsidR="00030614" w:rsidRPr="00233496" w:rsidRDefault="00DD4334">
      <w:pPr>
        <w:spacing w:beforeAutospacing="1" w:afterAutospacing="1"/>
        <w:rPr>
          <w:rFonts w:asciiTheme="minorHAnsi" w:hAnsiTheme="minorHAnsi" w:cstheme="minorHAnsi"/>
          <w:sz w:val="22"/>
          <w:szCs w:val="22"/>
        </w:rPr>
      </w:pPr>
      <w:r w:rsidRPr="00233496">
        <w:rPr>
          <w:rFonts w:asciiTheme="minorHAnsi" w:hAnsiTheme="minorHAnsi" w:cstheme="minorHAnsi"/>
          <w:sz w:val="22"/>
          <w:szCs w:val="22"/>
        </w:rPr>
        <w:t xml:space="preserve">Fait le </w:t>
      </w:r>
    </w:p>
    <w:p w:rsidR="00030614" w:rsidRPr="00233496" w:rsidRDefault="00DD4334">
      <w:pPr>
        <w:spacing w:beforeAutospacing="1" w:afterAutospacing="1"/>
        <w:jc w:val="center"/>
        <w:rPr>
          <w:rFonts w:asciiTheme="minorHAnsi" w:hAnsiTheme="minorHAnsi" w:cstheme="minorHAnsi"/>
          <w:sz w:val="22"/>
          <w:szCs w:val="22"/>
        </w:rPr>
      </w:pPr>
      <w:r w:rsidRPr="00233496">
        <w:rPr>
          <w:rFonts w:asciiTheme="minorHAnsi" w:hAnsiTheme="minorHAnsi" w:cstheme="minorHAnsi"/>
          <w:sz w:val="22"/>
          <w:szCs w:val="22"/>
        </w:rPr>
        <w:br/>
        <w:t>Pour la ministre et par délégation :</w:t>
      </w:r>
      <w:r w:rsidRPr="00233496">
        <w:rPr>
          <w:rFonts w:asciiTheme="minorHAnsi" w:hAnsiTheme="minorHAnsi" w:cstheme="minorHAnsi"/>
          <w:sz w:val="22"/>
          <w:szCs w:val="22"/>
        </w:rPr>
        <w:br/>
      </w:r>
      <w:r w:rsidRPr="00233496">
        <w:rPr>
          <w:rFonts w:asciiTheme="minorHAnsi" w:hAnsiTheme="minorHAnsi" w:cstheme="minorHAnsi"/>
          <w:sz w:val="22"/>
          <w:szCs w:val="22"/>
        </w:rPr>
        <w:br/>
        <w:t>Le directeur général</w:t>
      </w:r>
      <w:r w:rsidRPr="00233496">
        <w:rPr>
          <w:rFonts w:asciiTheme="minorHAnsi" w:hAnsiTheme="minorHAnsi" w:cstheme="minorHAnsi"/>
          <w:sz w:val="22"/>
          <w:szCs w:val="22"/>
        </w:rPr>
        <w:br/>
      </w:r>
      <w:r w:rsidRPr="00233496">
        <w:rPr>
          <w:rFonts w:asciiTheme="minorHAnsi" w:hAnsiTheme="minorHAnsi" w:cstheme="minorHAnsi"/>
          <w:sz w:val="22"/>
          <w:szCs w:val="22"/>
        </w:rPr>
        <w:br/>
        <w:t>de la prévention des risques,</w:t>
      </w:r>
      <w:r w:rsidRPr="00233496">
        <w:rPr>
          <w:rFonts w:asciiTheme="minorHAnsi" w:hAnsiTheme="minorHAnsi" w:cstheme="minorHAnsi"/>
          <w:sz w:val="22"/>
          <w:szCs w:val="22"/>
        </w:rPr>
        <w:br/>
      </w:r>
    </w:p>
    <w:p w:rsidR="00030614" w:rsidRPr="00233496" w:rsidRDefault="00030614">
      <w:pPr>
        <w:spacing w:beforeAutospacing="1" w:afterAutospacing="1"/>
        <w:jc w:val="center"/>
        <w:rPr>
          <w:rFonts w:asciiTheme="minorHAnsi" w:hAnsiTheme="minorHAnsi" w:cstheme="minorHAnsi"/>
          <w:sz w:val="22"/>
          <w:szCs w:val="22"/>
        </w:rPr>
      </w:pPr>
    </w:p>
    <w:p w:rsidR="00030614" w:rsidRPr="00233496" w:rsidRDefault="00DD4334">
      <w:pPr>
        <w:spacing w:beforeAutospacing="1" w:afterAutospacing="1"/>
        <w:jc w:val="center"/>
        <w:rPr>
          <w:rFonts w:asciiTheme="minorHAnsi" w:hAnsiTheme="minorHAnsi" w:cstheme="minorHAnsi"/>
          <w:sz w:val="22"/>
          <w:szCs w:val="22"/>
        </w:rPr>
      </w:pPr>
      <w:r w:rsidRPr="00233496">
        <w:rPr>
          <w:rFonts w:asciiTheme="minorHAnsi" w:hAnsiTheme="minorHAnsi" w:cstheme="minorHAnsi"/>
          <w:sz w:val="22"/>
          <w:szCs w:val="22"/>
        </w:rPr>
        <w:br/>
        <w:t>C. BOURILLET</w:t>
      </w:r>
    </w:p>
    <w:p w:rsidR="00030614" w:rsidRPr="00233496" w:rsidRDefault="00030614">
      <w:pPr>
        <w:pStyle w:val="SNDatearrt"/>
        <w:rPr>
          <w:rFonts w:asciiTheme="minorHAnsi" w:hAnsiTheme="minorHAnsi" w:cstheme="minorHAnsi"/>
          <w:sz w:val="22"/>
          <w:szCs w:val="22"/>
        </w:rPr>
      </w:pPr>
    </w:p>
    <w:sectPr w:rsidR="00030614" w:rsidRPr="00233496">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8B3"/>
    <w:multiLevelType w:val="hybridMultilevel"/>
    <w:tmpl w:val="27E4A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51093B"/>
    <w:multiLevelType w:val="hybridMultilevel"/>
    <w:tmpl w:val="F9828AB0"/>
    <w:lvl w:ilvl="0" w:tplc="7CD20E22">
      <w:start w:val="3"/>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14"/>
    <w:rsid w:val="00007A17"/>
    <w:rsid w:val="000178C9"/>
    <w:rsid w:val="000213CE"/>
    <w:rsid w:val="00030614"/>
    <w:rsid w:val="00052A88"/>
    <w:rsid w:val="0009242B"/>
    <w:rsid w:val="000C0A27"/>
    <w:rsid w:val="000C3D1F"/>
    <w:rsid w:val="000C6673"/>
    <w:rsid w:val="000E2012"/>
    <w:rsid w:val="000F2610"/>
    <w:rsid w:val="000F5578"/>
    <w:rsid w:val="000F6A59"/>
    <w:rsid w:val="001250F4"/>
    <w:rsid w:val="001A7BDE"/>
    <w:rsid w:val="001B000C"/>
    <w:rsid w:val="001F65C9"/>
    <w:rsid w:val="00203312"/>
    <w:rsid w:val="00233496"/>
    <w:rsid w:val="00236EB1"/>
    <w:rsid w:val="002372E5"/>
    <w:rsid w:val="00260A57"/>
    <w:rsid w:val="00265552"/>
    <w:rsid w:val="002E7556"/>
    <w:rsid w:val="00332065"/>
    <w:rsid w:val="0035282B"/>
    <w:rsid w:val="0037268F"/>
    <w:rsid w:val="003868AC"/>
    <w:rsid w:val="00390517"/>
    <w:rsid w:val="00397646"/>
    <w:rsid w:val="003A0FD6"/>
    <w:rsid w:val="003A2C6E"/>
    <w:rsid w:val="00412A61"/>
    <w:rsid w:val="00433A6A"/>
    <w:rsid w:val="00444C3F"/>
    <w:rsid w:val="0045316A"/>
    <w:rsid w:val="0047180C"/>
    <w:rsid w:val="004D03B5"/>
    <w:rsid w:val="004E5099"/>
    <w:rsid w:val="005771C0"/>
    <w:rsid w:val="00592846"/>
    <w:rsid w:val="00594AE5"/>
    <w:rsid w:val="00600A4F"/>
    <w:rsid w:val="006434E5"/>
    <w:rsid w:val="0064606F"/>
    <w:rsid w:val="00650763"/>
    <w:rsid w:val="00661E28"/>
    <w:rsid w:val="00673578"/>
    <w:rsid w:val="006765BC"/>
    <w:rsid w:val="006846ED"/>
    <w:rsid w:val="006916BC"/>
    <w:rsid w:val="00701A3F"/>
    <w:rsid w:val="00755097"/>
    <w:rsid w:val="00756037"/>
    <w:rsid w:val="007A26EF"/>
    <w:rsid w:val="007B0372"/>
    <w:rsid w:val="007B6795"/>
    <w:rsid w:val="007D136D"/>
    <w:rsid w:val="007E5363"/>
    <w:rsid w:val="00812E7D"/>
    <w:rsid w:val="00834649"/>
    <w:rsid w:val="00850AA4"/>
    <w:rsid w:val="00894E27"/>
    <w:rsid w:val="00896886"/>
    <w:rsid w:val="008A2325"/>
    <w:rsid w:val="008A325A"/>
    <w:rsid w:val="008A6C1C"/>
    <w:rsid w:val="008E1D11"/>
    <w:rsid w:val="008E6BB3"/>
    <w:rsid w:val="00937319"/>
    <w:rsid w:val="00996074"/>
    <w:rsid w:val="009B2306"/>
    <w:rsid w:val="00A054C4"/>
    <w:rsid w:val="00A15463"/>
    <w:rsid w:val="00A31981"/>
    <w:rsid w:val="00A57CA0"/>
    <w:rsid w:val="00A67876"/>
    <w:rsid w:val="00A72ADF"/>
    <w:rsid w:val="00A867D6"/>
    <w:rsid w:val="00A908E6"/>
    <w:rsid w:val="00AA6E8A"/>
    <w:rsid w:val="00AB0A34"/>
    <w:rsid w:val="00AB54F2"/>
    <w:rsid w:val="00B26CA9"/>
    <w:rsid w:val="00B82F36"/>
    <w:rsid w:val="00B86B38"/>
    <w:rsid w:val="00BE07EA"/>
    <w:rsid w:val="00BE0F3D"/>
    <w:rsid w:val="00C222A6"/>
    <w:rsid w:val="00C433FA"/>
    <w:rsid w:val="00C4512E"/>
    <w:rsid w:val="00C669A1"/>
    <w:rsid w:val="00C76900"/>
    <w:rsid w:val="00C85E74"/>
    <w:rsid w:val="00CC5211"/>
    <w:rsid w:val="00CF7D74"/>
    <w:rsid w:val="00D13250"/>
    <w:rsid w:val="00D15E31"/>
    <w:rsid w:val="00D56A69"/>
    <w:rsid w:val="00D77183"/>
    <w:rsid w:val="00D8635F"/>
    <w:rsid w:val="00DC1F10"/>
    <w:rsid w:val="00DC1FED"/>
    <w:rsid w:val="00DD4334"/>
    <w:rsid w:val="00E10FC9"/>
    <w:rsid w:val="00E334CC"/>
    <w:rsid w:val="00E63C7F"/>
    <w:rsid w:val="00EA70E8"/>
    <w:rsid w:val="00EB03C6"/>
    <w:rsid w:val="00F3539A"/>
    <w:rsid w:val="00F55A73"/>
    <w:rsid w:val="00F57E29"/>
    <w:rsid w:val="00F6738A"/>
    <w:rsid w:val="00F8669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0CF4"/>
  <w15:docId w15:val="{EBB6475D-8BE7-4330-BF83-A69331D8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rPr>
  </w:style>
  <w:style w:type="paragraph" w:styleId="Titre1">
    <w:name w:val="heading 1"/>
    <w:basedOn w:val="Normal"/>
    <w:next w:val="Normal"/>
    <w:autoRedefine/>
    <w:qFormat/>
    <w:pPr>
      <w:keepNext/>
      <w:spacing w:before="240"/>
      <w:jc w:val="center"/>
      <w:outlineLvl w:val="0"/>
    </w:pPr>
    <w:rPr>
      <w:rFonts w:cs="Arial"/>
      <w:bCs/>
      <w:caps/>
      <w:kern w:val="2"/>
    </w:rPr>
  </w:style>
  <w:style w:type="paragraph" w:styleId="Titre2">
    <w:name w:val="heading 2"/>
    <w:basedOn w:val="Normal"/>
    <w:next w:val="Normal"/>
    <w:link w:val="Titre2Car"/>
    <w:autoRedefine/>
    <w:uiPriority w:val="9"/>
    <w:qFormat/>
    <w:pPr>
      <w:keepNext/>
      <w:spacing w:before="240"/>
      <w:jc w:val="center"/>
      <w:outlineLvl w:val="1"/>
    </w:pPr>
    <w:rPr>
      <w:bCs/>
      <w:iCs/>
      <w:smallCaps/>
    </w:rPr>
  </w:style>
  <w:style w:type="paragraph" w:styleId="Titre3">
    <w:name w:val="heading 3"/>
    <w:basedOn w:val="Normal"/>
    <w:next w:val="Normal"/>
    <w:link w:val="Titre3Car"/>
    <w:autoRedefine/>
    <w:uiPriority w:val="9"/>
    <w:qFormat/>
    <w:rsid w:val="00A7058D"/>
    <w:pPr>
      <w:keepNext/>
      <w:spacing w:before="120"/>
      <w:jc w:val="center"/>
      <w:outlineLvl w:val="2"/>
    </w:pPr>
    <w:rPr>
      <w:rFonts w:cs="Arial"/>
      <w:bCs/>
      <w:szCs w:val="26"/>
    </w:rPr>
  </w:style>
  <w:style w:type="paragraph" w:styleId="Titre4">
    <w:name w:val="heading 4"/>
    <w:basedOn w:val="Normal"/>
    <w:link w:val="Titre4Car"/>
    <w:uiPriority w:val="9"/>
    <w:qFormat/>
    <w:rsid w:val="00433A6A"/>
    <w:pPr>
      <w:spacing w:before="100" w:beforeAutospacing="1" w:after="100" w:afterAutospacing="1" w:line="240" w:lineRule="auto"/>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qFormat/>
    <w:rPr>
      <w:rFonts w:eastAsia="Lucida Sans Unicode"/>
      <w:sz w:val="24"/>
      <w:szCs w:val="24"/>
      <w:lang w:val="fr-FR" w:bidi="ar-SA"/>
    </w:rPr>
  </w:style>
  <w:style w:type="character" w:customStyle="1" w:styleId="SNDatearrtCar">
    <w:name w:val="SNDate arrêté Car"/>
    <w:qFormat/>
    <w:rPr>
      <w:sz w:val="24"/>
      <w:szCs w:val="24"/>
      <w:lang w:val="fr-FR" w:eastAsia="fr-FR" w:bidi="ar-SA"/>
    </w:rPr>
  </w:style>
  <w:style w:type="character" w:customStyle="1" w:styleId="SNArticleCar">
    <w:name w:val="SNArticle Car"/>
    <w:qFormat/>
    <w:rPr>
      <w:b/>
      <w:sz w:val="24"/>
      <w:szCs w:val="24"/>
      <w:lang w:val="fr-FR" w:eastAsia="fr-FR" w:bidi="ar-SA"/>
    </w:rPr>
  </w:style>
  <w:style w:type="character" w:customStyle="1" w:styleId="WW8Num2z2">
    <w:name w:val="WW8Num2z2"/>
    <w:qFormat/>
    <w:rPr>
      <w:rFonts w:ascii="Wingdings" w:hAnsi="Wingdings"/>
    </w:rPr>
  </w:style>
  <w:style w:type="character" w:customStyle="1" w:styleId="WW8Num2z0">
    <w:name w:val="WW8Num2z0"/>
    <w:qFormat/>
    <w:rPr>
      <w:rFonts w:ascii="Times New Roman" w:hAnsi="Times New Roman"/>
    </w:rPr>
  </w:style>
  <w:style w:type="character" w:customStyle="1" w:styleId="WW8Num5z0">
    <w:name w:val="WW8Num5z0"/>
    <w:qFormat/>
    <w:rPr>
      <w:rFonts w:ascii="Symbol" w:hAnsi="Symbol"/>
    </w:rPr>
  </w:style>
  <w:style w:type="character" w:styleId="lev">
    <w:name w:val="Strong"/>
    <w:uiPriority w:val="22"/>
    <w:qFormat/>
    <w:rPr>
      <w:b/>
      <w:bCs/>
    </w:rPr>
  </w:style>
  <w:style w:type="character" w:styleId="Marquedecommentaire">
    <w:name w:val="annotation reference"/>
    <w:uiPriority w:val="99"/>
    <w:semiHidden/>
    <w:unhideWhenUsed/>
    <w:qFormat/>
    <w:rsid w:val="00DB54BB"/>
    <w:rPr>
      <w:sz w:val="16"/>
      <w:szCs w:val="16"/>
    </w:rPr>
  </w:style>
  <w:style w:type="character" w:customStyle="1" w:styleId="CommentaireCar">
    <w:name w:val="Commentaire Car"/>
    <w:basedOn w:val="Policepardfaut"/>
    <w:link w:val="Commentaire"/>
    <w:uiPriority w:val="99"/>
    <w:qFormat/>
    <w:rsid w:val="00DB54BB"/>
  </w:style>
  <w:style w:type="character" w:customStyle="1" w:styleId="ObjetducommentaireCar">
    <w:name w:val="Objet du commentaire Car"/>
    <w:link w:val="Objetducommentaire"/>
    <w:uiPriority w:val="99"/>
    <w:semiHidden/>
    <w:qFormat/>
    <w:rsid w:val="00DB54BB"/>
    <w:rPr>
      <w:b/>
      <w:bCs/>
    </w:rPr>
  </w:style>
  <w:style w:type="character" w:customStyle="1" w:styleId="e24kjd">
    <w:name w:val="e24kjd"/>
    <w:qFormat/>
    <w:rsid w:val="009750E6"/>
  </w:style>
  <w:style w:type="character" w:customStyle="1" w:styleId="CorpsdetexteCar">
    <w:name w:val="Corps de texte Car"/>
    <w:link w:val="Corpsdetexte"/>
    <w:semiHidden/>
    <w:qFormat/>
    <w:rsid w:val="00647AAF"/>
    <w:rPr>
      <w:sz w:val="24"/>
      <w:szCs w:val="24"/>
    </w:rPr>
  </w:style>
  <w:style w:type="character" w:customStyle="1" w:styleId="LienInternet">
    <w:name w:val="Lien Internet"/>
    <w:uiPriority w:val="99"/>
    <w:semiHidden/>
    <w:unhideWhenUsed/>
    <w:rsid w:val="00647AAF"/>
    <w:rPr>
      <w:color w:val="0000FF"/>
      <w:u w:val="single"/>
    </w:rPr>
  </w:style>
  <w:style w:type="character" w:styleId="Lienhypertextesuivivisit">
    <w:name w:val="FollowedHyperlink"/>
    <w:uiPriority w:val="99"/>
    <w:semiHidden/>
    <w:unhideWhenUsed/>
    <w:qFormat/>
    <w:rsid w:val="00647AAF"/>
    <w:rPr>
      <w:color w:val="954F72"/>
      <w:u w:val="single"/>
    </w:rPr>
  </w:style>
  <w:style w:type="character" w:customStyle="1" w:styleId="Sous-titreCar">
    <w:name w:val="Sous-titre Car"/>
    <w:uiPriority w:val="11"/>
    <w:qFormat/>
    <w:rsid w:val="00CD195E"/>
    <w:rPr>
      <w:b/>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ahoma"/>
    </w:rPr>
  </w:style>
  <w:style w:type="character" w:customStyle="1" w:styleId="ListLabel3">
    <w:name w:val="ListLabel 3"/>
    <w:qFormat/>
    <w:rPr>
      <w:rFonts w:ascii="Times New Roman" w:eastAsia="Times New Roman" w:hAnsi="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ahoma"/>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ahoma"/>
    </w:rPr>
  </w:style>
  <w:style w:type="character" w:customStyle="1" w:styleId="ListLabel18">
    <w:name w:val="ListLabel 18"/>
    <w:qFormat/>
    <w:rPr>
      <w:rFonts w:eastAsia="Times New Roman" w:cs="Tahoma"/>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ahoma"/>
    </w:rPr>
  </w:style>
  <w:style w:type="character" w:customStyle="1" w:styleId="ListLabel23">
    <w:name w:val="ListLabel 23"/>
    <w:qFormat/>
    <w:rPr>
      <w:rFonts w:eastAsia="Times New Roman" w:cs="Tahom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rPr>
  </w:style>
  <w:style w:type="character" w:customStyle="1" w:styleId="ListLabel29">
    <w:name w:val="ListLabel 29"/>
    <w:qFormat/>
    <w:rPr>
      <w:rFonts w:eastAsia="Times New Roman" w:cs="Tahom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pPr>
      <w:jc w:val="center"/>
    </w:pPr>
    <w:rPr>
      <w:b/>
      <w:bCs/>
      <w:szCs w:val="20"/>
    </w:rPr>
  </w:style>
  <w:style w:type="paragraph" w:customStyle="1" w:styleId="SNSignature">
    <w:name w:val="SNSignature"/>
    <w:basedOn w:val="Normal"/>
    <w:qFormat/>
    <w:pPr>
      <w:ind w:firstLine="720"/>
    </w:pPr>
  </w:style>
  <w:style w:type="paragraph" w:customStyle="1" w:styleId="puce1">
    <w:name w:val="puce1"/>
    <w:basedOn w:val="Normal"/>
    <w:qFormat/>
    <w:pPr>
      <w:widowControl w:val="0"/>
      <w:tabs>
        <w:tab w:val="left" w:pos="1429"/>
      </w:tabs>
      <w:suppressAutoHyphens/>
      <w:spacing w:before="240"/>
      <w:ind w:left="1429" w:hanging="360"/>
    </w:pPr>
    <w:rPr>
      <w:rFonts w:eastAsia="Lucida Sans Unicode"/>
    </w:rPr>
  </w:style>
  <w:style w:type="paragraph" w:customStyle="1" w:styleId="puce2">
    <w:name w:val="puce2"/>
    <w:basedOn w:val="Normal"/>
    <w:qFormat/>
    <w:pPr>
      <w:widowControl w:val="0"/>
      <w:tabs>
        <w:tab w:val="left" w:pos="2149"/>
      </w:tabs>
      <w:suppressAutoHyphens/>
      <w:spacing w:before="240"/>
      <w:ind w:left="2149" w:hanging="360"/>
    </w:pPr>
    <w:rPr>
      <w:rFonts w:eastAsia="Lucida Sans Unicode"/>
    </w:rPr>
  </w:style>
  <w:style w:type="paragraph" w:customStyle="1" w:styleId="puce3">
    <w:name w:val="puce3"/>
    <w:basedOn w:val="Normal"/>
    <w:qFormat/>
    <w:pPr>
      <w:widowControl w:val="0"/>
      <w:tabs>
        <w:tab w:val="left" w:pos="2869"/>
      </w:tabs>
      <w:suppressAutoHyphens/>
      <w:spacing w:before="240"/>
      <w:ind w:left="2869" w:hanging="360"/>
    </w:pPr>
    <w:rPr>
      <w:rFonts w:eastAsia="Lucida Sans Unicode"/>
    </w:rPr>
  </w:style>
  <w:style w:type="paragraph" w:customStyle="1" w:styleId="num1">
    <w:name w:val="num1"/>
    <w:basedOn w:val="Normal"/>
    <w:qFormat/>
    <w:pPr>
      <w:widowControl w:val="0"/>
      <w:tabs>
        <w:tab w:val="left" w:pos="1429"/>
      </w:tabs>
      <w:suppressAutoHyphens/>
      <w:spacing w:before="240"/>
      <w:ind w:left="1429" w:hanging="360"/>
    </w:pPr>
    <w:rPr>
      <w:rFonts w:eastAsia="Lucida Sans Unicode"/>
    </w:rPr>
  </w:style>
  <w:style w:type="paragraph" w:customStyle="1" w:styleId="num2">
    <w:name w:val="num2"/>
    <w:basedOn w:val="Normal"/>
    <w:qFormat/>
    <w:pPr>
      <w:widowControl w:val="0"/>
      <w:tabs>
        <w:tab w:val="left" w:pos="2149"/>
      </w:tabs>
      <w:suppressAutoHyphens/>
      <w:spacing w:before="240"/>
      <w:ind w:left="2149" w:hanging="360"/>
    </w:pPr>
    <w:rPr>
      <w:rFonts w:eastAsia="Lucida Sans Unicode"/>
    </w:rPr>
  </w:style>
  <w:style w:type="paragraph" w:customStyle="1" w:styleId="num3">
    <w:name w:val="num3"/>
    <w:basedOn w:val="Normal"/>
    <w:qFormat/>
    <w:pPr>
      <w:widowControl w:val="0"/>
      <w:tabs>
        <w:tab w:val="left" w:pos="2869"/>
      </w:tabs>
      <w:suppressAutoHyphen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uppressAutoHyphens/>
      <w:spacing w:before="120" w:after="120"/>
      <w:ind w:firstLine="709"/>
      <w:jc w:val="both"/>
    </w:pPr>
    <w:rPr>
      <w:rFonts w:eastAsia="Lucida Sans Unicode"/>
    </w:rPr>
  </w:style>
  <w:style w:type="paragraph" w:customStyle="1" w:styleId="SNNature">
    <w:name w:val="SNNature"/>
    <w:basedOn w:val="Normal"/>
    <w:autoRedefine/>
    <w:qFormat/>
    <w:pPr>
      <w:widowControl w:val="0"/>
      <w:suppressLineNumbers/>
      <w:suppressAutoHyphens/>
      <w:spacing w:before="720" w:after="120"/>
      <w:jc w:val="center"/>
    </w:pPr>
    <w:rPr>
      <w:rFonts w:eastAsia="Lucida Sans Unicode"/>
      <w:b/>
      <w:bCs/>
    </w:rPr>
  </w:style>
  <w:style w:type="paragraph" w:customStyle="1" w:styleId="SNtitre">
    <w:name w:val="SNtitre"/>
    <w:basedOn w:val="Normal"/>
    <w:autoRedefine/>
    <w:qFormat/>
    <w:pPr>
      <w:widowControl w:val="0"/>
      <w:suppressLineNumbers/>
      <w:suppressAutoHyphens/>
      <w:spacing w:after="360"/>
      <w:jc w:val="center"/>
    </w:pPr>
    <w:rPr>
      <w:rFonts w:eastAsia="Lucida Sans Unicode"/>
      <w:b/>
    </w:rPr>
  </w:style>
  <w:style w:type="paragraph" w:customStyle="1" w:styleId="SNNORCentr">
    <w:name w:val="SNNOR+Centré"/>
    <w:qFormat/>
    <w:pPr>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autoRedefine/>
    <w:qFormat/>
    <w:pPr>
      <w:widowControl w:val="0"/>
      <w:suppressAutoHyphens/>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autoRedefine/>
    <w:qFormat/>
    <w:rsid w:val="001F0208"/>
    <w:pPr>
      <w:spacing w:before="480" w:after="1680"/>
      <w:ind w:firstLine="720"/>
    </w:pPr>
  </w:style>
  <w:style w:type="paragraph" w:customStyle="1" w:styleId="SNContreseing">
    <w:name w:val="SNContreseing"/>
    <w:basedOn w:val="Normal"/>
    <w:next w:val="Normal"/>
    <w:autoRedefine/>
    <w:qFormat/>
    <w:pPr>
      <w:spacing w:before="480"/>
      <w:ind w:firstLine="720"/>
    </w:pPr>
  </w:style>
  <w:style w:type="paragraph" w:customStyle="1" w:styleId="SNActe">
    <w:name w:val="SNActe"/>
    <w:basedOn w:val="Normal"/>
    <w:autoRedefine/>
    <w:qFormat/>
    <w:pPr>
      <w:spacing w:before="480" w:after="360"/>
      <w:jc w:val="center"/>
    </w:pPr>
    <w:rPr>
      <w:b/>
    </w:rPr>
  </w:style>
  <w:style w:type="paragraph" w:customStyle="1" w:styleId="SNArticle">
    <w:name w:val="SNArticle"/>
    <w:basedOn w:val="Normal"/>
    <w:autoRedefine/>
    <w:qFormat/>
    <w:pPr>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Titre1"/>
    <w:next w:val="Normal"/>
    <w:qFormat/>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Textedebulles">
    <w:name w:val="Balloon Text"/>
    <w:basedOn w:val="Normal"/>
    <w:link w:val="TextedebullesCar"/>
    <w:uiPriority w:val="99"/>
    <w:semiHidden/>
    <w:qFormat/>
    <w:rPr>
      <w:rFonts w:ascii="Tahoma" w:hAnsi="Tahoma" w:cs="Tahoma"/>
      <w:sz w:val="16"/>
      <w:szCs w:val="16"/>
    </w:rPr>
  </w:style>
  <w:style w:type="paragraph" w:customStyle="1" w:styleId="Titre2objet">
    <w:name w:val="Titre 2 objet"/>
    <w:basedOn w:val="Titre2"/>
    <w:qFormat/>
    <w:pPr>
      <w:spacing w:before="0" w:after="120"/>
    </w:pPr>
    <w:rPr>
      <w:b/>
    </w:rPr>
  </w:style>
  <w:style w:type="paragraph" w:customStyle="1" w:styleId="Style1">
    <w:name w:val="Style1"/>
    <w:basedOn w:val="Titre3"/>
    <w:next w:val="Normal"/>
    <w:qFormat/>
    <w:pPr>
      <w:spacing w:before="0" w:after="120"/>
    </w:pPr>
    <w:rPr>
      <w:b/>
    </w:rPr>
  </w:style>
  <w:style w:type="paragraph" w:customStyle="1" w:styleId="Titre3objet">
    <w:name w:val="Titre 3 objet"/>
    <w:basedOn w:val="Titre3"/>
    <w:next w:val="Normal"/>
    <w:qFormat/>
    <w:pPr>
      <w:spacing w:before="0" w:after="120"/>
    </w:pPr>
    <w:rPr>
      <w:b/>
    </w:rPr>
  </w:style>
  <w:style w:type="paragraph" w:styleId="NormalWeb">
    <w:name w:val="Normal (Web)"/>
    <w:basedOn w:val="Normal"/>
    <w:uiPriority w:val="99"/>
    <w:semiHidden/>
    <w:qFormat/>
    <w:pPr>
      <w:spacing w:beforeAutospacing="1" w:afterAutospacing="1"/>
    </w:pPr>
    <w:rPr>
      <w:rFonts w:ascii="Arial Unicode MS" w:eastAsia="Arial Unicode MS" w:hAnsi="Arial Unicode MS" w:cs="Arial Unicode MS"/>
    </w:rPr>
  </w:style>
  <w:style w:type="paragraph" w:styleId="Commentaire">
    <w:name w:val="annotation text"/>
    <w:basedOn w:val="Normal"/>
    <w:link w:val="CommentaireCar"/>
    <w:uiPriority w:val="99"/>
    <w:unhideWhenUsed/>
    <w:qFormat/>
    <w:rsid w:val="00F45A55"/>
    <w:rPr>
      <w:sz w:val="20"/>
      <w:szCs w:val="20"/>
    </w:rPr>
  </w:style>
  <w:style w:type="paragraph" w:styleId="Objetducommentaire">
    <w:name w:val="annotation subject"/>
    <w:basedOn w:val="Commentaire"/>
    <w:link w:val="ObjetducommentaireCar"/>
    <w:uiPriority w:val="99"/>
    <w:semiHidden/>
    <w:unhideWhenUsed/>
    <w:qFormat/>
    <w:rsid w:val="00DB54BB"/>
    <w:rPr>
      <w:b/>
      <w:bCs/>
    </w:rPr>
  </w:style>
  <w:style w:type="paragraph" w:styleId="Sous-titre">
    <w:name w:val="Subtitle"/>
    <w:basedOn w:val="SNArticle"/>
    <w:next w:val="Normal"/>
    <w:uiPriority w:val="11"/>
    <w:qFormat/>
    <w:rsid w:val="00CD195E"/>
  </w:style>
  <w:style w:type="paragraph" w:styleId="Rvision">
    <w:name w:val="Revision"/>
    <w:uiPriority w:val="99"/>
    <w:semiHidden/>
    <w:qFormat/>
    <w:rsid w:val="002C595E"/>
    <w:pPr>
      <w:spacing w:after="200"/>
    </w:pPr>
    <w:rPr>
      <w:sz w:val="24"/>
      <w:szCs w:val="24"/>
    </w:rPr>
  </w:style>
  <w:style w:type="paragraph" w:styleId="Paragraphedeliste">
    <w:name w:val="List Paragraph"/>
    <w:basedOn w:val="Normal"/>
    <w:uiPriority w:val="34"/>
    <w:qFormat/>
    <w:rsid w:val="0031370D"/>
    <w:pPr>
      <w:ind w:left="708"/>
    </w:pPr>
  </w:style>
  <w:style w:type="table" w:styleId="Grilledutableau">
    <w:name w:val="Table Grid"/>
    <w:basedOn w:val="TableauNormal"/>
    <w:uiPriority w:val="39"/>
    <w:rsid w:val="0014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433A6A"/>
    <w:rPr>
      <w:b/>
      <w:bCs/>
      <w:sz w:val="24"/>
      <w:szCs w:val="24"/>
    </w:rPr>
  </w:style>
  <w:style w:type="numbering" w:customStyle="1" w:styleId="Aucuneliste1">
    <w:name w:val="Aucune liste1"/>
    <w:next w:val="Aucuneliste"/>
    <w:uiPriority w:val="99"/>
    <w:semiHidden/>
    <w:unhideWhenUsed/>
    <w:rsid w:val="00433A6A"/>
  </w:style>
  <w:style w:type="character" w:customStyle="1" w:styleId="Titre2Car">
    <w:name w:val="Titre 2 Car"/>
    <w:basedOn w:val="Policepardfaut"/>
    <w:link w:val="Titre2"/>
    <w:uiPriority w:val="9"/>
    <w:rsid w:val="00433A6A"/>
    <w:rPr>
      <w:bCs/>
      <w:iCs/>
      <w:smallCaps/>
      <w:sz w:val="24"/>
      <w:szCs w:val="24"/>
    </w:rPr>
  </w:style>
  <w:style w:type="character" w:customStyle="1" w:styleId="Titre3Car">
    <w:name w:val="Titre 3 Car"/>
    <w:basedOn w:val="Policepardfaut"/>
    <w:link w:val="Titre3"/>
    <w:uiPriority w:val="9"/>
    <w:rsid w:val="00433A6A"/>
    <w:rPr>
      <w:rFonts w:cs="Arial"/>
      <w:bCs/>
      <w:sz w:val="24"/>
      <w:szCs w:val="26"/>
    </w:rPr>
  </w:style>
  <w:style w:type="paragraph" w:customStyle="1" w:styleId="info-maj">
    <w:name w:val="info-maj"/>
    <w:basedOn w:val="Normal"/>
    <w:rsid w:val="00433A6A"/>
    <w:pPr>
      <w:spacing w:before="100" w:beforeAutospacing="1" w:after="100" w:afterAutospacing="1" w:line="240" w:lineRule="auto"/>
    </w:pPr>
  </w:style>
  <w:style w:type="paragraph" w:customStyle="1" w:styleId="Sous-titre1">
    <w:name w:val="Sous-titre1"/>
    <w:basedOn w:val="Normal"/>
    <w:rsid w:val="00433A6A"/>
    <w:pPr>
      <w:spacing w:before="100" w:beforeAutospacing="1" w:after="100" w:afterAutospacing="1" w:line="240" w:lineRule="auto"/>
    </w:pPr>
  </w:style>
  <w:style w:type="paragraph" w:customStyle="1" w:styleId="info">
    <w:name w:val="info"/>
    <w:basedOn w:val="Normal"/>
    <w:rsid w:val="00433A6A"/>
    <w:pPr>
      <w:spacing w:before="100" w:beforeAutospacing="1" w:after="100" w:afterAutospacing="1" w:line="240" w:lineRule="auto"/>
    </w:pPr>
  </w:style>
  <w:style w:type="character" w:styleId="Lienhypertexte">
    <w:name w:val="Hyperlink"/>
    <w:basedOn w:val="Policepardfaut"/>
    <w:uiPriority w:val="99"/>
    <w:unhideWhenUsed/>
    <w:rsid w:val="00433A6A"/>
    <w:rPr>
      <w:color w:val="0563C1" w:themeColor="hyperlink"/>
      <w:u w:val="single"/>
    </w:rPr>
  </w:style>
  <w:style w:type="character" w:customStyle="1" w:styleId="CorpsdetexteCar1">
    <w:name w:val="Corps de texte Car1"/>
    <w:basedOn w:val="Policepardfaut"/>
    <w:uiPriority w:val="99"/>
    <w:semiHidden/>
    <w:rsid w:val="00433A6A"/>
  </w:style>
  <w:style w:type="character" w:customStyle="1" w:styleId="TextedebullesCar">
    <w:name w:val="Texte de bulles Car"/>
    <w:basedOn w:val="Policepardfaut"/>
    <w:link w:val="Textedebulles"/>
    <w:uiPriority w:val="99"/>
    <w:semiHidden/>
    <w:rsid w:val="00433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0B91-972F-49D1-906E-9A084DD3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5330</Words>
  <Characters>29321</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DROUIN Sylvain</dc:creator>
  <dc:description/>
  <cp:lastModifiedBy>HERON Hélène</cp:lastModifiedBy>
  <cp:revision>43</cp:revision>
  <cp:lastPrinted>2021-07-05T07:33:00Z</cp:lastPrinted>
  <dcterms:created xsi:type="dcterms:W3CDTF">2021-07-05T07:55:00Z</dcterms:created>
  <dcterms:modified xsi:type="dcterms:W3CDTF">2021-10-11T15:11:00Z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