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F34299" w:rsidRPr="00F34299">
        <w:tc>
          <w:tcPr>
            <w:tcW w:w="3982" w:type="dxa"/>
            <w:gridSpan w:val="3"/>
          </w:tcPr>
          <w:p w:rsidR="00817A7A" w:rsidRPr="00F34299" w:rsidRDefault="00817A7A">
            <w:pPr>
              <w:pStyle w:val="SNREPUBLIQUE"/>
              <w:rPr>
                <w:rFonts w:cs="Tahoma"/>
              </w:rPr>
            </w:pPr>
            <w:r w:rsidRPr="00F34299">
              <w:t>RÉPUBLIQUE FRANÇAISE</w:t>
            </w:r>
          </w:p>
        </w:tc>
      </w:tr>
      <w:tr w:rsidR="00F34299" w:rsidRPr="00F34299">
        <w:trPr>
          <w:trHeight w:hRule="exact" w:val="113"/>
        </w:trPr>
        <w:tc>
          <w:tcPr>
            <w:tcW w:w="1527" w:type="dxa"/>
          </w:tcPr>
          <w:p w:rsidR="00817A7A" w:rsidRPr="00F34299" w:rsidRDefault="00817A7A">
            <w:pPr>
              <w:snapToGrid w:val="0"/>
              <w:rPr>
                <w:rFonts w:cs="Tahoma"/>
              </w:rPr>
            </w:pPr>
          </w:p>
        </w:tc>
        <w:tc>
          <w:tcPr>
            <w:tcW w:w="968" w:type="dxa"/>
            <w:tcBorders>
              <w:bottom w:val="single" w:sz="1" w:space="0" w:color="000000"/>
            </w:tcBorders>
          </w:tcPr>
          <w:p w:rsidR="00817A7A" w:rsidRPr="00F34299" w:rsidRDefault="00817A7A">
            <w:pPr>
              <w:snapToGrid w:val="0"/>
            </w:pPr>
          </w:p>
        </w:tc>
        <w:tc>
          <w:tcPr>
            <w:tcW w:w="1487" w:type="dxa"/>
          </w:tcPr>
          <w:p w:rsidR="00817A7A" w:rsidRPr="00F34299" w:rsidRDefault="00817A7A">
            <w:pPr>
              <w:snapToGrid w:val="0"/>
            </w:pPr>
          </w:p>
        </w:tc>
      </w:tr>
      <w:tr w:rsidR="00F34299" w:rsidRPr="00F34299">
        <w:tc>
          <w:tcPr>
            <w:tcW w:w="3982" w:type="dxa"/>
            <w:gridSpan w:val="3"/>
          </w:tcPr>
          <w:p w:rsidR="00817A7A" w:rsidRPr="00F34299" w:rsidRDefault="00B40417" w:rsidP="00AE3AE7">
            <w:pPr>
              <w:pStyle w:val="SNTimbre"/>
            </w:pPr>
            <w:r w:rsidRPr="00F34299">
              <w:t xml:space="preserve">Ministère de </w:t>
            </w:r>
            <w:r w:rsidR="00C7008F" w:rsidRPr="00F34299">
              <w:br/>
            </w:r>
            <w:r w:rsidRPr="00F34299">
              <w:t xml:space="preserve">la </w:t>
            </w:r>
            <w:r w:rsidR="00AE3AE7" w:rsidRPr="00F34299">
              <w:t>t</w:t>
            </w:r>
            <w:r w:rsidRPr="00F34299">
              <w:t xml:space="preserve">ransition </w:t>
            </w:r>
            <w:r w:rsidR="00C7008F" w:rsidRPr="00F34299">
              <w:t>écologique</w:t>
            </w:r>
          </w:p>
        </w:tc>
      </w:tr>
      <w:tr w:rsidR="00F34299" w:rsidRPr="00F34299">
        <w:trPr>
          <w:trHeight w:hRule="exact" w:val="227"/>
        </w:trPr>
        <w:tc>
          <w:tcPr>
            <w:tcW w:w="1527" w:type="dxa"/>
          </w:tcPr>
          <w:p w:rsidR="00817A7A" w:rsidRPr="00F34299" w:rsidRDefault="00817A7A">
            <w:pPr>
              <w:snapToGrid w:val="0"/>
            </w:pPr>
          </w:p>
        </w:tc>
        <w:tc>
          <w:tcPr>
            <w:tcW w:w="968" w:type="dxa"/>
            <w:tcBorders>
              <w:bottom w:val="single" w:sz="1" w:space="0" w:color="000000"/>
            </w:tcBorders>
          </w:tcPr>
          <w:p w:rsidR="00817A7A" w:rsidRPr="00F34299" w:rsidRDefault="00817A7A">
            <w:pPr>
              <w:snapToGrid w:val="0"/>
            </w:pPr>
          </w:p>
        </w:tc>
        <w:tc>
          <w:tcPr>
            <w:tcW w:w="1487" w:type="dxa"/>
          </w:tcPr>
          <w:p w:rsidR="00817A7A" w:rsidRPr="00F34299" w:rsidRDefault="00817A7A">
            <w:pPr>
              <w:snapToGrid w:val="0"/>
            </w:pPr>
          </w:p>
        </w:tc>
      </w:tr>
      <w:tr w:rsidR="00F34299" w:rsidRPr="00F34299">
        <w:trPr>
          <w:trHeight w:hRule="exact" w:val="227"/>
        </w:trPr>
        <w:tc>
          <w:tcPr>
            <w:tcW w:w="1527" w:type="dxa"/>
          </w:tcPr>
          <w:p w:rsidR="00817A7A" w:rsidRPr="00F34299" w:rsidRDefault="00817A7A">
            <w:pPr>
              <w:snapToGrid w:val="0"/>
            </w:pPr>
          </w:p>
        </w:tc>
        <w:tc>
          <w:tcPr>
            <w:tcW w:w="968" w:type="dxa"/>
          </w:tcPr>
          <w:p w:rsidR="00817A7A" w:rsidRPr="00F34299" w:rsidRDefault="00817A7A">
            <w:pPr>
              <w:snapToGrid w:val="0"/>
            </w:pPr>
          </w:p>
        </w:tc>
        <w:tc>
          <w:tcPr>
            <w:tcW w:w="1487" w:type="dxa"/>
          </w:tcPr>
          <w:p w:rsidR="00817A7A" w:rsidRPr="00F34299" w:rsidRDefault="00817A7A">
            <w:pPr>
              <w:snapToGrid w:val="0"/>
            </w:pPr>
          </w:p>
        </w:tc>
      </w:tr>
    </w:tbl>
    <w:p w:rsidR="00817A7A" w:rsidRPr="00F34299" w:rsidRDefault="00817A7A" w:rsidP="001B3CE6">
      <w:pPr>
        <w:pStyle w:val="SNNature"/>
      </w:pPr>
      <w:r w:rsidRPr="00F34299">
        <w:t xml:space="preserve">Arrêté du </w:t>
      </w:r>
      <w:r w:rsidR="005A0531" w:rsidRPr="00F34299">
        <w:t>JJ MM 2022</w:t>
      </w:r>
    </w:p>
    <w:p w:rsidR="00817A7A" w:rsidRPr="00F34299" w:rsidRDefault="00817A7A">
      <w:pPr>
        <w:pStyle w:val="SNtitre"/>
      </w:pPr>
      <w:r w:rsidRPr="00F34299">
        <w:t>portant modification du règlement annexé à l’arrêté du 18 juillet 2000 réglementant le transport et la manutention des matières dangereuses dans les ports maritimes</w:t>
      </w:r>
    </w:p>
    <w:p w:rsidR="00817A7A" w:rsidRPr="00F34299" w:rsidRDefault="00817A7A" w:rsidP="00B46B08">
      <w:pPr>
        <w:pStyle w:val="SNNORCentr"/>
        <w:rPr>
          <w:b/>
          <w:i/>
          <w:iCs/>
        </w:rPr>
      </w:pPr>
      <w:r w:rsidRPr="00F34299">
        <w:t xml:space="preserve">NOR : </w:t>
      </w:r>
      <w:r w:rsidR="00B46B08" w:rsidRPr="00F34299">
        <w:t>TREP</w:t>
      </w:r>
      <w:r w:rsidR="00C7008F" w:rsidRPr="00F34299">
        <w:t>2</w:t>
      </w:r>
      <w:r w:rsidR="005A0531" w:rsidRPr="00F34299">
        <w:t>2</w:t>
      </w:r>
      <w:r w:rsidR="00162560" w:rsidRPr="00F34299">
        <w:t>yyyyy</w:t>
      </w:r>
      <w:r w:rsidR="00B46B08" w:rsidRPr="00F34299">
        <w:t>A</w:t>
      </w:r>
    </w:p>
    <w:p w:rsidR="00817A7A" w:rsidRPr="00F34299" w:rsidRDefault="00817A7A" w:rsidP="00524E30">
      <w:pPr>
        <w:pStyle w:val="Corpsdetexte"/>
        <w:spacing w:before="240"/>
        <w:rPr>
          <w:b/>
          <w:bCs/>
          <w:i/>
          <w:iCs/>
        </w:rPr>
      </w:pPr>
      <w:r w:rsidRPr="00F34299">
        <w:rPr>
          <w:b/>
          <w:bCs/>
          <w:i/>
          <w:iCs/>
        </w:rPr>
        <w:t>Public</w:t>
      </w:r>
      <w:r w:rsidR="00AE3AE7" w:rsidRPr="00F34299">
        <w:rPr>
          <w:b/>
          <w:bCs/>
          <w:i/>
          <w:iCs/>
        </w:rPr>
        <w:t>s concernés</w:t>
      </w:r>
      <w:r w:rsidRPr="00F34299">
        <w:rPr>
          <w:b/>
          <w:bCs/>
          <w:i/>
          <w:iCs/>
        </w:rPr>
        <w:t xml:space="preserve"> : </w:t>
      </w:r>
      <w:r w:rsidR="00403546" w:rsidRPr="00F34299">
        <w:rPr>
          <w:i/>
          <w:iCs/>
          <w:szCs w:val="22"/>
        </w:rPr>
        <w:t>i</w:t>
      </w:r>
      <w:r w:rsidRPr="00F34299">
        <w:rPr>
          <w:i/>
          <w:iCs/>
          <w:szCs w:val="22"/>
        </w:rPr>
        <w:t>ntervenants (expéditeurs, transporteurs, chargeurs, déchargeurs, emballeurs, remplisseurs) participant</w:t>
      </w:r>
      <w:r w:rsidR="00524E30" w:rsidRPr="00F34299">
        <w:rPr>
          <w:i/>
          <w:iCs/>
          <w:szCs w:val="22"/>
        </w:rPr>
        <w:t>, dans les ports maritimes,</w:t>
      </w:r>
      <w:r w:rsidRPr="00F34299">
        <w:rPr>
          <w:i/>
          <w:iCs/>
          <w:szCs w:val="22"/>
        </w:rPr>
        <w:t xml:space="preserve"> aux opérations de transport par voie</w:t>
      </w:r>
      <w:r w:rsidR="00524E30" w:rsidRPr="00F34299">
        <w:rPr>
          <w:i/>
          <w:iCs/>
          <w:szCs w:val="22"/>
        </w:rPr>
        <w:t>s terrestres et</w:t>
      </w:r>
      <w:r w:rsidRPr="00F34299">
        <w:rPr>
          <w:i/>
          <w:iCs/>
          <w:szCs w:val="22"/>
        </w:rPr>
        <w:t xml:space="preserve"> maritime et de manutention de marchandises dangereuses</w:t>
      </w:r>
      <w:r w:rsidR="00A45D0C" w:rsidRPr="00F34299">
        <w:rPr>
          <w:i/>
          <w:iCs/>
          <w:szCs w:val="22"/>
        </w:rPr>
        <w:t xml:space="preserve"> ; exploitants de terminaux </w:t>
      </w:r>
      <w:r w:rsidR="00524E30" w:rsidRPr="00F34299">
        <w:rPr>
          <w:i/>
          <w:iCs/>
          <w:szCs w:val="22"/>
        </w:rPr>
        <w:t>portuaires</w:t>
      </w:r>
      <w:r w:rsidR="00A45D0C" w:rsidRPr="00F34299">
        <w:rPr>
          <w:i/>
          <w:iCs/>
          <w:szCs w:val="22"/>
        </w:rPr>
        <w:t> ; autorités portuaires et autorités investies du pouvoir de police portuaire</w:t>
      </w:r>
      <w:r w:rsidRPr="00F34299">
        <w:rPr>
          <w:i/>
          <w:iCs/>
          <w:szCs w:val="22"/>
        </w:rPr>
        <w:t>.</w:t>
      </w:r>
    </w:p>
    <w:p w:rsidR="00BD3946" w:rsidRPr="00F34299" w:rsidRDefault="00817A7A" w:rsidP="0011269D">
      <w:pPr>
        <w:pStyle w:val="Corpsdetexte"/>
        <w:rPr>
          <w:i/>
          <w:iCs/>
        </w:rPr>
      </w:pPr>
      <w:r w:rsidRPr="00F34299">
        <w:rPr>
          <w:b/>
          <w:bCs/>
          <w:i/>
          <w:iCs/>
        </w:rPr>
        <w:t>Objet :</w:t>
      </w:r>
      <w:r w:rsidRPr="00F34299">
        <w:rPr>
          <w:i/>
          <w:iCs/>
        </w:rPr>
        <w:t xml:space="preserve"> </w:t>
      </w:r>
      <w:r w:rsidR="00403546" w:rsidRPr="00F34299">
        <w:rPr>
          <w:i/>
          <w:iCs/>
        </w:rPr>
        <w:t>l’</w:t>
      </w:r>
      <w:r w:rsidR="00BD3946" w:rsidRPr="00F34299">
        <w:rPr>
          <w:i/>
          <w:iCs/>
        </w:rPr>
        <w:t>arrêté</w:t>
      </w:r>
      <w:r w:rsidRPr="00F34299">
        <w:rPr>
          <w:i/>
          <w:iCs/>
        </w:rPr>
        <w:t xml:space="preserve"> </w:t>
      </w:r>
      <w:r w:rsidR="008627E7" w:rsidRPr="00F34299">
        <w:rPr>
          <w:i/>
          <w:iCs/>
        </w:rPr>
        <w:t xml:space="preserve">actualise les conditions et les modalités encadrant le </w:t>
      </w:r>
      <w:r w:rsidR="00FF2FBB" w:rsidRPr="00F34299">
        <w:rPr>
          <w:i/>
          <w:iCs/>
        </w:rPr>
        <w:t>dépôt à terre</w:t>
      </w:r>
      <w:r w:rsidR="008627E7" w:rsidRPr="00F34299">
        <w:rPr>
          <w:i/>
          <w:iCs/>
        </w:rPr>
        <w:t xml:space="preserve"> temporaire des nitrates d’ammonium et des engrais qui en contiennent dans les ports maritimes</w:t>
      </w:r>
      <w:r w:rsidR="00BD3946" w:rsidRPr="00F34299">
        <w:rPr>
          <w:i/>
          <w:iCs/>
        </w:rPr>
        <w:t>.</w:t>
      </w:r>
    </w:p>
    <w:p w:rsidR="00817A7A" w:rsidRPr="00F34299" w:rsidRDefault="00817A7A" w:rsidP="00524E30">
      <w:pPr>
        <w:pStyle w:val="Corpsdetexte"/>
        <w:rPr>
          <w:b/>
          <w:bCs/>
          <w:i/>
          <w:iCs/>
        </w:rPr>
      </w:pPr>
      <w:r w:rsidRPr="00F34299">
        <w:rPr>
          <w:b/>
          <w:bCs/>
          <w:i/>
          <w:iCs/>
        </w:rPr>
        <w:t>Mots-clés :</w:t>
      </w:r>
      <w:r w:rsidRPr="00F34299">
        <w:rPr>
          <w:i/>
          <w:iCs/>
        </w:rPr>
        <w:t xml:space="preserve"> </w:t>
      </w:r>
      <w:r w:rsidR="00403546" w:rsidRPr="00F34299">
        <w:rPr>
          <w:i/>
          <w:iCs/>
        </w:rPr>
        <w:t>t</w:t>
      </w:r>
      <w:r w:rsidRPr="00F34299">
        <w:rPr>
          <w:i/>
          <w:iCs/>
        </w:rPr>
        <w:t xml:space="preserve">ransport et manutention des marchandises dangereuses </w:t>
      </w:r>
      <w:r w:rsidR="007C7FF4" w:rsidRPr="00F34299">
        <w:rPr>
          <w:i/>
          <w:iCs/>
        </w:rPr>
        <w:t>/ ports maritimes / séjour temporaire des nitrates d’ammonium et des engrais au nitrate d’ammonium</w:t>
      </w:r>
      <w:r w:rsidR="0011269D" w:rsidRPr="00F34299">
        <w:rPr>
          <w:i/>
          <w:iCs/>
        </w:rPr>
        <w:t>.</w:t>
      </w:r>
    </w:p>
    <w:p w:rsidR="00817A7A" w:rsidRPr="00F34299" w:rsidRDefault="00817A7A" w:rsidP="00E31EDD">
      <w:pPr>
        <w:pStyle w:val="Corpsdetexte"/>
        <w:rPr>
          <w:b/>
          <w:bCs/>
          <w:i/>
          <w:iCs/>
        </w:rPr>
      </w:pPr>
      <w:r w:rsidRPr="00F34299">
        <w:rPr>
          <w:b/>
          <w:bCs/>
          <w:i/>
          <w:iCs/>
        </w:rPr>
        <w:t>Entrée en vigueur :</w:t>
      </w:r>
      <w:r w:rsidRPr="00F34299">
        <w:rPr>
          <w:i/>
          <w:iCs/>
        </w:rPr>
        <w:t xml:space="preserve"> </w:t>
      </w:r>
      <w:r w:rsidR="00403546" w:rsidRPr="00F34299">
        <w:rPr>
          <w:i/>
          <w:iCs/>
        </w:rPr>
        <w:t>l</w:t>
      </w:r>
      <w:r w:rsidR="00B124D0" w:rsidRPr="00F34299">
        <w:rPr>
          <w:i/>
          <w:iCs/>
        </w:rPr>
        <w:t xml:space="preserve">es </w:t>
      </w:r>
      <w:r w:rsidR="00524E30" w:rsidRPr="00F34299">
        <w:rPr>
          <w:i/>
          <w:iCs/>
        </w:rPr>
        <w:t xml:space="preserve">dispositions du </w:t>
      </w:r>
      <w:r w:rsidRPr="00F34299">
        <w:rPr>
          <w:i/>
          <w:iCs/>
        </w:rPr>
        <w:t xml:space="preserve">présent arrêté </w:t>
      </w:r>
      <w:r w:rsidR="00B124D0" w:rsidRPr="00F34299">
        <w:rPr>
          <w:i/>
          <w:iCs/>
        </w:rPr>
        <w:t xml:space="preserve">entrent en vigueur </w:t>
      </w:r>
      <w:r w:rsidR="00AC0CC7" w:rsidRPr="00F34299">
        <w:rPr>
          <w:i/>
          <w:iCs/>
        </w:rPr>
        <w:t xml:space="preserve">le 16 juillet 2022, </w:t>
      </w:r>
      <w:r w:rsidR="00D26E87" w:rsidRPr="00F34299">
        <w:rPr>
          <w:i/>
          <w:iCs/>
        </w:rPr>
        <w:t>conformément aux dispositions de son article 3</w:t>
      </w:r>
      <w:r w:rsidR="00B124D0" w:rsidRPr="00F34299">
        <w:rPr>
          <w:i/>
          <w:iCs/>
        </w:rPr>
        <w:t>.</w:t>
      </w:r>
    </w:p>
    <w:p w:rsidR="00817A7A" w:rsidRPr="00F34299" w:rsidRDefault="00817A7A" w:rsidP="008627E7">
      <w:pPr>
        <w:pStyle w:val="Corpsdetexte"/>
        <w:rPr>
          <w:i/>
          <w:iCs/>
        </w:rPr>
      </w:pPr>
      <w:r w:rsidRPr="00F34299">
        <w:rPr>
          <w:b/>
          <w:i/>
          <w:iCs/>
        </w:rPr>
        <w:t>Notice :</w:t>
      </w:r>
      <w:r w:rsidRPr="00F34299">
        <w:rPr>
          <w:i/>
          <w:iCs/>
        </w:rPr>
        <w:t xml:space="preserve"> </w:t>
      </w:r>
      <w:r w:rsidR="008627E7" w:rsidRPr="00F34299">
        <w:rPr>
          <w:i/>
          <w:iCs/>
        </w:rPr>
        <w:t xml:space="preserve">de nouvelles données </w:t>
      </w:r>
      <w:r w:rsidR="00B738EA">
        <w:rPr>
          <w:i/>
          <w:iCs/>
        </w:rPr>
        <w:t>conduisent à affiner</w:t>
      </w:r>
      <w:r w:rsidR="008627E7" w:rsidRPr="00F34299">
        <w:rPr>
          <w:i/>
          <w:iCs/>
        </w:rPr>
        <w:t xml:space="preserve"> les calculs de distances d’effets liées aux </w:t>
      </w:r>
      <w:r w:rsidR="00FF2FBB" w:rsidRPr="00F34299">
        <w:rPr>
          <w:i/>
          <w:iCs/>
        </w:rPr>
        <w:t>risques d’</w:t>
      </w:r>
      <w:r w:rsidR="008627E7" w:rsidRPr="00F34299">
        <w:rPr>
          <w:i/>
          <w:iCs/>
        </w:rPr>
        <w:t xml:space="preserve">explosion de nitrate d’ammonium </w:t>
      </w:r>
      <w:r w:rsidR="00FF2FBB" w:rsidRPr="00F34299">
        <w:rPr>
          <w:i/>
          <w:iCs/>
        </w:rPr>
        <w:t xml:space="preserve">et des engrais </w:t>
      </w:r>
      <w:r w:rsidR="00B738EA">
        <w:rPr>
          <w:i/>
          <w:iCs/>
        </w:rPr>
        <w:t>et à renforcer les prescriptions relatives à la taille des îlots et aux</w:t>
      </w:r>
      <w:r w:rsidR="008627E7" w:rsidRPr="00F34299">
        <w:rPr>
          <w:i/>
          <w:iCs/>
        </w:rPr>
        <w:t xml:space="preserve"> distances entre îlots</w:t>
      </w:r>
      <w:r w:rsidR="00FF2FBB" w:rsidRPr="00F34299">
        <w:rPr>
          <w:i/>
          <w:iCs/>
        </w:rPr>
        <w:t>, lorsque de telles matières font</w:t>
      </w:r>
      <w:r w:rsidR="00B738EA">
        <w:rPr>
          <w:i/>
          <w:iCs/>
        </w:rPr>
        <w:t>, par exception,</w:t>
      </w:r>
      <w:r w:rsidR="00FF2FBB" w:rsidRPr="00F34299">
        <w:rPr>
          <w:i/>
          <w:iCs/>
        </w:rPr>
        <w:t xml:space="preserve"> l’objet d’un dépôt à terre temporaire</w:t>
      </w:r>
      <w:r w:rsidRPr="00F34299">
        <w:rPr>
          <w:i/>
          <w:iCs/>
        </w:rPr>
        <w:t>.</w:t>
      </w:r>
    </w:p>
    <w:p w:rsidR="00817A7A" w:rsidRPr="00F34299" w:rsidRDefault="00817A7A">
      <w:pPr>
        <w:pStyle w:val="Corpsdetexte"/>
      </w:pPr>
      <w:r w:rsidRPr="00F34299">
        <w:rPr>
          <w:b/>
          <w:bCs/>
          <w:i/>
          <w:iCs/>
        </w:rPr>
        <w:t>Références :</w:t>
      </w:r>
      <w:r w:rsidRPr="00F34299">
        <w:rPr>
          <w:i/>
          <w:iCs/>
        </w:rPr>
        <w:t xml:space="preserve"> </w:t>
      </w:r>
      <w:r w:rsidR="00403546" w:rsidRPr="00F34299">
        <w:rPr>
          <w:i/>
          <w:iCs/>
        </w:rPr>
        <w:t>l</w:t>
      </w:r>
      <w:r w:rsidRPr="00F34299">
        <w:rPr>
          <w:i/>
          <w:iCs/>
        </w:rPr>
        <w:t>e texte modifié par le présent arrêté, dans sa rédaction issue de cette modification, peut être consulté sur le site Légifrance (</w:t>
      </w:r>
      <w:hyperlink r:id="rId7" w:history="1">
        <w:r w:rsidRPr="00F34299">
          <w:rPr>
            <w:rStyle w:val="Lienhypertexte"/>
            <w:color w:val="auto"/>
          </w:rPr>
          <w:t>http://www.legifrance.gouv.fr/</w:t>
        </w:r>
      </w:hyperlink>
      <w:r w:rsidRPr="00F34299">
        <w:rPr>
          <w:i/>
          <w:iCs/>
        </w:rPr>
        <w:t>).</w:t>
      </w:r>
    </w:p>
    <w:p w:rsidR="00817A7A" w:rsidRPr="00F34299" w:rsidRDefault="00B40417">
      <w:pPr>
        <w:pStyle w:val="SNAutorit"/>
        <w:rPr>
          <w:color w:val="auto"/>
        </w:rPr>
      </w:pPr>
      <w:r w:rsidRPr="00F34299">
        <w:rPr>
          <w:color w:val="auto"/>
        </w:rPr>
        <w:t>L</w:t>
      </w:r>
      <w:r w:rsidR="00C7008F" w:rsidRPr="00F34299">
        <w:rPr>
          <w:color w:val="auto"/>
        </w:rPr>
        <w:t>a</w:t>
      </w:r>
      <w:r w:rsidRPr="00F34299">
        <w:rPr>
          <w:color w:val="auto"/>
        </w:rPr>
        <w:t xml:space="preserve"> ministre de la transition écologique,</w:t>
      </w:r>
    </w:p>
    <w:p w:rsidR="00605FEF" w:rsidRPr="00F34299" w:rsidRDefault="00605FEF" w:rsidP="001D582C">
      <w:pPr>
        <w:pStyle w:val="SNVisa"/>
        <w:jc w:val="both"/>
      </w:pPr>
      <w:r w:rsidRPr="00F34299">
        <w:t>Vu le règlement (UE) 2019/1009 du Parlement européen et du Conseil du 5 juin 2019 établissant les règles relatives à la mise à disposition sur le marché des fertilisants UE, modifiant les règlements (CE) n° 1069/2009 et (CE) n° 1107/2009 et abrogeant le règlement (CE) n° 2003/2003 ;</w:t>
      </w:r>
    </w:p>
    <w:p w:rsidR="00524E30" w:rsidRPr="00F34299" w:rsidRDefault="003932CF" w:rsidP="001D582C">
      <w:pPr>
        <w:pStyle w:val="SNVisa"/>
        <w:jc w:val="both"/>
      </w:pPr>
      <w:r w:rsidRPr="00F34299">
        <w:t xml:space="preserve">Vu le code de l’environnement, notamment ses articles </w:t>
      </w:r>
      <w:r w:rsidR="00B738EA">
        <w:t xml:space="preserve">L. 123-19-1, </w:t>
      </w:r>
      <w:bookmarkStart w:id="0" w:name="_GoBack"/>
      <w:bookmarkEnd w:id="0"/>
      <w:r w:rsidR="007C7FF4" w:rsidRPr="00F34299">
        <w:t>D. 510-1 à D. 510-7</w:t>
      </w:r>
      <w:r w:rsidRPr="00F34299">
        <w:t> ;</w:t>
      </w:r>
    </w:p>
    <w:p w:rsidR="00817A7A" w:rsidRPr="00F34299" w:rsidRDefault="00817A7A" w:rsidP="00F93413">
      <w:pPr>
        <w:pStyle w:val="SNVisa"/>
        <w:jc w:val="both"/>
      </w:pPr>
      <w:r w:rsidRPr="00F34299">
        <w:t>Vu le code des transports</w:t>
      </w:r>
      <w:r w:rsidR="006F2766" w:rsidRPr="00F34299">
        <w:t xml:space="preserve">, </w:t>
      </w:r>
      <w:r w:rsidR="00E21E05" w:rsidRPr="00F34299">
        <w:t>nota</w:t>
      </w:r>
      <w:r w:rsidR="00BD3946" w:rsidRPr="00F34299">
        <w:t xml:space="preserve">mment ses articles L. 5331-2, </w:t>
      </w:r>
      <w:r w:rsidR="00AD3916" w:rsidRPr="00F34299">
        <w:t xml:space="preserve">L. 5331-8, </w:t>
      </w:r>
      <w:r w:rsidR="00E21E05" w:rsidRPr="00F34299">
        <w:t>R. 5331-8</w:t>
      </w:r>
      <w:r w:rsidR="00BD3946" w:rsidRPr="00F34299">
        <w:t xml:space="preserve">, </w:t>
      </w:r>
      <w:r w:rsidR="00AD3916" w:rsidRPr="00F34299">
        <w:t xml:space="preserve">R. 5333-2, </w:t>
      </w:r>
      <w:r w:rsidR="00BD3946" w:rsidRPr="00F34299">
        <w:t>R. 5333-14</w:t>
      </w:r>
      <w:r w:rsidR="00434FDD" w:rsidRPr="00F34299">
        <w:t xml:space="preserve"> </w:t>
      </w:r>
      <w:r w:rsidR="00BD3946" w:rsidRPr="00F34299">
        <w:t>et R. 5333-15 ;</w:t>
      </w:r>
    </w:p>
    <w:p w:rsidR="00817A7A" w:rsidRPr="00F34299" w:rsidRDefault="00817A7A">
      <w:pPr>
        <w:pStyle w:val="SNVisa"/>
        <w:jc w:val="both"/>
      </w:pPr>
      <w:r w:rsidRPr="00F34299">
        <w:t>Vu l’arrêté du 18 juillet 2000 modifié réglementant le transport et la manutention des matières dangereuses dans les ports maritimes ;</w:t>
      </w:r>
    </w:p>
    <w:p w:rsidR="00605FEF" w:rsidRPr="00F34299" w:rsidRDefault="00605FEF">
      <w:pPr>
        <w:pStyle w:val="SNVisa"/>
        <w:jc w:val="both"/>
      </w:pPr>
      <w:r w:rsidRPr="00F34299">
        <w:t>Vu l’arrêté du 5 septembre 2003 portant mise en application obligatoire de normes ;</w:t>
      </w:r>
    </w:p>
    <w:p w:rsidR="00251662" w:rsidRPr="00F34299" w:rsidRDefault="00251662" w:rsidP="00251662">
      <w:pPr>
        <w:pStyle w:val="SNVisa"/>
        <w:jc w:val="both"/>
      </w:pPr>
      <w:r w:rsidRPr="00F34299">
        <w:lastRenderedPageBreak/>
        <w:t>Vu l’avis du Conseil supérieur de la prévention des risques technologiques en date du 14 décembre 2021 ;</w:t>
      </w:r>
    </w:p>
    <w:p w:rsidR="00251662" w:rsidRPr="00F34299" w:rsidRDefault="00251662" w:rsidP="00251662">
      <w:pPr>
        <w:pStyle w:val="SNVisa"/>
        <w:jc w:val="both"/>
      </w:pPr>
      <w:r w:rsidRPr="00F34299">
        <w:t>Vu les observations formulées lors de la consultation publique réalisée du [JJ MM 2022 au XX YY 2022] en application de l'article L. 123-19-1 du code de l'environnement,</w:t>
      </w:r>
    </w:p>
    <w:p w:rsidR="00817A7A" w:rsidRPr="00F34299" w:rsidRDefault="00817A7A" w:rsidP="008A1726">
      <w:pPr>
        <w:pStyle w:val="SNActe"/>
      </w:pPr>
      <w:r w:rsidRPr="00F34299">
        <w:t>Arrête :</w:t>
      </w:r>
    </w:p>
    <w:p w:rsidR="00817A7A" w:rsidRPr="00F34299" w:rsidRDefault="00817A7A">
      <w:pPr>
        <w:pStyle w:val="SNArticle"/>
      </w:pPr>
      <w:r w:rsidRPr="00F34299">
        <w:t>Article 1</w:t>
      </w:r>
      <w:r w:rsidRPr="00F34299">
        <w:rPr>
          <w:vertAlign w:val="superscript"/>
        </w:rPr>
        <w:t>er</w:t>
      </w:r>
    </w:p>
    <w:p w:rsidR="00817A7A" w:rsidRPr="00F34299" w:rsidRDefault="00817A7A" w:rsidP="00B46B08">
      <w:pPr>
        <w:pStyle w:val="Corpsdetexte"/>
      </w:pPr>
      <w:r w:rsidRPr="00F34299">
        <w:t xml:space="preserve">Le règlement annexé à l’arrêté du 18 juillet 2000 susvisé est modifié conformément aux articles </w:t>
      </w:r>
      <w:r w:rsidR="001B6B1F" w:rsidRPr="00F34299">
        <w:t>2</w:t>
      </w:r>
      <w:r w:rsidRPr="00F34299">
        <w:t xml:space="preserve"> </w:t>
      </w:r>
      <w:r w:rsidR="00605FEF" w:rsidRPr="00F34299">
        <w:t>et</w:t>
      </w:r>
      <w:r w:rsidRPr="00F34299">
        <w:t xml:space="preserve"> </w:t>
      </w:r>
      <w:r w:rsidR="00605FEF" w:rsidRPr="00F34299">
        <w:t>3</w:t>
      </w:r>
      <w:r w:rsidRPr="00F34299">
        <w:t xml:space="preserve"> du présent arrêté.</w:t>
      </w:r>
    </w:p>
    <w:p w:rsidR="00605FEF" w:rsidRPr="00F34299" w:rsidRDefault="00605FEF" w:rsidP="004961DA">
      <w:pPr>
        <w:pStyle w:val="SNArticle"/>
      </w:pPr>
      <w:r w:rsidRPr="00F34299">
        <w:t>Article 2</w:t>
      </w:r>
    </w:p>
    <w:p w:rsidR="00605FEF" w:rsidRPr="00F34299" w:rsidRDefault="00605FEF" w:rsidP="004961DA">
      <w:pPr>
        <w:pStyle w:val="Corpsdetexte"/>
        <w:rPr>
          <w:bCs/>
        </w:rPr>
      </w:pPr>
      <w:r w:rsidRPr="00F34299">
        <w:rPr>
          <w:bCs/>
        </w:rPr>
        <w:t>Le Chapitre II est modifié comme suit :</w:t>
      </w:r>
    </w:p>
    <w:p w:rsidR="00605FEF" w:rsidRPr="00F34299" w:rsidRDefault="00605FEF" w:rsidP="004961DA">
      <w:pPr>
        <w:pStyle w:val="Corpsdetexte"/>
        <w:rPr>
          <w:bCs/>
        </w:rPr>
      </w:pPr>
      <w:r w:rsidRPr="00F34299">
        <w:rPr>
          <w:b/>
          <w:bCs/>
        </w:rPr>
        <w:t>I –</w:t>
      </w:r>
      <w:r w:rsidRPr="00F34299">
        <w:rPr>
          <w:bCs/>
        </w:rPr>
        <w:t xml:space="preserve"> Dans la deuxième phrase de l’article 113-2, les mots : « , par îlot à quai en conformité avec les prescriptions de l'annexe 1 du chapitre B du présent règlement » sont remplacés par les mots : « par îlot à quai ».</w:t>
      </w:r>
    </w:p>
    <w:p w:rsidR="00605FEF" w:rsidRPr="00F34299" w:rsidRDefault="00605FEF" w:rsidP="004961DA">
      <w:pPr>
        <w:pStyle w:val="Corpsdetexte"/>
        <w:rPr>
          <w:bCs/>
        </w:rPr>
      </w:pPr>
      <w:r w:rsidRPr="00F34299">
        <w:rPr>
          <w:b/>
          <w:bCs/>
        </w:rPr>
        <w:t>II –</w:t>
      </w:r>
      <w:r w:rsidRPr="00F34299">
        <w:rPr>
          <w:bCs/>
        </w:rPr>
        <w:t xml:space="preserve"> Dans le tableau de l’article 114-2, il est ajouté la ligne suivante :</w:t>
      </w:r>
    </w:p>
    <w:p w:rsidR="00605FEF" w:rsidRPr="00F34299" w:rsidRDefault="00605FEF" w:rsidP="004961DA">
      <w:pPr>
        <w:pStyle w:val="Corpsdetexte"/>
        <w:rPr>
          <w:bCs/>
        </w:rPr>
      </w:pPr>
      <w:r w:rsidRPr="00F34299">
        <w:rPr>
          <w:bCs/>
        </w:rPr>
        <w:t>« ...</w:t>
      </w:r>
    </w:p>
    <w:tbl>
      <w:tblPr>
        <w:tblW w:w="974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871"/>
        <w:gridCol w:w="4872"/>
      </w:tblGrid>
      <w:tr w:rsidR="00F34299" w:rsidRPr="00F34299" w:rsidTr="00A827F9">
        <w:tc>
          <w:tcPr>
            <w:tcW w:w="4536" w:type="dxa"/>
            <w:shd w:val="clear" w:color="auto" w:fill="auto"/>
          </w:tcPr>
          <w:p w:rsidR="00605FEF" w:rsidRPr="00F34299" w:rsidRDefault="00605FEF" w:rsidP="004961DA">
            <w:pPr>
              <w:pStyle w:val="Corpsdetexte"/>
              <w:rPr>
                <w:rFonts w:eastAsia="Arial"/>
                <w:sz w:val="20"/>
                <w:szCs w:val="20"/>
              </w:rPr>
            </w:pPr>
            <w:r w:rsidRPr="00F34299">
              <w:rPr>
                <w:sz w:val="20"/>
                <w:szCs w:val="20"/>
              </w:rPr>
              <w:t>Dépôts à terre de nitrates d’ammonium et d’engrais qui en contiennent, conformément à l’article 516</w:t>
            </w:r>
          </w:p>
        </w:tc>
        <w:tc>
          <w:tcPr>
            <w:tcW w:w="4536" w:type="dxa"/>
            <w:shd w:val="clear" w:color="auto" w:fill="auto"/>
            <w:vAlign w:val="center"/>
          </w:tcPr>
          <w:p w:rsidR="00605FEF" w:rsidRPr="00F34299" w:rsidRDefault="00605FEF" w:rsidP="004961DA">
            <w:pPr>
              <w:pStyle w:val="Corpsdetexte"/>
              <w:jc w:val="center"/>
              <w:rPr>
                <w:rFonts w:eastAsia="Arial"/>
                <w:sz w:val="20"/>
                <w:szCs w:val="20"/>
              </w:rPr>
            </w:pPr>
            <w:r w:rsidRPr="00F34299">
              <w:rPr>
                <w:sz w:val="20"/>
                <w:szCs w:val="20"/>
              </w:rPr>
              <w:t>Z3</w:t>
            </w:r>
          </w:p>
        </w:tc>
      </w:tr>
    </w:tbl>
    <w:p w:rsidR="00605FEF" w:rsidRPr="00F34299" w:rsidRDefault="00605FEF" w:rsidP="004961DA">
      <w:pPr>
        <w:pStyle w:val="Corpsdetexte"/>
        <w:jc w:val="right"/>
        <w:rPr>
          <w:bCs/>
        </w:rPr>
      </w:pPr>
      <w:r w:rsidRPr="00F34299">
        <w:rPr>
          <w:bCs/>
        </w:rPr>
        <w:t>... »</w:t>
      </w:r>
    </w:p>
    <w:p w:rsidR="00605FEF" w:rsidRPr="00F34299" w:rsidRDefault="00605FEF" w:rsidP="004961DA">
      <w:pPr>
        <w:pStyle w:val="Corpsdetexte"/>
        <w:rPr>
          <w:bCs/>
        </w:rPr>
      </w:pPr>
      <w:r w:rsidRPr="00F34299">
        <w:rPr>
          <w:b/>
          <w:bCs/>
        </w:rPr>
        <w:t>III –</w:t>
      </w:r>
      <w:r w:rsidRPr="00F34299">
        <w:rPr>
          <w:bCs/>
        </w:rPr>
        <w:t xml:space="preserve"> Dans le </w:t>
      </w:r>
      <w:r w:rsidRPr="00F34299">
        <w:rPr>
          <w:bCs/>
          <w:i/>
        </w:rPr>
        <w:t>Nota</w:t>
      </w:r>
      <w:r w:rsidRPr="00F34299">
        <w:rPr>
          <w:bCs/>
        </w:rPr>
        <w:t xml:space="preserve"> de l’article 513, les mots : « à la norme</w:t>
      </w:r>
      <w:r w:rsidR="000779A7" w:rsidRPr="00F34299">
        <w:rPr>
          <w:bCs/>
        </w:rPr>
        <w:t xml:space="preserve"> NF U42-001</w:t>
      </w:r>
      <w:r w:rsidRPr="00F34299">
        <w:rPr>
          <w:bCs/>
        </w:rPr>
        <w:t> » sont remplacés par les mots : « </w:t>
      </w:r>
      <w:r w:rsidR="000779A7" w:rsidRPr="00F34299">
        <w:rPr>
          <w:bCs/>
        </w:rPr>
        <w:t>à la norme NF U42-001-1 (octobre 2011)</w:t>
      </w:r>
      <w:r w:rsidRPr="00F34299">
        <w:rPr>
          <w:bCs/>
        </w:rPr>
        <w:t> », et les mots : « règlement (CE) n° 2003/2003 du Parlement européen et du Conseil du 13 octobre 2003 relatif aux engrais » sont remplacés par les mots : « </w:t>
      </w:r>
      <w:r w:rsidR="00E66EB4" w:rsidRPr="00F34299">
        <w:rPr>
          <w:bCs/>
        </w:rPr>
        <w:t>règlement (UE) 2019/1009 du Parlement européen et du Conseil du 5 juin 2019 établissant les règles relatives à la mise à disposition sur le marché des fertilisants UE, modifiant les règlements (CE) n° 1069/2009 et (CE) n° 1107/2009 et abrogeant le règlement (CE) n° 2003/2003 »</w:t>
      </w:r>
      <w:r w:rsidR="00A44A45" w:rsidRPr="00F34299">
        <w:rPr>
          <w:bCs/>
        </w:rPr>
        <w:t>.</w:t>
      </w:r>
    </w:p>
    <w:p w:rsidR="00605FEF" w:rsidRPr="00F34299" w:rsidRDefault="00605FEF" w:rsidP="004961DA">
      <w:pPr>
        <w:pStyle w:val="Corpsdetexte"/>
        <w:rPr>
          <w:bCs/>
        </w:rPr>
      </w:pPr>
      <w:r w:rsidRPr="00F34299">
        <w:rPr>
          <w:b/>
          <w:bCs/>
        </w:rPr>
        <w:t>IV –</w:t>
      </w:r>
      <w:r w:rsidRPr="00F34299">
        <w:rPr>
          <w:bCs/>
        </w:rPr>
        <w:t xml:space="preserve"> L’article 51</w:t>
      </w:r>
      <w:r w:rsidR="00B12F72" w:rsidRPr="00F34299">
        <w:rPr>
          <w:bCs/>
        </w:rPr>
        <w:t>5</w:t>
      </w:r>
      <w:r w:rsidRPr="00F34299">
        <w:rPr>
          <w:bCs/>
        </w:rPr>
        <w:t xml:space="preserve"> est modifié comme suit :</w:t>
      </w:r>
    </w:p>
    <w:p w:rsidR="00605FEF" w:rsidRPr="00F34299" w:rsidRDefault="00605FEF" w:rsidP="004961DA">
      <w:pPr>
        <w:pStyle w:val="Corpsdetexte"/>
        <w:ind w:left="568" w:hanging="284"/>
        <w:rPr>
          <w:bCs/>
        </w:rPr>
      </w:pPr>
      <w:r w:rsidRPr="00F34299">
        <w:rPr>
          <w:bCs/>
        </w:rPr>
        <w:t xml:space="preserve">- </w:t>
      </w:r>
      <w:r w:rsidRPr="00F34299">
        <w:rPr>
          <w:bCs/>
        </w:rPr>
        <w:tab/>
        <w:t xml:space="preserve">Au deuxième alinéa, les mots : « de </w:t>
      </w:r>
      <w:r w:rsidR="000779A7" w:rsidRPr="00F34299">
        <w:rPr>
          <w:bCs/>
        </w:rPr>
        <w:t>la norme NF U42-001</w:t>
      </w:r>
      <w:r w:rsidRPr="00F34299">
        <w:rPr>
          <w:bCs/>
        </w:rPr>
        <w:t> » sont remplacés par les mots : « </w:t>
      </w:r>
      <w:r w:rsidR="000779A7" w:rsidRPr="00F34299">
        <w:rPr>
          <w:bCs/>
        </w:rPr>
        <w:t>de la norme NF U42-001-1 (octobre 2011)</w:t>
      </w:r>
      <w:r w:rsidRPr="00F34299">
        <w:rPr>
          <w:bCs/>
        </w:rPr>
        <w:t> »</w:t>
      </w:r>
      <w:r w:rsidR="00B12F72" w:rsidRPr="00F34299">
        <w:rPr>
          <w:bCs/>
        </w:rPr>
        <w:t>, et les mots « règlement (CE) n° 2003/2003 du Parlement européen et du Conseil du 13 octobre 2003 relatif aux engrais » sont remplacés par les mots : « règlement (UE) 2019/1009 du Parlement européen et du Conseil du 5 juin 2019 établissant les règles relatives à la mise à disposition sur le marché des fertilisants UE, modifiant les règlements (CE) n° 1069/2009 et (CE) n° 1107/2009 et abrogeant le règlement (CE) n° 2003/2003 »</w:t>
      </w:r>
      <w:r w:rsidRPr="00F34299">
        <w:rPr>
          <w:bCs/>
        </w:rPr>
        <w:t> ;</w:t>
      </w:r>
    </w:p>
    <w:p w:rsidR="00605FEF" w:rsidRPr="00F34299" w:rsidRDefault="00605FEF" w:rsidP="004961DA">
      <w:pPr>
        <w:pStyle w:val="Corpsdetexte"/>
        <w:ind w:left="568" w:hanging="284"/>
        <w:rPr>
          <w:bCs/>
          <w:lang w:bidi="fr-FR"/>
        </w:rPr>
      </w:pPr>
      <w:r w:rsidRPr="00F34299">
        <w:rPr>
          <w:bCs/>
        </w:rPr>
        <w:t xml:space="preserve">- </w:t>
      </w:r>
      <w:r w:rsidRPr="00F34299">
        <w:rPr>
          <w:bCs/>
        </w:rPr>
        <w:tab/>
        <w:t xml:space="preserve">Au quatrième alinéa, </w:t>
      </w:r>
      <w:r w:rsidR="003767EA" w:rsidRPr="00F34299">
        <w:rPr>
          <w:bCs/>
        </w:rPr>
        <w:t xml:space="preserve">après les mots : « attestant </w:t>
      </w:r>
      <w:r w:rsidRPr="00F34299">
        <w:rPr>
          <w:bCs/>
        </w:rPr>
        <w:t xml:space="preserve">cette conformité », </w:t>
      </w:r>
      <w:r w:rsidR="004961DA" w:rsidRPr="00F34299">
        <w:rPr>
          <w:bCs/>
        </w:rPr>
        <w:t>il est</w:t>
      </w:r>
      <w:r w:rsidRPr="00F34299">
        <w:rPr>
          <w:bCs/>
        </w:rPr>
        <w:t xml:space="preserve"> ajouté les mots : « </w:t>
      </w:r>
      <w:r w:rsidRPr="00F34299">
        <w:rPr>
          <w:bCs/>
          <w:lang w:bidi="fr-FR"/>
        </w:rPr>
        <w:t>,</w:t>
      </w:r>
      <w:r w:rsidR="004961DA" w:rsidRPr="00F34299">
        <w:rPr>
          <w:bCs/>
          <w:lang w:bidi="fr-FR"/>
        </w:rPr>
        <w:t> </w:t>
      </w:r>
      <w:r w:rsidRPr="00F34299">
        <w:rPr>
          <w:bCs/>
          <w:lang w:bidi="fr-FR"/>
        </w:rPr>
        <w:t xml:space="preserve">ainsi qu’un certificat de classement et la preuve de résistance à la détonation </w:t>
      </w:r>
      <w:r w:rsidR="00DE7A55" w:rsidRPr="00F34299">
        <w:rPr>
          <w:bCs/>
          <w:lang w:bidi="fr-FR"/>
        </w:rPr>
        <w:t xml:space="preserve">si celle-ci est </w:t>
      </w:r>
      <w:r w:rsidRPr="00F34299">
        <w:rPr>
          <w:bCs/>
          <w:lang w:bidi="fr-FR"/>
        </w:rPr>
        <w:t xml:space="preserve">requise par le </w:t>
      </w:r>
      <w:r w:rsidR="00B12F72" w:rsidRPr="00F34299">
        <w:rPr>
          <w:bCs/>
        </w:rPr>
        <w:t>règlement (UE) 2019/1009</w:t>
      </w:r>
      <w:r w:rsidRPr="00F34299">
        <w:rPr>
          <w:bCs/>
          <w:lang w:bidi="fr-FR"/>
        </w:rPr>
        <w:t xml:space="preserve"> ou par la norme NF U42-001-1 (octobre 2011) ».</w:t>
      </w:r>
    </w:p>
    <w:p w:rsidR="00605FEF" w:rsidRPr="00F34299" w:rsidRDefault="00605FEF" w:rsidP="004961DA">
      <w:pPr>
        <w:pStyle w:val="Corpsdetexte"/>
        <w:rPr>
          <w:bCs/>
        </w:rPr>
      </w:pPr>
      <w:r w:rsidRPr="00F34299">
        <w:rPr>
          <w:b/>
          <w:bCs/>
        </w:rPr>
        <w:t>V –</w:t>
      </w:r>
      <w:r w:rsidRPr="00F34299">
        <w:rPr>
          <w:bCs/>
        </w:rPr>
        <w:t xml:space="preserve"> L’article 516 est modifié comme suit :</w:t>
      </w:r>
    </w:p>
    <w:p w:rsidR="00605FEF" w:rsidRPr="00F34299" w:rsidRDefault="00605FEF" w:rsidP="004961DA">
      <w:pPr>
        <w:pStyle w:val="Corpsdetexte"/>
        <w:ind w:left="568" w:hanging="284"/>
        <w:rPr>
          <w:bCs/>
        </w:rPr>
      </w:pPr>
      <w:r w:rsidRPr="00F34299">
        <w:rPr>
          <w:bCs/>
        </w:rPr>
        <w:t xml:space="preserve">- </w:t>
      </w:r>
      <w:r w:rsidRPr="00F34299">
        <w:rPr>
          <w:bCs/>
        </w:rPr>
        <w:tab/>
        <w:t>Au deuxième alinéa, après les mots : « Toutefois, si », sont insérés les mots : « l’exploitant justifie que », les mots : « entre lesquels sont aménagés des passages d'une largeur minimale de 4 m » sont supprimés, et après les mots : « le nombre maximal d'îlots admissible par poste », sont insérés les mots : « , ainsi que la durée de séjour temporaire maximale admissible » ;</w:t>
      </w:r>
    </w:p>
    <w:p w:rsidR="00605FEF" w:rsidRPr="00F34299" w:rsidRDefault="00605FEF" w:rsidP="004961DA">
      <w:pPr>
        <w:pStyle w:val="Corpsdetexte"/>
        <w:ind w:left="568" w:hanging="284"/>
        <w:rPr>
          <w:bCs/>
        </w:rPr>
      </w:pPr>
      <w:r w:rsidRPr="00F34299">
        <w:rPr>
          <w:bCs/>
        </w:rPr>
        <w:t xml:space="preserve">- </w:t>
      </w:r>
      <w:r w:rsidRPr="00F34299">
        <w:rPr>
          <w:bCs/>
        </w:rPr>
        <w:tab/>
        <w:t>Les troisième, quatrième, cinquième et sixième alinéas sont remplacés par les dispositions et le tableau suivants :</w:t>
      </w:r>
    </w:p>
    <w:p w:rsidR="00605FEF" w:rsidRPr="00F34299" w:rsidRDefault="00605FEF" w:rsidP="004961DA">
      <w:pPr>
        <w:pStyle w:val="Corpsdetexte"/>
      </w:pPr>
      <w:r w:rsidRPr="00F34299">
        <w:lastRenderedPageBreak/>
        <w:t>« Les engrais de la classe 9 contenant du nitrate d’ammonium (N° ONU 2071) sont disposés en îlots contenant au maximum 600 tonnes entre lesquels sont aménagés des passages d’une largeur minimale de 4 m.</w:t>
      </w:r>
    </w:p>
    <w:p w:rsidR="00605FEF" w:rsidRPr="00F34299" w:rsidRDefault="00605FEF" w:rsidP="004961DA">
      <w:pPr>
        <w:pStyle w:val="Corpsdetexte"/>
      </w:pPr>
      <w:r w:rsidRPr="00F34299">
        <w:t>Le nitrate d’ammonium (N° ONU 1942) et les engrais de la classe 5.1 qui en contiennent (N° ONU 2067) sont disposés en îlots contenant au maximum 250 tonnes entre lesquels sont aménagés des passages d’une largeur minimale définie conformément au tableau ci-dessous en fonction de la marchandise et de la quantité par îlot.</w:t>
      </w:r>
    </w:p>
    <w:tbl>
      <w:tblPr>
        <w:tblStyle w:val="Grilledutableau"/>
        <w:tblW w:w="9639" w:type="dxa"/>
        <w:jc w:val="center"/>
        <w:tblLook w:val="04A0" w:firstRow="1" w:lastRow="0" w:firstColumn="1" w:lastColumn="0" w:noHBand="0" w:noVBand="1"/>
      </w:tblPr>
      <w:tblGrid>
        <w:gridCol w:w="2547"/>
        <w:gridCol w:w="3260"/>
        <w:gridCol w:w="3832"/>
      </w:tblGrid>
      <w:tr w:rsidR="00F34299" w:rsidRPr="00F34299" w:rsidTr="00A827F9">
        <w:trPr>
          <w:cantSplit/>
          <w:trHeight w:val="567"/>
          <w:jc w:val="center"/>
        </w:trPr>
        <w:tc>
          <w:tcPr>
            <w:tcW w:w="2547" w:type="dxa"/>
            <w:vAlign w:val="center"/>
          </w:tcPr>
          <w:p w:rsidR="00605FEF" w:rsidRPr="00F34299" w:rsidRDefault="00605FEF" w:rsidP="002163F1">
            <w:pPr>
              <w:widowControl w:val="0"/>
              <w:spacing w:after="120"/>
              <w:jc w:val="center"/>
              <w:rPr>
                <w:rFonts w:eastAsia="Arial"/>
                <w:sz w:val="20"/>
                <w:szCs w:val="22"/>
                <w:lang w:bidi="fr-FR"/>
              </w:rPr>
            </w:pPr>
            <w:r w:rsidRPr="00F34299">
              <w:rPr>
                <w:sz w:val="20"/>
                <w:szCs w:val="20"/>
                <w:lang w:eastAsia="fr-FR"/>
              </w:rPr>
              <w:t xml:space="preserve">Quantité Q </w:t>
            </w:r>
            <w:r w:rsidR="002163F1" w:rsidRPr="00F34299">
              <w:rPr>
                <w:sz w:val="20"/>
                <w:szCs w:val="20"/>
                <w:lang w:eastAsia="fr-FR"/>
              </w:rPr>
              <w:t xml:space="preserve">contenue </w:t>
            </w:r>
            <w:r w:rsidR="002163F1" w:rsidRPr="00F34299">
              <w:rPr>
                <w:sz w:val="20"/>
                <w:szCs w:val="20"/>
                <w:lang w:eastAsia="fr-FR"/>
              </w:rPr>
              <w:br/>
              <w:t xml:space="preserve">dans </w:t>
            </w:r>
            <w:r w:rsidRPr="00F34299">
              <w:rPr>
                <w:sz w:val="20"/>
                <w:szCs w:val="20"/>
                <w:lang w:eastAsia="fr-FR"/>
              </w:rPr>
              <w:t xml:space="preserve">l’îlot </w:t>
            </w:r>
            <w:r w:rsidR="002163F1" w:rsidRPr="00F34299">
              <w:rPr>
                <w:sz w:val="20"/>
                <w:szCs w:val="20"/>
                <w:lang w:eastAsia="fr-FR"/>
              </w:rPr>
              <w:br/>
            </w:r>
            <w:r w:rsidRPr="00F34299">
              <w:rPr>
                <w:sz w:val="20"/>
                <w:szCs w:val="20"/>
                <w:lang w:eastAsia="fr-FR"/>
              </w:rPr>
              <w:t>en tonnes</w:t>
            </w:r>
          </w:p>
        </w:tc>
        <w:tc>
          <w:tcPr>
            <w:tcW w:w="3260" w:type="dxa"/>
            <w:vAlign w:val="center"/>
          </w:tcPr>
          <w:p w:rsidR="00605FEF" w:rsidRPr="00F34299" w:rsidRDefault="00605FEF" w:rsidP="004961DA">
            <w:pPr>
              <w:widowControl w:val="0"/>
              <w:spacing w:after="120"/>
              <w:jc w:val="center"/>
              <w:rPr>
                <w:rFonts w:eastAsia="Arial"/>
                <w:sz w:val="20"/>
                <w:szCs w:val="22"/>
                <w:lang w:bidi="fr-FR"/>
              </w:rPr>
            </w:pPr>
            <w:r w:rsidRPr="00F34299">
              <w:rPr>
                <w:sz w:val="20"/>
                <w:szCs w:val="20"/>
                <w:lang w:eastAsia="fr-FR"/>
              </w:rPr>
              <w:t xml:space="preserve">Espace entre îlots pour les engrais du N° ONU 2067 </w:t>
            </w:r>
            <w:r w:rsidR="002163F1" w:rsidRPr="00F34299">
              <w:rPr>
                <w:sz w:val="20"/>
                <w:szCs w:val="20"/>
                <w:lang w:eastAsia="fr-FR"/>
              </w:rPr>
              <w:br/>
            </w:r>
            <w:r w:rsidRPr="00F34299">
              <w:rPr>
                <w:sz w:val="20"/>
                <w:szCs w:val="20"/>
                <w:lang w:eastAsia="fr-FR"/>
              </w:rPr>
              <w:t>en mètres</w:t>
            </w:r>
          </w:p>
        </w:tc>
        <w:tc>
          <w:tcPr>
            <w:tcW w:w="3832" w:type="dxa"/>
            <w:vAlign w:val="center"/>
          </w:tcPr>
          <w:p w:rsidR="00605FEF" w:rsidRPr="00F34299" w:rsidRDefault="00605FEF" w:rsidP="004961DA">
            <w:pPr>
              <w:widowControl w:val="0"/>
              <w:spacing w:after="120"/>
              <w:jc w:val="center"/>
              <w:rPr>
                <w:rFonts w:eastAsia="Arial"/>
                <w:sz w:val="20"/>
                <w:szCs w:val="22"/>
                <w:lang w:bidi="fr-FR"/>
              </w:rPr>
            </w:pPr>
            <w:r w:rsidRPr="00F34299">
              <w:rPr>
                <w:sz w:val="20"/>
                <w:szCs w:val="20"/>
                <w:lang w:eastAsia="fr-FR"/>
              </w:rPr>
              <w:t xml:space="preserve">Espace entre îlots pour le nitrate d’ammonium du N° ONU 1942 </w:t>
            </w:r>
            <w:r w:rsidR="002163F1" w:rsidRPr="00F34299">
              <w:rPr>
                <w:sz w:val="20"/>
                <w:szCs w:val="20"/>
                <w:lang w:eastAsia="fr-FR"/>
              </w:rPr>
              <w:br/>
            </w:r>
            <w:r w:rsidRPr="00F34299">
              <w:rPr>
                <w:sz w:val="20"/>
                <w:szCs w:val="20"/>
                <w:lang w:eastAsia="fr-FR"/>
              </w:rPr>
              <w:t>en mètres</w:t>
            </w:r>
          </w:p>
        </w:tc>
      </w:tr>
      <w:tr w:rsidR="00F34299" w:rsidRPr="00F34299" w:rsidTr="00A827F9">
        <w:trPr>
          <w:cantSplit/>
          <w:trHeight w:val="567"/>
          <w:jc w:val="center"/>
        </w:trPr>
        <w:tc>
          <w:tcPr>
            <w:tcW w:w="2547" w:type="dxa"/>
            <w:vAlign w:val="center"/>
          </w:tcPr>
          <w:p w:rsidR="00605FEF" w:rsidRPr="00F34299" w:rsidRDefault="002A1C37" w:rsidP="004961DA">
            <w:pPr>
              <w:widowControl w:val="0"/>
              <w:spacing w:after="120"/>
              <w:jc w:val="center"/>
              <w:rPr>
                <w:rFonts w:eastAsia="Arial"/>
                <w:sz w:val="20"/>
                <w:szCs w:val="22"/>
                <w:lang w:bidi="fr-FR"/>
              </w:rPr>
            </w:pPr>
            <w:r w:rsidRPr="00F34299">
              <w:rPr>
                <w:sz w:val="20"/>
                <w:szCs w:val="20"/>
                <w:lang w:eastAsia="fr-FR"/>
              </w:rPr>
              <w:t>Q ≤ 50</w:t>
            </w:r>
          </w:p>
        </w:tc>
        <w:tc>
          <w:tcPr>
            <w:tcW w:w="3260" w:type="dxa"/>
            <w:vAlign w:val="center"/>
          </w:tcPr>
          <w:p w:rsidR="00605FEF" w:rsidRPr="00F34299" w:rsidRDefault="00605FEF" w:rsidP="004961DA">
            <w:pPr>
              <w:widowControl w:val="0"/>
              <w:spacing w:after="120"/>
              <w:jc w:val="center"/>
              <w:rPr>
                <w:rFonts w:eastAsia="Arial"/>
                <w:sz w:val="20"/>
                <w:szCs w:val="22"/>
                <w:lang w:bidi="fr-FR"/>
              </w:rPr>
            </w:pPr>
            <w:r w:rsidRPr="00F34299">
              <w:rPr>
                <w:sz w:val="20"/>
                <w:szCs w:val="20"/>
                <w:lang w:eastAsia="fr-FR"/>
              </w:rPr>
              <w:t>8</w:t>
            </w:r>
          </w:p>
        </w:tc>
        <w:tc>
          <w:tcPr>
            <w:tcW w:w="3832" w:type="dxa"/>
            <w:vAlign w:val="center"/>
          </w:tcPr>
          <w:p w:rsidR="00605FEF" w:rsidRPr="00F34299" w:rsidRDefault="00605FEF" w:rsidP="004961DA">
            <w:pPr>
              <w:widowControl w:val="0"/>
              <w:spacing w:after="120"/>
              <w:jc w:val="center"/>
              <w:rPr>
                <w:sz w:val="20"/>
                <w:szCs w:val="20"/>
                <w:lang w:eastAsia="fr-FR"/>
              </w:rPr>
            </w:pPr>
            <w:r w:rsidRPr="00F34299">
              <w:rPr>
                <w:sz w:val="20"/>
                <w:szCs w:val="20"/>
                <w:lang w:eastAsia="fr-FR"/>
              </w:rPr>
              <w:t>9</w:t>
            </w:r>
          </w:p>
        </w:tc>
      </w:tr>
      <w:tr w:rsidR="00F34299" w:rsidRPr="00F34299" w:rsidTr="00A827F9">
        <w:trPr>
          <w:cantSplit/>
          <w:trHeight w:val="567"/>
          <w:jc w:val="center"/>
        </w:trPr>
        <w:tc>
          <w:tcPr>
            <w:tcW w:w="2547" w:type="dxa"/>
            <w:vAlign w:val="center"/>
          </w:tcPr>
          <w:p w:rsidR="00605FEF" w:rsidRPr="00F34299" w:rsidRDefault="002A1C37" w:rsidP="004961DA">
            <w:pPr>
              <w:widowControl w:val="0"/>
              <w:spacing w:after="120"/>
              <w:jc w:val="center"/>
              <w:rPr>
                <w:rFonts w:eastAsia="Arial"/>
                <w:sz w:val="20"/>
                <w:szCs w:val="22"/>
                <w:lang w:bidi="fr-FR"/>
              </w:rPr>
            </w:pPr>
            <w:r w:rsidRPr="00F34299">
              <w:rPr>
                <w:sz w:val="20"/>
                <w:szCs w:val="20"/>
                <w:lang w:eastAsia="fr-FR"/>
              </w:rPr>
              <w:t>50 &lt; Q ≤ 100</w:t>
            </w:r>
          </w:p>
        </w:tc>
        <w:tc>
          <w:tcPr>
            <w:tcW w:w="3260" w:type="dxa"/>
            <w:vAlign w:val="center"/>
          </w:tcPr>
          <w:p w:rsidR="00605FEF" w:rsidRPr="00F34299" w:rsidRDefault="00605FEF" w:rsidP="004961DA">
            <w:pPr>
              <w:widowControl w:val="0"/>
              <w:spacing w:after="120"/>
              <w:jc w:val="center"/>
              <w:rPr>
                <w:rFonts w:eastAsia="Arial"/>
                <w:sz w:val="20"/>
                <w:szCs w:val="22"/>
                <w:lang w:bidi="fr-FR"/>
              </w:rPr>
            </w:pPr>
            <w:r w:rsidRPr="00F34299">
              <w:rPr>
                <w:sz w:val="20"/>
                <w:szCs w:val="20"/>
                <w:lang w:eastAsia="fr-FR"/>
              </w:rPr>
              <w:t>10</w:t>
            </w:r>
          </w:p>
        </w:tc>
        <w:tc>
          <w:tcPr>
            <w:tcW w:w="3832" w:type="dxa"/>
            <w:vAlign w:val="center"/>
          </w:tcPr>
          <w:p w:rsidR="00605FEF" w:rsidRPr="00F34299" w:rsidRDefault="00605FEF" w:rsidP="004961DA">
            <w:pPr>
              <w:widowControl w:val="0"/>
              <w:spacing w:after="120"/>
              <w:jc w:val="center"/>
              <w:rPr>
                <w:rFonts w:eastAsia="Arial"/>
                <w:sz w:val="20"/>
                <w:szCs w:val="22"/>
                <w:lang w:bidi="fr-FR"/>
              </w:rPr>
            </w:pPr>
            <w:r w:rsidRPr="00F34299">
              <w:rPr>
                <w:sz w:val="20"/>
                <w:szCs w:val="20"/>
                <w:lang w:eastAsia="fr-FR"/>
              </w:rPr>
              <w:t>11</w:t>
            </w:r>
          </w:p>
        </w:tc>
      </w:tr>
      <w:tr w:rsidR="00F34299" w:rsidRPr="00F34299" w:rsidTr="00A827F9">
        <w:trPr>
          <w:cantSplit/>
          <w:trHeight w:val="567"/>
          <w:jc w:val="center"/>
        </w:trPr>
        <w:tc>
          <w:tcPr>
            <w:tcW w:w="2547" w:type="dxa"/>
            <w:vAlign w:val="center"/>
          </w:tcPr>
          <w:p w:rsidR="00605FEF" w:rsidRPr="00F34299" w:rsidRDefault="002A1C37" w:rsidP="004961DA">
            <w:pPr>
              <w:widowControl w:val="0"/>
              <w:spacing w:after="120"/>
              <w:jc w:val="center"/>
              <w:rPr>
                <w:rFonts w:eastAsia="Arial"/>
                <w:sz w:val="20"/>
                <w:szCs w:val="22"/>
                <w:lang w:bidi="fr-FR"/>
              </w:rPr>
            </w:pPr>
            <w:r w:rsidRPr="00F34299">
              <w:rPr>
                <w:sz w:val="20"/>
                <w:szCs w:val="20"/>
                <w:lang w:eastAsia="fr-FR"/>
              </w:rPr>
              <w:t>100 &lt; Q ≤ 150</w:t>
            </w:r>
          </w:p>
        </w:tc>
        <w:tc>
          <w:tcPr>
            <w:tcW w:w="3260" w:type="dxa"/>
            <w:vAlign w:val="center"/>
          </w:tcPr>
          <w:p w:rsidR="00605FEF" w:rsidRPr="00F34299" w:rsidRDefault="00605FEF" w:rsidP="004961DA">
            <w:pPr>
              <w:widowControl w:val="0"/>
              <w:spacing w:after="120"/>
              <w:jc w:val="center"/>
              <w:rPr>
                <w:rFonts w:eastAsia="Arial"/>
                <w:sz w:val="20"/>
                <w:szCs w:val="22"/>
                <w:lang w:bidi="fr-FR"/>
              </w:rPr>
            </w:pPr>
            <w:r w:rsidRPr="00F34299">
              <w:rPr>
                <w:sz w:val="20"/>
                <w:szCs w:val="20"/>
                <w:lang w:eastAsia="fr-FR"/>
              </w:rPr>
              <w:t>11</w:t>
            </w:r>
          </w:p>
        </w:tc>
        <w:tc>
          <w:tcPr>
            <w:tcW w:w="3832" w:type="dxa"/>
            <w:vAlign w:val="center"/>
          </w:tcPr>
          <w:p w:rsidR="00605FEF" w:rsidRPr="00F34299" w:rsidRDefault="00605FEF" w:rsidP="004961DA">
            <w:pPr>
              <w:widowControl w:val="0"/>
              <w:spacing w:after="120"/>
              <w:jc w:val="center"/>
              <w:rPr>
                <w:rFonts w:eastAsia="Arial"/>
                <w:sz w:val="20"/>
                <w:szCs w:val="22"/>
                <w:lang w:bidi="fr-FR"/>
              </w:rPr>
            </w:pPr>
            <w:r w:rsidRPr="00F34299">
              <w:rPr>
                <w:sz w:val="20"/>
                <w:szCs w:val="20"/>
                <w:lang w:eastAsia="fr-FR"/>
              </w:rPr>
              <w:t>12</w:t>
            </w:r>
          </w:p>
        </w:tc>
      </w:tr>
      <w:tr w:rsidR="00F34299" w:rsidRPr="00F34299" w:rsidTr="00A827F9">
        <w:trPr>
          <w:cantSplit/>
          <w:trHeight w:val="567"/>
          <w:jc w:val="center"/>
        </w:trPr>
        <w:tc>
          <w:tcPr>
            <w:tcW w:w="2547" w:type="dxa"/>
            <w:vAlign w:val="center"/>
          </w:tcPr>
          <w:p w:rsidR="00605FEF" w:rsidRPr="00F34299" w:rsidRDefault="002A1C37" w:rsidP="004961DA">
            <w:pPr>
              <w:widowControl w:val="0"/>
              <w:spacing w:after="120"/>
              <w:jc w:val="center"/>
              <w:rPr>
                <w:rFonts w:eastAsia="Arial"/>
                <w:sz w:val="20"/>
                <w:szCs w:val="22"/>
                <w:lang w:bidi="fr-FR"/>
              </w:rPr>
            </w:pPr>
            <w:r w:rsidRPr="00F34299">
              <w:rPr>
                <w:sz w:val="20"/>
                <w:szCs w:val="20"/>
                <w:lang w:eastAsia="fr-FR"/>
              </w:rPr>
              <w:t>150 &lt; Q ≤ 200</w:t>
            </w:r>
          </w:p>
        </w:tc>
        <w:tc>
          <w:tcPr>
            <w:tcW w:w="3260" w:type="dxa"/>
            <w:vAlign w:val="center"/>
          </w:tcPr>
          <w:p w:rsidR="00605FEF" w:rsidRPr="00F34299" w:rsidRDefault="00605FEF" w:rsidP="004961DA">
            <w:pPr>
              <w:widowControl w:val="0"/>
              <w:spacing w:after="120"/>
              <w:jc w:val="center"/>
              <w:rPr>
                <w:rFonts w:eastAsia="Arial"/>
                <w:sz w:val="20"/>
                <w:szCs w:val="22"/>
                <w:lang w:bidi="fr-FR"/>
              </w:rPr>
            </w:pPr>
            <w:r w:rsidRPr="00F34299">
              <w:rPr>
                <w:sz w:val="20"/>
                <w:szCs w:val="20"/>
                <w:lang w:eastAsia="fr-FR"/>
              </w:rPr>
              <w:t>12</w:t>
            </w:r>
          </w:p>
        </w:tc>
        <w:tc>
          <w:tcPr>
            <w:tcW w:w="3832" w:type="dxa"/>
            <w:vAlign w:val="center"/>
          </w:tcPr>
          <w:p w:rsidR="00605FEF" w:rsidRPr="00F34299" w:rsidRDefault="00605FEF" w:rsidP="004961DA">
            <w:pPr>
              <w:widowControl w:val="0"/>
              <w:spacing w:after="120"/>
              <w:jc w:val="center"/>
              <w:rPr>
                <w:rFonts w:eastAsia="Arial"/>
                <w:sz w:val="20"/>
                <w:szCs w:val="22"/>
                <w:lang w:bidi="fr-FR"/>
              </w:rPr>
            </w:pPr>
            <w:r w:rsidRPr="00F34299">
              <w:rPr>
                <w:sz w:val="20"/>
                <w:szCs w:val="20"/>
                <w:lang w:eastAsia="fr-FR"/>
              </w:rPr>
              <w:t>13</w:t>
            </w:r>
          </w:p>
        </w:tc>
      </w:tr>
      <w:tr w:rsidR="00F34299" w:rsidRPr="00F34299" w:rsidTr="00A827F9">
        <w:trPr>
          <w:cantSplit/>
          <w:trHeight w:val="567"/>
          <w:jc w:val="center"/>
        </w:trPr>
        <w:tc>
          <w:tcPr>
            <w:tcW w:w="2547" w:type="dxa"/>
            <w:vAlign w:val="center"/>
          </w:tcPr>
          <w:p w:rsidR="00605FEF" w:rsidRPr="00F34299" w:rsidRDefault="002A1C37" w:rsidP="004961DA">
            <w:pPr>
              <w:widowControl w:val="0"/>
              <w:spacing w:after="120"/>
              <w:jc w:val="center"/>
              <w:rPr>
                <w:sz w:val="20"/>
                <w:szCs w:val="20"/>
                <w:lang w:eastAsia="fr-FR"/>
              </w:rPr>
            </w:pPr>
            <w:r w:rsidRPr="00F34299">
              <w:rPr>
                <w:sz w:val="20"/>
                <w:szCs w:val="20"/>
                <w:lang w:eastAsia="fr-FR"/>
              </w:rPr>
              <w:t>200 &lt; Q ≤ 250</w:t>
            </w:r>
          </w:p>
        </w:tc>
        <w:tc>
          <w:tcPr>
            <w:tcW w:w="3260" w:type="dxa"/>
            <w:vAlign w:val="center"/>
          </w:tcPr>
          <w:p w:rsidR="00605FEF" w:rsidRPr="00F34299" w:rsidRDefault="00605FEF" w:rsidP="004961DA">
            <w:pPr>
              <w:widowControl w:val="0"/>
              <w:spacing w:after="120"/>
              <w:jc w:val="center"/>
              <w:rPr>
                <w:sz w:val="20"/>
                <w:szCs w:val="20"/>
                <w:lang w:eastAsia="fr-FR"/>
              </w:rPr>
            </w:pPr>
            <w:r w:rsidRPr="00F34299">
              <w:rPr>
                <w:sz w:val="20"/>
                <w:szCs w:val="20"/>
                <w:lang w:eastAsia="fr-FR"/>
              </w:rPr>
              <w:t>13</w:t>
            </w:r>
          </w:p>
        </w:tc>
        <w:tc>
          <w:tcPr>
            <w:tcW w:w="3832" w:type="dxa"/>
            <w:vAlign w:val="center"/>
          </w:tcPr>
          <w:p w:rsidR="00605FEF" w:rsidRPr="00F34299" w:rsidRDefault="00605FEF" w:rsidP="004961DA">
            <w:pPr>
              <w:widowControl w:val="0"/>
              <w:spacing w:after="120"/>
              <w:jc w:val="center"/>
              <w:rPr>
                <w:sz w:val="20"/>
                <w:szCs w:val="20"/>
                <w:lang w:eastAsia="fr-FR"/>
              </w:rPr>
            </w:pPr>
            <w:r w:rsidRPr="00F34299">
              <w:rPr>
                <w:sz w:val="20"/>
                <w:szCs w:val="20"/>
                <w:lang w:eastAsia="fr-FR"/>
              </w:rPr>
              <w:t>14</w:t>
            </w:r>
          </w:p>
        </w:tc>
      </w:tr>
    </w:tbl>
    <w:p w:rsidR="00605FEF" w:rsidRPr="00F34299" w:rsidRDefault="00605FEF" w:rsidP="004961DA">
      <w:pPr>
        <w:pStyle w:val="Corpsdetexte"/>
        <w:spacing w:before="120"/>
      </w:pPr>
      <w:r w:rsidRPr="00F34299">
        <w:t>Les dépôts à terre correspondant à chacun des numéros ONU susvisés sont clairement distincts et séparés d’une distance minimale correspondant à la plus grande valeur mentionnée dans le tableau ci-dessus pour chaque îlot considéré.</w:t>
      </w:r>
    </w:p>
    <w:p w:rsidR="00605FEF" w:rsidRPr="00F34299" w:rsidRDefault="00605FEF" w:rsidP="004961DA">
      <w:pPr>
        <w:pStyle w:val="Corpsdetexte"/>
      </w:pPr>
      <w:r w:rsidRPr="00F34299">
        <w:t>Aucun débris ou objet susceptible d’être projeté par une explosion n’est laissé entre les îlots. »</w:t>
      </w:r>
    </w:p>
    <w:p w:rsidR="00605FEF" w:rsidRPr="00F34299" w:rsidRDefault="00B12F72" w:rsidP="004961DA">
      <w:pPr>
        <w:pStyle w:val="Corpsdetexte"/>
        <w:rPr>
          <w:bCs/>
        </w:rPr>
      </w:pPr>
      <w:r w:rsidRPr="00F34299">
        <w:rPr>
          <w:b/>
          <w:bCs/>
        </w:rPr>
        <w:t>V</w:t>
      </w:r>
      <w:r w:rsidR="00605FEF" w:rsidRPr="00F34299">
        <w:rPr>
          <w:b/>
          <w:bCs/>
        </w:rPr>
        <w:t>I –</w:t>
      </w:r>
      <w:r w:rsidR="00605FEF" w:rsidRPr="00F34299">
        <w:rPr>
          <w:bCs/>
        </w:rPr>
        <w:t xml:space="preserve"> L’article 517 est remplacé par les dispositions suivantes :</w:t>
      </w:r>
    </w:p>
    <w:p w:rsidR="00605FEF" w:rsidRPr="00F34299" w:rsidRDefault="00605FEF" w:rsidP="004961DA">
      <w:pPr>
        <w:pStyle w:val="Corpsdetexte"/>
        <w:spacing w:before="120"/>
      </w:pPr>
      <w:r w:rsidRPr="00F34299">
        <w:t xml:space="preserve">« 517 - Gardiennage </w:t>
      </w:r>
    </w:p>
    <w:p w:rsidR="00605FEF" w:rsidRPr="00F34299" w:rsidRDefault="00605FEF" w:rsidP="004961DA">
      <w:pPr>
        <w:pStyle w:val="Corpsdetexte"/>
        <w:spacing w:before="120"/>
      </w:pPr>
      <w:r w:rsidRPr="00F34299">
        <w:t xml:space="preserve">Le gardiennage des dépôts à terre ou des véhicules terrestres en stationnement qui contiennent des engrais au nitrate d'ammonium de la classe 9 est obligatoire lorsque la masse de ces produits dépasse 200 tonnes. </w:t>
      </w:r>
    </w:p>
    <w:p w:rsidR="00605FEF" w:rsidRPr="00F34299" w:rsidRDefault="00605FEF" w:rsidP="004961DA">
      <w:pPr>
        <w:pStyle w:val="Corpsdetexte"/>
        <w:spacing w:before="120"/>
      </w:pPr>
      <w:r w:rsidRPr="00F34299">
        <w:t>Toutefois, si ces engrais de la classe 9 sont logés dans des conteneurs, la masse à partir de laquelle le gardiennage est obligatoire peut être supérieure à 200 tonnes ; en ce cas, elle doit être fixée par l'Autorité investie du pouvoir de police portuaire.</w:t>
      </w:r>
    </w:p>
    <w:p w:rsidR="00605FEF" w:rsidRPr="00F34299" w:rsidRDefault="00605FEF" w:rsidP="004961DA">
      <w:pPr>
        <w:pStyle w:val="Corpsdetexte"/>
        <w:spacing w:before="120"/>
      </w:pPr>
      <w:r w:rsidRPr="00F34299">
        <w:t>Le gardiennage des dépôts à terre ou des véhicules terrestres en stationnement qui contiennent du nitrate d'ammonium (autrement que liquide en solution chaude concentrée) ou des engrais au nitrate d'ammonium de la classe 5.1 est obligatoire lorsque la masse de ces produits dépasse 50 tonnes.</w:t>
      </w:r>
    </w:p>
    <w:p w:rsidR="00605FEF" w:rsidRPr="00F34299" w:rsidRDefault="00605FEF" w:rsidP="004961DA">
      <w:pPr>
        <w:pStyle w:val="Corpsdetexte"/>
        <w:spacing w:before="120"/>
      </w:pPr>
      <w:r w:rsidRPr="00F34299">
        <w:t>Toutefois, si les sacs renfermant ces produits sont logés dans des conteneurs, la masse à partir de laquelle le gardiennage est obligatoire peut être supérieure à 50 tonnes ; en ce cas, elle doit être fixée par l'Autorité investie du pouvoir de police portuaire. ».</w:t>
      </w:r>
    </w:p>
    <w:p w:rsidR="00605FEF" w:rsidRPr="00F34299" w:rsidRDefault="00605FEF" w:rsidP="00251662">
      <w:pPr>
        <w:pStyle w:val="SNArticle"/>
        <w:pageBreakBefore/>
      </w:pPr>
      <w:r w:rsidRPr="00F34299">
        <w:lastRenderedPageBreak/>
        <w:t>Article 3</w:t>
      </w:r>
    </w:p>
    <w:p w:rsidR="00605FEF" w:rsidRPr="00F34299" w:rsidRDefault="00605FEF" w:rsidP="004961DA">
      <w:pPr>
        <w:pStyle w:val="Corpsdetexte"/>
      </w:pPr>
      <w:r w:rsidRPr="00F34299">
        <w:t xml:space="preserve">Les dispositions du présent arrêté entrent en vigueur le </w:t>
      </w:r>
      <w:r w:rsidR="00B12F72" w:rsidRPr="00F34299">
        <w:t>16 juillet</w:t>
      </w:r>
      <w:r w:rsidRPr="00F34299">
        <w:t xml:space="preserve"> 2022.</w:t>
      </w:r>
    </w:p>
    <w:p w:rsidR="00817A7A" w:rsidRPr="00F34299" w:rsidRDefault="00817A7A" w:rsidP="004961DA">
      <w:pPr>
        <w:pStyle w:val="SNArticle"/>
      </w:pPr>
      <w:r w:rsidRPr="00F34299">
        <w:t xml:space="preserve">Article </w:t>
      </w:r>
      <w:r w:rsidR="00B96F2E" w:rsidRPr="00F34299">
        <w:t>4</w:t>
      </w:r>
    </w:p>
    <w:p w:rsidR="00817A7A" w:rsidRPr="00F34299" w:rsidRDefault="00403546" w:rsidP="008D49FD">
      <w:pPr>
        <w:pStyle w:val="Corpsdetexte"/>
      </w:pPr>
      <w:r w:rsidRPr="00F34299">
        <w:t xml:space="preserve">Le présent arrêté </w:t>
      </w:r>
      <w:r w:rsidR="008333A8" w:rsidRPr="00F34299">
        <w:t xml:space="preserve">sera publié au </w:t>
      </w:r>
      <w:r w:rsidR="008333A8" w:rsidRPr="00F34299">
        <w:rPr>
          <w:i/>
          <w:iCs/>
        </w:rPr>
        <w:t>Journal officiel</w:t>
      </w:r>
      <w:r w:rsidR="008333A8" w:rsidRPr="00F34299">
        <w:t xml:space="preserve"> de la République française.</w:t>
      </w:r>
    </w:p>
    <w:p w:rsidR="00EF71FF" w:rsidRPr="00F34299" w:rsidRDefault="00EF71FF" w:rsidP="004961DA">
      <w:pPr>
        <w:pStyle w:val="SNDatearrt"/>
      </w:pPr>
      <w:r w:rsidRPr="00F34299">
        <w:t>Fait le</w:t>
      </w:r>
      <w:r w:rsidR="00B270B7" w:rsidRPr="00F34299">
        <w:t xml:space="preserve"> </w:t>
      </w:r>
    </w:p>
    <w:p w:rsidR="008D49FD" w:rsidRPr="00F34299" w:rsidRDefault="008D49FD" w:rsidP="00B124D0">
      <w:pPr>
        <w:pStyle w:val="SNSignature"/>
      </w:pPr>
      <w:r w:rsidRPr="00F34299">
        <w:t xml:space="preserve">Pour </w:t>
      </w:r>
      <w:r w:rsidR="001D582C" w:rsidRPr="00F34299">
        <w:t>la ministre et par délégation</w:t>
      </w:r>
      <w:r w:rsidRPr="00F34299">
        <w:t> :</w:t>
      </w:r>
    </w:p>
    <w:p w:rsidR="008D49FD" w:rsidRPr="00F34299" w:rsidRDefault="008D49FD" w:rsidP="00B124D0">
      <w:pPr>
        <w:pStyle w:val="SNSignature"/>
        <w:rPr>
          <w:i/>
        </w:rPr>
      </w:pPr>
      <w:r w:rsidRPr="00F34299">
        <w:rPr>
          <w:i/>
        </w:rPr>
        <w:t>Le directeur général de la prévention des risques</w:t>
      </w:r>
      <w:r w:rsidR="00B124D0" w:rsidRPr="00F34299">
        <w:rPr>
          <w:i/>
        </w:rPr>
        <w:t>,</w:t>
      </w:r>
    </w:p>
    <w:p w:rsidR="00817A7A" w:rsidRPr="00F34299" w:rsidRDefault="00D003EE" w:rsidP="00B124D0">
      <w:pPr>
        <w:pStyle w:val="SNSignature"/>
      </w:pPr>
      <w:r w:rsidRPr="00F34299">
        <w:t>C</w:t>
      </w:r>
      <w:r w:rsidR="008D49FD" w:rsidRPr="00F34299">
        <w:t xml:space="preserve">. </w:t>
      </w:r>
      <w:r w:rsidRPr="00F34299">
        <w:t>BOURILLET</w:t>
      </w:r>
    </w:p>
    <w:sectPr w:rsidR="00817A7A" w:rsidRPr="00F34299" w:rsidSect="00FB3193">
      <w:pgSz w:w="11907" w:h="16840"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C77" w:rsidRDefault="00CF2C77">
      <w:r>
        <w:separator/>
      </w:r>
    </w:p>
  </w:endnote>
  <w:endnote w:type="continuationSeparator" w:id="0">
    <w:p w:rsidR="00CF2C77" w:rsidRDefault="00CF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C77" w:rsidRDefault="00CF2C77">
      <w:r>
        <w:separator/>
      </w:r>
    </w:p>
  </w:footnote>
  <w:footnote w:type="continuationSeparator" w:id="0">
    <w:p w:rsidR="00CF2C77" w:rsidRDefault="00CF2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singleLevel"/>
    <w:tmpl w:val="0000000A"/>
    <w:name w:val="WW8Num10"/>
    <w:lvl w:ilvl="0">
      <w:start w:val="1"/>
      <w:numFmt w:val="bullet"/>
      <w:lvlText w:val=""/>
      <w:lvlJc w:val="left"/>
      <w:pPr>
        <w:tabs>
          <w:tab w:val="num" w:pos="1854"/>
        </w:tabs>
        <w:ind w:left="1854" w:hanging="360"/>
      </w:pPr>
      <w:rPr>
        <w:rFonts w:ascii="Symbol" w:hAnsi="Symbol" w:cs="Symbol" w:hint="default"/>
        <w:color w:val="FF0000"/>
        <w:sz w:val="20"/>
        <w:szCs w:val="22"/>
        <w:shd w:val="clear" w:color="auto" w:fill="FFFF99"/>
      </w:rPr>
    </w:lvl>
  </w:abstractNum>
  <w:abstractNum w:abstractNumId="3" w15:restartNumberingAfterBreak="0">
    <w:nsid w:val="08D33712"/>
    <w:multiLevelType w:val="hybridMultilevel"/>
    <w:tmpl w:val="9E34A3A2"/>
    <w:lvl w:ilvl="0" w:tplc="7DF8FBE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5A23C2"/>
    <w:multiLevelType w:val="hybridMultilevel"/>
    <w:tmpl w:val="6DF4BE8E"/>
    <w:lvl w:ilvl="0" w:tplc="DAAC7FB2">
      <w:start w:val="3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D72EB0"/>
    <w:multiLevelType w:val="hybridMultilevel"/>
    <w:tmpl w:val="7F2A0F7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598E7368"/>
    <w:multiLevelType w:val="hybridMultilevel"/>
    <w:tmpl w:val="605AB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8B4209"/>
    <w:multiLevelType w:val="hybridMultilevel"/>
    <w:tmpl w:val="40962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747167"/>
    <w:multiLevelType w:val="hybridMultilevel"/>
    <w:tmpl w:val="B0703C3E"/>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708B4DA6"/>
    <w:multiLevelType w:val="hybridMultilevel"/>
    <w:tmpl w:val="55D2C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74458F"/>
    <w:multiLevelType w:val="hybridMultilevel"/>
    <w:tmpl w:val="75E8D044"/>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7E985824"/>
    <w:multiLevelType w:val="hybridMultilevel"/>
    <w:tmpl w:val="A7BAF446"/>
    <w:lvl w:ilvl="0" w:tplc="0B749EEE">
      <w:start w:val="3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0"/>
  </w:num>
  <w:num w:numId="5">
    <w:abstractNumId w:val="8"/>
  </w:num>
  <w:num w:numId="6">
    <w:abstractNumId w:val="4"/>
  </w:num>
  <w:num w:numId="7">
    <w:abstractNumId w:val="11"/>
  </w:num>
  <w:num w:numId="8">
    <w:abstractNumId w:val="3"/>
  </w:num>
  <w:num w:numId="9">
    <w:abstractNumId w:val="6"/>
  </w:num>
  <w:num w:numId="10">
    <w:abstractNumId w:val="7"/>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79"/>
    <w:rsid w:val="000013CF"/>
    <w:rsid w:val="00026D78"/>
    <w:rsid w:val="00061A78"/>
    <w:rsid w:val="00062972"/>
    <w:rsid w:val="000779A7"/>
    <w:rsid w:val="00096017"/>
    <w:rsid w:val="000970DD"/>
    <w:rsid w:val="00097B1B"/>
    <w:rsid w:val="000C0253"/>
    <w:rsid w:val="000C1725"/>
    <w:rsid w:val="000C536D"/>
    <w:rsid w:val="000C7A41"/>
    <w:rsid w:val="000E0428"/>
    <w:rsid w:val="000E3A15"/>
    <w:rsid w:val="00103400"/>
    <w:rsid w:val="0011269D"/>
    <w:rsid w:val="001231A5"/>
    <w:rsid w:val="001265F9"/>
    <w:rsid w:val="0014151E"/>
    <w:rsid w:val="00144BDC"/>
    <w:rsid w:val="00152B88"/>
    <w:rsid w:val="001541CF"/>
    <w:rsid w:val="00162105"/>
    <w:rsid w:val="00162560"/>
    <w:rsid w:val="001A6FE3"/>
    <w:rsid w:val="001B2D5C"/>
    <w:rsid w:val="001B3CE6"/>
    <w:rsid w:val="001B5A1C"/>
    <w:rsid w:val="001B6B1F"/>
    <w:rsid w:val="001C1CF9"/>
    <w:rsid w:val="001D582C"/>
    <w:rsid w:val="001E07C6"/>
    <w:rsid w:val="0020152E"/>
    <w:rsid w:val="00211425"/>
    <w:rsid w:val="002163F1"/>
    <w:rsid w:val="00220774"/>
    <w:rsid w:val="00223F45"/>
    <w:rsid w:val="00246E02"/>
    <w:rsid w:val="00251662"/>
    <w:rsid w:val="00260E43"/>
    <w:rsid w:val="00264B4F"/>
    <w:rsid w:val="002749BD"/>
    <w:rsid w:val="002773DB"/>
    <w:rsid w:val="00281872"/>
    <w:rsid w:val="00281D06"/>
    <w:rsid w:val="00282852"/>
    <w:rsid w:val="002A1C37"/>
    <w:rsid w:val="002B0454"/>
    <w:rsid w:val="002B6F18"/>
    <w:rsid w:val="002B6F79"/>
    <w:rsid w:val="002C5024"/>
    <w:rsid w:val="002D2BCD"/>
    <w:rsid w:val="002D502A"/>
    <w:rsid w:val="002D77CE"/>
    <w:rsid w:val="002E700E"/>
    <w:rsid w:val="002F06D4"/>
    <w:rsid w:val="003014D7"/>
    <w:rsid w:val="0030414D"/>
    <w:rsid w:val="003062A9"/>
    <w:rsid w:val="00306E9A"/>
    <w:rsid w:val="0033048B"/>
    <w:rsid w:val="003351F9"/>
    <w:rsid w:val="0036205D"/>
    <w:rsid w:val="00367CC0"/>
    <w:rsid w:val="00371542"/>
    <w:rsid w:val="003737AD"/>
    <w:rsid w:val="003767EA"/>
    <w:rsid w:val="00384512"/>
    <w:rsid w:val="00387505"/>
    <w:rsid w:val="00391808"/>
    <w:rsid w:val="003932CF"/>
    <w:rsid w:val="003B40B4"/>
    <w:rsid w:val="003D0337"/>
    <w:rsid w:val="003D0F0D"/>
    <w:rsid w:val="003E2D35"/>
    <w:rsid w:val="00403546"/>
    <w:rsid w:val="00406DB8"/>
    <w:rsid w:val="004137E3"/>
    <w:rsid w:val="004200A5"/>
    <w:rsid w:val="0042727F"/>
    <w:rsid w:val="00434FDD"/>
    <w:rsid w:val="0044451B"/>
    <w:rsid w:val="004577F1"/>
    <w:rsid w:val="00461082"/>
    <w:rsid w:val="00470CCE"/>
    <w:rsid w:val="00477DA2"/>
    <w:rsid w:val="00480BC5"/>
    <w:rsid w:val="004813A7"/>
    <w:rsid w:val="00494E01"/>
    <w:rsid w:val="00494EA7"/>
    <w:rsid w:val="004961DA"/>
    <w:rsid w:val="004B79FE"/>
    <w:rsid w:val="004D0FF5"/>
    <w:rsid w:val="004D629E"/>
    <w:rsid w:val="004E04B3"/>
    <w:rsid w:val="004F1EC0"/>
    <w:rsid w:val="004F2F77"/>
    <w:rsid w:val="00505109"/>
    <w:rsid w:val="0051641A"/>
    <w:rsid w:val="00517793"/>
    <w:rsid w:val="00517AC8"/>
    <w:rsid w:val="00517CF1"/>
    <w:rsid w:val="00524E30"/>
    <w:rsid w:val="005447DA"/>
    <w:rsid w:val="00554CDE"/>
    <w:rsid w:val="00567CA2"/>
    <w:rsid w:val="00573FDC"/>
    <w:rsid w:val="0059064E"/>
    <w:rsid w:val="00590A84"/>
    <w:rsid w:val="005A0531"/>
    <w:rsid w:val="005B3D93"/>
    <w:rsid w:val="005B6B01"/>
    <w:rsid w:val="005D2E43"/>
    <w:rsid w:val="005E3466"/>
    <w:rsid w:val="00605FEF"/>
    <w:rsid w:val="00617E61"/>
    <w:rsid w:val="00621CA5"/>
    <w:rsid w:val="00625C74"/>
    <w:rsid w:val="00640F6F"/>
    <w:rsid w:val="0065051B"/>
    <w:rsid w:val="00665821"/>
    <w:rsid w:val="00691DE0"/>
    <w:rsid w:val="006A53B3"/>
    <w:rsid w:val="006A73C0"/>
    <w:rsid w:val="006F2506"/>
    <w:rsid w:val="006F2766"/>
    <w:rsid w:val="00710C11"/>
    <w:rsid w:val="00715F52"/>
    <w:rsid w:val="00717A83"/>
    <w:rsid w:val="007473B9"/>
    <w:rsid w:val="007477DF"/>
    <w:rsid w:val="00751272"/>
    <w:rsid w:val="00753D14"/>
    <w:rsid w:val="007566B0"/>
    <w:rsid w:val="0076077A"/>
    <w:rsid w:val="00764729"/>
    <w:rsid w:val="00771369"/>
    <w:rsid w:val="007728EA"/>
    <w:rsid w:val="00775314"/>
    <w:rsid w:val="00790E8D"/>
    <w:rsid w:val="007B15CB"/>
    <w:rsid w:val="007C13C7"/>
    <w:rsid w:val="007C7AC4"/>
    <w:rsid w:val="007C7FF4"/>
    <w:rsid w:val="007F2B5F"/>
    <w:rsid w:val="007F6BE8"/>
    <w:rsid w:val="0081579C"/>
    <w:rsid w:val="00817A7A"/>
    <w:rsid w:val="00824EA5"/>
    <w:rsid w:val="00825E23"/>
    <w:rsid w:val="00833369"/>
    <w:rsid w:val="008333A8"/>
    <w:rsid w:val="00851CBE"/>
    <w:rsid w:val="008550BB"/>
    <w:rsid w:val="00857722"/>
    <w:rsid w:val="008627E7"/>
    <w:rsid w:val="008677CF"/>
    <w:rsid w:val="0086781F"/>
    <w:rsid w:val="00876B2B"/>
    <w:rsid w:val="00877EE3"/>
    <w:rsid w:val="0088690F"/>
    <w:rsid w:val="008A114B"/>
    <w:rsid w:val="008A1726"/>
    <w:rsid w:val="008A5906"/>
    <w:rsid w:val="008B3C18"/>
    <w:rsid w:val="008D49FD"/>
    <w:rsid w:val="008D4C10"/>
    <w:rsid w:val="008E4954"/>
    <w:rsid w:val="009246BA"/>
    <w:rsid w:val="00954F7D"/>
    <w:rsid w:val="00966AF3"/>
    <w:rsid w:val="00972EAC"/>
    <w:rsid w:val="00980106"/>
    <w:rsid w:val="009A28EB"/>
    <w:rsid w:val="009A6F92"/>
    <w:rsid w:val="009B2A8F"/>
    <w:rsid w:val="009B7FA5"/>
    <w:rsid w:val="009D6303"/>
    <w:rsid w:val="009E03FB"/>
    <w:rsid w:val="009E5278"/>
    <w:rsid w:val="009F089F"/>
    <w:rsid w:val="00A0060D"/>
    <w:rsid w:val="00A05250"/>
    <w:rsid w:val="00A27D2E"/>
    <w:rsid w:val="00A35A45"/>
    <w:rsid w:val="00A3775B"/>
    <w:rsid w:val="00A37A61"/>
    <w:rsid w:val="00A42424"/>
    <w:rsid w:val="00A43CC3"/>
    <w:rsid w:val="00A44A45"/>
    <w:rsid w:val="00A45D0C"/>
    <w:rsid w:val="00A56C14"/>
    <w:rsid w:val="00A57A00"/>
    <w:rsid w:val="00A72E50"/>
    <w:rsid w:val="00A91BBB"/>
    <w:rsid w:val="00A91CC2"/>
    <w:rsid w:val="00A97B2D"/>
    <w:rsid w:val="00AC0254"/>
    <w:rsid w:val="00AC0CC7"/>
    <w:rsid w:val="00AD3916"/>
    <w:rsid w:val="00AD405E"/>
    <w:rsid w:val="00AE3AE7"/>
    <w:rsid w:val="00B124D0"/>
    <w:rsid w:val="00B1253F"/>
    <w:rsid w:val="00B12F72"/>
    <w:rsid w:val="00B259EC"/>
    <w:rsid w:val="00B270B7"/>
    <w:rsid w:val="00B326FE"/>
    <w:rsid w:val="00B3276F"/>
    <w:rsid w:val="00B3315D"/>
    <w:rsid w:val="00B40417"/>
    <w:rsid w:val="00B46B08"/>
    <w:rsid w:val="00B61DA7"/>
    <w:rsid w:val="00B6575B"/>
    <w:rsid w:val="00B738EA"/>
    <w:rsid w:val="00B73CEF"/>
    <w:rsid w:val="00B8022F"/>
    <w:rsid w:val="00B91C4E"/>
    <w:rsid w:val="00B96DCE"/>
    <w:rsid w:val="00B96F2E"/>
    <w:rsid w:val="00BC2319"/>
    <w:rsid w:val="00BC231B"/>
    <w:rsid w:val="00BD3946"/>
    <w:rsid w:val="00BD488C"/>
    <w:rsid w:val="00BE5889"/>
    <w:rsid w:val="00BF642C"/>
    <w:rsid w:val="00C275F6"/>
    <w:rsid w:val="00C53874"/>
    <w:rsid w:val="00C67421"/>
    <w:rsid w:val="00C7008F"/>
    <w:rsid w:val="00C74AE7"/>
    <w:rsid w:val="00C87779"/>
    <w:rsid w:val="00C96CFB"/>
    <w:rsid w:val="00CA5B76"/>
    <w:rsid w:val="00CD0950"/>
    <w:rsid w:val="00CD5ED8"/>
    <w:rsid w:val="00CF2C77"/>
    <w:rsid w:val="00CF3AE6"/>
    <w:rsid w:val="00D003EE"/>
    <w:rsid w:val="00D16EBD"/>
    <w:rsid w:val="00D26E87"/>
    <w:rsid w:val="00D333AF"/>
    <w:rsid w:val="00D40A09"/>
    <w:rsid w:val="00D543C8"/>
    <w:rsid w:val="00D66E13"/>
    <w:rsid w:val="00D7099C"/>
    <w:rsid w:val="00D828C8"/>
    <w:rsid w:val="00D8374B"/>
    <w:rsid w:val="00D97D84"/>
    <w:rsid w:val="00DB0B5C"/>
    <w:rsid w:val="00DC1E02"/>
    <w:rsid w:val="00DC3E51"/>
    <w:rsid w:val="00DD5A4B"/>
    <w:rsid w:val="00DE0496"/>
    <w:rsid w:val="00DE3892"/>
    <w:rsid w:val="00DE79A6"/>
    <w:rsid w:val="00DE7A55"/>
    <w:rsid w:val="00DF0ABE"/>
    <w:rsid w:val="00E12A20"/>
    <w:rsid w:val="00E1414B"/>
    <w:rsid w:val="00E21E05"/>
    <w:rsid w:val="00E302D3"/>
    <w:rsid w:val="00E31EDD"/>
    <w:rsid w:val="00E359DB"/>
    <w:rsid w:val="00E62B52"/>
    <w:rsid w:val="00E66EB4"/>
    <w:rsid w:val="00E84853"/>
    <w:rsid w:val="00E86BE1"/>
    <w:rsid w:val="00EB79BE"/>
    <w:rsid w:val="00ED1E55"/>
    <w:rsid w:val="00ED3EF8"/>
    <w:rsid w:val="00ED64D8"/>
    <w:rsid w:val="00EF6610"/>
    <w:rsid w:val="00EF71FF"/>
    <w:rsid w:val="00F07DE1"/>
    <w:rsid w:val="00F130A7"/>
    <w:rsid w:val="00F15C0C"/>
    <w:rsid w:val="00F201A9"/>
    <w:rsid w:val="00F269C4"/>
    <w:rsid w:val="00F30E42"/>
    <w:rsid w:val="00F34299"/>
    <w:rsid w:val="00F675A9"/>
    <w:rsid w:val="00F72282"/>
    <w:rsid w:val="00F93413"/>
    <w:rsid w:val="00F9386F"/>
    <w:rsid w:val="00F9737F"/>
    <w:rsid w:val="00FA1700"/>
    <w:rsid w:val="00FB0670"/>
    <w:rsid w:val="00FB3193"/>
    <w:rsid w:val="00FD1E25"/>
    <w:rsid w:val="00FF096B"/>
    <w:rsid w:val="00FF2F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6780"/>
  <w15:chartTrackingRefBased/>
  <w15:docId w15:val="{370EF653-B559-4531-8EDB-7867DD50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spacing w:before="240"/>
      <w:jc w:val="center"/>
      <w:outlineLvl w:val="0"/>
    </w:pPr>
    <w:rPr>
      <w:rFonts w:cs="Arial"/>
      <w:bCs/>
      <w:caps/>
      <w:kern w:val="1"/>
    </w:rPr>
  </w:style>
  <w:style w:type="paragraph" w:styleId="Titre2">
    <w:name w:val="heading 2"/>
    <w:basedOn w:val="Normal"/>
    <w:next w:val="Normal"/>
    <w:qFormat/>
    <w:pPr>
      <w:keepNext/>
      <w:numPr>
        <w:ilvl w:val="1"/>
        <w:numId w:val="1"/>
      </w:numPr>
      <w:spacing w:before="240"/>
      <w:jc w:val="center"/>
      <w:outlineLvl w:val="1"/>
    </w:pPr>
    <w:rPr>
      <w:bCs/>
      <w:iCs/>
      <w:smallCaps/>
    </w:rPr>
  </w:style>
  <w:style w:type="paragraph" w:styleId="Titre3">
    <w:name w:val="heading 3"/>
    <w:basedOn w:val="Normal"/>
    <w:next w:val="Normal"/>
    <w:qFormat/>
    <w:pPr>
      <w:keepNext/>
      <w:numPr>
        <w:ilvl w:val="2"/>
        <w:numId w:val="1"/>
      </w:numPr>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Times New Roman" w:hAnsi="Times New Roman"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Policepardfaut1">
    <w:name w:val="Police par défaut1"/>
  </w:style>
  <w:style w:type="character" w:customStyle="1" w:styleId="SNTimbreCar">
    <w:name w:val="SNTimbre Car"/>
    <w:rPr>
      <w:rFonts w:eastAsia="Lucida Sans Unicode"/>
      <w:sz w:val="24"/>
      <w:szCs w:val="24"/>
      <w:lang w:val="fr-FR" w:bidi="ar-SA"/>
    </w:rPr>
  </w:style>
  <w:style w:type="character" w:customStyle="1" w:styleId="SNDatearrtCar">
    <w:name w:val="SNDate arrêté Car"/>
    <w:rPr>
      <w:sz w:val="24"/>
      <w:szCs w:val="24"/>
      <w:lang w:val="fr-FR" w:bidi="ar-SA"/>
    </w:rPr>
  </w:style>
  <w:style w:type="character" w:customStyle="1" w:styleId="SNArticleCar">
    <w:name w:val="SNArticle Car"/>
    <w:rPr>
      <w:b/>
      <w:sz w:val="24"/>
      <w:szCs w:val="24"/>
      <w:lang w:val="fr-FR" w:bidi="ar-SA"/>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Liberation Sans" w:eastAsia="Lucida Sans Unicode" w:hAnsi="Liberation Sans" w:cs="Tahoma"/>
      <w:sz w:val="28"/>
      <w:szCs w:val="28"/>
    </w:rPr>
  </w:style>
  <w:style w:type="paragraph" w:styleId="Corpsdetexte">
    <w:name w:val="Body Text"/>
    <w:basedOn w:val="Normal"/>
    <w:pPr>
      <w:spacing w:after="120"/>
      <w:jc w:val="both"/>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pPr>
      <w:suppressLineNumbers/>
    </w:pPr>
    <w:rPr>
      <w:rFonts w:ascii="Liberation Sans" w:hAnsi="Liberation Sans" w:cs="Tahoma"/>
    </w:rPr>
  </w:style>
  <w:style w:type="paragraph" w:customStyle="1" w:styleId="SNREPUBLIQUE">
    <w:name w:val="SNREPUBLIQUE"/>
    <w:basedOn w:val="Normal"/>
    <w:pPr>
      <w:jc w:val="center"/>
    </w:pPr>
    <w:rPr>
      <w:b/>
      <w:bCs/>
      <w:szCs w:val="20"/>
    </w:rPr>
  </w:style>
  <w:style w:type="paragraph" w:customStyle="1" w:styleId="SNSignature">
    <w:name w:val="SNSignature"/>
    <w:basedOn w:val="Normal"/>
    <w:pPr>
      <w:ind w:firstLine="720"/>
    </w:pPr>
  </w:style>
  <w:style w:type="paragraph" w:customStyle="1" w:styleId="puce1">
    <w:name w:val="puce1"/>
    <w:basedOn w:val="Normal"/>
    <w:pPr>
      <w:widowControl w:val="0"/>
      <w:tabs>
        <w:tab w:val="left" w:pos="1429"/>
      </w:tabs>
      <w:spacing w:before="240"/>
      <w:ind w:left="1429" w:hanging="360"/>
    </w:pPr>
    <w:rPr>
      <w:rFonts w:eastAsia="Lucida Sans Unicode"/>
    </w:rPr>
  </w:style>
  <w:style w:type="paragraph" w:customStyle="1" w:styleId="puce2">
    <w:name w:val="puce2"/>
    <w:basedOn w:val="Normal"/>
    <w:pPr>
      <w:widowControl w:val="0"/>
      <w:tabs>
        <w:tab w:val="left" w:pos="2149"/>
      </w:tabs>
      <w:spacing w:before="240"/>
      <w:ind w:left="2149" w:hanging="360"/>
    </w:pPr>
    <w:rPr>
      <w:rFonts w:eastAsia="Lucida Sans Unicode"/>
    </w:rPr>
  </w:style>
  <w:style w:type="paragraph" w:customStyle="1" w:styleId="puce3">
    <w:name w:val="puce3"/>
    <w:basedOn w:val="Normal"/>
    <w:pPr>
      <w:widowControl w:val="0"/>
      <w:tabs>
        <w:tab w:val="left" w:pos="2869"/>
      </w:tabs>
      <w:spacing w:before="240"/>
      <w:ind w:left="2869" w:hanging="360"/>
    </w:pPr>
    <w:rPr>
      <w:rFonts w:eastAsia="Lucida Sans Unicode"/>
    </w:rPr>
  </w:style>
  <w:style w:type="paragraph" w:customStyle="1" w:styleId="num1">
    <w:name w:val="num1"/>
    <w:basedOn w:val="Normal"/>
    <w:pPr>
      <w:widowControl w:val="0"/>
      <w:tabs>
        <w:tab w:val="left" w:pos="1429"/>
      </w:tabs>
      <w:spacing w:before="240"/>
      <w:ind w:left="1429" w:hanging="360"/>
    </w:pPr>
    <w:rPr>
      <w:rFonts w:eastAsia="Lucida Sans Unicode"/>
    </w:rPr>
  </w:style>
  <w:style w:type="paragraph" w:customStyle="1" w:styleId="num2">
    <w:name w:val="num2"/>
    <w:basedOn w:val="Normal"/>
    <w:pPr>
      <w:widowControl w:val="0"/>
      <w:tabs>
        <w:tab w:val="left" w:pos="2149"/>
      </w:tabs>
      <w:spacing w:before="240"/>
      <w:ind w:left="2149" w:hanging="360"/>
    </w:pPr>
    <w:rPr>
      <w:rFonts w:eastAsia="Lucida Sans Unicode"/>
    </w:rPr>
  </w:style>
  <w:style w:type="paragraph" w:customStyle="1" w:styleId="num3">
    <w:name w:val="num3"/>
    <w:basedOn w:val="Normal"/>
    <w:pPr>
      <w:widowControl w:val="0"/>
      <w:tabs>
        <w:tab w:val="left" w:pos="2869"/>
      </w:tabs>
      <w:spacing w:before="240"/>
      <w:ind w:left="2869" w:hanging="180"/>
    </w:pPr>
    <w:rPr>
      <w:rFonts w:eastAsia="Lucida Sans Unicode"/>
    </w:rPr>
  </w:style>
  <w:style w:type="paragraph" w:customStyle="1" w:styleId="Direction">
    <w:name w:val="Direction"/>
    <w:basedOn w:val="Normal"/>
    <w:pPr>
      <w:spacing w:before="720"/>
      <w:jc w:val="center"/>
    </w:pPr>
    <w:rPr>
      <w:b/>
    </w:rPr>
  </w:style>
  <w:style w:type="paragraph" w:customStyle="1" w:styleId="SNConsultation">
    <w:name w:val="SNConsultation"/>
    <w:basedOn w:val="Normal"/>
    <w:pPr>
      <w:widowControl w:val="0"/>
      <w:spacing w:before="120" w:after="120"/>
      <w:ind w:firstLine="709"/>
      <w:jc w:val="both"/>
    </w:pPr>
    <w:rPr>
      <w:rFonts w:eastAsia="Lucida Sans Unicode"/>
    </w:rPr>
  </w:style>
  <w:style w:type="paragraph" w:customStyle="1" w:styleId="SNNature">
    <w:name w:val="SNNature"/>
    <w:basedOn w:val="Normal"/>
    <w:next w:val="SNtitre"/>
    <w:pPr>
      <w:widowControl w:val="0"/>
      <w:suppressLineNumbers/>
      <w:spacing w:before="720" w:after="120"/>
      <w:jc w:val="center"/>
    </w:pPr>
    <w:rPr>
      <w:rFonts w:eastAsia="Lucida Sans Unicode"/>
      <w:b/>
      <w:bCs/>
    </w:rPr>
  </w:style>
  <w:style w:type="paragraph" w:customStyle="1" w:styleId="SNtitre">
    <w:name w:val="SNtitre"/>
    <w:basedOn w:val="Normal"/>
    <w:next w:val="SNNORCentr"/>
    <w:pPr>
      <w:widowControl w:val="0"/>
      <w:suppressLineNumbers/>
      <w:spacing w:after="360"/>
      <w:jc w:val="center"/>
    </w:pPr>
    <w:rPr>
      <w:rFonts w:eastAsia="Lucida Sans Unicode"/>
      <w:b/>
    </w:rPr>
  </w:style>
  <w:style w:type="paragraph" w:customStyle="1" w:styleId="SNNORCentr">
    <w:name w:val="SNNOR+Centré"/>
    <w:next w:val="SNAutorit"/>
    <w:pPr>
      <w:suppressAutoHyphens/>
      <w:jc w:val="center"/>
    </w:pPr>
    <w:rPr>
      <w:bCs/>
      <w:sz w:val="24"/>
      <w:lang w:eastAsia="zh-CN"/>
    </w:rPr>
  </w:style>
  <w:style w:type="paragraph" w:customStyle="1" w:styleId="SNAutorit">
    <w:name w:val="SNAutorité"/>
    <w:basedOn w:val="Normal"/>
    <w:pPr>
      <w:spacing w:before="720" w:after="240"/>
      <w:ind w:firstLine="720"/>
      <w:jc w:val="both"/>
    </w:pPr>
    <w:rPr>
      <w:b/>
      <w:color w:val="000000"/>
    </w:rPr>
  </w:style>
  <w:style w:type="paragraph" w:customStyle="1" w:styleId="SNTimbre">
    <w:name w:val="SNTimbre"/>
    <w:basedOn w:val="Normal"/>
    <w:pPr>
      <w:widowControl w:val="0"/>
      <w:snapToGrid w:val="0"/>
      <w:spacing w:before="120"/>
      <w:jc w:val="center"/>
    </w:pPr>
    <w:rPr>
      <w:rFonts w:eastAsia="Lucida Sans Unicode"/>
    </w:rPr>
  </w:style>
  <w:style w:type="paragraph" w:customStyle="1" w:styleId="SNRapport">
    <w:name w:val="SNRapport"/>
    <w:basedOn w:val="Normal"/>
    <w:pPr>
      <w:spacing w:before="240" w:after="120"/>
      <w:ind w:firstLine="720"/>
    </w:pPr>
  </w:style>
  <w:style w:type="paragraph" w:customStyle="1" w:styleId="SNVisa">
    <w:name w:val="SNVisa"/>
    <w:basedOn w:val="Normal"/>
    <w:pPr>
      <w:spacing w:before="120" w:after="120"/>
      <w:ind w:firstLine="720"/>
    </w:pPr>
  </w:style>
  <w:style w:type="paragraph" w:customStyle="1" w:styleId="SNDatearrt">
    <w:name w:val="SNDate arrêté"/>
    <w:basedOn w:val="Normal"/>
    <w:next w:val="SNContreseing"/>
    <w:pPr>
      <w:spacing w:before="480" w:after="1680"/>
      <w:ind w:firstLine="720"/>
    </w:pPr>
  </w:style>
  <w:style w:type="paragraph" w:customStyle="1" w:styleId="SNContreseing">
    <w:name w:val="SNContreseing"/>
    <w:basedOn w:val="Normal"/>
    <w:next w:val="Normal"/>
    <w:pPr>
      <w:spacing w:before="480"/>
      <w:ind w:firstLine="720"/>
    </w:pPr>
  </w:style>
  <w:style w:type="paragraph" w:customStyle="1" w:styleId="SNActe">
    <w:name w:val="SNActe"/>
    <w:basedOn w:val="Normal"/>
    <w:pPr>
      <w:spacing w:before="480" w:after="360"/>
      <w:jc w:val="center"/>
    </w:pPr>
    <w:rPr>
      <w:b/>
    </w:rPr>
  </w:style>
  <w:style w:type="paragraph" w:customStyle="1" w:styleId="SNArticle">
    <w:name w:val="SNArticle"/>
    <w:basedOn w:val="Normal"/>
    <w:next w:val="Corpsdetexte"/>
    <w:rsid w:val="009B7FA5"/>
    <w:pPr>
      <w:spacing w:before="120" w:after="120"/>
      <w:jc w:val="center"/>
    </w:pPr>
    <w:rPr>
      <w:b/>
    </w:rPr>
  </w:style>
  <w:style w:type="paragraph" w:customStyle="1" w:styleId="SNConsidrant">
    <w:name w:val="SNConsidérant"/>
    <w:basedOn w:val="Normal"/>
    <w:pPr>
      <w:ind w:firstLine="720"/>
    </w:pPr>
  </w:style>
  <w:style w:type="paragraph" w:customStyle="1" w:styleId="SNConsultationCE">
    <w:name w:val="SNConsultationCE"/>
    <w:basedOn w:val="SNConsultation"/>
  </w:style>
  <w:style w:type="paragraph" w:customStyle="1" w:styleId="SNConsultationCM">
    <w:name w:val="SNConsultationCM"/>
    <w:basedOn w:val="SNConsultation"/>
  </w:style>
  <w:style w:type="paragraph" w:customStyle="1" w:styleId="SNDirection">
    <w:name w:val="SNDirection"/>
    <w:basedOn w:val="Normal"/>
    <w:pPr>
      <w:spacing w:before="720"/>
      <w:jc w:val="center"/>
    </w:pPr>
    <w:rPr>
      <w:b/>
    </w:rPr>
  </w:style>
  <w:style w:type="paragraph" w:customStyle="1" w:styleId="SNIntitul">
    <w:name w:val="SNIntitulé"/>
    <w:basedOn w:val="Normal"/>
    <w:pPr>
      <w:jc w:val="center"/>
    </w:pPr>
  </w:style>
  <w:style w:type="paragraph" w:customStyle="1" w:styleId="Titre1objet">
    <w:name w:val="Titre 1 objet"/>
    <w:basedOn w:val="Titre1"/>
    <w:next w:val="Normal"/>
    <w:pPr>
      <w:numPr>
        <w:numId w:val="0"/>
      </w:numPr>
      <w:spacing w:before="0" w:after="120"/>
    </w:pPr>
    <w:rPr>
      <w:b/>
    </w:rPr>
  </w:style>
  <w:style w:type="paragraph" w:customStyle="1" w:styleId="SNExcution">
    <w:name w:val="SNExécution"/>
    <w:basedOn w:val="Normal"/>
  </w:style>
  <w:style w:type="paragraph" w:customStyle="1" w:styleId="SNLibell">
    <w:name w:val="SNLibellé"/>
    <w:basedOn w:val="Normal"/>
  </w:style>
  <w:style w:type="paragraph" w:customStyle="1" w:styleId="SNRfrence">
    <w:name w:val="SNRéférence"/>
    <w:basedOn w:val="Normal"/>
  </w:style>
  <w:style w:type="paragraph" w:styleId="Textedebulles">
    <w:name w:val="Balloon Text"/>
    <w:basedOn w:val="Normal"/>
    <w:rPr>
      <w:rFonts w:ascii="Tahoma" w:hAnsi="Tahoma" w:cs="Tahoma"/>
      <w:sz w:val="16"/>
      <w:szCs w:val="16"/>
    </w:rPr>
  </w:style>
  <w:style w:type="paragraph" w:customStyle="1" w:styleId="Titre2objet">
    <w:name w:val="Titre 2 objet"/>
    <w:basedOn w:val="Titre2"/>
    <w:pPr>
      <w:numPr>
        <w:ilvl w:val="0"/>
        <w:numId w:val="0"/>
      </w:numPr>
      <w:spacing w:before="0" w:after="120"/>
    </w:pPr>
    <w:rPr>
      <w:b/>
    </w:rPr>
  </w:style>
  <w:style w:type="paragraph" w:customStyle="1" w:styleId="Style1">
    <w:name w:val="Style1"/>
    <w:basedOn w:val="Titre3"/>
    <w:next w:val="Normal"/>
    <w:pPr>
      <w:numPr>
        <w:ilvl w:val="0"/>
        <w:numId w:val="0"/>
      </w:numPr>
      <w:spacing w:before="0" w:after="120"/>
    </w:pPr>
    <w:rPr>
      <w:b/>
    </w:rPr>
  </w:style>
  <w:style w:type="paragraph" w:customStyle="1" w:styleId="Titre3objet">
    <w:name w:val="Titre 3 objet"/>
    <w:basedOn w:val="Titre3"/>
    <w:next w:val="Normal"/>
    <w:pPr>
      <w:numPr>
        <w:ilvl w:val="0"/>
        <w:numId w:val="0"/>
      </w:numPr>
      <w:spacing w:before="0" w:after="120"/>
    </w:pPr>
    <w:rPr>
      <w:b/>
    </w:rPr>
  </w:style>
  <w:style w:type="paragraph" w:styleId="Retraitcorpsdetexte">
    <w:name w:val="Body Text Indent"/>
    <w:basedOn w:val="Normal"/>
    <w:pPr>
      <w:tabs>
        <w:tab w:val="left" w:pos="567"/>
        <w:tab w:val="left" w:pos="1134"/>
      </w:tabs>
      <w:spacing w:line="240" w:lineRule="exact"/>
      <w:ind w:left="567"/>
      <w:jc w:val="both"/>
    </w:pPr>
    <w:rPr>
      <w:rFonts w:ascii="Arial" w:hAnsi="Arial" w:cs="Arial"/>
      <w:szCs w:val="20"/>
    </w:rPr>
  </w:style>
  <w:style w:type="paragraph" w:customStyle="1" w:styleId="SNSignatureGauche">
    <w:name w:val="SNSignatureGauche"/>
    <w:basedOn w:val="Normal"/>
    <w:next w:val="Normal"/>
    <w:pPr>
      <w:spacing w:before="240" w:after="480"/>
      <w:ind w:firstLine="720"/>
    </w:pPr>
  </w:style>
  <w:style w:type="paragraph" w:customStyle="1" w:styleId="SNSignatureDroite">
    <w:name w:val="SNSignatureDroite"/>
    <w:basedOn w:val="Normal"/>
    <w:next w:val="SNSignatureGauche"/>
    <w:pPr>
      <w:spacing w:before="240" w:after="480"/>
      <w:jc w:val="right"/>
    </w:pPr>
  </w:style>
  <w:style w:type="paragraph" w:customStyle="1" w:styleId="Corpsdetexte21">
    <w:name w:val="Corps de texte 21"/>
    <w:basedOn w:val="Normal"/>
    <w:pPr>
      <w:widowControl w:val="0"/>
      <w:autoSpaceDE w:val="0"/>
    </w:pPr>
    <w:rPr>
      <w:rFonts w:ascii="Arial" w:hAnsi="Arial" w:cs="Arial"/>
      <w:sz w:val="20"/>
    </w:rPr>
  </w:style>
  <w:style w:type="paragraph" w:customStyle="1" w:styleId="Normal1">
    <w:name w:val="Normal1"/>
    <w:pPr>
      <w:suppressAutoHyphens/>
      <w:autoSpaceDE w:val="0"/>
    </w:pPr>
    <w:rPr>
      <w:color w:val="000000"/>
      <w:sz w:val="24"/>
      <w:szCs w:val="24"/>
      <w:lang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M76">
    <w:name w:val="CM76"/>
    <w:basedOn w:val="Normal"/>
    <w:next w:val="Normal"/>
    <w:rsid w:val="00367CC0"/>
    <w:pPr>
      <w:widowControl w:val="0"/>
      <w:autoSpaceDE w:val="0"/>
      <w:spacing w:after="275"/>
    </w:pPr>
    <w:rPr>
      <w:lang w:bidi="fr-FR"/>
    </w:rPr>
  </w:style>
  <w:style w:type="paragraph" w:customStyle="1" w:styleId="CM75">
    <w:name w:val="CM75"/>
    <w:basedOn w:val="Normal"/>
    <w:next w:val="Normal"/>
    <w:rsid w:val="007728EA"/>
    <w:pPr>
      <w:widowControl w:val="0"/>
      <w:autoSpaceDE w:val="0"/>
      <w:spacing w:after="550"/>
    </w:pPr>
    <w:rPr>
      <w:lang w:bidi="fr-FR"/>
    </w:rPr>
  </w:style>
  <w:style w:type="paragraph" w:customStyle="1" w:styleId="Default">
    <w:name w:val="Default"/>
    <w:rsid w:val="00220774"/>
    <w:pPr>
      <w:widowControl w:val="0"/>
      <w:suppressAutoHyphens/>
      <w:autoSpaceDE w:val="0"/>
    </w:pPr>
    <w:rPr>
      <w:color w:val="000000"/>
      <w:sz w:val="24"/>
      <w:szCs w:val="24"/>
      <w:lang w:bidi="fr-FR"/>
    </w:rPr>
  </w:style>
  <w:style w:type="paragraph" w:customStyle="1" w:styleId="CM4">
    <w:name w:val="CM4"/>
    <w:basedOn w:val="Default"/>
    <w:next w:val="Default"/>
    <w:rsid w:val="00972EAC"/>
    <w:pPr>
      <w:spacing w:line="278" w:lineRule="atLeast"/>
    </w:pPr>
    <w:rPr>
      <w:color w:val="auto"/>
    </w:rPr>
  </w:style>
  <w:style w:type="paragraph" w:customStyle="1" w:styleId="Contenudecadre">
    <w:name w:val="Contenu de cadre"/>
    <w:basedOn w:val="Corpsdetexte"/>
    <w:rsid w:val="002773DB"/>
    <w:pPr>
      <w:widowControl w:val="0"/>
      <w:spacing w:after="0"/>
      <w:jc w:val="center"/>
    </w:pPr>
    <w:rPr>
      <w:rFonts w:ascii="Arial" w:eastAsia="Arial" w:hAnsi="Arial" w:cs="Arial"/>
      <w:sz w:val="28"/>
      <w:szCs w:val="28"/>
      <w:lang w:bidi="fr-FR"/>
    </w:rPr>
  </w:style>
  <w:style w:type="paragraph" w:customStyle="1" w:styleId="CM79">
    <w:name w:val="CM79"/>
    <w:basedOn w:val="Default"/>
    <w:next w:val="Default"/>
    <w:rsid w:val="0081579C"/>
    <w:pPr>
      <w:spacing w:after="633"/>
    </w:pPr>
    <w:rPr>
      <w:color w:val="auto"/>
    </w:rPr>
  </w:style>
  <w:style w:type="table" w:styleId="Grilledutableau">
    <w:name w:val="Table Grid"/>
    <w:basedOn w:val="TableauNormal"/>
    <w:rsid w:val="004F1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15F52"/>
    <w:rPr>
      <w:sz w:val="20"/>
      <w:szCs w:val="20"/>
    </w:rPr>
  </w:style>
  <w:style w:type="character" w:customStyle="1" w:styleId="NotedebasdepageCar">
    <w:name w:val="Note de bas de page Car"/>
    <w:basedOn w:val="Policepardfaut"/>
    <w:link w:val="Notedebasdepage"/>
    <w:rsid w:val="00715F52"/>
    <w:rPr>
      <w:lang w:eastAsia="zh-CN"/>
    </w:rPr>
  </w:style>
  <w:style w:type="character" w:styleId="Appelnotedebasdep">
    <w:name w:val="footnote reference"/>
    <w:uiPriority w:val="99"/>
    <w:rsid w:val="00715F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solon.dot</Template>
  <TotalTime>2</TotalTime>
  <Pages>4</Pages>
  <Words>1211</Words>
  <Characters>6666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Actualisé Post CSPRT 2021-12-14_TREP22yyyyyA_Arrêté RPM_Nitrates.docx</vt:lpstr>
    </vt:vector>
  </TitlesOfParts>
  <Company>MEEM</Company>
  <LinksUpToDate>false</LinksUpToDate>
  <CharactersWithSpaces>7862</CharactersWithSpaces>
  <SharedDoc>false</SharedDoc>
  <HLinks>
    <vt:vector size="12" baseType="variant">
      <vt:variant>
        <vt:i4>786515</vt:i4>
      </vt:variant>
      <vt:variant>
        <vt:i4>3</vt:i4>
      </vt:variant>
      <vt:variant>
        <vt:i4>0</vt:i4>
      </vt:variant>
      <vt:variant>
        <vt:i4>5</vt:i4>
      </vt:variant>
      <vt:variant>
        <vt:lpwstr>http://lngbunkering.org/lng/bunker-checklists</vt:lpwstr>
      </vt:variant>
      <vt:variant>
        <vt:lpwstr/>
      </vt:variant>
      <vt:variant>
        <vt:i4>3801195</vt:i4>
      </vt:variant>
      <vt:variant>
        <vt:i4>0</vt:i4>
      </vt:variant>
      <vt:variant>
        <vt:i4>0</vt:i4>
      </vt:variant>
      <vt:variant>
        <vt:i4>5</vt:i4>
      </vt:variant>
      <vt:variant>
        <vt:lpwstr>http://www.legifrance.gouv.fr/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Actualisé Post CSPRT 2021-12-14_TREP22yyyyyA_Arrêté RPM_Nitrates.docx</dc:title>
  <dc:subject/>
  <dc:creator>Pierre Dufour</dc:creator>
  <cp:keywords/>
  <cp:lastModifiedBy>RUEL Delphine</cp:lastModifiedBy>
  <cp:revision>3</cp:revision>
  <cp:lastPrinted>2020-11-17T17:47:00Z</cp:lastPrinted>
  <dcterms:created xsi:type="dcterms:W3CDTF">2021-12-17T13:40:00Z</dcterms:created>
  <dcterms:modified xsi:type="dcterms:W3CDTF">2021-12-17T13:42:00Z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-1229204116</vt:i4>
  </property>
  <property fmtid="{D5CDD505-2E9C-101B-9397-08002B2CF9AE}" pid="3" name="_AuthorEmail">
    <vt:lpwstr>stephane.bouchard@sgg.pm.gouv.fr</vt:lpwstr>
  </property>
  <property fmtid="{D5CDD505-2E9C-101B-9397-08002B2CF9AE}" pid="4" name="_AuthorEmailDisplayName">
    <vt:lpwstr>BOUCHARD Stephane</vt:lpwstr>
  </property>
  <property fmtid="{D5CDD505-2E9C-101B-9397-08002B2CF9AE}" pid="5" name="_EmailSubject">
    <vt:lpwstr>Feuilles de style définitives</vt:lpwstr>
  </property>
  <property fmtid="{D5CDD505-2E9C-101B-9397-08002B2CF9AE}" pid="6" name="_ReviewingToolsShownOnce">
    <vt:lpwstr/>
  </property>
</Properties>
</file>