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40" w:type="dxa"/>
        <w:tblLayout w:type="fixed"/>
        <w:tblCellMar>
          <w:top w:w="57" w:type="dxa"/>
          <w:left w:w="57" w:type="dxa"/>
          <w:bottom w:w="57" w:type="dxa"/>
          <w:right w:w="57" w:type="dxa"/>
        </w:tblCellMar>
        <w:tblLook w:val="0000" w:firstRow="0" w:lastRow="0" w:firstColumn="0" w:lastColumn="0" w:noHBand="0" w:noVBand="0"/>
      </w:tblPr>
      <w:tblGrid>
        <w:gridCol w:w="1526"/>
        <w:gridCol w:w="967"/>
        <w:gridCol w:w="1647"/>
      </w:tblGrid>
      <w:tr w:rsidR="00CA6F50" w14:paraId="613C2A96" w14:textId="77777777">
        <w:trPr>
          <w:trHeight w:val="368"/>
        </w:trPr>
        <w:tc>
          <w:tcPr>
            <w:tcW w:w="4140" w:type="dxa"/>
            <w:gridSpan w:val="3"/>
            <w:shd w:val="clear" w:color="auto" w:fill="auto"/>
          </w:tcPr>
          <w:p w14:paraId="1FA3929C" w14:textId="2A9DC3DE" w:rsidR="00CA6F50" w:rsidRDefault="008B5293">
            <w:r>
              <w:rPr>
                <w:sz w:val="22"/>
              </w:rPr>
              <w:t>RÉPUBLIQUE FRANÇAISE</w:t>
            </w:r>
          </w:p>
        </w:tc>
      </w:tr>
      <w:tr w:rsidR="00CA6F50" w14:paraId="6695DCF9" w14:textId="77777777">
        <w:trPr>
          <w:trHeight w:hRule="exact" w:val="113"/>
        </w:trPr>
        <w:tc>
          <w:tcPr>
            <w:tcW w:w="1526" w:type="dxa"/>
            <w:shd w:val="clear" w:color="auto" w:fill="auto"/>
          </w:tcPr>
          <w:p w14:paraId="5C3A9402" w14:textId="77777777" w:rsidR="00CA6F50" w:rsidRDefault="00CA6F50">
            <w:pPr>
              <w:snapToGrid w:val="0"/>
              <w:jc w:val="both"/>
              <w:rPr>
                <w:sz w:val="22"/>
              </w:rPr>
            </w:pPr>
          </w:p>
        </w:tc>
        <w:tc>
          <w:tcPr>
            <w:tcW w:w="967" w:type="dxa"/>
            <w:tcBorders>
              <w:bottom w:val="single" w:sz="2" w:space="0" w:color="000000"/>
            </w:tcBorders>
            <w:shd w:val="clear" w:color="auto" w:fill="auto"/>
          </w:tcPr>
          <w:p w14:paraId="4E4CF08F" w14:textId="77777777" w:rsidR="00CA6F50" w:rsidRDefault="00CA6F50">
            <w:pPr>
              <w:snapToGrid w:val="0"/>
              <w:rPr>
                <w:sz w:val="22"/>
              </w:rPr>
            </w:pPr>
          </w:p>
        </w:tc>
        <w:tc>
          <w:tcPr>
            <w:tcW w:w="1647" w:type="dxa"/>
            <w:shd w:val="clear" w:color="auto" w:fill="auto"/>
          </w:tcPr>
          <w:p w14:paraId="78B58400" w14:textId="77777777" w:rsidR="00CA6F50" w:rsidRDefault="00CA6F50">
            <w:pPr>
              <w:snapToGrid w:val="0"/>
              <w:jc w:val="both"/>
              <w:rPr>
                <w:sz w:val="22"/>
              </w:rPr>
            </w:pPr>
          </w:p>
        </w:tc>
      </w:tr>
      <w:tr w:rsidR="00CA6F50" w14:paraId="44665378" w14:textId="77777777">
        <w:tc>
          <w:tcPr>
            <w:tcW w:w="4140" w:type="dxa"/>
            <w:gridSpan w:val="3"/>
            <w:shd w:val="clear" w:color="auto" w:fill="auto"/>
          </w:tcPr>
          <w:p w14:paraId="1E4B28BB" w14:textId="4E5C5F88" w:rsidR="00CA6F50" w:rsidRDefault="00AA4857">
            <w:pPr>
              <w:rPr>
                <w:b/>
              </w:rPr>
            </w:pPr>
            <w:r w:rsidRPr="00AA4857">
              <w:rPr>
                <w:sz w:val="22"/>
              </w:rPr>
              <w:t xml:space="preserve">Ministère </w:t>
            </w:r>
            <w:r w:rsidR="00BA01C9" w:rsidRPr="00BA01C9">
              <w:rPr>
                <w:sz w:val="22"/>
              </w:rPr>
              <w:t>de la transition écologique, de la biodiversité, de la forêt, de la mer et de la pêche</w:t>
            </w:r>
          </w:p>
        </w:tc>
      </w:tr>
    </w:tbl>
    <w:p w14:paraId="249CEBA7" w14:textId="77777777" w:rsidR="00CA6F50" w:rsidRDefault="00CA6F50">
      <w:pPr>
        <w:jc w:val="both"/>
        <w:rPr>
          <w:sz w:val="22"/>
        </w:rPr>
      </w:pPr>
    </w:p>
    <w:p w14:paraId="33091CF7" w14:textId="77777777" w:rsidR="00CA6F50" w:rsidRDefault="008B5293" w:rsidP="0095262F">
      <w:pPr>
        <w:pStyle w:val="SNNature"/>
        <w:rPr>
          <w:szCs w:val="24"/>
        </w:rPr>
      </w:pPr>
      <w:r>
        <w:rPr>
          <w:szCs w:val="24"/>
        </w:rPr>
        <w:t>Arrêté du</w:t>
      </w:r>
    </w:p>
    <w:p w14:paraId="4DF509A0" w14:textId="7F6EBEBA" w:rsidR="0095262F" w:rsidRDefault="0095262F" w:rsidP="0095262F">
      <w:pPr>
        <w:pStyle w:val="SNNature"/>
        <w:rPr>
          <w:szCs w:val="24"/>
        </w:rPr>
      </w:pPr>
      <w:r>
        <w:rPr>
          <w:szCs w:val="24"/>
        </w:rPr>
        <w:t xml:space="preserve">relatif aux prescriptions générales applicables aux installations relevant </w:t>
      </w:r>
      <w:r w:rsidR="00701871">
        <w:rPr>
          <w:szCs w:val="24"/>
        </w:rPr>
        <w:t>d</w:t>
      </w:r>
      <w:r>
        <w:rPr>
          <w:szCs w:val="24"/>
        </w:rPr>
        <w:t>e la rubrique n° 36</w:t>
      </w:r>
      <w:r w:rsidR="00FD060C">
        <w:rPr>
          <w:szCs w:val="24"/>
        </w:rPr>
        <w:t>50</w:t>
      </w:r>
      <w:r>
        <w:rPr>
          <w:szCs w:val="24"/>
        </w:rPr>
        <w:t xml:space="preserve"> </w:t>
      </w:r>
      <w:r w:rsidRPr="006E4A85">
        <w:rPr>
          <w:szCs w:val="24"/>
        </w:rPr>
        <w:t>ou</w:t>
      </w:r>
      <w:r w:rsidR="00701871">
        <w:rPr>
          <w:szCs w:val="24"/>
        </w:rPr>
        <w:t xml:space="preserve"> n°</w:t>
      </w:r>
      <w:r w:rsidRPr="006E4A85">
        <w:rPr>
          <w:szCs w:val="24"/>
        </w:rPr>
        <w:t xml:space="preserve"> 3710 pour lesquelles la charge polluante principale provient d’une ou plusieurs installations relevant de la rubrique </w:t>
      </w:r>
      <w:r w:rsidR="006B245C">
        <w:rPr>
          <w:szCs w:val="24"/>
        </w:rPr>
        <w:t>n° </w:t>
      </w:r>
      <w:r w:rsidRPr="006E4A85">
        <w:rPr>
          <w:szCs w:val="24"/>
        </w:rPr>
        <w:t>36</w:t>
      </w:r>
      <w:r w:rsidR="00A44D2E">
        <w:rPr>
          <w:szCs w:val="24"/>
        </w:rPr>
        <w:t>50</w:t>
      </w:r>
      <w:r w:rsidRPr="008B3A3A">
        <w:rPr>
          <w:sz w:val="20"/>
        </w:rPr>
        <w:t xml:space="preserve"> </w:t>
      </w:r>
      <w:r>
        <w:rPr>
          <w:szCs w:val="24"/>
        </w:rPr>
        <w:t>de la nomenclature des installations classées pour la protection de l'environnement</w:t>
      </w:r>
    </w:p>
    <w:p w14:paraId="132BB45A" w14:textId="7C26B0EB" w:rsidR="00CA6F50" w:rsidRDefault="008B5293">
      <w:pPr>
        <w:jc w:val="center"/>
        <w:rPr>
          <w:b/>
          <w:bCs/>
          <w:szCs w:val="24"/>
        </w:rPr>
      </w:pPr>
      <w:r>
        <w:rPr>
          <w:b/>
          <w:bCs/>
          <w:szCs w:val="24"/>
        </w:rPr>
        <w:t xml:space="preserve">NOR : </w:t>
      </w:r>
      <w:r w:rsidR="00A21EEE" w:rsidRPr="00A21EEE">
        <w:rPr>
          <w:b/>
          <w:bCs/>
          <w:szCs w:val="24"/>
        </w:rPr>
        <w:t>TECP2435206A</w:t>
      </w:r>
    </w:p>
    <w:p w14:paraId="0EB29BAB" w14:textId="77777777" w:rsidR="00CA6F50" w:rsidRPr="00915DEF" w:rsidRDefault="00CA6F50">
      <w:pPr>
        <w:jc w:val="both"/>
        <w:rPr>
          <w:b/>
          <w:bCs/>
          <w:szCs w:val="24"/>
        </w:rPr>
      </w:pPr>
    </w:p>
    <w:p w14:paraId="750AA0B9" w14:textId="4E53308C" w:rsidR="00CA6F50" w:rsidRPr="00915DEF" w:rsidRDefault="008B5293">
      <w:pPr>
        <w:jc w:val="both"/>
        <w:rPr>
          <w:i/>
          <w:iCs/>
          <w:szCs w:val="24"/>
        </w:rPr>
      </w:pPr>
      <w:r w:rsidRPr="00915DEF">
        <w:rPr>
          <w:b/>
          <w:bCs/>
          <w:i/>
          <w:iCs/>
          <w:szCs w:val="24"/>
        </w:rPr>
        <w:t>Publics concernés :</w:t>
      </w:r>
      <w:r w:rsidRPr="00915DEF">
        <w:rPr>
          <w:i/>
          <w:iCs/>
          <w:szCs w:val="24"/>
        </w:rPr>
        <w:t xml:space="preserve"> </w:t>
      </w:r>
      <w:bookmarkStart w:id="0" w:name="_Hlk169857779"/>
      <w:bookmarkStart w:id="1" w:name="_Hlk169857748"/>
      <w:r w:rsidRPr="00915DEF">
        <w:rPr>
          <w:i/>
          <w:szCs w:val="24"/>
        </w:rPr>
        <w:t xml:space="preserve">les exploitants </w:t>
      </w:r>
      <w:r w:rsidRPr="00915DEF">
        <w:rPr>
          <w:i/>
          <w:iCs/>
          <w:szCs w:val="24"/>
        </w:rPr>
        <w:t xml:space="preserve">d'installations classées pour la protection de l’environnement (ICPE) relevant </w:t>
      </w:r>
      <w:r w:rsidR="00F34886" w:rsidRPr="00F34886">
        <w:rPr>
          <w:i/>
          <w:iCs/>
          <w:szCs w:val="24"/>
        </w:rPr>
        <w:t>du régime de l'autorisation au titre</w:t>
      </w:r>
      <w:r w:rsidR="00F34886">
        <w:rPr>
          <w:rStyle w:val="Policepardfaut1"/>
          <w:i/>
          <w:iCs/>
          <w:sz w:val="22"/>
          <w:szCs w:val="24"/>
        </w:rPr>
        <w:t xml:space="preserve"> </w:t>
      </w:r>
      <w:r w:rsidRPr="00915DEF">
        <w:rPr>
          <w:i/>
          <w:iCs/>
          <w:szCs w:val="24"/>
        </w:rPr>
        <w:t>de la rubrique</w:t>
      </w:r>
      <w:r w:rsidR="00F34886">
        <w:rPr>
          <w:i/>
          <w:iCs/>
          <w:szCs w:val="24"/>
        </w:rPr>
        <w:t xml:space="preserve"> n°</w:t>
      </w:r>
      <w:r w:rsidR="009675A3">
        <w:rPr>
          <w:i/>
          <w:iCs/>
          <w:szCs w:val="24"/>
        </w:rPr>
        <w:t> </w:t>
      </w:r>
      <w:r w:rsidR="00F34886" w:rsidRPr="00915DEF">
        <w:rPr>
          <w:i/>
          <w:iCs/>
          <w:szCs w:val="24"/>
        </w:rPr>
        <w:t>3650</w:t>
      </w:r>
      <w:r w:rsidR="00380CDB" w:rsidRPr="00915DEF">
        <w:rPr>
          <w:i/>
          <w:iCs/>
          <w:szCs w:val="24"/>
        </w:rPr>
        <w:t xml:space="preserve"> </w:t>
      </w:r>
      <w:r w:rsidR="00F359D0" w:rsidRPr="00915DEF">
        <w:rPr>
          <w:i/>
          <w:iCs/>
          <w:szCs w:val="24"/>
        </w:rPr>
        <w:t xml:space="preserve">dénommée « Elimination ou recyclage de carcasses ou </w:t>
      </w:r>
      <w:r w:rsidR="00520317" w:rsidRPr="00520317">
        <w:rPr>
          <w:i/>
          <w:iCs/>
          <w:szCs w:val="24"/>
        </w:rPr>
        <w:t>de sous-produits animaux</w:t>
      </w:r>
      <w:r w:rsidR="00D03987">
        <w:rPr>
          <w:i/>
          <w:iCs/>
          <w:szCs w:val="24"/>
        </w:rPr>
        <w:t> </w:t>
      </w:r>
      <w:r w:rsidR="00F359D0">
        <w:rPr>
          <w:i/>
          <w:iCs/>
          <w:szCs w:val="24"/>
        </w:rPr>
        <w:t>»</w:t>
      </w:r>
      <w:r w:rsidR="00F359D0" w:rsidRPr="00915DEF">
        <w:rPr>
          <w:i/>
          <w:iCs/>
          <w:szCs w:val="24"/>
        </w:rPr>
        <w:t xml:space="preserve"> </w:t>
      </w:r>
      <w:r w:rsidR="00380CDB" w:rsidRPr="00915DEF">
        <w:rPr>
          <w:i/>
          <w:iCs/>
          <w:szCs w:val="24"/>
        </w:rPr>
        <w:t xml:space="preserve">ou </w:t>
      </w:r>
      <w:r w:rsidR="00F359D0">
        <w:rPr>
          <w:i/>
          <w:iCs/>
          <w:szCs w:val="24"/>
        </w:rPr>
        <w:t>n°</w:t>
      </w:r>
      <w:r w:rsidR="009675A3">
        <w:rPr>
          <w:i/>
          <w:iCs/>
          <w:szCs w:val="24"/>
        </w:rPr>
        <w:t> </w:t>
      </w:r>
      <w:r w:rsidR="00380CDB" w:rsidRPr="00915DEF">
        <w:rPr>
          <w:i/>
          <w:iCs/>
          <w:szCs w:val="24"/>
        </w:rPr>
        <w:t xml:space="preserve">3710 </w:t>
      </w:r>
      <w:r w:rsidR="00F34886" w:rsidRPr="009675A3">
        <w:rPr>
          <w:iCs/>
        </w:rPr>
        <w:t xml:space="preserve">dénommée </w:t>
      </w:r>
      <w:r w:rsidR="00F34886" w:rsidRPr="009675A3">
        <w:t>« Traitement des eaux résiduaires »</w:t>
      </w:r>
      <w:r w:rsidR="00EC3CEE" w:rsidRPr="00915DEF">
        <w:rPr>
          <w:i/>
          <w:iCs/>
          <w:szCs w:val="24"/>
        </w:rPr>
        <w:t xml:space="preserve"> </w:t>
      </w:r>
      <w:r w:rsidR="00380CDB" w:rsidRPr="00915DEF">
        <w:rPr>
          <w:i/>
          <w:iCs/>
          <w:szCs w:val="24"/>
        </w:rPr>
        <w:t xml:space="preserve">pour lesquelles la charge polluante principale provient d’une ou plusieurs installations relevant de la rubrique </w:t>
      </w:r>
      <w:r w:rsidR="003B24D7">
        <w:rPr>
          <w:i/>
          <w:iCs/>
          <w:szCs w:val="24"/>
        </w:rPr>
        <w:t>n°</w:t>
      </w:r>
      <w:r w:rsidR="009675A3">
        <w:rPr>
          <w:i/>
          <w:iCs/>
          <w:szCs w:val="24"/>
        </w:rPr>
        <w:t> </w:t>
      </w:r>
      <w:r w:rsidR="00380CDB" w:rsidRPr="00915DEF">
        <w:rPr>
          <w:i/>
          <w:iCs/>
          <w:szCs w:val="24"/>
        </w:rPr>
        <w:t>3650</w:t>
      </w:r>
      <w:bookmarkEnd w:id="0"/>
      <w:r w:rsidRPr="00915DEF">
        <w:rPr>
          <w:i/>
          <w:iCs/>
          <w:szCs w:val="24"/>
        </w:rPr>
        <w:t>.</w:t>
      </w:r>
      <w:bookmarkEnd w:id="1"/>
    </w:p>
    <w:p w14:paraId="097E154C" w14:textId="77777777" w:rsidR="00077D56" w:rsidRPr="00915DEF" w:rsidRDefault="00077D56">
      <w:pPr>
        <w:jc w:val="both"/>
        <w:rPr>
          <w:i/>
          <w:iCs/>
          <w:szCs w:val="24"/>
        </w:rPr>
      </w:pPr>
    </w:p>
    <w:p w14:paraId="1D7FD4D0" w14:textId="3625F324" w:rsidR="00CA6F50" w:rsidRPr="00915DEF" w:rsidRDefault="008B5293">
      <w:pPr>
        <w:jc w:val="both"/>
        <w:rPr>
          <w:i/>
          <w:iCs/>
          <w:szCs w:val="24"/>
        </w:rPr>
      </w:pPr>
      <w:r w:rsidRPr="00915DEF">
        <w:rPr>
          <w:b/>
          <w:bCs/>
          <w:i/>
          <w:iCs/>
          <w:szCs w:val="24"/>
        </w:rPr>
        <w:t>Objet :</w:t>
      </w:r>
      <w:r w:rsidRPr="00915DEF">
        <w:rPr>
          <w:i/>
          <w:iCs/>
          <w:szCs w:val="24"/>
        </w:rPr>
        <w:t xml:space="preserve"> </w:t>
      </w:r>
      <w:r w:rsidR="00077D56" w:rsidRPr="00915DEF">
        <w:rPr>
          <w:i/>
          <w:iCs/>
          <w:szCs w:val="24"/>
        </w:rPr>
        <w:t>: fixation des prescriptions générales applicables aux installations classées relevant du régime de l'autorisation au titre de la rubrique n°</w:t>
      </w:r>
      <w:r w:rsidR="009675A3">
        <w:rPr>
          <w:i/>
          <w:iCs/>
          <w:szCs w:val="24"/>
        </w:rPr>
        <w:t> </w:t>
      </w:r>
      <w:r w:rsidR="00380CDB" w:rsidRPr="00915DEF">
        <w:rPr>
          <w:i/>
          <w:iCs/>
          <w:szCs w:val="24"/>
        </w:rPr>
        <w:t xml:space="preserve">3650 ou </w:t>
      </w:r>
      <w:r w:rsidR="00F359D0">
        <w:rPr>
          <w:i/>
          <w:iCs/>
          <w:szCs w:val="24"/>
        </w:rPr>
        <w:t>n°</w:t>
      </w:r>
      <w:r w:rsidR="009675A3">
        <w:rPr>
          <w:i/>
          <w:iCs/>
          <w:szCs w:val="24"/>
        </w:rPr>
        <w:t> </w:t>
      </w:r>
      <w:r w:rsidR="00380CDB" w:rsidRPr="00915DEF">
        <w:rPr>
          <w:i/>
          <w:iCs/>
          <w:szCs w:val="24"/>
        </w:rPr>
        <w:t xml:space="preserve">3710 pour lesquelles la charge polluante principale provient d’une ou plusieurs installations relevant de la rubrique </w:t>
      </w:r>
      <w:r w:rsidR="009675A3">
        <w:rPr>
          <w:i/>
          <w:iCs/>
          <w:szCs w:val="24"/>
        </w:rPr>
        <w:t>n° </w:t>
      </w:r>
      <w:r w:rsidR="00380CDB" w:rsidRPr="00915DEF">
        <w:rPr>
          <w:i/>
          <w:iCs/>
          <w:szCs w:val="24"/>
        </w:rPr>
        <w:t>3650</w:t>
      </w:r>
      <w:r w:rsidR="00077D56" w:rsidRPr="00915DEF">
        <w:rPr>
          <w:i/>
          <w:iCs/>
          <w:szCs w:val="24"/>
        </w:rPr>
        <w:t xml:space="preserve"> </w:t>
      </w:r>
      <w:bookmarkStart w:id="2" w:name="_Hlk180153104"/>
      <w:r w:rsidR="00077D56" w:rsidRPr="00915DEF">
        <w:rPr>
          <w:i/>
          <w:iCs/>
          <w:szCs w:val="24"/>
        </w:rPr>
        <w:t>de la nomenclature des installations classées pour la protection de l’environnement</w:t>
      </w:r>
      <w:bookmarkEnd w:id="2"/>
      <w:r w:rsidR="00077D56" w:rsidRPr="00915DEF">
        <w:rPr>
          <w:i/>
          <w:iCs/>
          <w:szCs w:val="24"/>
        </w:rPr>
        <w:t>.</w:t>
      </w:r>
    </w:p>
    <w:p w14:paraId="4C13FB64" w14:textId="77777777" w:rsidR="00CA6F50" w:rsidRPr="00915DEF" w:rsidRDefault="00CA6F50">
      <w:pPr>
        <w:jc w:val="both"/>
        <w:rPr>
          <w:b/>
          <w:bCs/>
          <w:i/>
          <w:iCs/>
          <w:szCs w:val="24"/>
        </w:rPr>
      </w:pPr>
    </w:p>
    <w:p w14:paraId="359FFE46" w14:textId="7796E3D0" w:rsidR="00CA6F50" w:rsidRPr="00915DEF" w:rsidRDefault="008B5293">
      <w:pPr>
        <w:jc w:val="both"/>
        <w:rPr>
          <w:szCs w:val="24"/>
        </w:rPr>
      </w:pPr>
      <w:r w:rsidRPr="00915DEF">
        <w:rPr>
          <w:b/>
          <w:bCs/>
          <w:i/>
          <w:iCs/>
          <w:szCs w:val="24"/>
        </w:rPr>
        <w:t>Entrée en vigueur :</w:t>
      </w:r>
      <w:r w:rsidR="00090106" w:rsidRPr="00915DEF">
        <w:rPr>
          <w:b/>
          <w:bCs/>
          <w:i/>
          <w:iCs/>
          <w:szCs w:val="24"/>
        </w:rPr>
        <w:t xml:space="preserve"> </w:t>
      </w:r>
      <w:bookmarkStart w:id="3" w:name="_Hlk169857895"/>
      <w:r w:rsidR="00090B84" w:rsidRPr="00090B84">
        <w:rPr>
          <w:i/>
          <w:iCs/>
          <w:szCs w:val="24"/>
        </w:rPr>
        <w:t>p</w:t>
      </w:r>
      <w:r w:rsidR="00090B84" w:rsidRPr="00090B84">
        <w:rPr>
          <w:i/>
          <w:szCs w:val="24"/>
        </w:rPr>
        <w:t>o</w:t>
      </w:r>
      <w:r w:rsidR="00090B84" w:rsidRPr="00915DEF">
        <w:rPr>
          <w:i/>
          <w:szCs w:val="24"/>
        </w:rPr>
        <w:t>ur les nouvelles installations, l'arrêté est applicable dès leur mise en service.</w:t>
      </w:r>
      <w:r w:rsidR="00090B84">
        <w:rPr>
          <w:i/>
          <w:szCs w:val="24"/>
        </w:rPr>
        <w:t xml:space="preserve"> P</w:t>
      </w:r>
      <w:r w:rsidR="00565134" w:rsidRPr="00915DEF">
        <w:rPr>
          <w:i/>
          <w:szCs w:val="24"/>
        </w:rPr>
        <w:t xml:space="preserve">our les installations existantes, </w:t>
      </w:r>
      <w:r w:rsidR="00090B84">
        <w:rPr>
          <w:i/>
          <w:szCs w:val="24"/>
        </w:rPr>
        <w:t xml:space="preserve">les dispositions relatives aux meilleures techniques disponibles </w:t>
      </w:r>
      <w:r w:rsidR="00565134" w:rsidRPr="00915DEF">
        <w:rPr>
          <w:i/>
          <w:szCs w:val="24"/>
        </w:rPr>
        <w:t>entre</w:t>
      </w:r>
      <w:r w:rsidR="00090B84">
        <w:rPr>
          <w:i/>
          <w:szCs w:val="24"/>
        </w:rPr>
        <w:t>nt</w:t>
      </w:r>
      <w:r w:rsidR="00565134" w:rsidRPr="00915DEF">
        <w:rPr>
          <w:i/>
          <w:szCs w:val="24"/>
        </w:rPr>
        <w:t xml:space="preserve"> en vigueur quatre ans après la parution au Journal officiel de l'Union européenne de la décision d'exécution</w:t>
      </w:r>
      <w:r w:rsidR="00174401">
        <w:rPr>
          <w:i/>
          <w:szCs w:val="24"/>
        </w:rPr>
        <w:t xml:space="preserve"> </w:t>
      </w:r>
      <w:r w:rsidR="005E0437">
        <w:rPr>
          <w:i/>
          <w:szCs w:val="24"/>
        </w:rPr>
        <w:t>n° </w:t>
      </w:r>
      <w:r w:rsidR="00C64F4B" w:rsidRPr="00915DEF">
        <w:rPr>
          <w:i/>
          <w:szCs w:val="24"/>
        </w:rPr>
        <w:t>2023/2749</w:t>
      </w:r>
      <w:r w:rsidR="00565134" w:rsidRPr="00915DEF">
        <w:rPr>
          <w:i/>
          <w:szCs w:val="24"/>
        </w:rPr>
        <w:t xml:space="preserve"> établissant les conclusions sur les meilleures techniques disponibles prévues à l'article R.</w:t>
      </w:r>
      <w:r w:rsidR="00D03987">
        <w:rPr>
          <w:i/>
          <w:szCs w:val="24"/>
        </w:rPr>
        <w:t> </w:t>
      </w:r>
      <w:r w:rsidR="00565134" w:rsidRPr="00915DEF">
        <w:rPr>
          <w:i/>
          <w:szCs w:val="24"/>
        </w:rPr>
        <w:t xml:space="preserve">515-61 </w:t>
      </w:r>
      <w:bookmarkStart w:id="4" w:name="_Hlk180153142"/>
      <w:r w:rsidR="00EC3CEE">
        <w:rPr>
          <w:i/>
          <w:szCs w:val="24"/>
        </w:rPr>
        <w:t xml:space="preserve">du code de l’environnement </w:t>
      </w:r>
      <w:bookmarkEnd w:id="4"/>
      <w:r w:rsidR="00565134" w:rsidRPr="00915DEF">
        <w:rPr>
          <w:i/>
          <w:szCs w:val="24"/>
        </w:rPr>
        <w:t>soit le 1</w:t>
      </w:r>
      <w:r w:rsidR="00090B84">
        <w:rPr>
          <w:i/>
          <w:szCs w:val="24"/>
        </w:rPr>
        <w:t>9</w:t>
      </w:r>
      <w:r w:rsidR="00565134" w:rsidRPr="00915DEF">
        <w:rPr>
          <w:i/>
          <w:szCs w:val="24"/>
        </w:rPr>
        <w:t xml:space="preserve"> décembre 202</w:t>
      </w:r>
      <w:r w:rsidR="00090B84">
        <w:rPr>
          <w:i/>
          <w:szCs w:val="24"/>
        </w:rPr>
        <w:t>7</w:t>
      </w:r>
      <w:bookmarkEnd w:id="3"/>
      <w:r w:rsidR="00090B84">
        <w:rPr>
          <w:i/>
          <w:szCs w:val="24"/>
        </w:rPr>
        <w:t>.</w:t>
      </w:r>
      <w:r w:rsidR="00F34886">
        <w:rPr>
          <w:i/>
          <w:iCs/>
          <w:szCs w:val="24"/>
        </w:rPr>
        <w:t xml:space="preserve"> </w:t>
      </w:r>
      <w:r w:rsidR="00F34886" w:rsidRPr="009675A3">
        <w:t xml:space="preserve">Les dispositions autres que celles relatives aux meilleures techniques disponibles sont applicables </w:t>
      </w:r>
      <w:bookmarkStart w:id="5" w:name="_Hlk185407526"/>
      <w:r w:rsidR="009675A3">
        <w:t xml:space="preserve">selon le calendrier prévu </w:t>
      </w:r>
      <w:bookmarkEnd w:id="5"/>
      <w:r w:rsidR="009675A3">
        <w:t xml:space="preserve">par le </w:t>
      </w:r>
      <w:r w:rsidR="00F34886" w:rsidRPr="009675A3">
        <w:t>présent arrêté.</w:t>
      </w:r>
    </w:p>
    <w:p w14:paraId="7D5B1AC8" w14:textId="6F5F7F33" w:rsidR="00CA6F50" w:rsidRPr="009117BC" w:rsidRDefault="008B5293" w:rsidP="009117BC">
      <w:pPr>
        <w:pStyle w:val="western"/>
        <w:spacing w:after="0"/>
        <w:rPr>
          <w:i/>
          <w:iCs/>
        </w:rPr>
      </w:pPr>
      <w:r w:rsidRPr="00915DEF">
        <w:rPr>
          <w:b/>
          <w:bCs/>
          <w:i/>
          <w:iCs/>
        </w:rPr>
        <w:t>Notice :</w:t>
      </w:r>
      <w:r w:rsidRPr="00915DEF">
        <w:rPr>
          <w:i/>
          <w:iCs/>
        </w:rPr>
        <w:t xml:space="preserve"> </w:t>
      </w:r>
      <w:r w:rsidR="00077D56" w:rsidRPr="00915DEF">
        <w:rPr>
          <w:i/>
          <w:iCs/>
        </w:rPr>
        <w:t xml:space="preserve">le présent </w:t>
      </w:r>
      <w:r w:rsidR="009675A3">
        <w:rPr>
          <w:i/>
          <w:iCs/>
        </w:rPr>
        <w:t>texte</w:t>
      </w:r>
      <w:r w:rsidR="00077D56" w:rsidRPr="00915DEF">
        <w:rPr>
          <w:i/>
          <w:iCs/>
        </w:rPr>
        <w:t xml:space="preserve"> définit les dispositions applicables aux installations classées pour la protection de l'environnement </w:t>
      </w:r>
      <w:r w:rsidR="00F359D0">
        <w:rPr>
          <w:i/>
          <w:iCs/>
        </w:rPr>
        <w:t>relevant de</w:t>
      </w:r>
      <w:r w:rsidR="00077D56" w:rsidRPr="00915DEF">
        <w:rPr>
          <w:i/>
          <w:iCs/>
        </w:rPr>
        <w:t xml:space="preserve">s rubriques </w:t>
      </w:r>
      <w:r w:rsidR="00F359D0">
        <w:rPr>
          <w:i/>
          <w:iCs/>
        </w:rPr>
        <w:t>n°</w:t>
      </w:r>
      <w:r w:rsidR="009675A3">
        <w:rPr>
          <w:i/>
          <w:iCs/>
        </w:rPr>
        <w:t> </w:t>
      </w:r>
      <w:r w:rsidR="00380CDB" w:rsidRPr="00915DEF">
        <w:rPr>
          <w:i/>
          <w:iCs/>
        </w:rPr>
        <w:t xml:space="preserve">3650 </w:t>
      </w:r>
      <w:r w:rsidR="00F359D0" w:rsidRPr="00915DEF">
        <w:rPr>
          <w:i/>
          <w:iCs/>
        </w:rPr>
        <w:t>relatives</w:t>
      </w:r>
      <w:r w:rsidR="00077D56" w:rsidRPr="00915DEF">
        <w:rPr>
          <w:i/>
          <w:iCs/>
        </w:rPr>
        <w:t xml:space="preserve"> aux activités d’élimination ou de recyclage de carcasses </w:t>
      </w:r>
      <w:bookmarkStart w:id="6" w:name="_Hlk169857918"/>
      <w:r w:rsidR="00520317" w:rsidRPr="00520317">
        <w:rPr>
          <w:i/>
          <w:iCs/>
        </w:rPr>
        <w:t xml:space="preserve">ou de sous-produits animaux, </w:t>
      </w:r>
      <w:r w:rsidR="00FD060C" w:rsidRPr="00915DEF">
        <w:rPr>
          <w:i/>
          <w:iCs/>
        </w:rPr>
        <w:t xml:space="preserve">ou </w:t>
      </w:r>
      <w:r w:rsidR="00F359D0">
        <w:rPr>
          <w:i/>
          <w:iCs/>
        </w:rPr>
        <w:t>n°</w:t>
      </w:r>
      <w:r w:rsidR="009675A3">
        <w:rPr>
          <w:i/>
          <w:iCs/>
        </w:rPr>
        <w:t> </w:t>
      </w:r>
      <w:r w:rsidR="00FD060C" w:rsidRPr="00915DEF">
        <w:rPr>
          <w:i/>
          <w:iCs/>
        </w:rPr>
        <w:t xml:space="preserve">3710 pour lesquelles la charge polluante principale provient d’une ou plusieurs installations relevant de la rubrique </w:t>
      </w:r>
      <w:r w:rsidR="009675A3">
        <w:rPr>
          <w:i/>
          <w:iCs/>
        </w:rPr>
        <w:t>n° </w:t>
      </w:r>
      <w:r w:rsidR="00FD060C" w:rsidRPr="00915DEF">
        <w:rPr>
          <w:i/>
          <w:iCs/>
        </w:rPr>
        <w:t>3650</w:t>
      </w:r>
      <w:r w:rsidR="00077D56" w:rsidRPr="00915DEF">
        <w:rPr>
          <w:i/>
          <w:iCs/>
        </w:rPr>
        <w:t xml:space="preserve">. L'arrêté vise notamment à assurer la mise en œuvre des meilleures techniques disponibles adoptées au niveau européen et dont les conclusions ont été publiées le </w:t>
      </w:r>
      <w:r w:rsidR="00662AF4" w:rsidRPr="00915DEF">
        <w:rPr>
          <w:i/>
          <w:iCs/>
        </w:rPr>
        <w:t>1</w:t>
      </w:r>
      <w:r w:rsidR="0095262F" w:rsidRPr="00915DEF">
        <w:rPr>
          <w:i/>
          <w:iCs/>
        </w:rPr>
        <w:t>8</w:t>
      </w:r>
      <w:r w:rsidR="00662AF4" w:rsidRPr="00915DEF">
        <w:rPr>
          <w:i/>
          <w:iCs/>
        </w:rPr>
        <w:t xml:space="preserve"> décembre 2023</w:t>
      </w:r>
      <w:r w:rsidR="00077D56" w:rsidRPr="00915DEF">
        <w:rPr>
          <w:i/>
          <w:iCs/>
        </w:rPr>
        <w:t xml:space="preserve"> dans le cadre de l'élaboration du document de référence sur les meilleures techniques disponibles </w:t>
      </w:r>
      <w:r w:rsidR="00662AF4" w:rsidRPr="00915DEF">
        <w:rPr>
          <w:i/>
          <w:iCs/>
        </w:rPr>
        <w:t>pour les abattoirs et les industries de transformation des sous-produits animaux et/ou des coproduits alimentaires.</w:t>
      </w:r>
      <w:bookmarkEnd w:id="6"/>
    </w:p>
    <w:p w14:paraId="2B1F6DDB" w14:textId="21D3F752" w:rsidR="00CA6F50" w:rsidRPr="00915DEF" w:rsidRDefault="008B5293">
      <w:pPr>
        <w:pStyle w:val="Lgende"/>
        <w:jc w:val="both"/>
        <w:rPr>
          <w:rFonts w:cs="Times New Roman"/>
        </w:rPr>
      </w:pPr>
      <w:r w:rsidRPr="00915DEF">
        <w:rPr>
          <w:rFonts w:cs="Times New Roman"/>
          <w:b/>
          <w:bCs/>
        </w:rPr>
        <w:t xml:space="preserve">Références : </w:t>
      </w:r>
      <w:r w:rsidRPr="00915DEF">
        <w:rPr>
          <w:rFonts w:cs="Times New Roman"/>
        </w:rPr>
        <w:t>le texte peut être consulté, dans sa rédaction issue de la présente modification, sur le site Légifrance (https://www.legifrance.gouv.fr).</w:t>
      </w:r>
    </w:p>
    <w:p w14:paraId="6FC6467E" w14:textId="2310BC56" w:rsidR="00CA6F50" w:rsidRPr="00915DEF" w:rsidRDefault="008B5293" w:rsidP="0095262F">
      <w:pPr>
        <w:pStyle w:val="SNAutorit"/>
        <w:ind w:firstLine="0"/>
        <w:jc w:val="both"/>
        <w:rPr>
          <w:szCs w:val="24"/>
        </w:rPr>
      </w:pPr>
      <w:r w:rsidRPr="00915DEF">
        <w:rPr>
          <w:szCs w:val="24"/>
        </w:rPr>
        <w:lastRenderedPageBreak/>
        <w:t>L</w:t>
      </w:r>
      <w:r w:rsidR="00BA01C9">
        <w:rPr>
          <w:szCs w:val="24"/>
        </w:rPr>
        <w:t>a</w:t>
      </w:r>
      <w:r w:rsidRPr="00915DEF">
        <w:rPr>
          <w:szCs w:val="24"/>
        </w:rPr>
        <w:t xml:space="preserve"> ministre </w:t>
      </w:r>
      <w:r w:rsidR="00BA01C9" w:rsidRPr="00BA01C9">
        <w:rPr>
          <w:szCs w:val="24"/>
        </w:rPr>
        <w:t xml:space="preserve">de la transition écologique, de la biodiversité, de la </w:t>
      </w:r>
      <w:r w:rsidR="009117BC">
        <w:rPr>
          <w:szCs w:val="24"/>
        </w:rPr>
        <w:t>forêt, de la mer et de la pêche</w:t>
      </w:r>
      <w:r w:rsidRPr="00915DEF">
        <w:rPr>
          <w:szCs w:val="24"/>
        </w:rPr>
        <w:t>,</w:t>
      </w:r>
    </w:p>
    <w:p w14:paraId="6F6BBB9F" w14:textId="7B8B7F00" w:rsidR="000442B4" w:rsidRDefault="000442B4" w:rsidP="000442B4">
      <w:pPr>
        <w:pStyle w:val="SNVisa"/>
        <w:ind w:firstLine="708"/>
        <w:rPr>
          <w:sz w:val="24"/>
        </w:rPr>
      </w:pPr>
      <w:r>
        <w:rPr>
          <w:sz w:val="24"/>
        </w:rPr>
        <w:t xml:space="preserve">Vu le règlement </w:t>
      </w:r>
      <w:r w:rsidRPr="00834190">
        <w:rPr>
          <w:sz w:val="24"/>
        </w:rPr>
        <w:t xml:space="preserve">(CE) </w:t>
      </w:r>
      <w:r>
        <w:rPr>
          <w:sz w:val="24"/>
        </w:rPr>
        <w:t>n°</w:t>
      </w:r>
      <w:r w:rsidRPr="00834190">
        <w:rPr>
          <w:sz w:val="24"/>
        </w:rPr>
        <w:t xml:space="preserve"> 999/2001 </w:t>
      </w:r>
      <w:r w:rsidRPr="006C3578">
        <w:rPr>
          <w:sz w:val="24"/>
        </w:rPr>
        <w:t>du Parlement européen et du</w:t>
      </w:r>
      <w:r>
        <w:rPr>
          <w:sz w:val="24"/>
        </w:rPr>
        <w:t xml:space="preserve"> </w:t>
      </w:r>
      <w:r w:rsidRPr="006C3578">
        <w:rPr>
          <w:sz w:val="24"/>
        </w:rPr>
        <w:t>Conseil</w:t>
      </w:r>
      <w:r>
        <w:rPr>
          <w:sz w:val="24"/>
        </w:rPr>
        <w:t xml:space="preserve"> </w:t>
      </w:r>
      <w:r w:rsidRPr="00834190">
        <w:rPr>
          <w:sz w:val="24"/>
        </w:rPr>
        <w:t>du 22 mai 2001</w:t>
      </w:r>
      <w:r>
        <w:rPr>
          <w:sz w:val="24"/>
        </w:rPr>
        <w:t xml:space="preserve"> </w:t>
      </w:r>
      <w:r w:rsidRPr="00834190">
        <w:rPr>
          <w:sz w:val="24"/>
        </w:rPr>
        <w:t>fixant les règles pour la prévention, le contrôle et l'éradication de certaines encéphalopathies</w:t>
      </w:r>
      <w:r>
        <w:rPr>
          <w:sz w:val="24"/>
        </w:rPr>
        <w:t xml:space="preserve"> </w:t>
      </w:r>
      <w:r w:rsidRPr="00834190">
        <w:rPr>
          <w:sz w:val="24"/>
        </w:rPr>
        <w:t>spongiformes transmissibles</w:t>
      </w:r>
      <w:r w:rsidR="00F34886">
        <w:rPr>
          <w:sz w:val="24"/>
        </w:rPr>
        <w:t> ;</w:t>
      </w:r>
    </w:p>
    <w:p w14:paraId="583EBF86" w14:textId="37FC4AF2" w:rsidR="00DD5452" w:rsidRDefault="00DD5452" w:rsidP="00DD5452">
      <w:pPr>
        <w:pStyle w:val="SNVisa"/>
        <w:ind w:firstLine="708"/>
        <w:rPr>
          <w:sz w:val="24"/>
        </w:rPr>
      </w:pPr>
      <w:bookmarkStart w:id="7" w:name="_Hlk185411508"/>
      <w:r>
        <w:rPr>
          <w:sz w:val="24"/>
        </w:rPr>
        <w:t>Vu le r</w:t>
      </w:r>
      <w:r w:rsidRPr="005F11FE">
        <w:rPr>
          <w:sz w:val="24"/>
        </w:rPr>
        <w:t>èglement (CE) n°</w:t>
      </w:r>
      <w:r>
        <w:rPr>
          <w:sz w:val="24"/>
        </w:rPr>
        <w:t> </w:t>
      </w:r>
      <w:r w:rsidRPr="00DD5452">
        <w:rPr>
          <w:sz w:val="24"/>
        </w:rPr>
        <w:t xml:space="preserve">1907/2006 </w:t>
      </w:r>
      <w:r w:rsidRPr="006C3578">
        <w:rPr>
          <w:sz w:val="24"/>
        </w:rPr>
        <w:t>du Parlement européen et du</w:t>
      </w:r>
      <w:r>
        <w:rPr>
          <w:sz w:val="24"/>
        </w:rPr>
        <w:t xml:space="preserve"> </w:t>
      </w:r>
      <w:r w:rsidRPr="006C3578">
        <w:rPr>
          <w:sz w:val="24"/>
        </w:rPr>
        <w:t>Conseil</w:t>
      </w:r>
      <w:r>
        <w:rPr>
          <w:sz w:val="24"/>
        </w:rPr>
        <w:t xml:space="preserve"> </w:t>
      </w:r>
      <w:r w:rsidRPr="00834190">
        <w:rPr>
          <w:sz w:val="24"/>
        </w:rPr>
        <w:t>du</w:t>
      </w:r>
      <w:r w:rsidRPr="00DD5452">
        <w:rPr>
          <w:sz w:val="24"/>
        </w:rPr>
        <w:t xml:space="preserve"> 18 décembre 2006</w:t>
      </w:r>
      <w:r>
        <w:rPr>
          <w:sz w:val="24"/>
        </w:rPr>
        <w:t xml:space="preserve"> </w:t>
      </w:r>
      <w:r w:rsidRPr="00DD5452">
        <w:rPr>
          <w:sz w:val="24"/>
        </w:rPr>
        <w:t>concernant l'enregistrement, l'évaluation et l'autorisation des substances chimiques, ainsi que</w:t>
      </w:r>
      <w:r>
        <w:rPr>
          <w:sz w:val="24"/>
        </w:rPr>
        <w:t xml:space="preserve"> </w:t>
      </w:r>
      <w:r w:rsidRPr="00DD5452">
        <w:rPr>
          <w:sz w:val="24"/>
        </w:rPr>
        <w:t>les restrictions applicables à ces substances (REACH), instituant une agence européenne des</w:t>
      </w:r>
      <w:r>
        <w:rPr>
          <w:sz w:val="24"/>
        </w:rPr>
        <w:t xml:space="preserve"> </w:t>
      </w:r>
      <w:r w:rsidRPr="00DD5452">
        <w:rPr>
          <w:sz w:val="24"/>
        </w:rPr>
        <w:t>produits chimiques, modifiant la directive 1999/45/CE et abrogeant le règlement (CEE)</w:t>
      </w:r>
      <w:r>
        <w:rPr>
          <w:sz w:val="24"/>
        </w:rPr>
        <w:t xml:space="preserve"> </w:t>
      </w:r>
      <w:r w:rsidRPr="00DD5452">
        <w:rPr>
          <w:sz w:val="24"/>
        </w:rPr>
        <w:t>n° 793/93 du Conseil et le règlement (CE) n° 1488/94 de la Commission ainsi que la directive</w:t>
      </w:r>
      <w:r>
        <w:rPr>
          <w:sz w:val="24"/>
        </w:rPr>
        <w:t xml:space="preserve"> </w:t>
      </w:r>
      <w:r w:rsidRPr="00DD5452">
        <w:rPr>
          <w:sz w:val="24"/>
        </w:rPr>
        <w:t>76/769/CEE du Conseil et les directives 91/155/CEE, 93/67/CEE, 93/105/CE et 2000/21/CE de</w:t>
      </w:r>
      <w:r>
        <w:rPr>
          <w:sz w:val="24"/>
        </w:rPr>
        <w:t xml:space="preserve"> </w:t>
      </w:r>
      <w:r w:rsidRPr="00DD5452">
        <w:rPr>
          <w:sz w:val="24"/>
        </w:rPr>
        <w:t>la Commission</w:t>
      </w:r>
      <w:r w:rsidR="00930C6B">
        <w:rPr>
          <w:sz w:val="24"/>
        </w:rPr>
        <w:t> ;</w:t>
      </w:r>
    </w:p>
    <w:bookmarkEnd w:id="7"/>
    <w:p w14:paraId="68219FFB" w14:textId="7ACAB4C4" w:rsidR="006C3578" w:rsidRDefault="006C3578" w:rsidP="009233D8">
      <w:pPr>
        <w:pStyle w:val="SNVisa"/>
        <w:ind w:firstLine="708"/>
        <w:rPr>
          <w:sz w:val="24"/>
          <w:szCs w:val="24"/>
        </w:rPr>
      </w:pPr>
      <w:r w:rsidRPr="00915DEF">
        <w:rPr>
          <w:sz w:val="24"/>
          <w:szCs w:val="24"/>
        </w:rPr>
        <w:t>Vu le règlement (CE) n</w:t>
      </w:r>
      <w:r w:rsidR="003B24D7">
        <w:rPr>
          <w:sz w:val="24"/>
          <w:szCs w:val="24"/>
        </w:rPr>
        <w:t>°</w:t>
      </w:r>
      <w:r w:rsidRPr="00915DEF">
        <w:rPr>
          <w:sz w:val="24"/>
          <w:szCs w:val="24"/>
        </w:rPr>
        <w:t xml:space="preserve"> 1069/2009 du Parlement européen et du Conseil du 21 octobre 2009 établissant des règles sanitaires applicables aux sous-produits animaux et produits dérivés non destinés à la consommation humaine et abrogeant le règlement (CE) n</w:t>
      </w:r>
      <w:r w:rsidR="003B24D7">
        <w:rPr>
          <w:sz w:val="24"/>
          <w:szCs w:val="24"/>
        </w:rPr>
        <w:t>°</w:t>
      </w:r>
      <w:r w:rsidRPr="00915DEF">
        <w:rPr>
          <w:sz w:val="24"/>
          <w:szCs w:val="24"/>
        </w:rPr>
        <w:t xml:space="preserve"> 1774/2002</w:t>
      </w:r>
      <w:r w:rsidR="00930C6B">
        <w:rPr>
          <w:sz w:val="24"/>
          <w:szCs w:val="24"/>
        </w:rPr>
        <w:t> ;</w:t>
      </w:r>
    </w:p>
    <w:p w14:paraId="29713BD2" w14:textId="0F5DDEE1" w:rsidR="003E50B1" w:rsidRDefault="003E50B1" w:rsidP="009233D8">
      <w:pPr>
        <w:pStyle w:val="SNVisa"/>
        <w:ind w:firstLine="708"/>
        <w:rPr>
          <w:sz w:val="24"/>
          <w:szCs w:val="24"/>
        </w:rPr>
      </w:pPr>
      <w:r w:rsidRPr="003E50B1">
        <w:rPr>
          <w:sz w:val="24"/>
          <w:szCs w:val="24"/>
        </w:rPr>
        <w:t xml:space="preserve">Vu le </w:t>
      </w:r>
      <w:r>
        <w:rPr>
          <w:sz w:val="24"/>
          <w:szCs w:val="24"/>
        </w:rPr>
        <w:t>r</w:t>
      </w:r>
      <w:r w:rsidRPr="003E50B1">
        <w:rPr>
          <w:sz w:val="24"/>
          <w:szCs w:val="24"/>
        </w:rPr>
        <w:t>èglement (CE) n°1221/2009 du Parlement européen et du Conseil du 25 novembre 2009 concernant la participation volontaire des organisations à un système communautaire de management environnemental et d’audit (EMAS), abrogeant le règlement (CE) n</w:t>
      </w:r>
      <w:r>
        <w:rPr>
          <w:sz w:val="24"/>
          <w:szCs w:val="24"/>
        </w:rPr>
        <w:t>° </w:t>
      </w:r>
      <w:r w:rsidRPr="003E50B1">
        <w:rPr>
          <w:sz w:val="24"/>
          <w:szCs w:val="24"/>
        </w:rPr>
        <w:t>761/2001 et les décisions de la Commission 2001/681/CE et 2006/193/CE ;</w:t>
      </w:r>
    </w:p>
    <w:p w14:paraId="72B1231A" w14:textId="05DFAF55" w:rsidR="00F34886" w:rsidRDefault="0065789B" w:rsidP="009233D8">
      <w:pPr>
        <w:pStyle w:val="SNVisa"/>
        <w:ind w:firstLine="708"/>
        <w:rPr>
          <w:sz w:val="24"/>
        </w:rPr>
      </w:pPr>
      <w:r>
        <w:rPr>
          <w:sz w:val="24"/>
          <w:szCs w:val="24"/>
        </w:rPr>
        <w:t>Vu le r</w:t>
      </w:r>
      <w:r w:rsidRPr="0065789B">
        <w:rPr>
          <w:sz w:val="24"/>
          <w:szCs w:val="24"/>
        </w:rPr>
        <w:t xml:space="preserve">èglement (UE) n° 142/2011 de la Commission </w:t>
      </w:r>
      <w:bookmarkStart w:id="8" w:name="_Hlk186121331"/>
      <w:r w:rsidRPr="0065789B">
        <w:rPr>
          <w:sz w:val="24"/>
          <w:szCs w:val="24"/>
        </w:rPr>
        <w:t xml:space="preserve">du 25 février 2011 </w:t>
      </w:r>
      <w:bookmarkEnd w:id="8"/>
      <w:r w:rsidRPr="0065789B">
        <w:rPr>
          <w:sz w:val="24"/>
          <w:szCs w:val="24"/>
        </w:rPr>
        <w:t>portant application du règlement (CE) n° 1069/2009 du Parlement européen et du Conseil établissant des règles sanitaires applicables aux sous-produits animaux et produits dérivés non destinés à la consommation humaine et portant application de la directive 97/78/CE du Conseil en ce qui concerne certains échantillons et articles exemptés des contrôles vétérinaires effectués aux frontières en vertu de cette directive</w:t>
      </w:r>
      <w:r>
        <w:rPr>
          <w:sz w:val="24"/>
          <w:szCs w:val="24"/>
        </w:rPr>
        <w:t> ;</w:t>
      </w:r>
    </w:p>
    <w:p w14:paraId="1DA987B3" w14:textId="2563A620" w:rsidR="003B24D7" w:rsidRDefault="003B24D7" w:rsidP="009233D8">
      <w:pPr>
        <w:pStyle w:val="SNVisa"/>
        <w:ind w:firstLine="708"/>
        <w:rPr>
          <w:sz w:val="24"/>
          <w:szCs w:val="24"/>
        </w:rPr>
      </w:pPr>
      <w:r w:rsidRPr="00DD5452">
        <w:rPr>
          <w:sz w:val="24"/>
          <w:szCs w:val="24"/>
        </w:rPr>
        <w:t xml:space="preserve">Vu le règlement (UE) </w:t>
      </w:r>
      <w:r w:rsidR="00930C6B">
        <w:rPr>
          <w:sz w:val="24"/>
          <w:szCs w:val="24"/>
        </w:rPr>
        <w:t>n° </w:t>
      </w:r>
      <w:r w:rsidRPr="00DD5452">
        <w:rPr>
          <w:sz w:val="24"/>
          <w:szCs w:val="24"/>
        </w:rPr>
        <w:t>2024/573 du Parlement Européen et du Conseil du 7 février 2024 relatif aux gaz à effet de serre fluorés, modifiant la directive (UE) 2019/1937 et abrogeant le règlement (UE) no 517/201 ;</w:t>
      </w:r>
    </w:p>
    <w:p w14:paraId="7AE8DD22" w14:textId="6115FF3E" w:rsidR="00930C6B" w:rsidRPr="00915DEF" w:rsidRDefault="00930C6B" w:rsidP="009233D8">
      <w:pPr>
        <w:pStyle w:val="SNVisa"/>
        <w:ind w:firstLine="708"/>
        <w:rPr>
          <w:sz w:val="24"/>
          <w:szCs w:val="24"/>
        </w:rPr>
      </w:pPr>
      <w:r>
        <w:rPr>
          <w:sz w:val="24"/>
        </w:rPr>
        <w:t>Vu la directive n° 2000/60/CE du Parlement européen et du Conseil du 23 octobre 2000 établissant un cadre pour une politique communautaire dans le domaine de l’eau ;</w:t>
      </w:r>
    </w:p>
    <w:p w14:paraId="0ECD240D" w14:textId="4D85CAE6" w:rsidR="00CA6F50" w:rsidRDefault="008B5293" w:rsidP="009233D8">
      <w:pPr>
        <w:pStyle w:val="SNVisa"/>
        <w:ind w:firstLine="708"/>
        <w:rPr>
          <w:sz w:val="24"/>
          <w:szCs w:val="24"/>
        </w:rPr>
      </w:pPr>
      <w:r w:rsidRPr="00915DEF">
        <w:rPr>
          <w:sz w:val="24"/>
          <w:szCs w:val="24"/>
        </w:rPr>
        <w:t>Vu la directive n°</w:t>
      </w:r>
      <w:r w:rsidR="00ED01A9">
        <w:rPr>
          <w:sz w:val="24"/>
          <w:szCs w:val="24"/>
        </w:rPr>
        <w:t> </w:t>
      </w:r>
      <w:r w:rsidRPr="00915DEF">
        <w:rPr>
          <w:sz w:val="24"/>
          <w:szCs w:val="24"/>
        </w:rPr>
        <w:t xml:space="preserve">2010/75/UE </w:t>
      </w:r>
      <w:r w:rsidR="00F34886">
        <w:rPr>
          <w:sz w:val="24"/>
          <w:szCs w:val="24"/>
        </w:rPr>
        <w:t xml:space="preserve">modifiée </w:t>
      </w:r>
      <w:r w:rsidRPr="00915DEF">
        <w:rPr>
          <w:sz w:val="24"/>
          <w:szCs w:val="24"/>
        </w:rPr>
        <w:t>du Parlement européen et du Conseil du 24 novembre 2010 relative aux émissions industrielles (prévention et réduction intégrées de la pollution) ;</w:t>
      </w:r>
    </w:p>
    <w:p w14:paraId="5E206489" w14:textId="252B3630" w:rsidR="001318BB" w:rsidRPr="00915DEF" w:rsidRDefault="001318BB" w:rsidP="009233D8">
      <w:pPr>
        <w:pStyle w:val="SNVisa"/>
        <w:ind w:firstLine="708"/>
        <w:rPr>
          <w:sz w:val="24"/>
          <w:szCs w:val="24"/>
        </w:rPr>
      </w:pPr>
      <w:r w:rsidRPr="00915DEF">
        <w:rPr>
          <w:sz w:val="24"/>
          <w:szCs w:val="24"/>
        </w:rPr>
        <w:t xml:space="preserve">Vu la décision d'exécution de la Commission </w:t>
      </w:r>
      <w:r w:rsidR="00174401">
        <w:rPr>
          <w:sz w:val="24"/>
          <w:szCs w:val="24"/>
        </w:rPr>
        <w:t xml:space="preserve">(UE) </w:t>
      </w:r>
      <w:r w:rsidR="005E0437">
        <w:rPr>
          <w:sz w:val="24"/>
          <w:szCs w:val="24"/>
        </w:rPr>
        <w:t>n° </w:t>
      </w:r>
      <w:r w:rsidR="00174401" w:rsidRPr="00915DEF">
        <w:rPr>
          <w:sz w:val="24"/>
          <w:szCs w:val="24"/>
        </w:rPr>
        <w:t xml:space="preserve">2023/2749 </w:t>
      </w:r>
      <w:r w:rsidR="003B24D7">
        <w:rPr>
          <w:sz w:val="24"/>
          <w:szCs w:val="24"/>
        </w:rPr>
        <w:t xml:space="preserve">modifiée </w:t>
      </w:r>
      <w:r w:rsidRPr="00915DEF">
        <w:rPr>
          <w:sz w:val="24"/>
          <w:szCs w:val="24"/>
        </w:rPr>
        <w:t xml:space="preserve">du </w:t>
      </w:r>
      <w:r w:rsidR="00662AF4" w:rsidRPr="00915DEF">
        <w:rPr>
          <w:sz w:val="24"/>
          <w:szCs w:val="24"/>
        </w:rPr>
        <w:t>1</w:t>
      </w:r>
      <w:r w:rsidR="0095262F" w:rsidRPr="00915DEF">
        <w:rPr>
          <w:sz w:val="24"/>
          <w:szCs w:val="24"/>
        </w:rPr>
        <w:t>1</w:t>
      </w:r>
      <w:r w:rsidR="00662AF4" w:rsidRPr="00915DEF">
        <w:rPr>
          <w:sz w:val="24"/>
          <w:szCs w:val="24"/>
        </w:rPr>
        <w:t xml:space="preserve"> décembre 2023</w:t>
      </w:r>
      <w:r w:rsidRPr="00915DEF">
        <w:rPr>
          <w:sz w:val="24"/>
          <w:szCs w:val="24"/>
        </w:rPr>
        <w:t xml:space="preserve"> </w:t>
      </w:r>
      <w:r w:rsidR="00662AF4" w:rsidRPr="00915DEF">
        <w:rPr>
          <w:sz w:val="24"/>
          <w:szCs w:val="24"/>
        </w:rPr>
        <w:t>établissant les conclusions sur les meilleures techniques disponibles (MTD) pour les abattoirs et les industries de transformation des sous-produits animaux et/ou des coproduits alimentaires, au titre de la directive 2010/75/UE du Parlement européen et du Conseil relative aux émissions industrielles</w:t>
      </w:r>
      <w:r w:rsidR="00174401" w:rsidRPr="007C4491">
        <w:rPr>
          <w:rStyle w:val="Policepardfaut1"/>
          <w:color w:val="000000" w:themeColor="text1"/>
        </w:rPr>
        <w:t xml:space="preserve">, </w:t>
      </w:r>
      <w:r w:rsidR="00174401" w:rsidRPr="007C4491">
        <w:rPr>
          <w:color w:val="000000" w:themeColor="text1"/>
        </w:rPr>
        <w:t xml:space="preserve">publiée le </w:t>
      </w:r>
      <w:r w:rsidR="00174401">
        <w:rPr>
          <w:color w:val="000000" w:themeColor="text1"/>
        </w:rPr>
        <w:t>18</w:t>
      </w:r>
      <w:r w:rsidR="00174401" w:rsidRPr="007C4491">
        <w:rPr>
          <w:color w:val="000000" w:themeColor="text1"/>
        </w:rPr>
        <w:t xml:space="preserve"> décembre 202</w:t>
      </w:r>
      <w:r w:rsidR="00174401">
        <w:rPr>
          <w:color w:val="000000" w:themeColor="text1"/>
        </w:rPr>
        <w:t>3 ;</w:t>
      </w:r>
    </w:p>
    <w:p w14:paraId="6EECC702" w14:textId="20C5B199" w:rsidR="00CA6F50" w:rsidRDefault="008B5293" w:rsidP="009233D8">
      <w:pPr>
        <w:pStyle w:val="SNVisa"/>
        <w:ind w:firstLine="708"/>
        <w:rPr>
          <w:sz w:val="24"/>
          <w:szCs w:val="24"/>
        </w:rPr>
      </w:pPr>
      <w:r w:rsidRPr="00915DEF">
        <w:rPr>
          <w:sz w:val="24"/>
          <w:szCs w:val="24"/>
        </w:rPr>
        <w:t xml:space="preserve">Vu le code de l’environnement, </w:t>
      </w:r>
      <w:r w:rsidR="001318BB" w:rsidRPr="00915DEF">
        <w:rPr>
          <w:sz w:val="24"/>
          <w:szCs w:val="24"/>
        </w:rPr>
        <w:t>et notamment le titre I du livre V</w:t>
      </w:r>
      <w:r w:rsidR="003B24D7">
        <w:rPr>
          <w:sz w:val="24"/>
          <w:szCs w:val="24"/>
        </w:rPr>
        <w:t>,</w:t>
      </w:r>
      <w:r w:rsidR="001318BB" w:rsidRPr="00915DEF">
        <w:rPr>
          <w:sz w:val="24"/>
          <w:szCs w:val="24"/>
        </w:rPr>
        <w:t xml:space="preserve"> </w:t>
      </w:r>
      <w:r w:rsidRPr="00915DEF">
        <w:rPr>
          <w:sz w:val="24"/>
          <w:szCs w:val="24"/>
        </w:rPr>
        <w:t xml:space="preserve">notamment </w:t>
      </w:r>
      <w:r w:rsidR="003B24D7">
        <w:rPr>
          <w:sz w:val="24"/>
          <w:szCs w:val="24"/>
        </w:rPr>
        <w:t xml:space="preserve">et en particulier </w:t>
      </w:r>
      <w:r w:rsidRPr="00915DEF">
        <w:rPr>
          <w:sz w:val="24"/>
          <w:szCs w:val="24"/>
        </w:rPr>
        <w:t>ses articles L.</w:t>
      </w:r>
      <w:r w:rsidR="00D03987">
        <w:rPr>
          <w:sz w:val="24"/>
          <w:szCs w:val="24"/>
        </w:rPr>
        <w:t> </w:t>
      </w:r>
      <w:r w:rsidRPr="00915DEF">
        <w:rPr>
          <w:sz w:val="24"/>
          <w:szCs w:val="24"/>
        </w:rPr>
        <w:t>511-1, L.</w:t>
      </w:r>
      <w:r w:rsidR="00D03987">
        <w:rPr>
          <w:sz w:val="24"/>
          <w:szCs w:val="24"/>
        </w:rPr>
        <w:t> </w:t>
      </w:r>
      <w:r w:rsidRPr="00915DEF">
        <w:rPr>
          <w:sz w:val="24"/>
          <w:szCs w:val="24"/>
        </w:rPr>
        <w:t>512-5 et R.</w:t>
      </w:r>
      <w:r w:rsidR="00D03987">
        <w:rPr>
          <w:sz w:val="24"/>
          <w:szCs w:val="24"/>
        </w:rPr>
        <w:t> </w:t>
      </w:r>
      <w:r w:rsidRPr="00915DEF">
        <w:rPr>
          <w:sz w:val="24"/>
          <w:szCs w:val="24"/>
        </w:rPr>
        <w:t>511-9 ;</w:t>
      </w:r>
    </w:p>
    <w:p w14:paraId="59506AA8" w14:textId="76022795" w:rsidR="00916AD8" w:rsidRDefault="00916AD8" w:rsidP="00916AD8">
      <w:pPr>
        <w:pStyle w:val="SNVisa"/>
        <w:ind w:firstLine="708"/>
        <w:rPr>
          <w:sz w:val="24"/>
        </w:rPr>
      </w:pPr>
      <w:r>
        <w:rPr>
          <w:sz w:val="24"/>
        </w:rPr>
        <w:t>Vu le code rural et de la pêche maritime, et notamment ses a</w:t>
      </w:r>
      <w:r w:rsidRPr="00E82775">
        <w:rPr>
          <w:sz w:val="24"/>
        </w:rPr>
        <w:t>rticles L</w:t>
      </w:r>
      <w:r w:rsidR="00D03987">
        <w:rPr>
          <w:sz w:val="24"/>
        </w:rPr>
        <w:t>. </w:t>
      </w:r>
      <w:r w:rsidRPr="00E82775">
        <w:rPr>
          <w:sz w:val="24"/>
        </w:rPr>
        <w:t>221-1 à L</w:t>
      </w:r>
      <w:r w:rsidR="00D03987">
        <w:rPr>
          <w:sz w:val="24"/>
        </w:rPr>
        <w:t>. </w:t>
      </w:r>
      <w:r w:rsidRPr="00E82775">
        <w:rPr>
          <w:sz w:val="24"/>
        </w:rPr>
        <w:t>228-8</w:t>
      </w:r>
      <w:r>
        <w:rPr>
          <w:sz w:val="24"/>
        </w:rPr>
        <w:t> ;</w:t>
      </w:r>
    </w:p>
    <w:p w14:paraId="706880C4" w14:textId="73961B74" w:rsidR="001318BB" w:rsidRPr="00915DEF" w:rsidRDefault="001318BB" w:rsidP="009233D8">
      <w:pPr>
        <w:pStyle w:val="SNVisa"/>
        <w:ind w:firstLine="708"/>
        <w:rPr>
          <w:sz w:val="24"/>
          <w:szCs w:val="24"/>
        </w:rPr>
      </w:pPr>
      <w:r w:rsidRPr="00915DEF">
        <w:rPr>
          <w:sz w:val="24"/>
          <w:szCs w:val="24"/>
        </w:rPr>
        <w:t>Vu l'arrêté du 23 janvier 1997 relatif à la limitation des bruits émis dans l'environnement par les installations classées pour la protection de l'environnement ;</w:t>
      </w:r>
    </w:p>
    <w:p w14:paraId="7420C879" w14:textId="37481FB5" w:rsidR="001318BB" w:rsidRDefault="001318BB" w:rsidP="009233D8">
      <w:pPr>
        <w:pStyle w:val="SNVisa"/>
        <w:ind w:firstLine="708"/>
        <w:rPr>
          <w:sz w:val="24"/>
          <w:szCs w:val="24"/>
        </w:rPr>
      </w:pPr>
      <w:r w:rsidRPr="00915DEF">
        <w:rPr>
          <w:sz w:val="24"/>
          <w:szCs w:val="24"/>
        </w:rPr>
        <w:t xml:space="preserve">Vu l'arrêté du 2 février 1998 modifié relatif aux prélèvements et à la consommation d'eau ainsi qu'aux émissions de toute nature des </w:t>
      </w:r>
      <w:r w:rsidR="003B24D7">
        <w:rPr>
          <w:sz w:val="24"/>
          <w:szCs w:val="24"/>
        </w:rPr>
        <w:t>installations classées pour la protection de l’environnement</w:t>
      </w:r>
      <w:r w:rsidRPr="00915DEF">
        <w:rPr>
          <w:sz w:val="24"/>
          <w:szCs w:val="24"/>
        </w:rPr>
        <w:t xml:space="preserve"> soumises à autorisation ;</w:t>
      </w:r>
    </w:p>
    <w:p w14:paraId="712F08A9" w14:textId="68C77109" w:rsidR="00E65E93" w:rsidRDefault="003B24D7" w:rsidP="00174401">
      <w:pPr>
        <w:pStyle w:val="SNVisa"/>
        <w:ind w:firstLine="708"/>
        <w:rPr>
          <w:sz w:val="24"/>
          <w:szCs w:val="24"/>
        </w:rPr>
      </w:pPr>
      <w:r>
        <w:rPr>
          <w:sz w:val="24"/>
          <w:szCs w:val="24"/>
        </w:rPr>
        <w:lastRenderedPageBreak/>
        <w:t>Vu l’a</w:t>
      </w:r>
      <w:r w:rsidR="00E65E93" w:rsidRPr="00E65E93">
        <w:rPr>
          <w:sz w:val="24"/>
          <w:szCs w:val="24"/>
        </w:rPr>
        <w:t xml:space="preserve">rrêté du </w:t>
      </w:r>
      <w:r w:rsidR="00E65E93" w:rsidRPr="00665BFA">
        <w:rPr>
          <w:sz w:val="24"/>
          <w:szCs w:val="24"/>
        </w:rPr>
        <w:t>12 février 2003</w:t>
      </w:r>
      <w:r w:rsidR="00E65E93" w:rsidRPr="00D51A87">
        <w:rPr>
          <w:sz w:val="24"/>
          <w:szCs w:val="24"/>
        </w:rPr>
        <w:t xml:space="preserve"> </w:t>
      </w:r>
      <w:r w:rsidR="00E65E93">
        <w:rPr>
          <w:sz w:val="24"/>
          <w:szCs w:val="24"/>
        </w:rPr>
        <w:t xml:space="preserve">modifié </w:t>
      </w:r>
      <w:r w:rsidR="00E65E93" w:rsidRPr="00E65E93">
        <w:rPr>
          <w:sz w:val="24"/>
          <w:szCs w:val="24"/>
        </w:rPr>
        <w:t xml:space="preserve">relatif aux prescriptions applicables aux installations classées soumises à autorisation sous la rubrique </w:t>
      </w:r>
      <w:r w:rsidR="00665BFA">
        <w:rPr>
          <w:sz w:val="24"/>
          <w:szCs w:val="24"/>
        </w:rPr>
        <w:t>n° </w:t>
      </w:r>
      <w:r w:rsidR="00E65E93" w:rsidRPr="00E65E93">
        <w:rPr>
          <w:sz w:val="24"/>
          <w:szCs w:val="24"/>
        </w:rPr>
        <w:t>2731 de la nomenclature des installations classées pour la protection de l'environnement</w:t>
      </w:r>
      <w:r w:rsidR="00930C6B">
        <w:rPr>
          <w:sz w:val="24"/>
          <w:szCs w:val="24"/>
        </w:rPr>
        <w:t> ;</w:t>
      </w:r>
    </w:p>
    <w:p w14:paraId="21B9CFE0" w14:textId="10E55156" w:rsidR="001318BB" w:rsidRPr="00915DEF" w:rsidRDefault="001318BB" w:rsidP="009233D8">
      <w:pPr>
        <w:pStyle w:val="SNVisa"/>
        <w:ind w:firstLine="708"/>
        <w:rPr>
          <w:sz w:val="24"/>
          <w:szCs w:val="24"/>
        </w:rPr>
      </w:pPr>
      <w:r w:rsidRPr="00915DEF">
        <w:rPr>
          <w:sz w:val="24"/>
          <w:szCs w:val="24"/>
        </w:rPr>
        <w:t>Vu l'arrêté du 4 octobre 2010 modifié relatif à la prévention des risques accidentels au sein des installations classées pour la protection de l'environnement soumises à autorisation ;</w:t>
      </w:r>
    </w:p>
    <w:p w14:paraId="024A2925" w14:textId="77777777" w:rsidR="00CA6F50" w:rsidRPr="00915DEF" w:rsidRDefault="008B5293" w:rsidP="009233D8">
      <w:pPr>
        <w:pStyle w:val="SNVisa"/>
        <w:ind w:firstLine="708"/>
        <w:rPr>
          <w:sz w:val="24"/>
          <w:szCs w:val="24"/>
        </w:rPr>
      </w:pPr>
      <w:r w:rsidRPr="00915DEF">
        <w:rPr>
          <w:sz w:val="24"/>
          <w:szCs w:val="24"/>
        </w:rPr>
        <w:t>Vu l’avis des organisations professionnelles concernées ;</w:t>
      </w:r>
    </w:p>
    <w:p w14:paraId="72191D52" w14:textId="77777777" w:rsidR="00CA6F50" w:rsidRPr="00915DEF" w:rsidRDefault="008B5293" w:rsidP="009233D8">
      <w:pPr>
        <w:pStyle w:val="SNVisa"/>
        <w:ind w:firstLine="708"/>
        <w:rPr>
          <w:sz w:val="24"/>
          <w:szCs w:val="24"/>
        </w:rPr>
      </w:pPr>
      <w:r w:rsidRPr="00915DEF">
        <w:rPr>
          <w:sz w:val="24"/>
          <w:szCs w:val="24"/>
        </w:rPr>
        <w:t>Vu l’avis des ministres intéressés ;</w:t>
      </w:r>
    </w:p>
    <w:p w14:paraId="4886CB6D" w14:textId="77777777" w:rsidR="00CA6F50" w:rsidRPr="00915DEF" w:rsidRDefault="008B5293" w:rsidP="009233D8">
      <w:pPr>
        <w:pStyle w:val="SNVisa"/>
        <w:ind w:firstLine="708"/>
        <w:rPr>
          <w:sz w:val="24"/>
          <w:szCs w:val="24"/>
        </w:rPr>
      </w:pPr>
      <w:r w:rsidRPr="00915DEF">
        <w:rPr>
          <w:sz w:val="24"/>
          <w:szCs w:val="24"/>
        </w:rPr>
        <w:t>Vu l’avis du Conseil supérieur de la prévention des risques technologiques du XX ;</w:t>
      </w:r>
    </w:p>
    <w:p w14:paraId="7636F015" w14:textId="45D815A1" w:rsidR="00CA6F50" w:rsidRPr="00915DEF" w:rsidRDefault="008B5293" w:rsidP="009233D8">
      <w:pPr>
        <w:pStyle w:val="SNVisa"/>
        <w:ind w:firstLine="708"/>
        <w:rPr>
          <w:sz w:val="24"/>
          <w:szCs w:val="24"/>
        </w:rPr>
      </w:pPr>
      <w:r w:rsidRPr="00915DEF">
        <w:rPr>
          <w:sz w:val="24"/>
          <w:szCs w:val="24"/>
        </w:rPr>
        <w:t>Vu les observations formulées lors de la consultation du public réalisée du XX au XX en application de l’article L. 123-19</w:t>
      </w:r>
      <w:r w:rsidRPr="00915DEF">
        <w:rPr>
          <w:sz w:val="24"/>
          <w:szCs w:val="24"/>
        </w:rPr>
        <w:noBreakHyphen/>
        <w:t>1 du code de l’environnement,</w:t>
      </w:r>
    </w:p>
    <w:p w14:paraId="37C51801" w14:textId="77777777" w:rsidR="009233D8" w:rsidRPr="00915DEF" w:rsidRDefault="009233D8" w:rsidP="009233D8">
      <w:pPr>
        <w:pStyle w:val="Corpsdetexte"/>
        <w:rPr>
          <w:rFonts w:ascii="Times New Roman" w:hAnsi="Times New Roman" w:cs="Times New Roman"/>
          <w:sz w:val="24"/>
          <w:szCs w:val="24"/>
        </w:rPr>
      </w:pPr>
    </w:p>
    <w:p w14:paraId="46D53653" w14:textId="7C01B31C" w:rsidR="00CA1CA2" w:rsidRPr="009117BC" w:rsidRDefault="008B5293" w:rsidP="009117BC">
      <w:pPr>
        <w:pStyle w:val="Titre"/>
        <w:tabs>
          <w:tab w:val="center" w:pos="4536"/>
          <w:tab w:val="left" w:pos="5388"/>
        </w:tabs>
        <w:jc w:val="center"/>
        <w:rPr>
          <w:rFonts w:ascii="Times New Roman" w:hAnsi="Times New Roman" w:cs="Times New Roman"/>
          <w:b/>
          <w:bCs/>
          <w:i/>
          <w:iCs/>
          <w:sz w:val="24"/>
          <w:szCs w:val="24"/>
        </w:rPr>
      </w:pPr>
      <w:r w:rsidRPr="00915DEF">
        <w:rPr>
          <w:rFonts w:ascii="Times New Roman" w:hAnsi="Times New Roman" w:cs="Times New Roman"/>
          <w:b/>
          <w:bCs/>
          <w:i/>
          <w:iCs/>
          <w:sz w:val="24"/>
          <w:szCs w:val="24"/>
        </w:rPr>
        <w:t>Arrête :</w:t>
      </w:r>
    </w:p>
    <w:p w14:paraId="04CE4954" w14:textId="7FD6B9CC" w:rsidR="00CA1CA2" w:rsidRPr="00915DEF" w:rsidRDefault="00CD7FB2" w:rsidP="003E24C1">
      <w:pPr>
        <w:pStyle w:val="Titre1"/>
      </w:pPr>
      <w:bookmarkStart w:id="9" w:name="_Toc164951610"/>
      <w:bookmarkStart w:id="10" w:name="_Toc164951660"/>
      <w:r w:rsidRPr="00915DEF">
        <w:t>Chapitre I</w:t>
      </w:r>
      <w:r w:rsidRPr="00985573">
        <w:rPr>
          <w:vertAlign w:val="superscript"/>
        </w:rPr>
        <w:t>er</w:t>
      </w:r>
      <w:r w:rsidR="0036618F">
        <w:t>. - </w:t>
      </w:r>
      <w:r w:rsidRPr="00915DEF">
        <w:t>Dispositions générales</w:t>
      </w:r>
      <w:bookmarkEnd w:id="9"/>
      <w:bookmarkEnd w:id="10"/>
    </w:p>
    <w:p w14:paraId="3CFDB8FB" w14:textId="7F2E0B7E" w:rsidR="00CA1CA2" w:rsidRPr="00915DEF" w:rsidRDefault="00CD7FB2" w:rsidP="003E24C1">
      <w:pPr>
        <w:pStyle w:val="Titre3"/>
      </w:pPr>
      <w:bookmarkStart w:id="11" w:name="_Toc164951661"/>
      <w:r w:rsidRPr="00915DEF">
        <w:t>Article 1</w:t>
      </w:r>
      <w:r w:rsidR="00EF7776" w:rsidRPr="00915DEF">
        <w:t>.1</w:t>
      </w:r>
      <w:r w:rsidRPr="00915DEF">
        <w:t xml:space="preserve"> </w:t>
      </w:r>
      <w:bookmarkEnd w:id="11"/>
      <w:r w:rsidR="009E586D">
        <w:t>Champ d’application</w:t>
      </w:r>
    </w:p>
    <w:p w14:paraId="63E200F1" w14:textId="0976AEE1" w:rsidR="00341978" w:rsidRDefault="00341978" w:rsidP="00341978">
      <w:pPr>
        <w:pStyle w:val="Default"/>
        <w:spacing w:after="40"/>
        <w:jc w:val="both"/>
      </w:pPr>
      <w:r>
        <w:rPr>
          <w:rFonts w:eastAsia="Times New Roman"/>
          <w:color w:val="auto"/>
          <w:lang w:eastAsia="fr-FR"/>
        </w:rPr>
        <w:t>L</w:t>
      </w:r>
      <w:r w:rsidR="00CA1CA2" w:rsidRPr="00C76E1B">
        <w:t xml:space="preserve">e </w:t>
      </w:r>
      <w:r>
        <w:t>présent arrêté fixe les prescriptions applicables aux installations classées pour la protection de l’environnement soumises à autorisation pour au moins une des activités suivantes :</w:t>
      </w:r>
    </w:p>
    <w:p w14:paraId="704B05A0" w14:textId="5F8315E1" w:rsidR="00341978" w:rsidRDefault="00341978" w:rsidP="00341978">
      <w:pPr>
        <w:pStyle w:val="Default"/>
        <w:spacing w:after="40"/>
        <w:jc w:val="both"/>
      </w:pPr>
      <w:r>
        <w:t xml:space="preserve">- </w:t>
      </w:r>
      <w:r w:rsidR="003B24D7">
        <w:t>n°</w:t>
      </w:r>
      <w:r w:rsidR="008862BD">
        <w:t> </w:t>
      </w:r>
      <w:r>
        <w:t>3650 : é</w:t>
      </w:r>
      <w:r w:rsidRPr="00341978">
        <w:t xml:space="preserve">limination ou recyclage de carcasses </w:t>
      </w:r>
      <w:r w:rsidR="00520317" w:rsidRPr="00520317">
        <w:t>ou de sous-produits animaux</w:t>
      </w:r>
      <w:r w:rsidRPr="00341978">
        <w:t>, avec une capacité de traitement supérieure à 10</w:t>
      </w:r>
      <w:r w:rsidR="006B245C">
        <w:t> </w:t>
      </w:r>
      <w:r w:rsidRPr="00341978">
        <w:t>tonnes par jour</w:t>
      </w:r>
      <w:r>
        <w:rPr>
          <w:sz w:val="22"/>
          <w:szCs w:val="22"/>
        </w:rPr>
        <w:t> </w:t>
      </w:r>
      <w:r>
        <w:t>;</w:t>
      </w:r>
    </w:p>
    <w:p w14:paraId="7EC72F64" w14:textId="65BE1F28" w:rsidR="004B35C0" w:rsidRDefault="00341978" w:rsidP="00341978">
      <w:pPr>
        <w:pStyle w:val="Default"/>
        <w:spacing w:after="40"/>
        <w:jc w:val="both"/>
      </w:pPr>
      <w:r>
        <w:t xml:space="preserve">- </w:t>
      </w:r>
      <w:r w:rsidR="003B24D7">
        <w:t>n°</w:t>
      </w:r>
      <w:r w:rsidR="008862BD">
        <w:t> </w:t>
      </w:r>
      <w:r>
        <w:t xml:space="preserve">3710 : </w:t>
      </w:r>
      <w:r w:rsidR="00916AD8">
        <w:t>t</w:t>
      </w:r>
      <w:r>
        <w:t xml:space="preserve">raitement des eaux résiduaires dans des installations autonomes et qui sont rejetées par une ou plusieurs installations classées au titre de la rubrique </w:t>
      </w:r>
      <w:r w:rsidR="00970F98">
        <w:t>n</w:t>
      </w:r>
      <w:r w:rsidR="006B245C">
        <w:t>° </w:t>
      </w:r>
      <w:r>
        <w:t>36</w:t>
      </w:r>
      <w:r w:rsidR="009E586D">
        <w:t>50</w:t>
      </w:r>
      <w:r>
        <w:t xml:space="preserve"> </w:t>
      </w:r>
      <w:r w:rsidR="00EC3CEE">
        <w:t xml:space="preserve">lorsque </w:t>
      </w:r>
      <w:r>
        <w:t>la charge polluante principale est apportée par cette ou ces installations.</w:t>
      </w:r>
    </w:p>
    <w:p w14:paraId="0088666D" w14:textId="72AE96B3" w:rsidR="00341978" w:rsidRDefault="000B3E67" w:rsidP="000A5DC3">
      <w:pPr>
        <w:pStyle w:val="Default"/>
        <w:spacing w:after="40"/>
        <w:jc w:val="both"/>
      </w:pPr>
      <w:r>
        <w:t>L'arrêté préfectoral d'autorisation d'une installation peut fixer, en tant que de besoin, des dispositions plus sévères que celles prescrites dans le présent arrêté.</w:t>
      </w:r>
    </w:p>
    <w:p w14:paraId="2ED83FD9" w14:textId="77777777" w:rsidR="00D03987" w:rsidRDefault="00D03987" w:rsidP="000A5DC3">
      <w:pPr>
        <w:pStyle w:val="Default"/>
        <w:spacing w:after="40"/>
        <w:jc w:val="both"/>
      </w:pPr>
    </w:p>
    <w:p w14:paraId="0EBA330E" w14:textId="60E0A58C" w:rsidR="009E586D" w:rsidRPr="00915DEF" w:rsidRDefault="009E586D" w:rsidP="009E586D">
      <w:pPr>
        <w:pStyle w:val="Titre3"/>
      </w:pPr>
      <w:r w:rsidRPr="00915DEF">
        <w:t>Article 1.</w:t>
      </w:r>
      <w:r>
        <w:t>2</w:t>
      </w:r>
      <w:r w:rsidRPr="00915DEF">
        <w:t xml:space="preserve"> </w:t>
      </w:r>
      <w:r>
        <w:t>Modalités d’application</w:t>
      </w:r>
    </w:p>
    <w:p w14:paraId="0143E4C2" w14:textId="183C583D" w:rsidR="00CA1CA2" w:rsidRPr="00B00C59" w:rsidRDefault="00070E44" w:rsidP="00491D15">
      <w:pPr>
        <w:pStyle w:val="Default"/>
        <w:spacing w:after="40"/>
        <w:jc w:val="both"/>
        <w:rPr>
          <w:rFonts w:eastAsia="Times New Roman"/>
          <w:color w:val="auto"/>
          <w:lang w:eastAsia="fr-FR"/>
        </w:rPr>
      </w:pPr>
      <w:bookmarkStart w:id="12" w:name="_Hlk187153522"/>
      <w:r w:rsidRPr="00C76E1B">
        <w:rPr>
          <w:rFonts w:eastAsia="Times New Roman"/>
          <w:color w:val="auto"/>
          <w:lang w:eastAsia="fr-FR"/>
        </w:rPr>
        <w:t>I.</w:t>
      </w:r>
      <w:r w:rsidR="00970F98">
        <w:rPr>
          <w:rFonts w:eastAsia="Times New Roman"/>
          <w:color w:val="auto"/>
          <w:lang w:eastAsia="fr-FR"/>
        </w:rPr>
        <w:t> - </w:t>
      </w:r>
      <w:bookmarkStart w:id="13" w:name="_Hlk166233135"/>
      <w:bookmarkStart w:id="14" w:name="_Hlk187153442"/>
      <w:r w:rsidR="00195902" w:rsidRPr="00C76E1B">
        <w:rPr>
          <w:rFonts w:eastAsia="Times New Roman"/>
          <w:color w:val="auto"/>
          <w:lang w:eastAsia="fr-FR"/>
        </w:rPr>
        <w:t>Les</w:t>
      </w:r>
      <w:r w:rsidRPr="00C76E1B">
        <w:rPr>
          <w:rFonts w:eastAsia="Times New Roman"/>
          <w:color w:val="auto"/>
          <w:lang w:eastAsia="fr-FR"/>
        </w:rPr>
        <w:t xml:space="preserve"> dispositions des </w:t>
      </w:r>
      <w:r w:rsidRPr="00073C5F">
        <w:rPr>
          <w:rFonts w:eastAsia="Times New Roman"/>
          <w:color w:val="auto"/>
          <w:lang w:eastAsia="fr-FR"/>
        </w:rPr>
        <w:t>articles</w:t>
      </w:r>
      <w:r w:rsidR="00555899" w:rsidRPr="00073C5F">
        <w:rPr>
          <w:rFonts w:eastAsia="Times New Roman"/>
          <w:color w:val="auto"/>
          <w:lang w:eastAsia="fr-FR"/>
        </w:rPr>
        <w:t xml:space="preserve"> </w:t>
      </w:r>
      <w:r w:rsidR="003335E8" w:rsidRPr="00073C5F">
        <w:rPr>
          <w:rFonts w:eastAsia="Times New Roman"/>
          <w:color w:val="auto"/>
          <w:lang w:eastAsia="fr-FR"/>
        </w:rPr>
        <w:t>3.4,</w:t>
      </w:r>
      <w:r w:rsidR="00B00C59" w:rsidRPr="00073C5F">
        <w:rPr>
          <w:rFonts w:eastAsia="Times New Roman"/>
          <w:color w:val="auto"/>
          <w:lang w:eastAsia="fr-FR"/>
        </w:rPr>
        <w:t xml:space="preserve"> </w:t>
      </w:r>
      <w:r w:rsidR="003335E8" w:rsidRPr="00073C5F">
        <w:rPr>
          <w:rFonts w:eastAsia="Times New Roman"/>
          <w:color w:val="auto"/>
          <w:lang w:eastAsia="fr-FR"/>
        </w:rPr>
        <w:t>3.5,</w:t>
      </w:r>
      <w:r w:rsidR="00B00C59" w:rsidRPr="00073C5F">
        <w:rPr>
          <w:rFonts w:eastAsia="Times New Roman"/>
          <w:color w:val="auto"/>
          <w:lang w:eastAsia="fr-FR"/>
        </w:rPr>
        <w:t xml:space="preserve"> </w:t>
      </w:r>
      <w:r w:rsidR="003335E8" w:rsidRPr="00073C5F">
        <w:rPr>
          <w:rFonts w:eastAsia="Times New Roman"/>
          <w:color w:val="auto"/>
          <w:lang w:eastAsia="fr-FR"/>
        </w:rPr>
        <w:t>3.6,</w:t>
      </w:r>
      <w:r w:rsidR="00B00C59" w:rsidRPr="00073C5F">
        <w:rPr>
          <w:rFonts w:eastAsia="Times New Roman"/>
          <w:color w:val="auto"/>
          <w:lang w:eastAsia="fr-FR"/>
        </w:rPr>
        <w:t xml:space="preserve"> 3.7, </w:t>
      </w:r>
      <w:r w:rsidR="003335E8" w:rsidRPr="008862BD">
        <w:rPr>
          <w:rFonts w:eastAsia="Times New Roman"/>
          <w:color w:val="auto"/>
          <w:lang w:eastAsia="fr-FR"/>
        </w:rPr>
        <w:t>3.8.1</w:t>
      </w:r>
      <w:r w:rsidR="00B00C59" w:rsidRPr="008862BD">
        <w:rPr>
          <w:rFonts w:eastAsia="Times New Roman"/>
          <w:color w:val="auto"/>
          <w:lang w:eastAsia="fr-FR"/>
        </w:rPr>
        <w:t xml:space="preserve">, </w:t>
      </w:r>
      <w:r w:rsidR="003335E8" w:rsidRPr="008862BD">
        <w:rPr>
          <w:rFonts w:eastAsia="Times New Roman"/>
          <w:color w:val="auto"/>
          <w:lang w:eastAsia="fr-FR"/>
        </w:rPr>
        <w:t>4.2, I du 4.4</w:t>
      </w:r>
      <w:r w:rsidR="00B00C59" w:rsidRPr="008862BD">
        <w:rPr>
          <w:rFonts w:eastAsia="Times New Roman"/>
          <w:color w:val="auto"/>
          <w:lang w:eastAsia="fr-FR"/>
        </w:rPr>
        <w:t xml:space="preserve">, </w:t>
      </w:r>
      <w:r w:rsidR="00073C5F" w:rsidRPr="00073C5F">
        <w:rPr>
          <w:rFonts w:eastAsia="Times New Roman"/>
          <w:color w:val="auto"/>
          <w:lang w:eastAsia="fr-FR"/>
        </w:rPr>
        <w:t xml:space="preserve">I, </w:t>
      </w:r>
      <w:r w:rsidR="00B00C59" w:rsidRPr="00073C5F">
        <w:rPr>
          <w:rFonts w:eastAsia="Times New Roman"/>
          <w:color w:val="auto"/>
          <w:lang w:eastAsia="fr-FR"/>
        </w:rPr>
        <w:t>II</w:t>
      </w:r>
      <w:r w:rsidR="00073C5F" w:rsidRPr="00073C5F">
        <w:rPr>
          <w:rFonts w:eastAsia="Times New Roman"/>
          <w:color w:val="auto"/>
          <w:lang w:eastAsia="fr-FR"/>
        </w:rPr>
        <w:t xml:space="preserve"> et</w:t>
      </w:r>
      <w:r w:rsidR="003B24D7" w:rsidRPr="00073C5F">
        <w:rPr>
          <w:rFonts w:eastAsia="Times New Roman"/>
          <w:color w:val="auto"/>
          <w:lang w:eastAsia="fr-FR"/>
        </w:rPr>
        <w:t xml:space="preserve"> III</w:t>
      </w:r>
      <w:r w:rsidR="00B00C59" w:rsidRPr="00073C5F">
        <w:rPr>
          <w:rFonts w:eastAsia="Times New Roman"/>
          <w:color w:val="auto"/>
          <w:lang w:eastAsia="fr-FR"/>
        </w:rPr>
        <w:t xml:space="preserve"> du 5.5, </w:t>
      </w:r>
      <w:r w:rsidR="00B00C59" w:rsidRPr="00B12DD0">
        <w:rPr>
          <w:rFonts w:eastAsia="Times New Roman"/>
          <w:color w:val="auto"/>
          <w:lang w:eastAsia="fr-FR"/>
        </w:rPr>
        <w:t>I du 5.14, I du 6.</w:t>
      </w:r>
      <w:r w:rsidR="00073C5F" w:rsidRPr="00B12DD0">
        <w:rPr>
          <w:rFonts w:eastAsia="Times New Roman"/>
          <w:color w:val="auto"/>
          <w:lang w:eastAsia="fr-FR"/>
        </w:rPr>
        <w:t>2</w:t>
      </w:r>
      <w:r w:rsidR="00B00C59" w:rsidRPr="008862BD">
        <w:rPr>
          <w:rFonts w:eastAsia="Times New Roman"/>
          <w:color w:val="auto"/>
          <w:lang w:eastAsia="fr-FR"/>
        </w:rPr>
        <w:t>,</w:t>
      </w:r>
      <w:r w:rsidR="00073C5F" w:rsidRPr="00B12DD0">
        <w:rPr>
          <w:rFonts w:eastAsia="Times New Roman"/>
          <w:color w:val="auto"/>
          <w:lang w:eastAsia="fr-FR"/>
        </w:rPr>
        <w:t xml:space="preserve"> 6.5</w:t>
      </w:r>
      <w:r w:rsidR="00073C5F" w:rsidRPr="00BB1597">
        <w:rPr>
          <w:rFonts w:eastAsia="Times New Roman"/>
          <w:color w:val="auto"/>
          <w:lang w:eastAsia="fr-FR"/>
        </w:rPr>
        <w:t>,</w:t>
      </w:r>
      <w:r w:rsidR="00B00C59" w:rsidRPr="00BB1597">
        <w:rPr>
          <w:rFonts w:eastAsia="Times New Roman"/>
          <w:color w:val="auto"/>
          <w:lang w:eastAsia="fr-FR"/>
        </w:rPr>
        <w:t xml:space="preserve"> </w:t>
      </w:r>
      <w:r w:rsidR="00BB1597" w:rsidRPr="00BB1597">
        <w:rPr>
          <w:rFonts w:eastAsia="Times New Roman"/>
          <w:color w:val="auto"/>
          <w:lang w:eastAsia="fr-FR"/>
        </w:rPr>
        <w:t>II</w:t>
      </w:r>
      <w:r w:rsidR="00B12DD0" w:rsidRPr="00BB1597">
        <w:rPr>
          <w:rFonts w:eastAsia="Times New Roman"/>
          <w:color w:val="auto"/>
          <w:lang w:eastAsia="fr-FR"/>
        </w:rPr>
        <w:t xml:space="preserve">I </w:t>
      </w:r>
      <w:r w:rsidR="00BB1597" w:rsidRPr="00BB1597">
        <w:rPr>
          <w:rFonts w:eastAsia="Times New Roman"/>
          <w:color w:val="auto"/>
          <w:lang w:eastAsia="fr-FR"/>
        </w:rPr>
        <w:t xml:space="preserve">et IV </w:t>
      </w:r>
      <w:r w:rsidR="00B12DD0" w:rsidRPr="00BB1597">
        <w:rPr>
          <w:rFonts w:eastAsia="Times New Roman"/>
          <w:color w:val="auto"/>
          <w:lang w:eastAsia="fr-FR"/>
        </w:rPr>
        <w:t>du 6.6</w:t>
      </w:r>
      <w:r w:rsidR="00B00C59" w:rsidRPr="00BB1597">
        <w:rPr>
          <w:rFonts w:eastAsia="Times New Roman"/>
          <w:color w:val="auto"/>
          <w:lang w:eastAsia="fr-FR"/>
        </w:rPr>
        <w:t xml:space="preserve">, </w:t>
      </w:r>
      <w:r w:rsidR="003335E8" w:rsidRPr="00BB1597">
        <w:rPr>
          <w:rFonts w:eastAsia="Times New Roman"/>
          <w:color w:val="auto"/>
          <w:lang w:eastAsia="fr-FR"/>
        </w:rPr>
        <w:t xml:space="preserve">7.2, </w:t>
      </w:r>
      <w:r w:rsidR="00B12DD0" w:rsidRPr="00BB1597">
        <w:rPr>
          <w:rFonts w:eastAsia="Times New Roman"/>
          <w:color w:val="auto"/>
          <w:lang w:eastAsia="fr-FR"/>
        </w:rPr>
        <w:t>10.1,</w:t>
      </w:r>
      <w:r w:rsidR="00B00C59" w:rsidRPr="00BB1597">
        <w:rPr>
          <w:rFonts w:eastAsia="Times New Roman"/>
          <w:color w:val="auto"/>
          <w:lang w:eastAsia="fr-FR"/>
        </w:rPr>
        <w:t xml:space="preserve"> 10.2, </w:t>
      </w:r>
      <w:r w:rsidR="003335E8" w:rsidRPr="00BB1597">
        <w:rPr>
          <w:rFonts w:eastAsia="Times New Roman"/>
          <w:color w:val="auto"/>
          <w:lang w:eastAsia="fr-FR"/>
        </w:rPr>
        <w:t>II du 11.1, 11.2</w:t>
      </w:r>
      <w:r w:rsidR="00B12DD0" w:rsidRPr="00BB1597">
        <w:rPr>
          <w:rFonts w:eastAsia="Times New Roman"/>
          <w:color w:val="auto"/>
          <w:lang w:eastAsia="fr-FR"/>
        </w:rPr>
        <w:t xml:space="preserve"> et</w:t>
      </w:r>
      <w:r w:rsidR="003335E8" w:rsidRPr="00BB1597">
        <w:rPr>
          <w:rFonts w:eastAsia="Times New Roman"/>
          <w:color w:val="auto"/>
          <w:lang w:eastAsia="fr-FR"/>
        </w:rPr>
        <w:t xml:space="preserve"> 11.3</w:t>
      </w:r>
      <w:r w:rsidR="00B00C59" w:rsidRPr="00B12DD0">
        <w:rPr>
          <w:rFonts w:eastAsia="Times New Roman"/>
          <w:color w:val="auto"/>
          <w:lang w:eastAsia="fr-FR"/>
        </w:rPr>
        <w:t xml:space="preserve"> </w:t>
      </w:r>
      <w:r w:rsidR="00555899" w:rsidRPr="00B12DD0">
        <w:rPr>
          <w:rFonts w:eastAsia="Times New Roman"/>
          <w:color w:val="auto"/>
          <w:lang w:eastAsia="fr-FR"/>
        </w:rPr>
        <w:t>du</w:t>
      </w:r>
      <w:r w:rsidR="00555899" w:rsidRPr="00C76E1B">
        <w:rPr>
          <w:rFonts w:eastAsia="Times New Roman"/>
          <w:color w:val="auto"/>
          <w:lang w:eastAsia="fr-FR"/>
        </w:rPr>
        <w:t xml:space="preserve"> présent arrêté</w:t>
      </w:r>
      <w:r w:rsidR="00195902" w:rsidRPr="00C76E1B">
        <w:rPr>
          <w:rFonts w:eastAsia="Times New Roman"/>
          <w:color w:val="auto"/>
          <w:lang w:eastAsia="fr-FR"/>
        </w:rPr>
        <w:t xml:space="preserve"> sont applicables s</w:t>
      </w:r>
      <w:r w:rsidR="009E586D">
        <w:rPr>
          <w:rFonts w:eastAsia="Times New Roman"/>
          <w:color w:val="auto"/>
          <w:lang w:eastAsia="fr-FR"/>
        </w:rPr>
        <w:t>elon</w:t>
      </w:r>
      <w:r w:rsidR="00195902" w:rsidRPr="00C76E1B">
        <w:rPr>
          <w:rFonts w:eastAsia="Times New Roman"/>
          <w:color w:val="auto"/>
          <w:lang w:eastAsia="fr-FR"/>
        </w:rPr>
        <w:t xml:space="preserve"> les délais </w:t>
      </w:r>
      <w:bookmarkEnd w:id="13"/>
      <w:r w:rsidR="00DA7C81" w:rsidRPr="00C76E1B">
        <w:rPr>
          <w:rFonts w:eastAsia="Times New Roman"/>
          <w:color w:val="auto"/>
          <w:lang w:eastAsia="fr-FR"/>
        </w:rPr>
        <w:t xml:space="preserve">prévus </w:t>
      </w:r>
      <w:r w:rsidR="00B53EC6">
        <w:rPr>
          <w:rFonts w:eastAsia="Times New Roman"/>
          <w:color w:val="auto"/>
          <w:lang w:eastAsia="fr-FR"/>
        </w:rPr>
        <w:t xml:space="preserve">au </w:t>
      </w:r>
      <w:r w:rsidR="00DA7C81" w:rsidRPr="00C76E1B">
        <w:rPr>
          <w:rFonts w:eastAsia="Times New Roman"/>
          <w:color w:val="auto"/>
          <w:lang w:eastAsia="fr-FR"/>
        </w:rPr>
        <w:t>le présent paragraphe.</w:t>
      </w:r>
    </w:p>
    <w:bookmarkEnd w:id="12"/>
    <w:bookmarkEnd w:id="14"/>
    <w:p w14:paraId="199A5CFC" w14:textId="63BEB5B5" w:rsidR="00491D15" w:rsidRPr="00C76E1B" w:rsidRDefault="003B24D7" w:rsidP="000A5DC3">
      <w:pPr>
        <w:pStyle w:val="Default"/>
        <w:spacing w:after="40"/>
        <w:jc w:val="both"/>
      </w:pPr>
      <w:r>
        <w:rPr>
          <w:color w:val="auto"/>
        </w:rPr>
        <w:t>C</w:t>
      </w:r>
      <w:r w:rsidR="007C7E54" w:rsidRPr="00B00C59">
        <w:rPr>
          <w:color w:val="auto"/>
        </w:rPr>
        <w:t>es prescriptions sont immédiatement applica</w:t>
      </w:r>
      <w:r w:rsidR="007C7E54" w:rsidRPr="00C76E1B">
        <w:t>bles aux installations classées au titre d</w:t>
      </w:r>
      <w:r w:rsidR="00090106" w:rsidRPr="00C76E1B">
        <w:t xml:space="preserve">e la </w:t>
      </w:r>
      <w:r w:rsidR="007C7E54" w:rsidRPr="00C76E1B">
        <w:t>rubrique</w:t>
      </w:r>
      <w:r w:rsidR="00090106" w:rsidRPr="00C76E1B">
        <w:t xml:space="preserve"> </w:t>
      </w:r>
      <w:r>
        <w:t xml:space="preserve">n° </w:t>
      </w:r>
      <w:r w:rsidR="00380CDB" w:rsidRPr="00C76E1B">
        <w:t xml:space="preserve">3650 ou </w:t>
      </w:r>
      <w:r>
        <w:t xml:space="preserve">n° </w:t>
      </w:r>
      <w:r w:rsidR="00380CDB" w:rsidRPr="00C76E1B">
        <w:t xml:space="preserve">3710 pour lesquelles la charge polluante principale provient d’une ou plusieurs installations relevant de la rubrique </w:t>
      </w:r>
      <w:r>
        <w:t xml:space="preserve">n° </w:t>
      </w:r>
      <w:r w:rsidR="00380CDB" w:rsidRPr="00C76E1B">
        <w:t>3650</w:t>
      </w:r>
      <w:r w:rsidR="007C7E54" w:rsidRPr="00C76E1B">
        <w:t xml:space="preserve">, autorisées après le </w:t>
      </w:r>
      <w:r w:rsidR="00EF3763" w:rsidRPr="00C76E1B">
        <w:rPr>
          <w:rFonts w:eastAsia="Times New Roman"/>
          <w:color w:val="auto"/>
          <w:lang w:eastAsia="fr-FR"/>
        </w:rPr>
        <w:t>1</w:t>
      </w:r>
      <w:r w:rsidR="00FB5C32" w:rsidRPr="00C76E1B">
        <w:rPr>
          <w:rFonts w:eastAsia="Times New Roman"/>
          <w:color w:val="auto"/>
          <w:lang w:eastAsia="fr-FR"/>
        </w:rPr>
        <w:t>8</w:t>
      </w:r>
      <w:r w:rsidR="007C7E54" w:rsidRPr="00C76E1B">
        <w:t xml:space="preserve"> décembre 202</w:t>
      </w:r>
      <w:r w:rsidR="000259C4" w:rsidRPr="00C76E1B">
        <w:t>3</w:t>
      </w:r>
      <w:r w:rsidR="007C7E54" w:rsidRPr="00C76E1B">
        <w:t>.</w:t>
      </w:r>
    </w:p>
    <w:p w14:paraId="7006AC0C" w14:textId="4C7EA166" w:rsidR="007C7E54" w:rsidRPr="00C76E1B" w:rsidRDefault="003B24D7" w:rsidP="000A5DC3">
      <w:pPr>
        <w:pStyle w:val="Default"/>
        <w:spacing w:after="40"/>
        <w:jc w:val="both"/>
      </w:pPr>
      <w:r>
        <w:t>C</w:t>
      </w:r>
      <w:r w:rsidR="007C7E54" w:rsidRPr="00C76E1B">
        <w:t xml:space="preserve">es prescriptions sont immédiatement applicables aux extensions ou au remplacement complet des installations existantes classées au titre </w:t>
      </w:r>
      <w:r w:rsidR="00090106" w:rsidRPr="00C76E1B">
        <w:t xml:space="preserve">au titre de la rubrique </w:t>
      </w:r>
      <w:r>
        <w:t>n° </w:t>
      </w:r>
      <w:r w:rsidR="00380CDB" w:rsidRPr="00C76E1B">
        <w:t xml:space="preserve">3650 ou </w:t>
      </w:r>
      <w:r>
        <w:t xml:space="preserve">n° </w:t>
      </w:r>
      <w:r w:rsidR="00380CDB" w:rsidRPr="00C76E1B">
        <w:t xml:space="preserve">3710 pour lesquelles la charge polluante principale provient d’une ou plusieurs installations relevant de la rubrique </w:t>
      </w:r>
      <w:r>
        <w:t xml:space="preserve">n° </w:t>
      </w:r>
      <w:r w:rsidR="00380CDB" w:rsidRPr="00C76E1B">
        <w:t>3650</w:t>
      </w:r>
      <w:r w:rsidR="007C7E54" w:rsidRPr="00C76E1B">
        <w:t xml:space="preserve">, </w:t>
      </w:r>
      <w:r w:rsidR="007C7E54" w:rsidRPr="009823F6">
        <w:t xml:space="preserve">lorsque ces extensions ou ce remplacement sont autorisés après le </w:t>
      </w:r>
      <w:r w:rsidR="00EF3763" w:rsidRPr="009823F6">
        <w:rPr>
          <w:rFonts w:eastAsia="Times New Roman"/>
          <w:color w:val="auto"/>
          <w:lang w:eastAsia="fr-FR"/>
        </w:rPr>
        <w:t>1</w:t>
      </w:r>
      <w:r w:rsidR="00FB5C32" w:rsidRPr="009823F6">
        <w:rPr>
          <w:rFonts w:eastAsia="Times New Roman"/>
          <w:color w:val="auto"/>
          <w:lang w:eastAsia="fr-FR"/>
        </w:rPr>
        <w:t>8</w:t>
      </w:r>
      <w:r w:rsidR="000259C4" w:rsidRPr="009823F6">
        <w:t xml:space="preserve"> </w:t>
      </w:r>
      <w:r w:rsidR="007C7E54" w:rsidRPr="009823F6">
        <w:t>décembre 202</w:t>
      </w:r>
      <w:r w:rsidR="000259C4" w:rsidRPr="009823F6">
        <w:t>3</w:t>
      </w:r>
      <w:r w:rsidR="007C7E54" w:rsidRPr="009823F6">
        <w:t>.</w:t>
      </w:r>
      <w:r w:rsidR="009E586D" w:rsidRPr="009823F6">
        <w:rPr>
          <w:rFonts w:eastAsia="Times New Roman"/>
          <w:color w:val="auto"/>
          <w:lang w:eastAsia="fr-FR"/>
        </w:rPr>
        <w:t xml:space="preserve"> </w:t>
      </w:r>
      <w:r w:rsidR="009E586D" w:rsidRPr="009823F6">
        <w:t>Les autres modifications portées à la connaissance du préfet en application du II de l’article R. 181-46 du code de l’environnement après le 18 décembre 2023 prennent en compte autant que possible les prescriptions du présent arrêté.</w:t>
      </w:r>
    </w:p>
    <w:p w14:paraId="36AD0E05" w14:textId="37F98496" w:rsidR="009823F6" w:rsidRDefault="003B24D7" w:rsidP="000A5DC3">
      <w:pPr>
        <w:pStyle w:val="Default"/>
        <w:spacing w:after="40"/>
        <w:jc w:val="both"/>
        <w:rPr>
          <w:rFonts w:eastAsia="Times New Roman"/>
          <w:color w:val="auto"/>
          <w:lang w:eastAsia="fr-FR"/>
        </w:rPr>
      </w:pPr>
      <w:r>
        <w:t>C</w:t>
      </w:r>
      <w:r w:rsidR="007C7E54" w:rsidRPr="00C76E1B">
        <w:t xml:space="preserve">es prescriptions sont applicables aux </w:t>
      </w:r>
      <w:r w:rsidR="009823F6">
        <w:t xml:space="preserve">autres </w:t>
      </w:r>
      <w:r w:rsidR="007C7E54" w:rsidRPr="00C76E1B">
        <w:t xml:space="preserve">installations classées </w:t>
      </w:r>
      <w:r w:rsidR="00090106" w:rsidRPr="00C76E1B">
        <w:t xml:space="preserve">au titre de la rubrique </w:t>
      </w:r>
      <w:r w:rsidR="009823F6">
        <w:t xml:space="preserve">n° </w:t>
      </w:r>
      <w:r w:rsidR="006E4A85" w:rsidRPr="00C76E1B">
        <w:rPr>
          <w:rFonts w:eastAsia="Times New Roman"/>
          <w:color w:val="auto"/>
          <w:lang w:eastAsia="fr-FR"/>
        </w:rPr>
        <w:t>36</w:t>
      </w:r>
      <w:r w:rsidR="00440E61" w:rsidRPr="00C76E1B">
        <w:rPr>
          <w:rFonts w:eastAsia="Times New Roman"/>
          <w:color w:val="auto"/>
          <w:lang w:eastAsia="fr-FR"/>
        </w:rPr>
        <w:t>50</w:t>
      </w:r>
      <w:r w:rsidR="00EF3763" w:rsidRPr="00C76E1B">
        <w:rPr>
          <w:rFonts w:eastAsia="Times New Roman"/>
          <w:color w:val="auto"/>
          <w:lang w:eastAsia="fr-FR"/>
        </w:rPr>
        <w:t xml:space="preserve"> ou </w:t>
      </w:r>
      <w:r w:rsidR="009823F6">
        <w:rPr>
          <w:rFonts w:eastAsia="Times New Roman"/>
          <w:color w:val="auto"/>
          <w:lang w:eastAsia="fr-FR"/>
        </w:rPr>
        <w:t xml:space="preserve">n° </w:t>
      </w:r>
      <w:r w:rsidR="00EF3763" w:rsidRPr="00C76E1B">
        <w:rPr>
          <w:rFonts w:eastAsia="Times New Roman"/>
          <w:color w:val="auto"/>
          <w:lang w:eastAsia="fr-FR"/>
        </w:rPr>
        <w:t xml:space="preserve">3710 (pour lesquelles la charge polluante principale provient d’une ou plusieurs installations relevant de la rubrique </w:t>
      </w:r>
      <w:r w:rsidR="009823F6">
        <w:rPr>
          <w:rFonts w:eastAsia="Times New Roman"/>
          <w:color w:val="auto"/>
          <w:lang w:eastAsia="fr-FR"/>
        </w:rPr>
        <w:t xml:space="preserve">n° </w:t>
      </w:r>
      <w:r w:rsidR="006E4A85" w:rsidRPr="00C76E1B">
        <w:rPr>
          <w:rFonts w:eastAsia="Times New Roman"/>
          <w:color w:val="auto"/>
          <w:lang w:eastAsia="fr-FR"/>
        </w:rPr>
        <w:t>36</w:t>
      </w:r>
      <w:r w:rsidR="009E586D">
        <w:rPr>
          <w:rFonts w:eastAsia="Times New Roman"/>
          <w:color w:val="auto"/>
          <w:lang w:eastAsia="fr-FR"/>
        </w:rPr>
        <w:t>50</w:t>
      </w:r>
      <w:r w:rsidR="00EF3763" w:rsidRPr="00C76E1B">
        <w:rPr>
          <w:rFonts w:eastAsia="Times New Roman"/>
          <w:color w:val="auto"/>
          <w:lang w:eastAsia="fr-FR"/>
        </w:rPr>
        <w:t>) autorisées avant le 1</w:t>
      </w:r>
      <w:r w:rsidR="00FB5C32" w:rsidRPr="00C76E1B">
        <w:rPr>
          <w:rFonts w:eastAsia="Times New Roman"/>
          <w:color w:val="auto"/>
          <w:lang w:eastAsia="fr-FR"/>
        </w:rPr>
        <w:t>9</w:t>
      </w:r>
      <w:r w:rsidR="00EF3763" w:rsidRPr="00C76E1B">
        <w:rPr>
          <w:rFonts w:eastAsia="Times New Roman"/>
          <w:color w:val="auto"/>
          <w:lang w:eastAsia="fr-FR"/>
        </w:rPr>
        <w:t xml:space="preserve"> décembre 2023, dont les conclusions sur les meilleures techniques disponibles relatives à la rubrique principale prévues à l'article R. 515-61 du code de l'environnement sont celles de la décision d'exécution </w:t>
      </w:r>
      <w:bookmarkStart w:id="15" w:name="_Hlk185603025"/>
      <w:r w:rsidR="00036015">
        <w:rPr>
          <w:rFonts w:eastAsia="Times New Roman"/>
          <w:color w:val="auto"/>
          <w:lang w:eastAsia="fr-FR"/>
        </w:rPr>
        <w:t>du 11 décembre 2023</w:t>
      </w:r>
      <w:bookmarkEnd w:id="15"/>
      <w:r w:rsidR="005E0437">
        <w:rPr>
          <w:rFonts w:eastAsia="Times New Roman"/>
          <w:color w:val="auto"/>
          <w:lang w:eastAsia="fr-FR"/>
        </w:rPr>
        <w:t xml:space="preserve"> susvisée</w:t>
      </w:r>
      <w:r w:rsidR="00EF3763" w:rsidRPr="00C76E1B">
        <w:rPr>
          <w:rFonts w:eastAsia="Times New Roman"/>
          <w:color w:val="auto"/>
          <w:lang w:eastAsia="fr-FR"/>
        </w:rPr>
        <w:t>, au 1</w:t>
      </w:r>
      <w:r w:rsidR="00FB5C32" w:rsidRPr="00C76E1B">
        <w:rPr>
          <w:rFonts w:eastAsia="Times New Roman"/>
          <w:color w:val="auto"/>
          <w:lang w:eastAsia="fr-FR"/>
        </w:rPr>
        <w:t>8</w:t>
      </w:r>
      <w:r w:rsidR="00EF3763" w:rsidRPr="00C76E1B">
        <w:rPr>
          <w:rFonts w:eastAsia="Times New Roman"/>
          <w:color w:val="auto"/>
          <w:lang w:eastAsia="fr-FR"/>
        </w:rPr>
        <w:t xml:space="preserve"> décembre 2027.</w:t>
      </w:r>
    </w:p>
    <w:p w14:paraId="54AAF499" w14:textId="27FC7B47" w:rsidR="007C7E54" w:rsidRPr="00C76E1B" w:rsidRDefault="00EF3763" w:rsidP="000A5DC3">
      <w:pPr>
        <w:pStyle w:val="Default"/>
        <w:spacing w:after="40"/>
        <w:jc w:val="both"/>
      </w:pPr>
      <w:r w:rsidRPr="00C76E1B">
        <w:rPr>
          <w:rFonts w:eastAsia="Times New Roman"/>
          <w:color w:val="auto"/>
          <w:lang w:eastAsia="fr-FR"/>
        </w:rPr>
        <w:t xml:space="preserve">Les prescriptions du présent arrêté sont applicables aux installations classées au titre de la rubrique </w:t>
      </w:r>
      <w:r w:rsidR="009823F6">
        <w:rPr>
          <w:rFonts w:eastAsia="Times New Roman"/>
          <w:color w:val="auto"/>
          <w:lang w:eastAsia="fr-FR"/>
        </w:rPr>
        <w:t xml:space="preserve">n° </w:t>
      </w:r>
      <w:r w:rsidR="00440E61" w:rsidRPr="00C76E1B">
        <w:rPr>
          <w:rFonts w:eastAsia="Times New Roman"/>
          <w:color w:val="auto"/>
          <w:lang w:eastAsia="fr-FR"/>
        </w:rPr>
        <w:t>3650</w:t>
      </w:r>
      <w:r w:rsidR="00380CDB" w:rsidRPr="00C76E1B">
        <w:t xml:space="preserve"> ou </w:t>
      </w:r>
      <w:r w:rsidR="009823F6">
        <w:t xml:space="preserve">n° </w:t>
      </w:r>
      <w:r w:rsidR="00380CDB" w:rsidRPr="00C76E1B">
        <w:t xml:space="preserve">3710 pour lesquelles la charge polluante principale provient d’une ou plusieurs installations relevant de la rubrique </w:t>
      </w:r>
      <w:r w:rsidR="00440E61" w:rsidRPr="00C76E1B">
        <w:t>3650</w:t>
      </w:r>
      <w:r w:rsidR="00090106" w:rsidRPr="00C76E1B">
        <w:t xml:space="preserve"> </w:t>
      </w:r>
      <w:r w:rsidR="007C7E54" w:rsidRPr="00C76E1B">
        <w:t>autorisées avant le 1</w:t>
      </w:r>
      <w:r w:rsidR="00440E61" w:rsidRPr="00C76E1B">
        <w:t>9</w:t>
      </w:r>
      <w:r w:rsidR="007C7E54" w:rsidRPr="00C76E1B">
        <w:t xml:space="preserve"> décembre 202</w:t>
      </w:r>
      <w:r w:rsidR="000259C4" w:rsidRPr="00C76E1B">
        <w:t>3</w:t>
      </w:r>
      <w:r w:rsidR="007C7E54" w:rsidRPr="00C76E1B">
        <w:t xml:space="preserve">, dont les conclusions sur les meilleures techniques disponibles relatives à la rubrique principale prévues à l'article R. 515-61 du code de l'environnement sont celles de la décision d'exécution </w:t>
      </w:r>
      <w:r w:rsidR="00036015" w:rsidRPr="00036015">
        <w:t>du 11 décembre 2023</w:t>
      </w:r>
      <w:r w:rsidR="00036015">
        <w:t xml:space="preserve"> </w:t>
      </w:r>
      <w:r w:rsidR="005E0437">
        <w:t>susvisée</w:t>
      </w:r>
      <w:r w:rsidR="007C7E54" w:rsidRPr="00C76E1B">
        <w:t xml:space="preserve">, au </w:t>
      </w:r>
      <w:r w:rsidR="000259C4" w:rsidRPr="00C76E1B">
        <w:t>1</w:t>
      </w:r>
      <w:r w:rsidR="00440E61" w:rsidRPr="00C76E1B">
        <w:t>8</w:t>
      </w:r>
      <w:r w:rsidR="007C7E54" w:rsidRPr="00C76E1B">
        <w:t xml:space="preserve"> décembre 202</w:t>
      </w:r>
      <w:r w:rsidR="000259C4" w:rsidRPr="00C76E1B">
        <w:t>7</w:t>
      </w:r>
      <w:r w:rsidR="007C7E54" w:rsidRPr="00C76E1B">
        <w:t>.</w:t>
      </w:r>
    </w:p>
    <w:p w14:paraId="1E887F4B" w14:textId="291E1E98" w:rsidR="00440E61" w:rsidRPr="00C76E1B" w:rsidRDefault="003B24D7" w:rsidP="00440E61">
      <w:pPr>
        <w:pStyle w:val="Default"/>
        <w:spacing w:after="40"/>
        <w:jc w:val="both"/>
        <w:rPr>
          <w:rFonts w:eastAsia="Times New Roman"/>
          <w:color w:val="auto"/>
          <w:lang w:eastAsia="fr-FR"/>
        </w:rPr>
      </w:pPr>
      <w:r>
        <w:rPr>
          <w:rFonts w:eastAsia="Times New Roman"/>
          <w:color w:val="auto"/>
          <w:lang w:eastAsia="fr-FR"/>
        </w:rPr>
        <w:t>C</w:t>
      </w:r>
      <w:r w:rsidR="00440E61" w:rsidRPr="00C76E1B">
        <w:rPr>
          <w:rFonts w:eastAsia="Times New Roman"/>
          <w:color w:val="auto"/>
          <w:lang w:eastAsia="fr-FR"/>
        </w:rPr>
        <w:t xml:space="preserve">es prescriptions sont applicables aux </w:t>
      </w:r>
      <w:r w:rsidR="009823F6">
        <w:rPr>
          <w:rFonts w:eastAsia="Times New Roman"/>
          <w:color w:val="auto"/>
          <w:lang w:eastAsia="fr-FR"/>
        </w:rPr>
        <w:t xml:space="preserve">autres </w:t>
      </w:r>
      <w:r w:rsidR="00440E61" w:rsidRPr="00C76E1B">
        <w:rPr>
          <w:rFonts w:eastAsia="Times New Roman"/>
          <w:color w:val="auto"/>
          <w:lang w:eastAsia="fr-FR"/>
        </w:rPr>
        <w:t xml:space="preserve">installations classées au titre de la rubrique </w:t>
      </w:r>
      <w:r w:rsidR="009823F6">
        <w:rPr>
          <w:rFonts w:eastAsia="Times New Roman"/>
          <w:color w:val="auto"/>
          <w:lang w:eastAsia="fr-FR"/>
        </w:rPr>
        <w:t xml:space="preserve">n° </w:t>
      </w:r>
      <w:r w:rsidR="00440E61" w:rsidRPr="00C76E1B">
        <w:rPr>
          <w:rFonts w:eastAsia="Times New Roman"/>
          <w:color w:val="auto"/>
          <w:lang w:eastAsia="fr-FR"/>
        </w:rPr>
        <w:t xml:space="preserve">3650 ou </w:t>
      </w:r>
      <w:r w:rsidR="009823F6">
        <w:rPr>
          <w:rFonts w:eastAsia="Times New Roman"/>
          <w:color w:val="auto"/>
          <w:lang w:eastAsia="fr-FR"/>
        </w:rPr>
        <w:t xml:space="preserve">n° </w:t>
      </w:r>
      <w:r w:rsidR="00440E61" w:rsidRPr="00C76E1B">
        <w:rPr>
          <w:rFonts w:eastAsia="Times New Roman"/>
          <w:color w:val="auto"/>
          <w:lang w:eastAsia="fr-FR"/>
        </w:rPr>
        <w:t xml:space="preserve">3710 pour lesquelles la charge polluante principale provient d’une ou plusieurs installations relevant de la rubrique </w:t>
      </w:r>
      <w:r w:rsidR="009823F6">
        <w:rPr>
          <w:rFonts w:eastAsia="Times New Roman"/>
          <w:color w:val="auto"/>
          <w:lang w:eastAsia="fr-FR"/>
        </w:rPr>
        <w:t xml:space="preserve">n° </w:t>
      </w:r>
      <w:r w:rsidR="00440E61" w:rsidRPr="00C76E1B">
        <w:rPr>
          <w:rFonts w:eastAsia="Times New Roman"/>
          <w:color w:val="auto"/>
          <w:lang w:eastAsia="fr-FR"/>
        </w:rPr>
        <w:t xml:space="preserve">3650 autorisées avant le 19 décembre 2023, dont les conclusions sur les meilleures techniques disponibles relatives à la rubrique principale prévues à l'article R. 515-61 </w:t>
      </w:r>
      <w:r w:rsidR="00985963">
        <w:rPr>
          <w:rFonts w:eastAsia="Times New Roman"/>
          <w:color w:val="auto"/>
          <w:lang w:eastAsia="fr-FR"/>
        </w:rPr>
        <w:t xml:space="preserve">du code de l’environnement </w:t>
      </w:r>
      <w:r w:rsidR="00440E61" w:rsidRPr="00C76E1B">
        <w:rPr>
          <w:rFonts w:eastAsia="Times New Roman"/>
          <w:color w:val="auto"/>
          <w:lang w:eastAsia="fr-FR"/>
        </w:rPr>
        <w:t>ne sont pas celles de la décision d'exécution</w:t>
      </w:r>
      <w:r w:rsidR="00174401">
        <w:rPr>
          <w:rFonts w:eastAsia="Times New Roman"/>
          <w:color w:val="auto"/>
          <w:lang w:eastAsia="fr-FR"/>
        </w:rPr>
        <w:t xml:space="preserve"> </w:t>
      </w:r>
      <w:r w:rsidR="00036015">
        <w:rPr>
          <w:rFonts w:eastAsia="Times New Roman"/>
          <w:color w:val="auto"/>
          <w:lang w:eastAsia="fr-FR"/>
        </w:rPr>
        <w:t xml:space="preserve">du 11 décembre 2023 </w:t>
      </w:r>
      <w:r w:rsidR="005E0437">
        <w:rPr>
          <w:rFonts w:eastAsia="Times New Roman"/>
          <w:color w:val="auto"/>
          <w:lang w:eastAsia="fr-FR"/>
        </w:rPr>
        <w:t>susvisée</w:t>
      </w:r>
      <w:r w:rsidR="00440E61" w:rsidRPr="00C76E1B">
        <w:rPr>
          <w:rFonts w:eastAsia="Times New Roman"/>
          <w:color w:val="auto"/>
          <w:lang w:eastAsia="fr-FR"/>
        </w:rPr>
        <w:t>, dans les conditions suivantes :</w:t>
      </w:r>
    </w:p>
    <w:p w14:paraId="56461880" w14:textId="63E3DA1A" w:rsidR="007C7E54" w:rsidRPr="00C76E1B" w:rsidRDefault="007C7E54" w:rsidP="000A5DC3">
      <w:pPr>
        <w:pStyle w:val="Default"/>
        <w:spacing w:after="40"/>
        <w:jc w:val="both"/>
      </w:pPr>
      <w:r w:rsidRPr="00C76E1B">
        <w:t xml:space="preserve">- quatre ans après la parution au </w:t>
      </w:r>
      <w:r w:rsidRPr="003B24D7">
        <w:rPr>
          <w:i/>
          <w:iCs/>
        </w:rPr>
        <w:t>Journal officiel</w:t>
      </w:r>
      <w:r w:rsidRPr="00C76E1B">
        <w:t xml:space="preserve"> de l'Union européenne, postérieure au </w:t>
      </w:r>
      <w:r w:rsidR="00EF3763" w:rsidRPr="00C76E1B">
        <w:rPr>
          <w:rFonts w:eastAsia="Times New Roman"/>
          <w:color w:val="auto"/>
          <w:lang w:eastAsia="fr-FR"/>
        </w:rPr>
        <w:t>1</w:t>
      </w:r>
      <w:r w:rsidR="00FB5C32" w:rsidRPr="00C76E1B">
        <w:rPr>
          <w:rFonts w:eastAsia="Times New Roman"/>
          <w:color w:val="auto"/>
          <w:lang w:eastAsia="fr-FR"/>
        </w:rPr>
        <w:t>9</w:t>
      </w:r>
      <w:r w:rsidRPr="00C76E1B">
        <w:t xml:space="preserve"> décembre 202</w:t>
      </w:r>
      <w:r w:rsidR="000259C4" w:rsidRPr="00C76E1B">
        <w:t>3</w:t>
      </w:r>
      <w:r w:rsidRPr="00C76E1B">
        <w:t xml:space="preserve">, de la décision d'exécution établissant les conclusions sur les meilleures techniques disponibles relatives à la rubrique principale prévues à l'article R. 515-61 </w:t>
      </w:r>
      <w:r w:rsidR="009E586D">
        <w:t xml:space="preserve">du code de l’environnement </w:t>
      </w:r>
      <w:r w:rsidRPr="00C76E1B">
        <w:t>;</w:t>
      </w:r>
    </w:p>
    <w:p w14:paraId="5A26D791" w14:textId="7062C852" w:rsidR="007C7E54" w:rsidRPr="00C76E1B" w:rsidRDefault="007C7E54" w:rsidP="000A5DC3">
      <w:pPr>
        <w:pStyle w:val="Default"/>
        <w:spacing w:after="40"/>
        <w:jc w:val="both"/>
      </w:pPr>
      <w:r w:rsidRPr="00C76E1B">
        <w:t xml:space="preserve">- à compter du </w:t>
      </w:r>
      <w:r w:rsidR="00440E61" w:rsidRPr="00C76E1B">
        <w:rPr>
          <w:rFonts w:eastAsia="Times New Roman"/>
          <w:color w:val="auto"/>
          <w:lang w:eastAsia="fr-FR"/>
        </w:rPr>
        <w:t>18</w:t>
      </w:r>
      <w:r w:rsidRPr="00C76E1B">
        <w:t xml:space="preserve"> décembre 202</w:t>
      </w:r>
      <w:r w:rsidR="000259C4" w:rsidRPr="00C76E1B">
        <w:t>7</w:t>
      </w:r>
      <w:r w:rsidRPr="00C76E1B">
        <w:t xml:space="preserve">, lorsque la parution au </w:t>
      </w:r>
      <w:r w:rsidRPr="003B24D7">
        <w:rPr>
          <w:i/>
          <w:iCs/>
        </w:rPr>
        <w:t>Journal officiel</w:t>
      </w:r>
      <w:r w:rsidRPr="00C76E1B">
        <w:t xml:space="preserve"> de l'Union européenne de la décision d'exécution établissant les conclusions sur les meilleures techniques disponibles relatives à la rubrique principale prévues à l'article R. 515-61 </w:t>
      </w:r>
      <w:r w:rsidR="009E586D">
        <w:t xml:space="preserve">du code de l’environnement </w:t>
      </w:r>
      <w:r w:rsidRPr="00C76E1B">
        <w:t xml:space="preserve">est intervenue entre le </w:t>
      </w:r>
      <w:r w:rsidR="00EF3763" w:rsidRPr="00C76E1B">
        <w:rPr>
          <w:rFonts w:eastAsia="Times New Roman"/>
          <w:color w:val="auto"/>
          <w:lang w:eastAsia="fr-FR"/>
        </w:rPr>
        <w:t>1</w:t>
      </w:r>
      <w:r w:rsidR="007D218D" w:rsidRPr="00C76E1B">
        <w:rPr>
          <w:rFonts w:eastAsia="Times New Roman"/>
          <w:color w:val="auto"/>
          <w:lang w:eastAsia="fr-FR"/>
        </w:rPr>
        <w:t>8</w:t>
      </w:r>
      <w:r w:rsidRPr="00C76E1B">
        <w:t xml:space="preserve"> décembre 20</w:t>
      </w:r>
      <w:r w:rsidR="0062444A" w:rsidRPr="00C76E1B">
        <w:t>2</w:t>
      </w:r>
      <w:r w:rsidR="006B5D97" w:rsidRPr="00C76E1B">
        <w:t>1</w:t>
      </w:r>
      <w:r w:rsidRPr="00C76E1B">
        <w:t xml:space="preserve"> et le </w:t>
      </w:r>
      <w:r w:rsidR="00EF3763" w:rsidRPr="00C76E1B">
        <w:rPr>
          <w:rFonts w:eastAsia="Times New Roman"/>
          <w:color w:val="auto"/>
          <w:lang w:eastAsia="fr-FR"/>
        </w:rPr>
        <w:t>1</w:t>
      </w:r>
      <w:r w:rsidR="00FB5C32" w:rsidRPr="00C76E1B">
        <w:rPr>
          <w:rFonts w:eastAsia="Times New Roman"/>
          <w:color w:val="auto"/>
          <w:lang w:eastAsia="fr-FR"/>
        </w:rPr>
        <w:t>8</w:t>
      </w:r>
      <w:r w:rsidRPr="00C76E1B">
        <w:t xml:space="preserve"> décembre 202</w:t>
      </w:r>
      <w:r w:rsidR="006B5D97" w:rsidRPr="00C76E1B">
        <w:t>3</w:t>
      </w:r>
      <w:r w:rsidR="00EF3763" w:rsidRPr="00C76E1B">
        <w:rPr>
          <w:rFonts w:eastAsia="Times New Roman"/>
          <w:color w:val="auto"/>
          <w:lang w:eastAsia="fr-FR"/>
        </w:rPr>
        <w:t>.</w:t>
      </w:r>
    </w:p>
    <w:p w14:paraId="4C51A2A5" w14:textId="23DCCC70" w:rsidR="00CD7FB2" w:rsidRPr="00C76E1B" w:rsidRDefault="007C7E54" w:rsidP="000A5DC3">
      <w:pPr>
        <w:pStyle w:val="Default"/>
        <w:spacing w:after="40"/>
        <w:jc w:val="both"/>
      </w:pPr>
      <w:r w:rsidRPr="00C76E1B">
        <w:t xml:space="preserve">A la date prévue </w:t>
      </w:r>
      <w:r w:rsidR="00B53EC6">
        <w:t>au</w:t>
      </w:r>
      <w:r w:rsidRPr="00C76E1B">
        <w:t xml:space="preserve"> présent </w:t>
      </w:r>
      <w:r w:rsidR="009823F6">
        <w:rPr>
          <w:rFonts w:eastAsia="Times New Roman"/>
          <w:color w:val="auto"/>
          <w:lang w:eastAsia="fr-FR"/>
        </w:rPr>
        <w:t>I</w:t>
      </w:r>
      <w:r w:rsidRPr="00C76E1B">
        <w:t xml:space="preserve">, l'exploitant met en œuvre les meilleures techniques disponibles telles que décrites </w:t>
      </w:r>
      <w:r w:rsidR="00170B9A" w:rsidRPr="00C76E1B">
        <w:t>au</w:t>
      </w:r>
      <w:r w:rsidRPr="00C76E1B">
        <w:t xml:space="preserve"> présent arrêté ou garantissant un niveau de protection de l'environnement équivalent dans les conditions fixées au II de l'article R. 515-62</w:t>
      </w:r>
      <w:r w:rsidR="009E586D">
        <w:t xml:space="preserve"> du code de l’environnement</w:t>
      </w:r>
      <w:r w:rsidRPr="00C76E1B">
        <w:t>, sauf si l'arrêté préfectoral fixe des prescriptions particulières en application de l'article R. 515-63</w:t>
      </w:r>
      <w:r w:rsidR="009E586D">
        <w:t xml:space="preserve"> du même code</w:t>
      </w:r>
      <w:r w:rsidRPr="00C76E1B">
        <w:t xml:space="preserve">. Il veille à ce que l'installation respecte </w:t>
      </w:r>
      <w:r w:rsidRPr="00A7506E">
        <w:rPr>
          <w:shd w:val="clear" w:color="auto" w:fill="FFFFFF" w:themeFill="background1"/>
        </w:rPr>
        <w:t xml:space="preserve">les </w:t>
      </w:r>
      <w:r w:rsidRPr="00D25A7D">
        <w:rPr>
          <w:shd w:val="clear" w:color="auto" w:fill="FFFFFF" w:themeFill="background1"/>
        </w:rPr>
        <w:t>valeurs limites d'émissions</w:t>
      </w:r>
      <w:r w:rsidRPr="00C76E1B">
        <w:t xml:space="preserve"> </w:t>
      </w:r>
      <w:r w:rsidR="00985963">
        <w:t xml:space="preserve">et les niveaux de performance environnementale </w:t>
      </w:r>
      <w:r w:rsidRPr="00C76E1B">
        <w:t xml:space="preserve">fixés dans </w:t>
      </w:r>
      <w:r w:rsidR="007104D3">
        <w:t>le</w:t>
      </w:r>
      <w:r w:rsidRPr="00C76E1B">
        <w:t xml:space="preserve"> présent arrêté.</w:t>
      </w:r>
    </w:p>
    <w:p w14:paraId="172E263C" w14:textId="607D8471" w:rsidR="006B5D97" w:rsidRPr="00C76E1B" w:rsidRDefault="006B5D97" w:rsidP="000A5DC3">
      <w:pPr>
        <w:pStyle w:val="Default"/>
        <w:spacing w:after="40"/>
        <w:jc w:val="both"/>
      </w:pPr>
    </w:p>
    <w:p w14:paraId="1BCEFAF5" w14:textId="25D7D176" w:rsidR="009845C0" w:rsidRDefault="00EF7776" w:rsidP="00EF3763">
      <w:pPr>
        <w:pStyle w:val="Default"/>
        <w:spacing w:after="40"/>
        <w:jc w:val="both"/>
        <w:rPr>
          <w:rFonts w:eastAsia="Times New Roman"/>
          <w:color w:val="auto"/>
          <w:lang w:eastAsia="fr-FR"/>
        </w:rPr>
      </w:pPr>
      <w:r w:rsidRPr="00C76E1B">
        <w:rPr>
          <w:color w:val="auto"/>
        </w:rPr>
        <w:t>II</w:t>
      </w:r>
      <w:r w:rsidR="00D04BE3" w:rsidRPr="00C76E1B">
        <w:rPr>
          <w:color w:val="auto"/>
        </w:rPr>
        <w:t>.</w:t>
      </w:r>
      <w:r w:rsidR="00970F98">
        <w:rPr>
          <w:color w:val="auto"/>
        </w:rPr>
        <w:t> - </w:t>
      </w:r>
      <w:r w:rsidR="009845C0" w:rsidRPr="00C76E1B">
        <w:rPr>
          <w:rFonts w:eastAsia="Times New Roman"/>
          <w:color w:val="auto"/>
          <w:lang w:eastAsia="fr-FR"/>
        </w:rPr>
        <w:t>Pour les installations ou aux projets ayant fait l'objet d'une demande d'autorisation complète</w:t>
      </w:r>
      <w:r w:rsidR="009823F6">
        <w:rPr>
          <w:rFonts w:eastAsia="Times New Roman"/>
          <w:color w:val="auto"/>
          <w:lang w:eastAsia="fr-FR"/>
        </w:rPr>
        <w:t xml:space="preserve"> et régulière</w:t>
      </w:r>
      <w:r w:rsidR="009845C0" w:rsidRPr="00C76E1B">
        <w:rPr>
          <w:rFonts w:eastAsia="Times New Roman"/>
          <w:color w:val="auto"/>
          <w:lang w:eastAsia="fr-FR"/>
        </w:rPr>
        <w:t xml:space="preserve"> à la date de publication de l'arrêté, l</w:t>
      </w:r>
      <w:r w:rsidR="007D6802" w:rsidRPr="00C76E1B">
        <w:rPr>
          <w:rFonts w:eastAsia="Times New Roman"/>
          <w:color w:val="auto"/>
          <w:lang w:eastAsia="fr-FR"/>
        </w:rPr>
        <w:t>es dispositions</w:t>
      </w:r>
      <w:r w:rsidR="00985963">
        <w:rPr>
          <w:rFonts w:eastAsia="Times New Roman"/>
          <w:color w:val="auto"/>
          <w:lang w:eastAsia="fr-FR"/>
        </w:rPr>
        <w:t xml:space="preserve"> du présent arrêté</w:t>
      </w:r>
      <w:r w:rsidR="00D51A87">
        <w:rPr>
          <w:rFonts w:eastAsia="Times New Roman"/>
          <w:color w:val="auto"/>
          <w:lang w:eastAsia="fr-FR"/>
        </w:rPr>
        <w:t>,</w:t>
      </w:r>
      <w:r w:rsidR="007D6802" w:rsidRPr="00C76E1B">
        <w:rPr>
          <w:rFonts w:eastAsia="Times New Roman"/>
          <w:color w:val="auto"/>
          <w:lang w:eastAsia="fr-FR"/>
        </w:rPr>
        <w:t xml:space="preserve"> </w:t>
      </w:r>
      <w:r w:rsidR="00D51A87">
        <w:rPr>
          <w:rFonts w:eastAsia="Times New Roman"/>
          <w:color w:val="auto"/>
          <w:lang w:eastAsia="fr-FR"/>
        </w:rPr>
        <w:t xml:space="preserve">autres que celles mentionnées du I, </w:t>
      </w:r>
      <w:r w:rsidR="007D6802" w:rsidRPr="00C76E1B">
        <w:rPr>
          <w:rFonts w:eastAsia="Times New Roman"/>
          <w:color w:val="auto"/>
          <w:lang w:eastAsia="fr-FR"/>
        </w:rPr>
        <w:t xml:space="preserve">prévues par le présent arrêté sont applicables le lendemain de sa </w:t>
      </w:r>
      <w:r w:rsidR="007D6802" w:rsidRPr="00DD5452">
        <w:rPr>
          <w:rFonts w:eastAsia="Times New Roman"/>
          <w:color w:val="auto"/>
          <w:lang w:eastAsia="fr-FR"/>
        </w:rPr>
        <w:t>publication</w:t>
      </w:r>
      <w:r w:rsidR="009845C0" w:rsidRPr="00DD5452">
        <w:rPr>
          <w:rFonts w:eastAsia="Times New Roman"/>
          <w:color w:val="auto"/>
          <w:lang w:eastAsia="fr-FR"/>
        </w:rPr>
        <w:t>.</w:t>
      </w:r>
    </w:p>
    <w:p w14:paraId="04CED270" w14:textId="4DFCD999" w:rsidR="00991963" w:rsidRDefault="00BB1597" w:rsidP="00EF3763">
      <w:pPr>
        <w:pStyle w:val="Default"/>
        <w:spacing w:after="40"/>
        <w:jc w:val="both"/>
        <w:rPr>
          <w:rFonts w:eastAsia="Times New Roman"/>
          <w:color w:val="auto"/>
          <w:lang w:eastAsia="fr-FR"/>
        </w:rPr>
      </w:pPr>
      <w:r w:rsidRPr="00BB1597">
        <w:rPr>
          <w:rFonts w:eastAsia="Times New Roman"/>
          <w:color w:val="auto"/>
          <w:lang w:eastAsia="fr-FR"/>
        </w:rPr>
        <w:t>Pour les installations existantes, les dispositions du présent arrêté autres que celles mentionnées au I du présent article sont applicables le lendemain de sa publication.</w:t>
      </w:r>
    </w:p>
    <w:p w14:paraId="7834B179" w14:textId="77777777" w:rsidR="00BB1597" w:rsidRPr="00C76E1B" w:rsidRDefault="00BB1597" w:rsidP="00EF3763">
      <w:pPr>
        <w:pStyle w:val="Default"/>
        <w:spacing w:after="40"/>
        <w:jc w:val="both"/>
        <w:rPr>
          <w:rFonts w:eastAsia="Times New Roman"/>
          <w:color w:val="auto"/>
          <w:lang w:eastAsia="fr-FR"/>
        </w:rPr>
      </w:pPr>
    </w:p>
    <w:p w14:paraId="237320BE" w14:textId="6533928E" w:rsidR="006B5D97" w:rsidRPr="00915DEF" w:rsidRDefault="006B5D97" w:rsidP="003E24C1">
      <w:pPr>
        <w:pStyle w:val="Titre3"/>
      </w:pPr>
      <w:bookmarkStart w:id="16" w:name="_Toc164951662"/>
      <w:r w:rsidRPr="00915DEF">
        <w:t>Article 1.</w:t>
      </w:r>
      <w:r w:rsidR="00F44537">
        <w:t>3</w:t>
      </w:r>
      <w:r w:rsidRPr="00915DEF">
        <w:t xml:space="preserve"> </w:t>
      </w:r>
      <w:r w:rsidR="00D601D8" w:rsidRPr="00915DEF">
        <w:t>Demande d’aménagement</w:t>
      </w:r>
      <w:bookmarkEnd w:id="16"/>
    </w:p>
    <w:p w14:paraId="0D6C2BEA" w14:textId="638B6AB1" w:rsidR="006B5D97" w:rsidRPr="00440E61" w:rsidRDefault="00F44537" w:rsidP="006B5D97">
      <w:pPr>
        <w:pStyle w:val="Default"/>
        <w:spacing w:after="40"/>
        <w:jc w:val="both"/>
      </w:pPr>
      <w:r>
        <w:t>I.</w:t>
      </w:r>
      <w:r w:rsidR="00970F98">
        <w:t> - </w:t>
      </w:r>
      <w:r w:rsidR="006B5D97" w:rsidRPr="00440E61">
        <w:t xml:space="preserve">Par dérogation </w:t>
      </w:r>
      <w:r>
        <w:t>a</w:t>
      </w:r>
      <w:r w:rsidR="00174401">
        <w:t>u I de l’</w:t>
      </w:r>
      <w:r w:rsidR="006B5D97" w:rsidRPr="00440E61">
        <w:t>article 1.</w:t>
      </w:r>
      <w:r>
        <w:t>2</w:t>
      </w:r>
      <w:r w:rsidR="006B5D97" w:rsidRPr="00440E61">
        <w:t xml:space="preserve">, l’exploitant peut solliciter un aménagement afin de définir des valeurs limites d’émissions qui excèdent les valeurs fixées </w:t>
      </w:r>
      <w:r w:rsidR="00EC3CEE">
        <w:t xml:space="preserve">au </w:t>
      </w:r>
      <w:r w:rsidR="00174401">
        <w:t xml:space="preserve">le </w:t>
      </w:r>
      <w:r w:rsidR="006B5D97" w:rsidRPr="00440E61">
        <w:t>présent arrêté, sous réserve du respect des dispositions prévues par les articles R. 515-60 à R. 515-69</w:t>
      </w:r>
      <w:r>
        <w:t xml:space="preserve"> du </w:t>
      </w:r>
      <w:r w:rsidR="00D31C9B">
        <w:t>code de l’environnement</w:t>
      </w:r>
      <w:r w:rsidR="006B5D97" w:rsidRPr="00440E61">
        <w:t>.</w:t>
      </w:r>
    </w:p>
    <w:p w14:paraId="4A4EC92E" w14:textId="7CD6CB0E" w:rsidR="006B5D97" w:rsidRDefault="006B5D97" w:rsidP="006B5D97">
      <w:pPr>
        <w:pStyle w:val="Default"/>
        <w:spacing w:after="40"/>
        <w:jc w:val="both"/>
      </w:pPr>
      <w:r w:rsidRPr="00440E61">
        <w:t xml:space="preserve">Lorsque la valeur limite d'émission sollicitée excède les niveaux d'émission associés aux conclusions sur les meilleures techniques disponibles de la décision d’exécution </w:t>
      </w:r>
      <w:r w:rsidR="00036015">
        <w:rPr>
          <w:rFonts w:eastAsia="Times New Roman"/>
          <w:color w:val="auto"/>
          <w:lang w:eastAsia="fr-FR"/>
        </w:rPr>
        <w:t xml:space="preserve">du 11 décembre 2023 </w:t>
      </w:r>
      <w:r w:rsidR="005E0437">
        <w:t>susvisée</w:t>
      </w:r>
      <w:r w:rsidRPr="00440E61">
        <w:t>, la demande de l’exploitant est formulée et instruite dans les formes prévues au I de l’article L. 515-29</w:t>
      </w:r>
      <w:r w:rsidR="00D31C9B">
        <w:t xml:space="preserve"> du code de l’environnement</w:t>
      </w:r>
      <w:r w:rsidRPr="00440E61">
        <w:t xml:space="preserve"> et selon la procédure prévue au R.515-68</w:t>
      </w:r>
      <w:r w:rsidR="00D31C9B">
        <w:t xml:space="preserve"> du même code</w:t>
      </w:r>
      <w:r w:rsidRPr="00440E61">
        <w:t>.</w:t>
      </w:r>
      <w:r w:rsidR="00D25A7D">
        <w:t xml:space="preserve"> </w:t>
      </w:r>
      <w:r w:rsidRPr="00D25A7D">
        <w:t xml:space="preserve">Dans les autres cas, la demande est formulée et instruite dans le respect des dispositions particulières prévues par </w:t>
      </w:r>
      <w:r w:rsidR="00174401" w:rsidRPr="00D25A7D">
        <w:t xml:space="preserve">le </w:t>
      </w:r>
      <w:r w:rsidRPr="00D25A7D">
        <w:t>présent arrêté.</w:t>
      </w:r>
    </w:p>
    <w:p w14:paraId="57940C26" w14:textId="74FA60CC" w:rsidR="00F44537" w:rsidRPr="00440E61" w:rsidRDefault="00F44537" w:rsidP="00F44537">
      <w:pPr>
        <w:pStyle w:val="Default"/>
        <w:spacing w:after="40"/>
        <w:jc w:val="both"/>
      </w:pPr>
      <w:r>
        <w:t>II. </w:t>
      </w:r>
      <w:r w:rsidRPr="00293903">
        <w:t>-</w:t>
      </w:r>
      <w:r>
        <w:t> </w:t>
      </w:r>
      <w:r w:rsidRPr="00293903">
        <w:t xml:space="preserve">Par dérogation </w:t>
      </w:r>
      <w:r>
        <w:t>au I de l’article 1.2</w:t>
      </w:r>
      <w:r w:rsidRPr="00293903">
        <w:t xml:space="preserve">, l’exploitant peut solliciter un aménagement des niveaux de performance environnementale. La demande de l’exploitant est formulée et instruite dans le respect des dispositions particulières prévues </w:t>
      </w:r>
      <w:r w:rsidR="0037555A">
        <w:t>au</w:t>
      </w:r>
      <w:r w:rsidRPr="00293903">
        <w:t xml:space="preserve"> présent arrêté.</w:t>
      </w:r>
    </w:p>
    <w:p w14:paraId="3CC4739C" w14:textId="77777777" w:rsidR="00F44537" w:rsidRPr="00440E61" w:rsidRDefault="00F44537" w:rsidP="006B5D97">
      <w:pPr>
        <w:pStyle w:val="Default"/>
        <w:spacing w:after="40"/>
        <w:jc w:val="both"/>
      </w:pPr>
    </w:p>
    <w:p w14:paraId="4179FFEB" w14:textId="77777777" w:rsidR="00006F0B" w:rsidRPr="00915DEF" w:rsidRDefault="00006F0B" w:rsidP="000A5DC3">
      <w:pPr>
        <w:pStyle w:val="Default"/>
        <w:spacing w:after="40"/>
        <w:jc w:val="both"/>
      </w:pPr>
    </w:p>
    <w:p w14:paraId="206ED064" w14:textId="5CF2A291" w:rsidR="00CD7FB2" w:rsidRPr="00915DEF" w:rsidRDefault="00CD7FB2" w:rsidP="003E24C1">
      <w:pPr>
        <w:pStyle w:val="Titre3"/>
      </w:pPr>
      <w:bookmarkStart w:id="17" w:name="_Toc164951663"/>
      <w:r w:rsidRPr="00915DEF">
        <w:t>Article 1.</w:t>
      </w:r>
      <w:r w:rsidR="00F44537">
        <w:t>4</w:t>
      </w:r>
      <w:r w:rsidRPr="00915DEF">
        <w:t xml:space="preserve"> Définitions</w:t>
      </w:r>
      <w:bookmarkEnd w:id="17"/>
    </w:p>
    <w:p w14:paraId="09FBAE86" w14:textId="77777777" w:rsidR="00CD7FB2" w:rsidRPr="00915DEF" w:rsidRDefault="00CD7FB2" w:rsidP="008B3A3A">
      <w:pPr>
        <w:pStyle w:val="Default"/>
        <w:spacing w:after="40"/>
        <w:jc w:val="both"/>
      </w:pPr>
      <w:r w:rsidRPr="00915DEF">
        <w:t>Au sens du présent arrêté, on entend par :</w:t>
      </w:r>
    </w:p>
    <w:p w14:paraId="3DCC2173" w14:textId="3C554F0B" w:rsidR="00C052FA" w:rsidRPr="00541F3D" w:rsidRDefault="00C052FA" w:rsidP="00C052FA">
      <w:pPr>
        <w:pStyle w:val="NormalWeb"/>
        <w:spacing w:beforeAutospacing="0" w:after="40" w:line="240" w:lineRule="auto"/>
        <w:jc w:val="both"/>
      </w:pPr>
      <w:r w:rsidRPr="00541F3D">
        <w:rPr>
          <w:b/>
          <w:bCs/>
        </w:rPr>
        <w:t>Activités FDM</w:t>
      </w:r>
      <w:r w:rsidRPr="003B2261">
        <w:t xml:space="preserve"> : </w:t>
      </w:r>
      <w:r w:rsidR="00970F98">
        <w:t>a</w:t>
      </w:r>
      <w:r w:rsidRPr="003B2261">
        <w:t>ctivités</w:t>
      </w:r>
      <w:r w:rsidR="008030C7" w:rsidRPr="008030C7">
        <w:t xml:space="preserve"> relevant des conclusions sur les meilleures techniques disponibles pour les industries agroalimentaires et laitières</w:t>
      </w:r>
      <w:r w:rsidR="00D01B56">
        <w:t>.</w:t>
      </w:r>
    </w:p>
    <w:p w14:paraId="45FC0919" w14:textId="27D0BC6F" w:rsidR="00373924" w:rsidRPr="00386E04" w:rsidRDefault="00C052FA" w:rsidP="00373924">
      <w:pPr>
        <w:spacing w:after="40"/>
        <w:textAlignment w:val="auto"/>
        <w:rPr>
          <w:color w:val="000000" w:themeColor="text1"/>
        </w:rPr>
      </w:pPr>
      <w:r w:rsidRPr="00541F3D">
        <w:rPr>
          <w:b/>
          <w:bCs/>
        </w:rPr>
        <w:t>Annexes</w:t>
      </w:r>
      <w:r>
        <w:t xml:space="preserve"> :</w:t>
      </w:r>
      <w:r w:rsidR="00373924">
        <w:t xml:space="preserve"> </w:t>
      </w:r>
      <w:r w:rsidR="00373924" w:rsidRPr="00373924">
        <w:t xml:space="preserve">hangars de stockage des matières issues du traitement (farines et peaux </w:t>
      </w:r>
      <w:r w:rsidR="00373924" w:rsidRPr="00386E04">
        <w:rPr>
          <w:color w:val="000000" w:themeColor="text1"/>
        </w:rPr>
        <w:t xml:space="preserve">notamment), dispositifs de stockage et de traitement des effluents, stations de lavage des camions servant au transport des sous-produits d'origine animale, </w:t>
      </w:r>
      <w:proofErr w:type="spellStart"/>
      <w:r w:rsidR="00373924" w:rsidRPr="00386E04">
        <w:rPr>
          <w:color w:val="000000" w:themeColor="text1"/>
        </w:rPr>
        <w:t>biofiltre</w:t>
      </w:r>
      <w:proofErr w:type="spellEnd"/>
      <w:r w:rsidR="009117BC">
        <w:rPr>
          <w:color w:val="000000" w:themeColor="text1"/>
        </w:rPr>
        <w:t>.</w:t>
      </w:r>
    </w:p>
    <w:p w14:paraId="493B5B34" w14:textId="271B6744" w:rsidR="0030356C" w:rsidRDefault="0030356C" w:rsidP="0030356C">
      <w:pPr>
        <w:spacing w:after="40"/>
        <w:jc w:val="both"/>
        <w:textAlignment w:val="auto"/>
      </w:pPr>
      <w:bookmarkStart w:id="18" w:name="_Hlk172039465"/>
      <w:r w:rsidRPr="0030356C">
        <w:rPr>
          <w:b/>
          <w:bCs/>
        </w:rPr>
        <w:t>Azote total</w:t>
      </w:r>
      <w:r w:rsidR="00501B05">
        <w:rPr>
          <w:b/>
          <w:bCs/>
        </w:rPr>
        <w:t xml:space="preserve"> </w:t>
      </w:r>
      <w:r w:rsidR="00501B05" w:rsidRPr="00501B05">
        <w:t>(AT)</w:t>
      </w:r>
      <w:r>
        <w:t xml:space="preserve"> : </w:t>
      </w:r>
      <w:r w:rsidR="009823F6">
        <w:t xml:space="preserve">ensemble </w:t>
      </w:r>
      <w:r>
        <w:t>compren</w:t>
      </w:r>
      <w:r w:rsidR="009823F6">
        <w:t>ant</w:t>
      </w:r>
      <w:r>
        <w:t xml:space="preserve"> l’ammoniac libre et les ions ammonium (NH</w:t>
      </w:r>
      <w:r w:rsidRPr="0075350B">
        <w:rPr>
          <w:vertAlign w:val="subscript"/>
        </w:rPr>
        <w:t>4</w:t>
      </w:r>
      <w:r>
        <w:t>-N), les nitrites (NO</w:t>
      </w:r>
      <w:r w:rsidRPr="0075350B">
        <w:rPr>
          <w:vertAlign w:val="subscript"/>
        </w:rPr>
        <w:t>2</w:t>
      </w:r>
      <w:r>
        <w:t>-N), les nitrates (NO</w:t>
      </w:r>
      <w:r w:rsidRPr="0075350B">
        <w:rPr>
          <w:vertAlign w:val="subscript"/>
        </w:rPr>
        <w:t>3</w:t>
      </w:r>
      <w:r>
        <w:t>-N) et les composés azotés organiques. Il est exprimé en azote (N).</w:t>
      </w:r>
    </w:p>
    <w:bookmarkEnd w:id="18"/>
    <w:p w14:paraId="0990CC0B" w14:textId="51DE74E5" w:rsidR="00C052FA" w:rsidRDefault="00C052FA" w:rsidP="00C052FA">
      <w:pPr>
        <w:pStyle w:val="NormalWeb"/>
        <w:spacing w:beforeAutospacing="0" w:after="40" w:line="240" w:lineRule="auto"/>
        <w:jc w:val="both"/>
      </w:pPr>
      <w:r w:rsidRPr="00541F3D">
        <w:rPr>
          <w:b/>
          <w:bCs/>
        </w:rPr>
        <w:t>Conditions d’exploitation autres que normales</w:t>
      </w:r>
      <w:r>
        <w:t> :</w:t>
      </w:r>
      <w:r w:rsidR="00982FDD">
        <w:t xml:space="preserve"> </w:t>
      </w:r>
      <w:r w:rsidRPr="003B2261">
        <w:t>conditions d’exploitation autres que les conditions d’exploitation normales</w:t>
      </w:r>
      <w:r>
        <w:t xml:space="preserve"> au sens de la </w:t>
      </w:r>
      <w:r w:rsidRPr="00D16932">
        <w:t>directive</w:t>
      </w:r>
      <w:r w:rsidR="00ED01A9">
        <w:t xml:space="preserve"> du 24 novembre </w:t>
      </w:r>
      <w:r w:rsidRPr="00D16932">
        <w:t>2010</w:t>
      </w:r>
      <w:r w:rsidR="00ED01A9">
        <w:t xml:space="preserve"> susvisée</w:t>
      </w:r>
      <w:r w:rsidRPr="00D16932">
        <w:t>,</w:t>
      </w:r>
      <w:r w:rsidRPr="003B2261">
        <w:t xml:space="preserve"> telles que les opérations de démarrage et d’arrêt, les fuites, les dysfonctionnements, les arrêts momentanés et l’arrêt définitif de l’exploitation.</w:t>
      </w:r>
    </w:p>
    <w:p w14:paraId="0F349483" w14:textId="52AA858F" w:rsidR="00E27AE6" w:rsidRPr="00DF38BA" w:rsidRDefault="008501A4" w:rsidP="00E27AE6">
      <w:pPr>
        <w:pStyle w:val="Default"/>
        <w:spacing w:after="40"/>
        <w:jc w:val="both"/>
        <w:rPr>
          <w:color w:val="auto"/>
        </w:rPr>
      </w:pPr>
      <w:r w:rsidRPr="00541F3D">
        <w:rPr>
          <w:b/>
          <w:bCs/>
        </w:rPr>
        <w:t>Concentration d’odeurs</w:t>
      </w:r>
      <w:r w:rsidRPr="003B2261">
        <w:t xml:space="preserve"> : </w:t>
      </w:r>
      <w:r w:rsidR="00970F98">
        <w:t>n</w:t>
      </w:r>
      <w:r w:rsidRPr="003B2261">
        <w:t>ombre d’unités odeurs européennes (</w:t>
      </w:r>
      <w:proofErr w:type="spellStart"/>
      <w:r w:rsidR="00BB46CC">
        <w:t>u</w:t>
      </w:r>
      <w:r w:rsidR="00E67458">
        <w:t>oE</w:t>
      </w:r>
      <w:proofErr w:type="spellEnd"/>
      <w:r w:rsidRPr="003B2261">
        <w:t xml:space="preserve">) dans un mètre cube de gaz, dans des conditions normalisées, mesuré par olfactométrie conformément à la norme </w:t>
      </w:r>
      <w:r>
        <w:t xml:space="preserve">NF </w:t>
      </w:r>
      <w:r w:rsidRPr="003B2261">
        <w:t>EN 13725</w:t>
      </w:r>
      <w:r w:rsidR="00E27AE6">
        <w:t xml:space="preserve"> </w:t>
      </w:r>
      <w:r w:rsidR="00E27AE6" w:rsidRPr="00DF38BA">
        <w:rPr>
          <w:color w:val="auto"/>
        </w:rPr>
        <w:t>ou toute autre méthode considérée comme équivalente.</w:t>
      </w:r>
    </w:p>
    <w:p w14:paraId="43E51EF6" w14:textId="72D29E55" w:rsidR="0071178F" w:rsidRPr="00777B50" w:rsidRDefault="0071178F" w:rsidP="0071178F">
      <w:pPr>
        <w:pStyle w:val="Default"/>
        <w:spacing w:after="40"/>
        <w:jc w:val="both"/>
        <w:rPr>
          <w:color w:val="auto"/>
        </w:rPr>
      </w:pPr>
      <w:r w:rsidRPr="00777B50">
        <w:rPr>
          <w:b/>
          <w:bCs/>
          <w:color w:val="auto"/>
        </w:rPr>
        <w:t xml:space="preserve">Coproduits alimentaires : </w:t>
      </w:r>
      <w:r w:rsidR="00970F98">
        <w:rPr>
          <w:b/>
          <w:bCs/>
          <w:color w:val="auto"/>
        </w:rPr>
        <w:t>p</w:t>
      </w:r>
      <w:r w:rsidRPr="00777B50">
        <w:rPr>
          <w:color w:val="auto"/>
        </w:rPr>
        <w:t>roduits de qualité alimentaire destinés à la consommation humaine.</w:t>
      </w:r>
    </w:p>
    <w:p w14:paraId="15147C3E" w14:textId="1511057D" w:rsidR="004929BC" w:rsidRDefault="004929BC" w:rsidP="004929BC">
      <w:pPr>
        <w:pStyle w:val="NormalWeb"/>
        <w:spacing w:beforeAutospacing="0" w:after="40"/>
        <w:jc w:val="both"/>
      </w:pPr>
      <w:r w:rsidRPr="00777B50">
        <w:rPr>
          <w:b/>
          <w:bCs/>
        </w:rPr>
        <w:t xml:space="preserve">Crise </w:t>
      </w:r>
      <w:proofErr w:type="spellStart"/>
      <w:r w:rsidRPr="00777B50">
        <w:rPr>
          <w:b/>
          <w:bCs/>
        </w:rPr>
        <w:t>zoosanitaire</w:t>
      </w:r>
      <w:proofErr w:type="spellEnd"/>
      <w:r w:rsidRPr="00777B50">
        <w:t> : période pendant laquelle les maladies animales règlementées mentionnées au L</w:t>
      </w:r>
      <w:r w:rsidR="00D03987">
        <w:t>.</w:t>
      </w:r>
      <w:r w:rsidR="00D01B56">
        <w:t> </w:t>
      </w:r>
      <w:r w:rsidRPr="00777B50">
        <w:t>221-1 du code rural</w:t>
      </w:r>
      <w:r w:rsidR="009823F6">
        <w:t xml:space="preserve"> et de la pêche maritime</w:t>
      </w:r>
      <w:r w:rsidRPr="00777B50">
        <w:t xml:space="preserve"> nécessitent la mise en œuvre des mesures prévues au L</w:t>
      </w:r>
      <w:r w:rsidR="00D03987">
        <w:t>.</w:t>
      </w:r>
      <w:r w:rsidR="00D01B56">
        <w:t> </w:t>
      </w:r>
      <w:r w:rsidRPr="00777B50">
        <w:t xml:space="preserve">221-1-1 du </w:t>
      </w:r>
      <w:r w:rsidR="00D03987">
        <w:t>même</w:t>
      </w:r>
      <w:r w:rsidR="00D03987" w:rsidRPr="00777B50">
        <w:t xml:space="preserve"> </w:t>
      </w:r>
      <w:r w:rsidRPr="00777B50">
        <w:t>code</w:t>
      </w:r>
      <w:r w:rsidR="009823F6">
        <w:t>.</w:t>
      </w:r>
    </w:p>
    <w:p w14:paraId="25B64059" w14:textId="143D5DB1" w:rsidR="00C70658" w:rsidRPr="00C70658" w:rsidRDefault="009341FD" w:rsidP="00A703FB">
      <w:pPr>
        <w:pStyle w:val="Default"/>
        <w:spacing w:after="40"/>
        <w:jc w:val="both"/>
        <w:rPr>
          <w:color w:val="000000" w:themeColor="text1"/>
        </w:rPr>
      </w:pPr>
      <w:bookmarkStart w:id="19" w:name="_Hlk172039769"/>
      <w:r w:rsidRPr="00BB1597">
        <w:rPr>
          <w:b/>
          <w:bCs/>
          <w:color w:val="000000" w:themeColor="text1"/>
        </w:rPr>
        <w:t>D</w:t>
      </w:r>
      <w:r w:rsidR="00C70658" w:rsidRPr="00BB1597">
        <w:rPr>
          <w:b/>
          <w:bCs/>
          <w:color w:val="000000" w:themeColor="text1"/>
        </w:rPr>
        <w:t>ébit d'odeur</w:t>
      </w:r>
      <w:r w:rsidRPr="00BB1597">
        <w:rPr>
          <w:b/>
          <w:bCs/>
          <w:color w:val="000000" w:themeColor="text1"/>
        </w:rPr>
        <w:t> </w:t>
      </w:r>
      <w:r w:rsidRPr="00BB1597">
        <w:rPr>
          <w:color w:val="000000" w:themeColor="text1"/>
        </w:rPr>
        <w:t xml:space="preserve">; </w:t>
      </w:r>
      <w:r w:rsidR="00B12DD0" w:rsidRPr="00BB1597">
        <w:rPr>
          <w:color w:val="000000" w:themeColor="text1"/>
        </w:rPr>
        <w:t xml:space="preserve">nombre </w:t>
      </w:r>
      <w:r w:rsidR="00C70658" w:rsidRPr="00BB1597">
        <w:rPr>
          <w:color w:val="000000" w:themeColor="text1"/>
        </w:rPr>
        <w:t>défini comme le produit du débit d'air rejeté, exprimé en m³/h, par le facteur de dilution au seuil de perception (ou niveau d'odeur)</w:t>
      </w:r>
      <w:r w:rsidRPr="00BB1597">
        <w:rPr>
          <w:color w:val="000000" w:themeColor="text1"/>
        </w:rPr>
        <w:t>. Il est</w:t>
      </w:r>
      <w:r w:rsidR="00D03987">
        <w:rPr>
          <w:color w:val="000000" w:themeColor="text1"/>
        </w:rPr>
        <w:t xml:space="preserve"> </w:t>
      </w:r>
      <w:r w:rsidR="00C70658" w:rsidRPr="00BB1597">
        <w:rPr>
          <w:color w:val="000000" w:themeColor="text1"/>
        </w:rPr>
        <w:t>exprimé en nombre d'unités d'odeur par m³.</w:t>
      </w:r>
    </w:p>
    <w:bookmarkEnd w:id="19"/>
    <w:p w14:paraId="2F0ECEF2" w14:textId="128AEEC1" w:rsidR="008501A4" w:rsidRPr="00777B50" w:rsidRDefault="008501A4" w:rsidP="008501A4">
      <w:pPr>
        <w:pStyle w:val="NormalWeb"/>
        <w:spacing w:beforeAutospacing="0" w:after="40" w:line="240" w:lineRule="auto"/>
        <w:jc w:val="both"/>
      </w:pPr>
      <w:r w:rsidRPr="00777B50">
        <w:rPr>
          <w:b/>
          <w:bCs/>
        </w:rPr>
        <w:t>Émissions canalisées</w:t>
      </w:r>
      <w:r w:rsidRPr="00777B50">
        <w:t xml:space="preserve"> : </w:t>
      </w:r>
      <w:r w:rsidR="00970F98">
        <w:t>é</w:t>
      </w:r>
      <w:r w:rsidRPr="00777B50">
        <w:t xml:space="preserve">missions de polluants atmosphériques à partir de tout type de conduite, canalisation, cheminée, etc. inclut également les émissions provenant des </w:t>
      </w:r>
      <w:proofErr w:type="spellStart"/>
      <w:r w:rsidRPr="00777B50">
        <w:t>biofiltres</w:t>
      </w:r>
      <w:proofErr w:type="spellEnd"/>
      <w:r w:rsidRPr="00777B50">
        <w:t xml:space="preserve"> ouverts.</w:t>
      </w:r>
    </w:p>
    <w:p w14:paraId="10B314C2" w14:textId="76C338FF" w:rsidR="00423359" w:rsidRPr="00777B50" w:rsidRDefault="00423359" w:rsidP="008501A4">
      <w:pPr>
        <w:pStyle w:val="NormalWeb"/>
        <w:spacing w:beforeAutospacing="0" w:after="40" w:line="240" w:lineRule="auto"/>
        <w:jc w:val="both"/>
      </w:pPr>
      <w:bookmarkStart w:id="20" w:name="_Hlk172039845"/>
      <w:r w:rsidRPr="00777B50">
        <w:rPr>
          <w:b/>
          <w:bCs/>
        </w:rPr>
        <w:t xml:space="preserve">Epandage : </w:t>
      </w:r>
      <w:r w:rsidRPr="00777B50">
        <w:t>toute application de déchets ou effluents sur ou dans les sols agricoles</w:t>
      </w:r>
      <w:r w:rsidR="00DD23B4" w:rsidRPr="00777B50">
        <w:t>.</w:t>
      </w:r>
    </w:p>
    <w:bookmarkEnd w:id="20"/>
    <w:p w14:paraId="6625DA6D" w14:textId="7B421193" w:rsidR="008501A4" w:rsidRDefault="008501A4" w:rsidP="008501A4">
      <w:pPr>
        <w:pStyle w:val="NormalWeb"/>
        <w:spacing w:beforeAutospacing="0" w:after="40" w:line="240" w:lineRule="auto"/>
        <w:jc w:val="both"/>
      </w:pPr>
      <w:r w:rsidRPr="00777B50">
        <w:rPr>
          <w:b/>
          <w:bCs/>
        </w:rPr>
        <w:t>Fluides frigorigènes</w:t>
      </w:r>
      <w:r w:rsidRPr="00777B50">
        <w:t xml:space="preserve"> : </w:t>
      </w:r>
      <w:r w:rsidR="00970F98">
        <w:t>s</w:t>
      </w:r>
      <w:r w:rsidR="006C68C8" w:rsidRPr="00FA502A">
        <w:rPr>
          <w:bCs/>
        </w:rPr>
        <w:t xml:space="preserve">ubstances appauvrissant la couche d’ozone et de substances à fort potentiel de réchauffement planétaire utilisées pour le refroidissement et la congélation, encadrées notamment par le règlement </w:t>
      </w:r>
      <w:r w:rsidR="00ED01A9">
        <w:rPr>
          <w:bCs/>
        </w:rPr>
        <w:t xml:space="preserve">du 7 février 2024 </w:t>
      </w:r>
      <w:r w:rsidR="006C68C8" w:rsidRPr="00FA502A">
        <w:rPr>
          <w:bCs/>
        </w:rPr>
        <w:t>susvisé et par les articles R.543-75 et suivants du code de l’environnement</w:t>
      </w:r>
      <w:r w:rsidR="00D01B56">
        <w:t>.</w:t>
      </w:r>
    </w:p>
    <w:p w14:paraId="5539707F" w14:textId="4AC8CBC0" w:rsidR="008501A4" w:rsidRDefault="008501A4" w:rsidP="00A9527A">
      <w:pPr>
        <w:pStyle w:val="NormalWeb"/>
        <w:spacing w:beforeAutospacing="0" w:after="40" w:line="240" w:lineRule="auto"/>
        <w:jc w:val="both"/>
      </w:pPr>
      <w:r w:rsidRPr="00FD1F6B">
        <w:rPr>
          <w:b/>
          <w:bCs/>
        </w:rPr>
        <w:t>Installation</w:t>
      </w:r>
      <w:r w:rsidRPr="00FD1F6B">
        <w:t xml:space="preserve"> : </w:t>
      </w:r>
      <w:r w:rsidR="00970F98">
        <w:t>t</w:t>
      </w:r>
      <w:r w:rsidR="00C85D44" w:rsidRPr="00D16932">
        <w:t xml:space="preserve">out </w:t>
      </w:r>
      <w:r w:rsidR="009341FD">
        <w:t xml:space="preserve">lieux </w:t>
      </w:r>
      <w:r w:rsidR="00C85D44" w:rsidRPr="00D16932">
        <w:t xml:space="preserve">dans laquelle se déroule une activité énumérée </w:t>
      </w:r>
      <w:bookmarkStart w:id="21" w:name="_Hlk169858347"/>
      <w:r w:rsidR="00C85D44">
        <w:t>dans le champ d’application de l</w:t>
      </w:r>
      <w:r w:rsidR="00C85D44" w:rsidRPr="00D16932">
        <w:t>'annexe</w:t>
      </w:r>
      <w:r w:rsidR="00C85D44" w:rsidRPr="00536BF6">
        <w:t xml:space="preserve"> </w:t>
      </w:r>
      <w:r w:rsidR="00C85D44">
        <w:t xml:space="preserve">de la </w:t>
      </w:r>
      <w:r w:rsidR="00C85D44" w:rsidRPr="00536BF6">
        <w:t xml:space="preserve">décision d'exécution de la Commission </w:t>
      </w:r>
      <w:r w:rsidR="000D7A8B">
        <w:t>n° </w:t>
      </w:r>
      <w:r w:rsidR="00C85D44" w:rsidRPr="00536BF6">
        <w:t xml:space="preserve">2023/274 </w:t>
      </w:r>
      <w:r w:rsidR="009823F6">
        <w:t>susvisée</w:t>
      </w:r>
      <w:r w:rsidR="00C85D44" w:rsidRPr="00D16932">
        <w:t xml:space="preserve"> </w:t>
      </w:r>
      <w:bookmarkEnd w:id="21"/>
      <w:r w:rsidR="00C85D44" w:rsidRPr="00D16932">
        <w:t>et toute autre activité directement associée ayant un effet sur la consommation et/ou les émissions.</w:t>
      </w:r>
      <w:r w:rsidR="00C85D44">
        <w:t xml:space="preserve"> </w:t>
      </w:r>
      <w:r w:rsidR="00C85D44" w:rsidRPr="00C85D44">
        <w:t xml:space="preserve">Il peut s’agir par exemple </w:t>
      </w:r>
      <w:r w:rsidR="00C85D44">
        <w:t>d</w:t>
      </w:r>
      <w:r w:rsidRPr="00FD1F6B">
        <w:t>es bâtiments dans lesquels se déroulent les opérations de réception</w:t>
      </w:r>
      <w:r w:rsidR="00FD1F6B" w:rsidRPr="00FD1F6B">
        <w:t xml:space="preserve"> ou de traitement des matières premières, y compris</w:t>
      </w:r>
      <w:r w:rsidR="00373924">
        <w:t xml:space="preserve"> </w:t>
      </w:r>
      <w:r w:rsidR="00373924" w:rsidRPr="00FD1F6B">
        <w:t>leurs annexes</w:t>
      </w:r>
      <w:r w:rsidR="00373924">
        <w:t xml:space="preserve"> et l</w:t>
      </w:r>
      <w:r w:rsidR="00FD1F6B" w:rsidRPr="00FD1F6B">
        <w:t>e cas échéant</w:t>
      </w:r>
      <w:r w:rsidR="00373924">
        <w:t xml:space="preserve"> la dépouille</w:t>
      </w:r>
      <w:r w:rsidR="00970F98">
        <w:t>.</w:t>
      </w:r>
    </w:p>
    <w:p w14:paraId="04DC745E" w14:textId="29F267F5" w:rsidR="00C85D44" w:rsidRDefault="00C85D44" w:rsidP="00C85D44">
      <w:pPr>
        <w:pStyle w:val="NormalWeb"/>
        <w:spacing w:beforeAutospacing="0" w:after="40" w:line="240" w:lineRule="auto"/>
        <w:jc w:val="both"/>
      </w:pPr>
      <w:r>
        <w:rPr>
          <w:b/>
          <w:bCs/>
        </w:rPr>
        <w:t>Installation</w:t>
      </w:r>
      <w:r w:rsidRPr="00D16932">
        <w:rPr>
          <w:b/>
          <w:bCs/>
        </w:rPr>
        <w:t xml:space="preserve"> existante</w:t>
      </w:r>
      <w:r w:rsidRPr="00D16932">
        <w:t xml:space="preserve"> : </w:t>
      </w:r>
      <w:bookmarkStart w:id="22" w:name="_Hlk172817382"/>
      <w:r w:rsidR="00970F98">
        <w:t>u</w:t>
      </w:r>
      <w:r w:rsidRPr="00D16932">
        <w:t xml:space="preserve">ne </w:t>
      </w:r>
      <w:r w:rsidR="00D35CD9">
        <w:t>installation</w:t>
      </w:r>
      <w:r w:rsidRPr="00D16932">
        <w:t xml:space="preserve"> qui n'est pas une </w:t>
      </w:r>
      <w:r w:rsidR="00D35CD9">
        <w:t>installation</w:t>
      </w:r>
      <w:r w:rsidRPr="00D16932">
        <w:t xml:space="preserve"> nouvelle.</w:t>
      </w:r>
    </w:p>
    <w:bookmarkEnd w:id="22"/>
    <w:p w14:paraId="1868E6BC" w14:textId="51212111" w:rsidR="00C85D44" w:rsidRPr="003B2261" w:rsidRDefault="00C85D44" w:rsidP="00C85D44">
      <w:pPr>
        <w:pStyle w:val="NormalWeb"/>
        <w:spacing w:beforeAutospacing="0" w:after="40" w:line="240" w:lineRule="auto"/>
        <w:jc w:val="both"/>
      </w:pPr>
      <w:r>
        <w:rPr>
          <w:b/>
          <w:bCs/>
        </w:rPr>
        <w:t>Installation</w:t>
      </w:r>
      <w:r w:rsidRPr="00D16932">
        <w:rPr>
          <w:b/>
          <w:bCs/>
        </w:rPr>
        <w:t xml:space="preserve"> nouvelle</w:t>
      </w:r>
      <w:r>
        <w:t xml:space="preserve"> </w:t>
      </w:r>
      <w:r w:rsidRPr="00D16932">
        <w:t xml:space="preserve">: </w:t>
      </w:r>
      <w:bookmarkStart w:id="23" w:name="_Hlk172817395"/>
      <w:r w:rsidR="00970F98">
        <w:t>u</w:t>
      </w:r>
      <w:r w:rsidRPr="00D16932">
        <w:t xml:space="preserve">ne </w:t>
      </w:r>
      <w:r w:rsidR="00D35CD9">
        <w:t xml:space="preserve">installation </w:t>
      </w:r>
      <w:r w:rsidRPr="00D16932">
        <w:t>autorisée pour la première fois sur le site de l’installation après le 1</w:t>
      </w:r>
      <w:r>
        <w:t>8</w:t>
      </w:r>
      <w:r w:rsidRPr="00D16932">
        <w:t xml:space="preserve"> décembre 2023, ou le remplacement complet d’une </w:t>
      </w:r>
      <w:r w:rsidR="00D35CD9">
        <w:t>installation</w:t>
      </w:r>
      <w:r w:rsidRPr="00D16932">
        <w:t xml:space="preserve"> après le 1</w:t>
      </w:r>
      <w:r>
        <w:t>8</w:t>
      </w:r>
      <w:r w:rsidRPr="00D16932">
        <w:t xml:space="preserve"> décembre 2023.</w:t>
      </w:r>
    </w:p>
    <w:bookmarkEnd w:id="23"/>
    <w:p w14:paraId="179D9D5E" w14:textId="5B20E35E" w:rsidR="008501A4" w:rsidRDefault="008501A4" w:rsidP="008501A4">
      <w:pPr>
        <w:pStyle w:val="NormalWeb"/>
        <w:spacing w:beforeAutospacing="0" w:after="40" w:line="240" w:lineRule="auto"/>
        <w:jc w:val="both"/>
      </w:pPr>
      <w:r w:rsidRPr="00777B50">
        <w:rPr>
          <w:b/>
          <w:bCs/>
        </w:rPr>
        <w:t>Matériels à risque spécifiés (MRS)</w:t>
      </w:r>
      <w:r w:rsidRPr="00777B50">
        <w:t xml:space="preserve"> : tissus désignés à l’annexe V </w:t>
      </w:r>
      <w:r w:rsidR="009341FD">
        <w:t xml:space="preserve">au </w:t>
      </w:r>
      <w:r w:rsidRPr="00665BFA">
        <w:t xml:space="preserve">règlement </w:t>
      </w:r>
      <w:r w:rsidR="00BE4A76">
        <w:t>du 22 mai 2001</w:t>
      </w:r>
      <w:r w:rsidRPr="00665BFA">
        <w:t xml:space="preserve"> susvisé</w:t>
      </w:r>
      <w:r w:rsidR="00D01B56" w:rsidRPr="00665BFA">
        <w:t>.</w:t>
      </w:r>
    </w:p>
    <w:p w14:paraId="6973F1E2" w14:textId="28B3FFE9" w:rsidR="008501A4" w:rsidRPr="00777B50" w:rsidRDefault="008501A4" w:rsidP="008501A4">
      <w:pPr>
        <w:pStyle w:val="NormalWeb"/>
        <w:spacing w:beforeAutospacing="0" w:after="40" w:line="240" w:lineRule="auto"/>
        <w:jc w:val="both"/>
      </w:pPr>
      <w:r w:rsidRPr="00777B50">
        <w:rPr>
          <w:b/>
          <w:bCs/>
        </w:rPr>
        <w:t>Poids carcasses</w:t>
      </w:r>
      <w:r w:rsidRPr="00777B50">
        <w:t xml:space="preserve"> : poids </w:t>
      </w:r>
      <w:r w:rsidR="00970F98">
        <w:t xml:space="preserve">qui </w:t>
      </w:r>
      <w:r w:rsidRPr="00777B50">
        <w:t>dépend des espèces d’animaux considérées :</w:t>
      </w:r>
    </w:p>
    <w:p w14:paraId="20136B3B" w14:textId="1C6D549B" w:rsidR="008501A4" w:rsidRPr="00777B50" w:rsidRDefault="00970F98" w:rsidP="00970F98">
      <w:pPr>
        <w:pStyle w:val="NormalWeb"/>
        <w:spacing w:beforeAutospacing="0" w:after="40" w:line="240" w:lineRule="auto"/>
        <w:jc w:val="both"/>
      </w:pPr>
      <w:r>
        <w:t>- p</w:t>
      </w:r>
      <w:r w:rsidR="008501A4" w:rsidRPr="00777B50">
        <w:t>orcins</w:t>
      </w:r>
      <w:r w:rsidR="009823F6">
        <w:t> </w:t>
      </w:r>
      <w:r w:rsidR="008501A4" w:rsidRPr="00777B50">
        <w:t>: le poids froid de la carcasse de l’animal entière ou découpée dans sa longueur après dépouillement, saignée, éviscération et ablation de la langue, des soies, des onglons, des organes génitaux externes, de la panne, des rognons et du diaphragme</w:t>
      </w:r>
      <w:r w:rsidR="009823F6">
        <w:t> </w:t>
      </w:r>
      <w:r w:rsidR="008501A4" w:rsidRPr="00777B50">
        <w:t>;</w:t>
      </w:r>
    </w:p>
    <w:p w14:paraId="24058124" w14:textId="2953724F" w:rsidR="008501A4" w:rsidRPr="00777B50" w:rsidRDefault="00970F98" w:rsidP="00970F98">
      <w:pPr>
        <w:pStyle w:val="NormalWeb"/>
        <w:spacing w:beforeAutospacing="0" w:after="40" w:line="240" w:lineRule="auto"/>
        <w:jc w:val="both"/>
      </w:pPr>
      <w:r>
        <w:t>- b</w:t>
      </w:r>
      <w:r w:rsidR="008501A4" w:rsidRPr="00777B50">
        <w:t>ovins</w:t>
      </w:r>
      <w:r w:rsidR="009823F6">
        <w:t> </w:t>
      </w:r>
      <w:r w:rsidR="008501A4" w:rsidRPr="00777B50">
        <w:t>: le poids froid de la carcasse de l’animal après dépouillement, saignée, éviscération et ablation des organes génitaux externes, des extrémités des membres, de la tête, de la queue, des rognons et graisses de rognon, ainsi que de la mamelle</w:t>
      </w:r>
      <w:r w:rsidR="009823F6">
        <w:t> </w:t>
      </w:r>
      <w:r w:rsidR="008501A4" w:rsidRPr="00777B50">
        <w:t>;</w:t>
      </w:r>
    </w:p>
    <w:p w14:paraId="0237F93B" w14:textId="01551CCA" w:rsidR="008501A4" w:rsidRPr="00777B50" w:rsidRDefault="00970F98" w:rsidP="00970F98">
      <w:pPr>
        <w:pStyle w:val="NormalWeb"/>
        <w:spacing w:beforeAutospacing="0" w:after="40" w:line="240" w:lineRule="auto"/>
        <w:jc w:val="both"/>
      </w:pPr>
      <w:r>
        <w:t>- p</w:t>
      </w:r>
      <w:r w:rsidR="008501A4" w:rsidRPr="00777B50">
        <w:t>oulets</w:t>
      </w:r>
      <w:r w:rsidR="009823F6">
        <w:t> </w:t>
      </w:r>
      <w:r w:rsidR="008501A4" w:rsidRPr="00777B50">
        <w:t>: le poids froid de la carcasse de l’animal après saignée, plumage et éviscération. Le poids comprend les abats (viscères)</w:t>
      </w:r>
      <w:r w:rsidR="00D01B56">
        <w:t>.</w:t>
      </w:r>
    </w:p>
    <w:p w14:paraId="3860F3EC" w14:textId="5511EEED" w:rsidR="008501A4" w:rsidRDefault="008501A4" w:rsidP="008501A4">
      <w:pPr>
        <w:pStyle w:val="NormalWeb"/>
        <w:spacing w:beforeAutospacing="0" w:after="40" w:line="240" w:lineRule="auto"/>
        <w:jc w:val="both"/>
      </w:pPr>
      <w:r w:rsidRPr="00777B50">
        <w:rPr>
          <w:b/>
          <w:bCs/>
        </w:rPr>
        <w:t>Produits des industries agroalimentaires et laitières (FDM)</w:t>
      </w:r>
      <w:r w:rsidRPr="00777B50">
        <w:t> : Produits issus des industries agroalimentaires et laitières relevant des rubriques 3642 et 3643 de la nomenclature des installations classées pour la protection de l’environnement.</w:t>
      </w:r>
    </w:p>
    <w:p w14:paraId="7A7A7402" w14:textId="77777777" w:rsidR="008501A4" w:rsidRPr="00777B50" w:rsidRDefault="008501A4" w:rsidP="008501A4">
      <w:pPr>
        <w:pStyle w:val="NormalWeb"/>
        <w:spacing w:beforeAutospacing="0" w:after="40" w:line="240" w:lineRule="auto"/>
        <w:jc w:val="both"/>
      </w:pPr>
      <w:r w:rsidRPr="00777B50">
        <w:rPr>
          <w:b/>
          <w:bCs/>
        </w:rPr>
        <w:t>Rejets directs</w:t>
      </w:r>
      <w:r w:rsidRPr="00777B50">
        <w:t> :  Rejets dans une masse d’eau réceptrice sans traitement ultérieur des eaux usées en aval.</w:t>
      </w:r>
    </w:p>
    <w:p w14:paraId="46C16850" w14:textId="77777777" w:rsidR="008501A4" w:rsidRPr="00777B50" w:rsidRDefault="008501A4" w:rsidP="008501A4">
      <w:pPr>
        <w:pStyle w:val="NormalWeb"/>
        <w:spacing w:beforeAutospacing="0" w:after="40" w:line="240" w:lineRule="auto"/>
        <w:jc w:val="both"/>
      </w:pPr>
      <w:r w:rsidRPr="00777B50">
        <w:rPr>
          <w:b/>
          <w:bCs/>
        </w:rPr>
        <w:t>Rejets indirects</w:t>
      </w:r>
      <w:r w:rsidRPr="00777B50">
        <w:t> : Rejets qui ne sont pas des rejets directs.</w:t>
      </w:r>
    </w:p>
    <w:p w14:paraId="04CB9B02" w14:textId="6A61F389" w:rsidR="008501A4" w:rsidRPr="00777B50" w:rsidRDefault="008501A4" w:rsidP="008501A4">
      <w:pPr>
        <w:pStyle w:val="NormalWeb"/>
        <w:spacing w:beforeAutospacing="0" w:after="40" w:line="240" w:lineRule="auto"/>
        <w:jc w:val="both"/>
      </w:pPr>
      <w:r w:rsidRPr="00777B50">
        <w:rPr>
          <w:b/>
          <w:bCs/>
        </w:rPr>
        <w:t>Sous-produits animaux</w:t>
      </w:r>
      <w:r w:rsidRPr="00777B50">
        <w:t xml:space="preserve"> : Tels que définis dans le règlement </w:t>
      </w:r>
      <w:r w:rsidR="00BE4A76">
        <w:t xml:space="preserve">du 21 octobre 2009 </w:t>
      </w:r>
      <w:r w:rsidR="009341FD">
        <w:t>susvisé ;</w:t>
      </w:r>
    </w:p>
    <w:p w14:paraId="12065C51" w14:textId="0FCF2E9C" w:rsidR="008501A4" w:rsidRPr="00777B50" w:rsidRDefault="008501A4" w:rsidP="008501A4">
      <w:pPr>
        <w:pStyle w:val="NormalWeb"/>
        <w:spacing w:beforeAutospacing="0" w:after="40" w:line="240" w:lineRule="auto"/>
        <w:jc w:val="both"/>
      </w:pPr>
      <w:r w:rsidRPr="00777B50">
        <w:rPr>
          <w:b/>
          <w:bCs/>
        </w:rPr>
        <w:t>Substances extrêmement préoccupantes</w:t>
      </w:r>
      <w:r w:rsidRPr="00777B50">
        <w:t xml:space="preserve"> : substances répondant aux critères mentionnés à l’article 57 et inscrites sur la liste des substances extrêmement préoccupantes candidates, conformément au règlement </w:t>
      </w:r>
      <w:r w:rsidR="00BE4A76">
        <w:t xml:space="preserve">du 18 décembre 2006 </w:t>
      </w:r>
      <w:r w:rsidR="00930C6B" w:rsidRPr="00930C6B">
        <w:t>susvisé</w:t>
      </w:r>
      <w:r w:rsidR="009341FD" w:rsidRPr="00930C6B">
        <w:t>.</w:t>
      </w:r>
    </w:p>
    <w:p w14:paraId="191058EF" w14:textId="196024D4" w:rsidR="008501A4" w:rsidRPr="00777B50" w:rsidRDefault="008501A4" w:rsidP="008501A4">
      <w:pPr>
        <w:pStyle w:val="NormalWeb"/>
        <w:spacing w:beforeAutospacing="0" w:after="40" w:line="240" w:lineRule="auto"/>
        <w:jc w:val="both"/>
      </w:pPr>
      <w:r w:rsidRPr="00777B50">
        <w:rPr>
          <w:b/>
          <w:bCs/>
        </w:rPr>
        <w:t>Substances dangereuses</w:t>
      </w:r>
      <w:r w:rsidRPr="00777B50">
        <w:t xml:space="preserve"> : substances dangereuses telles que définies </w:t>
      </w:r>
      <w:r w:rsidR="009341FD">
        <w:t xml:space="preserve">au point 18 de </w:t>
      </w:r>
      <w:r w:rsidRPr="00777B50">
        <w:t>l’article 3 de la directive</w:t>
      </w:r>
      <w:r w:rsidR="00930C6B">
        <w:t xml:space="preserve"> </w:t>
      </w:r>
      <w:r w:rsidR="00ED01A9">
        <w:t xml:space="preserve">du 24 novembre </w:t>
      </w:r>
      <w:r w:rsidRPr="00DD5452">
        <w:t>2010</w:t>
      </w:r>
      <w:r w:rsidR="00DD5452">
        <w:t xml:space="preserve"> </w:t>
      </w:r>
      <w:r w:rsidR="009341FD">
        <w:t>susvisée</w:t>
      </w:r>
      <w:r w:rsidRPr="00777B50">
        <w:t>.</w:t>
      </w:r>
    </w:p>
    <w:p w14:paraId="134AF14C" w14:textId="20D4E3FF" w:rsidR="0071178F" w:rsidRDefault="0071178F" w:rsidP="0071178F">
      <w:pPr>
        <w:pStyle w:val="Default"/>
        <w:spacing w:after="40"/>
        <w:jc w:val="both"/>
        <w:rPr>
          <w:color w:val="auto"/>
        </w:rPr>
      </w:pPr>
      <w:r w:rsidRPr="00777B50">
        <w:rPr>
          <w:b/>
          <w:bCs/>
          <w:color w:val="auto"/>
        </w:rPr>
        <w:t>Traitement par déshydratation</w:t>
      </w:r>
      <w:r w:rsidRPr="00777B50">
        <w:rPr>
          <w:color w:val="auto"/>
        </w:rPr>
        <w:t> : un traitement thermique sous pression permettant d'obtenir des farines.</w:t>
      </w:r>
    </w:p>
    <w:p w14:paraId="4CB91AEF" w14:textId="77777777" w:rsidR="00A9527A" w:rsidRPr="00A9527A" w:rsidRDefault="00A9527A" w:rsidP="00FA382A">
      <w:pPr>
        <w:pStyle w:val="Default"/>
        <w:spacing w:after="40"/>
        <w:jc w:val="both"/>
        <w:rPr>
          <w:b/>
          <w:bCs/>
          <w:color w:val="000000" w:themeColor="text1"/>
        </w:rPr>
      </w:pPr>
    </w:p>
    <w:p w14:paraId="2BBACDE4" w14:textId="51B318E8" w:rsidR="00CD7FB2" w:rsidRPr="00915DEF" w:rsidRDefault="00CD7FB2" w:rsidP="004638C8">
      <w:pPr>
        <w:pStyle w:val="Titre3"/>
      </w:pPr>
      <w:bookmarkStart w:id="24" w:name="_Toc164951664"/>
      <w:r w:rsidRPr="00A9527A">
        <w:rPr>
          <w:color w:val="000000" w:themeColor="text1"/>
        </w:rPr>
        <w:t xml:space="preserve">Article </w:t>
      </w:r>
      <w:r w:rsidRPr="00915DEF">
        <w:t>1.</w:t>
      </w:r>
      <w:r w:rsidR="00F44537">
        <w:t>5</w:t>
      </w:r>
      <w:r w:rsidRPr="00915DEF">
        <w:t xml:space="preserve"> Conformité de l’installation</w:t>
      </w:r>
      <w:bookmarkEnd w:id="24"/>
    </w:p>
    <w:p w14:paraId="58C572EE" w14:textId="3B3FD633" w:rsidR="00CD7FB2" w:rsidRPr="00445212" w:rsidRDefault="00CD7FB2" w:rsidP="008B3A3A">
      <w:pPr>
        <w:pStyle w:val="Default"/>
        <w:spacing w:after="40"/>
        <w:jc w:val="both"/>
        <w:rPr>
          <w:color w:val="000000" w:themeColor="text1"/>
        </w:rPr>
      </w:pPr>
      <w:r w:rsidRPr="00445212">
        <w:rPr>
          <w:color w:val="000000" w:themeColor="text1"/>
        </w:rPr>
        <w:t>L’installation est implantée, réalisée et exploitée conformément aux plans et autres documents joints à la demande d’</w:t>
      </w:r>
      <w:r w:rsidR="00B62BC8" w:rsidRPr="00445212">
        <w:rPr>
          <w:color w:val="000000" w:themeColor="text1"/>
        </w:rPr>
        <w:t>autorisation</w:t>
      </w:r>
      <w:r w:rsidRPr="00445212">
        <w:rPr>
          <w:color w:val="000000" w:themeColor="text1"/>
        </w:rPr>
        <w:t>.</w:t>
      </w:r>
    </w:p>
    <w:p w14:paraId="513465AE" w14:textId="622DB6ED" w:rsidR="00CD7FB2" w:rsidRPr="00915DEF" w:rsidRDefault="00CD7FB2" w:rsidP="008B3A3A">
      <w:pPr>
        <w:pStyle w:val="Default"/>
        <w:spacing w:after="40"/>
        <w:jc w:val="both"/>
      </w:pPr>
    </w:p>
    <w:p w14:paraId="744AEAE2" w14:textId="51214A36" w:rsidR="00CD7FB2" w:rsidRPr="00915DEF" w:rsidRDefault="00CD7FB2" w:rsidP="003E24C1">
      <w:pPr>
        <w:pStyle w:val="Titre1"/>
      </w:pPr>
      <w:bookmarkStart w:id="25" w:name="_Toc164951611"/>
      <w:bookmarkStart w:id="26" w:name="_Toc164951665"/>
      <w:r w:rsidRPr="00915DEF">
        <w:t>Chapitre II</w:t>
      </w:r>
      <w:r w:rsidR="0036618F">
        <w:t>. - </w:t>
      </w:r>
      <w:r w:rsidRPr="00915DEF">
        <w:t>Implantation et aménagement</w:t>
      </w:r>
      <w:bookmarkEnd w:id="25"/>
      <w:bookmarkEnd w:id="26"/>
    </w:p>
    <w:p w14:paraId="52B4C2F4" w14:textId="77777777" w:rsidR="00CD7FB2" w:rsidRPr="00915DEF" w:rsidRDefault="00CD7FB2" w:rsidP="004638C8">
      <w:pPr>
        <w:pStyle w:val="Titre3"/>
      </w:pPr>
      <w:bookmarkStart w:id="27" w:name="_Toc164951666"/>
      <w:r w:rsidRPr="00915DEF">
        <w:t>Article 2.1 Règles d’implantation</w:t>
      </w:r>
      <w:bookmarkEnd w:id="27"/>
    </w:p>
    <w:p w14:paraId="035F862F" w14:textId="2B6B12DD" w:rsidR="00CD7FB2" w:rsidRPr="00B36BDE" w:rsidRDefault="00CD7FB2" w:rsidP="008B3A3A">
      <w:pPr>
        <w:pStyle w:val="Default"/>
        <w:spacing w:after="40"/>
        <w:jc w:val="both"/>
        <w:rPr>
          <w:color w:val="auto"/>
        </w:rPr>
      </w:pPr>
      <w:r w:rsidRPr="00B36BDE">
        <w:rPr>
          <w:color w:val="auto"/>
        </w:rPr>
        <w:t>L’installation n’est pas surmontée ni ne surmonte de locaux habités ou occupés par des tiers.</w:t>
      </w:r>
    </w:p>
    <w:p w14:paraId="71F7F4EE" w14:textId="77777777" w:rsidR="004E607C" w:rsidRPr="00B36BDE" w:rsidRDefault="00CD7FB2" w:rsidP="008B3A3A">
      <w:pPr>
        <w:pStyle w:val="Default"/>
        <w:spacing w:after="40"/>
        <w:jc w:val="both"/>
        <w:rPr>
          <w:color w:val="auto"/>
        </w:rPr>
      </w:pPr>
      <w:r w:rsidRPr="00B36BDE">
        <w:rPr>
          <w:color w:val="auto"/>
        </w:rPr>
        <w:t xml:space="preserve">L'installation </w:t>
      </w:r>
      <w:r w:rsidR="001F4102" w:rsidRPr="00B36BDE">
        <w:rPr>
          <w:color w:val="auto"/>
        </w:rPr>
        <w:t>est</w:t>
      </w:r>
      <w:r w:rsidRPr="00B36BDE">
        <w:rPr>
          <w:color w:val="auto"/>
        </w:rPr>
        <w:t xml:space="preserve"> implantée</w:t>
      </w:r>
      <w:r w:rsidR="00BF23D7" w:rsidRPr="00B36BDE">
        <w:rPr>
          <w:color w:val="auto"/>
        </w:rPr>
        <w:t xml:space="preserve"> : </w:t>
      </w:r>
    </w:p>
    <w:p w14:paraId="2802839E" w14:textId="476D0D22" w:rsidR="00BF23D7" w:rsidRPr="00B36BDE" w:rsidRDefault="00CD7FB2" w:rsidP="008B3A3A">
      <w:pPr>
        <w:pStyle w:val="Default"/>
        <w:spacing w:after="40"/>
        <w:jc w:val="both"/>
        <w:rPr>
          <w:color w:val="auto"/>
        </w:rPr>
      </w:pPr>
      <w:r w:rsidRPr="00B36BDE">
        <w:rPr>
          <w:color w:val="auto"/>
        </w:rPr>
        <w:t>- à au moins 200</w:t>
      </w:r>
      <w:r w:rsidR="005E6947">
        <w:rPr>
          <w:color w:val="auto"/>
        </w:rPr>
        <w:t> </w:t>
      </w:r>
      <w:r w:rsidRPr="00B36BDE">
        <w:rPr>
          <w:color w:val="auto"/>
        </w:rPr>
        <w:t>mètres des habitations occupées par des tiers ou des locaux habituellement occupés par des tiers, des stades ou des terrains de camping agréés (à l'exception des terrains de camping à la ferme) ainsi que des zones destinées à l'habitation par des documents d'urbanisme opposables aux tiers ;</w:t>
      </w:r>
    </w:p>
    <w:p w14:paraId="749FAA01" w14:textId="36EBA801" w:rsidR="00BF23D7" w:rsidRPr="00B36BDE" w:rsidRDefault="00CD7FB2" w:rsidP="008B3A3A">
      <w:pPr>
        <w:pStyle w:val="Default"/>
        <w:spacing w:after="40"/>
        <w:jc w:val="both"/>
        <w:rPr>
          <w:color w:val="auto"/>
        </w:rPr>
      </w:pPr>
      <w:r w:rsidRPr="00B36BDE">
        <w:rPr>
          <w:color w:val="auto"/>
        </w:rPr>
        <w:t>- à au moins 35</w:t>
      </w:r>
      <w:r w:rsidR="005E6947">
        <w:rPr>
          <w:color w:val="auto"/>
        </w:rPr>
        <w:t> </w:t>
      </w:r>
      <w:r w:rsidRPr="00B36BDE">
        <w:rPr>
          <w:color w:val="auto"/>
        </w:rPr>
        <w:t>mètres des puits et forages extérieurs au site, des sources, des aqueducs en écoulement libre, de toute installation souterraine ou semi-enterrée utilisée pour le stockage des eaux destinées à l</w:t>
      </w:r>
      <w:r w:rsidR="00BF23D7" w:rsidRPr="00B36BDE">
        <w:rPr>
          <w:color w:val="auto"/>
        </w:rPr>
        <w:t>’</w:t>
      </w:r>
      <w:r w:rsidRPr="00B36BDE">
        <w:rPr>
          <w:color w:val="auto"/>
        </w:rPr>
        <w:t xml:space="preserve">alimentation en eau potable, des rivages, des berges des cours </w:t>
      </w:r>
      <w:r w:rsidR="004E607C" w:rsidRPr="00B36BDE">
        <w:rPr>
          <w:color w:val="auto"/>
        </w:rPr>
        <w:t>d’eau ;</w:t>
      </w:r>
    </w:p>
    <w:p w14:paraId="69F353E9" w14:textId="0998FA58" w:rsidR="00034692" w:rsidRPr="00B36BDE" w:rsidRDefault="00CD7FB2" w:rsidP="008B3A3A">
      <w:pPr>
        <w:pStyle w:val="Default"/>
        <w:spacing w:after="40"/>
        <w:jc w:val="both"/>
        <w:rPr>
          <w:color w:val="auto"/>
        </w:rPr>
      </w:pPr>
      <w:r w:rsidRPr="00B36BDE">
        <w:rPr>
          <w:color w:val="auto"/>
        </w:rPr>
        <w:t>- à au moins 200</w:t>
      </w:r>
      <w:r w:rsidR="005E6947">
        <w:rPr>
          <w:color w:val="auto"/>
        </w:rPr>
        <w:t> </w:t>
      </w:r>
      <w:r w:rsidRPr="00B36BDE">
        <w:rPr>
          <w:color w:val="auto"/>
        </w:rPr>
        <w:t>mètres des lieux publics de baignade et des plages ;</w:t>
      </w:r>
    </w:p>
    <w:p w14:paraId="5FE6F2D9" w14:textId="4CC8BC7D" w:rsidR="000355CA" w:rsidRPr="00B36BDE" w:rsidRDefault="00CD7FB2" w:rsidP="008B3A3A">
      <w:pPr>
        <w:pStyle w:val="Default"/>
        <w:spacing w:after="40"/>
        <w:jc w:val="both"/>
        <w:rPr>
          <w:color w:val="auto"/>
        </w:rPr>
      </w:pPr>
      <w:r w:rsidRPr="00B36BDE">
        <w:rPr>
          <w:color w:val="auto"/>
        </w:rPr>
        <w:t>- à au moins 500</w:t>
      </w:r>
      <w:r w:rsidR="005E6947">
        <w:rPr>
          <w:color w:val="auto"/>
        </w:rPr>
        <w:t> </w:t>
      </w:r>
      <w:r w:rsidRPr="00B36BDE">
        <w:rPr>
          <w:color w:val="auto"/>
        </w:rPr>
        <w:t xml:space="preserve">mètres des piscicultures de rivière soumises à autorisation ou déclaration sous la rubrique </w:t>
      </w:r>
      <w:r w:rsidR="00475B6D">
        <w:rPr>
          <w:color w:val="auto"/>
        </w:rPr>
        <w:t>n° </w:t>
      </w:r>
      <w:r w:rsidRPr="00B36BDE">
        <w:rPr>
          <w:color w:val="auto"/>
        </w:rPr>
        <w:t>2130 de la nomenclature et des zones conchylicoles</w:t>
      </w:r>
      <w:r w:rsidR="006B245C">
        <w:rPr>
          <w:color w:val="auto"/>
        </w:rPr>
        <w:t>,</w:t>
      </w:r>
      <w:r w:rsidRPr="00B36BDE">
        <w:rPr>
          <w:color w:val="auto"/>
        </w:rPr>
        <w:t xml:space="preserve"> sauf dérogation liée à la topographie.</w:t>
      </w:r>
    </w:p>
    <w:p w14:paraId="117141B6" w14:textId="65490F1A" w:rsidR="000355CA" w:rsidRPr="00B36BDE" w:rsidRDefault="00CD7FB2" w:rsidP="008B3A3A">
      <w:pPr>
        <w:pStyle w:val="Default"/>
        <w:spacing w:after="40"/>
        <w:jc w:val="both"/>
        <w:rPr>
          <w:color w:val="auto"/>
        </w:rPr>
      </w:pPr>
      <w:r w:rsidRPr="00B36BDE">
        <w:rPr>
          <w:color w:val="auto"/>
        </w:rPr>
        <w:t xml:space="preserve">Le parc de stationnement des véhicules de transport des sous-produits d'origine animale </w:t>
      </w:r>
      <w:r w:rsidR="006B245C">
        <w:rPr>
          <w:color w:val="auto"/>
        </w:rPr>
        <w:t xml:space="preserve">est </w:t>
      </w:r>
      <w:r w:rsidRPr="00B36BDE">
        <w:rPr>
          <w:color w:val="auto"/>
        </w:rPr>
        <w:t>installé à au moins 100</w:t>
      </w:r>
      <w:r w:rsidR="005E6947">
        <w:rPr>
          <w:color w:val="auto"/>
        </w:rPr>
        <w:t> </w:t>
      </w:r>
      <w:r w:rsidRPr="00B36BDE">
        <w:rPr>
          <w:color w:val="auto"/>
        </w:rPr>
        <w:t>mètres des habitations occupées par des tiers.</w:t>
      </w:r>
    </w:p>
    <w:p w14:paraId="7DC54A17" w14:textId="3ED549E3" w:rsidR="00BF23D7" w:rsidRPr="00930C6B" w:rsidRDefault="00BF23D7" w:rsidP="00BF23D7">
      <w:pPr>
        <w:pStyle w:val="NormalWeb"/>
        <w:spacing w:beforeAutospacing="0" w:after="40" w:line="240" w:lineRule="auto"/>
        <w:jc w:val="both"/>
        <w:rPr>
          <w:rFonts w:eastAsia="Calibri"/>
          <w:lang w:eastAsia="en-US"/>
        </w:rPr>
      </w:pPr>
      <w:r w:rsidRPr="00B36BDE">
        <w:t xml:space="preserve">Dans le cas de l'extension des installations existantes, les dispositions du présent article ne s'appliquent qu'aux nouveaux bâtiments. </w:t>
      </w:r>
    </w:p>
    <w:p w14:paraId="63BF5E78" w14:textId="77777777" w:rsidR="00BF23D7" w:rsidRPr="00930C6B" w:rsidRDefault="00BF23D7" w:rsidP="008B3A3A">
      <w:pPr>
        <w:pStyle w:val="Default"/>
        <w:spacing w:after="40"/>
        <w:jc w:val="both"/>
        <w:rPr>
          <w:color w:val="auto"/>
        </w:rPr>
      </w:pPr>
    </w:p>
    <w:p w14:paraId="0F7E91EE" w14:textId="46E6A3B9" w:rsidR="00CD7FB2" w:rsidRPr="00915DEF" w:rsidRDefault="00CD7FB2" w:rsidP="004638C8">
      <w:pPr>
        <w:pStyle w:val="Titre3"/>
      </w:pPr>
      <w:bookmarkStart w:id="28" w:name="_Toc164951667"/>
      <w:r w:rsidRPr="00915DEF">
        <w:t>Article 2.2 Intégration au paysage</w:t>
      </w:r>
      <w:bookmarkEnd w:id="28"/>
    </w:p>
    <w:p w14:paraId="12B6F7DB" w14:textId="2CD8FE04" w:rsidR="00D1034A" w:rsidRPr="00B36BDE" w:rsidRDefault="00D1034A" w:rsidP="00475B6D">
      <w:pPr>
        <w:spacing w:after="40"/>
        <w:jc w:val="both"/>
        <w:rPr>
          <w:szCs w:val="24"/>
          <w:lang w:eastAsia="fr-FR"/>
        </w:rPr>
      </w:pPr>
      <w:r w:rsidRPr="00B36BDE">
        <w:rPr>
          <w:szCs w:val="24"/>
          <w:lang w:eastAsia="fr-FR"/>
        </w:rPr>
        <w:t>L'exploitant prend les dispositions appropriées qui permettent d'intégrer l'installation dans le paysage.</w:t>
      </w:r>
    </w:p>
    <w:p w14:paraId="4BC2C628" w14:textId="337438C0" w:rsidR="00D1034A" w:rsidRPr="00B36BDE" w:rsidRDefault="00D1034A" w:rsidP="00475B6D">
      <w:pPr>
        <w:spacing w:after="40"/>
        <w:jc w:val="both"/>
        <w:rPr>
          <w:szCs w:val="24"/>
          <w:lang w:eastAsia="fr-FR"/>
        </w:rPr>
      </w:pPr>
      <w:r w:rsidRPr="00B36BDE">
        <w:rPr>
          <w:szCs w:val="24"/>
          <w:lang w:eastAsia="fr-FR"/>
        </w:rPr>
        <w:t>Les abords de l'installation placés sous le contrôle de l'exploitant sont aménagés et maintenus en bon état de propreté (peinture...). Les émissaires de rejet et leur périphérie font l'objet d'un soin particulier (plantations, engazonnement...).</w:t>
      </w:r>
    </w:p>
    <w:p w14:paraId="696E392A" w14:textId="4493F0E0" w:rsidR="00CD7FB2" w:rsidRPr="00915DEF" w:rsidRDefault="00CD7FB2" w:rsidP="008B3A3A">
      <w:pPr>
        <w:pStyle w:val="Default"/>
        <w:spacing w:after="40"/>
        <w:jc w:val="both"/>
        <w:rPr>
          <w:b/>
          <w:bCs/>
        </w:rPr>
      </w:pPr>
    </w:p>
    <w:p w14:paraId="58C4BAFA" w14:textId="7E9FAA04" w:rsidR="00CD7FB2" w:rsidRPr="00915DEF" w:rsidRDefault="00CD7FB2" w:rsidP="003E24C1">
      <w:pPr>
        <w:pStyle w:val="Titre1"/>
      </w:pPr>
      <w:bookmarkStart w:id="29" w:name="_Toc164951612"/>
      <w:bookmarkStart w:id="30" w:name="_Toc164951668"/>
      <w:r w:rsidRPr="00915DEF">
        <w:t>Chapitre II</w:t>
      </w:r>
      <w:r w:rsidR="0036618F">
        <w:t>. - </w:t>
      </w:r>
      <w:r w:rsidRPr="00915DEF">
        <w:t>Exploitation</w:t>
      </w:r>
      <w:bookmarkEnd w:id="29"/>
      <w:bookmarkEnd w:id="30"/>
    </w:p>
    <w:p w14:paraId="787E77B5" w14:textId="146167FF" w:rsidR="00CD7FB2" w:rsidRPr="008D7DA7" w:rsidRDefault="00075332" w:rsidP="004638C8">
      <w:pPr>
        <w:pStyle w:val="Titre3"/>
      </w:pPr>
      <w:bookmarkStart w:id="31" w:name="_Toc164951669"/>
      <w:r w:rsidRPr="008D7DA7">
        <w:t xml:space="preserve">Article </w:t>
      </w:r>
      <w:r w:rsidR="00EF7776" w:rsidRPr="008D7DA7">
        <w:t>3.1</w:t>
      </w:r>
      <w:r w:rsidRPr="008D7DA7">
        <w:t xml:space="preserve"> </w:t>
      </w:r>
      <w:r w:rsidR="000A5DC3" w:rsidRPr="008D7DA7">
        <w:t>Généralités</w:t>
      </w:r>
      <w:bookmarkEnd w:id="31"/>
    </w:p>
    <w:p w14:paraId="4E2E8522" w14:textId="689BA499" w:rsidR="000A5DC3" w:rsidRPr="008D7DA7" w:rsidRDefault="0060616C" w:rsidP="008B3A3A">
      <w:pPr>
        <w:pStyle w:val="Default"/>
        <w:spacing w:after="40"/>
        <w:jc w:val="both"/>
        <w:rPr>
          <w:color w:val="auto"/>
        </w:rPr>
      </w:pPr>
      <w:r w:rsidRPr="008D7DA7">
        <w:rPr>
          <w:color w:val="auto"/>
        </w:rPr>
        <w:t>I</w:t>
      </w:r>
      <w:r w:rsidR="00BA0670">
        <w:t>. - </w:t>
      </w:r>
      <w:r w:rsidR="00CD7FB2" w:rsidRPr="008D7DA7">
        <w:rPr>
          <w:color w:val="auto"/>
        </w:rPr>
        <w:t>L'exploitant prend les dispositions nécessaires</w:t>
      </w:r>
      <w:r w:rsidR="00475B6D">
        <w:rPr>
          <w:color w:val="auto"/>
        </w:rPr>
        <w:t>,</w:t>
      </w:r>
      <w:r w:rsidR="00CD7FB2" w:rsidRPr="008D7DA7">
        <w:rPr>
          <w:color w:val="auto"/>
        </w:rPr>
        <w:t xml:space="preserve"> dans la conception, la construction et l'exploitation des installations pour </w:t>
      </w:r>
      <w:r w:rsidR="00DB35D2" w:rsidRPr="008D7DA7">
        <w:rPr>
          <w:color w:val="auto"/>
        </w:rPr>
        <w:t>prévenir</w:t>
      </w:r>
      <w:r w:rsidR="00CD7FB2" w:rsidRPr="008D7DA7">
        <w:rPr>
          <w:color w:val="auto"/>
        </w:rPr>
        <w:t xml:space="preserve"> les risques de pollution accidentelles de l'air, des eaux ou des sols</w:t>
      </w:r>
      <w:r w:rsidR="00DB35D2" w:rsidRPr="008D7DA7">
        <w:rPr>
          <w:color w:val="auto"/>
        </w:rPr>
        <w:t xml:space="preserve"> et pour limiter les risques de nuisances.</w:t>
      </w:r>
    </w:p>
    <w:p w14:paraId="1FF4A075" w14:textId="2126BC88" w:rsidR="00D1034A" w:rsidRPr="00132983" w:rsidRDefault="001E2100" w:rsidP="008D7DA7">
      <w:pPr>
        <w:pStyle w:val="NormalWeb"/>
        <w:spacing w:beforeAutospacing="0" w:after="40" w:line="240" w:lineRule="auto"/>
        <w:jc w:val="both"/>
      </w:pPr>
      <w:r w:rsidRPr="00B36BDE">
        <w:t xml:space="preserve">Les documents, enregistrements, résultats de vérification, justificatifs et registres répertoriés dans le présent arrêté et dans l'arrêté préfectoral d'autorisation sont tenus à la disposition de </w:t>
      </w:r>
      <w:r w:rsidRPr="00132983">
        <w:t>l’inspection des installations classées. Ces éléments peuvent être informatisés mais</w:t>
      </w:r>
      <w:r w:rsidR="00475B6D">
        <w:t>,</w:t>
      </w:r>
      <w:r w:rsidRPr="00132983">
        <w:t xml:space="preserve"> dans ce cas</w:t>
      </w:r>
      <w:r w:rsidR="00475B6D">
        <w:t>,</w:t>
      </w:r>
      <w:r w:rsidRPr="00132983">
        <w:t xml:space="preserve"> des dispositions sont prises pour la sauvegarde des données. Ils sont conservés sur le site durant cinq années au minimum.</w:t>
      </w:r>
    </w:p>
    <w:p w14:paraId="17294BF6" w14:textId="77777777" w:rsidR="007E2B7D" w:rsidRPr="00132983" w:rsidRDefault="007E2B7D" w:rsidP="008D7DA7">
      <w:pPr>
        <w:pStyle w:val="NormalWeb"/>
        <w:spacing w:beforeAutospacing="0" w:after="40" w:line="240" w:lineRule="auto"/>
        <w:jc w:val="both"/>
      </w:pPr>
    </w:p>
    <w:p w14:paraId="60AECD45" w14:textId="0BC0F1D9" w:rsidR="00D1034A" w:rsidRPr="00132983" w:rsidRDefault="00D1034A" w:rsidP="00D1034A">
      <w:pPr>
        <w:pStyle w:val="Default"/>
        <w:jc w:val="both"/>
        <w:rPr>
          <w:color w:val="auto"/>
        </w:rPr>
      </w:pPr>
      <w:r w:rsidRPr="00132983">
        <w:rPr>
          <w:color w:val="auto"/>
        </w:rPr>
        <w:t>II</w:t>
      </w:r>
      <w:r w:rsidR="00BA0670">
        <w:t>. - </w:t>
      </w:r>
      <w:r w:rsidRPr="00132983">
        <w:rPr>
          <w:color w:val="auto"/>
        </w:rPr>
        <w:t>Les canalisations de transport de fluides insalubres et de collecte d'effluents pollués ou susceptibles de l'être sont étanches, curables et résistent à l'action physique et chimique des produits qu'elles sont susceptibles de contenir. Elles sont convenablement entretenues et font l'objet d'examens périodiques appropriés permettant de s'assurer de leur bon état et de leur étanchéité en cas de risque de pollution.</w:t>
      </w:r>
    </w:p>
    <w:p w14:paraId="2D05AE1A" w14:textId="77777777" w:rsidR="00D1034A" w:rsidRPr="00132983" w:rsidRDefault="00D1034A" w:rsidP="00D1034A">
      <w:pPr>
        <w:pStyle w:val="Default"/>
        <w:jc w:val="both"/>
        <w:rPr>
          <w:color w:val="auto"/>
        </w:rPr>
      </w:pPr>
      <w:r w:rsidRPr="00132983">
        <w:rPr>
          <w:color w:val="auto"/>
        </w:rPr>
        <w:t>Les différentes canalisations sont repérées, conformément aux règles en vigueur lorsqu'elles existent.</w:t>
      </w:r>
    </w:p>
    <w:p w14:paraId="4DF4F3B6" w14:textId="45F5B207" w:rsidR="00D1034A" w:rsidRPr="00132983" w:rsidRDefault="00D1034A" w:rsidP="00D1034A">
      <w:pPr>
        <w:pStyle w:val="Default"/>
        <w:jc w:val="both"/>
        <w:rPr>
          <w:color w:val="auto"/>
        </w:rPr>
      </w:pPr>
      <w:r w:rsidRPr="00132983">
        <w:rPr>
          <w:color w:val="auto"/>
        </w:rPr>
        <w:t xml:space="preserve">Les réseaux de collecte sont conçus pour évacuer les eaux polluées issues des activités ou sortant des ouvrages d'épuration interne vers les traitements appropriés avant </w:t>
      </w:r>
      <w:r w:rsidR="00721F6B">
        <w:rPr>
          <w:color w:val="auto"/>
        </w:rPr>
        <w:t xml:space="preserve">qu’elles ne soient </w:t>
      </w:r>
      <w:r w:rsidRPr="00132983">
        <w:rPr>
          <w:color w:val="auto"/>
        </w:rPr>
        <w:t>évacuées vers le milieu récepteur autorisé à les recevoir.</w:t>
      </w:r>
    </w:p>
    <w:p w14:paraId="493665E8" w14:textId="2653DBD5" w:rsidR="00D1034A" w:rsidRPr="00132983" w:rsidRDefault="00D1034A" w:rsidP="00D1034A">
      <w:pPr>
        <w:pStyle w:val="Default"/>
        <w:jc w:val="both"/>
        <w:rPr>
          <w:color w:val="auto"/>
        </w:rPr>
      </w:pPr>
      <w:r w:rsidRPr="00132983">
        <w:rPr>
          <w:color w:val="auto"/>
        </w:rPr>
        <w:t>Un schéma de tous les réseaux et un plan des égouts sont établis par l'exploitant, régulièrement mis à jour, notamment après chaque modification notable, et datés. Ils sont tenus à la disposition de l'inspection des installations classées ainsi que des services d'incendie et de secours.</w:t>
      </w:r>
    </w:p>
    <w:p w14:paraId="7A254E72" w14:textId="77777777" w:rsidR="007E2B7D" w:rsidRPr="00132983" w:rsidRDefault="007E2B7D" w:rsidP="00D1034A">
      <w:pPr>
        <w:pStyle w:val="Default"/>
        <w:jc w:val="both"/>
        <w:rPr>
          <w:color w:val="auto"/>
        </w:rPr>
      </w:pPr>
    </w:p>
    <w:p w14:paraId="46F0587C" w14:textId="1550EC2D" w:rsidR="00D1034A" w:rsidRPr="00132983" w:rsidRDefault="00D1034A" w:rsidP="00D1034A">
      <w:pPr>
        <w:pStyle w:val="Default"/>
        <w:jc w:val="both"/>
        <w:rPr>
          <w:color w:val="auto"/>
        </w:rPr>
      </w:pPr>
      <w:r w:rsidRPr="00132983">
        <w:rPr>
          <w:color w:val="auto"/>
        </w:rPr>
        <w:t>III</w:t>
      </w:r>
      <w:r w:rsidR="00BA0670">
        <w:t>. - </w:t>
      </w:r>
      <w:r w:rsidRPr="00132983">
        <w:rPr>
          <w:color w:val="auto"/>
        </w:rPr>
        <w:t>Le plan des réseaux d'alimentation et de collecte fait notamment apparaître :</w:t>
      </w:r>
    </w:p>
    <w:p w14:paraId="0D7F79C5" w14:textId="35E4E54C" w:rsidR="00D1034A" w:rsidRPr="00132983" w:rsidRDefault="00D1034A" w:rsidP="00D1034A">
      <w:pPr>
        <w:pStyle w:val="Default"/>
        <w:jc w:val="both"/>
        <w:rPr>
          <w:color w:val="auto"/>
        </w:rPr>
      </w:pPr>
      <w:r w:rsidRPr="00132983">
        <w:rPr>
          <w:color w:val="auto"/>
        </w:rPr>
        <w:t>-</w:t>
      </w:r>
      <w:r w:rsidR="005E6947">
        <w:rPr>
          <w:color w:val="auto"/>
        </w:rPr>
        <w:t> </w:t>
      </w:r>
      <w:r w:rsidRPr="00132983">
        <w:rPr>
          <w:color w:val="auto"/>
        </w:rPr>
        <w:t>l'origine et la distribution de l'eau d'alimentation ;</w:t>
      </w:r>
    </w:p>
    <w:p w14:paraId="6E6F438B" w14:textId="293D70FF" w:rsidR="00D1034A" w:rsidRPr="00132983" w:rsidRDefault="00D1034A" w:rsidP="00D1034A">
      <w:pPr>
        <w:pStyle w:val="Default"/>
        <w:jc w:val="both"/>
        <w:rPr>
          <w:color w:val="auto"/>
        </w:rPr>
      </w:pPr>
      <w:r w:rsidRPr="00132983">
        <w:rPr>
          <w:color w:val="auto"/>
        </w:rPr>
        <w:t>-</w:t>
      </w:r>
      <w:r w:rsidR="005E6947">
        <w:rPr>
          <w:color w:val="auto"/>
        </w:rPr>
        <w:t> </w:t>
      </w:r>
      <w:r w:rsidRPr="00132983">
        <w:rPr>
          <w:color w:val="auto"/>
        </w:rPr>
        <w:t xml:space="preserve">les dispositifs de protection de l'alimentation (bac de </w:t>
      </w:r>
      <w:proofErr w:type="spellStart"/>
      <w:r w:rsidRPr="00132983">
        <w:rPr>
          <w:color w:val="auto"/>
        </w:rPr>
        <w:t>disconnexion</w:t>
      </w:r>
      <w:proofErr w:type="spellEnd"/>
      <w:r w:rsidRPr="00132983">
        <w:rPr>
          <w:color w:val="auto"/>
        </w:rPr>
        <w:t>, implantation des disconnecteurs ou tout autre dispositif équivalent permettant un isolement avec la distribution alimentaire, etc.) ;</w:t>
      </w:r>
    </w:p>
    <w:p w14:paraId="3D7F288D" w14:textId="3524BF0E" w:rsidR="00D1034A" w:rsidRPr="00132983" w:rsidRDefault="00D1034A" w:rsidP="00D1034A">
      <w:pPr>
        <w:pStyle w:val="Default"/>
        <w:jc w:val="both"/>
        <w:rPr>
          <w:color w:val="auto"/>
        </w:rPr>
      </w:pPr>
      <w:r w:rsidRPr="00132983">
        <w:rPr>
          <w:color w:val="auto"/>
        </w:rPr>
        <w:t>-</w:t>
      </w:r>
      <w:r w:rsidR="005E6947">
        <w:rPr>
          <w:color w:val="auto"/>
        </w:rPr>
        <w:t> </w:t>
      </w:r>
      <w:r w:rsidRPr="00132983">
        <w:rPr>
          <w:color w:val="auto"/>
        </w:rPr>
        <w:t>les secteurs collectés et les réseaux associés ;</w:t>
      </w:r>
    </w:p>
    <w:p w14:paraId="52438934" w14:textId="5DC23C73" w:rsidR="00D1034A" w:rsidRPr="00132983" w:rsidRDefault="00D1034A" w:rsidP="00D1034A">
      <w:pPr>
        <w:pStyle w:val="Default"/>
        <w:jc w:val="both"/>
        <w:rPr>
          <w:color w:val="auto"/>
        </w:rPr>
      </w:pPr>
      <w:r w:rsidRPr="00132983">
        <w:rPr>
          <w:color w:val="auto"/>
        </w:rPr>
        <w:t>-</w:t>
      </w:r>
      <w:r w:rsidR="005E6947">
        <w:rPr>
          <w:color w:val="auto"/>
        </w:rPr>
        <w:t> </w:t>
      </w:r>
      <w:r w:rsidRPr="00132983">
        <w:rPr>
          <w:color w:val="auto"/>
        </w:rPr>
        <w:t>les ouvrages de toutes sortes (vannes, compteurs, etc.) ;</w:t>
      </w:r>
    </w:p>
    <w:p w14:paraId="03F383E2" w14:textId="7F95E2BD" w:rsidR="00D1034A" w:rsidRPr="00132983" w:rsidRDefault="00D1034A" w:rsidP="00D1034A">
      <w:pPr>
        <w:pStyle w:val="Default"/>
        <w:jc w:val="both"/>
        <w:rPr>
          <w:color w:val="auto"/>
        </w:rPr>
      </w:pPr>
      <w:r w:rsidRPr="00132983">
        <w:rPr>
          <w:color w:val="auto"/>
        </w:rPr>
        <w:t>-</w:t>
      </w:r>
      <w:r w:rsidR="005E6947">
        <w:rPr>
          <w:color w:val="auto"/>
        </w:rPr>
        <w:t> </w:t>
      </w:r>
      <w:r w:rsidRPr="00132983">
        <w:rPr>
          <w:color w:val="auto"/>
        </w:rPr>
        <w:t>les ouvrages d'épuration interne, les points de surveillance et les points de rejet de toute nature.</w:t>
      </w:r>
    </w:p>
    <w:p w14:paraId="30172F79" w14:textId="77777777" w:rsidR="00D1034A" w:rsidRPr="00132983" w:rsidRDefault="00D1034A" w:rsidP="00D1034A">
      <w:pPr>
        <w:pStyle w:val="Default"/>
        <w:jc w:val="both"/>
        <w:rPr>
          <w:color w:val="auto"/>
        </w:rPr>
      </w:pPr>
      <w:r w:rsidRPr="00132983">
        <w:rPr>
          <w:color w:val="auto"/>
        </w:rPr>
        <w:t>Il est interdit d'établir des liaisons directes entre les réseaux de collecte des eaux pluviales non polluées et les réseaux de collecte des effluents pollués ou susceptibles d'être pollués.</w:t>
      </w:r>
    </w:p>
    <w:p w14:paraId="0484FB8B" w14:textId="42A814E8" w:rsidR="00D1034A" w:rsidRPr="00132983" w:rsidRDefault="00D1034A" w:rsidP="00D1034A">
      <w:pPr>
        <w:pStyle w:val="Default"/>
        <w:jc w:val="both"/>
        <w:rPr>
          <w:color w:val="auto"/>
        </w:rPr>
      </w:pPr>
      <w:r w:rsidRPr="00132983">
        <w:rPr>
          <w:color w:val="auto"/>
        </w:rPr>
        <w:t>A l'exception des cas accidentels où la sécurité des personnes ou des installations serait compromise, il est interdit d'établir des liaisons directes entre les réseaux de collecte des effluents devant subir un traitement ou être détruits et le milieu récepteur.</w:t>
      </w:r>
    </w:p>
    <w:p w14:paraId="4536CD4A" w14:textId="626E74E2" w:rsidR="00D1034A" w:rsidRPr="00132983" w:rsidRDefault="00D1034A" w:rsidP="00D1034A">
      <w:pPr>
        <w:pStyle w:val="Default"/>
        <w:jc w:val="both"/>
        <w:rPr>
          <w:b/>
          <w:bCs/>
          <w:color w:val="auto"/>
        </w:rPr>
      </w:pPr>
    </w:p>
    <w:p w14:paraId="51B6631A" w14:textId="213CBEA7" w:rsidR="008D7DA7" w:rsidRPr="00132983" w:rsidRDefault="008D7DA7" w:rsidP="008D7DA7">
      <w:pPr>
        <w:pStyle w:val="Default"/>
        <w:spacing w:after="40"/>
        <w:jc w:val="both"/>
        <w:rPr>
          <w:color w:val="auto"/>
        </w:rPr>
      </w:pPr>
      <w:r w:rsidRPr="00132983">
        <w:rPr>
          <w:color w:val="auto"/>
        </w:rPr>
        <w:t>IV</w:t>
      </w:r>
      <w:r w:rsidR="00BA0670">
        <w:t>. - </w:t>
      </w:r>
      <w:r w:rsidRPr="00132983">
        <w:rPr>
          <w:color w:val="auto"/>
        </w:rPr>
        <w:t xml:space="preserve">Les dispositifs de traitement par déshydratation des sous-produits d'origine animale, ainsi que les dispositifs de traitement des effluents </w:t>
      </w:r>
      <w:r w:rsidR="006B245C">
        <w:rPr>
          <w:color w:val="auto"/>
        </w:rPr>
        <w:t>sont</w:t>
      </w:r>
      <w:r w:rsidRPr="00132983">
        <w:rPr>
          <w:color w:val="auto"/>
        </w:rPr>
        <w:t xml:space="preserve"> correctement entretenus afin d'éviter toute indisponibilité prolongée. Pendant leur arrêt accidentel ou pour motif technique, toutes mesures </w:t>
      </w:r>
      <w:r w:rsidR="006B245C">
        <w:rPr>
          <w:color w:val="auto"/>
        </w:rPr>
        <w:t>sont</w:t>
      </w:r>
      <w:r w:rsidRPr="00132983">
        <w:rPr>
          <w:color w:val="auto"/>
        </w:rPr>
        <w:t xml:space="preserve"> prises pour éviter l'attente sur place des matières premières à température ambiante. </w:t>
      </w:r>
    </w:p>
    <w:p w14:paraId="29D70681" w14:textId="5D04B42F" w:rsidR="00CD7FB2" w:rsidRPr="00132983" w:rsidRDefault="00CD7FB2" w:rsidP="008B3A3A">
      <w:pPr>
        <w:pStyle w:val="Default"/>
        <w:spacing w:after="40"/>
        <w:jc w:val="both"/>
        <w:rPr>
          <w:color w:val="auto"/>
        </w:rPr>
      </w:pPr>
    </w:p>
    <w:p w14:paraId="5162D167" w14:textId="5E95DBA4" w:rsidR="00CD7FB2" w:rsidRPr="007E2B7D" w:rsidRDefault="00CD7FB2" w:rsidP="004638C8">
      <w:pPr>
        <w:pStyle w:val="Titre3"/>
      </w:pPr>
      <w:bookmarkStart w:id="32" w:name="_Toc164951670"/>
      <w:r w:rsidRPr="007E2B7D">
        <w:t>Article 3.</w:t>
      </w:r>
      <w:r w:rsidR="00F963A5" w:rsidRPr="007E2B7D">
        <w:t>2</w:t>
      </w:r>
      <w:r w:rsidRPr="007E2B7D">
        <w:t xml:space="preserve"> Propreté de l’installation</w:t>
      </w:r>
      <w:bookmarkEnd w:id="32"/>
    </w:p>
    <w:p w14:paraId="5708411F" w14:textId="03CECCB7" w:rsidR="00CD7FB2" w:rsidRPr="007E2B7D" w:rsidRDefault="00EF7776" w:rsidP="00DF75DC">
      <w:pPr>
        <w:spacing w:after="40"/>
        <w:rPr>
          <w:szCs w:val="24"/>
        </w:rPr>
      </w:pPr>
      <w:r w:rsidRPr="007E2B7D">
        <w:rPr>
          <w:szCs w:val="24"/>
        </w:rPr>
        <w:t>I</w:t>
      </w:r>
      <w:r w:rsidR="00BA0670">
        <w:t>. - </w:t>
      </w:r>
      <w:r w:rsidR="00CD7FB2" w:rsidRPr="007E2B7D">
        <w:rPr>
          <w:szCs w:val="24"/>
        </w:rPr>
        <w:t>L’ensemble de l’installation est maintenu propre et entretenu en permanence.</w:t>
      </w:r>
    </w:p>
    <w:p w14:paraId="5A10930B" w14:textId="77777777" w:rsidR="007E2B7D" w:rsidRPr="007E2B7D" w:rsidRDefault="007E2B7D" w:rsidP="00DF75DC">
      <w:pPr>
        <w:spacing w:after="40"/>
        <w:rPr>
          <w:szCs w:val="24"/>
        </w:rPr>
      </w:pPr>
    </w:p>
    <w:p w14:paraId="4ED6DA5C" w14:textId="326AD43A" w:rsidR="008D6A41" w:rsidRPr="007E2B7D" w:rsidRDefault="00B27537" w:rsidP="008B3A3A">
      <w:pPr>
        <w:pStyle w:val="Default"/>
        <w:spacing w:after="40"/>
        <w:jc w:val="both"/>
        <w:rPr>
          <w:color w:val="auto"/>
        </w:rPr>
      </w:pPr>
      <w:r w:rsidRPr="007E2B7D">
        <w:rPr>
          <w:color w:val="auto"/>
        </w:rPr>
        <w:t>II</w:t>
      </w:r>
      <w:r w:rsidR="00BA0670">
        <w:t>. - </w:t>
      </w:r>
      <w:r w:rsidR="00CD7FB2" w:rsidRPr="007E2B7D">
        <w:rPr>
          <w:color w:val="auto"/>
        </w:rPr>
        <w:t xml:space="preserve">Tous les locaux de stockage des matières premières </w:t>
      </w:r>
      <w:r w:rsidR="005B1F47">
        <w:rPr>
          <w:color w:val="auto"/>
        </w:rPr>
        <w:t xml:space="preserve">sont </w:t>
      </w:r>
      <w:r w:rsidR="00CD7FB2" w:rsidRPr="007E2B7D">
        <w:rPr>
          <w:color w:val="auto"/>
        </w:rPr>
        <w:t>maintenus dans un bon état de propreté et font l'objet d'un nettoyage au moins deux fois par semaine. La fréquence de nettoyage est quotidienne pour les locaux de travail (dépouille, broyage ...).</w:t>
      </w:r>
      <w:r w:rsidR="008B7859">
        <w:rPr>
          <w:color w:val="auto"/>
        </w:rPr>
        <w:t xml:space="preserve"> </w:t>
      </w:r>
      <w:r w:rsidR="007C5296">
        <w:rPr>
          <w:color w:val="auto"/>
        </w:rPr>
        <w:t>Cela fait l’objet d’enregistrements consignés tenus</w:t>
      </w:r>
      <w:r w:rsidR="0021353A">
        <w:rPr>
          <w:color w:val="auto"/>
        </w:rPr>
        <w:t xml:space="preserve"> à la disposition de l’inspection des installations classées.</w:t>
      </w:r>
    </w:p>
    <w:p w14:paraId="4DC9EFAF" w14:textId="41D2959F" w:rsidR="00CD7FB2" w:rsidRPr="007E2B7D" w:rsidRDefault="00CD7FB2" w:rsidP="008B3A3A">
      <w:pPr>
        <w:pStyle w:val="Default"/>
        <w:spacing w:after="40"/>
        <w:jc w:val="both"/>
        <w:rPr>
          <w:color w:val="auto"/>
        </w:rPr>
      </w:pPr>
      <w:r w:rsidRPr="007E2B7D">
        <w:rPr>
          <w:color w:val="auto"/>
        </w:rPr>
        <w:t>L'installation dispose d'équipements adéquats pour nettoyer et désinfecter les récipients ou conteneurs dans lesquels les sous-produits animaux sont réceptionnés, ainsi que les véhicules dans lesquels ils sont transportés.</w:t>
      </w:r>
    </w:p>
    <w:p w14:paraId="1681BB85" w14:textId="00CD40C1" w:rsidR="008D6A41" w:rsidRPr="007E2B7D" w:rsidRDefault="00CD7FB2" w:rsidP="008B3A3A">
      <w:pPr>
        <w:pStyle w:val="Default"/>
        <w:spacing w:after="40"/>
        <w:jc w:val="both"/>
        <w:rPr>
          <w:color w:val="auto"/>
        </w:rPr>
      </w:pPr>
      <w:r w:rsidRPr="007E2B7D">
        <w:rPr>
          <w:color w:val="auto"/>
        </w:rPr>
        <w:t>Les récipients, conteneurs et véhicules utilisés pour le transport des sous-produits animaux doivent être nettoyés et lavés après chaque usage et désinfectés régulièrement</w:t>
      </w:r>
      <w:r w:rsidR="007E2B7D" w:rsidRPr="007E2B7D">
        <w:rPr>
          <w:color w:val="auto"/>
        </w:rPr>
        <w:t xml:space="preserve">. </w:t>
      </w:r>
    </w:p>
    <w:p w14:paraId="3AF1FA95" w14:textId="77777777" w:rsidR="000B79CD" w:rsidRDefault="000B79CD" w:rsidP="008B3A3A">
      <w:pPr>
        <w:pStyle w:val="Default"/>
        <w:spacing w:after="40"/>
        <w:jc w:val="both"/>
        <w:rPr>
          <w:color w:val="auto"/>
        </w:rPr>
      </w:pPr>
    </w:p>
    <w:p w14:paraId="4E1B0FC8" w14:textId="20A68C33" w:rsidR="00CD7FB2" w:rsidRPr="007E2B7D" w:rsidRDefault="007E2B7D" w:rsidP="008B3A3A">
      <w:pPr>
        <w:pStyle w:val="Default"/>
        <w:spacing w:after="40"/>
        <w:jc w:val="both"/>
        <w:rPr>
          <w:color w:val="auto"/>
        </w:rPr>
      </w:pPr>
      <w:r w:rsidRPr="007E2B7D">
        <w:rPr>
          <w:color w:val="auto"/>
        </w:rPr>
        <w:t>III</w:t>
      </w:r>
      <w:r w:rsidR="00BA0670">
        <w:t>. - </w:t>
      </w:r>
      <w:r w:rsidR="00CD7FB2" w:rsidRPr="007E2B7D">
        <w:rPr>
          <w:color w:val="auto"/>
        </w:rPr>
        <w:t>Toutes dispositions sont prises en permanence pour empêcher l'introduction et la pullulation des insectes et des nuisibles, ainsi que pour en assurer la destruction.</w:t>
      </w:r>
    </w:p>
    <w:p w14:paraId="425BC7BB" w14:textId="05FB4256" w:rsidR="00B8294B" w:rsidRPr="007E2B7D" w:rsidRDefault="00B8294B" w:rsidP="008B3A3A">
      <w:pPr>
        <w:pStyle w:val="Default"/>
        <w:spacing w:after="40"/>
        <w:jc w:val="both"/>
        <w:rPr>
          <w:color w:val="auto"/>
        </w:rPr>
      </w:pPr>
    </w:p>
    <w:p w14:paraId="708DBE54" w14:textId="68E3291B" w:rsidR="00CD7FB2" w:rsidRPr="007E2B7D" w:rsidRDefault="00CD7FB2" w:rsidP="004638C8">
      <w:pPr>
        <w:pStyle w:val="Titre3"/>
      </w:pPr>
      <w:bookmarkStart w:id="33" w:name="_Toc164951671"/>
      <w:r w:rsidRPr="007E2B7D">
        <w:t>Article 3.</w:t>
      </w:r>
      <w:r w:rsidR="00F963A5" w:rsidRPr="007E2B7D">
        <w:t>3</w:t>
      </w:r>
      <w:r w:rsidRPr="007E2B7D">
        <w:t xml:space="preserve"> </w:t>
      </w:r>
      <w:r w:rsidR="007E2B7D" w:rsidRPr="007E2B7D">
        <w:t>C</w:t>
      </w:r>
      <w:r w:rsidRPr="007E2B7D">
        <w:t>onsignes d'exploitation</w:t>
      </w:r>
      <w:bookmarkEnd w:id="33"/>
    </w:p>
    <w:p w14:paraId="655E1411" w14:textId="7D500540" w:rsidR="00052077" w:rsidRDefault="00CD7FB2" w:rsidP="008B3A3A">
      <w:pPr>
        <w:pStyle w:val="Default"/>
        <w:spacing w:after="40"/>
        <w:jc w:val="both"/>
        <w:rPr>
          <w:color w:val="auto"/>
        </w:rPr>
      </w:pPr>
      <w:r w:rsidRPr="007E2B7D">
        <w:rPr>
          <w:color w:val="auto"/>
        </w:rPr>
        <w:t xml:space="preserve">Les farines d'origine animale </w:t>
      </w:r>
      <w:r w:rsidR="00052077">
        <w:rPr>
          <w:color w:val="auto"/>
        </w:rPr>
        <w:t xml:space="preserve">sont gérées selon les dispositions prévues aux article 9.b à 9.j de l’arrêté du </w:t>
      </w:r>
      <w:r w:rsidR="00052077" w:rsidRPr="00052077">
        <w:rPr>
          <w:color w:val="auto"/>
        </w:rPr>
        <w:t>12 février 2003</w:t>
      </w:r>
      <w:r w:rsidR="005B1F47">
        <w:rPr>
          <w:color w:val="auto"/>
        </w:rPr>
        <w:t xml:space="preserve"> susvisé</w:t>
      </w:r>
      <w:r w:rsidR="00052077">
        <w:rPr>
          <w:color w:val="auto"/>
        </w:rPr>
        <w:t xml:space="preserve"> </w:t>
      </w:r>
    </w:p>
    <w:p w14:paraId="375901B1" w14:textId="02BCEDBB" w:rsidR="00052077" w:rsidRPr="00E65E93" w:rsidRDefault="00052077" w:rsidP="00052077">
      <w:pPr>
        <w:pStyle w:val="Default"/>
        <w:spacing w:after="40"/>
        <w:jc w:val="both"/>
        <w:rPr>
          <w:color w:val="auto"/>
        </w:rPr>
      </w:pPr>
      <w:r>
        <w:rPr>
          <w:color w:val="auto"/>
        </w:rPr>
        <w:t xml:space="preserve">Les farines disposent une </w:t>
      </w:r>
      <w:r w:rsidRPr="00E65E93">
        <w:rPr>
          <w:color w:val="auto"/>
        </w:rPr>
        <w:t>teneur en matière grasse des farines animales inférieures à 14</w:t>
      </w:r>
      <w:r w:rsidR="005B1F47">
        <w:rPr>
          <w:color w:val="auto"/>
        </w:rPr>
        <w:t> </w:t>
      </w:r>
      <w:r w:rsidRPr="00E65E93">
        <w:rPr>
          <w:color w:val="auto"/>
        </w:rPr>
        <w:t>%.</w:t>
      </w:r>
      <w:r>
        <w:rPr>
          <w:color w:val="auto"/>
        </w:rPr>
        <w:t xml:space="preserve"> Les températures de stockage sont inférieures à </w:t>
      </w:r>
      <w:r w:rsidRPr="00052077">
        <w:rPr>
          <w:color w:val="auto"/>
        </w:rPr>
        <w:t>30</w:t>
      </w:r>
      <w:r w:rsidR="005B1F47">
        <w:rPr>
          <w:color w:val="auto"/>
        </w:rPr>
        <w:t> </w:t>
      </w:r>
      <w:r w:rsidRPr="00052077">
        <w:rPr>
          <w:color w:val="auto"/>
        </w:rPr>
        <w:t xml:space="preserve">°C </w:t>
      </w:r>
      <w:r>
        <w:rPr>
          <w:color w:val="auto"/>
        </w:rPr>
        <w:t>en cœur</w:t>
      </w:r>
      <w:r w:rsidRPr="00052077">
        <w:rPr>
          <w:color w:val="auto"/>
        </w:rPr>
        <w:t xml:space="preserve"> du stockage</w:t>
      </w:r>
      <w:r>
        <w:rPr>
          <w:color w:val="auto"/>
        </w:rPr>
        <w:t xml:space="preserve"> tout en pouvant disposer d’une plage de température en entrée de stockage </w:t>
      </w:r>
      <w:r w:rsidRPr="00052077">
        <w:rPr>
          <w:color w:val="auto"/>
        </w:rPr>
        <w:t>entre 30</w:t>
      </w:r>
      <w:r w:rsidR="005B1F47">
        <w:rPr>
          <w:color w:val="auto"/>
        </w:rPr>
        <w:t> </w:t>
      </w:r>
      <w:r w:rsidRPr="00052077">
        <w:rPr>
          <w:color w:val="auto"/>
        </w:rPr>
        <w:t>°C et 45</w:t>
      </w:r>
      <w:r w:rsidR="005B1F47">
        <w:rPr>
          <w:color w:val="auto"/>
        </w:rPr>
        <w:t> </w:t>
      </w:r>
      <w:r w:rsidRPr="00052077">
        <w:rPr>
          <w:color w:val="auto"/>
        </w:rPr>
        <w:t>°C.</w:t>
      </w:r>
    </w:p>
    <w:p w14:paraId="0843CB73" w14:textId="77777777" w:rsidR="00A200C3" w:rsidRPr="007E2B7D" w:rsidRDefault="00A200C3" w:rsidP="008B3A3A">
      <w:pPr>
        <w:pStyle w:val="Default"/>
        <w:spacing w:after="40"/>
        <w:jc w:val="both"/>
        <w:rPr>
          <w:b/>
          <w:bCs/>
          <w:color w:val="auto"/>
        </w:rPr>
      </w:pPr>
    </w:p>
    <w:p w14:paraId="32C2BEB7" w14:textId="4BA66FF6" w:rsidR="00CD7FB2" w:rsidRPr="00915DEF" w:rsidRDefault="00075332" w:rsidP="004638C8">
      <w:pPr>
        <w:pStyle w:val="Titre3"/>
      </w:pPr>
      <w:bookmarkStart w:id="34" w:name="_Toc164951672"/>
      <w:r w:rsidRPr="00915DEF">
        <w:t xml:space="preserve">Article </w:t>
      </w:r>
      <w:r w:rsidR="00F963A5" w:rsidRPr="00915DEF">
        <w:t>3.4</w:t>
      </w:r>
      <w:r w:rsidRPr="00915DEF">
        <w:t xml:space="preserve"> </w:t>
      </w:r>
      <w:r w:rsidR="00CD7FB2" w:rsidRPr="00915DEF">
        <w:t>Système de management environnemental</w:t>
      </w:r>
      <w:bookmarkEnd w:id="34"/>
    </w:p>
    <w:p w14:paraId="7A53E15E" w14:textId="076624F9" w:rsidR="00BA0670" w:rsidRPr="00BA0670" w:rsidRDefault="00BA0670" w:rsidP="00BA0670">
      <w:pPr>
        <w:pStyle w:val="Default"/>
        <w:spacing w:after="40"/>
        <w:jc w:val="both"/>
        <w:rPr>
          <w:color w:val="auto"/>
        </w:rPr>
      </w:pPr>
      <w:r w:rsidRPr="00BA0670">
        <w:rPr>
          <w:color w:val="auto"/>
        </w:rPr>
        <w:t>I.</w:t>
      </w:r>
      <w:r w:rsidR="00916AD8">
        <w:rPr>
          <w:color w:val="auto"/>
        </w:rPr>
        <w:t> </w:t>
      </w:r>
      <w:r w:rsidRPr="00BA0670">
        <w:rPr>
          <w:color w:val="auto"/>
        </w:rPr>
        <w:t>-</w:t>
      </w:r>
      <w:r w:rsidR="00916AD8">
        <w:rPr>
          <w:color w:val="auto"/>
        </w:rPr>
        <w:t> </w:t>
      </w:r>
      <w:r w:rsidRPr="00BA0670">
        <w:rPr>
          <w:color w:val="auto"/>
        </w:rPr>
        <w:t>L’exploitant met en place et applique un système de management environnemental (SME) présentant tous les éléments suivants :</w:t>
      </w:r>
    </w:p>
    <w:p w14:paraId="7EF9CD21" w14:textId="01E662D6" w:rsidR="00BA0670" w:rsidRPr="00BA0670" w:rsidRDefault="00BA0670" w:rsidP="00BA0670">
      <w:pPr>
        <w:pStyle w:val="Default"/>
        <w:spacing w:after="40"/>
        <w:jc w:val="both"/>
        <w:rPr>
          <w:color w:val="auto"/>
        </w:rPr>
      </w:pPr>
      <w:r w:rsidRPr="00BA0670">
        <w:rPr>
          <w:color w:val="auto"/>
        </w:rPr>
        <w:t>1°</w:t>
      </w:r>
      <w:r w:rsidR="00916AD8">
        <w:rPr>
          <w:color w:val="auto"/>
        </w:rPr>
        <w:t> </w:t>
      </w:r>
      <w:r w:rsidRPr="00BA0670">
        <w:rPr>
          <w:color w:val="auto"/>
        </w:rPr>
        <w:t>l’engagement l’initiative et la responsabilité de l’encadrement, y compris de la direction, pour une mise en œuvre d’un système de management efficace ;</w:t>
      </w:r>
    </w:p>
    <w:p w14:paraId="503F601A" w14:textId="330533D9" w:rsidR="00BA0670" w:rsidRPr="00BA0670" w:rsidRDefault="00BA0670" w:rsidP="00BA0670">
      <w:pPr>
        <w:pStyle w:val="Default"/>
        <w:spacing w:after="40"/>
        <w:jc w:val="both"/>
        <w:rPr>
          <w:color w:val="auto"/>
        </w:rPr>
      </w:pPr>
      <w:r w:rsidRPr="00BA0670">
        <w:rPr>
          <w:color w:val="auto"/>
        </w:rPr>
        <w:t>2°</w:t>
      </w:r>
      <w:r w:rsidR="00916AD8">
        <w:rPr>
          <w:color w:val="auto"/>
        </w:rPr>
        <w:t> </w:t>
      </w:r>
      <w:r w:rsidRPr="00BA0670">
        <w:rPr>
          <w:color w:val="auto"/>
        </w:rPr>
        <w:t>l’analyse visant notamment à déterminer le contexte dans lequel s’insère l’organisation, à recenser les besoins et les attentes des parties intéressées, à mettre en évidence les caractéristiques de l’installation qui sont associées à d’éventuels risques pour l’environnement et la santé humaine, ainsi qu’à déterminer les exigences légales applicables en matière d’environnement ;</w:t>
      </w:r>
    </w:p>
    <w:p w14:paraId="2A569BB0" w14:textId="32298232" w:rsidR="00BA0670" w:rsidRPr="00BA0670" w:rsidRDefault="00BA0670" w:rsidP="00BA0670">
      <w:pPr>
        <w:pStyle w:val="Default"/>
        <w:spacing w:after="40"/>
        <w:jc w:val="both"/>
        <w:rPr>
          <w:color w:val="auto"/>
        </w:rPr>
      </w:pPr>
      <w:r w:rsidRPr="00BA0670">
        <w:rPr>
          <w:color w:val="auto"/>
        </w:rPr>
        <w:t>3°</w:t>
      </w:r>
      <w:r w:rsidR="00916AD8">
        <w:rPr>
          <w:color w:val="auto"/>
        </w:rPr>
        <w:t> </w:t>
      </w:r>
      <w:r w:rsidRPr="00BA0670">
        <w:rPr>
          <w:color w:val="auto"/>
        </w:rPr>
        <w:t>la définition d’une politique environnementale intégrant le principe d’amélioration continue des performances environnementales de l’installation ;</w:t>
      </w:r>
    </w:p>
    <w:p w14:paraId="579F8B66" w14:textId="619F9A18" w:rsidR="00BA0670" w:rsidRPr="00BA0670" w:rsidRDefault="00BA0670" w:rsidP="00BA0670">
      <w:pPr>
        <w:pStyle w:val="Default"/>
        <w:spacing w:after="40"/>
        <w:jc w:val="both"/>
        <w:rPr>
          <w:color w:val="auto"/>
        </w:rPr>
      </w:pPr>
      <w:r w:rsidRPr="00BA0670">
        <w:rPr>
          <w:color w:val="auto"/>
        </w:rPr>
        <w:t>4°</w:t>
      </w:r>
      <w:r w:rsidR="00916AD8">
        <w:rPr>
          <w:color w:val="auto"/>
        </w:rPr>
        <w:t> </w:t>
      </w:r>
      <w:r w:rsidRPr="00BA0670">
        <w:rPr>
          <w:color w:val="auto"/>
        </w:rPr>
        <w:t>la définition d’objectifs et d’indicateurs de performance pour les aspects environnementaux importants, y compris pour garantir le respect des exigences légales applicables ;</w:t>
      </w:r>
    </w:p>
    <w:p w14:paraId="1EB3A771" w14:textId="644F3BA1" w:rsidR="00BA0670" w:rsidRPr="00BA0670" w:rsidRDefault="00BA0670" w:rsidP="00BA0670">
      <w:pPr>
        <w:pStyle w:val="Default"/>
        <w:spacing w:after="40"/>
        <w:jc w:val="both"/>
        <w:rPr>
          <w:color w:val="auto"/>
        </w:rPr>
      </w:pPr>
      <w:r w:rsidRPr="00BA0670">
        <w:rPr>
          <w:color w:val="auto"/>
        </w:rPr>
        <w:t>5°</w:t>
      </w:r>
      <w:r w:rsidR="00916AD8">
        <w:rPr>
          <w:color w:val="auto"/>
        </w:rPr>
        <w:t> </w:t>
      </w:r>
      <w:r w:rsidRPr="00BA0670">
        <w:rPr>
          <w:color w:val="auto"/>
        </w:rPr>
        <w:t>la planification et la mise en œuvre des procédures et des actions nécessaires (y compris les actions correctives et préventives lorsqu’elles sont nécessaires) pour atteindre les objectifs environnementaux et éviter les risques environnementaux ;</w:t>
      </w:r>
    </w:p>
    <w:p w14:paraId="6D2B564A" w14:textId="590A5C24" w:rsidR="00BA0670" w:rsidRPr="00BA0670" w:rsidRDefault="00BA0670" w:rsidP="00BA0670">
      <w:pPr>
        <w:pStyle w:val="Default"/>
        <w:spacing w:after="40"/>
        <w:jc w:val="both"/>
        <w:rPr>
          <w:color w:val="auto"/>
        </w:rPr>
      </w:pPr>
      <w:r w:rsidRPr="00BA0670">
        <w:rPr>
          <w:color w:val="auto"/>
        </w:rPr>
        <w:t>6°</w:t>
      </w:r>
      <w:r w:rsidR="00916AD8">
        <w:rPr>
          <w:color w:val="auto"/>
        </w:rPr>
        <w:t> </w:t>
      </w:r>
      <w:r w:rsidRPr="00BA0670">
        <w:rPr>
          <w:color w:val="auto"/>
        </w:rPr>
        <w:t>la détermination des structures, des rôles et des responsabilités en ce qui concerne les aspects et les objectifs environnementaux, et la mise à disposition des ressources financières et humaines nécessaires ;</w:t>
      </w:r>
    </w:p>
    <w:p w14:paraId="329A5696" w14:textId="4E547AFB" w:rsidR="00BA0670" w:rsidRPr="00BA0670" w:rsidRDefault="00BA0670" w:rsidP="00BA0670">
      <w:pPr>
        <w:pStyle w:val="Default"/>
        <w:spacing w:after="40"/>
        <w:jc w:val="both"/>
        <w:rPr>
          <w:color w:val="auto"/>
        </w:rPr>
      </w:pPr>
      <w:r w:rsidRPr="00BA0670">
        <w:rPr>
          <w:color w:val="auto"/>
        </w:rPr>
        <w:t>7°</w:t>
      </w:r>
      <w:r w:rsidR="00916AD8">
        <w:rPr>
          <w:color w:val="auto"/>
        </w:rPr>
        <w:t> </w:t>
      </w:r>
      <w:r w:rsidRPr="00BA0670">
        <w:rPr>
          <w:color w:val="auto"/>
        </w:rPr>
        <w:t>la garantie (par exemple, par l’information et la formation) de la compétence et de la sensibilisation requises du personnel dont le travail est susceptible d’avoir une incidence sur les performances environnementales de l’installation ;</w:t>
      </w:r>
    </w:p>
    <w:p w14:paraId="65F87C27" w14:textId="76344164" w:rsidR="00BA0670" w:rsidRPr="00BA0670" w:rsidRDefault="00BA0670" w:rsidP="00BA0670">
      <w:pPr>
        <w:pStyle w:val="Default"/>
        <w:spacing w:after="40"/>
        <w:jc w:val="both"/>
        <w:rPr>
          <w:color w:val="auto"/>
        </w:rPr>
      </w:pPr>
      <w:r w:rsidRPr="00BA0670">
        <w:rPr>
          <w:color w:val="auto"/>
        </w:rPr>
        <w:t>8°</w:t>
      </w:r>
      <w:r w:rsidR="00916AD8">
        <w:rPr>
          <w:color w:val="auto"/>
        </w:rPr>
        <w:t> </w:t>
      </w:r>
      <w:r w:rsidRPr="00BA0670">
        <w:rPr>
          <w:color w:val="auto"/>
        </w:rPr>
        <w:t>la communication interne et externe ;</w:t>
      </w:r>
    </w:p>
    <w:p w14:paraId="08BFBED6" w14:textId="7E6A6582" w:rsidR="00BA0670" w:rsidRPr="00BA0670" w:rsidRDefault="00BA0670" w:rsidP="00BA0670">
      <w:pPr>
        <w:pStyle w:val="Default"/>
        <w:spacing w:after="40"/>
        <w:jc w:val="both"/>
        <w:rPr>
          <w:color w:val="auto"/>
        </w:rPr>
      </w:pPr>
      <w:r w:rsidRPr="00BA0670">
        <w:rPr>
          <w:color w:val="auto"/>
        </w:rPr>
        <w:t>9°</w:t>
      </w:r>
      <w:r w:rsidR="00916AD8">
        <w:rPr>
          <w:color w:val="auto"/>
        </w:rPr>
        <w:t> </w:t>
      </w:r>
      <w:r w:rsidRPr="00BA0670">
        <w:rPr>
          <w:color w:val="auto"/>
        </w:rPr>
        <w:t>l’incitation des travailleurs à s’impliquer dans les bonnes pratiques de management environnemental ;</w:t>
      </w:r>
    </w:p>
    <w:p w14:paraId="3F08C2FA" w14:textId="618AEF4F" w:rsidR="00BA0670" w:rsidRPr="00BA0670" w:rsidRDefault="00BA0670" w:rsidP="00BA0670">
      <w:pPr>
        <w:pStyle w:val="Default"/>
        <w:spacing w:after="40"/>
        <w:jc w:val="both"/>
        <w:rPr>
          <w:color w:val="auto"/>
        </w:rPr>
      </w:pPr>
      <w:r w:rsidRPr="00BA0670">
        <w:rPr>
          <w:color w:val="auto"/>
        </w:rPr>
        <w:t>10°</w:t>
      </w:r>
      <w:r w:rsidR="00916AD8">
        <w:rPr>
          <w:color w:val="auto"/>
        </w:rPr>
        <w:t> </w:t>
      </w:r>
      <w:r w:rsidRPr="00BA0670">
        <w:rPr>
          <w:color w:val="auto"/>
        </w:rPr>
        <w:t>l’établissement et le maintien à jour du manuel de management et des procédures écrites pour superviser les activités ayant un impact significatif sur l’environnement, ainsi que des registres pertinents ;</w:t>
      </w:r>
    </w:p>
    <w:p w14:paraId="4E2CC33E" w14:textId="19E132DB" w:rsidR="00BA0670" w:rsidRPr="00BA0670" w:rsidRDefault="00BA0670" w:rsidP="00BA0670">
      <w:pPr>
        <w:pStyle w:val="Default"/>
        <w:spacing w:after="40"/>
        <w:jc w:val="both"/>
        <w:rPr>
          <w:color w:val="auto"/>
        </w:rPr>
      </w:pPr>
      <w:r w:rsidRPr="00BA0670">
        <w:rPr>
          <w:color w:val="auto"/>
        </w:rPr>
        <w:t>11°</w:t>
      </w:r>
      <w:r w:rsidR="00916AD8">
        <w:rPr>
          <w:color w:val="auto"/>
        </w:rPr>
        <w:t> </w:t>
      </w:r>
      <w:r w:rsidRPr="00BA0670">
        <w:rPr>
          <w:color w:val="auto"/>
        </w:rPr>
        <w:t>la planification opérationnelle et le contrôle des procédés efficaces ;</w:t>
      </w:r>
    </w:p>
    <w:p w14:paraId="264AF3DF" w14:textId="1EC7B5AB" w:rsidR="00BA0670" w:rsidRPr="00BA0670" w:rsidRDefault="00BA0670" w:rsidP="00BA0670">
      <w:pPr>
        <w:pStyle w:val="Default"/>
        <w:spacing w:after="40"/>
        <w:jc w:val="both"/>
        <w:rPr>
          <w:color w:val="auto"/>
        </w:rPr>
      </w:pPr>
      <w:r w:rsidRPr="00BA0670">
        <w:rPr>
          <w:color w:val="auto"/>
        </w:rPr>
        <w:t>12°</w:t>
      </w:r>
      <w:r w:rsidR="00916AD8">
        <w:rPr>
          <w:color w:val="auto"/>
        </w:rPr>
        <w:t> </w:t>
      </w:r>
      <w:r w:rsidRPr="00BA0670">
        <w:rPr>
          <w:color w:val="auto"/>
        </w:rPr>
        <w:t>la mise en œuvre de programmes de maintenance appropriés ;</w:t>
      </w:r>
    </w:p>
    <w:p w14:paraId="247A7D64" w14:textId="4F7C7B7E" w:rsidR="00BA0670" w:rsidRPr="00BA0670" w:rsidRDefault="00BA0670" w:rsidP="00BA0670">
      <w:pPr>
        <w:pStyle w:val="Default"/>
        <w:spacing w:after="40"/>
        <w:jc w:val="both"/>
        <w:rPr>
          <w:color w:val="auto"/>
        </w:rPr>
      </w:pPr>
      <w:r w:rsidRPr="00BA0670">
        <w:rPr>
          <w:color w:val="auto"/>
        </w:rPr>
        <w:t>13°</w:t>
      </w:r>
      <w:r w:rsidR="00916AD8">
        <w:rPr>
          <w:color w:val="auto"/>
        </w:rPr>
        <w:t> </w:t>
      </w:r>
      <w:r w:rsidRPr="00BA0670">
        <w:rPr>
          <w:color w:val="auto"/>
        </w:rPr>
        <w:t>les protocoles de préparation et de réaction aux situations d’urgence, y compris la prévention ou l’atténuation des incidences (environnementales) défavorables des situations d’urgence ;</w:t>
      </w:r>
    </w:p>
    <w:p w14:paraId="0A2934D5" w14:textId="431DB67F" w:rsidR="00BA0670" w:rsidRPr="00BA0670" w:rsidRDefault="00BA0670" w:rsidP="00BA0670">
      <w:pPr>
        <w:pStyle w:val="Default"/>
        <w:spacing w:after="40"/>
        <w:jc w:val="both"/>
        <w:rPr>
          <w:color w:val="auto"/>
        </w:rPr>
      </w:pPr>
      <w:r w:rsidRPr="00BA0670">
        <w:rPr>
          <w:color w:val="auto"/>
        </w:rPr>
        <w:t>14°</w:t>
      </w:r>
      <w:r w:rsidR="00916AD8">
        <w:rPr>
          <w:color w:val="auto"/>
        </w:rPr>
        <w:t> </w:t>
      </w:r>
      <w:r w:rsidRPr="00BA0670">
        <w:rPr>
          <w:color w:val="auto"/>
        </w:rPr>
        <w:t>lors de la (re)conception d’une (nouvelle) installation ou d’une partie d’installation, la prise en considération de ses incidences sur l’environnement sur l’ensemble de son cycle de vie, qui inclut la construction, l’entretien, l’exploitation et la mise à l’arrêt définitif ;</w:t>
      </w:r>
    </w:p>
    <w:p w14:paraId="69DC7823" w14:textId="1C60712F" w:rsidR="00BA0670" w:rsidRPr="00BA0670" w:rsidRDefault="00BA0670" w:rsidP="00BA0670">
      <w:pPr>
        <w:pStyle w:val="Default"/>
        <w:spacing w:after="40"/>
        <w:jc w:val="both"/>
        <w:rPr>
          <w:color w:val="auto"/>
        </w:rPr>
      </w:pPr>
      <w:r w:rsidRPr="00BA0670">
        <w:rPr>
          <w:color w:val="auto"/>
        </w:rPr>
        <w:t>15°</w:t>
      </w:r>
      <w:r w:rsidR="00916AD8">
        <w:rPr>
          <w:color w:val="auto"/>
        </w:rPr>
        <w:t> </w:t>
      </w:r>
      <w:r w:rsidRPr="00BA0670">
        <w:rPr>
          <w:color w:val="auto"/>
        </w:rPr>
        <w:t>la mise en œuvre d’un programme de surveillance et de relevé de mesures ;</w:t>
      </w:r>
    </w:p>
    <w:p w14:paraId="49F9CFB9" w14:textId="2DC3C290" w:rsidR="00BA0670" w:rsidRPr="00BA0670" w:rsidRDefault="00BA0670" w:rsidP="00BA0670">
      <w:pPr>
        <w:pStyle w:val="Default"/>
        <w:spacing w:after="40"/>
        <w:jc w:val="both"/>
        <w:rPr>
          <w:color w:val="auto"/>
        </w:rPr>
      </w:pPr>
      <w:r w:rsidRPr="00BA0670">
        <w:rPr>
          <w:color w:val="auto"/>
        </w:rPr>
        <w:t>16°</w:t>
      </w:r>
      <w:r w:rsidR="00916AD8">
        <w:rPr>
          <w:color w:val="auto"/>
        </w:rPr>
        <w:t> </w:t>
      </w:r>
      <w:r w:rsidRPr="00BA0670">
        <w:rPr>
          <w:color w:val="auto"/>
        </w:rPr>
        <w:t>la réalisation régulière d’une analyse comparative des performances, par secteur ;</w:t>
      </w:r>
    </w:p>
    <w:p w14:paraId="0FA2D376" w14:textId="43F30791" w:rsidR="00BA0670" w:rsidRPr="00BA0670" w:rsidRDefault="00BA0670" w:rsidP="00BA0670">
      <w:pPr>
        <w:pStyle w:val="Default"/>
        <w:spacing w:after="40"/>
        <w:jc w:val="both"/>
        <w:rPr>
          <w:color w:val="auto"/>
        </w:rPr>
      </w:pPr>
      <w:r w:rsidRPr="00BA0670">
        <w:rPr>
          <w:color w:val="auto"/>
        </w:rPr>
        <w:t>17°</w:t>
      </w:r>
      <w:r w:rsidR="00916AD8">
        <w:rPr>
          <w:color w:val="auto"/>
        </w:rPr>
        <w:t> </w:t>
      </w:r>
      <w:r w:rsidRPr="00BA0670">
        <w:rPr>
          <w:color w:val="auto"/>
        </w:rPr>
        <w:t>la réalisation périodique d’audits internes indépendants (dans la mesure du possible) et d’audits externes indépendants pour évaluer les performances environnementales et déterminer si le système de management environnemental respecte ou pas les modalités prévues, a correctement été mis en œuvre et est maintenu à jour ;</w:t>
      </w:r>
    </w:p>
    <w:p w14:paraId="749714E1" w14:textId="4547318C" w:rsidR="00BA0670" w:rsidRPr="00BA0670" w:rsidRDefault="00BA0670" w:rsidP="00BA0670">
      <w:pPr>
        <w:pStyle w:val="Default"/>
        <w:spacing w:after="40"/>
        <w:jc w:val="both"/>
        <w:rPr>
          <w:color w:val="auto"/>
        </w:rPr>
      </w:pPr>
      <w:r w:rsidRPr="00BA0670">
        <w:rPr>
          <w:color w:val="auto"/>
        </w:rPr>
        <w:t>18°</w:t>
      </w:r>
      <w:r w:rsidR="00916AD8">
        <w:rPr>
          <w:color w:val="auto"/>
        </w:rPr>
        <w:t> </w:t>
      </w:r>
      <w:r w:rsidRPr="00BA0670">
        <w:rPr>
          <w:color w:val="auto"/>
        </w:rPr>
        <w:t>l’évaluation des causes de non-conformité, la mise en œuvre de mesures correctives pour remédier aux non- conformités, l’examen de l’efficacité des actions correctives et la détermination de l’existence ou non de cas de non-conformité similaires ou de cas potentiels ;</w:t>
      </w:r>
    </w:p>
    <w:p w14:paraId="6308F2B9" w14:textId="7E414A1A" w:rsidR="00BA0670" w:rsidRPr="00BA0670" w:rsidRDefault="00BA0670" w:rsidP="00BA0670">
      <w:pPr>
        <w:pStyle w:val="Default"/>
        <w:spacing w:after="40"/>
        <w:jc w:val="both"/>
        <w:rPr>
          <w:color w:val="auto"/>
        </w:rPr>
      </w:pPr>
      <w:r w:rsidRPr="00BA0670">
        <w:rPr>
          <w:color w:val="auto"/>
        </w:rPr>
        <w:t>19°</w:t>
      </w:r>
      <w:r w:rsidR="00916AD8">
        <w:rPr>
          <w:color w:val="auto"/>
        </w:rPr>
        <w:t> </w:t>
      </w:r>
      <w:r w:rsidRPr="00BA0670">
        <w:rPr>
          <w:color w:val="auto"/>
        </w:rPr>
        <w:t>la revue périodique, par la direction, du système de management environnemental et de sa pertinence, de son adéquation et de son efficacité ;</w:t>
      </w:r>
    </w:p>
    <w:p w14:paraId="69548E21" w14:textId="7D00DEEA" w:rsidR="00BA0670" w:rsidRPr="00BA0670" w:rsidRDefault="00BA0670" w:rsidP="00BA0670">
      <w:pPr>
        <w:pStyle w:val="Default"/>
        <w:spacing w:after="40"/>
        <w:jc w:val="both"/>
        <w:rPr>
          <w:color w:val="auto"/>
        </w:rPr>
      </w:pPr>
      <w:r w:rsidRPr="00BA0670">
        <w:rPr>
          <w:color w:val="auto"/>
        </w:rPr>
        <w:t>20</w:t>
      </w:r>
      <w:r>
        <w:rPr>
          <w:color w:val="auto"/>
        </w:rPr>
        <w:t>°</w:t>
      </w:r>
      <w:r w:rsidR="00916AD8">
        <w:rPr>
          <w:color w:val="auto"/>
        </w:rPr>
        <w:t> </w:t>
      </w:r>
      <w:r w:rsidRPr="00BA0670">
        <w:rPr>
          <w:color w:val="auto"/>
        </w:rPr>
        <w:t>la veille et prise en considération du développement de nouvelles techniques plus propres.</w:t>
      </w:r>
    </w:p>
    <w:p w14:paraId="073A07F0" w14:textId="77777777" w:rsidR="00D17566" w:rsidRPr="004D709D" w:rsidRDefault="00D17566" w:rsidP="008B3A3A">
      <w:pPr>
        <w:pStyle w:val="Default"/>
        <w:spacing w:after="40"/>
        <w:jc w:val="both"/>
        <w:rPr>
          <w:color w:val="auto"/>
        </w:rPr>
      </w:pPr>
    </w:p>
    <w:p w14:paraId="20F33A10" w14:textId="5825B42A" w:rsidR="00CD7FB2" w:rsidRPr="004D709D" w:rsidRDefault="00BA0670" w:rsidP="008B3A3A">
      <w:pPr>
        <w:pStyle w:val="Default"/>
        <w:spacing w:after="40"/>
        <w:jc w:val="both"/>
        <w:rPr>
          <w:color w:val="auto"/>
        </w:rPr>
      </w:pPr>
      <w:r>
        <w:rPr>
          <w:color w:val="auto"/>
        </w:rPr>
        <w:t>II</w:t>
      </w:r>
      <w:r>
        <w:t>. - </w:t>
      </w:r>
      <w:r w:rsidR="00F963A5" w:rsidRPr="004D709D">
        <w:rPr>
          <w:color w:val="auto"/>
        </w:rPr>
        <w:t>L</w:t>
      </w:r>
      <w:r w:rsidR="00D17566" w:rsidRPr="004D709D">
        <w:rPr>
          <w:color w:val="auto"/>
        </w:rPr>
        <w:t xml:space="preserve">’exploitant </w:t>
      </w:r>
      <w:r w:rsidR="00D301DD" w:rsidRPr="004D709D">
        <w:rPr>
          <w:color w:val="auto"/>
        </w:rPr>
        <w:t>intègre</w:t>
      </w:r>
      <w:r w:rsidR="00D17566" w:rsidRPr="004D709D">
        <w:rPr>
          <w:color w:val="auto"/>
        </w:rPr>
        <w:t xml:space="preserve"> dans son système de management </w:t>
      </w:r>
      <w:r w:rsidR="00CD7FB2" w:rsidRPr="004D709D">
        <w:rPr>
          <w:color w:val="auto"/>
        </w:rPr>
        <w:t xml:space="preserve">les éléments </w:t>
      </w:r>
      <w:r w:rsidR="004D709D" w:rsidRPr="004D709D">
        <w:rPr>
          <w:color w:val="auto"/>
        </w:rPr>
        <w:t>suivants :</w:t>
      </w:r>
    </w:p>
    <w:p w14:paraId="2E074EA8" w14:textId="07581EF4" w:rsidR="00CD7FB2" w:rsidRPr="004D709D" w:rsidRDefault="00BA0670" w:rsidP="008B3A3A">
      <w:pPr>
        <w:pStyle w:val="Default"/>
        <w:spacing w:after="40"/>
        <w:jc w:val="both"/>
        <w:rPr>
          <w:color w:val="auto"/>
        </w:rPr>
      </w:pPr>
      <w:r>
        <w:rPr>
          <w:color w:val="auto"/>
        </w:rPr>
        <w:t>1°</w:t>
      </w:r>
      <w:r w:rsidR="00916AD8">
        <w:rPr>
          <w:color w:val="auto"/>
        </w:rPr>
        <w:t> </w:t>
      </w:r>
      <w:r w:rsidR="00CD7FB2" w:rsidRPr="004D709D">
        <w:rPr>
          <w:color w:val="auto"/>
        </w:rPr>
        <w:t xml:space="preserve">un plan de gestion des odeurs </w:t>
      </w:r>
      <w:r w:rsidR="00B92A1E">
        <w:t xml:space="preserve">prévu à l’article 6.2 </w:t>
      </w:r>
      <w:r w:rsidR="00CD7FB2" w:rsidRPr="004D709D">
        <w:rPr>
          <w:color w:val="auto"/>
        </w:rPr>
        <w:t>;</w:t>
      </w:r>
    </w:p>
    <w:p w14:paraId="69614A83" w14:textId="028999E0" w:rsidR="00CD7FB2" w:rsidRPr="004D709D" w:rsidRDefault="00BA0670" w:rsidP="008B3A3A">
      <w:pPr>
        <w:pStyle w:val="Default"/>
        <w:spacing w:after="40"/>
        <w:jc w:val="both"/>
        <w:rPr>
          <w:color w:val="auto"/>
        </w:rPr>
      </w:pPr>
      <w:r>
        <w:rPr>
          <w:color w:val="auto"/>
        </w:rPr>
        <w:t>2°</w:t>
      </w:r>
      <w:r w:rsidR="00916AD8">
        <w:rPr>
          <w:color w:val="auto"/>
        </w:rPr>
        <w:t> </w:t>
      </w:r>
      <w:r w:rsidR="00CD7FB2" w:rsidRPr="004D709D">
        <w:rPr>
          <w:color w:val="auto"/>
        </w:rPr>
        <w:t xml:space="preserve">un inventaire des flux entrants et sortants </w:t>
      </w:r>
      <w:r w:rsidR="00B92A1E">
        <w:t xml:space="preserve">prévu à l’article 3.4 </w:t>
      </w:r>
      <w:r w:rsidR="00CD7FB2" w:rsidRPr="004D709D">
        <w:rPr>
          <w:color w:val="auto"/>
        </w:rPr>
        <w:t>;</w:t>
      </w:r>
    </w:p>
    <w:p w14:paraId="5474685E" w14:textId="110754EC" w:rsidR="00CD7FB2" w:rsidRPr="004D709D" w:rsidRDefault="00BA0670" w:rsidP="008B3A3A">
      <w:pPr>
        <w:pStyle w:val="Default"/>
        <w:spacing w:after="40"/>
        <w:jc w:val="both"/>
        <w:rPr>
          <w:color w:val="auto"/>
        </w:rPr>
      </w:pPr>
      <w:r>
        <w:rPr>
          <w:color w:val="auto"/>
        </w:rPr>
        <w:t>3°</w:t>
      </w:r>
      <w:r w:rsidR="00916AD8">
        <w:rPr>
          <w:color w:val="auto"/>
        </w:rPr>
        <w:t> </w:t>
      </w:r>
      <w:r w:rsidR="00CD7FB2" w:rsidRPr="004D709D">
        <w:rPr>
          <w:color w:val="auto"/>
        </w:rPr>
        <w:t xml:space="preserve">un </w:t>
      </w:r>
      <w:bookmarkStart w:id="35" w:name="_Hlk164351204"/>
      <w:r w:rsidR="00CD7FB2" w:rsidRPr="004D709D">
        <w:rPr>
          <w:color w:val="auto"/>
        </w:rPr>
        <w:t xml:space="preserve">système de gestion des produits chimiques </w:t>
      </w:r>
      <w:bookmarkEnd w:id="35"/>
      <w:r w:rsidR="00B92A1E">
        <w:t xml:space="preserve">prévu à l’article 3.5 </w:t>
      </w:r>
      <w:r w:rsidR="00CD7FB2" w:rsidRPr="004D709D">
        <w:rPr>
          <w:color w:val="auto"/>
        </w:rPr>
        <w:t>;</w:t>
      </w:r>
    </w:p>
    <w:p w14:paraId="10D4C3C1" w14:textId="101B5E35" w:rsidR="00CD7FB2" w:rsidRPr="004D709D" w:rsidRDefault="00BA0670" w:rsidP="008B3A3A">
      <w:pPr>
        <w:pStyle w:val="Default"/>
        <w:spacing w:after="40"/>
        <w:jc w:val="both"/>
        <w:rPr>
          <w:color w:val="auto"/>
        </w:rPr>
      </w:pPr>
      <w:r>
        <w:rPr>
          <w:color w:val="auto"/>
        </w:rPr>
        <w:t>4°</w:t>
      </w:r>
      <w:r w:rsidR="00916AD8">
        <w:rPr>
          <w:color w:val="auto"/>
        </w:rPr>
        <w:t> </w:t>
      </w:r>
      <w:r w:rsidR="00CD7FB2" w:rsidRPr="004D709D">
        <w:rPr>
          <w:color w:val="auto"/>
        </w:rPr>
        <w:t xml:space="preserve">un plan d’efficacité énergétique </w:t>
      </w:r>
      <w:r w:rsidR="00B92A1E">
        <w:t xml:space="preserve">prévu à </w:t>
      </w:r>
      <w:r w:rsidR="00B92A1E" w:rsidRPr="00C56440">
        <w:t>l’article 10.2</w:t>
      </w:r>
      <w:r w:rsidR="00B92A1E">
        <w:t xml:space="preserve"> </w:t>
      </w:r>
      <w:r w:rsidR="00CD7FB2" w:rsidRPr="004D709D">
        <w:rPr>
          <w:color w:val="auto"/>
        </w:rPr>
        <w:t>;</w:t>
      </w:r>
    </w:p>
    <w:p w14:paraId="4D668247" w14:textId="00F1166F" w:rsidR="00CD7FB2" w:rsidRPr="004D709D" w:rsidRDefault="00BA0670" w:rsidP="008B3A3A">
      <w:pPr>
        <w:pStyle w:val="Default"/>
        <w:spacing w:after="40"/>
        <w:jc w:val="both"/>
        <w:rPr>
          <w:color w:val="auto"/>
        </w:rPr>
      </w:pPr>
      <w:r>
        <w:rPr>
          <w:color w:val="auto"/>
        </w:rPr>
        <w:t>5°</w:t>
      </w:r>
      <w:r w:rsidR="00916AD8">
        <w:rPr>
          <w:color w:val="auto"/>
        </w:rPr>
        <w:t> </w:t>
      </w:r>
      <w:r w:rsidR="00CD7FB2" w:rsidRPr="004D709D">
        <w:rPr>
          <w:color w:val="auto"/>
        </w:rPr>
        <w:t xml:space="preserve">un plan de gestion de l’eau </w:t>
      </w:r>
      <w:r w:rsidR="00B92A1E">
        <w:t xml:space="preserve">prévu à </w:t>
      </w:r>
      <w:r w:rsidR="00B92A1E" w:rsidRPr="002A7753">
        <w:t>l’article 5.1</w:t>
      </w:r>
      <w:r w:rsidR="00B92A1E">
        <w:t xml:space="preserve"> </w:t>
      </w:r>
      <w:r w:rsidR="00CD7FB2" w:rsidRPr="004D709D">
        <w:rPr>
          <w:color w:val="auto"/>
        </w:rPr>
        <w:t>;</w:t>
      </w:r>
    </w:p>
    <w:p w14:paraId="70A0BC5A" w14:textId="72A68067" w:rsidR="00CD7FB2" w:rsidRPr="004D709D" w:rsidRDefault="00BA0670" w:rsidP="008B3A3A">
      <w:pPr>
        <w:pStyle w:val="Default"/>
        <w:spacing w:after="40"/>
        <w:jc w:val="both"/>
        <w:rPr>
          <w:color w:val="auto"/>
        </w:rPr>
      </w:pPr>
      <w:r>
        <w:rPr>
          <w:color w:val="auto"/>
        </w:rPr>
        <w:t>6°</w:t>
      </w:r>
      <w:r w:rsidR="00916AD8">
        <w:rPr>
          <w:color w:val="auto"/>
        </w:rPr>
        <w:t> </w:t>
      </w:r>
      <w:r w:rsidR="00CD7FB2" w:rsidRPr="004D709D">
        <w:rPr>
          <w:color w:val="auto"/>
        </w:rPr>
        <w:t>un plan de gestion du bruit</w:t>
      </w:r>
      <w:r w:rsidR="004D709D">
        <w:rPr>
          <w:color w:val="auto"/>
        </w:rPr>
        <w:t xml:space="preserve"> </w:t>
      </w:r>
      <w:r w:rsidR="00B92A1E">
        <w:t xml:space="preserve">prévu à l’article 7.2 </w:t>
      </w:r>
      <w:r w:rsidR="00CD7FB2" w:rsidRPr="004D709D">
        <w:rPr>
          <w:color w:val="auto"/>
        </w:rPr>
        <w:t>;</w:t>
      </w:r>
    </w:p>
    <w:p w14:paraId="6166AB60" w14:textId="1DF6DAE5" w:rsidR="00CD7FB2" w:rsidRPr="004D709D" w:rsidRDefault="00BA0670" w:rsidP="008B3A3A">
      <w:pPr>
        <w:pStyle w:val="Default"/>
        <w:spacing w:after="40"/>
        <w:jc w:val="both"/>
        <w:rPr>
          <w:color w:val="auto"/>
        </w:rPr>
      </w:pPr>
      <w:r>
        <w:rPr>
          <w:color w:val="auto"/>
        </w:rPr>
        <w:t>7°</w:t>
      </w:r>
      <w:r w:rsidR="00916AD8">
        <w:rPr>
          <w:color w:val="auto"/>
        </w:rPr>
        <w:t> </w:t>
      </w:r>
      <w:r w:rsidR="00CD7FB2" w:rsidRPr="004D709D">
        <w:rPr>
          <w:color w:val="auto"/>
        </w:rPr>
        <w:t xml:space="preserve">un plan de gestion des </w:t>
      </w:r>
      <w:r w:rsidR="007116E1" w:rsidRPr="004D709D">
        <w:rPr>
          <w:color w:val="auto"/>
        </w:rPr>
        <w:t>conditions d’exploitation autres que normales</w:t>
      </w:r>
      <w:r w:rsidR="00CD7FB2" w:rsidRPr="004D709D">
        <w:rPr>
          <w:color w:val="auto"/>
        </w:rPr>
        <w:t xml:space="preserve"> </w:t>
      </w:r>
      <w:r w:rsidR="00B92A1E">
        <w:t xml:space="preserve">prévu à l’article 4.2 </w:t>
      </w:r>
      <w:r w:rsidR="00CD7FB2" w:rsidRPr="004D709D">
        <w:rPr>
          <w:color w:val="auto"/>
        </w:rPr>
        <w:t>;</w:t>
      </w:r>
    </w:p>
    <w:p w14:paraId="4202A849" w14:textId="40034F7A" w:rsidR="00CD7FB2" w:rsidRPr="004D709D" w:rsidRDefault="00CD7FB2" w:rsidP="008B3A3A">
      <w:pPr>
        <w:pStyle w:val="Default"/>
        <w:spacing w:after="40"/>
        <w:jc w:val="both"/>
        <w:rPr>
          <w:color w:val="auto"/>
        </w:rPr>
      </w:pPr>
      <w:r w:rsidRPr="004D709D">
        <w:rPr>
          <w:color w:val="auto"/>
        </w:rPr>
        <w:t>Le niveau de détail et le degré de formalisation du SME sont, d’une manière générale, en rapport avec la nature, la taille et la complexité de l’installation, ainsi qu’avec ses diverses incidences environnementales possibles.</w:t>
      </w:r>
    </w:p>
    <w:p w14:paraId="340C0CD5" w14:textId="2D31AE71" w:rsidR="00CD7FB2" w:rsidRDefault="001722BD" w:rsidP="008B3A3A">
      <w:pPr>
        <w:pStyle w:val="Default"/>
        <w:spacing w:after="40"/>
        <w:jc w:val="both"/>
        <w:rPr>
          <w:color w:val="auto"/>
        </w:rPr>
      </w:pPr>
      <w:r w:rsidRPr="004D709D">
        <w:rPr>
          <w:color w:val="auto"/>
        </w:rPr>
        <w:t>Les installations dont le système de management environnemental a été certifié conforme à la norme internationale NF</w:t>
      </w:r>
      <w:r w:rsidR="00916AD8">
        <w:rPr>
          <w:color w:val="auto"/>
        </w:rPr>
        <w:t> </w:t>
      </w:r>
      <w:r w:rsidRPr="004D709D">
        <w:rPr>
          <w:color w:val="auto"/>
        </w:rPr>
        <w:t>EN</w:t>
      </w:r>
      <w:r w:rsidR="00916AD8">
        <w:rPr>
          <w:color w:val="auto"/>
        </w:rPr>
        <w:t> </w:t>
      </w:r>
      <w:r w:rsidRPr="004D709D">
        <w:rPr>
          <w:color w:val="auto"/>
        </w:rPr>
        <w:t>ISO</w:t>
      </w:r>
      <w:r w:rsidR="00916AD8">
        <w:rPr>
          <w:color w:val="auto"/>
        </w:rPr>
        <w:t> </w:t>
      </w:r>
      <w:r w:rsidRPr="004D709D">
        <w:rPr>
          <w:color w:val="auto"/>
        </w:rPr>
        <w:t xml:space="preserve">14001 ou au </w:t>
      </w:r>
      <w:r w:rsidRPr="0005794E">
        <w:rPr>
          <w:color w:val="auto"/>
        </w:rPr>
        <w:t xml:space="preserve">règlement </w:t>
      </w:r>
      <w:r w:rsidR="00ED01A9">
        <w:rPr>
          <w:color w:val="auto"/>
        </w:rPr>
        <w:t xml:space="preserve">du 25 novembre </w:t>
      </w:r>
      <w:r w:rsidRPr="0005794E">
        <w:rPr>
          <w:color w:val="auto"/>
        </w:rPr>
        <w:t xml:space="preserve">2009 </w:t>
      </w:r>
      <w:r w:rsidR="003E50B1" w:rsidRPr="0005794E">
        <w:rPr>
          <w:color w:val="auto"/>
        </w:rPr>
        <w:t xml:space="preserve">susvisé </w:t>
      </w:r>
      <w:r w:rsidRPr="0005794E">
        <w:rPr>
          <w:color w:val="auto"/>
        </w:rPr>
        <w:t xml:space="preserve">par un organisme accrédité sont réputées conformes aux points 1 à </w:t>
      </w:r>
      <w:r w:rsidR="00D301DD" w:rsidRPr="0005794E">
        <w:rPr>
          <w:color w:val="auto"/>
        </w:rPr>
        <w:t>20</w:t>
      </w:r>
      <w:r w:rsidRPr="0005794E">
        <w:rPr>
          <w:color w:val="auto"/>
        </w:rPr>
        <w:t xml:space="preserve"> listés ci-dessus.</w:t>
      </w:r>
    </w:p>
    <w:p w14:paraId="1CBBE7AA" w14:textId="77777777" w:rsidR="004D709D" w:rsidRPr="004D709D" w:rsidRDefault="004D709D" w:rsidP="008B3A3A">
      <w:pPr>
        <w:pStyle w:val="Default"/>
        <w:spacing w:after="40"/>
        <w:jc w:val="both"/>
        <w:rPr>
          <w:color w:val="auto"/>
        </w:rPr>
      </w:pPr>
    </w:p>
    <w:p w14:paraId="5C627A6A" w14:textId="4B2203FD" w:rsidR="00C01B97" w:rsidRPr="004D709D" w:rsidRDefault="00CD7FB2" w:rsidP="004638C8">
      <w:pPr>
        <w:pStyle w:val="Titre3"/>
        <w:rPr>
          <w:bCs/>
        </w:rPr>
      </w:pPr>
      <w:bookmarkStart w:id="36" w:name="_Toc164951673"/>
      <w:r w:rsidRPr="004D709D">
        <w:rPr>
          <w:bCs/>
        </w:rPr>
        <w:t>Article 3.</w:t>
      </w:r>
      <w:r w:rsidR="00F963A5" w:rsidRPr="004D709D">
        <w:rPr>
          <w:bCs/>
        </w:rPr>
        <w:t>5</w:t>
      </w:r>
      <w:r w:rsidRPr="004D709D">
        <w:rPr>
          <w:bCs/>
        </w:rPr>
        <w:t xml:space="preserve"> </w:t>
      </w:r>
      <w:r w:rsidR="002E7417" w:rsidRPr="004D709D">
        <w:rPr>
          <w:bCs/>
        </w:rPr>
        <w:t>Inventaire des flux entrants et sortants</w:t>
      </w:r>
      <w:bookmarkEnd w:id="36"/>
    </w:p>
    <w:p w14:paraId="465E9C79" w14:textId="385932D4" w:rsidR="00C01B97" w:rsidRPr="004D709D" w:rsidRDefault="00F963A5" w:rsidP="00C01B97">
      <w:pPr>
        <w:pStyle w:val="Default"/>
        <w:spacing w:after="40"/>
        <w:jc w:val="both"/>
        <w:rPr>
          <w:color w:val="auto"/>
        </w:rPr>
      </w:pPr>
      <w:r w:rsidRPr="004D709D">
        <w:rPr>
          <w:color w:val="auto"/>
        </w:rPr>
        <w:t>L</w:t>
      </w:r>
      <w:r w:rsidR="00BF095D" w:rsidRPr="004D709D">
        <w:rPr>
          <w:color w:val="auto"/>
        </w:rPr>
        <w:t xml:space="preserve">’exploitant </w:t>
      </w:r>
      <w:r w:rsidR="00C01B97" w:rsidRPr="004D709D">
        <w:rPr>
          <w:color w:val="auto"/>
        </w:rPr>
        <w:t>établi</w:t>
      </w:r>
      <w:r w:rsidR="00BF095D" w:rsidRPr="004D709D">
        <w:rPr>
          <w:color w:val="auto"/>
        </w:rPr>
        <w:t>t</w:t>
      </w:r>
      <w:r w:rsidR="00C01B97" w:rsidRPr="004D709D">
        <w:rPr>
          <w:color w:val="auto"/>
        </w:rPr>
        <w:t>, maint</w:t>
      </w:r>
      <w:r w:rsidR="00BF095D" w:rsidRPr="004D709D">
        <w:rPr>
          <w:color w:val="auto"/>
        </w:rPr>
        <w:t>ient</w:t>
      </w:r>
      <w:r w:rsidR="00C01B97" w:rsidRPr="004D709D">
        <w:rPr>
          <w:color w:val="auto"/>
        </w:rPr>
        <w:t xml:space="preserve"> à jour et révise régulièrement (notamment lorsqu’un changement notable se produit) un </w:t>
      </w:r>
      <w:bookmarkStart w:id="37" w:name="_Hlk158815741"/>
      <w:r w:rsidR="00C01B97" w:rsidRPr="004D709D">
        <w:rPr>
          <w:color w:val="auto"/>
        </w:rPr>
        <w:t xml:space="preserve">inventaire des flux entrants et sortants </w:t>
      </w:r>
      <w:bookmarkEnd w:id="37"/>
      <w:r w:rsidR="00C01B97" w:rsidRPr="004D709D">
        <w:rPr>
          <w:color w:val="auto"/>
        </w:rPr>
        <w:t>qui comporte tous les éléments suivants :</w:t>
      </w:r>
    </w:p>
    <w:p w14:paraId="36A5A879" w14:textId="6AE63D47" w:rsidR="00C01B97" w:rsidRPr="004D709D" w:rsidRDefault="00BF095D" w:rsidP="00C01B97">
      <w:pPr>
        <w:pStyle w:val="Default"/>
        <w:spacing w:after="40"/>
        <w:jc w:val="both"/>
        <w:rPr>
          <w:color w:val="auto"/>
        </w:rPr>
      </w:pPr>
      <w:r w:rsidRPr="004D709D">
        <w:rPr>
          <w:color w:val="auto"/>
        </w:rPr>
        <w:t>1</w:t>
      </w:r>
      <w:r w:rsidR="00BA0670">
        <w:rPr>
          <w:color w:val="auto"/>
        </w:rPr>
        <w:t>°</w:t>
      </w:r>
      <w:r w:rsidR="00916AD8">
        <w:rPr>
          <w:color w:val="auto"/>
        </w:rPr>
        <w:t> </w:t>
      </w:r>
      <w:r w:rsidR="00C01B97" w:rsidRPr="004D709D">
        <w:rPr>
          <w:color w:val="auto"/>
        </w:rPr>
        <w:t>des informations sur le ou les procédés de production, y compris :</w:t>
      </w:r>
    </w:p>
    <w:p w14:paraId="0C3CED9F" w14:textId="5CA2BFAB" w:rsidR="00C01B97" w:rsidRPr="004D709D" w:rsidRDefault="00C01B97" w:rsidP="00C01B97">
      <w:pPr>
        <w:pStyle w:val="Default"/>
        <w:spacing w:after="40"/>
        <w:jc w:val="both"/>
        <w:rPr>
          <w:color w:val="auto"/>
        </w:rPr>
      </w:pPr>
      <w:r w:rsidRPr="004D709D">
        <w:rPr>
          <w:color w:val="auto"/>
        </w:rPr>
        <w:t>a)</w:t>
      </w:r>
      <w:r w:rsidR="00916AD8">
        <w:rPr>
          <w:color w:val="auto"/>
        </w:rPr>
        <w:t> </w:t>
      </w:r>
      <w:r w:rsidRPr="004D709D">
        <w:rPr>
          <w:color w:val="auto"/>
        </w:rPr>
        <w:t>des schémas simplifiés de déroulement des procédés, montrant l’origine des émissions ;</w:t>
      </w:r>
    </w:p>
    <w:p w14:paraId="1874A110" w14:textId="139EA784" w:rsidR="00C01B97" w:rsidRPr="004D709D" w:rsidRDefault="00C01B97" w:rsidP="00C01B97">
      <w:pPr>
        <w:pStyle w:val="Default"/>
        <w:spacing w:after="40"/>
        <w:jc w:val="both"/>
        <w:rPr>
          <w:color w:val="auto"/>
        </w:rPr>
      </w:pPr>
      <w:r w:rsidRPr="004D709D">
        <w:rPr>
          <w:color w:val="auto"/>
        </w:rPr>
        <w:t>b)</w:t>
      </w:r>
      <w:r w:rsidR="00916AD8">
        <w:rPr>
          <w:color w:val="auto"/>
        </w:rPr>
        <w:t> </w:t>
      </w:r>
      <w:r w:rsidRPr="004D709D">
        <w:rPr>
          <w:color w:val="auto"/>
        </w:rPr>
        <w:t>des descriptions des techniques intégrées aux procédés et des techniques de traitement des effluents aqueux/gazeux destinées à éviter ou à réduire les émissions, avec mention de leur efficacité (par exemple, efficacité du taux d’abattement)</w:t>
      </w:r>
      <w:r w:rsidR="004D709D">
        <w:rPr>
          <w:color w:val="auto"/>
        </w:rPr>
        <w:t> </w:t>
      </w:r>
      <w:r w:rsidRPr="004D709D">
        <w:rPr>
          <w:color w:val="auto"/>
        </w:rPr>
        <w:t>;</w:t>
      </w:r>
    </w:p>
    <w:p w14:paraId="4D53B469" w14:textId="68B20B05" w:rsidR="00C01B97" w:rsidRPr="004D709D" w:rsidRDefault="00BF095D" w:rsidP="00C01B97">
      <w:pPr>
        <w:pStyle w:val="Default"/>
        <w:spacing w:after="40"/>
        <w:jc w:val="both"/>
        <w:rPr>
          <w:color w:val="auto"/>
        </w:rPr>
      </w:pPr>
      <w:r w:rsidRPr="004D709D">
        <w:rPr>
          <w:color w:val="auto"/>
        </w:rPr>
        <w:t>2</w:t>
      </w:r>
      <w:r w:rsidR="00BA0670">
        <w:rPr>
          <w:color w:val="auto"/>
        </w:rPr>
        <w:t>°</w:t>
      </w:r>
      <w:r w:rsidR="00916AD8">
        <w:rPr>
          <w:color w:val="auto"/>
        </w:rPr>
        <w:t> </w:t>
      </w:r>
      <w:r w:rsidR="00C01B97" w:rsidRPr="004D709D">
        <w:rPr>
          <w:color w:val="auto"/>
        </w:rPr>
        <w:t>des informations sur la consommation et l’utilisation d’énergie ;</w:t>
      </w:r>
    </w:p>
    <w:p w14:paraId="1F3CF291" w14:textId="5325A39E" w:rsidR="00C01B97" w:rsidRPr="004D709D" w:rsidRDefault="00BF095D" w:rsidP="00C01B97">
      <w:pPr>
        <w:pStyle w:val="Default"/>
        <w:spacing w:after="40"/>
        <w:jc w:val="both"/>
        <w:rPr>
          <w:color w:val="auto"/>
        </w:rPr>
      </w:pPr>
      <w:r w:rsidRPr="004D709D">
        <w:rPr>
          <w:color w:val="auto"/>
        </w:rPr>
        <w:t>3</w:t>
      </w:r>
      <w:r w:rsidR="00BA0670">
        <w:rPr>
          <w:color w:val="auto"/>
        </w:rPr>
        <w:t>°</w:t>
      </w:r>
      <w:r w:rsidR="00916AD8">
        <w:rPr>
          <w:color w:val="auto"/>
        </w:rPr>
        <w:t> </w:t>
      </w:r>
      <w:r w:rsidR="00C01B97" w:rsidRPr="004D709D">
        <w:rPr>
          <w:color w:val="auto"/>
        </w:rPr>
        <w:t>des informations sur la consommation et l’utilisation d’eau (par exemple, schémas de circulation des flux et bilans massiques de l’eau) ;</w:t>
      </w:r>
    </w:p>
    <w:p w14:paraId="00327707" w14:textId="157C36FA" w:rsidR="00C01B97" w:rsidRPr="004D709D" w:rsidRDefault="00BF095D" w:rsidP="00C01B97">
      <w:pPr>
        <w:pStyle w:val="Default"/>
        <w:spacing w:after="40"/>
        <w:jc w:val="both"/>
        <w:rPr>
          <w:color w:val="auto"/>
        </w:rPr>
      </w:pPr>
      <w:r w:rsidRPr="004D709D">
        <w:rPr>
          <w:color w:val="auto"/>
        </w:rPr>
        <w:t>4</w:t>
      </w:r>
      <w:r w:rsidR="00BA0670">
        <w:rPr>
          <w:color w:val="auto"/>
        </w:rPr>
        <w:t>°</w:t>
      </w:r>
      <w:r w:rsidR="00916AD8">
        <w:rPr>
          <w:color w:val="auto"/>
        </w:rPr>
        <w:t> </w:t>
      </w:r>
      <w:r w:rsidR="00C01B97" w:rsidRPr="004D709D">
        <w:rPr>
          <w:color w:val="auto"/>
        </w:rPr>
        <w:t>des informations sur le volume et les caractéristiques des flux d’effluents aqueux, notamment</w:t>
      </w:r>
      <w:r w:rsidR="004D709D">
        <w:rPr>
          <w:color w:val="auto"/>
        </w:rPr>
        <w:t> </w:t>
      </w:r>
      <w:r w:rsidR="00C01B97" w:rsidRPr="004D709D">
        <w:rPr>
          <w:color w:val="auto"/>
        </w:rPr>
        <w:t>:</w:t>
      </w:r>
    </w:p>
    <w:p w14:paraId="2B0CEC8F" w14:textId="4D16E494" w:rsidR="00C01B97" w:rsidRPr="004D709D" w:rsidRDefault="00C01B97" w:rsidP="00C01B97">
      <w:pPr>
        <w:pStyle w:val="Default"/>
        <w:spacing w:after="40"/>
        <w:jc w:val="both"/>
        <w:rPr>
          <w:color w:val="auto"/>
        </w:rPr>
      </w:pPr>
      <w:r w:rsidRPr="004D709D">
        <w:rPr>
          <w:color w:val="auto"/>
        </w:rPr>
        <w:t>a)</w:t>
      </w:r>
      <w:r w:rsidR="00916AD8">
        <w:rPr>
          <w:color w:val="auto"/>
        </w:rPr>
        <w:t> </w:t>
      </w:r>
      <w:r w:rsidRPr="004D709D">
        <w:rPr>
          <w:color w:val="auto"/>
        </w:rPr>
        <w:t>les valeurs moyennes et la variabilité du débit, du pH et de la température ;</w:t>
      </w:r>
    </w:p>
    <w:p w14:paraId="29DBF974" w14:textId="35E95BD0" w:rsidR="00C01B97" w:rsidRPr="004D709D" w:rsidRDefault="00C01B97" w:rsidP="00C01B97">
      <w:pPr>
        <w:pStyle w:val="Default"/>
        <w:spacing w:after="40"/>
        <w:jc w:val="both"/>
        <w:rPr>
          <w:color w:val="auto"/>
        </w:rPr>
      </w:pPr>
      <w:r w:rsidRPr="004D709D">
        <w:rPr>
          <w:color w:val="auto"/>
        </w:rPr>
        <w:t>b)</w:t>
      </w:r>
      <w:r w:rsidR="00916AD8">
        <w:rPr>
          <w:color w:val="auto"/>
        </w:rPr>
        <w:t> </w:t>
      </w:r>
      <w:r w:rsidRPr="004D709D">
        <w:rPr>
          <w:color w:val="auto"/>
        </w:rPr>
        <w:t>les valeurs moyennes de la concentration et du flux massique des substances/paramètres pertinents (par exemple, DCO/COT, composés azotés, phosphore) et la variabilité de ces paramètres ;</w:t>
      </w:r>
    </w:p>
    <w:p w14:paraId="76FD8E49" w14:textId="04D23580" w:rsidR="00C01B97" w:rsidRPr="004D709D" w:rsidRDefault="00BF095D" w:rsidP="00C01B97">
      <w:pPr>
        <w:pStyle w:val="Default"/>
        <w:spacing w:after="40"/>
        <w:jc w:val="both"/>
        <w:rPr>
          <w:color w:val="auto"/>
        </w:rPr>
      </w:pPr>
      <w:r w:rsidRPr="004D709D">
        <w:rPr>
          <w:color w:val="auto"/>
        </w:rPr>
        <w:t>5</w:t>
      </w:r>
      <w:r w:rsidR="00BA0670">
        <w:rPr>
          <w:color w:val="auto"/>
        </w:rPr>
        <w:t>°</w:t>
      </w:r>
      <w:r w:rsidR="00916AD8">
        <w:rPr>
          <w:color w:val="auto"/>
        </w:rPr>
        <w:t> </w:t>
      </w:r>
      <w:r w:rsidR="00C01B97" w:rsidRPr="004D709D">
        <w:rPr>
          <w:color w:val="auto"/>
        </w:rPr>
        <w:t>des informations sur les caractéristiques des flux d’effluents gazeux, notamment :</w:t>
      </w:r>
    </w:p>
    <w:p w14:paraId="78487ABB" w14:textId="37EC1063" w:rsidR="00C01B97" w:rsidRPr="004D709D" w:rsidRDefault="00C01B97" w:rsidP="00C01B97">
      <w:pPr>
        <w:pStyle w:val="Default"/>
        <w:spacing w:after="40"/>
        <w:jc w:val="both"/>
        <w:rPr>
          <w:color w:val="auto"/>
        </w:rPr>
      </w:pPr>
      <w:r w:rsidRPr="004D709D">
        <w:rPr>
          <w:color w:val="auto"/>
        </w:rPr>
        <w:t>a)</w:t>
      </w:r>
      <w:r w:rsidR="00916AD8">
        <w:rPr>
          <w:color w:val="auto"/>
        </w:rPr>
        <w:t> </w:t>
      </w:r>
      <w:r w:rsidRPr="004D709D">
        <w:rPr>
          <w:color w:val="auto"/>
        </w:rPr>
        <w:t>le ou les points d’émission ;</w:t>
      </w:r>
    </w:p>
    <w:p w14:paraId="0F994DA6" w14:textId="301216DF" w:rsidR="00C01B97" w:rsidRPr="004D709D" w:rsidRDefault="00C01B97" w:rsidP="00C01B97">
      <w:pPr>
        <w:pStyle w:val="Default"/>
        <w:spacing w:after="40"/>
        <w:jc w:val="both"/>
        <w:rPr>
          <w:color w:val="auto"/>
        </w:rPr>
      </w:pPr>
      <w:r w:rsidRPr="004D709D">
        <w:rPr>
          <w:color w:val="auto"/>
        </w:rPr>
        <w:t>b)</w:t>
      </w:r>
      <w:r w:rsidR="00916AD8">
        <w:rPr>
          <w:color w:val="auto"/>
        </w:rPr>
        <w:t> </w:t>
      </w:r>
      <w:r w:rsidRPr="004D709D">
        <w:rPr>
          <w:color w:val="auto"/>
        </w:rPr>
        <w:t>les valeurs moyennes et la variabilité du débit et de la température ;</w:t>
      </w:r>
    </w:p>
    <w:p w14:paraId="07449A92" w14:textId="5A43855A" w:rsidR="00C01B97" w:rsidRPr="004D709D" w:rsidRDefault="00C01B97" w:rsidP="00C01B97">
      <w:pPr>
        <w:pStyle w:val="Default"/>
        <w:spacing w:after="40"/>
        <w:jc w:val="both"/>
        <w:rPr>
          <w:color w:val="auto"/>
        </w:rPr>
      </w:pPr>
      <w:r w:rsidRPr="004D709D">
        <w:rPr>
          <w:color w:val="auto"/>
        </w:rPr>
        <w:t>c)</w:t>
      </w:r>
      <w:r w:rsidR="00916AD8">
        <w:rPr>
          <w:color w:val="auto"/>
        </w:rPr>
        <w:t> </w:t>
      </w:r>
      <w:r w:rsidRPr="004D709D">
        <w:rPr>
          <w:color w:val="auto"/>
        </w:rPr>
        <w:t xml:space="preserve">les valeurs moyennes de la concentration et du flux massique des substances/paramètres pertinents (par exemple, poussières, COVT, </w:t>
      </w:r>
      <w:bookmarkStart w:id="38" w:name="_Hlk180663893"/>
      <w:r w:rsidRPr="004D709D">
        <w:rPr>
          <w:color w:val="auto"/>
        </w:rPr>
        <w:t>NO</w:t>
      </w:r>
      <w:r w:rsidRPr="00BB46CC">
        <w:rPr>
          <w:color w:val="auto"/>
          <w:vertAlign w:val="subscript"/>
        </w:rPr>
        <w:t>X</w:t>
      </w:r>
      <w:r w:rsidRPr="004D709D">
        <w:rPr>
          <w:color w:val="auto"/>
        </w:rPr>
        <w:t>, SO</w:t>
      </w:r>
      <w:r w:rsidRPr="00BB46CC">
        <w:rPr>
          <w:color w:val="auto"/>
          <w:vertAlign w:val="subscript"/>
        </w:rPr>
        <w:t>X</w:t>
      </w:r>
      <w:bookmarkEnd w:id="38"/>
      <w:r w:rsidRPr="004D709D">
        <w:rPr>
          <w:color w:val="auto"/>
        </w:rPr>
        <w:t>) et la variabilité de ces paramètres ;</w:t>
      </w:r>
    </w:p>
    <w:p w14:paraId="6DEA8E88" w14:textId="4FC7C326" w:rsidR="00C01B97" w:rsidRPr="004D709D" w:rsidRDefault="00C01B97" w:rsidP="00C01B97">
      <w:pPr>
        <w:pStyle w:val="Default"/>
        <w:spacing w:after="40"/>
        <w:jc w:val="both"/>
        <w:rPr>
          <w:color w:val="auto"/>
        </w:rPr>
      </w:pPr>
      <w:r w:rsidRPr="004D709D">
        <w:rPr>
          <w:color w:val="auto"/>
        </w:rPr>
        <w:t>d)</w:t>
      </w:r>
      <w:r w:rsidR="00916AD8">
        <w:rPr>
          <w:color w:val="auto"/>
        </w:rPr>
        <w:t> </w:t>
      </w:r>
      <w:r w:rsidRPr="004D709D">
        <w:rPr>
          <w:color w:val="auto"/>
        </w:rPr>
        <w:t>la présence d’autres substances susceptibles d’avoir une incidence sur le système de traitement des effluents gazeux ou sur la sécurité de l’unité (par exemple, oxygène, vapeur d’eau, poussières) ;</w:t>
      </w:r>
    </w:p>
    <w:p w14:paraId="5A6AD9C9" w14:textId="4CD4AB4E" w:rsidR="00C01B97" w:rsidRPr="004D709D" w:rsidRDefault="00BF095D" w:rsidP="00C01B97">
      <w:pPr>
        <w:pStyle w:val="Default"/>
        <w:spacing w:after="40"/>
        <w:jc w:val="both"/>
        <w:rPr>
          <w:color w:val="auto"/>
        </w:rPr>
      </w:pPr>
      <w:r w:rsidRPr="004D709D">
        <w:rPr>
          <w:color w:val="auto"/>
        </w:rPr>
        <w:t>6</w:t>
      </w:r>
      <w:r w:rsidR="00BA0670">
        <w:rPr>
          <w:color w:val="auto"/>
        </w:rPr>
        <w:t>°</w:t>
      </w:r>
      <w:r w:rsidR="00916AD8">
        <w:rPr>
          <w:color w:val="auto"/>
        </w:rPr>
        <w:t> </w:t>
      </w:r>
      <w:r w:rsidR="00C01B97" w:rsidRPr="004D709D">
        <w:rPr>
          <w:color w:val="auto"/>
        </w:rPr>
        <w:t>des informations sur la quantité ou les caractéristiques des produits chimiques utilisés :</w:t>
      </w:r>
    </w:p>
    <w:p w14:paraId="5031E0E4" w14:textId="000F47E8" w:rsidR="00C01B97" w:rsidRPr="004D709D" w:rsidRDefault="00C01B97" w:rsidP="00C01B97">
      <w:pPr>
        <w:pStyle w:val="Default"/>
        <w:spacing w:after="40"/>
        <w:jc w:val="both"/>
        <w:rPr>
          <w:color w:val="auto"/>
        </w:rPr>
      </w:pPr>
      <w:r w:rsidRPr="004D709D">
        <w:rPr>
          <w:color w:val="auto"/>
        </w:rPr>
        <w:t>a)</w:t>
      </w:r>
      <w:r w:rsidR="00916AD8">
        <w:rPr>
          <w:color w:val="auto"/>
        </w:rPr>
        <w:t> </w:t>
      </w:r>
      <w:r w:rsidRPr="004D709D">
        <w:rPr>
          <w:color w:val="auto"/>
        </w:rPr>
        <w:t>l’identité et les caractéristiques des produits chimiques utilisés, y compris les propriétés ayant des effets néfastes sur l’environnement et/ou la santé humaine ;</w:t>
      </w:r>
    </w:p>
    <w:p w14:paraId="248D61BF" w14:textId="5198F3E0" w:rsidR="00C01B97" w:rsidRPr="004D709D" w:rsidRDefault="00C01B97" w:rsidP="00C01B97">
      <w:pPr>
        <w:pStyle w:val="Default"/>
        <w:spacing w:after="40"/>
        <w:jc w:val="both"/>
        <w:rPr>
          <w:color w:val="auto"/>
        </w:rPr>
      </w:pPr>
      <w:r w:rsidRPr="004D709D">
        <w:rPr>
          <w:color w:val="auto"/>
        </w:rPr>
        <w:t>b)</w:t>
      </w:r>
      <w:r w:rsidR="00916AD8">
        <w:rPr>
          <w:color w:val="auto"/>
        </w:rPr>
        <w:t> </w:t>
      </w:r>
      <w:r w:rsidRPr="004D709D">
        <w:rPr>
          <w:color w:val="auto"/>
        </w:rPr>
        <w:t xml:space="preserve">les quantités de produits chimiques utilisés et le lieu de leur utilisation. </w:t>
      </w:r>
    </w:p>
    <w:p w14:paraId="5DDC7D6F" w14:textId="77777777" w:rsidR="004D709D" w:rsidRDefault="004D709D" w:rsidP="00C01B97">
      <w:pPr>
        <w:pStyle w:val="Default"/>
        <w:spacing w:after="40"/>
        <w:jc w:val="both"/>
        <w:rPr>
          <w:color w:val="auto"/>
        </w:rPr>
      </w:pPr>
    </w:p>
    <w:p w14:paraId="5EEBAAD6" w14:textId="5BEE3E65" w:rsidR="00C01B97" w:rsidRPr="00C85D44" w:rsidRDefault="00C01B97" w:rsidP="00C01B97">
      <w:pPr>
        <w:pStyle w:val="Default"/>
        <w:spacing w:after="40"/>
        <w:jc w:val="both"/>
        <w:rPr>
          <w:color w:val="000000" w:themeColor="text1"/>
        </w:rPr>
      </w:pPr>
      <w:r w:rsidRPr="004D709D">
        <w:rPr>
          <w:color w:val="auto"/>
        </w:rPr>
        <w:t>Le niveau de détail et le degré de formalisation de l’inventaire sont, d’une manière générale, en rapport avec la nature, la taille et la complexité de l’installation, ainsi qu’avec ses diverses incidences environnementales possibles.</w:t>
      </w:r>
    </w:p>
    <w:p w14:paraId="750DF197" w14:textId="77777777" w:rsidR="00C01B97" w:rsidRPr="00C85D44" w:rsidRDefault="00C01B97" w:rsidP="008B3A3A">
      <w:pPr>
        <w:pStyle w:val="Default"/>
        <w:spacing w:after="40"/>
        <w:jc w:val="both"/>
        <w:rPr>
          <w:b/>
          <w:bCs/>
          <w:color w:val="000000" w:themeColor="text1"/>
        </w:rPr>
      </w:pPr>
    </w:p>
    <w:p w14:paraId="1B8900F2" w14:textId="72FFCFA8" w:rsidR="00C01B97" w:rsidRPr="00C85D44" w:rsidRDefault="00C01B97" w:rsidP="004638C8">
      <w:pPr>
        <w:pStyle w:val="Titre3"/>
        <w:rPr>
          <w:color w:val="000000" w:themeColor="text1"/>
        </w:rPr>
      </w:pPr>
      <w:bookmarkStart w:id="39" w:name="_Toc164951674"/>
      <w:r w:rsidRPr="00C85D44">
        <w:rPr>
          <w:color w:val="000000" w:themeColor="text1"/>
        </w:rPr>
        <w:t>Article 3.</w:t>
      </w:r>
      <w:r w:rsidR="001E2C78" w:rsidRPr="00C85D44">
        <w:rPr>
          <w:color w:val="000000" w:themeColor="text1"/>
        </w:rPr>
        <w:t>6</w:t>
      </w:r>
      <w:r w:rsidRPr="00C85D44">
        <w:rPr>
          <w:color w:val="000000" w:themeColor="text1"/>
        </w:rPr>
        <w:t xml:space="preserve"> </w:t>
      </w:r>
      <w:r w:rsidR="001A5ABD" w:rsidRPr="00C85D44">
        <w:rPr>
          <w:color w:val="000000" w:themeColor="text1"/>
        </w:rPr>
        <w:t xml:space="preserve">Système </w:t>
      </w:r>
      <w:r w:rsidR="004D709D" w:rsidRPr="00C85D44">
        <w:rPr>
          <w:color w:val="000000" w:themeColor="text1"/>
        </w:rPr>
        <w:t>de g</w:t>
      </w:r>
      <w:r w:rsidRPr="00C85D44">
        <w:rPr>
          <w:color w:val="000000" w:themeColor="text1"/>
        </w:rPr>
        <w:t>estion des produits chimiques</w:t>
      </w:r>
      <w:bookmarkEnd w:id="39"/>
    </w:p>
    <w:p w14:paraId="05C7258C" w14:textId="77777777" w:rsidR="004D709D" w:rsidRPr="003B2261" w:rsidRDefault="004D709D" w:rsidP="004D709D">
      <w:pPr>
        <w:pStyle w:val="NormalWeb"/>
        <w:spacing w:beforeAutospacing="0" w:after="40"/>
        <w:jc w:val="both"/>
      </w:pPr>
      <w:bookmarkStart w:id="40" w:name="_Toc164951675"/>
      <w:r w:rsidRPr="003B2261">
        <w:t>L’exploitant met en œuvre un système de gestion des produits chimiques dans le cadre du système de management environnemental présentant toutes les caractéristiques suivantes :</w:t>
      </w:r>
    </w:p>
    <w:p w14:paraId="43F8215C" w14:textId="65FDFF56" w:rsidR="004D709D" w:rsidRPr="003B2261" w:rsidRDefault="004D709D" w:rsidP="004D709D">
      <w:pPr>
        <w:pStyle w:val="NormalWeb"/>
        <w:spacing w:beforeAutospacing="0" w:after="40"/>
        <w:jc w:val="both"/>
      </w:pPr>
      <w:r w:rsidRPr="003B2261">
        <w:t>1</w:t>
      </w:r>
      <w:r w:rsidR="00BA0670">
        <w:t>°</w:t>
      </w:r>
      <w:r w:rsidR="00916AD8">
        <w:t> </w:t>
      </w:r>
      <w:r w:rsidRPr="003B2261">
        <w:t>une politique de réduction de la consommation des produits chimiques et des risques liés à ces derniers, y compris une politique d’approvisionnement visant à sélectionner des produits chimiques moins nocifs et leurs fournisseurs dans le but de limiter au minimum l’utilisation des substances dangereuses et des substances extrêmement préoccupantes, et les risques qui y sont associés, et d’éviter l’achat d’une quantité excédentaire de produits chimiques. La sélection des produits chimiques est fondée sur :</w:t>
      </w:r>
    </w:p>
    <w:p w14:paraId="2124946D" w14:textId="5C3981B9" w:rsidR="004D709D" w:rsidRPr="003B2261" w:rsidRDefault="004D709D" w:rsidP="004D709D">
      <w:pPr>
        <w:pStyle w:val="NormalWeb"/>
        <w:spacing w:beforeAutospacing="0" w:after="40"/>
        <w:jc w:val="both"/>
      </w:pPr>
      <w:r w:rsidRPr="003B2261">
        <w:t>a)</w:t>
      </w:r>
      <w:r w:rsidR="00916AD8">
        <w:t> </w:t>
      </w:r>
      <w:r w:rsidRPr="003B2261">
        <w:t xml:space="preserve">l’analyse comparative de leur </w:t>
      </w:r>
      <w:proofErr w:type="spellStart"/>
      <w:r w:rsidRPr="003B2261">
        <w:t>bioéliminabilité</w:t>
      </w:r>
      <w:proofErr w:type="spellEnd"/>
      <w:r w:rsidRPr="003B2261">
        <w:t>/biodégradabilité, de leur écotoxicité et de leur potentiel de libération dans l’environnement afin de réduire les émissions dans l’environnement</w:t>
      </w:r>
      <w:r>
        <w:t> </w:t>
      </w:r>
      <w:r w:rsidRPr="003B2261">
        <w:t>;</w:t>
      </w:r>
    </w:p>
    <w:p w14:paraId="135ED073" w14:textId="25327D3C" w:rsidR="004D709D" w:rsidRPr="003B2261" w:rsidRDefault="004D709D" w:rsidP="004D709D">
      <w:pPr>
        <w:pStyle w:val="NormalWeb"/>
        <w:spacing w:beforeAutospacing="0" w:after="40"/>
        <w:jc w:val="both"/>
      </w:pPr>
      <w:r w:rsidRPr="003B2261">
        <w:t>b)</w:t>
      </w:r>
      <w:r w:rsidR="00916AD8">
        <w:t> </w:t>
      </w:r>
      <w:r w:rsidRPr="003B2261">
        <w:t>la caractérisation des risques associés aux produits chimiques, sur la base de la classification des dangers relative à ces produits, du parcours de ces derniers dans l’unité, des rejets potentiels et du niveau d’exposition ;</w:t>
      </w:r>
    </w:p>
    <w:p w14:paraId="376F7DC1" w14:textId="1CFB3746" w:rsidR="004D709D" w:rsidRPr="003B2261" w:rsidRDefault="004D709D" w:rsidP="004D709D">
      <w:pPr>
        <w:pStyle w:val="NormalWeb"/>
        <w:spacing w:beforeAutospacing="0" w:after="40"/>
        <w:jc w:val="both"/>
      </w:pPr>
      <w:r w:rsidRPr="003B2261">
        <w:t>c)</w:t>
      </w:r>
      <w:r w:rsidR="00916AD8">
        <w:t> </w:t>
      </w:r>
      <w:r w:rsidRPr="003B2261">
        <w:t xml:space="preserve">l’analyse régulière (par exemple, annuelle) des possibilités de substitution des substances dangereuses et des substances extrêmement préoccupantes par d’autres solutions plus sûres (par exemple, l’utilisation d’autres produits chimiques ayant des incidences nulles ou moindres sur l’environnement et/ou la santé humaine ; </w:t>
      </w:r>
    </w:p>
    <w:p w14:paraId="4B3834DF" w14:textId="6C842F0D" w:rsidR="004D709D" w:rsidRPr="003B2261" w:rsidRDefault="004D709D" w:rsidP="004D709D">
      <w:pPr>
        <w:pStyle w:val="NormalWeb"/>
        <w:spacing w:beforeAutospacing="0" w:after="40"/>
        <w:jc w:val="both"/>
      </w:pPr>
      <w:r w:rsidRPr="003B2261">
        <w:t>d)</w:t>
      </w:r>
      <w:r w:rsidR="00916AD8">
        <w:t> </w:t>
      </w:r>
      <w:r w:rsidRPr="003B2261">
        <w:t>le suivi anticipé des modifications réglementaires liées aux substances dangereuses et aux substances extrêmement préoccupantes et la garantie du respect des dispositions juridiques applicables.</w:t>
      </w:r>
    </w:p>
    <w:p w14:paraId="46512E18" w14:textId="77777777" w:rsidR="004D709D" w:rsidRPr="003B2261" w:rsidRDefault="004D709D" w:rsidP="004D709D">
      <w:pPr>
        <w:pStyle w:val="NormalWeb"/>
        <w:spacing w:beforeAutospacing="0" w:after="40"/>
        <w:jc w:val="both"/>
      </w:pPr>
      <w:r w:rsidRPr="003B2261">
        <w:t>L’inventaire des produits chimiques peut servir de base pour fournir et tenir à jour les informations nécessaires à la sélection des produits chimiques ;</w:t>
      </w:r>
    </w:p>
    <w:p w14:paraId="33623BD1" w14:textId="260DEF86" w:rsidR="004D709D" w:rsidRPr="003B2261" w:rsidRDefault="004D709D" w:rsidP="004D709D">
      <w:pPr>
        <w:pStyle w:val="NormalWeb"/>
        <w:spacing w:beforeAutospacing="0" w:after="40"/>
        <w:jc w:val="both"/>
      </w:pPr>
      <w:r w:rsidRPr="003B2261">
        <w:t>2</w:t>
      </w:r>
      <w:r w:rsidR="00BA0670">
        <w:t>°</w:t>
      </w:r>
      <w:r w:rsidR="00916AD8">
        <w:t> </w:t>
      </w:r>
      <w:r w:rsidRPr="003B2261">
        <w:t>des objectifs et des plans d’action visant à éviter ou à réduire l’utilisation et les risques associés aux substances dangereuses et aux substances extrêmement préoccupantes ;</w:t>
      </w:r>
    </w:p>
    <w:p w14:paraId="5A9D8662" w14:textId="2D49D4C1" w:rsidR="004D709D" w:rsidRPr="003B2261" w:rsidRDefault="004D709D" w:rsidP="004D709D">
      <w:pPr>
        <w:pStyle w:val="NormalWeb"/>
        <w:spacing w:beforeAutospacing="0" w:after="40"/>
        <w:jc w:val="both"/>
      </w:pPr>
      <w:r w:rsidRPr="003B2261">
        <w:t>3</w:t>
      </w:r>
      <w:r w:rsidR="00BA0670">
        <w:t>°</w:t>
      </w:r>
      <w:r w:rsidR="00916AD8">
        <w:t> </w:t>
      </w:r>
      <w:r w:rsidR="00580069">
        <w:t xml:space="preserve">une </w:t>
      </w:r>
      <w:r w:rsidRPr="003B2261">
        <w:t xml:space="preserve">élaboration et </w:t>
      </w:r>
      <w:r w:rsidR="00580069">
        <w:t>une</w:t>
      </w:r>
      <w:r w:rsidRPr="003B2261">
        <w:t xml:space="preserve"> mise en œuvre de procédures concernant l’achat, la manipulation, le stockage et l’utilisation des produits chimiques afin de prévenir ou de réduire les émissions dans l’environnement.</w:t>
      </w:r>
    </w:p>
    <w:p w14:paraId="409ED44F" w14:textId="77777777" w:rsidR="004D709D" w:rsidRDefault="004D709D" w:rsidP="004D709D">
      <w:pPr>
        <w:pStyle w:val="NormalWeb"/>
        <w:spacing w:beforeAutospacing="0" w:after="40"/>
        <w:jc w:val="both"/>
      </w:pPr>
    </w:p>
    <w:p w14:paraId="6839460D" w14:textId="32EBB00A" w:rsidR="004D709D" w:rsidRDefault="004D709D" w:rsidP="004D709D">
      <w:pPr>
        <w:pStyle w:val="NormalWeb"/>
        <w:spacing w:beforeAutospacing="0" w:after="40"/>
        <w:jc w:val="both"/>
      </w:pPr>
      <w:r w:rsidRPr="003B2261">
        <w:t xml:space="preserve">Le niveau de détail et le degré de formalisation du </w:t>
      </w:r>
      <w:bookmarkStart w:id="41" w:name="_Hlk169272456"/>
      <w:r>
        <w:t xml:space="preserve">système de gestion des produits chimiques </w:t>
      </w:r>
      <w:bookmarkEnd w:id="41"/>
      <w:r w:rsidRPr="003B2261">
        <w:t>sont</w:t>
      </w:r>
      <w:r w:rsidR="00580069">
        <w:t>,</w:t>
      </w:r>
      <w:r w:rsidRPr="003B2261">
        <w:t xml:space="preserve"> d’une manière générale</w:t>
      </w:r>
      <w:r w:rsidR="00580069">
        <w:t>,</w:t>
      </w:r>
      <w:r w:rsidRPr="003B2261">
        <w:t xml:space="preserve"> en rapport avec la nature, la taille et la complexité de l’installation.</w:t>
      </w:r>
    </w:p>
    <w:p w14:paraId="45E56129" w14:textId="77777777" w:rsidR="004D709D" w:rsidRPr="003B2261" w:rsidRDefault="004D709D" w:rsidP="004D709D">
      <w:pPr>
        <w:pStyle w:val="NormalWeb"/>
        <w:spacing w:beforeAutospacing="0" w:after="40"/>
        <w:jc w:val="both"/>
      </w:pPr>
    </w:p>
    <w:p w14:paraId="112A14B8" w14:textId="6F956B87" w:rsidR="00CD7FB2" w:rsidRPr="00915DEF" w:rsidRDefault="00075332" w:rsidP="004638C8">
      <w:pPr>
        <w:pStyle w:val="Titre3"/>
      </w:pPr>
      <w:r w:rsidRPr="00915DEF">
        <w:t xml:space="preserve">Article </w:t>
      </w:r>
      <w:r w:rsidR="00C01B97" w:rsidRPr="00915DEF">
        <w:t>3.</w:t>
      </w:r>
      <w:r w:rsidR="001E2C78" w:rsidRPr="00915DEF">
        <w:t>7</w:t>
      </w:r>
      <w:r w:rsidRPr="00915DEF">
        <w:t xml:space="preserve"> </w:t>
      </w:r>
      <w:r w:rsidR="00CD7FB2" w:rsidRPr="00915DEF">
        <w:t>Gestion des fluides frigorigènes</w:t>
      </w:r>
      <w:bookmarkEnd w:id="40"/>
    </w:p>
    <w:p w14:paraId="13E54BD4" w14:textId="2BF7988A" w:rsidR="00CD7FB2" w:rsidRPr="006305CA" w:rsidRDefault="001E2C78" w:rsidP="008B3A3A">
      <w:pPr>
        <w:pStyle w:val="Default"/>
        <w:spacing w:after="40"/>
        <w:jc w:val="both"/>
        <w:rPr>
          <w:color w:val="auto"/>
        </w:rPr>
      </w:pPr>
      <w:r w:rsidRPr="006305CA">
        <w:rPr>
          <w:color w:val="auto"/>
        </w:rPr>
        <w:t xml:space="preserve">L’exploitant </w:t>
      </w:r>
      <w:r w:rsidR="00CD7FB2" w:rsidRPr="006305CA">
        <w:rPr>
          <w:color w:val="auto"/>
        </w:rPr>
        <w:t>évite les émissions de substances appauvrissant la couche d’ozone et de substances à fort potentiel de réchauffement planétaire utilisées pour le refroidissement et la congélation</w:t>
      </w:r>
      <w:r w:rsidRPr="006305CA">
        <w:rPr>
          <w:color w:val="auto"/>
        </w:rPr>
        <w:t xml:space="preserve">. Il </w:t>
      </w:r>
      <w:r w:rsidR="00CD7FB2" w:rsidRPr="006305CA">
        <w:rPr>
          <w:color w:val="auto"/>
        </w:rPr>
        <w:t>utilise des fluides frigorigènes dépourvus de potentiel d’appauvrissement de la couche d’ozone et présentant un faible potentiel de réchauffement planétaire.</w:t>
      </w:r>
    </w:p>
    <w:p w14:paraId="46FFBBB4" w14:textId="57F0FF08" w:rsidR="00CD7FB2" w:rsidRDefault="00CD7FB2" w:rsidP="008B3A3A">
      <w:pPr>
        <w:pStyle w:val="Default"/>
        <w:spacing w:after="40"/>
        <w:jc w:val="both"/>
        <w:rPr>
          <w:color w:val="auto"/>
        </w:rPr>
      </w:pPr>
      <w:r w:rsidRPr="006305CA">
        <w:rPr>
          <w:color w:val="auto"/>
        </w:rPr>
        <w:t>Les fluides frigorigènes appropriés comprennent, par exemple, l’eau, le dioxyde de carbone, le propane et l’ammoniac</w:t>
      </w:r>
      <w:r w:rsidR="00BF095D" w:rsidRPr="006305CA">
        <w:rPr>
          <w:color w:val="auto"/>
        </w:rPr>
        <w:t>.</w:t>
      </w:r>
    </w:p>
    <w:p w14:paraId="5374AC86" w14:textId="77777777" w:rsidR="00520317" w:rsidRPr="006305CA" w:rsidRDefault="00520317" w:rsidP="008B3A3A">
      <w:pPr>
        <w:pStyle w:val="Default"/>
        <w:spacing w:after="40"/>
        <w:jc w:val="both"/>
        <w:rPr>
          <w:color w:val="auto"/>
        </w:rPr>
      </w:pPr>
    </w:p>
    <w:p w14:paraId="6E4F127B" w14:textId="3EEF9C67" w:rsidR="00CD7FB2" w:rsidRPr="00915DEF" w:rsidRDefault="00075332" w:rsidP="004638C8">
      <w:pPr>
        <w:pStyle w:val="Titre3"/>
      </w:pPr>
      <w:bookmarkStart w:id="42" w:name="_Toc164951676"/>
      <w:r w:rsidRPr="00915DEF">
        <w:t xml:space="preserve">Article </w:t>
      </w:r>
      <w:r w:rsidR="008616C4" w:rsidRPr="00915DEF">
        <w:t>3.8</w:t>
      </w:r>
      <w:r w:rsidRPr="00915DEF">
        <w:t xml:space="preserve"> </w:t>
      </w:r>
      <w:r w:rsidR="00CD7FB2" w:rsidRPr="00915DEF">
        <w:t xml:space="preserve">Dispositions particulières </w:t>
      </w:r>
      <w:r w:rsidR="003670F0">
        <w:t xml:space="preserve">d’exploitation </w:t>
      </w:r>
      <w:r w:rsidR="00CD7FB2" w:rsidRPr="00915DEF">
        <w:t>applicables aux installations de traitements de sous-produits d'origine animales</w:t>
      </w:r>
      <w:bookmarkEnd w:id="42"/>
    </w:p>
    <w:p w14:paraId="66026372" w14:textId="113DCF39" w:rsidR="00CD7FB2" w:rsidRPr="00241197" w:rsidRDefault="00075332" w:rsidP="009113EC">
      <w:pPr>
        <w:pStyle w:val="Titre3"/>
      </w:pPr>
      <w:r w:rsidRPr="00241197">
        <w:t xml:space="preserve">Article </w:t>
      </w:r>
      <w:r w:rsidR="008616C4">
        <w:t>3.8</w:t>
      </w:r>
      <w:r w:rsidR="00C00927">
        <w:t>.1</w:t>
      </w:r>
      <w:r w:rsidRPr="00241197">
        <w:t xml:space="preserve"> </w:t>
      </w:r>
      <w:r w:rsidR="00C00927" w:rsidRPr="00C00927">
        <w:t>Utilisation efficace des ressources et réduction de</w:t>
      </w:r>
      <w:r w:rsidR="00BA0670">
        <w:t>s</w:t>
      </w:r>
      <w:r w:rsidR="00C00927" w:rsidRPr="00C00927">
        <w:t xml:space="preserve"> substance</w:t>
      </w:r>
      <w:r w:rsidR="00BA0670">
        <w:t>s</w:t>
      </w:r>
    </w:p>
    <w:p w14:paraId="04ADFE75" w14:textId="4137F843" w:rsidR="00CD7FB2" w:rsidRDefault="009701E8" w:rsidP="008B3A3A">
      <w:pPr>
        <w:pStyle w:val="NormalWeb"/>
        <w:spacing w:beforeAutospacing="0" w:after="40"/>
        <w:jc w:val="both"/>
      </w:pPr>
      <w:r w:rsidRPr="003B2261">
        <w:t>I</w:t>
      </w:r>
      <w:r w:rsidR="004E2B8A">
        <w:t>. - </w:t>
      </w:r>
      <w:r w:rsidR="008616C4" w:rsidRPr="003B2261">
        <w:t xml:space="preserve">L’exploitant </w:t>
      </w:r>
      <w:r w:rsidR="00CD7FB2" w:rsidRPr="003B2261">
        <w:t>utilise</w:t>
      </w:r>
      <w:r w:rsidR="008616C4" w:rsidRPr="003B2261">
        <w:t xml:space="preserve"> le </w:t>
      </w:r>
      <w:r w:rsidR="00CD7FB2" w:rsidRPr="003B2261">
        <w:t>plus efficacement les ressources</w:t>
      </w:r>
      <w:r w:rsidR="008616C4" w:rsidRPr="003B2261">
        <w:t xml:space="preserve">. Il </w:t>
      </w:r>
      <w:r w:rsidR="00CD7FB2" w:rsidRPr="003B2261">
        <w:t>applique à la fois les techniques a) et</w:t>
      </w:r>
      <w:r w:rsidR="008616C4" w:rsidRPr="003B2261">
        <w:t xml:space="preserve"> </w:t>
      </w:r>
      <w:r w:rsidR="00CD7FB2" w:rsidRPr="003B2261">
        <w:t>b), le cas échéant en combinaison avec la technique c) et/ou la technique d) indiquées ci-dessous</w:t>
      </w:r>
      <w:r w:rsidR="0015284B" w:rsidRPr="003B2261">
        <w:t xml:space="preserve"> : </w:t>
      </w:r>
    </w:p>
    <w:p w14:paraId="2AEA88EF" w14:textId="0294028F" w:rsidR="00C00927" w:rsidRDefault="00C00927" w:rsidP="008B3A3A">
      <w:pPr>
        <w:pStyle w:val="NormalWeb"/>
        <w:spacing w:beforeAutospacing="0" w:after="40"/>
        <w:jc w:val="both"/>
      </w:pPr>
    </w:p>
    <w:tbl>
      <w:tblPr>
        <w:tblStyle w:val="Grilledutableau"/>
        <w:tblW w:w="0" w:type="auto"/>
        <w:tblLook w:val="04A0" w:firstRow="1" w:lastRow="0" w:firstColumn="1" w:lastColumn="0" w:noHBand="0" w:noVBand="1"/>
      </w:tblPr>
      <w:tblGrid>
        <w:gridCol w:w="420"/>
        <w:gridCol w:w="1418"/>
        <w:gridCol w:w="4394"/>
        <w:gridCol w:w="2828"/>
      </w:tblGrid>
      <w:tr w:rsidR="00C00927" w:rsidRPr="003B2261" w14:paraId="06DCA2AC" w14:textId="77777777" w:rsidTr="00144F9B">
        <w:tc>
          <w:tcPr>
            <w:tcW w:w="420" w:type="dxa"/>
          </w:tcPr>
          <w:p w14:paraId="5B575B71" w14:textId="77777777" w:rsidR="00C00927" w:rsidRPr="003B2261" w:rsidRDefault="00C00927" w:rsidP="00144F9B">
            <w:pPr>
              <w:pStyle w:val="NormalWeb"/>
              <w:spacing w:beforeAutospacing="0" w:after="40"/>
              <w:jc w:val="both"/>
            </w:pPr>
          </w:p>
        </w:tc>
        <w:tc>
          <w:tcPr>
            <w:tcW w:w="1418" w:type="dxa"/>
          </w:tcPr>
          <w:p w14:paraId="415BEF58" w14:textId="77777777" w:rsidR="00C00927" w:rsidRPr="003B2261" w:rsidRDefault="00C00927" w:rsidP="00144F9B">
            <w:pPr>
              <w:pStyle w:val="NormalWeb"/>
              <w:spacing w:after="40"/>
              <w:jc w:val="both"/>
            </w:pPr>
            <w:r w:rsidRPr="003B2261">
              <w:t>Technique</w:t>
            </w:r>
          </w:p>
        </w:tc>
        <w:tc>
          <w:tcPr>
            <w:tcW w:w="4394" w:type="dxa"/>
          </w:tcPr>
          <w:p w14:paraId="7EF9CF04" w14:textId="77777777" w:rsidR="00C00927" w:rsidRPr="003B2261" w:rsidRDefault="00C00927" w:rsidP="00144F9B">
            <w:pPr>
              <w:pStyle w:val="NormalWeb"/>
              <w:spacing w:after="40"/>
              <w:jc w:val="both"/>
            </w:pPr>
            <w:r w:rsidRPr="003B2261">
              <w:t>Description</w:t>
            </w:r>
          </w:p>
        </w:tc>
        <w:tc>
          <w:tcPr>
            <w:tcW w:w="2828" w:type="dxa"/>
          </w:tcPr>
          <w:p w14:paraId="5087DAAB" w14:textId="77777777" w:rsidR="00C00927" w:rsidRPr="003B2261" w:rsidRDefault="00C00927" w:rsidP="00144F9B">
            <w:pPr>
              <w:pStyle w:val="NormalWeb"/>
              <w:spacing w:after="40"/>
              <w:jc w:val="both"/>
            </w:pPr>
            <w:r w:rsidRPr="003B2261">
              <w:t>Applicabilité</w:t>
            </w:r>
          </w:p>
        </w:tc>
      </w:tr>
      <w:tr w:rsidR="00C00927" w:rsidRPr="003B2261" w14:paraId="0B9B675A" w14:textId="77777777" w:rsidTr="00144F9B">
        <w:tc>
          <w:tcPr>
            <w:tcW w:w="420" w:type="dxa"/>
          </w:tcPr>
          <w:p w14:paraId="59595E13" w14:textId="77777777" w:rsidR="00C00927" w:rsidRPr="003B2261" w:rsidRDefault="00C00927" w:rsidP="00144F9B">
            <w:pPr>
              <w:pStyle w:val="NormalWeb"/>
              <w:spacing w:beforeAutospacing="0" w:after="40"/>
              <w:jc w:val="both"/>
            </w:pPr>
            <w:r w:rsidRPr="003B2261">
              <w:t>a</w:t>
            </w:r>
          </w:p>
        </w:tc>
        <w:tc>
          <w:tcPr>
            <w:tcW w:w="1418" w:type="dxa"/>
          </w:tcPr>
          <w:p w14:paraId="547AE494" w14:textId="77777777" w:rsidR="00C00927" w:rsidRPr="003B2261" w:rsidRDefault="00C00927" w:rsidP="00144F9B">
            <w:pPr>
              <w:pStyle w:val="NormalWeb"/>
              <w:spacing w:after="40"/>
              <w:jc w:val="both"/>
            </w:pPr>
            <w:r w:rsidRPr="003B2261">
              <w:t>Réduction au minimum de la dégradation biologique des sous-produits animaux et/ou des coproduits alimentaires</w:t>
            </w:r>
          </w:p>
        </w:tc>
        <w:tc>
          <w:tcPr>
            <w:tcW w:w="4394" w:type="dxa"/>
          </w:tcPr>
          <w:p w14:paraId="099FEE44" w14:textId="77777777" w:rsidR="00C00927" w:rsidRPr="003B2261" w:rsidRDefault="00C00927" w:rsidP="00144F9B">
            <w:pPr>
              <w:pStyle w:val="NormalWeb"/>
              <w:spacing w:after="40"/>
              <w:jc w:val="both"/>
            </w:pPr>
            <w:r w:rsidRPr="003B2261">
              <w:t>Les sous-produits animaux et/ou les coproduits alimentaires sont rapidement collectés dans les abattoirs et stockés avant traitement dans des citernes ou des pièces fermées des installations de traitements des sous-produits animaux, pendant une durée aussi brève que possible. Il peut être nécessaire de réfrigérer certaines matières premières destinées à la consommation humaine (graisses, sang, par exemple) et des matières premières pour l’alimentation animale.</w:t>
            </w:r>
          </w:p>
        </w:tc>
        <w:tc>
          <w:tcPr>
            <w:tcW w:w="2828" w:type="dxa"/>
          </w:tcPr>
          <w:p w14:paraId="57845AC7" w14:textId="77777777" w:rsidR="00C00927" w:rsidRPr="003B2261" w:rsidRDefault="00C00927" w:rsidP="00144F9B">
            <w:pPr>
              <w:pStyle w:val="NormalWeb"/>
              <w:spacing w:after="40"/>
              <w:jc w:val="both"/>
            </w:pPr>
            <w:r w:rsidRPr="003B2261">
              <w:t>Applicable d’une manière générale.</w:t>
            </w:r>
          </w:p>
        </w:tc>
      </w:tr>
      <w:tr w:rsidR="00C00927" w:rsidRPr="003B2261" w14:paraId="1B9137FA" w14:textId="77777777" w:rsidTr="00144F9B">
        <w:tc>
          <w:tcPr>
            <w:tcW w:w="420" w:type="dxa"/>
          </w:tcPr>
          <w:p w14:paraId="63D8A01D" w14:textId="77777777" w:rsidR="00C00927" w:rsidRPr="003B2261" w:rsidRDefault="00C00927" w:rsidP="00144F9B">
            <w:pPr>
              <w:pStyle w:val="NormalWeb"/>
              <w:spacing w:beforeAutospacing="0" w:after="40"/>
              <w:jc w:val="both"/>
            </w:pPr>
            <w:r w:rsidRPr="003B2261">
              <w:t>b</w:t>
            </w:r>
          </w:p>
        </w:tc>
        <w:tc>
          <w:tcPr>
            <w:tcW w:w="1418" w:type="dxa"/>
          </w:tcPr>
          <w:p w14:paraId="08837020" w14:textId="77777777" w:rsidR="00C00927" w:rsidRPr="003B2261" w:rsidRDefault="00C00927" w:rsidP="00144F9B">
            <w:pPr>
              <w:pStyle w:val="NormalWeb"/>
              <w:spacing w:after="40"/>
              <w:jc w:val="both"/>
            </w:pPr>
            <w:r w:rsidRPr="003B2261">
              <w:t>Séparation et recyclage/ valorisation des résidus</w:t>
            </w:r>
          </w:p>
        </w:tc>
        <w:tc>
          <w:tcPr>
            <w:tcW w:w="4394" w:type="dxa"/>
          </w:tcPr>
          <w:p w14:paraId="35712B35" w14:textId="77777777" w:rsidR="00C00927" w:rsidRPr="003B2261" w:rsidRDefault="00C00927" w:rsidP="00144F9B">
            <w:pPr>
              <w:pStyle w:val="NormalWeb"/>
              <w:spacing w:after="40"/>
              <w:jc w:val="both"/>
            </w:pPr>
            <w:r w:rsidRPr="003B2261">
              <w:t>Les résidus sont séparés au moyen, par exemple, d’écrans, de volets, de collecteurs, de bacs d’égouttage et d’auges judicieusement placés, à des fins de recyclage et de valorisation.</w:t>
            </w:r>
          </w:p>
        </w:tc>
        <w:tc>
          <w:tcPr>
            <w:tcW w:w="2828" w:type="dxa"/>
          </w:tcPr>
          <w:p w14:paraId="519350D7" w14:textId="77777777" w:rsidR="00C00927" w:rsidRPr="003B2261" w:rsidRDefault="00C00927" w:rsidP="00144F9B">
            <w:pPr>
              <w:pStyle w:val="NormalWeb"/>
              <w:spacing w:after="40"/>
              <w:jc w:val="both"/>
            </w:pPr>
            <w:r w:rsidRPr="003B2261">
              <w:t>Peut ne pas être applicable en raison de la quantité ou de la nature des résidus.</w:t>
            </w:r>
          </w:p>
        </w:tc>
      </w:tr>
      <w:tr w:rsidR="00C00927" w:rsidRPr="003B2261" w14:paraId="2192F08A" w14:textId="77777777" w:rsidTr="00144F9B">
        <w:tc>
          <w:tcPr>
            <w:tcW w:w="420" w:type="dxa"/>
          </w:tcPr>
          <w:p w14:paraId="2D1D2C91" w14:textId="77777777" w:rsidR="00C00927" w:rsidRPr="003B2261" w:rsidRDefault="00C00927" w:rsidP="00144F9B">
            <w:pPr>
              <w:pStyle w:val="NormalWeb"/>
              <w:spacing w:beforeAutospacing="0" w:after="40"/>
              <w:jc w:val="both"/>
            </w:pPr>
            <w:r w:rsidRPr="003B2261">
              <w:t>c</w:t>
            </w:r>
          </w:p>
        </w:tc>
        <w:tc>
          <w:tcPr>
            <w:tcW w:w="1418" w:type="dxa"/>
          </w:tcPr>
          <w:p w14:paraId="534379BC" w14:textId="77777777" w:rsidR="00C00927" w:rsidRPr="003B2261" w:rsidRDefault="00C00927" w:rsidP="00144F9B">
            <w:pPr>
              <w:pStyle w:val="NormalWeb"/>
              <w:spacing w:after="40"/>
              <w:jc w:val="both"/>
            </w:pPr>
            <w:r w:rsidRPr="003B2261">
              <w:t>Digestion anaérobie</w:t>
            </w:r>
          </w:p>
        </w:tc>
        <w:tc>
          <w:tcPr>
            <w:tcW w:w="4394" w:type="dxa"/>
          </w:tcPr>
          <w:p w14:paraId="5EA210F0" w14:textId="108D96D1" w:rsidR="00C00927" w:rsidRPr="003B2261" w:rsidRDefault="00C00927" w:rsidP="00144F9B">
            <w:pPr>
              <w:pStyle w:val="NormalWeb"/>
              <w:spacing w:after="40"/>
              <w:jc w:val="both"/>
            </w:pPr>
            <w:r w:rsidRPr="003B2261">
              <w:t>Traitement des résidus biodégradables par des microorganismes, en l’absence d’oxygène, aboutissant à la formation de biogaz et de digestat. Le biogaz est utilisé comme combustible, par exemple dans un moteur à gaz ou dans une chaudière. Le digestat peut être utilisé, par exemple, comme amendement du sol, sur site ou hors site.</w:t>
            </w:r>
          </w:p>
        </w:tc>
        <w:tc>
          <w:tcPr>
            <w:tcW w:w="2828" w:type="dxa"/>
          </w:tcPr>
          <w:p w14:paraId="0A70B9C2" w14:textId="77777777" w:rsidR="00C00927" w:rsidRPr="003B2261" w:rsidRDefault="00C00927" w:rsidP="00144F9B">
            <w:pPr>
              <w:pStyle w:val="NormalWeb"/>
              <w:spacing w:after="40"/>
              <w:jc w:val="both"/>
            </w:pPr>
            <w:r w:rsidRPr="003B2261">
              <w:t>Peut ne pas être applicable en raison de la quantité ou de la nature des résidus.</w:t>
            </w:r>
          </w:p>
        </w:tc>
      </w:tr>
      <w:tr w:rsidR="00C00927" w:rsidRPr="003B2261" w14:paraId="190B24E7" w14:textId="77777777" w:rsidTr="00144F9B">
        <w:tc>
          <w:tcPr>
            <w:tcW w:w="420" w:type="dxa"/>
          </w:tcPr>
          <w:p w14:paraId="1D22A64B" w14:textId="77777777" w:rsidR="00C00927" w:rsidRPr="003B2261" w:rsidRDefault="00C00927" w:rsidP="00144F9B">
            <w:pPr>
              <w:pStyle w:val="NormalWeb"/>
              <w:spacing w:beforeAutospacing="0" w:after="40"/>
              <w:jc w:val="both"/>
            </w:pPr>
            <w:r w:rsidRPr="003B2261">
              <w:t>d</w:t>
            </w:r>
          </w:p>
        </w:tc>
        <w:tc>
          <w:tcPr>
            <w:tcW w:w="1418" w:type="dxa"/>
          </w:tcPr>
          <w:p w14:paraId="55523BA6" w14:textId="77777777" w:rsidR="00C00927" w:rsidRPr="003B2261" w:rsidRDefault="00C00927" w:rsidP="00144F9B">
            <w:pPr>
              <w:pStyle w:val="NormalWeb"/>
              <w:spacing w:after="40"/>
              <w:jc w:val="both"/>
            </w:pPr>
            <w:r w:rsidRPr="003B2261">
              <w:t>Récupération du phosphore sous forme de struvite</w:t>
            </w:r>
          </w:p>
        </w:tc>
        <w:tc>
          <w:tcPr>
            <w:tcW w:w="4394" w:type="dxa"/>
          </w:tcPr>
          <w:p w14:paraId="4EC7362E" w14:textId="77777777" w:rsidR="00C00927" w:rsidRPr="003B2261" w:rsidRDefault="00C00927" w:rsidP="00144F9B">
            <w:pPr>
              <w:pStyle w:val="NormalWeb"/>
              <w:spacing w:after="40"/>
              <w:jc w:val="both"/>
            </w:pPr>
            <w:r w:rsidRPr="001A5ABD">
              <w:t>Le phosphore contenu dans les flux d’effluents aqueux est récupéré par précipitation sous forme de struvite (phosphate d’ammonium et de magnésium).</w:t>
            </w:r>
          </w:p>
        </w:tc>
        <w:tc>
          <w:tcPr>
            <w:tcW w:w="2828" w:type="dxa"/>
          </w:tcPr>
          <w:p w14:paraId="4B766B9C" w14:textId="73287EF1" w:rsidR="00C00927" w:rsidRPr="003B2261" w:rsidRDefault="00C00927" w:rsidP="00144F9B">
            <w:pPr>
              <w:pStyle w:val="NormalWeb"/>
              <w:spacing w:beforeAutospacing="0" w:after="40"/>
              <w:jc w:val="both"/>
            </w:pPr>
            <w:r w:rsidRPr="003B2261">
              <w:t>Uniquement applicable aux flux d’effluents aqueux à forte teneur en phosphore total (supérieure à 50</w:t>
            </w:r>
            <w:r w:rsidR="00792231">
              <w:t> </w:t>
            </w:r>
            <w:r w:rsidRPr="003B2261">
              <w:t>mg/</w:t>
            </w:r>
            <w:r w:rsidR="00792231">
              <w:t>L</w:t>
            </w:r>
            <w:r w:rsidRPr="003B2261">
              <w:t>, par exemple) et dont le débit est important.</w:t>
            </w:r>
          </w:p>
        </w:tc>
      </w:tr>
    </w:tbl>
    <w:p w14:paraId="0332D13D" w14:textId="4F91C7DC" w:rsidR="00C00927" w:rsidRDefault="00C00927" w:rsidP="008B3A3A">
      <w:pPr>
        <w:pStyle w:val="NormalWeb"/>
        <w:spacing w:beforeAutospacing="0" w:after="40"/>
        <w:jc w:val="both"/>
      </w:pPr>
    </w:p>
    <w:p w14:paraId="2AF237B2" w14:textId="2B5DDF02" w:rsidR="00C00927" w:rsidRPr="003B2261" w:rsidRDefault="00C00927" w:rsidP="00C00927">
      <w:pPr>
        <w:pStyle w:val="NormalWeb"/>
        <w:spacing w:beforeAutospacing="0" w:after="40"/>
        <w:jc w:val="both"/>
      </w:pPr>
      <w:r w:rsidRPr="003B2261">
        <w:t>II</w:t>
      </w:r>
      <w:r w:rsidR="004E2B8A">
        <w:t>. - </w:t>
      </w:r>
      <w:r w:rsidRPr="003B2261">
        <w:t xml:space="preserve">L’exploitant évite ou, si cela n’est pas possible, réduit l’utilisation de substances nocives pour le nettoyage et la désinfection. Il applique une ou plusieurs des techniques énumérées ci-dessous : </w:t>
      </w:r>
    </w:p>
    <w:p w14:paraId="294F6675" w14:textId="77777777" w:rsidR="00C00927" w:rsidRPr="003B2261" w:rsidRDefault="00C00927" w:rsidP="00C00927">
      <w:pPr>
        <w:pStyle w:val="NormalWeb"/>
        <w:spacing w:beforeAutospacing="0" w:after="40"/>
        <w:jc w:val="both"/>
      </w:pPr>
    </w:p>
    <w:tbl>
      <w:tblPr>
        <w:tblStyle w:val="Grilledutableau"/>
        <w:tblW w:w="9067" w:type="dxa"/>
        <w:tblLook w:val="04A0" w:firstRow="1" w:lastRow="0" w:firstColumn="1" w:lastColumn="0" w:noHBand="0" w:noVBand="1"/>
      </w:tblPr>
      <w:tblGrid>
        <w:gridCol w:w="421"/>
        <w:gridCol w:w="2268"/>
        <w:gridCol w:w="6378"/>
      </w:tblGrid>
      <w:tr w:rsidR="00C00927" w:rsidRPr="003B2261" w14:paraId="07283BD0" w14:textId="77777777" w:rsidTr="00144F9B">
        <w:tc>
          <w:tcPr>
            <w:tcW w:w="421" w:type="dxa"/>
          </w:tcPr>
          <w:p w14:paraId="661A5238" w14:textId="77777777" w:rsidR="00C00927" w:rsidRPr="003B2261" w:rsidRDefault="00C00927" w:rsidP="00144F9B">
            <w:pPr>
              <w:pStyle w:val="NormalWeb"/>
              <w:spacing w:beforeAutospacing="0" w:after="40"/>
              <w:jc w:val="both"/>
            </w:pPr>
          </w:p>
        </w:tc>
        <w:tc>
          <w:tcPr>
            <w:tcW w:w="2268" w:type="dxa"/>
          </w:tcPr>
          <w:p w14:paraId="1AD125A2" w14:textId="77777777" w:rsidR="00C00927" w:rsidRPr="003B2261" w:rsidRDefault="00C00927" w:rsidP="00144F9B">
            <w:pPr>
              <w:pStyle w:val="NormalWeb"/>
              <w:spacing w:after="40"/>
              <w:jc w:val="both"/>
            </w:pPr>
            <w:r w:rsidRPr="003B2261">
              <w:t>Technique</w:t>
            </w:r>
          </w:p>
        </w:tc>
        <w:tc>
          <w:tcPr>
            <w:tcW w:w="6378" w:type="dxa"/>
          </w:tcPr>
          <w:p w14:paraId="649D71EB" w14:textId="77777777" w:rsidR="00C00927" w:rsidRPr="003B2261" w:rsidRDefault="00C00927" w:rsidP="00144F9B">
            <w:pPr>
              <w:pStyle w:val="NormalWeb"/>
              <w:spacing w:after="40"/>
              <w:jc w:val="both"/>
            </w:pPr>
            <w:r w:rsidRPr="003B2261">
              <w:t>Description</w:t>
            </w:r>
          </w:p>
        </w:tc>
      </w:tr>
      <w:tr w:rsidR="00C00927" w:rsidRPr="003B2261" w14:paraId="1A5C5888" w14:textId="77777777" w:rsidTr="00144F9B">
        <w:tc>
          <w:tcPr>
            <w:tcW w:w="421" w:type="dxa"/>
          </w:tcPr>
          <w:p w14:paraId="2D8B3C35" w14:textId="77777777" w:rsidR="00C00927" w:rsidRPr="003B2261" w:rsidRDefault="00C00927" w:rsidP="00144F9B">
            <w:pPr>
              <w:pStyle w:val="NormalWeb"/>
              <w:spacing w:beforeAutospacing="0" w:after="40"/>
              <w:jc w:val="both"/>
            </w:pPr>
            <w:r w:rsidRPr="003B2261">
              <w:t>a</w:t>
            </w:r>
          </w:p>
        </w:tc>
        <w:tc>
          <w:tcPr>
            <w:tcW w:w="2268" w:type="dxa"/>
          </w:tcPr>
          <w:p w14:paraId="51918615" w14:textId="77777777" w:rsidR="00C00927" w:rsidRPr="003B2261" w:rsidRDefault="00C00927" w:rsidP="00144F9B">
            <w:pPr>
              <w:pStyle w:val="NormalWeb"/>
              <w:spacing w:after="40"/>
              <w:jc w:val="both"/>
            </w:pPr>
            <w:r w:rsidRPr="003B2261">
              <w:t>Sélection appropriée de produits chimiques de nettoyage et/ou de désinfectants</w:t>
            </w:r>
          </w:p>
        </w:tc>
        <w:tc>
          <w:tcPr>
            <w:tcW w:w="6378" w:type="dxa"/>
          </w:tcPr>
          <w:p w14:paraId="56D1C2BF" w14:textId="5B6600E0" w:rsidR="00C00927" w:rsidRPr="003B2261" w:rsidRDefault="00C00927" w:rsidP="00144F9B">
            <w:pPr>
              <w:pStyle w:val="NormalWeb"/>
              <w:spacing w:after="40"/>
              <w:jc w:val="both"/>
            </w:pPr>
            <w:r w:rsidRPr="003B2261">
              <w:t xml:space="preserve">Il s’agit d’éviter ou de limiter au minimum l’utilisation de produits chimiques de nettoyage et/ou de désinfectants nocifs pour le milieu aquatique, en particulier ceux qui contiennent les substances prioritaires </w:t>
            </w:r>
            <w:r w:rsidR="004A14D6">
              <w:t xml:space="preserve">concernées </w:t>
            </w:r>
            <w:r w:rsidRPr="003B2261">
              <w:t>dans la directive</w:t>
            </w:r>
            <w:r w:rsidR="00930C6B">
              <w:t xml:space="preserve"> </w:t>
            </w:r>
            <w:r w:rsidR="00ED01A9">
              <w:t xml:space="preserve">du 23 octobre </w:t>
            </w:r>
            <w:r w:rsidR="00930C6B">
              <w:t>2000</w:t>
            </w:r>
            <w:r w:rsidR="00ED01A9">
              <w:t xml:space="preserve"> </w:t>
            </w:r>
            <w:r w:rsidR="00205F64">
              <w:t>susvisée</w:t>
            </w:r>
            <w:r w:rsidRPr="003B2261">
              <w:t xml:space="preserve">. </w:t>
            </w:r>
          </w:p>
          <w:p w14:paraId="48290189" w14:textId="77777777" w:rsidR="00C00927" w:rsidRPr="001A5ABD" w:rsidRDefault="00C00927" w:rsidP="00144F9B">
            <w:pPr>
              <w:pStyle w:val="NormalWeb"/>
              <w:spacing w:after="40"/>
              <w:jc w:val="both"/>
            </w:pPr>
            <w:r w:rsidRPr="003B2261">
              <w:t xml:space="preserve">Lors de la sélection des produits chimiques de nettoyage et/ou des désinfectants, il est tenu compte des exigences en matière d’hygiène et de </w:t>
            </w:r>
            <w:r w:rsidRPr="001A5ABD">
              <w:t>sécurité sanitaire des aliments.</w:t>
            </w:r>
          </w:p>
          <w:p w14:paraId="682CD10A" w14:textId="77777777" w:rsidR="00C00927" w:rsidRPr="003B2261" w:rsidRDefault="00C00927" w:rsidP="00144F9B">
            <w:pPr>
              <w:pStyle w:val="NormalWeb"/>
              <w:spacing w:beforeAutospacing="0" w:after="40"/>
              <w:jc w:val="both"/>
            </w:pPr>
            <w:r w:rsidRPr="001A5ABD">
              <w:t xml:space="preserve">Cette technique fait partie du </w:t>
            </w:r>
            <w:r w:rsidRPr="003B2261">
              <w:t>système de gestion des produits chimiques.</w:t>
            </w:r>
          </w:p>
        </w:tc>
      </w:tr>
      <w:tr w:rsidR="00C00927" w:rsidRPr="003B2261" w14:paraId="670F4669" w14:textId="77777777" w:rsidTr="00144F9B">
        <w:tc>
          <w:tcPr>
            <w:tcW w:w="421" w:type="dxa"/>
          </w:tcPr>
          <w:p w14:paraId="63BD2276" w14:textId="77777777" w:rsidR="00C00927" w:rsidRPr="003B2261" w:rsidRDefault="00C00927" w:rsidP="00144F9B">
            <w:pPr>
              <w:pStyle w:val="NormalWeb"/>
              <w:spacing w:beforeAutospacing="0" w:after="40"/>
              <w:jc w:val="both"/>
            </w:pPr>
            <w:r w:rsidRPr="003B2261">
              <w:t>b</w:t>
            </w:r>
          </w:p>
        </w:tc>
        <w:tc>
          <w:tcPr>
            <w:tcW w:w="2268" w:type="dxa"/>
          </w:tcPr>
          <w:p w14:paraId="69DFE686" w14:textId="771DB78A" w:rsidR="00C00927" w:rsidRPr="003B2261" w:rsidRDefault="00C00927" w:rsidP="00144F9B">
            <w:pPr>
              <w:pStyle w:val="NormalWeb"/>
              <w:spacing w:after="40"/>
              <w:jc w:val="both"/>
            </w:pPr>
            <w:r w:rsidRPr="003B2261">
              <w:t>Réutilisation des produits chimiques de nettoyage dans le nettoyage en place</w:t>
            </w:r>
            <w:r w:rsidR="00E34A9F">
              <w:t xml:space="preserve"> (NEP)</w:t>
            </w:r>
          </w:p>
        </w:tc>
        <w:tc>
          <w:tcPr>
            <w:tcW w:w="6378" w:type="dxa"/>
          </w:tcPr>
          <w:p w14:paraId="4D9BA4D4" w14:textId="43EA23CC" w:rsidR="00C00927" w:rsidRPr="003B2261" w:rsidRDefault="00C00927" w:rsidP="00144F9B">
            <w:pPr>
              <w:pStyle w:val="NormalWeb"/>
              <w:spacing w:after="40"/>
              <w:jc w:val="both"/>
            </w:pPr>
            <w:r w:rsidRPr="003B2261">
              <w:t>Collecte et réutilisation des produits chimiques utilisés dans le nettoyage en place</w:t>
            </w:r>
            <w:r w:rsidR="00E34A9F">
              <w:t xml:space="preserve"> (NEP)</w:t>
            </w:r>
            <w:r w:rsidRPr="003B2261">
              <w:t>. Lors de la réutilisation des produits chimiques de nettoyage, il est tenu compte des exigences en matière d’hygiène et de sécurité sanitaire des aliments.</w:t>
            </w:r>
          </w:p>
        </w:tc>
      </w:tr>
      <w:tr w:rsidR="00C00927" w:rsidRPr="003B2261" w14:paraId="6BE31454" w14:textId="77777777" w:rsidTr="00144F9B">
        <w:tc>
          <w:tcPr>
            <w:tcW w:w="421" w:type="dxa"/>
          </w:tcPr>
          <w:p w14:paraId="500D0B7A" w14:textId="77777777" w:rsidR="00C00927" w:rsidRPr="003B2261" w:rsidRDefault="00C00927" w:rsidP="00144F9B">
            <w:pPr>
              <w:pStyle w:val="NormalWeb"/>
              <w:spacing w:beforeAutospacing="0" w:after="40"/>
              <w:jc w:val="both"/>
            </w:pPr>
            <w:r w:rsidRPr="003B2261">
              <w:t>c</w:t>
            </w:r>
          </w:p>
        </w:tc>
        <w:tc>
          <w:tcPr>
            <w:tcW w:w="2268" w:type="dxa"/>
          </w:tcPr>
          <w:p w14:paraId="1F7E1F4A" w14:textId="77777777" w:rsidR="00C00927" w:rsidRPr="003B2261" w:rsidRDefault="00C00927" w:rsidP="00144F9B">
            <w:pPr>
              <w:pStyle w:val="NormalWeb"/>
              <w:spacing w:after="40"/>
              <w:jc w:val="both"/>
            </w:pPr>
            <w:r w:rsidRPr="003B2261">
              <w:t>Nettoyage à sec</w:t>
            </w:r>
          </w:p>
          <w:p w14:paraId="448316CD" w14:textId="77777777" w:rsidR="00C00927" w:rsidRPr="003B2261" w:rsidRDefault="00C00927" w:rsidP="00144F9B">
            <w:pPr>
              <w:pStyle w:val="NormalWeb"/>
              <w:spacing w:after="40"/>
              <w:jc w:val="both"/>
            </w:pPr>
          </w:p>
        </w:tc>
        <w:tc>
          <w:tcPr>
            <w:tcW w:w="6378" w:type="dxa"/>
          </w:tcPr>
          <w:p w14:paraId="740E83CC" w14:textId="77777777" w:rsidR="00C00927" w:rsidRPr="003B2261" w:rsidRDefault="00C00927" w:rsidP="00144F9B">
            <w:pPr>
              <w:pStyle w:val="NormalWeb"/>
              <w:spacing w:after="40"/>
              <w:jc w:val="both"/>
            </w:pPr>
            <w:r w:rsidRPr="003B2261">
              <w:t>Élimination au maximum des matières résiduelles des matières premières et de l’équipement, par exemple au moyen d’air comprimé, de systèmes à vide ou de collecteurs équipés de grilles.</w:t>
            </w:r>
          </w:p>
        </w:tc>
      </w:tr>
      <w:tr w:rsidR="00C00927" w:rsidRPr="003B2261" w14:paraId="1E0F6F49" w14:textId="77777777" w:rsidTr="00144F9B">
        <w:tc>
          <w:tcPr>
            <w:tcW w:w="421" w:type="dxa"/>
          </w:tcPr>
          <w:p w14:paraId="018FD806" w14:textId="77777777" w:rsidR="00C00927" w:rsidRPr="003B2261" w:rsidRDefault="00C00927" w:rsidP="00144F9B">
            <w:pPr>
              <w:pStyle w:val="NormalWeb"/>
              <w:spacing w:beforeAutospacing="0" w:after="40"/>
              <w:jc w:val="both"/>
            </w:pPr>
            <w:r w:rsidRPr="003B2261">
              <w:t>d</w:t>
            </w:r>
          </w:p>
        </w:tc>
        <w:tc>
          <w:tcPr>
            <w:tcW w:w="2268" w:type="dxa"/>
          </w:tcPr>
          <w:p w14:paraId="065F1B40" w14:textId="77777777" w:rsidR="00C00927" w:rsidRPr="003B2261" w:rsidRDefault="00C00927" w:rsidP="00144F9B">
            <w:pPr>
              <w:pStyle w:val="NormalWeb"/>
              <w:spacing w:after="40"/>
              <w:jc w:val="both"/>
            </w:pPr>
            <w:r w:rsidRPr="003B2261">
              <w:t>Optimisation des équipements et des zones du procédé en phases de conception et de construction</w:t>
            </w:r>
          </w:p>
        </w:tc>
        <w:tc>
          <w:tcPr>
            <w:tcW w:w="6378" w:type="dxa"/>
          </w:tcPr>
          <w:p w14:paraId="09A51B27" w14:textId="77777777" w:rsidR="00C00927" w:rsidRPr="003B2261" w:rsidRDefault="00C00927" w:rsidP="00144F9B">
            <w:pPr>
              <w:pStyle w:val="NormalWeb"/>
              <w:spacing w:after="40"/>
              <w:jc w:val="both"/>
            </w:pPr>
            <w:r w:rsidRPr="003B2261">
              <w:t>Les équipements et les zones du procédé sont conçus et construits de manière à en faciliter le nettoyage. Il est tenu compte des exigences en matière d’hygiène lors de l’optimisation de la conception et de la construction.</w:t>
            </w:r>
          </w:p>
        </w:tc>
      </w:tr>
    </w:tbl>
    <w:p w14:paraId="3254B1B4" w14:textId="77777777" w:rsidR="00D03987" w:rsidRDefault="00D03987" w:rsidP="00D03987">
      <w:pPr>
        <w:pStyle w:val="Default"/>
      </w:pPr>
    </w:p>
    <w:p w14:paraId="555F0BB3" w14:textId="36067F76" w:rsidR="008616C4" w:rsidRPr="00915DEF" w:rsidRDefault="004C4762" w:rsidP="008261CB">
      <w:pPr>
        <w:pStyle w:val="Titre3"/>
        <w:jc w:val="left"/>
      </w:pPr>
      <w:r>
        <w:t xml:space="preserve">Article </w:t>
      </w:r>
      <w:r w:rsidR="008616C4" w:rsidRPr="00915DEF">
        <w:t>3.8.2 Dispositions applicables à l’activité d’incinération de cadavres d’animaux</w:t>
      </w:r>
      <w:r w:rsidR="008261CB">
        <w:t xml:space="preserve"> </w:t>
      </w:r>
    </w:p>
    <w:p w14:paraId="146FD579" w14:textId="4174CA95" w:rsidR="008616C4" w:rsidRPr="004C4762" w:rsidRDefault="008616C4" w:rsidP="008616C4">
      <w:pPr>
        <w:pStyle w:val="Default"/>
        <w:spacing w:after="40"/>
        <w:jc w:val="both"/>
        <w:rPr>
          <w:color w:val="auto"/>
        </w:rPr>
      </w:pPr>
      <w:r w:rsidRPr="004C4762">
        <w:rPr>
          <w:color w:val="auto"/>
        </w:rPr>
        <w:t>I</w:t>
      </w:r>
      <w:r w:rsidR="004E2B8A">
        <w:t>. - </w:t>
      </w:r>
      <w:r w:rsidRPr="004C4762">
        <w:rPr>
          <w:color w:val="auto"/>
        </w:rPr>
        <w:t>Les cadavres ou lots de cadavres d'un poids atteignant au maximum 100</w:t>
      </w:r>
      <w:r w:rsidR="00721F6B">
        <w:rPr>
          <w:color w:val="auto"/>
        </w:rPr>
        <w:t> </w:t>
      </w:r>
      <w:r w:rsidRPr="004C4762">
        <w:rPr>
          <w:color w:val="auto"/>
        </w:rPr>
        <w:t>kg sont livrés dans des emballages étanches, sauf lorsqu'ils sont apportés directement et individuellement par un particulier.</w:t>
      </w:r>
    </w:p>
    <w:p w14:paraId="115142BD" w14:textId="388C8361" w:rsidR="008616C4" w:rsidRPr="004C4762" w:rsidRDefault="008616C4" w:rsidP="008616C4">
      <w:pPr>
        <w:pStyle w:val="Default"/>
        <w:spacing w:after="40"/>
        <w:jc w:val="both"/>
        <w:rPr>
          <w:color w:val="auto"/>
        </w:rPr>
      </w:pPr>
      <w:r w:rsidRPr="004C4762">
        <w:rPr>
          <w:color w:val="auto"/>
        </w:rPr>
        <w:t>Les cadavres de plus de 100</w:t>
      </w:r>
      <w:r w:rsidR="009179B0">
        <w:rPr>
          <w:color w:val="auto"/>
        </w:rPr>
        <w:t> </w:t>
      </w:r>
      <w:r w:rsidRPr="004C4762">
        <w:rPr>
          <w:color w:val="auto"/>
        </w:rPr>
        <w:t>kg ne peuvent être introduits sur le site que dans des conteneurs ou véhicules couverts, étanches aux liquides et fermés le temps du transport.</w:t>
      </w:r>
    </w:p>
    <w:p w14:paraId="662FFBB1" w14:textId="77777777" w:rsidR="008616C4" w:rsidRPr="004C4762" w:rsidRDefault="008616C4" w:rsidP="008616C4">
      <w:pPr>
        <w:pStyle w:val="Default"/>
        <w:spacing w:after="40"/>
        <w:jc w:val="both"/>
        <w:rPr>
          <w:color w:val="auto"/>
        </w:rPr>
      </w:pPr>
      <w:r w:rsidRPr="004C4762">
        <w:rPr>
          <w:color w:val="auto"/>
        </w:rPr>
        <w:t>Chaque emballage ou éventuellement chaque cadavre porte une identification permettant de faire le lien avec les informations fournies par le détenteur ou le propriétaire du cadavre.</w:t>
      </w:r>
    </w:p>
    <w:p w14:paraId="423B7478" w14:textId="77777777" w:rsidR="008616C4" w:rsidRPr="004C4762" w:rsidRDefault="008616C4" w:rsidP="008616C4">
      <w:pPr>
        <w:pStyle w:val="Default"/>
        <w:spacing w:after="40"/>
        <w:jc w:val="both"/>
        <w:rPr>
          <w:color w:val="auto"/>
        </w:rPr>
      </w:pPr>
      <w:r w:rsidRPr="004C4762">
        <w:rPr>
          <w:color w:val="auto"/>
        </w:rPr>
        <w:t>Hormis les parties de cadavres issues d'actes vétérinaires, les cadavres sont réceptionnés entiers et aucune découpe n'est réalisée entre la réception et l'incinération.</w:t>
      </w:r>
    </w:p>
    <w:p w14:paraId="2941762B" w14:textId="3A32714E" w:rsidR="008616C4" w:rsidRDefault="008616C4" w:rsidP="008616C4">
      <w:pPr>
        <w:pStyle w:val="Default"/>
        <w:spacing w:after="40"/>
        <w:jc w:val="both"/>
        <w:rPr>
          <w:color w:val="auto"/>
        </w:rPr>
      </w:pPr>
      <w:r w:rsidRPr="004C4762">
        <w:rPr>
          <w:color w:val="auto"/>
        </w:rPr>
        <w:t>Pour chaque cadavre ou pour chaque lot livré, l'exploitant enregistre et conserve les informations suivantes, qu'il peut enregistrer sur le document commercial ou le certificat sanitaire prévus par les règlements susvisés : la date de réception</w:t>
      </w:r>
      <w:r w:rsidR="009117BC">
        <w:rPr>
          <w:color w:val="auto"/>
        </w:rPr>
        <w:t>,</w:t>
      </w:r>
      <w:r w:rsidRPr="004C4762">
        <w:rPr>
          <w:color w:val="auto"/>
        </w:rPr>
        <w:t xml:space="preserve"> la date d'incinération</w:t>
      </w:r>
      <w:r w:rsidR="004968E5">
        <w:rPr>
          <w:color w:val="auto"/>
        </w:rPr>
        <w:t>,</w:t>
      </w:r>
      <w:r w:rsidRPr="004C4762">
        <w:rPr>
          <w:color w:val="auto"/>
        </w:rPr>
        <w:t xml:space="preserve"> le poids du cadavre ou du lot.</w:t>
      </w:r>
    </w:p>
    <w:p w14:paraId="09C97517" w14:textId="109DA509" w:rsidR="00BB1597" w:rsidRPr="004C4762" w:rsidRDefault="00BB1597" w:rsidP="008616C4">
      <w:pPr>
        <w:pStyle w:val="Default"/>
        <w:spacing w:after="40"/>
        <w:jc w:val="both"/>
        <w:rPr>
          <w:color w:val="auto"/>
        </w:rPr>
      </w:pPr>
      <w:r w:rsidRPr="004C4762">
        <w:rPr>
          <w:color w:val="auto"/>
        </w:rPr>
        <w:t>L'incinération a lieu en présence d'un opérateur.</w:t>
      </w:r>
    </w:p>
    <w:p w14:paraId="78B43AD7" w14:textId="132BB217" w:rsidR="008616C4" w:rsidRPr="004C4762" w:rsidRDefault="008616C4" w:rsidP="008616C4">
      <w:pPr>
        <w:pStyle w:val="Default"/>
        <w:spacing w:after="40"/>
        <w:jc w:val="both"/>
        <w:rPr>
          <w:color w:val="auto"/>
        </w:rPr>
      </w:pPr>
      <w:r w:rsidRPr="004C4762">
        <w:rPr>
          <w:color w:val="auto"/>
        </w:rPr>
        <w:t>II</w:t>
      </w:r>
      <w:r w:rsidR="004E2B8A">
        <w:t>. - </w:t>
      </w:r>
      <w:r w:rsidRPr="004C4762">
        <w:rPr>
          <w:color w:val="auto"/>
        </w:rPr>
        <w:t>Si les cadavres ne peuvent pas être incinérés dès leur arrivée, ils sont immédiatement stockés en chambre froide. Excepté en cas de soins mortuaires, les cadavres sont sortis de la chambre froide au maximum une heure avant leur incinération.</w:t>
      </w:r>
    </w:p>
    <w:p w14:paraId="4A1596DC" w14:textId="4837F8B1" w:rsidR="008616C4" w:rsidRPr="004C4762" w:rsidRDefault="008616C4" w:rsidP="008616C4">
      <w:pPr>
        <w:pStyle w:val="Default"/>
        <w:spacing w:after="40"/>
        <w:jc w:val="both"/>
        <w:rPr>
          <w:color w:val="auto"/>
        </w:rPr>
      </w:pPr>
      <w:r w:rsidRPr="004C4762">
        <w:rPr>
          <w:color w:val="auto"/>
        </w:rPr>
        <w:t>Les chambres froides à température positive maintiennent en permanence une température inférieure à 5</w:t>
      </w:r>
      <w:r w:rsidR="004968E5">
        <w:rPr>
          <w:color w:val="auto"/>
        </w:rPr>
        <w:t> </w:t>
      </w:r>
      <w:r w:rsidRPr="004C4762">
        <w:rPr>
          <w:color w:val="auto"/>
        </w:rPr>
        <w:t>°C. La durée de conservation des cadavres dans ces conditions ne peut excéder 48</w:t>
      </w:r>
      <w:r w:rsidR="00721F6B">
        <w:rPr>
          <w:color w:val="auto"/>
        </w:rPr>
        <w:t> </w:t>
      </w:r>
      <w:r w:rsidRPr="004C4762">
        <w:rPr>
          <w:color w:val="auto"/>
        </w:rPr>
        <w:t>heures. Les chambres froides à température négative maintiennent en permanence une température inférieure à -</w:t>
      </w:r>
      <w:r w:rsidR="004968E5">
        <w:rPr>
          <w:color w:val="auto"/>
        </w:rPr>
        <w:t> </w:t>
      </w:r>
      <w:r w:rsidRPr="004C4762">
        <w:rPr>
          <w:color w:val="auto"/>
        </w:rPr>
        <w:t>14</w:t>
      </w:r>
      <w:r w:rsidR="004968E5">
        <w:rPr>
          <w:color w:val="auto"/>
        </w:rPr>
        <w:t> </w:t>
      </w:r>
      <w:r w:rsidRPr="004C4762">
        <w:rPr>
          <w:color w:val="auto"/>
        </w:rPr>
        <w:t>°C. La durée de conservation des cadavres dans ces conditions ne peut excéder un mois, sauf en cas de procédure d'expertise pour une assurance.</w:t>
      </w:r>
    </w:p>
    <w:p w14:paraId="4F4BBD91" w14:textId="75A4C7F8" w:rsidR="008616C4" w:rsidRPr="004C4762" w:rsidRDefault="008616C4" w:rsidP="008616C4">
      <w:pPr>
        <w:pStyle w:val="Default"/>
        <w:spacing w:after="40"/>
        <w:jc w:val="both"/>
        <w:rPr>
          <w:color w:val="auto"/>
        </w:rPr>
      </w:pPr>
      <w:r w:rsidRPr="004C4762">
        <w:rPr>
          <w:color w:val="auto"/>
        </w:rPr>
        <w:t>La température de chaque chambre froide est enregistrée en continu. Les données enregistrées sont facilement consultables et archivées pendant une période minimale d'un an. Un dispositif d'alarme est mis en place permettant de constater tout dysfonctionnement du système frigorifique et toute anomalie de température. Le dispositif d'alarme est mis en place de manière à ce qu'un responsable techniquement compétent puisse être alerté et intervenir en moins de 8</w:t>
      </w:r>
      <w:r w:rsidR="004A14D6">
        <w:rPr>
          <w:color w:val="auto"/>
        </w:rPr>
        <w:t> </w:t>
      </w:r>
      <w:r w:rsidRPr="004C4762">
        <w:rPr>
          <w:color w:val="auto"/>
        </w:rPr>
        <w:t>heures sur les lieux en toute circonstance</w:t>
      </w:r>
      <w:r w:rsidR="00D03987">
        <w:rPr>
          <w:color w:val="auto"/>
        </w:rPr>
        <w:t>.</w:t>
      </w:r>
    </w:p>
    <w:p w14:paraId="1092A7DF" w14:textId="5EC68D75" w:rsidR="008616C4" w:rsidRPr="004C4762" w:rsidRDefault="008616C4" w:rsidP="0071731E">
      <w:pPr>
        <w:pStyle w:val="Default"/>
        <w:spacing w:after="40"/>
        <w:jc w:val="both"/>
        <w:rPr>
          <w:color w:val="auto"/>
        </w:rPr>
      </w:pPr>
      <w:r w:rsidRPr="004C4762">
        <w:rPr>
          <w:color w:val="auto"/>
        </w:rPr>
        <w:t>Les dysfonctionnements, anomalies et descriptifs des suites données sont consignés. En cas de dysfonctionnement et si la température négative n'a pas pu être respectée, les cadavres concernés sont incinérés sans délai.</w:t>
      </w:r>
    </w:p>
    <w:p w14:paraId="5907C86E" w14:textId="094FE3CD" w:rsidR="008616C4" w:rsidRPr="00915DEF" w:rsidRDefault="008616C4" w:rsidP="00975EDF">
      <w:pPr>
        <w:pStyle w:val="Default"/>
        <w:tabs>
          <w:tab w:val="left" w:pos="1395"/>
        </w:tabs>
        <w:spacing w:after="40"/>
        <w:jc w:val="both"/>
      </w:pPr>
    </w:p>
    <w:p w14:paraId="0A4C7773" w14:textId="6E18C8A3" w:rsidR="008616C4" w:rsidRPr="0065789B" w:rsidRDefault="008616C4" w:rsidP="004C4762">
      <w:pPr>
        <w:pStyle w:val="Titre3"/>
        <w:rPr>
          <w:color w:val="000000" w:themeColor="text1"/>
        </w:rPr>
      </w:pPr>
      <w:r w:rsidRPr="00915DEF">
        <w:t xml:space="preserve">Article 3.8.3. Dispositions applicables </w:t>
      </w:r>
      <w:bookmarkStart w:id="43" w:name="_Hlk169528566"/>
      <w:r w:rsidRPr="00915DEF">
        <w:t xml:space="preserve">aux activités </w:t>
      </w:r>
      <w:r w:rsidR="00523845" w:rsidRPr="00915DEF">
        <w:t xml:space="preserve">de </w:t>
      </w:r>
      <w:r w:rsidR="00523845" w:rsidRPr="0065789B">
        <w:rPr>
          <w:color w:val="000000" w:themeColor="text1"/>
        </w:rPr>
        <w:t>transformation de sous-produits d'origine animale et/ou co-produits animaux</w:t>
      </w:r>
      <w:bookmarkEnd w:id="43"/>
    </w:p>
    <w:p w14:paraId="102B640E" w14:textId="0BE089CB" w:rsidR="008616C4" w:rsidRPr="00B72F2A" w:rsidRDefault="004C4762" w:rsidP="008616C4">
      <w:pPr>
        <w:pStyle w:val="Default"/>
        <w:spacing w:after="40"/>
        <w:jc w:val="both"/>
        <w:rPr>
          <w:color w:val="auto"/>
        </w:rPr>
      </w:pPr>
      <w:r w:rsidRPr="00B72F2A">
        <w:rPr>
          <w:color w:val="auto"/>
        </w:rPr>
        <w:t>I</w:t>
      </w:r>
      <w:r w:rsidR="004E2B8A">
        <w:t>. - </w:t>
      </w:r>
      <w:r w:rsidR="008616C4" w:rsidRPr="00B72F2A">
        <w:rPr>
          <w:color w:val="auto"/>
        </w:rPr>
        <w:t>Les locaux de stockage des sous-produits d'origine animale doivent être construits en matériaux imperméables, résistants aux chocs, faciles à nettoyer et à désinfecter sur toute leur hauteur.</w:t>
      </w:r>
    </w:p>
    <w:p w14:paraId="79344008" w14:textId="022D980D" w:rsidR="008616C4" w:rsidRPr="00B72F2A" w:rsidRDefault="008616C4" w:rsidP="008616C4">
      <w:pPr>
        <w:pStyle w:val="Default"/>
        <w:spacing w:after="40"/>
        <w:jc w:val="both"/>
        <w:rPr>
          <w:color w:val="auto"/>
        </w:rPr>
      </w:pPr>
      <w:r w:rsidRPr="00B72F2A">
        <w:rPr>
          <w:color w:val="auto"/>
        </w:rPr>
        <w:t xml:space="preserve">Le sol </w:t>
      </w:r>
      <w:r w:rsidR="004A14D6">
        <w:rPr>
          <w:color w:val="auto"/>
        </w:rPr>
        <w:t>est</w:t>
      </w:r>
      <w:r w:rsidRPr="00B72F2A">
        <w:rPr>
          <w:color w:val="auto"/>
        </w:rPr>
        <w:t xml:space="preserve"> étanche, résistant au passage des équipements et véhicules permettant le déchargement des sous-produits d'origine animale et conçu de façon à faciliter l'écoulement des jus d'égouttage et des eaux de nettoyage vers des installations de collecte.</w:t>
      </w:r>
    </w:p>
    <w:p w14:paraId="3B433B0B" w14:textId="1AD85267" w:rsidR="008616C4" w:rsidRPr="00B72F2A" w:rsidRDefault="008616C4" w:rsidP="008616C4">
      <w:pPr>
        <w:pStyle w:val="Default"/>
        <w:spacing w:after="40"/>
        <w:jc w:val="both"/>
        <w:rPr>
          <w:color w:val="auto"/>
        </w:rPr>
      </w:pPr>
      <w:r w:rsidRPr="00B72F2A">
        <w:rPr>
          <w:color w:val="auto"/>
        </w:rPr>
        <w:t xml:space="preserve">Les locaux </w:t>
      </w:r>
      <w:r w:rsidR="004A14D6">
        <w:rPr>
          <w:color w:val="auto"/>
        </w:rPr>
        <w:t>sont</w:t>
      </w:r>
      <w:r w:rsidRPr="00B72F2A">
        <w:rPr>
          <w:color w:val="auto"/>
        </w:rPr>
        <w:t xml:space="preserve"> correctement éclairés</w:t>
      </w:r>
      <w:r w:rsidR="004A14D6">
        <w:rPr>
          <w:color w:val="auto"/>
        </w:rPr>
        <w:t xml:space="preserve">. Ils </w:t>
      </w:r>
      <w:r w:rsidRPr="00B72F2A">
        <w:rPr>
          <w:color w:val="auto"/>
        </w:rPr>
        <w:t>permett</w:t>
      </w:r>
      <w:r w:rsidR="004A14D6">
        <w:rPr>
          <w:color w:val="auto"/>
        </w:rPr>
        <w:t xml:space="preserve">ent </w:t>
      </w:r>
      <w:r w:rsidRPr="00B72F2A">
        <w:rPr>
          <w:color w:val="auto"/>
        </w:rPr>
        <w:t>une protection des déchets contre les intempéries et la chaleur.</w:t>
      </w:r>
    </w:p>
    <w:p w14:paraId="3122C305" w14:textId="0CCF096D" w:rsidR="008616C4" w:rsidRPr="00B72F2A" w:rsidRDefault="008616C4" w:rsidP="008616C4">
      <w:pPr>
        <w:pStyle w:val="Default"/>
        <w:spacing w:after="40"/>
        <w:jc w:val="both"/>
        <w:rPr>
          <w:color w:val="auto"/>
        </w:rPr>
      </w:pPr>
      <w:r w:rsidRPr="00B72F2A">
        <w:rPr>
          <w:color w:val="auto"/>
        </w:rPr>
        <w:t>I</w:t>
      </w:r>
      <w:r w:rsidR="004C4762" w:rsidRPr="00B72F2A">
        <w:rPr>
          <w:color w:val="auto"/>
        </w:rPr>
        <w:t>I</w:t>
      </w:r>
      <w:r w:rsidR="004E2B8A">
        <w:t>. - </w:t>
      </w:r>
      <w:r w:rsidRPr="00B72F2A">
        <w:rPr>
          <w:color w:val="auto"/>
        </w:rPr>
        <w:t>Le stockage avant traitement ne dépasse</w:t>
      </w:r>
      <w:r w:rsidR="004A14D6">
        <w:rPr>
          <w:color w:val="auto"/>
        </w:rPr>
        <w:t xml:space="preserve"> pas</w:t>
      </w:r>
      <w:r w:rsidRPr="00B72F2A">
        <w:rPr>
          <w:color w:val="auto"/>
        </w:rPr>
        <w:t xml:space="preserve"> 24</w:t>
      </w:r>
      <w:r w:rsidR="004A14D6">
        <w:rPr>
          <w:color w:val="auto"/>
        </w:rPr>
        <w:t> </w:t>
      </w:r>
      <w:r w:rsidRPr="00B72F2A">
        <w:rPr>
          <w:color w:val="auto"/>
        </w:rPr>
        <w:t>heures si les sous-produits d'origine animale sont entreposés à température ambiante. Pour les installations ne traitant pas par déshydratation, le délai de stockage ne dépasse</w:t>
      </w:r>
      <w:r w:rsidR="00D01B56">
        <w:rPr>
          <w:color w:val="auto"/>
        </w:rPr>
        <w:t xml:space="preserve"> pas</w:t>
      </w:r>
      <w:r w:rsidRPr="00B72F2A">
        <w:rPr>
          <w:color w:val="auto"/>
        </w:rPr>
        <w:t xml:space="preserve"> 24</w:t>
      </w:r>
      <w:r w:rsidR="004A14D6">
        <w:rPr>
          <w:color w:val="auto"/>
        </w:rPr>
        <w:t> </w:t>
      </w:r>
      <w:r w:rsidRPr="00B72F2A">
        <w:rPr>
          <w:color w:val="auto"/>
        </w:rPr>
        <w:t>heures avant le départ du site.</w:t>
      </w:r>
    </w:p>
    <w:p w14:paraId="1D3CDC1B" w14:textId="0F8E75CB" w:rsidR="008616C4" w:rsidRPr="00B72F2A" w:rsidRDefault="008616C4" w:rsidP="008616C4">
      <w:pPr>
        <w:pStyle w:val="Default"/>
        <w:spacing w:after="40"/>
        <w:jc w:val="both"/>
        <w:rPr>
          <w:color w:val="auto"/>
        </w:rPr>
      </w:pPr>
      <w:r w:rsidRPr="00B72F2A">
        <w:rPr>
          <w:color w:val="auto"/>
        </w:rPr>
        <w:t>Ces délais peuvent être allongés si la totalité des sous-produits d'origine animale est maintenue à une température inférieure à +</w:t>
      </w:r>
      <w:r w:rsidR="004A14D6">
        <w:rPr>
          <w:color w:val="auto"/>
        </w:rPr>
        <w:t> </w:t>
      </w:r>
      <w:r w:rsidRPr="00B72F2A">
        <w:rPr>
          <w:color w:val="auto"/>
        </w:rPr>
        <w:t>7</w:t>
      </w:r>
      <w:r w:rsidR="004A14D6">
        <w:rPr>
          <w:color w:val="auto"/>
        </w:rPr>
        <w:t> </w:t>
      </w:r>
      <w:r w:rsidRPr="00B72F2A">
        <w:rPr>
          <w:color w:val="auto"/>
        </w:rPr>
        <w:t>°C. Dans ce cas et pour les installations traitant par déshydratation, le traitement démarre immédiatement après la sortie de l'enceinte maintenue à cette température</w:t>
      </w:r>
    </w:p>
    <w:p w14:paraId="42D4B9BF" w14:textId="0CEB0F86" w:rsidR="008616C4" w:rsidRPr="00B72F2A" w:rsidRDefault="008616C4" w:rsidP="008616C4">
      <w:pPr>
        <w:pStyle w:val="Default"/>
        <w:spacing w:after="40"/>
        <w:jc w:val="both"/>
        <w:rPr>
          <w:color w:val="auto"/>
        </w:rPr>
      </w:pPr>
      <w:r w:rsidRPr="00B72F2A">
        <w:rPr>
          <w:color w:val="auto"/>
        </w:rPr>
        <w:t xml:space="preserve">La capacité de ces locaux </w:t>
      </w:r>
      <w:r w:rsidR="00D01B56">
        <w:rPr>
          <w:color w:val="auto"/>
        </w:rPr>
        <w:t>est</w:t>
      </w:r>
      <w:r w:rsidRPr="00B72F2A">
        <w:rPr>
          <w:color w:val="auto"/>
        </w:rPr>
        <w:t xml:space="preserve"> compatible avec le délai de traitement et permet de faire face aux arrêts inopinés.</w:t>
      </w:r>
    </w:p>
    <w:p w14:paraId="47669FA9" w14:textId="07A4C632" w:rsidR="008616C4" w:rsidRPr="00B72F2A" w:rsidRDefault="004C4762" w:rsidP="00220328">
      <w:pPr>
        <w:pStyle w:val="Default"/>
        <w:spacing w:after="40"/>
        <w:jc w:val="both"/>
        <w:rPr>
          <w:color w:val="auto"/>
        </w:rPr>
      </w:pPr>
      <w:r w:rsidRPr="00B72F2A">
        <w:rPr>
          <w:color w:val="auto"/>
        </w:rPr>
        <w:t>I</w:t>
      </w:r>
      <w:r w:rsidR="008B6DE6">
        <w:rPr>
          <w:color w:val="auto"/>
        </w:rPr>
        <w:t>II</w:t>
      </w:r>
      <w:r w:rsidR="004E2B8A">
        <w:t>. </w:t>
      </w:r>
      <w:r w:rsidR="00142A7A">
        <w:t>–</w:t>
      </w:r>
      <w:r w:rsidR="004E2B8A">
        <w:t> </w:t>
      </w:r>
      <w:r w:rsidR="00142A7A">
        <w:t xml:space="preserve">Au sein </w:t>
      </w:r>
      <w:r w:rsidR="00142A7A">
        <w:rPr>
          <w:color w:val="auto"/>
        </w:rPr>
        <w:t>d</w:t>
      </w:r>
      <w:r w:rsidR="008616C4" w:rsidRPr="00B72F2A">
        <w:rPr>
          <w:color w:val="auto"/>
        </w:rPr>
        <w:t xml:space="preserve">es établissements traitant par déshydratation les sous-produits d'origine animale, </w:t>
      </w:r>
      <w:r w:rsidR="00142A7A">
        <w:rPr>
          <w:color w:val="auto"/>
        </w:rPr>
        <w:t>dans les</w:t>
      </w:r>
      <w:r w:rsidR="00142A7A" w:rsidRPr="00142A7A">
        <w:rPr>
          <w:color w:val="auto"/>
        </w:rPr>
        <w:t xml:space="preserve"> </w:t>
      </w:r>
      <w:r w:rsidR="00142A7A" w:rsidRPr="00B72F2A">
        <w:rPr>
          <w:color w:val="auto"/>
        </w:rPr>
        <w:t>bâtiments de stockage des sous-produits d'origine animale avant traitement sur place à une température supérieure à +</w:t>
      </w:r>
      <w:r w:rsidR="00142A7A">
        <w:rPr>
          <w:color w:val="auto"/>
        </w:rPr>
        <w:t> </w:t>
      </w:r>
      <w:r w:rsidR="00142A7A" w:rsidRPr="00B72F2A">
        <w:rPr>
          <w:color w:val="auto"/>
        </w:rPr>
        <w:t>7</w:t>
      </w:r>
      <w:r w:rsidR="00142A7A">
        <w:rPr>
          <w:color w:val="auto"/>
        </w:rPr>
        <w:t> </w:t>
      </w:r>
      <w:r w:rsidR="00142A7A" w:rsidRPr="00B72F2A">
        <w:rPr>
          <w:color w:val="auto"/>
        </w:rPr>
        <w:t>°C</w:t>
      </w:r>
      <w:r w:rsidR="00142A7A">
        <w:rPr>
          <w:color w:val="auto"/>
        </w:rPr>
        <w:t xml:space="preserve">, </w:t>
      </w:r>
      <w:r w:rsidR="008616C4" w:rsidRPr="00B72F2A">
        <w:rPr>
          <w:color w:val="auto"/>
        </w:rPr>
        <w:t xml:space="preserve">les molécules odorantes </w:t>
      </w:r>
      <w:r w:rsidR="00142A7A">
        <w:rPr>
          <w:color w:val="auto"/>
        </w:rPr>
        <w:t>sont</w:t>
      </w:r>
      <w:r w:rsidR="008616C4" w:rsidRPr="00B72F2A">
        <w:rPr>
          <w:color w:val="auto"/>
        </w:rPr>
        <w:t xml:space="preserve"> captées et traitées à l'aide de dispositifs adaptés et efficaces, par exemple par une mise en dépression suivie d'un traitement.</w:t>
      </w:r>
    </w:p>
    <w:p w14:paraId="1530AFA3" w14:textId="77777777" w:rsidR="008616C4" w:rsidRDefault="008616C4" w:rsidP="00220328">
      <w:pPr>
        <w:pStyle w:val="Default"/>
        <w:spacing w:after="40"/>
        <w:jc w:val="both"/>
        <w:rPr>
          <w:color w:val="auto"/>
        </w:rPr>
      </w:pPr>
    </w:p>
    <w:p w14:paraId="65DC8FD2" w14:textId="3789A3A2" w:rsidR="00097849" w:rsidRPr="0065789B" w:rsidRDefault="00097849" w:rsidP="00097849">
      <w:pPr>
        <w:pStyle w:val="Titre3"/>
        <w:rPr>
          <w:color w:val="000000" w:themeColor="text1"/>
        </w:rPr>
      </w:pPr>
      <w:r w:rsidRPr="00915DEF">
        <w:t>Article 3.8.</w:t>
      </w:r>
      <w:r w:rsidR="00D01997">
        <w:t>4</w:t>
      </w:r>
      <w:r w:rsidRPr="00915DEF">
        <w:t xml:space="preserve">. Dispositions </w:t>
      </w:r>
      <w:r w:rsidR="00F72E86">
        <w:t xml:space="preserve">d’exploitation </w:t>
      </w:r>
      <w:r w:rsidRPr="00915DEF">
        <w:t>applicables</w:t>
      </w:r>
      <w:r w:rsidR="004A2B40">
        <w:t xml:space="preserve"> à la </w:t>
      </w:r>
      <w:r w:rsidR="004A2B40" w:rsidRPr="00BB1597">
        <w:t>combustion</w:t>
      </w:r>
      <w:r w:rsidR="004A2B40">
        <w:t xml:space="preserve"> dans un </w:t>
      </w:r>
      <w:proofErr w:type="spellStart"/>
      <w:r w:rsidR="00D01997">
        <w:t>oxydateur</w:t>
      </w:r>
      <w:proofErr w:type="spellEnd"/>
      <w:r w:rsidR="00D01997">
        <w:t xml:space="preserve"> thermique</w:t>
      </w:r>
    </w:p>
    <w:p w14:paraId="7E28EAC5" w14:textId="699FBB65" w:rsidR="00097849" w:rsidRDefault="005E41E6" w:rsidP="00220328">
      <w:pPr>
        <w:pStyle w:val="Default"/>
        <w:spacing w:after="40"/>
        <w:jc w:val="both"/>
        <w:rPr>
          <w:color w:val="auto"/>
        </w:rPr>
      </w:pPr>
      <w:r>
        <w:rPr>
          <w:color w:val="auto"/>
        </w:rPr>
        <w:t>L</w:t>
      </w:r>
      <w:r w:rsidR="00BE65A8">
        <w:rPr>
          <w:color w:val="auto"/>
        </w:rPr>
        <w:t>’</w:t>
      </w:r>
      <w:proofErr w:type="spellStart"/>
      <w:r>
        <w:rPr>
          <w:color w:val="auto"/>
        </w:rPr>
        <w:t>oxydateur</w:t>
      </w:r>
      <w:proofErr w:type="spellEnd"/>
      <w:r>
        <w:rPr>
          <w:color w:val="auto"/>
        </w:rPr>
        <w:t xml:space="preserve"> thermique</w:t>
      </w:r>
      <w:r w:rsidR="00BE65A8">
        <w:rPr>
          <w:color w:val="auto"/>
        </w:rPr>
        <w:t xml:space="preserve"> est </w:t>
      </w:r>
      <w:r>
        <w:rPr>
          <w:color w:val="auto"/>
        </w:rPr>
        <w:t>conçu, équipé et exploité de manière à ce que</w:t>
      </w:r>
      <w:r w:rsidR="000E19CD">
        <w:rPr>
          <w:color w:val="auto"/>
        </w:rPr>
        <w:t>,</w:t>
      </w:r>
      <w:r>
        <w:rPr>
          <w:color w:val="auto"/>
        </w:rPr>
        <w:t xml:space="preserve"> </w:t>
      </w:r>
      <w:r w:rsidR="00013319">
        <w:rPr>
          <w:color w:val="auto"/>
        </w:rPr>
        <w:t>même dans les conditions les plus favorables prévisibles, les buées de cuisson et l’air vi</w:t>
      </w:r>
      <w:r w:rsidR="001943EF">
        <w:rPr>
          <w:color w:val="auto"/>
        </w:rPr>
        <w:t>cié soient portés, après la dernière injection d’air de combustion, d’une façon contrôlée et homogène, à une température</w:t>
      </w:r>
      <w:r w:rsidR="0054793B">
        <w:rPr>
          <w:color w:val="auto"/>
        </w:rPr>
        <w:t xml:space="preserve"> de </w:t>
      </w:r>
      <w:r w:rsidR="00171C89">
        <w:rPr>
          <w:color w:val="auto"/>
        </w:rPr>
        <w:t xml:space="preserve">consigne pendant un temps </w:t>
      </w:r>
      <w:proofErr w:type="spellStart"/>
      <w:r w:rsidR="00171C89">
        <w:rPr>
          <w:color w:val="auto"/>
        </w:rPr>
        <w:t>pré-établi</w:t>
      </w:r>
      <w:proofErr w:type="spellEnd"/>
      <w:r w:rsidR="00171C89">
        <w:rPr>
          <w:color w:val="auto"/>
        </w:rPr>
        <w:t>.</w:t>
      </w:r>
      <w:r w:rsidR="00BE65A8">
        <w:rPr>
          <w:color w:val="auto"/>
        </w:rPr>
        <w:t xml:space="preserve"> </w:t>
      </w:r>
      <w:r w:rsidR="00310A30">
        <w:rPr>
          <w:color w:val="auto"/>
        </w:rPr>
        <w:t xml:space="preserve">Le temps </w:t>
      </w:r>
      <w:r w:rsidR="00973EF0">
        <w:rPr>
          <w:color w:val="auto"/>
        </w:rPr>
        <w:t>de séjour est vérifié lors des essais de mise en service.</w:t>
      </w:r>
      <w:r w:rsidR="001A06E8">
        <w:rPr>
          <w:color w:val="auto"/>
        </w:rPr>
        <w:t xml:space="preserve"> </w:t>
      </w:r>
    </w:p>
    <w:p w14:paraId="77C94CE7" w14:textId="479527A7" w:rsidR="00973EF0" w:rsidRDefault="003D357B" w:rsidP="00220328">
      <w:pPr>
        <w:pStyle w:val="Default"/>
        <w:spacing w:after="40"/>
        <w:jc w:val="both"/>
        <w:rPr>
          <w:color w:val="auto"/>
        </w:rPr>
      </w:pPr>
      <w:r>
        <w:rPr>
          <w:color w:val="auto"/>
        </w:rPr>
        <w:t xml:space="preserve">Plusieurs paramètres pertinents sont mesurés en continu de façon, à permettre un fonctionnement optimum </w:t>
      </w:r>
      <w:r w:rsidR="004B36C2">
        <w:rPr>
          <w:color w:val="auto"/>
        </w:rPr>
        <w:t>de</w:t>
      </w:r>
      <w:r w:rsidR="00171C89">
        <w:rPr>
          <w:color w:val="auto"/>
        </w:rPr>
        <w:t xml:space="preserve"> l’</w:t>
      </w:r>
      <w:proofErr w:type="spellStart"/>
      <w:r w:rsidR="004B36C2">
        <w:rPr>
          <w:color w:val="auto"/>
        </w:rPr>
        <w:t>oxydateur</w:t>
      </w:r>
      <w:proofErr w:type="spellEnd"/>
      <w:r w:rsidR="004B36C2">
        <w:rPr>
          <w:color w:val="auto"/>
        </w:rPr>
        <w:t xml:space="preserve"> </w:t>
      </w:r>
      <w:r w:rsidR="00F87943">
        <w:rPr>
          <w:color w:val="auto"/>
        </w:rPr>
        <w:t>thermique et notamment le respect</w:t>
      </w:r>
      <w:r w:rsidR="00DA2917">
        <w:rPr>
          <w:color w:val="auto"/>
        </w:rPr>
        <w:t xml:space="preserve"> des dispositions précédentes. </w:t>
      </w:r>
      <w:r w:rsidR="00ED64E5">
        <w:rPr>
          <w:color w:val="auto"/>
        </w:rPr>
        <w:t xml:space="preserve">La </w:t>
      </w:r>
      <w:r w:rsidR="0092545C">
        <w:rPr>
          <w:color w:val="auto"/>
        </w:rPr>
        <w:t>température</w:t>
      </w:r>
      <w:r w:rsidR="00ED64E5">
        <w:rPr>
          <w:color w:val="auto"/>
        </w:rPr>
        <w:t xml:space="preserve"> dans la chambre de combustion et la </w:t>
      </w:r>
      <w:r w:rsidR="0092545C">
        <w:rPr>
          <w:color w:val="auto"/>
        </w:rPr>
        <w:t>concentration</w:t>
      </w:r>
      <w:r w:rsidR="00ED64E5">
        <w:rPr>
          <w:color w:val="auto"/>
        </w:rPr>
        <w:t xml:space="preserve"> en oxygène </w:t>
      </w:r>
      <w:r w:rsidR="0092545C">
        <w:rPr>
          <w:color w:val="auto"/>
        </w:rPr>
        <w:t xml:space="preserve">sont mesurées en </w:t>
      </w:r>
      <w:r w:rsidR="00AD79A9">
        <w:rPr>
          <w:color w:val="auto"/>
        </w:rPr>
        <w:t>permanence</w:t>
      </w:r>
      <w:r w:rsidR="0092545C">
        <w:rPr>
          <w:color w:val="auto"/>
        </w:rPr>
        <w:t xml:space="preserve">. </w:t>
      </w:r>
      <w:r w:rsidR="00AD79A9">
        <w:rPr>
          <w:color w:val="auto"/>
        </w:rPr>
        <w:t xml:space="preserve">Tout écart par rapport aux valeurs de consigne </w:t>
      </w:r>
      <w:r w:rsidR="00FD15D0">
        <w:rPr>
          <w:color w:val="auto"/>
        </w:rPr>
        <w:t>prédéfinies entraîne</w:t>
      </w:r>
      <w:r w:rsidR="000E19CD">
        <w:rPr>
          <w:color w:val="auto"/>
        </w:rPr>
        <w:t>,</w:t>
      </w:r>
      <w:r w:rsidR="00FD15D0">
        <w:rPr>
          <w:color w:val="auto"/>
        </w:rPr>
        <w:t xml:space="preserve"> d’une part le </w:t>
      </w:r>
      <w:r w:rsidR="0063546E">
        <w:rPr>
          <w:color w:val="auto"/>
        </w:rPr>
        <w:t>report</w:t>
      </w:r>
      <w:r w:rsidR="00FD15D0">
        <w:rPr>
          <w:color w:val="auto"/>
        </w:rPr>
        <w:t xml:space="preserve"> </w:t>
      </w:r>
      <w:r w:rsidR="0063546E">
        <w:rPr>
          <w:color w:val="auto"/>
        </w:rPr>
        <w:t>d’une alarme sonore</w:t>
      </w:r>
      <w:r w:rsidR="00383CBF">
        <w:rPr>
          <w:color w:val="auto"/>
        </w:rPr>
        <w:t xml:space="preserve"> et visuelle dans le </w:t>
      </w:r>
      <w:r w:rsidR="006A0AB7">
        <w:rPr>
          <w:color w:val="auto"/>
        </w:rPr>
        <w:t>l</w:t>
      </w:r>
      <w:r w:rsidR="00383CBF">
        <w:rPr>
          <w:color w:val="auto"/>
        </w:rPr>
        <w:t xml:space="preserve">ocal de commande et de surveillance des installations </w:t>
      </w:r>
      <w:r w:rsidR="004E249D">
        <w:rPr>
          <w:color w:val="auto"/>
        </w:rPr>
        <w:t xml:space="preserve">où une </w:t>
      </w:r>
      <w:r w:rsidR="008423E3">
        <w:rPr>
          <w:color w:val="auto"/>
        </w:rPr>
        <w:t>présence</w:t>
      </w:r>
      <w:r w:rsidR="004E249D">
        <w:rPr>
          <w:color w:val="auto"/>
        </w:rPr>
        <w:t xml:space="preserve"> humaine est assurée en </w:t>
      </w:r>
      <w:r w:rsidR="008423E3">
        <w:rPr>
          <w:color w:val="auto"/>
        </w:rPr>
        <w:t>permanence</w:t>
      </w:r>
      <w:r w:rsidR="004E249D">
        <w:rPr>
          <w:color w:val="auto"/>
        </w:rPr>
        <w:t xml:space="preserve"> et</w:t>
      </w:r>
      <w:r w:rsidR="000E19CD">
        <w:rPr>
          <w:color w:val="auto"/>
        </w:rPr>
        <w:t>,</w:t>
      </w:r>
      <w:r w:rsidR="004E249D">
        <w:rPr>
          <w:color w:val="auto"/>
        </w:rPr>
        <w:t xml:space="preserve"> d’autre part, le déclenchement </w:t>
      </w:r>
      <w:r w:rsidR="008423E3">
        <w:rPr>
          <w:color w:val="auto"/>
        </w:rPr>
        <w:t>automatique d’actions de mise en sécurité ou d’actions permettant de revenir à une situation normale.</w:t>
      </w:r>
    </w:p>
    <w:p w14:paraId="68C531F8" w14:textId="01965113" w:rsidR="00097849" w:rsidRDefault="009F3D56" w:rsidP="00F72E86">
      <w:pPr>
        <w:pStyle w:val="Default"/>
        <w:spacing w:after="40"/>
        <w:jc w:val="both"/>
        <w:rPr>
          <w:color w:val="auto"/>
        </w:rPr>
      </w:pPr>
      <w:r>
        <w:rPr>
          <w:color w:val="auto"/>
        </w:rPr>
        <w:t>Lorsqu</w:t>
      </w:r>
      <w:r w:rsidR="00042A0E">
        <w:rPr>
          <w:color w:val="auto"/>
        </w:rPr>
        <w:t>’</w:t>
      </w:r>
      <w:r>
        <w:rPr>
          <w:color w:val="auto"/>
        </w:rPr>
        <w:t>un arrêt intervient en cours d’exploitation ou l</w:t>
      </w:r>
      <w:r w:rsidR="000544B8">
        <w:rPr>
          <w:color w:val="auto"/>
        </w:rPr>
        <w:t xml:space="preserve">orsque la température des gaz </w:t>
      </w:r>
      <w:r w:rsidR="00833B24">
        <w:rPr>
          <w:color w:val="auto"/>
        </w:rPr>
        <w:t xml:space="preserve">de combustion tombe en dessous de </w:t>
      </w:r>
      <w:r w:rsidR="00BE65A8">
        <w:rPr>
          <w:color w:val="auto"/>
        </w:rPr>
        <w:t>la température de consigne</w:t>
      </w:r>
      <w:r w:rsidR="00833B24">
        <w:rPr>
          <w:color w:val="auto"/>
        </w:rPr>
        <w:t xml:space="preserve">, après la dernière injection d’air </w:t>
      </w:r>
      <w:r w:rsidR="00751DB5">
        <w:rPr>
          <w:color w:val="auto"/>
        </w:rPr>
        <w:t>comburant</w:t>
      </w:r>
      <w:r w:rsidR="00784E77">
        <w:rPr>
          <w:color w:val="auto"/>
        </w:rPr>
        <w:t xml:space="preserve"> ou lors des phases de démarrages et d’extinction</w:t>
      </w:r>
      <w:r w:rsidR="0003517A">
        <w:rPr>
          <w:color w:val="auto"/>
        </w:rPr>
        <w:t xml:space="preserve">, du combustible est introduit dans la chambre de combustion </w:t>
      </w:r>
      <w:r w:rsidR="00F72E86">
        <w:rPr>
          <w:color w:val="auto"/>
        </w:rPr>
        <w:t>afin de maintenir les conditions minimales de températures.</w:t>
      </w:r>
    </w:p>
    <w:p w14:paraId="71C95D13" w14:textId="1C7B706B" w:rsidR="00294B42" w:rsidRDefault="00294B42" w:rsidP="00F72E86">
      <w:pPr>
        <w:pStyle w:val="Default"/>
        <w:spacing w:after="40"/>
        <w:jc w:val="both"/>
        <w:rPr>
          <w:color w:val="auto"/>
        </w:rPr>
      </w:pPr>
      <w:r>
        <w:rPr>
          <w:color w:val="auto"/>
        </w:rPr>
        <w:t>L</w:t>
      </w:r>
      <w:r w:rsidR="007751B9">
        <w:rPr>
          <w:color w:val="auto"/>
        </w:rPr>
        <w:t xml:space="preserve">’exploitant procède périodiquement </w:t>
      </w:r>
      <w:r w:rsidR="00E05E10">
        <w:rPr>
          <w:color w:val="auto"/>
        </w:rPr>
        <w:t xml:space="preserve">aux opérations suivantes : </w:t>
      </w:r>
    </w:p>
    <w:p w14:paraId="73C1C1E1" w14:textId="7EB10450" w:rsidR="00E05E10" w:rsidRDefault="007A7FFE" w:rsidP="007A7FFE">
      <w:pPr>
        <w:pStyle w:val="Default"/>
        <w:spacing w:after="40"/>
        <w:jc w:val="both"/>
        <w:rPr>
          <w:color w:val="auto"/>
        </w:rPr>
      </w:pPr>
      <w:r w:rsidRPr="007A7FFE">
        <w:rPr>
          <w:color w:val="auto"/>
        </w:rPr>
        <w:t>-</w:t>
      </w:r>
      <w:r w:rsidR="00142A7A">
        <w:rPr>
          <w:color w:val="auto"/>
        </w:rPr>
        <w:t> </w:t>
      </w:r>
      <w:r w:rsidR="00775A1D">
        <w:rPr>
          <w:color w:val="auto"/>
        </w:rPr>
        <w:t>n</w:t>
      </w:r>
      <w:r w:rsidR="00E05E10">
        <w:rPr>
          <w:color w:val="auto"/>
        </w:rPr>
        <w:t xml:space="preserve">ettoyage des réseaux d’aspiration des gaz odorants et des buées ; </w:t>
      </w:r>
    </w:p>
    <w:p w14:paraId="46498AC2" w14:textId="67FF7D07" w:rsidR="00E05E10" w:rsidRDefault="007A7FFE" w:rsidP="00F72E86">
      <w:pPr>
        <w:pStyle w:val="Default"/>
        <w:spacing w:after="40"/>
        <w:jc w:val="both"/>
        <w:rPr>
          <w:color w:val="auto"/>
        </w:rPr>
      </w:pPr>
      <w:r>
        <w:rPr>
          <w:color w:val="auto"/>
        </w:rPr>
        <w:t>-</w:t>
      </w:r>
      <w:r w:rsidR="00142A7A">
        <w:rPr>
          <w:color w:val="auto"/>
        </w:rPr>
        <w:t> </w:t>
      </w:r>
      <w:r>
        <w:rPr>
          <w:color w:val="auto"/>
        </w:rPr>
        <w:t>c</w:t>
      </w:r>
      <w:r w:rsidR="006B4389">
        <w:rPr>
          <w:color w:val="auto"/>
        </w:rPr>
        <w:t>ontrôle visuel régulier de l’étanchéité des installations de stockage et de transformation des sous</w:t>
      </w:r>
      <w:r w:rsidR="00FB21A4">
        <w:rPr>
          <w:color w:val="auto"/>
        </w:rPr>
        <w:t>-</w:t>
      </w:r>
      <w:r w:rsidR="006B4389">
        <w:rPr>
          <w:color w:val="auto"/>
        </w:rPr>
        <w:t xml:space="preserve">produits animaux </w:t>
      </w:r>
      <w:r w:rsidR="009C0114">
        <w:rPr>
          <w:color w:val="auto"/>
        </w:rPr>
        <w:t>ainsi que des systèmes d’aspiration et de collecte des</w:t>
      </w:r>
      <w:r w:rsidR="00775A1D">
        <w:rPr>
          <w:color w:val="auto"/>
        </w:rPr>
        <w:t xml:space="preserve"> </w:t>
      </w:r>
      <w:r w:rsidR="009C0114">
        <w:rPr>
          <w:color w:val="auto"/>
        </w:rPr>
        <w:t>gaz odorants</w:t>
      </w:r>
      <w:r w:rsidR="006B1C46">
        <w:rPr>
          <w:color w:val="auto"/>
        </w:rPr>
        <w:t xml:space="preserve"> et des buée</w:t>
      </w:r>
      <w:r w:rsidR="006A0AB7">
        <w:rPr>
          <w:color w:val="auto"/>
        </w:rPr>
        <w:t>s</w:t>
      </w:r>
      <w:r w:rsidR="006B1C46">
        <w:rPr>
          <w:color w:val="auto"/>
        </w:rPr>
        <w:t xml:space="preserve"> afin de détecter d’éventuelles fuites</w:t>
      </w:r>
      <w:r w:rsidR="00FC1E4B">
        <w:rPr>
          <w:color w:val="auto"/>
        </w:rPr>
        <w:t xml:space="preserve"> et de</w:t>
      </w:r>
      <w:r w:rsidR="006B1C46">
        <w:rPr>
          <w:color w:val="auto"/>
        </w:rPr>
        <w:t xml:space="preserve"> prévenir </w:t>
      </w:r>
      <w:r w:rsidR="00775A1D">
        <w:rPr>
          <w:color w:val="auto"/>
        </w:rPr>
        <w:t xml:space="preserve">l’émission d’odeur dans l’environnement. </w:t>
      </w:r>
    </w:p>
    <w:p w14:paraId="65758241" w14:textId="1518A582" w:rsidR="00097849" w:rsidRDefault="001C768E" w:rsidP="00220328">
      <w:pPr>
        <w:pStyle w:val="Default"/>
        <w:spacing w:after="40"/>
        <w:jc w:val="both"/>
        <w:rPr>
          <w:color w:val="auto"/>
        </w:rPr>
      </w:pPr>
      <w:r>
        <w:rPr>
          <w:color w:val="auto"/>
        </w:rPr>
        <w:t xml:space="preserve">L’exploitant peut justifier </w:t>
      </w:r>
      <w:r w:rsidR="00411F23">
        <w:rPr>
          <w:color w:val="auto"/>
        </w:rPr>
        <w:t xml:space="preserve">quotidiennement </w:t>
      </w:r>
      <w:r w:rsidR="00171C89">
        <w:rPr>
          <w:color w:val="auto"/>
        </w:rPr>
        <w:t xml:space="preserve">la nature et </w:t>
      </w:r>
      <w:r w:rsidR="00411F23">
        <w:rPr>
          <w:color w:val="auto"/>
        </w:rPr>
        <w:t xml:space="preserve">la quantité de matières traitées, le nombre de </w:t>
      </w:r>
      <w:r w:rsidR="00A9649C">
        <w:rPr>
          <w:color w:val="auto"/>
        </w:rPr>
        <w:t>cuiseurs et d’</w:t>
      </w:r>
      <w:proofErr w:type="spellStart"/>
      <w:r w:rsidR="00A9649C">
        <w:rPr>
          <w:color w:val="auto"/>
        </w:rPr>
        <w:t>oxydateurs</w:t>
      </w:r>
      <w:proofErr w:type="spellEnd"/>
      <w:r w:rsidR="00A9649C">
        <w:rPr>
          <w:color w:val="auto"/>
        </w:rPr>
        <w:t xml:space="preserve"> thermiques en fonctionnement. Les données consignées sont tenues à la disposition de l’inspections des installations classées. </w:t>
      </w:r>
    </w:p>
    <w:p w14:paraId="56975AE1" w14:textId="77777777" w:rsidR="00411F23" w:rsidRPr="00B72F2A" w:rsidRDefault="00411F23" w:rsidP="00220328">
      <w:pPr>
        <w:pStyle w:val="Default"/>
        <w:spacing w:after="40"/>
        <w:jc w:val="both"/>
        <w:rPr>
          <w:color w:val="auto"/>
        </w:rPr>
      </w:pPr>
    </w:p>
    <w:p w14:paraId="72C3F9F8" w14:textId="4F6C669C" w:rsidR="00CD7FB2" w:rsidRPr="00915DEF" w:rsidRDefault="00CD7FB2" w:rsidP="004638C8">
      <w:pPr>
        <w:pStyle w:val="Titre1"/>
      </w:pPr>
      <w:bookmarkStart w:id="44" w:name="_Toc164951613"/>
      <w:bookmarkStart w:id="45" w:name="_Toc164951677"/>
      <w:r w:rsidRPr="00915DEF">
        <w:t>Chapitre IV</w:t>
      </w:r>
      <w:r w:rsidR="0036618F">
        <w:t>. - </w:t>
      </w:r>
      <w:r w:rsidRPr="00915DEF">
        <w:t>Prévention des accidents et des pollutions</w:t>
      </w:r>
      <w:bookmarkEnd w:id="44"/>
      <w:bookmarkEnd w:id="45"/>
    </w:p>
    <w:p w14:paraId="14CE7171" w14:textId="065D08A8" w:rsidR="00490F40" w:rsidRPr="00915DEF" w:rsidRDefault="00490F40" w:rsidP="004638C8">
      <w:pPr>
        <w:pStyle w:val="Titre3"/>
      </w:pPr>
      <w:bookmarkStart w:id="46" w:name="_Toc164951679"/>
      <w:r w:rsidRPr="00915DEF">
        <w:t xml:space="preserve">Article 4.1 </w:t>
      </w:r>
      <w:r w:rsidR="00B20C95">
        <w:t>C</w:t>
      </w:r>
      <w:r w:rsidR="00B1426E" w:rsidRPr="00915DEF">
        <w:t>ondition d’exploitation normale</w:t>
      </w:r>
      <w:bookmarkEnd w:id="46"/>
    </w:p>
    <w:p w14:paraId="68FB542C" w14:textId="057E7760" w:rsidR="00243F11" w:rsidRPr="00AF4B9B" w:rsidRDefault="00243F11" w:rsidP="009117BC">
      <w:pPr>
        <w:jc w:val="both"/>
        <w:rPr>
          <w:szCs w:val="24"/>
        </w:rPr>
      </w:pPr>
      <w:bookmarkStart w:id="47" w:name="_Hlk166246499"/>
      <w:r w:rsidRPr="00AF4B9B">
        <w:rPr>
          <w:szCs w:val="24"/>
        </w:rPr>
        <w:t xml:space="preserve">L’exploitant </w:t>
      </w:r>
      <w:r w:rsidR="004968E5">
        <w:rPr>
          <w:szCs w:val="24"/>
        </w:rPr>
        <w:t>respecte</w:t>
      </w:r>
      <w:r w:rsidRPr="00AF4B9B">
        <w:rPr>
          <w:szCs w:val="24"/>
        </w:rPr>
        <w:t xml:space="preserve"> les dispositions prévues aux sections </w:t>
      </w:r>
      <w:r w:rsidR="005745F8" w:rsidRPr="00AF4B9B">
        <w:rPr>
          <w:szCs w:val="24"/>
        </w:rPr>
        <w:t xml:space="preserve">I, II, </w:t>
      </w:r>
      <w:r w:rsidRPr="00AF4B9B">
        <w:rPr>
          <w:szCs w:val="24"/>
        </w:rPr>
        <w:t>III et VI de l’arrêté du 4 octobre 2010 susvisé</w:t>
      </w:r>
      <w:bookmarkEnd w:id="47"/>
      <w:r w:rsidR="00822260">
        <w:rPr>
          <w:szCs w:val="24"/>
        </w:rPr>
        <w:t xml:space="preserve"> </w:t>
      </w:r>
      <w:bookmarkStart w:id="48" w:name="_Hlk185348118"/>
      <w:r w:rsidR="00822260">
        <w:rPr>
          <w:szCs w:val="24"/>
        </w:rPr>
        <w:t>sous réserve des dispositions du présent arrêté</w:t>
      </w:r>
      <w:r w:rsidRPr="00AF4B9B">
        <w:rPr>
          <w:szCs w:val="24"/>
        </w:rPr>
        <w:t>.</w:t>
      </w:r>
      <w:bookmarkEnd w:id="48"/>
    </w:p>
    <w:p w14:paraId="5DF2E2B9" w14:textId="77777777" w:rsidR="00B72F2A" w:rsidRPr="00915DEF" w:rsidRDefault="00B72F2A" w:rsidP="00243F11">
      <w:pPr>
        <w:rPr>
          <w:b/>
          <w:bCs/>
          <w:szCs w:val="24"/>
        </w:rPr>
      </w:pPr>
    </w:p>
    <w:p w14:paraId="28754DC5" w14:textId="5C39E315" w:rsidR="00981D8B" w:rsidRPr="00915DEF" w:rsidRDefault="00981D8B" w:rsidP="004638C8">
      <w:pPr>
        <w:pStyle w:val="Titre3"/>
      </w:pPr>
      <w:bookmarkStart w:id="49" w:name="_Toc164951680"/>
      <w:r w:rsidRPr="00915DEF">
        <w:t>Article 4.</w:t>
      </w:r>
      <w:r w:rsidR="006B0B6A" w:rsidRPr="00915DEF">
        <w:t>2</w:t>
      </w:r>
      <w:r w:rsidRPr="00915DEF">
        <w:t xml:space="preserve"> </w:t>
      </w:r>
      <w:bookmarkStart w:id="50" w:name="_Hlk167808276"/>
      <w:r w:rsidR="00B72F2A">
        <w:t>C</w:t>
      </w:r>
      <w:r w:rsidR="00A14FF7" w:rsidRPr="00915DEF">
        <w:t>onditions d’exploitation</w:t>
      </w:r>
      <w:r w:rsidR="00FA382A" w:rsidRPr="00915DEF">
        <w:t xml:space="preserve"> autres que normales</w:t>
      </w:r>
      <w:bookmarkEnd w:id="49"/>
      <w:bookmarkEnd w:id="50"/>
    </w:p>
    <w:p w14:paraId="58015AA0" w14:textId="77777777" w:rsidR="004E2B8A" w:rsidRPr="004E2B8A" w:rsidRDefault="004E2B8A" w:rsidP="004E2B8A">
      <w:pPr>
        <w:pStyle w:val="Default"/>
        <w:spacing w:after="40"/>
        <w:jc w:val="both"/>
        <w:rPr>
          <w:color w:val="auto"/>
        </w:rPr>
      </w:pPr>
      <w:r w:rsidRPr="004E2B8A">
        <w:rPr>
          <w:color w:val="auto"/>
        </w:rPr>
        <w:t>L’exploitant réduit la fréquence de survenue de conditions d’exploitation autres que normales et les émissions lors de telles conditions, l’exploitant établit et met en œuvre, dans le cadre du système de management environnemental prévu à l’article 3.4 du présent arrêté, un plan de gestion des conditions d’exploitation autres que normales fondé sur les risques, présentant tous les éléments suivants :</w:t>
      </w:r>
    </w:p>
    <w:p w14:paraId="46FE7E65" w14:textId="7BB0EACF" w:rsidR="004E2B8A" w:rsidRPr="004E2B8A" w:rsidRDefault="004E2B8A" w:rsidP="004E2B8A">
      <w:pPr>
        <w:pStyle w:val="Default"/>
        <w:spacing w:after="40"/>
        <w:jc w:val="both"/>
        <w:rPr>
          <w:color w:val="auto"/>
        </w:rPr>
      </w:pPr>
      <w:r w:rsidRPr="004E2B8A">
        <w:rPr>
          <w:color w:val="auto"/>
        </w:rPr>
        <w:t>1°</w:t>
      </w:r>
      <w:r w:rsidR="004968E5">
        <w:rPr>
          <w:color w:val="auto"/>
        </w:rPr>
        <w:t> </w:t>
      </w:r>
      <w:r w:rsidRPr="004E2B8A">
        <w:rPr>
          <w:color w:val="auto"/>
        </w:rPr>
        <w:t>l’identification des potentielles conditions d’exploitation autres que normales (par exemple, défaillance d’équipements critiques pour la protection de l’environnement, de leurs causes premières et de leurs conséquences potentielles) ;</w:t>
      </w:r>
    </w:p>
    <w:p w14:paraId="2C43D377" w14:textId="4D2D0082" w:rsidR="004E2B8A" w:rsidRPr="004E2B8A" w:rsidRDefault="004E2B8A" w:rsidP="004E2B8A">
      <w:pPr>
        <w:pStyle w:val="Default"/>
        <w:spacing w:after="40"/>
        <w:jc w:val="both"/>
        <w:rPr>
          <w:color w:val="auto"/>
        </w:rPr>
      </w:pPr>
      <w:r w:rsidRPr="004E2B8A">
        <w:rPr>
          <w:color w:val="auto"/>
        </w:rPr>
        <w:t>2°</w:t>
      </w:r>
      <w:r w:rsidR="004968E5">
        <w:rPr>
          <w:color w:val="auto"/>
        </w:rPr>
        <w:t> </w:t>
      </w:r>
      <w:r w:rsidRPr="004E2B8A">
        <w:rPr>
          <w:color w:val="auto"/>
        </w:rPr>
        <w:t>la conception appropriée des équipements critiques (par exemple, installation de traitement des effluents aqueux) ;</w:t>
      </w:r>
    </w:p>
    <w:p w14:paraId="41144FDA" w14:textId="52795810" w:rsidR="004E2B8A" w:rsidRPr="004E2B8A" w:rsidRDefault="004E2B8A" w:rsidP="004E2B8A">
      <w:pPr>
        <w:pStyle w:val="Default"/>
        <w:spacing w:after="40"/>
        <w:jc w:val="both"/>
        <w:rPr>
          <w:color w:val="auto"/>
        </w:rPr>
      </w:pPr>
      <w:r w:rsidRPr="004E2B8A">
        <w:rPr>
          <w:color w:val="auto"/>
        </w:rPr>
        <w:t>3°</w:t>
      </w:r>
      <w:r w:rsidR="004968E5">
        <w:rPr>
          <w:color w:val="auto"/>
        </w:rPr>
        <w:t> </w:t>
      </w:r>
      <w:r w:rsidRPr="004E2B8A">
        <w:rPr>
          <w:color w:val="auto"/>
        </w:rPr>
        <w:t>l’établissement et la mise en œuvre d’un plan d’inspection et d’un programme de maintenance préventive des équipements critiques pour la protection de l’environnement ;</w:t>
      </w:r>
    </w:p>
    <w:p w14:paraId="43482CF2" w14:textId="143439AD" w:rsidR="004E2B8A" w:rsidRPr="004E2B8A" w:rsidRDefault="004E2B8A" w:rsidP="004E2B8A">
      <w:pPr>
        <w:pStyle w:val="Default"/>
        <w:spacing w:after="40"/>
        <w:jc w:val="both"/>
        <w:rPr>
          <w:color w:val="auto"/>
        </w:rPr>
      </w:pPr>
      <w:r w:rsidRPr="004E2B8A">
        <w:rPr>
          <w:color w:val="auto"/>
        </w:rPr>
        <w:t>4°</w:t>
      </w:r>
      <w:r w:rsidR="004968E5">
        <w:rPr>
          <w:color w:val="auto"/>
        </w:rPr>
        <w:t> </w:t>
      </w:r>
      <w:r w:rsidRPr="004E2B8A">
        <w:rPr>
          <w:color w:val="auto"/>
        </w:rPr>
        <w:t>la surveillance (c’est-à-dire estimation et, autant que possible, mesures) et l’enregistrement des émissions lors des conditions d’exploitation autres que normales mentionnant les causes associées ;</w:t>
      </w:r>
    </w:p>
    <w:p w14:paraId="42F11615" w14:textId="32956FD9" w:rsidR="004E2B8A" w:rsidRPr="004E2B8A" w:rsidRDefault="004E2B8A" w:rsidP="004E2B8A">
      <w:pPr>
        <w:pStyle w:val="Default"/>
        <w:spacing w:after="40"/>
        <w:jc w:val="both"/>
        <w:rPr>
          <w:color w:val="auto"/>
        </w:rPr>
      </w:pPr>
      <w:r w:rsidRPr="004E2B8A">
        <w:rPr>
          <w:color w:val="auto"/>
        </w:rPr>
        <w:t>5°</w:t>
      </w:r>
      <w:r w:rsidR="004968E5">
        <w:rPr>
          <w:color w:val="auto"/>
        </w:rPr>
        <w:t> </w:t>
      </w:r>
      <w:r w:rsidRPr="004E2B8A">
        <w:rPr>
          <w:color w:val="auto"/>
        </w:rPr>
        <w:t>l’évaluation périodique des émissions survenant lors des conditions d’exploitation autres que normales (par exemple, fréquence des événements, durée, quantité de polluants émis) et la mise en œuvre de mesures correctives si nécessaire ;</w:t>
      </w:r>
    </w:p>
    <w:p w14:paraId="35E8F91F" w14:textId="125E3F57" w:rsidR="004E2B8A" w:rsidRPr="004E2B8A" w:rsidRDefault="004E2B8A" w:rsidP="004E2B8A">
      <w:pPr>
        <w:pStyle w:val="Default"/>
        <w:spacing w:after="40"/>
        <w:jc w:val="both"/>
        <w:rPr>
          <w:color w:val="auto"/>
        </w:rPr>
      </w:pPr>
      <w:r w:rsidRPr="004E2B8A">
        <w:rPr>
          <w:color w:val="auto"/>
        </w:rPr>
        <w:t>6°</w:t>
      </w:r>
      <w:r w:rsidR="004968E5">
        <w:rPr>
          <w:color w:val="auto"/>
        </w:rPr>
        <w:t> </w:t>
      </w:r>
      <w:r w:rsidRPr="004E2B8A">
        <w:rPr>
          <w:color w:val="auto"/>
        </w:rPr>
        <w:t xml:space="preserve">l’examen et la mise à jour périodique de la liste des conditions d’exploitation autres que normales identifiées au point 1° à la suite de l’évaluation périodique </w:t>
      </w:r>
      <w:r w:rsidR="006B245C">
        <w:rPr>
          <w:color w:val="auto"/>
        </w:rPr>
        <w:t>mentionnées</w:t>
      </w:r>
      <w:r w:rsidRPr="004E2B8A">
        <w:rPr>
          <w:color w:val="auto"/>
        </w:rPr>
        <w:t xml:space="preserve"> au point 5°) ;</w:t>
      </w:r>
    </w:p>
    <w:p w14:paraId="45A9FDC4" w14:textId="0B176BBA" w:rsidR="004E2B8A" w:rsidRPr="004E2B8A" w:rsidRDefault="004E2B8A" w:rsidP="004E2B8A">
      <w:pPr>
        <w:pStyle w:val="Default"/>
        <w:spacing w:after="40"/>
        <w:jc w:val="both"/>
        <w:rPr>
          <w:color w:val="auto"/>
        </w:rPr>
      </w:pPr>
      <w:r w:rsidRPr="004E2B8A">
        <w:rPr>
          <w:color w:val="auto"/>
        </w:rPr>
        <w:t>7°</w:t>
      </w:r>
      <w:r w:rsidR="004968E5">
        <w:rPr>
          <w:color w:val="auto"/>
        </w:rPr>
        <w:t> </w:t>
      </w:r>
      <w:r w:rsidRPr="004E2B8A">
        <w:rPr>
          <w:color w:val="auto"/>
        </w:rPr>
        <w:t>la vérification régulière des systèmes de secours.</w:t>
      </w:r>
    </w:p>
    <w:p w14:paraId="4CE18C5D" w14:textId="0C15BA45" w:rsidR="00B72F2A" w:rsidRDefault="004E2B8A" w:rsidP="004E2B8A">
      <w:pPr>
        <w:pStyle w:val="Default"/>
        <w:spacing w:after="40"/>
        <w:jc w:val="both"/>
        <w:rPr>
          <w:color w:val="auto"/>
        </w:rPr>
      </w:pPr>
      <w:r w:rsidRPr="004E2B8A">
        <w:rPr>
          <w:color w:val="auto"/>
        </w:rPr>
        <w:t>Le niveau de détail et le degré de formalisation du plan de gestion des conditions d’exploitation autres que normales sont, d’une manière générale, en rapport avec la nature, la taille et la complexité de l’unité, ainsi qu’avec ses diverses incidences environnementales possibles.</w:t>
      </w:r>
    </w:p>
    <w:p w14:paraId="38979487" w14:textId="77777777" w:rsidR="004E2B8A" w:rsidRPr="00B72F2A" w:rsidRDefault="004E2B8A" w:rsidP="004E2B8A">
      <w:pPr>
        <w:pStyle w:val="Default"/>
        <w:spacing w:after="40"/>
        <w:jc w:val="both"/>
        <w:rPr>
          <w:color w:val="auto"/>
        </w:rPr>
      </w:pPr>
    </w:p>
    <w:p w14:paraId="1580262F" w14:textId="776825B6" w:rsidR="00B20C95" w:rsidRPr="003B2261" w:rsidRDefault="00B20C95" w:rsidP="00E23EFA">
      <w:pPr>
        <w:pStyle w:val="Titre3"/>
      </w:pPr>
      <w:bookmarkStart w:id="51" w:name="_Hlk167714341"/>
      <w:r w:rsidRPr="003B2261">
        <w:t>Article 4.3 Capacité des rétentions et stockage</w:t>
      </w:r>
    </w:p>
    <w:p w14:paraId="1FABCD38" w14:textId="6B87B6DF" w:rsidR="00B20C95" w:rsidRPr="003B2261" w:rsidRDefault="00B20C95" w:rsidP="00B20C95">
      <w:pPr>
        <w:pStyle w:val="NormalWeb"/>
        <w:spacing w:beforeAutospacing="0" w:after="40" w:line="240" w:lineRule="auto"/>
        <w:jc w:val="both"/>
      </w:pPr>
      <w:bookmarkStart w:id="52" w:name="_Hlk167714350"/>
      <w:bookmarkEnd w:id="51"/>
      <w:r w:rsidRPr="003B2261">
        <w:t>I</w:t>
      </w:r>
      <w:r w:rsidR="004E2B8A">
        <w:t>. - T</w:t>
      </w:r>
      <w:r w:rsidRPr="003B2261">
        <w:t>out stockage d'un liquide susceptible de créer une pollution des eaux ou des sols est associé à une capacité de rétention dont le volume est au moins égal à la plus grande des deux valeurs suivantes :</w:t>
      </w:r>
    </w:p>
    <w:p w14:paraId="1CECB024" w14:textId="55B1E8FE" w:rsidR="00B20C95" w:rsidRPr="003B2261" w:rsidRDefault="00B72F2A" w:rsidP="00B20C95">
      <w:pPr>
        <w:pStyle w:val="NormalWeb"/>
        <w:spacing w:beforeAutospacing="0" w:after="40" w:line="240" w:lineRule="auto"/>
        <w:jc w:val="both"/>
      </w:pPr>
      <w:r>
        <w:t>-</w:t>
      </w:r>
      <w:r w:rsidR="004968E5">
        <w:t> </w:t>
      </w:r>
      <w:r w:rsidR="00B20C95" w:rsidRPr="003B2261">
        <w:t>100</w:t>
      </w:r>
      <w:r w:rsidR="004968E5">
        <w:t> </w:t>
      </w:r>
      <w:r w:rsidR="00B20C95" w:rsidRPr="003B2261">
        <w:t>% de la capacité du plus grand réservoir ;</w:t>
      </w:r>
    </w:p>
    <w:p w14:paraId="3F2E23E7" w14:textId="45740680" w:rsidR="00B20C95" w:rsidRPr="003B2261" w:rsidRDefault="00B72F2A" w:rsidP="00B20C95">
      <w:pPr>
        <w:pStyle w:val="NormalWeb"/>
        <w:spacing w:beforeAutospacing="0" w:after="40" w:line="240" w:lineRule="auto"/>
        <w:jc w:val="both"/>
      </w:pPr>
      <w:r>
        <w:t>-</w:t>
      </w:r>
      <w:r w:rsidR="004968E5">
        <w:t> </w:t>
      </w:r>
      <w:r w:rsidR="00B20C95" w:rsidRPr="003B2261">
        <w:t>50</w:t>
      </w:r>
      <w:r w:rsidR="004968E5">
        <w:t> </w:t>
      </w:r>
      <w:r w:rsidR="00B20C95" w:rsidRPr="003B2261">
        <w:t>% de la capacité totale des réservoirs associés.</w:t>
      </w:r>
    </w:p>
    <w:p w14:paraId="6824320D" w14:textId="0F2A270F" w:rsidR="00B20C95" w:rsidRPr="003B2261" w:rsidRDefault="00B20C95" w:rsidP="00B20C95">
      <w:pPr>
        <w:pStyle w:val="NormalWeb"/>
        <w:spacing w:beforeAutospacing="0" w:after="40" w:line="240" w:lineRule="auto"/>
        <w:jc w:val="both"/>
      </w:pPr>
      <w:r w:rsidRPr="003B2261">
        <w:t>Pour les stockages de récipients de capacité unitaire inférieure ou égale à 250</w:t>
      </w:r>
      <w:r w:rsidR="004968E5">
        <w:t> </w:t>
      </w:r>
      <w:r w:rsidRPr="003B2261">
        <w:t>litres, la capacité de rétention est au moins égale à :</w:t>
      </w:r>
    </w:p>
    <w:p w14:paraId="4FA11475" w14:textId="45E4107D" w:rsidR="00B20C95" w:rsidRPr="003B2261" w:rsidRDefault="00B20C95" w:rsidP="00B20C95">
      <w:pPr>
        <w:pStyle w:val="NormalWeb"/>
        <w:spacing w:beforeAutospacing="0" w:after="40" w:line="240" w:lineRule="auto"/>
        <w:jc w:val="both"/>
      </w:pPr>
      <w:r w:rsidRPr="003B2261">
        <w:t>-</w:t>
      </w:r>
      <w:r w:rsidR="004968E5">
        <w:t> </w:t>
      </w:r>
      <w:r w:rsidRPr="003B2261">
        <w:t>dans le cas des liquides inflammables, à l'exception des lubrifiants, 50</w:t>
      </w:r>
      <w:r w:rsidR="004968E5">
        <w:t> </w:t>
      </w:r>
      <w:r w:rsidRPr="003B2261">
        <w:t>% de la capacité totale des fûts ;</w:t>
      </w:r>
    </w:p>
    <w:p w14:paraId="719AB061" w14:textId="53DC0D73" w:rsidR="00B20C95" w:rsidRPr="003B2261" w:rsidRDefault="00B20C95" w:rsidP="00B20C95">
      <w:pPr>
        <w:pStyle w:val="NormalWeb"/>
        <w:spacing w:beforeAutospacing="0" w:after="40" w:line="240" w:lineRule="auto"/>
        <w:jc w:val="both"/>
      </w:pPr>
      <w:r w:rsidRPr="003B2261">
        <w:t>-</w:t>
      </w:r>
      <w:r w:rsidR="004968E5">
        <w:t> </w:t>
      </w:r>
      <w:r w:rsidRPr="003B2261">
        <w:t>dans les autres cas, 20</w:t>
      </w:r>
      <w:r w:rsidR="004968E5">
        <w:t> </w:t>
      </w:r>
      <w:r w:rsidRPr="003B2261">
        <w:t>% de la capacité totale des fûts ;</w:t>
      </w:r>
    </w:p>
    <w:p w14:paraId="566D7E4F" w14:textId="692DAF3A" w:rsidR="00B20C95" w:rsidRPr="003B2261" w:rsidRDefault="00B20C95" w:rsidP="00B20C95">
      <w:pPr>
        <w:pStyle w:val="NormalWeb"/>
        <w:spacing w:beforeAutospacing="0" w:after="40" w:line="240" w:lineRule="auto"/>
        <w:jc w:val="both"/>
      </w:pPr>
      <w:r w:rsidRPr="003B2261">
        <w:t>-</w:t>
      </w:r>
      <w:r w:rsidR="004968E5">
        <w:t> </w:t>
      </w:r>
      <w:r w:rsidRPr="003B2261">
        <w:t>dans tous les cas 800</w:t>
      </w:r>
      <w:r w:rsidR="004968E5">
        <w:t> </w:t>
      </w:r>
      <w:r w:rsidRPr="003B2261">
        <w:t>litres minimum ou égale à la capacité totale lorsque celle-ci est inférieure à 800</w:t>
      </w:r>
      <w:r w:rsidR="004968E5">
        <w:t> </w:t>
      </w:r>
      <w:r w:rsidRPr="003B2261">
        <w:t>litres.</w:t>
      </w:r>
    </w:p>
    <w:p w14:paraId="41938D51" w14:textId="27DB9DB5" w:rsidR="00B20C95" w:rsidRPr="003B2261" w:rsidRDefault="00B20C95" w:rsidP="00B20C95">
      <w:pPr>
        <w:pStyle w:val="NormalWeb"/>
        <w:spacing w:beforeAutospacing="0" w:after="40" w:line="240" w:lineRule="auto"/>
        <w:jc w:val="both"/>
      </w:pPr>
      <w:r w:rsidRPr="003B2261">
        <w:t>II</w:t>
      </w:r>
      <w:r w:rsidR="004E2B8A">
        <w:t>. - </w:t>
      </w:r>
      <w:r w:rsidRPr="003B2261">
        <w:t>La capacité de rétention est étanche aux produits qu'elle pourrait contenir et résiste à l'action physique et chimique des fluides. Il en est de même pour son dispositif d'obturation qui est maintenu fermé en conditions normales.</w:t>
      </w:r>
    </w:p>
    <w:p w14:paraId="54A1367D" w14:textId="77777777" w:rsidR="00B20C95" w:rsidRPr="003B2261" w:rsidRDefault="00B20C95" w:rsidP="00B20C95">
      <w:pPr>
        <w:pStyle w:val="NormalWeb"/>
        <w:spacing w:beforeAutospacing="0" w:after="40" w:line="240" w:lineRule="auto"/>
        <w:jc w:val="both"/>
      </w:pPr>
      <w:r w:rsidRPr="003B2261">
        <w:t>L'étanchéité du (ou des) réservoir(s) associé(s) peut être contrôlée à tout moment.</w:t>
      </w:r>
    </w:p>
    <w:p w14:paraId="47B43FFD" w14:textId="77777777" w:rsidR="00B20C95" w:rsidRPr="003B2261" w:rsidRDefault="00B20C95" w:rsidP="00B20C95">
      <w:pPr>
        <w:pStyle w:val="NormalWeb"/>
        <w:spacing w:beforeAutospacing="0" w:after="40" w:line="240" w:lineRule="auto"/>
        <w:jc w:val="both"/>
      </w:pPr>
      <w:r w:rsidRPr="003B2261">
        <w:t>Les produits récupérés en cas d'accident ne sont rejetés que dans des conditions conformes au présent arrêté ou sont éliminés comme les déchets.</w:t>
      </w:r>
    </w:p>
    <w:p w14:paraId="690799EF" w14:textId="77777777" w:rsidR="00B20C95" w:rsidRPr="003B2261" w:rsidRDefault="00B20C95" w:rsidP="00B20C95">
      <w:pPr>
        <w:pStyle w:val="NormalWeb"/>
        <w:spacing w:beforeAutospacing="0" w:after="40" w:line="240" w:lineRule="auto"/>
        <w:jc w:val="both"/>
      </w:pPr>
      <w:r w:rsidRPr="003B2261">
        <w:t>Les réservoirs ou récipients contenant des produits incompatibles ne sont pas associés à une même rétention.</w:t>
      </w:r>
    </w:p>
    <w:p w14:paraId="63A95B89" w14:textId="77777777" w:rsidR="00B20C95" w:rsidRPr="003B2261" w:rsidRDefault="00B20C95" w:rsidP="00B20C95">
      <w:pPr>
        <w:pStyle w:val="NormalWeb"/>
        <w:spacing w:beforeAutospacing="0" w:after="40" w:line="240" w:lineRule="auto"/>
        <w:jc w:val="both"/>
      </w:pPr>
      <w:r w:rsidRPr="003B2261">
        <w:t>Le stockage des liquides inflammables, ainsi que des autres produits, toxiques, corrosifs ou dangereux pour l'environnement, n'est autorisé sous le niveau du sol que dans des réservoirs en fosse maçonnée, ou assimilés, et pour les liquides inflammables, dans les conditions énoncées ci-dessus.</w:t>
      </w:r>
    </w:p>
    <w:p w14:paraId="73297E51" w14:textId="6FE0927C" w:rsidR="00B20C95" w:rsidRDefault="00B20C95" w:rsidP="00B20C95">
      <w:pPr>
        <w:pStyle w:val="NormalWeb"/>
        <w:spacing w:beforeAutospacing="0" w:after="40"/>
        <w:jc w:val="both"/>
      </w:pPr>
    </w:p>
    <w:p w14:paraId="4B05136E" w14:textId="33C9769E" w:rsidR="00E23EFA" w:rsidRDefault="00E23EFA" w:rsidP="00E23EFA">
      <w:pPr>
        <w:pStyle w:val="Titre3"/>
      </w:pPr>
      <w:bookmarkStart w:id="53" w:name="_Hlk167714402"/>
      <w:bookmarkEnd w:id="52"/>
      <w:r w:rsidRPr="00DC6AF7">
        <w:t>Article 4.4 Mesures à prendre en cas de pollution accidentelle</w:t>
      </w:r>
    </w:p>
    <w:p w14:paraId="7541FF74" w14:textId="18A83A63" w:rsidR="00E23EFA" w:rsidRPr="003B2261" w:rsidRDefault="00236543" w:rsidP="00E23EFA">
      <w:pPr>
        <w:pStyle w:val="NormalWeb"/>
        <w:spacing w:beforeAutospacing="0" w:after="40"/>
        <w:jc w:val="both"/>
      </w:pPr>
      <w:r>
        <w:t>I</w:t>
      </w:r>
      <w:r w:rsidR="004E2B8A">
        <w:t>. - </w:t>
      </w:r>
      <w:r w:rsidR="00E23EFA" w:rsidRPr="00891814">
        <w:t>L’exploitant évite</w:t>
      </w:r>
      <w:r w:rsidR="00E23EFA" w:rsidRPr="003B2261">
        <w:t xml:space="preserve"> les émissions non maîtrisées dans l’eau. Il prévoit une capacité appropriée de stockage tampon des effluents aqueux produits.</w:t>
      </w:r>
    </w:p>
    <w:p w14:paraId="7FF1F6A7" w14:textId="03D63763" w:rsidR="00E23EFA" w:rsidRPr="003B2261" w:rsidRDefault="00E23EFA" w:rsidP="00E23EFA">
      <w:pPr>
        <w:pStyle w:val="NormalWeb"/>
        <w:spacing w:beforeAutospacing="0" w:after="40"/>
        <w:jc w:val="both"/>
      </w:pPr>
      <w:r w:rsidRPr="003B2261">
        <w:t>La capacité adaptée dédiée au stockage tampon est déterminée par une évaluation des risques (tenant compte de la nature du ou des polluants, de leurs effets sur le traitement ultérieur des effluents aqueux, du milieu récepteur, du volume des effluents aqueux produits, etc.)</w:t>
      </w:r>
      <w:r w:rsidR="00822260">
        <w:t xml:space="preserve"> </w:t>
      </w:r>
      <w:bookmarkStart w:id="54" w:name="_Hlk185348238"/>
      <w:r w:rsidR="00822260">
        <w:t>qui est tenu à la disposition de l’inspection des installations classées</w:t>
      </w:r>
      <w:r w:rsidRPr="003B2261">
        <w:t>.</w:t>
      </w:r>
      <w:bookmarkEnd w:id="54"/>
      <w:r w:rsidRPr="003B2261">
        <w:t xml:space="preserve"> Un réservoir tampon est généralement conçu pour stocker le volume d’effluents aqueux produits pendant plusieurs heures de pointe d’exploitation. Les effluents aqueux contenus dans ce stockage tampon ne sont rejetés qu’après la prise des mesures qui s’imposent (par exemple, surveillance, traitement, réutilisation).</w:t>
      </w:r>
    </w:p>
    <w:p w14:paraId="00906C11" w14:textId="77777777" w:rsidR="00E23EFA" w:rsidRPr="003B2261" w:rsidRDefault="00E23EFA" w:rsidP="00E23EFA">
      <w:pPr>
        <w:pStyle w:val="NormalWeb"/>
        <w:spacing w:beforeAutospacing="0" w:after="40" w:line="240" w:lineRule="auto"/>
        <w:jc w:val="both"/>
      </w:pPr>
      <w:r w:rsidRPr="003B2261">
        <w:t>Dans le cas des installations existantes, la technique peut ne pas être applicable en raison du manque d’espace et/ou de la configuration du système de collecte des effluents aqueux.</w:t>
      </w:r>
    </w:p>
    <w:p w14:paraId="518DAB94" w14:textId="66903F8E" w:rsidR="00236543" w:rsidRDefault="00236543" w:rsidP="008B3A3A">
      <w:pPr>
        <w:pStyle w:val="Default"/>
        <w:spacing w:after="40"/>
        <w:jc w:val="both"/>
      </w:pPr>
    </w:p>
    <w:p w14:paraId="794A5D4C" w14:textId="2FE50AED" w:rsidR="00236543" w:rsidRDefault="00236543" w:rsidP="00236543">
      <w:pPr>
        <w:pStyle w:val="Default"/>
        <w:spacing w:after="40"/>
        <w:jc w:val="both"/>
      </w:pPr>
      <w:r>
        <w:t>II</w:t>
      </w:r>
      <w:r w:rsidR="004E2B8A">
        <w:t>. - </w:t>
      </w:r>
      <w:r>
        <w:t xml:space="preserve">L'installation </w:t>
      </w:r>
      <w:r w:rsidR="000E19CD">
        <w:t xml:space="preserve">est </w:t>
      </w:r>
      <w:r>
        <w:t>équipée d'un bassin de confinement étanche. Ce bassin doit pouvoir recueillir l'ensemble des eaux susceptibles d'être polluées lors d'un accident ou d'un incendie, y compris les eaux utilisées pour l'extinction.</w:t>
      </w:r>
    </w:p>
    <w:p w14:paraId="166CDD3F" w14:textId="77777777" w:rsidR="00236543" w:rsidRDefault="00236543" w:rsidP="00236543">
      <w:pPr>
        <w:pStyle w:val="Default"/>
        <w:spacing w:after="40"/>
        <w:jc w:val="both"/>
      </w:pPr>
      <w:r>
        <w:t>Le volume de ce bassin est déterminé au vu de l'étude de dangers.</w:t>
      </w:r>
    </w:p>
    <w:p w14:paraId="46E32804" w14:textId="5E453C44" w:rsidR="00236543" w:rsidRDefault="00236543" w:rsidP="00236543">
      <w:pPr>
        <w:pStyle w:val="Default"/>
        <w:spacing w:after="40"/>
        <w:jc w:val="both"/>
      </w:pPr>
      <w:r>
        <w:t xml:space="preserve">En l'absence d'éléments justificatifs, une valeur forfaitaire au moins égale à 5 m³ par tonne de farines et graisses stockées est retenue. Les organes de commandes nécessaires à la mise en place de ce bassin doivent pouvoir être actionnés en toutes circonstances, localement et à partir d'un poste de commande. Les eaux recueillies </w:t>
      </w:r>
      <w:r w:rsidR="006B245C">
        <w:t>font</w:t>
      </w:r>
      <w:r>
        <w:t xml:space="preserve"> l'objet d'un traitement conformément aux dispositions de </w:t>
      </w:r>
      <w:r w:rsidRPr="0065789B">
        <w:t xml:space="preserve">l'article </w:t>
      </w:r>
      <w:r w:rsidR="0065789B" w:rsidRPr="0065789B">
        <w:t>5.10</w:t>
      </w:r>
      <w:r w:rsidR="00822260">
        <w:t xml:space="preserve"> du présent arrêté</w:t>
      </w:r>
      <w:r w:rsidR="0065789B">
        <w:t>.</w:t>
      </w:r>
    </w:p>
    <w:p w14:paraId="731D4A74" w14:textId="77777777" w:rsidR="00236543" w:rsidRPr="00915DEF" w:rsidRDefault="00236543" w:rsidP="008B3A3A">
      <w:pPr>
        <w:pStyle w:val="Default"/>
        <w:spacing w:after="40"/>
        <w:jc w:val="both"/>
      </w:pPr>
    </w:p>
    <w:p w14:paraId="60E68A62" w14:textId="1C4F411B" w:rsidR="00354591" w:rsidRPr="00891814" w:rsidRDefault="00354591" w:rsidP="008261CB">
      <w:pPr>
        <w:pStyle w:val="Titre3"/>
        <w:jc w:val="left"/>
      </w:pPr>
      <w:bookmarkStart w:id="55" w:name="_Toc164951683"/>
      <w:bookmarkEnd w:id="53"/>
      <w:r w:rsidRPr="00915DEF">
        <w:t>Article 4.</w:t>
      </w:r>
      <w:r w:rsidR="00236543">
        <w:t>5</w:t>
      </w:r>
      <w:r w:rsidRPr="00915DEF">
        <w:t xml:space="preserve"> Dispositions spécifiques relatives à l’activité d’incinération de cadavres </w:t>
      </w:r>
      <w:r w:rsidRPr="00891814">
        <w:t>d’animaux</w:t>
      </w:r>
      <w:bookmarkEnd w:id="55"/>
      <w:r w:rsidR="008261CB">
        <w:t xml:space="preserve"> </w:t>
      </w:r>
    </w:p>
    <w:p w14:paraId="3EFBC13C" w14:textId="77777777" w:rsidR="00236543" w:rsidRDefault="00236543" w:rsidP="00354591">
      <w:pPr>
        <w:pStyle w:val="Default"/>
        <w:spacing w:after="40"/>
        <w:jc w:val="both"/>
        <w:rPr>
          <w:color w:val="auto"/>
        </w:rPr>
      </w:pPr>
      <w:r>
        <w:rPr>
          <w:color w:val="auto"/>
        </w:rPr>
        <w:t>L</w:t>
      </w:r>
      <w:r w:rsidR="00354591" w:rsidRPr="00891814">
        <w:rPr>
          <w:color w:val="auto"/>
        </w:rPr>
        <w:t>es locaux contenant les incinérateurs sont isolés des locaux adjacents par des parois (murs et planchers) de propriétés REI 120, dont la ou les baies de communication intérieure sont obturées par un ou des blocs REI 60.</w:t>
      </w:r>
    </w:p>
    <w:p w14:paraId="72C311D1" w14:textId="4A050E20" w:rsidR="00891814" w:rsidRPr="00891814" w:rsidRDefault="00354591" w:rsidP="00354591">
      <w:pPr>
        <w:pStyle w:val="Default"/>
        <w:spacing w:after="40"/>
        <w:jc w:val="both"/>
        <w:rPr>
          <w:color w:val="auto"/>
        </w:rPr>
      </w:pPr>
      <w:r w:rsidRPr="00891814">
        <w:rPr>
          <w:color w:val="auto"/>
        </w:rPr>
        <w:t>Les locaux d'incinération ne comprennent que les matériels et matériaux nécessaires au fonctionnement des fours d'incinération. Des dispositifs d'arrêt d'urgence des circuits électriques, d'éclairage et de force motrice des incinérateurs sont placés à l'extérieur des locaux d'incinération et convenablement repérés par des panneaux précisant leur fonction.</w:t>
      </w:r>
    </w:p>
    <w:p w14:paraId="5C51E3A1" w14:textId="77777777" w:rsidR="00891814" w:rsidRPr="00891814" w:rsidRDefault="00354591" w:rsidP="00354591">
      <w:pPr>
        <w:pStyle w:val="Default"/>
        <w:spacing w:after="40"/>
        <w:jc w:val="both"/>
        <w:rPr>
          <w:color w:val="auto"/>
        </w:rPr>
      </w:pPr>
      <w:r w:rsidRPr="00891814">
        <w:rPr>
          <w:color w:val="auto"/>
        </w:rPr>
        <w:t>L'exploitant affiche dans les locaux susceptibles d'être à l'origine d'un incendie des consignes de sécurité afin de prévenir ces incendies, ainsi que les procédures à suivre en cas d'incendie et les modalités d'alerte des services de secours.</w:t>
      </w:r>
    </w:p>
    <w:p w14:paraId="45ED6E00" w14:textId="77777777" w:rsidR="00891814" w:rsidRPr="00891814" w:rsidRDefault="00354591" w:rsidP="00354591">
      <w:pPr>
        <w:pStyle w:val="Default"/>
        <w:spacing w:after="40"/>
        <w:jc w:val="both"/>
        <w:rPr>
          <w:color w:val="auto"/>
        </w:rPr>
      </w:pPr>
      <w:r w:rsidRPr="00891814">
        <w:rPr>
          <w:color w:val="auto"/>
        </w:rPr>
        <w:t>La vanne de coupure d'urgence de l'arrivée du combustible est signalée par des plaques indiquant sa position à l'extérieur du bâtiment.</w:t>
      </w:r>
    </w:p>
    <w:p w14:paraId="1D35FFAE" w14:textId="6052109B" w:rsidR="00891814" w:rsidRPr="00891814" w:rsidRDefault="00354591" w:rsidP="00354591">
      <w:pPr>
        <w:pStyle w:val="Default"/>
        <w:spacing w:after="40"/>
        <w:jc w:val="both"/>
        <w:rPr>
          <w:color w:val="auto"/>
        </w:rPr>
      </w:pPr>
      <w:r w:rsidRPr="00891814">
        <w:rPr>
          <w:color w:val="auto"/>
        </w:rPr>
        <w:t>L'exploitant établit dans l'étude de dangers les fréquences et la nature des contrôles périodiques des installations à réaliser. Ces contrôles portent notamment sur les brûleurs, les canalisations et les dispositifs de stockage de combustible, les dispositifs de prévention des incendies ou des explosions ainsi que sur les appareils de surveillance des rejets. Les rapports de ces contrôles sont mis à la disposition de l'inspection</w:t>
      </w:r>
      <w:r w:rsidR="006B245C">
        <w:rPr>
          <w:color w:val="auto"/>
        </w:rPr>
        <w:t xml:space="preserve"> des installations classées</w:t>
      </w:r>
      <w:r w:rsidRPr="00891814">
        <w:rPr>
          <w:color w:val="auto"/>
        </w:rPr>
        <w:t>.</w:t>
      </w:r>
    </w:p>
    <w:p w14:paraId="4BFDC06C" w14:textId="77777777" w:rsidR="00891814" w:rsidRPr="00891814" w:rsidRDefault="00354591" w:rsidP="00354591">
      <w:pPr>
        <w:pStyle w:val="Default"/>
        <w:spacing w:after="40"/>
        <w:jc w:val="both"/>
        <w:rPr>
          <w:color w:val="auto"/>
        </w:rPr>
      </w:pPr>
      <w:r w:rsidRPr="00891814">
        <w:rPr>
          <w:color w:val="auto"/>
        </w:rPr>
        <w:t>L'exploitant tient à la disposition de l'inspection des installations classées les éléments justifiant que ses installations électriques sont réalisées conformément aux règles en vigueur, entretenues en bon état et vérifiées.</w:t>
      </w:r>
    </w:p>
    <w:p w14:paraId="0757C7D8" w14:textId="3B9E8915" w:rsidR="00354591" w:rsidRPr="00236543" w:rsidRDefault="00354591" w:rsidP="00354591">
      <w:pPr>
        <w:pStyle w:val="Default"/>
        <w:spacing w:after="40"/>
        <w:jc w:val="both"/>
        <w:rPr>
          <w:color w:val="auto"/>
        </w:rPr>
      </w:pPr>
      <w:r w:rsidRPr="00891814">
        <w:rPr>
          <w:color w:val="auto"/>
        </w:rPr>
        <w:t>Les équipements métalliques sont mis à la terre conformément aux règlements et aux normes applicables.</w:t>
      </w:r>
    </w:p>
    <w:p w14:paraId="6AE081FF" w14:textId="77777777" w:rsidR="00354591" w:rsidRPr="00236543" w:rsidRDefault="00354591" w:rsidP="008B3A3A">
      <w:pPr>
        <w:pStyle w:val="Default"/>
        <w:spacing w:after="40"/>
        <w:jc w:val="both"/>
        <w:rPr>
          <w:b/>
          <w:bCs/>
          <w:color w:val="auto"/>
        </w:rPr>
      </w:pPr>
    </w:p>
    <w:p w14:paraId="7B4A50EC" w14:textId="2ADD4028" w:rsidR="00B8747C" w:rsidRPr="00915DEF" w:rsidRDefault="00B8747C" w:rsidP="004638C8">
      <w:pPr>
        <w:pStyle w:val="Titre1"/>
      </w:pPr>
      <w:bookmarkStart w:id="56" w:name="_Toc164951614"/>
      <w:bookmarkStart w:id="57" w:name="_Toc164951703"/>
      <w:r w:rsidRPr="00915DEF">
        <w:t>Chapitre V</w:t>
      </w:r>
      <w:r w:rsidR="0036618F">
        <w:t>. - </w:t>
      </w:r>
      <w:r w:rsidRPr="00915DEF">
        <w:t>Emissions dans l'eau</w:t>
      </w:r>
      <w:bookmarkEnd w:id="56"/>
      <w:bookmarkEnd w:id="57"/>
    </w:p>
    <w:p w14:paraId="039CD767" w14:textId="43D9E1CF" w:rsidR="00B8747C" w:rsidRPr="00915DEF" w:rsidRDefault="00B8747C" w:rsidP="004638C8">
      <w:pPr>
        <w:pStyle w:val="Titre2"/>
      </w:pPr>
      <w:bookmarkStart w:id="58" w:name="_Toc164951704"/>
      <w:r w:rsidRPr="00915DEF">
        <w:t>Section I</w:t>
      </w:r>
      <w:r w:rsidR="0036618F">
        <w:t>. - </w:t>
      </w:r>
      <w:r w:rsidRPr="00915DEF">
        <w:t>Principes généraux</w:t>
      </w:r>
      <w:bookmarkEnd w:id="58"/>
    </w:p>
    <w:p w14:paraId="2B3C5C0B" w14:textId="23766FDB" w:rsidR="00B8747C" w:rsidRPr="00915DEF" w:rsidRDefault="00EE39D1" w:rsidP="004638C8">
      <w:pPr>
        <w:pStyle w:val="Titre3"/>
      </w:pPr>
      <w:r w:rsidRPr="00915DEF">
        <w:t xml:space="preserve">Article 5.1 </w:t>
      </w:r>
      <w:r w:rsidR="00B8747C" w:rsidRPr="00915DEF">
        <w:t>Généralités</w:t>
      </w:r>
    </w:p>
    <w:p w14:paraId="2FAA22EF" w14:textId="1BA91E31" w:rsidR="00354591" w:rsidRPr="00354591" w:rsidRDefault="00354591" w:rsidP="00354591">
      <w:pPr>
        <w:pStyle w:val="Default"/>
        <w:spacing w:after="40"/>
        <w:jc w:val="both"/>
        <w:rPr>
          <w:lang w:eastAsia="fr-FR"/>
        </w:rPr>
      </w:pPr>
      <w:bookmarkStart w:id="59" w:name="_Hlk167720328"/>
      <w:r w:rsidRPr="00354591">
        <w:rPr>
          <w:lang w:eastAsia="fr-FR"/>
        </w:rPr>
        <w:t>L’exploitant prend les dispositions nécessaires</w:t>
      </w:r>
      <w:r w:rsidR="00AD7008">
        <w:rPr>
          <w:lang w:eastAsia="fr-FR"/>
        </w:rPr>
        <w:t>,</w:t>
      </w:r>
      <w:r w:rsidRPr="00354591">
        <w:rPr>
          <w:lang w:eastAsia="fr-FR"/>
        </w:rPr>
        <w:t xml:space="preserve"> dans la conception</w:t>
      </w:r>
      <w:r w:rsidR="00AD7008">
        <w:rPr>
          <w:lang w:eastAsia="fr-FR"/>
        </w:rPr>
        <w:t>,</w:t>
      </w:r>
      <w:r w:rsidRPr="00354591">
        <w:rPr>
          <w:lang w:eastAsia="fr-FR"/>
        </w:rPr>
        <w:t xml:space="preserve"> l’aménagement, l’entretien et l’exploitation des installations</w:t>
      </w:r>
      <w:r w:rsidR="00AD7008">
        <w:rPr>
          <w:lang w:eastAsia="fr-FR"/>
        </w:rPr>
        <w:t>,</w:t>
      </w:r>
      <w:r w:rsidRPr="00354591">
        <w:rPr>
          <w:lang w:eastAsia="fr-FR"/>
        </w:rPr>
        <w:t xml:space="preserve"> pour :</w:t>
      </w:r>
    </w:p>
    <w:p w14:paraId="2D0B039E" w14:textId="71BA374C" w:rsidR="00354591" w:rsidRPr="00354591" w:rsidRDefault="00354591" w:rsidP="00354591">
      <w:pPr>
        <w:pStyle w:val="Default"/>
        <w:spacing w:after="40"/>
        <w:jc w:val="both"/>
        <w:rPr>
          <w:lang w:eastAsia="fr-FR"/>
        </w:rPr>
      </w:pPr>
      <w:r w:rsidRPr="00354591">
        <w:rPr>
          <w:lang w:eastAsia="fr-FR"/>
        </w:rPr>
        <w:t>-</w:t>
      </w:r>
      <w:r w:rsidR="00580069">
        <w:rPr>
          <w:lang w:eastAsia="fr-FR"/>
        </w:rPr>
        <w:t> </w:t>
      </w:r>
      <w:r w:rsidRPr="00354591">
        <w:rPr>
          <w:lang w:eastAsia="fr-FR"/>
        </w:rPr>
        <w:t xml:space="preserve">utiliser de façon efficace, économe et durable la ressource en eau, notamment par le </w:t>
      </w:r>
      <w:r w:rsidR="001E0992" w:rsidRPr="003B2261">
        <w:t>développement</w:t>
      </w:r>
      <w:r w:rsidRPr="00354591">
        <w:rPr>
          <w:lang w:eastAsia="fr-FR"/>
        </w:rPr>
        <w:t xml:space="preserve"> du recyclage, de la réutilisation des eaux usées traitées et de l’utilisation des eaux de pluie en remplacement de l’eau potable ;</w:t>
      </w:r>
    </w:p>
    <w:p w14:paraId="1A96813E" w14:textId="0FE84723" w:rsidR="00354591" w:rsidRPr="00354591" w:rsidRDefault="00354591" w:rsidP="00354591">
      <w:pPr>
        <w:pStyle w:val="Default"/>
        <w:spacing w:after="40"/>
        <w:jc w:val="both"/>
        <w:rPr>
          <w:lang w:eastAsia="fr-FR"/>
        </w:rPr>
      </w:pPr>
      <w:r w:rsidRPr="00354591">
        <w:rPr>
          <w:lang w:eastAsia="fr-FR"/>
        </w:rPr>
        <w:t>-</w:t>
      </w:r>
      <w:r w:rsidR="00580069">
        <w:rPr>
          <w:lang w:eastAsia="fr-FR"/>
        </w:rPr>
        <w:t> </w:t>
      </w:r>
      <w:r w:rsidRPr="00354591">
        <w:rPr>
          <w:lang w:eastAsia="fr-FR"/>
        </w:rPr>
        <w:t>limiter les émissions de polluants dans l’environnement ;</w:t>
      </w:r>
    </w:p>
    <w:p w14:paraId="1AE8EDE2" w14:textId="5CFDCC2D" w:rsidR="00354591" w:rsidRPr="00354591" w:rsidRDefault="00354591" w:rsidP="00354591">
      <w:pPr>
        <w:pStyle w:val="Default"/>
        <w:spacing w:after="40"/>
        <w:jc w:val="both"/>
        <w:rPr>
          <w:lang w:eastAsia="fr-FR"/>
        </w:rPr>
      </w:pPr>
      <w:r w:rsidRPr="00354591">
        <w:rPr>
          <w:lang w:eastAsia="fr-FR"/>
        </w:rPr>
        <w:t>-</w:t>
      </w:r>
      <w:r w:rsidR="00580069">
        <w:rPr>
          <w:lang w:eastAsia="fr-FR"/>
        </w:rPr>
        <w:t> </w:t>
      </w:r>
      <w:r w:rsidRPr="00354591">
        <w:rPr>
          <w:lang w:eastAsia="fr-FR"/>
        </w:rPr>
        <w:t>respecter les valeurs limites d’émissions pour les substances polluantes ;</w:t>
      </w:r>
    </w:p>
    <w:p w14:paraId="74FAC014" w14:textId="0F8EB89C" w:rsidR="00354591" w:rsidRPr="00354591" w:rsidRDefault="00354591" w:rsidP="00354591">
      <w:pPr>
        <w:pStyle w:val="Default"/>
        <w:spacing w:after="40"/>
        <w:jc w:val="both"/>
        <w:rPr>
          <w:lang w:eastAsia="fr-FR"/>
        </w:rPr>
      </w:pPr>
      <w:r w:rsidRPr="00354591">
        <w:rPr>
          <w:lang w:eastAsia="fr-FR"/>
        </w:rPr>
        <w:t>-</w:t>
      </w:r>
      <w:r w:rsidR="00580069">
        <w:rPr>
          <w:lang w:eastAsia="fr-FR"/>
        </w:rPr>
        <w:t> </w:t>
      </w:r>
      <w:r w:rsidRPr="00354591">
        <w:rPr>
          <w:lang w:eastAsia="fr-FR"/>
        </w:rPr>
        <w:t>gérer les effluents et déchets en fonction de leurs caractéristiques, et réduire les quantités rejetées ;</w:t>
      </w:r>
    </w:p>
    <w:p w14:paraId="6936B709" w14:textId="31F1DE1D" w:rsidR="00354591" w:rsidRDefault="00354591" w:rsidP="00354591">
      <w:pPr>
        <w:pStyle w:val="Default"/>
        <w:spacing w:after="40"/>
        <w:jc w:val="both"/>
        <w:rPr>
          <w:lang w:eastAsia="fr-FR"/>
        </w:rPr>
      </w:pPr>
      <w:r w:rsidRPr="00354591">
        <w:rPr>
          <w:lang w:eastAsia="fr-FR"/>
        </w:rPr>
        <w:t>-</w:t>
      </w:r>
      <w:r w:rsidR="00580069">
        <w:rPr>
          <w:lang w:eastAsia="fr-FR"/>
        </w:rPr>
        <w:t> </w:t>
      </w:r>
      <w:r w:rsidRPr="00354591">
        <w:rPr>
          <w:lang w:eastAsia="fr-FR"/>
        </w:rPr>
        <w:t xml:space="preserve">prévenir l’émission, la dissémination ou le déversement, chroniques, directs ou indirects, de matières ou substances qui peuvent présenter des dangers ou inconvénients pour les intérêts </w:t>
      </w:r>
      <w:r w:rsidR="00326660">
        <w:rPr>
          <w:lang w:eastAsia="fr-FR"/>
        </w:rPr>
        <w:t>mentionnés</w:t>
      </w:r>
      <w:r w:rsidR="00326660" w:rsidRPr="00354591">
        <w:rPr>
          <w:lang w:eastAsia="fr-FR"/>
        </w:rPr>
        <w:t xml:space="preserve"> </w:t>
      </w:r>
      <w:r w:rsidRPr="00354591">
        <w:rPr>
          <w:lang w:eastAsia="fr-FR"/>
        </w:rPr>
        <w:t>à l’article L.</w:t>
      </w:r>
      <w:r w:rsidR="00580069">
        <w:rPr>
          <w:lang w:eastAsia="fr-FR"/>
        </w:rPr>
        <w:t> </w:t>
      </w:r>
      <w:r w:rsidRPr="00354591">
        <w:rPr>
          <w:lang w:eastAsia="fr-FR"/>
        </w:rPr>
        <w:t>511-1 du code de l’environnement.</w:t>
      </w:r>
    </w:p>
    <w:p w14:paraId="607BE7EF" w14:textId="77777777" w:rsidR="00236543" w:rsidRPr="00354591" w:rsidRDefault="00236543" w:rsidP="00354591">
      <w:pPr>
        <w:pStyle w:val="Default"/>
        <w:spacing w:after="40"/>
        <w:jc w:val="both"/>
        <w:rPr>
          <w:lang w:eastAsia="fr-FR"/>
        </w:rPr>
      </w:pPr>
    </w:p>
    <w:p w14:paraId="55546684" w14:textId="3208A295" w:rsidR="00B8747C" w:rsidRPr="00915DEF" w:rsidRDefault="00B8747C" w:rsidP="004638C8">
      <w:pPr>
        <w:pStyle w:val="Titre3"/>
      </w:pPr>
      <w:bookmarkStart w:id="60" w:name="_Toc164951705"/>
      <w:bookmarkEnd w:id="59"/>
      <w:r w:rsidRPr="00915DEF">
        <w:t>Article 5.</w:t>
      </w:r>
      <w:r w:rsidR="00EE39D1" w:rsidRPr="00915DEF">
        <w:t>2</w:t>
      </w:r>
      <w:r w:rsidRPr="00915DEF">
        <w:t xml:space="preserve"> Compatibilité avec les objectifs de qualité du milieu</w:t>
      </w:r>
      <w:bookmarkEnd w:id="60"/>
    </w:p>
    <w:p w14:paraId="68982B59" w14:textId="3EDC9FCF" w:rsidR="00354591" w:rsidRPr="0064064D" w:rsidRDefault="00354591" w:rsidP="00354591">
      <w:pPr>
        <w:pStyle w:val="Default"/>
        <w:spacing w:after="40"/>
        <w:jc w:val="both"/>
        <w:rPr>
          <w:color w:val="auto"/>
        </w:rPr>
      </w:pPr>
      <w:bookmarkStart w:id="61" w:name="_Hlk167720372"/>
      <w:r w:rsidRPr="0064064D">
        <w:rPr>
          <w:color w:val="auto"/>
        </w:rPr>
        <w:t>Le rejet respecte les dispositions de l'article 22 d</w:t>
      </w:r>
      <w:r w:rsidR="004968E5">
        <w:rPr>
          <w:color w:val="auto"/>
        </w:rPr>
        <w:t>e l’arrêté du</w:t>
      </w:r>
      <w:r w:rsidRPr="0064064D">
        <w:rPr>
          <w:color w:val="auto"/>
        </w:rPr>
        <w:t xml:space="preserve"> 2 février 1998 susvisé en matière de :</w:t>
      </w:r>
    </w:p>
    <w:p w14:paraId="30C3D458" w14:textId="5780F029" w:rsidR="00354591" w:rsidRPr="0064064D" w:rsidRDefault="00354591" w:rsidP="00354591">
      <w:pPr>
        <w:pStyle w:val="Default"/>
        <w:spacing w:after="40"/>
        <w:jc w:val="both"/>
        <w:rPr>
          <w:color w:val="auto"/>
        </w:rPr>
      </w:pPr>
      <w:r w:rsidRPr="0064064D">
        <w:rPr>
          <w:color w:val="auto"/>
        </w:rPr>
        <w:t>- compatibilité avec le milieu récepteur (I de l’article 22 d</w:t>
      </w:r>
      <w:r w:rsidR="004968E5">
        <w:rPr>
          <w:color w:val="auto"/>
        </w:rPr>
        <w:t>e l’arrêté du</w:t>
      </w:r>
      <w:r w:rsidRPr="0064064D">
        <w:rPr>
          <w:color w:val="auto"/>
        </w:rPr>
        <w:t xml:space="preserve"> 2 février 1998 susvisé) ;</w:t>
      </w:r>
    </w:p>
    <w:p w14:paraId="63B5F3BB" w14:textId="088A45E4" w:rsidR="00354591" w:rsidRPr="0064064D" w:rsidRDefault="00354591" w:rsidP="00354591">
      <w:pPr>
        <w:pStyle w:val="Default"/>
        <w:spacing w:after="40"/>
        <w:jc w:val="both"/>
        <w:rPr>
          <w:color w:val="auto"/>
        </w:rPr>
      </w:pPr>
      <w:r w:rsidRPr="00520317">
        <w:rPr>
          <w:color w:val="auto"/>
        </w:rPr>
        <w:t>- suppression des émissions de substances dangereuses (III de l’article 22 d</w:t>
      </w:r>
      <w:r w:rsidR="004968E5">
        <w:rPr>
          <w:color w:val="auto"/>
        </w:rPr>
        <w:t>e l’arrêté d</w:t>
      </w:r>
      <w:r w:rsidRPr="00520317">
        <w:rPr>
          <w:color w:val="auto"/>
        </w:rPr>
        <w:t>u 2 février 1998 susvisé).</w:t>
      </w:r>
    </w:p>
    <w:p w14:paraId="56543CE0" w14:textId="3BA7EC02" w:rsidR="00354591" w:rsidRPr="0064064D" w:rsidRDefault="00354591" w:rsidP="00354591">
      <w:pPr>
        <w:pStyle w:val="Default"/>
        <w:spacing w:after="40"/>
        <w:jc w:val="both"/>
        <w:rPr>
          <w:color w:val="auto"/>
        </w:rPr>
      </w:pPr>
      <w:r w:rsidRPr="0064064D">
        <w:rPr>
          <w:color w:val="auto"/>
        </w:rPr>
        <w:t xml:space="preserve">Les eaux résiduaires rejetées </w:t>
      </w:r>
      <w:r w:rsidR="00AD7008">
        <w:rPr>
          <w:color w:val="auto"/>
        </w:rPr>
        <w:t>dans le</w:t>
      </w:r>
      <w:r w:rsidRPr="0064064D">
        <w:rPr>
          <w:color w:val="auto"/>
        </w:rPr>
        <w:t xml:space="preserve"> milieu naturel respectent les valeurs limites de concentration </w:t>
      </w:r>
      <w:r w:rsidR="00DD2E08" w:rsidRPr="0064064D">
        <w:rPr>
          <w:color w:val="auto"/>
        </w:rPr>
        <w:t xml:space="preserve">prévue </w:t>
      </w:r>
      <w:r w:rsidR="00DD2E08" w:rsidRPr="0065789B">
        <w:rPr>
          <w:color w:val="auto"/>
        </w:rPr>
        <w:t>à l’article 5.1</w:t>
      </w:r>
      <w:r w:rsidR="0065789B">
        <w:rPr>
          <w:color w:val="auto"/>
        </w:rPr>
        <w:t>4</w:t>
      </w:r>
      <w:r w:rsidRPr="0065789B">
        <w:rPr>
          <w:color w:val="auto"/>
        </w:rPr>
        <w:t xml:space="preserve"> du</w:t>
      </w:r>
      <w:r w:rsidRPr="0064064D">
        <w:rPr>
          <w:color w:val="auto"/>
        </w:rPr>
        <w:t xml:space="preserve"> présent arrêté.</w:t>
      </w:r>
    </w:p>
    <w:p w14:paraId="124EF23E" w14:textId="4573D3ED" w:rsidR="00354591" w:rsidRPr="0064064D" w:rsidRDefault="00354591" w:rsidP="00354591">
      <w:pPr>
        <w:pStyle w:val="Default"/>
        <w:spacing w:after="40"/>
        <w:jc w:val="both"/>
        <w:rPr>
          <w:color w:val="auto"/>
        </w:rPr>
      </w:pPr>
      <w:r w:rsidRPr="0064064D">
        <w:rPr>
          <w:color w:val="auto"/>
        </w:rPr>
        <w:t xml:space="preserve">Dans le cas où le rejet s'effectue dans le même milieu que le milieu de prélèvement, la </w:t>
      </w:r>
      <w:r w:rsidR="00B8747C" w:rsidRPr="0064064D">
        <w:rPr>
          <w:color w:val="auto"/>
        </w:rPr>
        <w:t>conformité</w:t>
      </w:r>
      <w:r w:rsidRPr="0064064D">
        <w:rPr>
          <w:color w:val="auto"/>
        </w:rPr>
        <w:t xml:space="preserve"> du rejet par rapport aux valeurs limites d'émissions pourra être évaluée selon les modalités définies au </w:t>
      </w:r>
      <w:r w:rsidR="00AD7008">
        <w:rPr>
          <w:color w:val="auto"/>
        </w:rPr>
        <w:t>deuxième</w:t>
      </w:r>
      <w:r w:rsidRPr="0064064D">
        <w:rPr>
          <w:color w:val="auto"/>
        </w:rPr>
        <w:t xml:space="preserve"> alinéa de l'article 32 de l'arrêté du 2 février 1998 susvisé.</w:t>
      </w:r>
    </w:p>
    <w:p w14:paraId="4469831D" w14:textId="696130F6" w:rsidR="00EC5552" w:rsidRPr="0064064D" w:rsidRDefault="00EC5552" w:rsidP="00354591">
      <w:pPr>
        <w:pStyle w:val="Default"/>
        <w:spacing w:after="40"/>
        <w:jc w:val="both"/>
        <w:rPr>
          <w:color w:val="auto"/>
        </w:rPr>
      </w:pPr>
    </w:p>
    <w:bookmarkEnd w:id="61"/>
    <w:p w14:paraId="44265A59" w14:textId="77777777" w:rsidR="00354591" w:rsidRPr="0064064D" w:rsidRDefault="00354591" w:rsidP="008B3A3A">
      <w:pPr>
        <w:pStyle w:val="Default"/>
        <w:spacing w:after="40"/>
        <w:jc w:val="both"/>
        <w:rPr>
          <w:b/>
          <w:bCs/>
          <w:color w:val="auto"/>
        </w:rPr>
      </w:pPr>
    </w:p>
    <w:p w14:paraId="6D2CFF38" w14:textId="0C8BB7BA" w:rsidR="00C05657" w:rsidRPr="00915DEF" w:rsidRDefault="00C05657" w:rsidP="004638C8">
      <w:pPr>
        <w:pStyle w:val="Titre2"/>
      </w:pPr>
      <w:bookmarkStart w:id="62" w:name="_Toc164951706"/>
      <w:r w:rsidRPr="00915DEF">
        <w:t>Section II</w:t>
      </w:r>
      <w:r w:rsidR="0036618F">
        <w:t>. - </w:t>
      </w:r>
      <w:r w:rsidRPr="00915DEF">
        <w:t>Prélèvements et consommation d’eau</w:t>
      </w:r>
      <w:bookmarkEnd w:id="62"/>
    </w:p>
    <w:p w14:paraId="1EBF1ADA" w14:textId="77777777" w:rsidR="00354591" w:rsidRPr="009273F7" w:rsidRDefault="00354591" w:rsidP="00354591">
      <w:pPr>
        <w:pStyle w:val="Titre3"/>
      </w:pPr>
      <w:bookmarkStart w:id="63" w:name="_Hlk167720461"/>
      <w:bookmarkStart w:id="64" w:name="_Toc164951709"/>
      <w:r w:rsidRPr="009273F7">
        <w:t>Article 5.</w:t>
      </w:r>
      <w:r>
        <w:t>3</w:t>
      </w:r>
      <w:r w:rsidRPr="009273F7">
        <w:t xml:space="preserve"> Prélèvement d’eau</w:t>
      </w:r>
    </w:p>
    <w:p w14:paraId="2475E1FB" w14:textId="459DC011" w:rsidR="00354591" w:rsidRDefault="00A119D4" w:rsidP="00354591">
      <w:pPr>
        <w:pStyle w:val="NormalWeb"/>
        <w:spacing w:beforeAutospacing="0" w:after="40" w:line="240" w:lineRule="auto"/>
        <w:jc w:val="both"/>
      </w:pPr>
      <w:bookmarkStart w:id="65" w:name="_Hlk185431173"/>
      <w:r>
        <w:t>Pour</w:t>
      </w:r>
      <w:r w:rsidR="001917F7">
        <w:t xml:space="preserve"> l</w:t>
      </w:r>
      <w:r w:rsidR="00AD7008">
        <w:t>’usage économe de la ressource en eau</w:t>
      </w:r>
      <w:r w:rsidR="001917F7">
        <w:t xml:space="preserve">, </w:t>
      </w:r>
      <w:bookmarkEnd w:id="65"/>
      <w:r w:rsidR="001917F7">
        <w:t>l</w:t>
      </w:r>
      <w:r w:rsidR="00354591" w:rsidRPr="00114BAA">
        <w:t>’exploitant respecte les dispositions des article</w:t>
      </w:r>
      <w:r w:rsidR="0064064D">
        <w:t>s</w:t>
      </w:r>
      <w:r w:rsidR="00354591" w:rsidRPr="00114BAA">
        <w:t xml:space="preserve"> 14 et 15 de l’arrêté du 2 février 1998 susvisé.</w:t>
      </w:r>
    </w:p>
    <w:p w14:paraId="596B2A48" w14:textId="77777777" w:rsidR="00354591" w:rsidRDefault="00354591" w:rsidP="00354591">
      <w:pPr>
        <w:pStyle w:val="NormalWeb"/>
        <w:spacing w:beforeAutospacing="0" w:after="40" w:line="240" w:lineRule="auto"/>
        <w:jc w:val="both"/>
      </w:pPr>
    </w:p>
    <w:p w14:paraId="7F41ECA9" w14:textId="77777777" w:rsidR="00354591" w:rsidRPr="009273F7" w:rsidRDefault="00354591" w:rsidP="00354591">
      <w:pPr>
        <w:pStyle w:val="Titre3"/>
      </w:pPr>
      <w:r w:rsidRPr="009273F7">
        <w:t>Article 5.</w:t>
      </w:r>
      <w:r>
        <w:t>4</w:t>
      </w:r>
      <w:r w:rsidRPr="009273F7">
        <w:t xml:space="preserve"> Ouvrages de prélèvements</w:t>
      </w:r>
    </w:p>
    <w:p w14:paraId="1F210DCD" w14:textId="4FDE2843" w:rsidR="00354591" w:rsidRDefault="00A119D4" w:rsidP="00354591">
      <w:pPr>
        <w:pStyle w:val="NormalWeb"/>
        <w:spacing w:beforeAutospacing="0" w:after="40" w:line="240" w:lineRule="auto"/>
        <w:jc w:val="both"/>
      </w:pPr>
      <w:bookmarkStart w:id="66" w:name="_Hlk185431185"/>
      <w:r>
        <w:t>Pour</w:t>
      </w:r>
      <w:r w:rsidR="00AD7008">
        <w:t xml:space="preserve"> le bon fonctionnement des dispositifs de</w:t>
      </w:r>
      <w:r w:rsidR="001917F7">
        <w:t xml:space="preserve"> prélèvement</w:t>
      </w:r>
      <w:r w:rsidR="00AD7008">
        <w:t xml:space="preserve"> d’eau</w:t>
      </w:r>
      <w:r w:rsidR="001917F7">
        <w:t xml:space="preserve">, </w:t>
      </w:r>
      <w:bookmarkEnd w:id="66"/>
      <w:r w:rsidR="001917F7">
        <w:t>l</w:t>
      </w:r>
      <w:r w:rsidR="00354591" w:rsidRPr="00114BAA">
        <w:t>’exploitant respecte les dispositions des article</w:t>
      </w:r>
      <w:r w:rsidR="0064064D">
        <w:t>s</w:t>
      </w:r>
      <w:r w:rsidR="00354591" w:rsidRPr="00114BAA">
        <w:t xml:space="preserve"> 16 et 17 de l’arrêté du 2 février 1998 susvisé.</w:t>
      </w:r>
    </w:p>
    <w:p w14:paraId="1452C903" w14:textId="77777777" w:rsidR="006A0C58" w:rsidRDefault="006A0C58" w:rsidP="00354591">
      <w:pPr>
        <w:pStyle w:val="NormalWeb"/>
        <w:spacing w:beforeAutospacing="0" w:after="40" w:line="240" w:lineRule="auto"/>
        <w:jc w:val="both"/>
      </w:pPr>
    </w:p>
    <w:p w14:paraId="0FDE73F6" w14:textId="092AEC5A" w:rsidR="00B4446F" w:rsidRPr="00915DEF" w:rsidRDefault="00B4446F" w:rsidP="00B4446F">
      <w:pPr>
        <w:pStyle w:val="Titre3"/>
      </w:pPr>
      <w:bookmarkStart w:id="67" w:name="_Toc164951710"/>
      <w:bookmarkEnd w:id="63"/>
      <w:bookmarkEnd w:id="64"/>
      <w:r w:rsidRPr="00915DEF">
        <w:t>Article 5.5 Utilisation efficace, économe et durable de la ressource en eau</w:t>
      </w:r>
    </w:p>
    <w:p w14:paraId="64136601" w14:textId="6CAE1BBA" w:rsidR="00B4446F" w:rsidRPr="00114BAA" w:rsidRDefault="00B4446F" w:rsidP="00B4446F">
      <w:pPr>
        <w:pStyle w:val="NormalWeb"/>
        <w:spacing w:beforeAutospacing="0" w:after="40" w:line="240" w:lineRule="auto"/>
        <w:jc w:val="both"/>
      </w:pPr>
      <w:r w:rsidRPr="00114BAA">
        <w:t>I</w:t>
      </w:r>
      <w:r w:rsidR="004E2B8A">
        <w:t>. - </w:t>
      </w:r>
      <w:r w:rsidRPr="00114BAA">
        <w:t>Les niveaux de performance environnementale liés au</w:t>
      </w:r>
      <w:r>
        <w:t>x</w:t>
      </w:r>
      <w:r w:rsidRPr="00114BAA">
        <w:t xml:space="preserve"> rejet</w:t>
      </w:r>
      <w:r>
        <w:t>s</w:t>
      </w:r>
      <w:r w:rsidRPr="00114BAA">
        <w:t xml:space="preserve"> spécifique</w:t>
      </w:r>
      <w:r>
        <w:t>s</w:t>
      </w:r>
      <w:r w:rsidRPr="00114BAA">
        <w:t xml:space="preserve"> d’effluents aqueux correspondent à des moyennes annuelles et sont calculés à l’aide de l’équation suivante : </w:t>
      </w:r>
    </w:p>
    <w:p w14:paraId="573D12B2" w14:textId="77777777" w:rsidR="00B4446F" w:rsidRDefault="00B4446F" w:rsidP="00B4446F">
      <w:pPr>
        <w:pStyle w:val="NormalWeb"/>
        <w:spacing w:beforeAutospacing="0" w:after="40" w:line="240" w:lineRule="auto"/>
        <w:jc w:val="both"/>
      </w:pPr>
    </w:p>
    <w:p w14:paraId="4BEF503A" w14:textId="11296BCB" w:rsidR="00817FD1" w:rsidRPr="00817FD1" w:rsidRDefault="00817FD1" w:rsidP="00B4446F">
      <w:pPr>
        <w:pStyle w:val="NormalWeb"/>
        <w:spacing w:beforeAutospacing="0" w:after="40" w:line="240" w:lineRule="auto"/>
        <w:jc w:val="both"/>
        <w:rPr>
          <w:rFonts w:ascii="Cambria Math" w:hAnsi="Cambria Math"/>
        </w:rPr>
      </w:pPr>
      <m:oMathPara>
        <m:oMath>
          <m:r>
            <m:rPr>
              <m:sty m:val="p"/>
            </m:rPr>
            <w:rPr>
              <w:rFonts w:ascii="Cambria Math" w:hAnsi="Cambria Math"/>
            </w:rPr>
            <m:t>Rejets spécifiques d’effluents aqueux=</m:t>
          </m:r>
          <m:f>
            <m:fPr>
              <m:ctrlPr>
                <w:rPr>
                  <w:rFonts w:ascii="Cambria Math" w:hAnsi="Cambria Math"/>
                </w:rPr>
              </m:ctrlPr>
            </m:fPr>
            <m:num>
              <m:r>
                <m:rPr>
                  <m:sty m:val="p"/>
                </m:rPr>
                <w:rPr>
                  <w:rFonts w:ascii="Cambria Math" w:hAnsi="Cambria Math"/>
                </w:rPr>
                <m:t>Rejet d’effluents aqueux</m:t>
              </m:r>
            </m:num>
            <m:den>
              <m:r>
                <m:rPr>
                  <m:sty m:val="p"/>
                </m:rPr>
                <w:rPr>
                  <w:rFonts w:ascii="Cambria Math" w:hAnsi="Cambria Math"/>
                </w:rPr>
                <m:t>Niveau d’activité</m:t>
              </m:r>
            </m:den>
          </m:f>
        </m:oMath>
      </m:oMathPara>
    </w:p>
    <w:p w14:paraId="07CB9236" w14:textId="28BA96B7" w:rsidR="00905FAD" w:rsidRDefault="00817FD1" w:rsidP="00B4446F">
      <w:pPr>
        <w:pStyle w:val="NormalWeb"/>
        <w:spacing w:beforeAutospacing="0" w:after="40" w:line="240" w:lineRule="auto"/>
        <w:jc w:val="both"/>
      </w:pPr>
      <m:oMathPara>
        <m:oMath>
          <m:r>
            <m:rPr>
              <m:sty m:val="p"/>
            </m:rPr>
            <w:rPr>
              <w:rFonts w:ascii="Cambria Math"/>
            </w:rPr>
            <m:t xml:space="preserve"> </m:t>
          </m:r>
        </m:oMath>
      </m:oMathPara>
    </w:p>
    <w:p w14:paraId="64125688" w14:textId="77777777" w:rsidR="00B4446F" w:rsidRPr="00114BAA" w:rsidRDefault="00B4446F" w:rsidP="00B4446F">
      <w:pPr>
        <w:pStyle w:val="NormalWeb"/>
        <w:spacing w:beforeAutospacing="0" w:after="40" w:line="240" w:lineRule="auto"/>
        <w:jc w:val="both"/>
      </w:pPr>
      <w:r>
        <w:t>dans laquelle :</w:t>
      </w:r>
    </w:p>
    <w:p w14:paraId="2E8E8BE7" w14:textId="18BB753F" w:rsidR="00B4446F" w:rsidRPr="00114BAA" w:rsidRDefault="00B4446F" w:rsidP="00B4446F">
      <w:pPr>
        <w:pStyle w:val="NormalWeb"/>
        <w:spacing w:beforeAutospacing="0" w:after="40" w:line="240" w:lineRule="auto"/>
        <w:jc w:val="both"/>
      </w:pPr>
      <w:r w:rsidRPr="00114BAA">
        <w:t>-</w:t>
      </w:r>
      <w:r w:rsidR="004968E5">
        <w:t> </w:t>
      </w:r>
      <w:r>
        <w:t>R</w:t>
      </w:r>
      <w:r w:rsidRPr="00114BAA">
        <w:t xml:space="preserve">ejet </w:t>
      </w:r>
      <w:r w:rsidR="00817FD1">
        <w:t xml:space="preserve">spécifiques </w:t>
      </w:r>
      <w:r w:rsidRPr="00114BAA">
        <w:t>d’effluents aqueux</w:t>
      </w:r>
      <w:r>
        <w:t xml:space="preserve"> désigne la</w:t>
      </w:r>
      <w:r w:rsidRPr="00114BAA">
        <w:t xml:space="preserve"> quantité totale d’effluents aqueux rejetée (rejets directs, indirects et/ou épandage) par les procédés spécifiques concernés, exprimée en m</w:t>
      </w:r>
      <w:r w:rsidRPr="00FA2143">
        <w:rPr>
          <w:vertAlign w:val="superscript"/>
        </w:rPr>
        <w:t>3</w:t>
      </w:r>
      <w:r w:rsidRPr="00114BAA">
        <w:t>/an, à l’exclusion de l’eau des systèmes de refroidissement et des eaux de ruissellement qui sont rejetées séparément ;</w:t>
      </w:r>
      <w:r w:rsidR="00817FD1">
        <w:t xml:space="preserve"> </w:t>
      </w:r>
    </w:p>
    <w:p w14:paraId="2D99F75C" w14:textId="6A8DC2BB" w:rsidR="00B4446F" w:rsidRDefault="00B4446F" w:rsidP="00B4446F">
      <w:pPr>
        <w:pStyle w:val="NormalWeb"/>
        <w:spacing w:beforeAutospacing="0" w:after="40" w:line="240" w:lineRule="auto"/>
        <w:jc w:val="both"/>
      </w:pPr>
      <w:r w:rsidRPr="00114BAA">
        <w:t>-</w:t>
      </w:r>
      <w:r w:rsidR="004968E5">
        <w:t> </w:t>
      </w:r>
      <w:r>
        <w:t>N</w:t>
      </w:r>
      <w:r w:rsidRPr="00114BAA">
        <w:t>iveau d’activité</w:t>
      </w:r>
      <w:r>
        <w:t xml:space="preserve"> désigne la</w:t>
      </w:r>
      <w:r w:rsidRPr="00114BAA">
        <w:t xml:space="preserve"> quantité totale de produits ou de matières premières traitée, exprimée en tonnes </w:t>
      </w:r>
      <w:r w:rsidR="00192A9C" w:rsidRPr="00192A9C">
        <w:t>de matières premières par an pour les installations de transformation des sous- produits animaux et/ou des coproduits alimentaires</w:t>
      </w:r>
      <w:r w:rsidRPr="00114BAA">
        <w:t xml:space="preserve">. </w:t>
      </w:r>
    </w:p>
    <w:p w14:paraId="06B3411E" w14:textId="77777777" w:rsidR="00B4446F" w:rsidRPr="004B571A" w:rsidRDefault="00B4446F" w:rsidP="00B4446F">
      <w:pPr>
        <w:suppressAutoHyphens w:val="0"/>
        <w:spacing w:after="40"/>
        <w:jc w:val="both"/>
        <w:textAlignment w:val="auto"/>
      </w:pPr>
    </w:p>
    <w:p w14:paraId="0E4541EA" w14:textId="53EA8345" w:rsidR="00581B2D" w:rsidRDefault="00B4446F" w:rsidP="00B4446F">
      <w:pPr>
        <w:spacing w:after="40"/>
        <w:jc w:val="both"/>
        <w:textAlignment w:val="auto"/>
        <w:rPr>
          <w:kern w:val="0"/>
          <w:szCs w:val="24"/>
          <w:lang w:eastAsia="fr-FR"/>
        </w:rPr>
      </w:pPr>
      <w:r w:rsidRPr="004B571A">
        <w:rPr>
          <w:kern w:val="0"/>
          <w:szCs w:val="24"/>
          <w:lang w:eastAsia="fr-FR"/>
        </w:rPr>
        <w:t>II</w:t>
      </w:r>
      <w:r w:rsidR="0036618F">
        <w:t>. - </w:t>
      </w:r>
      <w:r w:rsidR="00581B2D">
        <w:rPr>
          <w:kern w:val="0"/>
          <w:szCs w:val="24"/>
          <w:lang w:eastAsia="fr-FR"/>
        </w:rPr>
        <w:t>L</w:t>
      </w:r>
      <w:r w:rsidRPr="004B571A">
        <w:rPr>
          <w:kern w:val="0"/>
          <w:szCs w:val="24"/>
          <w:lang w:eastAsia="fr-FR"/>
        </w:rPr>
        <w:t>'exploitant respecte le niveau de performance environnementale de</w:t>
      </w:r>
      <w:r w:rsidR="00581B2D">
        <w:rPr>
          <w:kern w:val="0"/>
          <w:szCs w:val="24"/>
          <w:lang w:eastAsia="fr-FR"/>
        </w:rPr>
        <w:t xml:space="preserve"> : </w:t>
      </w:r>
    </w:p>
    <w:p w14:paraId="686AD755" w14:textId="66BACB6D" w:rsidR="00581B2D" w:rsidRDefault="00581B2D" w:rsidP="00B4446F">
      <w:pPr>
        <w:spacing w:after="40"/>
        <w:jc w:val="both"/>
        <w:textAlignment w:val="auto"/>
        <w:rPr>
          <w:kern w:val="0"/>
          <w:szCs w:val="24"/>
          <w:lang w:eastAsia="fr-FR"/>
        </w:rPr>
      </w:pPr>
      <w:r>
        <w:rPr>
          <w:kern w:val="0"/>
          <w:szCs w:val="24"/>
          <w:lang w:eastAsia="fr-FR"/>
        </w:rPr>
        <w:t>- </w:t>
      </w:r>
      <w:r w:rsidR="00B4446F" w:rsidRPr="004B571A">
        <w:rPr>
          <w:kern w:val="0"/>
          <w:szCs w:val="24"/>
          <w:lang w:eastAsia="fr-FR"/>
        </w:rPr>
        <w:t>1,55</w:t>
      </w:r>
      <w:r w:rsidR="00DC5683">
        <w:rPr>
          <w:kern w:val="0"/>
          <w:szCs w:val="24"/>
          <w:lang w:eastAsia="fr-FR"/>
        </w:rPr>
        <w:t> </w:t>
      </w:r>
      <w:r w:rsidR="0075350B" w:rsidRPr="00114BAA">
        <w:t>m</w:t>
      </w:r>
      <w:r w:rsidR="0075350B" w:rsidRPr="00FA2143">
        <w:rPr>
          <w:vertAlign w:val="superscript"/>
        </w:rPr>
        <w:t>3</w:t>
      </w:r>
      <w:r w:rsidR="00B4446F" w:rsidRPr="004B571A">
        <w:rPr>
          <w:kern w:val="0"/>
          <w:szCs w:val="24"/>
          <w:lang w:eastAsia="fr-FR"/>
        </w:rPr>
        <w:t>/tonne de matières premières</w:t>
      </w:r>
      <w:r w:rsidR="00DD23B4">
        <w:rPr>
          <w:kern w:val="0"/>
          <w:szCs w:val="24"/>
          <w:lang w:eastAsia="fr-FR"/>
        </w:rPr>
        <w:t xml:space="preserve"> pour les activités de t</w:t>
      </w:r>
      <w:r w:rsidR="00DD23B4" w:rsidRPr="00DD23B4">
        <w:rPr>
          <w:kern w:val="0"/>
          <w:szCs w:val="24"/>
          <w:lang w:eastAsia="fr-FR"/>
        </w:rPr>
        <w:t>ransformation de sous-produits animaux, fonte des graisses, traitement du sang et/ou des plumes</w:t>
      </w:r>
      <w:r w:rsidR="00DD23B4">
        <w:rPr>
          <w:kern w:val="0"/>
          <w:szCs w:val="24"/>
          <w:lang w:eastAsia="fr-FR"/>
        </w:rPr>
        <w:t xml:space="preserve"> </w:t>
      </w:r>
    </w:p>
    <w:p w14:paraId="25D5D452" w14:textId="51173AE4" w:rsidR="00B4446F" w:rsidRDefault="00581B2D" w:rsidP="00B4446F">
      <w:pPr>
        <w:spacing w:after="40"/>
        <w:jc w:val="both"/>
        <w:textAlignment w:val="auto"/>
        <w:rPr>
          <w:kern w:val="0"/>
          <w:szCs w:val="24"/>
          <w:lang w:eastAsia="fr-FR"/>
        </w:rPr>
      </w:pPr>
      <w:r>
        <w:rPr>
          <w:kern w:val="0"/>
          <w:szCs w:val="24"/>
          <w:lang w:eastAsia="fr-FR"/>
        </w:rPr>
        <w:t xml:space="preserve">-  </w:t>
      </w:r>
      <w:r w:rsidR="00DD23B4" w:rsidRPr="004B571A">
        <w:rPr>
          <w:kern w:val="0"/>
          <w:szCs w:val="24"/>
          <w:lang w:eastAsia="fr-FR"/>
        </w:rPr>
        <w:t>1,</w:t>
      </w:r>
      <w:r w:rsidR="00DD23B4">
        <w:rPr>
          <w:kern w:val="0"/>
          <w:szCs w:val="24"/>
          <w:lang w:eastAsia="fr-FR"/>
        </w:rPr>
        <w:t>2</w:t>
      </w:r>
      <w:r w:rsidR="00DD23B4" w:rsidRPr="004B571A">
        <w:rPr>
          <w:kern w:val="0"/>
          <w:szCs w:val="24"/>
          <w:lang w:eastAsia="fr-FR"/>
        </w:rPr>
        <w:t>5</w:t>
      </w:r>
      <w:r w:rsidR="00DC5683">
        <w:rPr>
          <w:kern w:val="0"/>
          <w:szCs w:val="24"/>
          <w:lang w:eastAsia="fr-FR"/>
        </w:rPr>
        <w:t> </w:t>
      </w:r>
      <w:r w:rsidR="0075350B" w:rsidRPr="00114BAA">
        <w:t>m</w:t>
      </w:r>
      <w:r w:rsidR="0075350B" w:rsidRPr="00FA2143">
        <w:rPr>
          <w:vertAlign w:val="superscript"/>
        </w:rPr>
        <w:t>3</w:t>
      </w:r>
      <w:r w:rsidR="00DD23B4" w:rsidRPr="004B571A">
        <w:rPr>
          <w:kern w:val="0"/>
          <w:szCs w:val="24"/>
          <w:lang w:eastAsia="fr-FR"/>
        </w:rPr>
        <w:t>/tonne de matières premières</w:t>
      </w:r>
      <w:r w:rsidR="00DD23B4">
        <w:rPr>
          <w:kern w:val="0"/>
          <w:szCs w:val="24"/>
          <w:lang w:eastAsia="fr-FR"/>
        </w:rPr>
        <w:t xml:space="preserve"> pour les activités de p</w:t>
      </w:r>
      <w:r w:rsidR="00DD23B4" w:rsidRPr="00DD23B4">
        <w:rPr>
          <w:kern w:val="0"/>
          <w:szCs w:val="24"/>
          <w:lang w:eastAsia="fr-FR"/>
        </w:rPr>
        <w:t>roduction de farine et d’huile de poisson</w:t>
      </w:r>
      <w:r w:rsidR="00DD23B4">
        <w:rPr>
          <w:kern w:val="0"/>
          <w:szCs w:val="24"/>
          <w:lang w:eastAsia="fr-FR"/>
        </w:rPr>
        <w:t>.</w:t>
      </w:r>
    </w:p>
    <w:p w14:paraId="0ABAE9B2" w14:textId="3FA3FFE5" w:rsidR="00ED5DCA" w:rsidRPr="004B571A" w:rsidRDefault="00ED5DCA" w:rsidP="00B4446F">
      <w:pPr>
        <w:spacing w:after="40"/>
        <w:jc w:val="both"/>
        <w:textAlignment w:val="auto"/>
        <w:rPr>
          <w:kern w:val="0"/>
          <w:szCs w:val="24"/>
          <w:lang w:eastAsia="fr-FR"/>
        </w:rPr>
      </w:pPr>
      <w:r w:rsidRPr="00ED5DCA">
        <w:rPr>
          <w:szCs w:val="24"/>
          <w:lang w:eastAsia="fr-FR"/>
        </w:rPr>
        <w:t>L’exploitant tient à la disposition de l’inspection des installations classées les éléments et justificatifs permettant de démontrer le respect des niveaux de performance atteints.</w:t>
      </w:r>
    </w:p>
    <w:p w14:paraId="173F1F04" w14:textId="77777777" w:rsidR="00B4446F" w:rsidRPr="004B571A" w:rsidRDefault="00B4446F" w:rsidP="00B4446F">
      <w:pPr>
        <w:jc w:val="both"/>
        <w:rPr>
          <w:szCs w:val="24"/>
          <w:lang w:eastAsia="fr-FR"/>
        </w:rPr>
      </w:pPr>
    </w:p>
    <w:p w14:paraId="6B958C08" w14:textId="34179FB5" w:rsidR="00B4446F" w:rsidRDefault="00B4446F" w:rsidP="00B4446F">
      <w:pPr>
        <w:jc w:val="both"/>
        <w:rPr>
          <w:szCs w:val="24"/>
          <w:lang w:eastAsia="fr-FR"/>
        </w:rPr>
      </w:pPr>
      <w:r w:rsidRPr="004B571A">
        <w:rPr>
          <w:szCs w:val="24"/>
          <w:lang w:eastAsia="fr-FR"/>
        </w:rPr>
        <w:t>III</w:t>
      </w:r>
      <w:r w:rsidR="0036618F">
        <w:t>. - </w:t>
      </w:r>
      <w:r w:rsidRPr="004B571A">
        <w:rPr>
          <w:szCs w:val="24"/>
          <w:lang w:eastAsia="fr-FR"/>
        </w:rPr>
        <w:t xml:space="preserve">Le préfet peut fixer une valeur différente que celle prévue au II </w:t>
      </w:r>
      <w:r w:rsidR="007828F3">
        <w:rPr>
          <w:szCs w:val="24"/>
          <w:lang w:eastAsia="fr-FR"/>
        </w:rPr>
        <w:t xml:space="preserve">du présent article </w:t>
      </w:r>
      <w:r w:rsidRPr="004B571A">
        <w:rPr>
          <w:szCs w:val="24"/>
          <w:lang w:eastAsia="fr-FR"/>
        </w:rPr>
        <w:t xml:space="preserve">par arrêté préfectoral, sous réserve du respect </w:t>
      </w:r>
      <w:r w:rsidRPr="004B571A">
        <w:rPr>
          <w:kern w:val="0"/>
          <w:szCs w:val="24"/>
          <w:lang w:eastAsia="fr-FR"/>
        </w:rPr>
        <w:t xml:space="preserve">des dispositions du </w:t>
      </w:r>
      <w:r w:rsidR="000A6A0F">
        <w:rPr>
          <w:szCs w:val="24"/>
          <w:lang w:eastAsia="fr-FR"/>
        </w:rPr>
        <w:t xml:space="preserve">II de </w:t>
      </w:r>
      <w:hyperlink r:id="rId8" w:anchor="Article_R_515_62" w:tooltip="Livre V : Prévention des pollutions, des risques et des nuisances - Titre I : Installations Classées pour la Protection de l’Environnement (partie réglementaire)" w:history="1">
        <w:r w:rsidRPr="004B571A">
          <w:rPr>
            <w:szCs w:val="24"/>
            <w:lang w:eastAsia="fr-FR"/>
          </w:rPr>
          <w:t>l’article R. 515-62</w:t>
        </w:r>
      </w:hyperlink>
      <w:r w:rsidR="004968E5">
        <w:rPr>
          <w:szCs w:val="24"/>
          <w:lang w:eastAsia="fr-FR"/>
        </w:rPr>
        <w:t xml:space="preserve"> du code de l’environnement</w:t>
      </w:r>
      <w:r w:rsidRPr="004B571A">
        <w:rPr>
          <w:szCs w:val="24"/>
          <w:lang w:eastAsia="fr-FR"/>
        </w:rPr>
        <w:t xml:space="preserve"> , au vu d’une justification fournie par l’exploitant comprenant notamment une étude technico-économique.</w:t>
      </w:r>
    </w:p>
    <w:p w14:paraId="43537CA6" w14:textId="77777777" w:rsidR="00ED5DCA" w:rsidRPr="006D3954" w:rsidRDefault="00ED5DCA" w:rsidP="00B4446F">
      <w:pPr>
        <w:jc w:val="both"/>
        <w:rPr>
          <w:szCs w:val="24"/>
          <w:lang w:eastAsia="fr-FR"/>
        </w:rPr>
      </w:pPr>
    </w:p>
    <w:p w14:paraId="5BC9C293" w14:textId="04A75A38" w:rsidR="00B4446F" w:rsidRPr="004B571A" w:rsidRDefault="00ED5DCA" w:rsidP="00B4446F">
      <w:pPr>
        <w:pStyle w:val="Default"/>
        <w:spacing w:after="40"/>
        <w:jc w:val="both"/>
        <w:rPr>
          <w:color w:val="auto"/>
        </w:rPr>
      </w:pPr>
      <w:r w:rsidRPr="00A119D4">
        <w:rPr>
          <w:color w:val="auto"/>
        </w:rPr>
        <w:t>IV. -</w:t>
      </w:r>
      <w:r>
        <w:rPr>
          <w:color w:val="auto"/>
        </w:rPr>
        <w:t> </w:t>
      </w:r>
      <w:r w:rsidR="00B4446F" w:rsidRPr="006D3954">
        <w:rPr>
          <w:color w:val="auto"/>
        </w:rPr>
        <w:t xml:space="preserve">Le </w:t>
      </w:r>
      <w:r w:rsidR="004968E5">
        <w:rPr>
          <w:color w:val="auto"/>
        </w:rPr>
        <w:t>p</w:t>
      </w:r>
      <w:r w:rsidR="00B4446F" w:rsidRPr="006D3954">
        <w:rPr>
          <w:color w:val="auto"/>
        </w:rPr>
        <w:t>réfet peut fixer</w:t>
      </w:r>
      <w:r w:rsidR="005E6947">
        <w:rPr>
          <w:color w:val="auto"/>
        </w:rPr>
        <w:t>,</w:t>
      </w:r>
      <w:r w:rsidR="00B4446F" w:rsidRPr="006D3954">
        <w:rPr>
          <w:color w:val="auto"/>
        </w:rPr>
        <w:t xml:space="preserve"> en cas de crise </w:t>
      </w:r>
      <w:proofErr w:type="spellStart"/>
      <w:r w:rsidR="00B4446F" w:rsidRPr="006D3954">
        <w:rPr>
          <w:color w:val="auto"/>
        </w:rPr>
        <w:t>zoosanitaire</w:t>
      </w:r>
      <w:proofErr w:type="spellEnd"/>
      <w:r w:rsidR="005E6947">
        <w:rPr>
          <w:color w:val="auto"/>
        </w:rPr>
        <w:t>,</w:t>
      </w:r>
      <w:r w:rsidR="00B4446F" w:rsidRPr="006D3954">
        <w:rPr>
          <w:color w:val="auto"/>
        </w:rPr>
        <w:t xml:space="preserve"> une valeur différente </w:t>
      </w:r>
      <w:r w:rsidR="00A119D4">
        <w:rPr>
          <w:color w:val="auto"/>
        </w:rPr>
        <w:t xml:space="preserve">du II ou du III du présent arrêté </w:t>
      </w:r>
      <w:r w:rsidR="00B4446F" w:rsidRPr="006D3954">
        <w:rPr>
          <w:color w:val="auto"/>
        </w:rPr>
        <w:t xml:space="preserve">ne pouvant pas excéder </w:t>
      </w:r>
      <w:r w:rsidR="00A119D4" w:rsidRPr="006D3954">
        <w:rPr>
          <w:color w:val="auto"/>
        </w:rPr>
        <w:t xml:space="preserve">sur la période considérée </w:t>
      </w:r>
      <w:r w:rsidR="00B4446F" w:rsidRPr="006D3954">
        <w:rPr>
          <w:color w:val="auto"/>
        </w:rPr>
        <w:t xml:space="preserve">le double de la valeur </w:t>
      </w:r>
      <w:r w:rsidR="00D03987">
        <w:rPr>
          <w:color w:val="auto"/>
        </w:rPr>
        <w:t>autorisée.</w:t>
      </w:r>
    </w:p>
    <w:p w14:paraId="663A7072" w14:textId="77777777" w:rsidR="00B4446F" w:rsidRPr="00915DEF" w:rsidRDefault="00B4446F" w:rsidP="00B4446F">
      <w:pPr>
        <w:pStyle w:val="Default"/>
        <w:spacing w:after="40"/>
        <w:jc w:val="both"/>
      </w:pPr>
    </w:p>
    <w:p w14:paraId="14F56C21" w14:textId="19C588CE" w:rsidR="00C05657" w:rsidRPr="00915DEF" w:rsidRDefault="00C05657" w:rsidP="004638C8">
      <w:pPr>
        <w:pStyle w:val="Titre2"/>
      </w:pPr>
      <w:r w:rsidRPr="00915DEF">
        <w:t>Section III</w:t>
      </w:r>
      <w:r w:rsidR="0036618F">
        <w:t>. - </w:t>
      </w:r>
      <w:r w:rsidRPr="00915DEF">
        <w:t>Collecte</w:t>
      </w:r>
      <w:r w:rsidR="000155F5">
        <w:t xml:space="preserve">, rejet et traitement </w:t>
      </w:r>
      <w:r w:rsidRPr="00915DEF">
        <w:t>des effluents</w:t>
      </w:r>
      <w:bookmarkEnd w:id="67"/>
    </w:p>
    <w:p w14:paraId="5B3282F6" w14:textId="4F3627B1" w:rsidR="008926FB" w:rsidRPr="00915DEF" w:rsidRDefault="008926FB" w:rsidP="004638C8">
      <w:pPr>
        <w:pStyle w:val="Titre3"/>
      </w:pPr>
      <w:bookmarkStart w:id="68" w:name="_Toc164951711"/>
      <w:r w:rsidRPr="00915DEF">
        <w:t>Article 5.</w:t>
      </w:r>
      <w:r w:rsidR="00C00927">
        <w:t>6</w:t>
      </w:r>
      <w:r w:rsidRPr="00915DEF">
        <w:t xml:space="preserve"> Généralités</w:t>
      </w:r>
      <w:bookmarkEnd w:id="68"/>
      <w:r w:rsidRPr="00915DEF">
        <w:t xml:space="preserve"> </w:t>
      </w:r>
    </w:p>
    <w:p w14:paraId="3471AF7E" w14:textId="0152A938" w:rsidR="00C05657" w:rsidRPr="00B4446F" w:rsidRDefault="00C05657" w:rsidP="008B3A3A">
      <w:pPr>
        <w:pStyle w:val="Default"/>
        <w:spacing w:after="40"/>
        <w:jc w:val="both"/>
        <w:rPr>
          <w:color w:val="auto"/>
        </w:rPr>
      </w:pPr>
      <w:r w:rsidRPr="00B4446F">
        <w:rPr>
          <w:color w:val="auto"/>
        </w:rPr>
        <w:t>Les effluents rejetés par les installations ne sont pas susceptibles de dégrader les réseaux de l’installation ou de dégager des produits toxiques ou inflammables dans ces réseaux, éventuellement par mélange avec d’autres effluents. Ces effluents ne contiennent pas de substances de nature à gêner le bon fonctionnement des ouvrages de traitement du site.</w:t>
      </w:r>
    </w:p>
    <w:p w14:paraId="25EFC79C" w14:textId="49CD80BA" w:rsidR="00B4446F" w:rsidRPr="00B4446F" w:rsidRDefault="00C05657" w:rsidP="00B4446F">
      <w:pPr>
        <w:pStyle w:val="Default"/>
        <w:spacing w:after="40"/>
        <w:jc w:val="both"/>
        <w:rPr>
          <w:color w:val="auto"/>
        </w:rPr>
      </w:pPr>
      <w:r w:rsidRPr="00B4446F">
        <w:rPr>
          <w:color w:val="auto"/>
        </w:rPr>
        <w:t xml:space="preserve">Le réseau de collecte est de type séparatif permettant d’isoler </w:t>
      </w:r>
      <w:bookmarkStart w:id="69" w:name="_Hlk169531773"/>
      <w:r w:rsidR="00AB7A13" w:rsidRPr="00B4446F">
        <w:rPr>
          <w:color w:val="auto"/>
        </w:rPr>
        <w:t>les eaux pluviales non polluées, des effluents pollués ou susceptibles d'être pollués</w:t>
      </w:r>
      <w:bookmarkEnd w:id="69"/>
      <w:r w:rsidR="00AB7A13" w:rsidRPr="00B4446F">
        <w:rPr>
          <w:color w:val="auto"/>
        </w:rPr>
        <w:t>.</w:t>
      </w:r>
      <w:r w:rsidR="00B4446F" w:rsidRPr="00B4446F">
        <w:t xml:space="preserve"> </w:t>
      </w:r>
    </w:p>
    <w:p w14:paraId="6FE4F316" w14:textId="702E50ED" w:rsidR="00AB7A13" w:rsidRPr="00B4446F" w:rsidRDefault="00B4446F" w:rsidP="00B4446F">
      <w:pPr>
        <w:pStyle w:val="Default"/>
        <w:spacing w:after="40"/>
        <w:jc w:val="both"/>
        <w:rPr>
          <w:color w:val="auto"/>
        </w:rPr>
      </w:pPr>
      <w:r w:rsidRPr="00B4446F">
        <w:rPr>
          <w:color w:val="auto"/>
        </w:rPr>
        <w:t>Les différentes canalisations sont repérées conformément aux règles en vigueur.</w:t>
      </w:r>
      <w:r>
        <w:rPr>
          <w:color w:val="auto"/>
        </w:rPr>
        <w:t xml:space="preserve"> </w:t>
      </w:r>
      <w:r w:rsidRPr="00B4446F">
        <w:rPr>
          <w:color w:val="auto"/>
        </w:rPr>
        <w:t>Elles sont convenablement entretenues.</w:t>
      </w:r>
    </w:p>
    <w:p w14:paraId="38B1798C" w14:textId="2B0D619F" w:rsidR="00A016A1" w:rsidRDefault="00C05657" w:rsidP="008B3A3A">
      <w:pPr>
        <w:pStyle w:val="Default"/>
        <w:spacing w:after="40"/>
        <w:jc w:val="both"/>
        <w:rPr>
          <w:color w:val="auto"/>
        </w:rPr>
      </w:pPr>
      <w:r w:rsidRPr="00B4446F">
        <w:rPr>
          <w:color w:val="auto"/>
        </w:rPr>
        <w:t>Un schéma de tous les réseaux et un plan des égouts sont établis par l'exploitant, régulièrement mis à jour et datés, notamment après chaque modification notable. Ils sont tenus à la disposition de l'inspection des installations classées ainsi que des services d'incendies et de secours. Le plan fai</w:t>
      </w:r>
      <w:r w:rsidR="000E19CD">
        <w:rPr>
          <w:color w:val="auto"/>
        </w:rPr>
        <w:t>t</w:t>
      </w:r>
      <w:r w:rsidRPr="00B4446F">
        <w:rPr>
          <w:color w:val="auto"/>
        </w:rPr>
        <w:t xml:space="preserve"> apparaître les secteurs collectés, les points de branchement, regards, avaloirs, postes de mesures, vannes manuelles et automatiques, etc.</w:t>
      </w:r>
    </w:p>
    <w:p w14:paraId="50CC2113" w14:textId="77777777" w:rsidR="00B4446F" w:rsidRPr="00B4446F" w:rsidRDefault="00B4446F" w:rsidP="00B4446F">
      <w:pPr>
        <w:pStyle w:val="NormalWeb"/>
        <w:spacing w:beforeAutospacing="0" w:after="40"/>
        <w:jc w:val="both"/>
      </w:pPr>
      <w:bookmarkStart w:id="70" w:name="_Hlk165895557"/>
      <w:r w:rsidRPr="00B4446F">
        <w:t>A l'exception des cas accidentels où la sécurité des personnes ou des installations serait compromise, il est interdit d'établir des liaisons directes entre les réseaux de collecte des effluents devant subir un traitement ou être détruits et le milieu récepteur.</w:t>
      </w:r>
      <w:bookmarkEnd w:id="70"/>
    </w:p>
    <w:p w14:paraId="6FA33A67" w14:textId="640462D3" w:rsidR="00C05657" w:rsidRPr="00B4446F" w:rsidRDefault="00C05657" w:rsidP="008B3A3A">
      <w:pPr>
        <w:pStyle w:val="Default"/>
        <w:spacing w:after="40"/>
        <w:jc w:val="both"/>
      </w:pPr>
    </w:p>
    <w:p w14:paraId="1E99CB0E" w14:textId="6A561577" w:rsidR="00E04020" w:rsidRPr="00114BAA" w:rsidRDefault="00C05657" w:rsidP="00E04020">
      <w:pPr>
        <w:pStyle w:val="Titre3"/>
      </w:pPr>
      <w:bookmarkStart w:id="71" w:name="_Toc164951712"/>
      <w:r w:rsidRPr="00915DEF">
        <w:t>Article 5.</w:t>
      </w:r>
      <w:r w:rsidR="00B4446F">
        <w:t>7</w:t>
      </w:r>
      <w:r w:rsidR="00E04020" w:rsidRPr="00114BAA">
        <w:t xml:space="preserve"> Collecte des effluents</w:t>
      </w:r>
    </w:p>
    <w:p w14:paraId="015CBC37" w14:textId="1B63A488" w:rsidR="00B4446F" w:rsidRDefault="00B4446F" w:rsidP="00B4446F">
      <w:pPr>
        <w:pStyle w:val="NormalWeb"/>
        <w:spacing w:after="40"/>
        <w:jc w:val="both"/>
      </w:pPr>
      <w:r>
        <w:t>Les aires de réception et de stockage des cadavres ou des sous-produits d’origine animale sont sous bâtiment fermé pour limiter les dégagements d'odeurs à proximité de l'établissement, notamment par l'installation de portes d'accès escamotables automatiquement.</w:t>
      </w:r>
    </w:p>
    <w:p w14:paraId="3F0D292A" w14:textId="221F5AAC" w:rsidR="00B4446F" w:rsidRDefault="00B4446F" w:rsidP="00B4446F">
      <w:pPr>
        <w:pStyle w:val="NormalWeb"/>
        <w:spacing w:beforeAutospacing="0" w:after="40" w:line="240" w:lineRule="auto"/>
        <w:jc w:val="both"/>
      </w:pPr>
      <w:r>
        <w:t xml:space="preserve">Ces aires sont étanches et aménagées de telle sorte </w:t>
      </w:r>
      <w:r w:rsidRPr="00B4446F">
        <w:t>que les écoulements de liquides</w:t>
      </w:r>
      <w:r>
        <w:t xml:space="preserve"> ne puissent rejoindre directement le milieu naturel et soient collectés et traités conformément aux dispositions de </w:t>
      </w:r>
      <w:r w:rsidRPr="00192A9C">
        <w:t xml:space="preserve">l'article </w:t>
      </w:r>
      <w:r w:rsidR="00192A9C" w:rsidRPr="00192A9C">
        <w:t>5.10</w:t>
      </w:r>
      <w:r w:rsidR="00DC5683">
        <w:t xml:space="preserve"> du présent arrêté</w:t>
      </w:r>
      <w:r w:rsidRPr="00192A9C">
        <w:t>.</w:t>
      </w:r>
    </w:p>
    <w:p w14:paraId="3AA5B892" w14:textId="02A67BCE" w:rsidR="00B4446F" w:rsidRDefault="00B4446F" w:rsidP="00B4446F">
      <w:pPr>
        <w:pStyle w:val="NormalWeb"/>
        <w:spacing w:beforeAutospacing="0" w:after="40" w:line="240" w:lineRule="auto"/>
        <w:jc w:val="both"/>
      </w:pPr>
    </w:p>
    <w:p w14:paraId="314C77E8" w14:textId="360B127B" w:rsidR="00C05657" w:rsidRPr="00915DEF" w:rsidRDefault="00B4446F" w:rsidP="004638C8">
      <w:pPr>
        <w:pStyle w:val="Titre3"/>
      </w:pPr>
      <w:r>
        <w:t xml:space="preserve">Article 5.8 </w:t>
      </w:r>
      <w:r w:rsidR="00C05657" w:rsidRPr="00915DEF">
        <w:t>Points de rejets</w:t>
      </w:r>
      <w:bookmarkEnd w:id="71"/>
      <w:r w:rsidR="000155F5">
        <w:t xml:space="preserve"> dans le milieu naturel</w:t>
      </w:r>
    </w:p>
    <w:p w14:paraId="5DA0BCDF" w14:textId="03826DBF" w:rsidR="00C05657" w:rsidRPr="00B4446F" w:rsidRDefault="00C05657" w:rsidP="008B3A3A">
      <w:pPr>
        <w:pStyle w:val="Default"/>
        <w:spacing w:after="40"/>
        <w:jc w:val="both"/>
      </w:pPr>
      <w:r w:rsidRPr="00B4446F">
        <w:t>Les points de rejet dans le milieu naturel sont en nombre aussi réduit que possible.</w:t>
      </w:r>
    </w:p>
    <w:p w14:paraId="535544A6" w14:textId="233CDBCE" w:rsidR="00C05657" w:rsidRDefault="00C05657" w:rsidP="008B3A3A">
      <w:pPr>
        <w:pStyle w:val="Default"/>
        <w:spacing w:after="40"/>
        <w:jc w:val="both"/>
      </w:pPr>
      <w:r w:rsidRPr="00B4446F">
        <w:t>Ils sont aménagés pour permettre un prélèvement aisé d’échantillons et l’installation d’un dispositif de mesure du débit</w:t>
      </w:r>
      <w:r w:rsidR="00B4446F" w:rsidRPr="00B4446F">
        <w:t>.</w:t>
      </w:r>
    </w:p>
    <w:p w14:paraId="70C92FEC" w14:textId="77777777" w:rsidR="00D03987" w:rsidRPr="00B4446F" w:rsidRDefault="00D03987" w:rsidP="008B3A3A">
      <w:pPr>
        <w:pStyle w:val="Default"/>
        <w:spacing w:after="40"/>
        <w:jc w:val="both"/>
      </w:pPr>
    </w:p>
    <w:p w14:paraId="0AD8B1E0" w14:textId="6A2ECFB9" w:rsidR="00C05657" w:rsidRPr="00975EDF" w:rsidRDefault="00C05657" w:rsidP="004638C8">
      <w:pPr>
        <w:pStyle w:val="Titre3"/>
      </w:pPr>
      <w:bookmarkStart w:id="72" w:name="_Toc164951713"/>
      <w:r w:rsidRPr="00975EDF">
        <w:t>Article 5.</w:t>
      </w:r>
      <w:r w:rsidR="00B4446F">
        <w:t>9</w:t>
      </w:r>
      <w:r w:rsidRPr="00975EDF">
        <w:t xml:space="preserve"> Eaux souterraines et sols</w:t>
      </w:r>
      <w:bookmarkEnd w:id="72"/>
    </w:p>
    <w:p w14:paraId="7B222C43" w14:textId="5C3E7F97" w:rsidR="00001D64" w:rsidRPr="00B4446F" w:rsidRDefault="00A119D4" w:rsidP="008B3A3A">
      <w:pPr>
        <w:pStyle w:val="Default"/>
        <w:spacing w:after="40"/>
        <w:jc w:val="both"/>
        <w:rPr>
          <w:color w:val="auto"/>
        </w:rPr>
      </w:pPr>
      <w:bookmarkStart w:id="73" w:name="_Hlk185432064"/>
      <w:bookmarkStart w:id="74" w:name="_Hlk165897713"/>
      <w:r>
        <w:rPr>
          <w:color w:val="auto"/>
        </w:rPr>
        <w:t>Pour la protection des eaux souterraines</w:t>
      </w:r>
      <w:r w:rsidR="00581B2D">
        <w:rPr>
          <w:color w:val="auto"/>
        </w:rPr>
        <w:t xml:space="preserve"> et des sols</w:t>
      </w:r>
      <w:r>
        <w:rPr>
          <w:color w:val="auto"/>
        </w:rPr>
        <w:t>, l</w:t>
      </w:r>
      <w:r w:rsidR="00DC5683">
        <w:rPr>
          <w:color w:val="auto"/>
        </w:rPr>
        <w:t xml:space="preserve">’exploitant respecte </w:t>
      </w:r>
      <w:bookmarkEnd w:id="73"/>
      <w:r w:rsidR="00DC5683">
        <w:rPr>
          <w:color w:val="auto"/>
        </w:rPr>
        <w:t>l</w:t>
      </w:r>
      <w:r w:rsidR="00001D64" w:rsidRPr="00B4446F">
        <w:rPr>
          <w:color w:val="auto"/>
        </w:rPr>
        <w:t>es dispositions de l’article 25 de l’arrêté du 2 février 1998 susvisé</w:t>
      </w:r>
      <w:bookmarkEnd w:id="74"/>
      <w:r w:rsidR="00001D64" w:rsidRPr="00B4446F">
        <w:rPr>
          <w:color w:val="auto"/>
        </w:rPr>
        <w:t>.</w:t>
      </w:r>
    </w:p>
    <w:p w14:paraId="0F0D443A" w14:textId="7E2469F5" w:rsidR="00C05657" w:rsidRPr="00915DEF" w:rsidRDefault="00C05657" w:rsidP="008B3A3A">
      <w:pPr>
        <w:pStyle w:val="Default"/>
        <w:spacing w:after="40"/>
        <w:jc w:val="both"/>
      </w:pPr>
    </w:p>
    <w:p w14:paraId="4F629596" w14:textId="0135AB41" w:rsidR="000D0389" w:rsidRPr="000A6A0F" w:rsidRDefault="000D0389" w:rsidP="000A6A0F">
      <w:pPr>
        <w:pStyle w:val="Titre3"/>
      </w:pPr>
      <w:bookmarkStart w:id="75" w:name="_Toc164951715"/>
      <w:r w:rsidRPr="000A6A0F">
        <w:t>Article 5.1</w:t>
      </w:r>
      <w:r w:rsidR="00B4446F" w:rsidRPr="000A6A0F">
        <w:t>0</w:t>
      </w:r>
      <w:r w:rsidRPr="000A6A0F">
        <w:t xml:space="preserve"> Installations de traitement</w:t>
      </w:r>
      <w:bookmarkEnd w:id="75"/>
    </w:p>
    <w:p w14:paraId="14118046" w14:textId="0EDD8732" w:rsidR="000D0389" w:rsidRPr="00FE68A0" w:rsidRDefault="00FE68A0" w:rsidP="000D0389">
      <w:pPr>
        <w:pStyle w:val="Default"/>
        <w:spacing w:after="40"/>
        <w:jc w:val="both"/>
        <w:rPr>
          <w:bCs/>
          <w:color w:val="auto"/>
        </w:rPr>
      </w:pPr>
      <w:r>
        <w:rPr>
          <w:bCs/>
          <w:color w:val="auto"/>
        </w:rPr>
        <w:t>I</w:t>
      </w:r>
      <w:r w:rsidR="0036618F">
        <w:t>. - </w:t>
      </w:r>
      <w:r w:rsidR="000D0389" w:rsidRPr="00FE68A0">
        <w:rPr>
          <w:bCs/>
          <w:color w:val="auto"/>
        </w:rPr>
        <w:t>Les installations de traitement ou de prétraitement des effluents sont conçues et exploitées de manière à faire face aux variations de débit, de température ou de composition des effluents à traiter</w:t>
      </w:r>
      <w:r w:rsidRPr="00FE68A0">
        <w:rPr>
          <w:bCs/>
          <w:color w:val="auto"/>
        </w:rPr>
        <w:t>. L'installation de traitement des effluents</w:t>
      </w:r>
      <w:r>
        <w:rPr>
          <w:bCs/>
          <w:color w:val="auto"/>
        </w:rPr>
        <w:t xml:space="preserve"> des activités </w:t>
      </w:r>
      <w:r w:rsidRPr="00FE68A0">
        <w:rPr>
          <w:bCs/>
          <w:color w:val="auto"/>
        </w:rPr>
        <w:t>de transformation de sous-produits d'origine animale et/ou co-produits animaux dispose d'une unité de stockage étanche, close, d'une capacité permettant de faire face aux aléas de fonctionnement du site.</w:t>
      </w:r>
    </w:p>
    <w:p w14:paraId="7E72BCAA" w14:textId="77777777" w:rsidR="000D0389" w:rsidRPr="00FE68A0" w:rsidRDefault="000D0389" w:rsidP="000D0389">
      <w:pPr>
        <w:pStyle w:val="Default"/>
        <w:spacing w:after="40"/>
        <w:jc w:val="both"/>
        <w:rPr>
          <w:bCs/>
          <w:color w:val="auto"/>
        </w:rPr>
      </w:pPr>
      <w:r w:rsidRPr="00FE68A0">
        <w:rPr>
          <w:bCs/>
          <w:color w:val="auto"/>
        </w:rPr>
        <w:t>Les installations de traitement et/ou de prétraitement sont correctement entretenues.</w:t>
      </w:r>
    </w:p>
    <w:p w14:paraId="12BCD1A7" w14:textId="77777777" w:rsidR="000D0389" w:rsidRPr="00FE68A0" w:rsidRDefault="000D0389" w:rsidP="000D0389">
      <w:pPr>
        <w:pStyle w:val="Default"/>
        <w:spacing w:after="40"/>
        <w:jc w:val="both"/>
        <w:rPr>
          <w:bCs/>
          <w:color w:val="auto"/>
        </w:rPr>
      </w:pPr>
      <w:r w:rsidRPr="00FE68A0">
        <w:rPr>
          <w:bCs/>
          <w:color w:val="auto"/>
        </w:rPr>
        <w:t>Les principaux paramètres permettant de s’assurer de leur bon fonctionnement sont mesurés périodiquement.</w:t>
      </w:r>
    </w:p>
    <w:p w14:paraId="2EA61ABF" w14:textId="77777777" w:rsidR="00AC4DAC" w:rsidRPr="00FE68A0" w:rsidRDefault="00AC4DAC" w:rsidP="00391B2D">
      <w:pPr>
        <w:pStyle w:val="NormalWeb"/>
        <w:spacing w:beforeAutospacing="0" w:after="40" w:line="240" w:lineRule="auto"/>
        <w:jc w:val="both"/>
        <w:rPr>
          <w:bCs/>
        </w:rPr>
      </w:pPr>
    </w:p>
    <w:p w14:paraId="0B21FC23" w14:textId="63983D9D" w:rsidR="009D01BC" w:rsidRPr="00FE68A0" w:rsidRDefault="00391B2D" w:rsidP="009D01BC">
      <w:pPr>
        <w:pStyle w:val="Default"/>
        <w:spacing w:after="40"/>
        <w:jc w:val="both"/>
        <w:rPr>
          <w:bCs/>
          <w:color w:val="auto"/>
        </w:rPr>
      </w:pPr>
      <w:r w:rsidRPr="00FE68A0">
        <w:rPr>
          <w:bCs/>
          <w:color w:val="auto"/>
        </w:rPr>
        <w:t>II</w:t>
      </w:r>
      <w:r w:rsidR="0036618F">
        <w:t>. - </w:t>
      </w:r>
      <w:r w:rsidR="009D01BC" w:rsidRPr="00FE68A0">
        <w:rPr>
          <w:bCs/>
          <w:color w:val="auto"/>
        </w:rPr>
        <w:t>En matière de traitement externe des effluents par une station d'épuration collective, l</w:t>
      </w:r>
      <w:r w:rsidR="00581B2D">
        <w:rPr>
          <w:bCs/>
          <w:color w:val="auto"/>
        </w:rPr>
        <w:t>’exploitant respecte l</w:t>
      </w:r>
      <w:r w:rsidR="009D01BC" w:rsidRPr="00FE68A0">
        <w:rPr>
          <w:bCs/>
          <w:color w:val="auto"/>
        </w:rPr>
        <w:t xml:space="preserve">es dispositions de l'article 34 de l'arrêté du 2 février 1998 </w:t>
      </w:r>
      <w:r w:rsidRPr="00FE68A0">
        <w:rPr>
          <w:bCs/>
          <w:color w:val="auto"/>
        </w:rPr>
        <w:t xml:space="preserve">susvisé </w:t>
      </w:r>
      <w:bookmarkStart w:id="76" w:name="_Hlk185431778"/>
      <w:r w:rsidR="00581B2D">
        <w:rPr>
          <w:bCs/>
          <w:color w:val="auto"/>
        </w:rPr>
        <w:t xml:space="preserve">qui concernent </w:t>
      </w:r>
      <w:r w:rsidR="00843ACA" w:rsidRPr="00FE68A0">
        <w:rPr>
          <w:bCs/>
          <w:color w:val="auto"/>
        </w:rPr>
        <w:t>les modalités de raccordement</w:t>
      </w:r>
      <w:bookmarkEnd w:id="76"/>
      <w:r w:rsidR="009D01BC" w:rsidRPr="00FE68A0">
        <w:rPr>
          <w:bCs/>
          <w:color w:val="auto"/>
        </w:rPr>
        <w:t>.</w:t>
      </w:r>
    </w:p>
    <w:p w14:paraId="7A792DDE" w14:textId="13B08A8A" w:rsidR="000D0389" w:rsidRPr="00FE68A0" w:rsidRDefault="000D0389" w:rsidP="00B4446F">
      <w:pPr>
        <w:pStyle w:val="Default"/>
        <w:spacing w:after="40"/>
        <w:jc w:val="both"/>
        <w:rPr>
          <w:color w:val="auto"/>
        </w:rPr>
      </w:pPr>
    </w:p>
    <w:p w14:paraId="05DA0D0D" w14:textId="6732F8A9" w:rsidR="00C05657" w:rsidRPr="00915DEF" w:rsidRDefault="00C05657" w:rsidP="004638C8">
      <w:pPr>
        <w:pStyle w:val="Titre2"/>
      </w:pPr>
      <w:bookmarkStart w:id="77" w:name="_Toc164951716"/>
      <w:r w:rsidRPr="00915DEF">
        <w:t xml:space="preserve">Section </w:t>
      </w:r>
      <w:r w:rsidR="000155F5">
        <w:t>I</w:t>
      </w:r>
      <w:r w:rsidRPr="00915DEF">
        <w:t>V</w:t>
      </w:r>
      <w:r w:rsidR="0036618F">
        <w:t>. - </w:t>
      </w:r>
      <w:r w:rsidRPr="00915DEF">
        <w:t>Valeurs limites d’émission</w:t>
      </w:r>
      <w:bookmarkEnd w:id="77"/>
      <w:r w:rsidR="00192A9C">
        <w:t>s</w:t>
      </w:r>
    </w:p>
    <w:p w14:paraId="755C6685" w14:textId="03B26735" w:rsidR="00C05657" w:rsidRPr="00915DEF" w:rsidRDefault="00C05657" w:rsidP="004638C8">
      <w:pPr>
        <w:pStyle w:val="Titre3"/>
      </w:pPr>
      <w:bookmarkStart w:id="78" w:name="_Toc164951717"/>
      <w:r w:rsidRPr="00915DEF">
        <w:t>Article 5.</w:t>
      </w:r>
      <w:r w:rsidR="00EE39D1" w:rsidRPr="00915DEF">
        <w:t>1</w:t>
      </w:r>
      <w:r w:rsidR="00FE68A0">
        <w:t>1</w:t>
      </w:r>
      <w:r w:rsidRPr="00915DEF">
        <w:t xml:space="preserve"> Généralités</w:t>
      </w:r>
      <w:bookmarkEnd w:id="78"/>
    </w:p>
    <w:p w14:paraId="4597CE0D" w14:textId="07BEDDE9" w:rsidR="00391B2D" w:rsidRPr="00C81095" w:rsidRDefault="00391B2D" w:rsidP="00391B2D">
      <w:pPr>
        <w:pStyle w:val="NormalWeb"/>
        <w:spacing w:beforeAutospacing="0" w:after="40" w:line="240" w:lineRule="auto"/>
        <w:jc w:val="both"/>
      </w:pPr>
      <w:r w:rsidRPr="00C81095">
        <w:t>Concernant</w:t>
      </w:r>
      <w:r w:rsidR="00401831" w:rsidRPr="00C81095">
        <w:t xml:space="preserve"> les </w:t>
      </w:r>
      <w:r w:rsidRPr="00C81095">
        <w:t xml:space="preserve">dispositions générales pour la fixation des </w:t>
      </w:r>
      <w:r w:rsidR="00401831" w:rsidRPr="00C81095">
        <w:t xml:space="preserve">valeurs limites d'émissions dans </w:t>
      </w:r>
      <w:r w:rsidRPr="00C81095">
        <w:t xml:space="preserve">l'eau, </w:t>
      </w:r>
      <w:r w:rsidR="00DC5683">
        <w:t xml:space="preserve">l’exploitant respecte </w:t>
      </w:r>
      <w:r w:rsidRPr="00C81095">
        <w:t>les dispositions</w:t>
      </w:r>
      <w:r w:rsidR="00843ACA">
        <w:t xml:space="preserve"> des I et III</w:t>
      </w:r>
      <w:r w:rsidRPr="00C81095">
        <w:t xml:space="preserve"> de l'article 21 de </w:t>
      </w:r>
      <w:r w:rsidR="00401831" w:rsidRPr="00C81095">
        <w:t xml:space="preserve">l'arrêté </w:t>
      </w:r>
      <w:r w:rsidRPr="00C81095">
        <w:t xml:space="preserve">du 2 février 1998 </w:t>
      </w:r>
      <w:r w:rsidR="0033327B" w:rsidRPr="00C81095">
        <w:t>susvisé</w:t>
      </w:r>
      <w:r w:rsidRPr="00C81095">
        <w:t>.</w:t>
      </w:r>
    </w:p>
    <w:p w14:paraId="309F19A9" w14:textId="33C67483" w:rsidR="002D2744" w:rsidRPr="00915DEF" w:rsidRDefault="002D2744" w:rsidP="004638C8">
      <w:pPr>
        <w:pStyle w:val="Titre3"/>
      </w:pPr>
      <w:bookmarkStart w:id="79" w:name="_Toc164951718"/>
      <w:r w:rsidRPr="00915DEF">
        <w:t>Article 5.1</w:t>
      </w:r>
      <w:r w:rsidR="00C81095">
        <w:t xml:space="preserve">2 </w:t>
      </w:r>
      <w:r w:rsidRPr="00915DEF">
        <w:t>Mesures</w:t>
      </w:r>
      <w:bookmarkEnd w:id="79"/>
    </w:p>
    <w:p w14:paraId="1F387C2E" w14:textId="4053D669" w:rsidR="00C81095" w:rsidRPr="00C81095" w:rsidRDefault="00C81095" w:rsidP="00C81095">
      <w:pPr>
        <w:pStyle w:val="Default"/>
        <w:spacing w:after="40"/>
        <w:jc w:val="both"/>
        <w:rPr>
          <w:color w:val="auto"/>
        </w:rPr>
      </w:pPr>
      <w:r w:rsidRPr="00C81095">
        <w:rPr>
          <w:color w:val="auto"/>
        </w:rPr>
        <w:t>Les valeurs limites d’émissions pour les émissions dans l’eau désignent des concentrations (masse de substances émises par volume d’eau), exprimées en mg/</w:t>
      </w:r>
      <w:r w:rsidR="00205F64">
        <w:rPr>
          <w:color w:val="auto"/>
        </w:rPr>
        <w:t>L</w:t>
      </w:r>
      <w:r w:rsidRPr="00C81095">
        <w:rPr>
          <w:color w:val="auto"/>
        </w:rPr>
        <w:t>.</w:t>
      </w:r>
    </w:p>
    <w:p w14:paraId="5500A3E3" w14:textId="1EE71051" w:rsidR="00C81095" w:rsidRPr="00C81095" w:rsidRDefault="00C81095" w:rsidP="00C81095">
      <w:pPr>
        <w:pStyle w:val="Default"/>
        <w:spacing w:after="40"/>
        <w:jc w:val="both"/>
        <w:rPr>
          <w:color w:val="auto"/>
        </w:rPr>
      </w:pPr>
      <w:r w:rsidRPr="00C81095">
        <w:rPr>
          <w:color w:val="auto"/>
        </w:rPr>
        <w:t>Les périodes d’établissement de la moyenne associées aux valeurs limites d’émissions correspondent à l’une des deux situations suivantes :</w:t>
      </w:r>
    </w:p>
    <w:p w14:paraId="149C17A1" w14:textId="4521A999" w:rsidR="00C81095" w:rsidRPr="00C81095" w:rsidRDefault="00C81095" w:rsidP="00C81095">
      <w:pPr>
        <w:pStyle w:val="Default"/>
        <w:spacing w:after="40"/>
        <w:jc w:val="both"/>
        <w:rPr>
          <w:color w:val="auto"/>
        </w:rPr>
      </w:pPr>
      <w:r w:rsidRPr="00C81095">
        <w:rPr>
          <w:color w:val="auto"/>
        </w:rPr>
        <w:t>-</w:t>
      </w:r>
      <w:r w:rsidR="00DC5683">
        <w:rPr>
          <w:color w:val="auto"/>
        </w:rPr>
        <w:t> </w:t>
      </w:r>
      <w:r w:rsidRPr="00C81095">
        <w:rPr>
          <w:color w:val="auto"/>
        </w:rPr>
        <w:t>dans le cas de rejets continus, il s’agit de valeurs moyennes journalières, c’est-à-dire établies à partir d’échantillons moyens proportionnels au débit prélevé sur 24heures ;</w:t>
      </w:r>
    </w:p>
    <w:p w14:paraId="43433F00" w14:textId="37741A24" w:rsidR="00C81095" w:rsidRPr="00C81095" w:rsidRDefault="00C81095" w:rsidP="00C81095">
      <w:pPr>
        <w:pStyle w:val="Default"/>
        <w:spacing w:after="40"/>
        <w:jc w:val="both"/>
        <w:rPr>
          <w:color w:val="auto"/>
        </w:rPr>
      </w:pPr>
      <w:r w:rsidRPr="00C81095">
        <w:rPr>
          <w:color w:val="auto"/>
        </w:rPr>
        <w:t>-</w:t>
      </w:r>
      <w:r w:rsidR="00DC5683">
        <w:rPr>
          <w:color w:val="auto"/>
        </w:rPr>
        <w:t> </w:t>
      </w:r>
      <w:r w:rsidRPr="00C81095">
        <w:rPr>
          <w:color w:val="auto"/>
        </w:rPr>
        <w:t>dans le cas de rejets discontinus, les valeurs moyennes sont établies sur la durée des rejets, à partir d’échantillons composites proportionnels au débit, ou, pour autant que l’effluent soit bien mélangé et homogène, à partir d’un échantillon ponctuel, prélevé avant le rejet.</w:t>
      </w:r>
    </w:p>
    <w:p w14:paraId="15EC4071" w14:textId="05D4AFBB" w:rsidR="00C81095" w:rsidRPr="00C81095" w:rsidRDefault="00C81095" w:rsidP="00C81095">
      <w:pPr>
        <w:pStyle w:val="Default"/>
        <w:spacing w:after="40"/>
        <w:jc w:val="both"/>
        <w:rPr>
          <w:color w:val="auto"/>
        </w:rPr>
      </w:pPr>
      <w:r w:rsidRPr="00C81095">
        <w:rPr>
          <w:color w:val="auto"/>
        </w:rPr>
        <w:t>Il est possible d’utiliser des échantillons moyens proportionnels au temps, à condition qu’il puisse être démontré que le débit est suffisamment stable. Des échantillons ponctuels peuvent également être prélevés, à condition que l’effluent soit bien mélangé et homogène.</w:t>
      </w:r>
    </w:p>
    <w:p w14:paraId="69A344C1" w14:textId="529BFA15" w:rsidR="002D2744" w:rsidRPr="00C81095" w:rsidRDefault="002D2744" w:rsidP="002D2744">
      <w:pPr>
        <w:pStyle w:val="Default"/>
        <w:spacing w:after="40"/>
        <w:jc w:val="both"/>
        <w:rPr>
          <w:color w:val="auto"/>
        </w:rPr>
      </w:pPr>
      <w:r w:rsidRPr="00C81095">
        <w:rPr>
          <w:color w:val="auto"/>
        </w:rPr>
        <w:t>Les valeurs limites d’émissions s’appliquent au point où les émissions sortent de l’installation.</w:t>
      </w:r>
    </w:p>
    <w:p w14:paraId="66C34BFC" w14:textId="22A02039" w:rsidR="002D2744" w:rsidRPr="00C81095" w:rsidRDefault="002D2744" w:rsidP="008B3A3A">
      <w:pPr>
        <w:pStyle w:val="Default"/>
        <w:spacing w:after="40"/>
        <w:jc w:val="both"/>
        <w:rPr>
          <w:color w:val="auto"/>
        </w:rPr>
      </w:pPr>
    </w:p>
    <w:p w14:paraId="44854985" w14:textId="04662C33" w:rsidR="00C05657" w:rsidRPr="000A6A0F" w:rsidRDefault="00C05657" w:rsidP="003C0387">
      <w:pPr>
        <w:pStyle w:val="Titre3"/>
      </w:pPr>
      <w:r w:rsidRPr="000A6A0F">
        <w:t>Article 5.1</w:t>
      </w:r>
      <w:r w:rsidR="000A6A0F" w:rsidRPr="000A6A0F">
        <w:t>3</w:t>
      </w:r>
      <w:r w:rsidRPr="000A6A0F">
        <w:t xml:space="preserve"> </w:t>
      </w:r>
      <w:r w:rsidR="00C6711B">
        <w:t>Paramètres généraux</w:t>
      </w:r>
    </w:p>
    <w:p w14:paraId="155F7A08" w14:textId="4744A271" w:rsidR="00843ACA" w:rsidRDefault="00843ACA" w:rsidP="001525F4">
      <w:pPr>
        <w:pStyle w:val="Default"/>
        <w:spacing w:after="40"/>
        <w:jc w:val="both"/>
        <w:rPr>
          <w:color w:val="auto"/>
        </w:rPr>
      </w:pPr>
      <w:bookmarkStart w:id="80" w:name="_Hlk185432154"/>
      <w:r>
        <w:rPr>
          <w:color w:val="auto"/>
        </w:rPr>
        <w:t>L</w:t>
      </w:r>
      <w:r w:rsidRPr="00843ACA">
        <w:rPr>
          <w:color w:val="auto"/>
        </w:rPr>
        <w:t>'arrêté d'autorisation</w:t>
      </w:r>
      <w:r>
        <w:rPr>
          <w:color w:val="auto"/>
        </w:rPr>
        <w:t xml:space="preserve"> prend en compte les dispositions mentionnées </w:t>
      </w:r>
      <w:r w:rsidRPr="00C6711B">
        <w:rPr>
          <w:color w:val="auto"/>
        </w:rPr>
        <w:t>d</w:t>
      </w:r>
      <w:r w:rsidR="007828F3">
        <w:rPr>
          <w:color w:val="auto"/>
        </w:rPr>
        <w:t xml:space="preserve">u deuxième </w:t>
      </w:r>
      <w:r>
        <w:rPr>
          <w:color w:val="auto"/>
        </w:rPr>
        <w:t>a</w:t>
      </w:r>
      <w:r w:rsidRPr="00C6711B">
        <w:t xml:space="preserve">linéa de </w:t>
      </w:r>
      <w:r w:rsidRPr="00C6711B">
        <w:rPr>
          <w:color w:val="auto"/>
        </w:rPr>
        <w:t>l’article 31 de l’arrêté du 2 février 1998 susvisé</w:t>
      </w:r>
      <w:r>
        <w:rPr>
          <w:color w:val="auto"/>
        </w:rPr>
        <w:t xml:space="preserve"> et d</w:t>
      </w:r>
      <w:r w:rsidRPr="00C6711B">
        <w:t>es dispositions de l'article D. 211-10 du code de l'environnement</w:t>
      </w:r>
      <w:r>
        <w:t>.</w:t>
      </w:r>
    </w:p>
    <w:bookmarkEnd w:id="80"/>
    <w:p w14:paraId="28D0236C" w14:textId="63B2DE8E" w:rsidR="001525F4" w:rsidRPr="00C6711B" w:rsidRDefault="001525F4" w:rsidP="001525F4">
      <w:pPr>
        <w:pStyle w:val="Default"/>
        <w:spacing w:after="40"/>
        <w:jc w:val="both"/>
        <w:rPr>
          <w:color w:val="auto"/>
        </w:rPr>
      </w:pPr>
      <w:r w:rsidRPr="00C6711B">
        <w:rPr>
          <w:color w:val="auto"/>
        </w:rPr>
        <w:t>L</w:t>
      </w:r>
      <w:r w:rsidR="00DC5683">
        <w:rPr>
          <w:color w:val="auto"/>
        </w:rPr>
        <w:t>’exploitant respecte l</w:t>
      </w:r>
      <w:r w:rsidRPr="00C6711B">
        <w:rPr>
          <w:color w:val="auto"/>
        </w:rPr>
        <w:t xml:space="preserve">es </w:t>
      </w:r>
      <w:r w:rsidR="00FD179A" w:rsidRPr="00C6711B">
        <w:rPr>
          <w:color w:val="auto"/>
        </w:rPr>
        <w:t>dispositions de</w:t>
      </w:r>
      <w:r w:rsidR="00C6711B" w:rsidRPr="00C6711B">
        <w:rPr>
          <w:color w:val="auto"/>
        </w:rPr>
        <w:t>s</w:t>
      </w:r>
      <w:r w:rsidR="00FD179A" w:rsidRPr="00C6711B">
        <w:rPr>
          <w:color w:val="auto"/>
        </w:rPr>
        <w:t xml:space="preserve"> </w:t>
      </w:r>
      <w:r w:rsidR="00C6711B" w:rsidRPr="00C6711B">
        <w:t xml:space="preserve">alinéas </w:t>
      </w:r>
      <w:r w:rsidR="00843ACA">
        <w:t>3</w:t>
      </w:r>
      <w:r w:rsidR="00C6711B" w:rsidRPr="00C6711B">
        <w:t xml:space="preserve"> à 5 de </w:t>
      </w:r>
      <w:r w:rsidR="00FD179A" w:rsidRPr="00C6711B">
        <w:rPr>
          <w:color w:val="auto"/>
        </w:rPr>
        <w:t>l’article 31 de l’arrêté du 2 février 1998 susvisé</w:t>
      </w:r>
      <w:r w:rsidR="00C6711B" w:rsidRPr="00C6711B">
        <w:t xml:space="preserve"> relatives à la température, au pH, à modification de couleur du milieu récepteur et aux eaux réceptrices </w:t>
      </w:r>
    </w:p>
    <w:p w14:paraId="5F301213" w14:textId="77777777" w:rsidR="001525F4" w:rsidRPr="000A6A0F" w:rsidRDefault="001525F4" w:rsidP="008B3A3A">
      <w:pPr>
        <w:pStyle w:val="Default"/>
        <w:spacing w:after="40"/>
        <w:jc w:val="both"/>
        <w:rPr>
          <w:color w:val="auto"/>
        </w:rPr>
      </w:pPr>
    </w:p>
    <w:p w14:paraId="45069119" w14:textId="4EB9FD67" w:rsidR="00401831" w:rsidRPr="00915DEF" w:rsidRDefault="00401831" w:rsidP="004638C8">
      <w:pPr>
        <w:pStyle w:val="Titre3"/>
      </w:pPr>
      <w:bookmarkStart w:id="81" w:name="_Toc164951720"/>
      <w:r w:rsidRPr="00915DEF">
        <w:t>Article 5.1</w:t>
      </w:r>
      <w:r w:rsidR="0065789B">
        <w:t>4</w:t>
      </w:r>
      <w:r w:rsidRPr="00915DEF">
        <w:t xml:space="preserve"> </w:t>
      </w:r>
      <w:r w:rsidR="000A6A0F">
        <w:t>V</w:t>
      </w:r>
      <w:r w:rsidRPr="00915DEF">
        <w:t>aleurs limites d’émission</w:t>
      </w:r>
      <w:r w:rsidR="00192A9C">
        <w:t>s</w:t>
      </w:r>
      <w:r w:rsidRPr="00915DEF">
        <w:t xml:space="preserve"> pour un rejet direct ou indirect</w:t>
      </w:r>
      <w:bookmarkEnd w:id="81"/>
    </w:p>
    <w:p w14:paraId="1D404311" w14:textId="13F2C38C" w:rsidR="00B0788F" w:rsidRPr="00DB4EA0" w:rsidRDefault="00530CCE" w:rsidP="00975EDF">
      <w:pPr>
        <w:pStyle w:val="Default"/>
        <w:spacing w:after="40"/>
        <w:jc w:val="both"/>
        <w:rPr>
          <w:color w:val="auto"/>
        </w:rPr>
      </w:pPr>
      <w:r w:rsidRPr="000A6A0F">
        <w:rPr>
          <w:color w:val="auto"/>
        </w:rPr>
        <w:t>I</w:t>
      </w:r>
      <w:r w:rsidR="0036618F">
        <w:t>. - </w:t>
      </w:r>
      <w:r w:rsidR="00B0788F" w:rsidRPr="00DB4EA0">
        <w:rPr>
          <w:color w:val="auto"/>
        </w:rPr>
        <w:t xml:space="preserve">L'exploitant respecte les valeurs limites d'émissions </w:t>
      </w:r>
      <w:r w:rsidR="009B4835" w:rsidRPr="00DB4EA0">
        <w:rPr>
          <w:color w:val="auto"/>
        </w:rPr>
        <w:t xml:space="preserve">des substances et paramètres </w:t>
      </w:r>
      <w:r w:rsidR="00B0788F" w:rsidRPr="00DB4EA0">
        <w:rPr>
          <w:color w:val="auto"/>
        </w:rPr>
        <w:t xml:space="preserve">suivants : </w:t>
      </w:r>
    </w:p>
    <w:p w14:paraId="1E4755E9" w14:textId="65BCB295" w:rsidR="00401831" w:rsidRPr="00DB4EA0" w:rsidRDefault="00401831" w:rsidP="00401831">
      <w:pPr>
        <w:pStyle w:val="Default"/>
        <w:spacing w:after="40"/>
        <w:jc w:val="both"/>
        <w:rPr>
          <w:color w:val="auto"/>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41"/>
        <w:gridCol w:w="860"/>
        <w:gridCol w:w="2037"/>
        <w:gridCol w:w="1503"/>
      </w:tblGrid>
      <w:tr w:rsidR="00DB4EA0" w:rsidRPr="00DB4EA0" w14:paraId="7CB9FFE8" w14:textId="7A460E91" w:rsidTr="00DB4EA0">
        <w:trPr>
          <w:jc w:val="center"/>
        </w:trPr>
        <w:tc>
          <w:tcPr>
            <w:tcW w:w="2541" w:type="dxa"/>
          </w:tcPr>
          <w:p w14:paraId="48BEAA8D" w14:textId="7A87E0A1" w:rsidR="002B798B" w:rsidRPr="00DB4EA0" w:rsidRDefault="002B798B" w:rsidP="00DB4EA0">
            <w:pPr>
              <w:pStyle w:val="Default"/>
              <w:spacing w:after="40"/>
              <w:jc w:val="center"/>
              <w:rPr>
                <w:b/>
                <w:bCs/>
                <w:color w:val="auto"/>
              </w:rPr>
            </w:pPr>
            <w:r w:rsidRPr="00DB4EA0">
              <w:rPr>
                <w:b/>
                <w:bCs/>
                <w:color w:val="auto"/>
              </w:rPr>
              <w:t>Substance/Paramètre</w:t>
            </w:r>
          </w:p>
        </w:tc>
        <w:tc>
          <w:tcPr>
            <w:tcW w:w="860" w:type="dxa"/>
          </w:tcPr>
          <w:p w14:paraId="55A1B558" w14:textId="3A8E0338" w:rsidR="002B798B" w:rsidRPr="00DB4EA0" w:rsidRDefault="00DB4EA0" w:rsidP="00DB4EA0">
            <w:pPr>
              <w:pStyle w:val="Default"/>
              <w:spacing w:after="40"/>
              <w:jc w:val="center"/>
              <w:rPr>
                <w:b/>
                <w:bCs/>
                <w:color w:val="auto"/>
              </w:rPr>
            </w:pPr>
            <w:r w:rsidRPr="00DB4EA0">
              <w:rPr>
                <w:b/>
                <w:bCs/>
                <w:color w:val="auto"/>
              </w:rPr>
              <w:t>Unité</w:t>
            </w:r>
          </w:p>
        </w:tc>
        <w:tc>
          <w:tcPr>
            <w:tcW w:w="2037" w:type="dxa"/>
          </w:tcPr>
          <w:p w14:paraId="37B6D945" w14:textId="2CC840F3" w:rsidR="002B798B" w:rsidRPr="00DB4EA0" w:rsidRDefault="00BF16A1" w:rsidP="00DB4EA0">
            <w:pPr>
              <w:pStyle w:val="Default"/>
              <w:spacing w:after="40"/>
              <w:jc w:val="center"/>
              <w:rPr>
                <w:b/>
                <w:bCs/>
                <w:color w:val="auto"/>
              </w:rPr>
            </w:pPr>
            <w:r>
              <w:t>Valeur limite d’émission</w:t>
            </w:r>
          </w:p>
        </w:tc>
        <w:tc>
          <w:tcPr>
            <w:tcW w:w="1503" w:type="dxa"/>
          </w:tcPr>
          <w:p w14:paraId="4B736F72" w14:textId="259A5610" w:rsidR="002B798B" w:rsidRPr="00DB4EA0" w:rsidRDefault="002B798B" w:rsidP="00DB4EA0">
            <w:pPr>
              <w:pStyle w:val="Default"/>
              <w:spacing w:after="40"/>
              <w:jc w:val="center"/>
              <w:rPr>
                <w:b/>
                <w:bCs/>
                <w:color w:val="auto"/>
              </w:rPr>
            </w:pPr>
            <w:r w:rsidRPr="00DB4EA0">
              <w:rPr>
                <w:b/>
                <w:bCs/>
                <w:color w:val="auto"/>
              </w:rPr>
              <w:t>Code SANDRE</w:t>
            </w:r>
          </w:p>
        </w:tc>
      </w:tr>
      <w:tr w:rsidR="00DB4EA0" w:rsidRPr="00DB4EA0" w14:paraId="07DCFF5F" w14:textId="4854E9C8" w:rsidTr="00DB4EA0">
        <w:trPr>
          <w:jc w:val="center"/>
        </w:trPr>
        <w:tc>
          <w:tcPr>
            <w:tcW w:w="2541" w:type="dxa"/>
          </w:tcPr>
          <w:p w14:paraId="069B714E" w14:textId="0387FB2E" w:rsidR="002B798B" w:rsidRPr="00DB4EA0" w:rsidRDefault="002B798B" w:rsidP="009E65B3">
            <w:pPr>
              <w:pStyle w:val="Default"/>
              <w:spacing w:after="40"/>
              <w:jc w:val="both"/>
              <w:rPr>
                <w:color w:val="auto"/>
              </w:rPr>
            </w:pPr>
            <w:r w:rsidRPr="00DB4EA0">
              <w:rPr>
                <w:color w:val="auto"/>
              </w:rPr>
              <w:t>Demande chimique en oxygène (DCO)</w:t>
            </w:r>
            <w:r w:rsidRPr="00A90056">
              <w:rPr>
                <w:color w:val="auto"/>
                <w:vertAlign w:val="superscript"/>
              </w:rPr>
              <w:t xml:space="preserve"> </w:t>
            </w:r>
            <w:r w:rsidR="001C1E0E" w:rsidRPr="00A90056">
              <w:rPr>
                <w:color w:val="auto"/>
                <w:vertAlign w:val="superscript"/>
              </w:rPr>
              <w:t>(</w:t>
            </w:r>
            <w:r w:rsidR="007778E0">
              <w:rPr>
                <w:color w:val="auto"/>
                <w:vertAlign w:val="superscript"/>
              </w:rPr>
              <w:t>1</w:t>
            </w:r>
            <w:r w:rsidR="001C1E0E" w:rsidRPr="00A90056">
              <w:rPr>
                <w:color w:val="auto"/>
                <w:vertAlign w:val="superscript"/>
              </w:rPr>
              <w:t>)</w:t>
            </w:r>
            <w:r w:rsidR="00A90056">
              <w:rPr>
                <w:color w:val="auto"/>
                <w:vertAlign w:val="superscript"/>
              </w:rPr>
              <w:t xml:space="preserve"> </w:t>
            </w:r>
            <w:r w:rsidRPr="00A90056">
              <w:rPr>
                <w:color w:val="auto"/>
                <w:vertAlign w:val="superscript"/>
              </w:rPr>
              <w:t>(</w:t>
            </w:r>
            <w:r w:rsidR="001C739C">
              <w:rPr>
                <w:color w:val="auto"/>
                <w:vertAlign w:val="superscript"/>
              </w:rPr>
              <w:t>9</w:t>
            </w:r>
            <w:r w:rsidRPr="00A90056">
              <w:rPr>
                <w:color w:val="auto"/>
                <w:vertAlign w:val="superscript"/>
              </w:rPr>
              <w:t>)</w:t>
            </w:r>
          </w:p>
        </w:tc>
        <w:tc>
          <w:tcPr>
            <w:tcW w:w="860" w:type="dxa"/>
          </w:tcPr>
          <w:p w14:paraId="145660EE" w14:textId="12BBCFE2" w:rsidR="002B798B" w:rsidRPr="00DB4EA0" w:rsidRDefault="002B798B" w:rsidP="009E65B3">
            <w:pPr>
              <w:pStyle w:val="Default"/>
              <w:spacing w:after="40"/>
              <w:jc w:val="both"/>
              <w:rPr>
                <w:color w:val="auto"/>
              </w:rPr>
            </w:pPr>
            <w:r w:rsidRPr="00DB4EA0">
              <w:rPr>
                <w:color w:val="auto"/>
              </w:rPr>
              <w:t>mg/</w:t>
            </w:r>
            <w:r w:rsidR="00205F64">
              <w:rPr>
                <w:color w:val="auto"/>
              </w:rPr>
              <w:t>L</w:t>
            </w:r>
          </w:p>
        </w:tc>
        <w:tc>
          <w:tcPr>
            <w:tcW w:w="2037" w:type="dxa"/>
          </w:tcPr>
          <w:p w14:paraId="50D148A7" w14:textId="320A5CE1" w:rsidR="002B798B" w:rsidRPr="00DB4EA0" w:rsidRDefault="002B798B" w:rsidP="006E1CF2">
            <w:pPr>
              <w:pStyle w:val="Default"/>
              <w:spacing w:after="40"/>
              <w:jc w:val="center"/>
              <w:rPr>
                <w:color w:val="auto"/>
              </w:rPr>
            </w:pPr>
            <w:r w:rsidRPr="00DB4EA0">
              <w:rPr>
                <w:color w:val="auto"/>
              </w:rPr>
              <w:t>100</w:t>
            </w:r>
            <w:r w:rsidR="0035579C">
              <w:rPr>
                <w:color w:val="auto"/>
              </w:rPr>
              <w:t xml:space="preserve"> </w:t>
            </w:r>
            <w:r w:rsidRPr="00A90056">
              <w:rPr>
                <w:color w:val="auto"/>
                <w:vertAlign w:val="superscript"/>
              </w:rPr>
              <w:t>(</w:t>
            </w:r>
            <w:r w:rsidR="007778E0">
              <w:rPr>
                <w:color w:val="auto"/>
                <w:vertAlign w:val="superscript"/>
              </w:rPr>
              <w:t>2</w:t>
            </w:r>
            <w:r w:rsidRPr="00A90056">
              <w:rPr>
                <w:color w:val="auto"/>
                <w:vertAlign w:val="superscript"/>
              </w:rPr>
              <w:t>)</w:t>
            </w:r>
            <w:r w:rsidR="0035579C" w:rsidRPr="00A90056">
              <w:rPr>
                <w:color w:val="auto"/>
                <w:vertAlign w:val="superscript"/>
              </w:rPr>
              <w:t xml:space="preserve"> </w:t>
            </w:r>
            <w:r w:rsidRPr="00A90056">
              <w:rPr>
                <w:color w:val="auto"/>
                <w:vertAlign w:val="superscript"/>
              </w:rPr>
              <w:t>(</w:t>
            </w:r>
            <w:r w:rsidR="007778E0">
              <w:rPr>
                <w:color w:val="auto"/>
                <w:vertAlign w:val="superscript"/>
              </w:rPr>
              <w:t>3</w:t>
            </w:r>
            <w:r w:rsidRPr="00A90056">
              <w:rPr>
                <w:color w:val="auto"/>
                <w:vertAlign w:val="superscript"/>
              </w:rPr>
              <w:t>)</w:t>
            </w:r>
          </w:p>
        </w:tc>
        <w:tc>
          <w:tcPr>
            <w:tcW w:w="1503" w:type="dxa"/>
          </w:tcPr>
          <w:p w14:paraId="2DA98D6D" w14:textId="3AB04AD4" w:rsidR="002B798B" w:rsidRPr="00DB4EA0" w:rsidRDefault="002B798B" w:rsidP="006E1CF2">
            <w:pPr>
              <w:pStyle w:val="Default"/>
              <w:spacing w:after="40"/>
              <w:jc w:val="center"/>
              <w:rPr>
                <w:color w:val="auto"/>
              </w:rPr>
            </w:pPr>
            <w:r w:rsidRPr="00DB4EA0">
              <w:rPr>
                <w:color w:val="auto"/>
              </w:rPr>
              <w:t>1314</w:t>
            </w:r>
          </w:p>
        </w:tc>
      </w:tr>
      <w:tr w:rsidR="00DB4EA0" w:rsidRPr="00DB4EA0" w14:paraId="52CDEBD0" w14:textId="24DAE836" w:rsidTr="00DB4EA0">
        <w:trPr>
          <w:jc w:val="center"/>
        </w:trPr>
        <w:tc>
          <w:tcPr>
            <w:tcW w:w="2541" w:type="dxa"/>
          </w:tcPr>
          <w:p w14:paraId="443D84AD" w14:textId="77A7D3B0" w:rsidR="002B798B" w:rsidRPr="00DB4EA0" w:rsidRDefault="002B798B" w:rsidP="009E65B3">
            <w:pPr>
              <w:pStyle w:val="Default"/>
              <w:spacing w:after="40"/>
              <w:jc w:val="both"/>
              <w:rPr>
                <w:color w:val="auto"/>
              </w:rPr>
            </w:pPr>
            <w:r w:rsidRPr="00DB4EA0">
              <w:rPr>
                <w:color w:val="auto"/>
              </w:rPr>
              <w:t xml:space="preserve">Carbone organique total (COT) </w:t>
            </w:r>
            <w:r w:rsidR="001C1E0E" w:rsidRPr="00A90056">
              <w:rPr>
                <w:color w:val="auto"/>
                <w:vertAlign w:val="superscript"/>
              </w:rPr>
              <w:t>(</w:t>
            </w:r>
            <w:r w:rsidR="007778E0">
              <w:rPr>
                <w:color w:val="auto"/>
                <w:vertAlign w:val="superscript"/>
              </w:rPr>
              <w:t>1</w:t>
            </w:r>
            <w:r w:rsidR="001C1E0E" w:rsidRPr="00A90056">
              <w:rPr>
                <w:color w:val="auto"/>
                <w:vertAlign w:val="superscript"/>
              </w:rPr>
              <w:t>)</w:t>
            </w:r>
            <w:r w:rsidR="00A90056">
              <w:rPr>
                <w:color w:val="auto"/>
                <w:vertAlign w:val="superscript"/>
              </w:rPr>
              <w:t xml:space="preserve"> </w:t>
            </w:r>
            <w:r w:rsidRPr="00A90056">
              <w:rPr>
                <w:color w:val="auto"/>
                <w:vertAlign w:val="superscript"/>
              </w:rPr>
              <w:t>(</w:t>
            </w:r>
            <w:r w:rsidR="001C739C">
              <w:rPr>
                <w:color w:val="auto"/>
                <w:vertAlign w:val="superscript"/>
              </w:rPr>
              <w:t>9</w:t>
            </w:r>
            <w:r w:rsidRPr="00A90056">
              <w:rPr>
                <w:color w:val="auto"/>
                <w:vertAlign w:val="superscript"/>
              </w:rPr>
              <w:t>)</w:t>
            </w:r>
          </w:p>
        </w:tc>
        <w:tc>
          <w:tcPr>
            <w:tcW w:w="860" w:type="dxa"/>
          </w:tcPr>
          <w:p w14:paraId="0717BE49" w14:textId="7C70ED96" w:rsidR="002B798B" w:rsidRPr="00DB4EA0" w:rsidRDefault="002B798B" w:rsidP="009E65B3">
            <w:pPr>
              <w:pStyle w:val="Default"/>
              <w:spacing w:after="40"/>
              <w:jc w:val="both"/>
              <w:rPr>
                <w:color w:val="auto"/>
              </w:rPr>
            </w:pPr>
            <w:r w:rsidRPr="00DB4EA0">
              <w:rPr>
                <w:color w:val="auto"/>
              </w:rPr>
              <w:t>mg/</w:t>
            </w:r>
            <w:r w:rsidR="00205F64">
              <w:rPr>
                <w:color w:val="auto"/>
              </w:rPr>
              <w:t>L</w:t>
            </w:r>
          </w:p>
        </w:tc>
        <w:tc>
          <w:tcPr>
            <w:tcW w:w="2037" w:type="dxa"/>
          </w:tcPr>
          <w:p w14:paraId="34EBBD67" w14:textId="20EF6F3E" w:rsidR="002B798B" w:rsidRPr="00DB4EA0" w:rsidRDefault="002B798B" w:rsidP="006E1CF2">
            <w:pPr>
              <w:pStyle w:val="Default"/>
              <w:spacing w:after="40"/>
              <w:jc w:val="center"/>
              <w:rPr>
                <w:color w:val="auto"/>
              </w:rPr>
            </w:pPr>
            <w:r w:rsidRPr="00DB4EA0">
              <w:rPr>
                <w:color w:val="auto"/>
              </w:rPr>
              <w:t>35</w:t>
            </w:r>
            <w:r w:rsidR="0035579C">
              <w:rPr>
                <w:color w:val="auto"/>
              </w:rPr>
              <w:t xml:space="preserve"> </w:t>
            </w:r>
            <w:r w:rsidRPr="00A90056">
              <w:rPr>
                <w:color w:val="auto"/>
                <w:vertAlign w:val="superscript"/>
              </w:rPr>
              <w:t>(</w:t>
            </w:r>
            <w:r w:rsidR="007778E0">
              <w:rPr>
                <w:color w:val="auto"/>
                <w:vertAlign w:val="superscript"/>
              </w:rPr>
              <w:t>3</w:t>
            </w:r>
            <w:r w:rsidRPr="00A90056">
              <w:rPr>
                <w:color w:val="auto"/>
                <w:vertAlign w:val="superscript"/>
              </w:rPr>
              <w:t>)</w:t>
            </w:r>
            <w:r w:rsidR="0035579C" w:rsidRPr="00A90056">
              <w:rPr>
                <w:color w:val="auto"/>
                <w:vertAlign w:val="superscript"/>
              </w:rPr>
              <w:t xml:space="preserve"> </w:t>
            </w:r>
            <w:r w:rsidRPr="00A90056">
              <w:rPr>
                <w:color w:val="auto"/>
                <w:vertAlign w:val="superscript"/>
              </w:rPr>
              <w:t>(</w:t>
            </w:r>
            <w:r w:rsidR="007778E0">
              <w:rPr>
                <w:color w:val="auto"/>
                <w:vertAlign w:val="superscript"/>
              </w:rPr>
              <w:t>4</w:t>
            </w:r>
            <w:r w:rsidRPr="00A90056">
              <w:rPr>
                <w:color w:val="auto"/>
                <w:vertAlign w:val="superscript"/>
              </w:rPr>
              <w:t>)</w:t>
            </w:r>
          </w:p>
        </w:tc>
        <w:tc>
          <w:tcPr>
            <w:tcW w:w="1503" w:type="dxa"/>
          </w:tcPr>
          <w:p w14:paraId="009D4863" w14:textId="1FC7B159" w:rsidR="002B798B" w:rsidRPr="00DB4EA0" w:rsidRDefault="002B798B" w:rsidP="006E1CF2">
            <w:pPr>
              <w:pStyle w:val="Default"/>
              <w:spacing w:after="40"/>
              <w:jc w:val="center"/>
              <w:rPr>
                <w:color w:val="auto"/>
              </w:rPr>
            </w:pPr>
            <w:r w:rsidRPr="00DB4EA0">
              <w:rPr>
                <w:color w:val="auto"/>
              </w:rPr>
              <w:t>1841</w:t>
            </w:r>
          </w:p>
        </w:tc>
      </w:tr>
      <w:tr w:rsidR="00DB4EA0" w:rsidRPr="00DB4EA0" w14:paraId="76274AD8" w14:textId="2D7DCAAB" w:rsidTr="00DB4EA0">
        <w:trPr>
          <w:jc w:val="center"/>
        </w:trPr>
        <w:tc>
          <w:tcPr>
            <w:tcW w:w="2541" w:type="dxa"/>
          </w:tcPr>
          <w:p w14:paraId="40DC6AC5" w14:textId="1C8B5DD0" w:rsidR="002B798B" w:rsidRPr="00DB4EA0" w:rsidRDefault="002B798B" w:rsidP="009E65B3">
            <w:pPr>
              <w:pStyle w:val="Default"/>
              <w:spacing w:after="40"/>
              <w:jc w:val="both"/>
              <w:rPr>
                <w:color w:val="auto"/>
              </w:rPr>
            </w:pPr>
            <w:r w:rsidRPr="00DB4EA0">
              <w:rPr>
                <w:color w:val="auto"/>
              </w:rPr>
              <w:t xml:space="preserve">Matières en suspension totales (MEST) </w:t>
            </w:r>
            <w:r w:rsidRPr="00A90056">
              <w:rPr>
                <w:color w:val="auto"/>
                <w:vertAlign w:val="superscript"/>
              </w:rPr>
              <w:t>(</w:t>
            </w:r>
            <w:r w:rsidR="001C739C">
              <w:rPr>
                <w:color w:val="auto"/>
                <w:vertAlign w:val="superscript"/>
              </w:rPr>
              <w:t>9</w:t>
            </w:r>
            <w:r w:rsidRPr="00A90056">
              <w:rPr>
                <w:color w:val="auto"/>
                <w:vertAlign w:val="superscript"/>
              </w:rPr>
              <w:t>)</w:t>
            </w:r>
          </w:p>
        </w:tc>
        <w:tc>
          <w:tcPr>
            <w:tcW w:w="860" w:type="dxa"/>
          </w:tcPr>
          <w:p w14:paraId="62F8EA18" w14:textId="299AC88F" w:rsidR="002B798B" w:rsidRPr="00DB4EA0" w:rsidRDefault="002B798B" w:rsidP="009E65B3">
            <w:pPr>
              <w:pStyle w:val="Default"/>
              <w:spacing w:after="40"/>
              <w:jc w:val="both"/>
              <w:rPr>
                <w:color w:val="auto"/>
              </w:rPr>
            </w:pPr>
            <w:r w:rsidRPr="00DB4EA0">
              <w:rPr>
                <w:color w:val="auto"/>
              </w:rPr>
              <w:t>mg/</w:t>
            </w:r>
            <w:r w:rsidR="00205F64">
              <w:rPr>
                <w:color w:val="auto"/>
              </w:rPr>
              <w:t>L</w:t>
            </w:r>
          </w:p>
        </w:tc>
        <w:tc>
          <w:tcPr>
            <w:tcW w:w="2037" w:type="dxa"/>
          </w:tcPr>
          <w:p w14:paraId="02399575" w14:textId="33276346" w:rsidR="002B798B" w:rsidRPr="00DB4EA0" w:rsidRDefault="002B798B" w:rsidP="006E1CF2">
            <w:pPr>
              <w:pStyle w:val="Default"/>
              <w:spacing w:after="40"/>
              <w:jc w:val="center"/>
              <w:rPr>
                <w:color w:val="auto"/>
              </w:rPr>
            </w:pPr>
            <w:r w:rsidRPr="00DB4EA0">
              <w:rPr>
                <w:color w:val="auto"/>
              </w:rPr>
              <w:t>30</w:t>
            </w:r>
            <w:r w:rsidR="0035579C">
              <w:rPr>
                <w:color w:val="auto"/>
              </w:rPr>
              <w:t xml:space="preserve"> </w:t>
            </w:r>
            <w:r w:rsidRPr="00A90056">
              <w:rPr>
                <w:color w:val="auto"/>
                <w:vertAlign w:val="superscript"/>
              </w:rPr>
              <w:t>(</w:t>
            </w:r>
            <w:r w:rsidR="007778E0">
              <w:rPr>
                <w:color w:val="auto"/>
                <w:vertAlign w:val="superscript"/>
              </w:rPr>
              <w:t>3</w:t>
            </w:r>
            <w:r w:rsidRPr="00A90056">
              <w:rPr>
                <w:color w:val="auto"/>
                <w:vertAlign w:val="superscript"/>
              </w:rPr>
              <w:t>)</w:t>
            </w:r>
            <w:r w:rsidR="0035579C" w:rsidRPr="00A90056">
              <w:rPr>
                <w:color w:val="auto"/>
                <w:vertAlign w:val="superscript"/>
              </w:rPr>
              <w:t xml:space="preserve"> </w:t>
            </w:r>
            <w:r w:rsidRPr="00A90056">
              <w:rPr>
                <w:color w:val="auto"/>
                <w:vertAlign w:val="superscript"/>
              </w:rPr>
              <w:t>(</w:t>
            </w:r>
            <w:r w:rsidR="001C739C">
              <w:rPr>
                <w:color w:val="auto"/>
                <w:vertAlign w:val="superscript"/>
              </w:rPr>
              <w:t>7</w:t>
            </w:r>
            <w:r w:rsidRPr="00A90056">
              <w:rPr>
                <w:color w:val="auto"/>
                <w:vertAlign w:val="superscript"/>
              </w:rPr>
              <w:t>)</w:t>
            </w:r>
          </w:p>
        </w:tc>
        <w:tc>
          <w:tcPr>
            <w:tcW w:w="1503" w:type="dxa"/>
          </w:tcPr>
          <w:p w14:paraId="59A1AA2D" w14:textId="1BA4492B" w:rsidR="002B798B" w:rsidRPr="00DB4EA0" w:rsidRDefault="002B798B" w:rsidP="006E1CF2">
            <w:pPr>
              <w:pStyle w:val="Default"/>
              <w:spacing w:after="40"/>
              <w:jc w:val="center"/>
              <w:rPr>
                <w:color w:val="auto"/>
              </w:rPr>
            </w:pPr>
            <w:r w:rsidRPr="00DB4EA0">
              <w:rPr>
                <w:color w:val="auto"/>
              </w:rPr>
              <w:t>1305</w:t>
            </w:r>
          </w:p>
        </w:tc>
      </w:tr>
      <w:tr w:rsidR="00DB4EA0" w:rsidRPr="00DB4EA0" w14:paraId="7A6C03A4" w14:textId="769D655A" w:rsidTr="00DB4EA0">
        <w:trPr>
          <w:jc w:val="center"/>
        </w:trPr>
        <w:tc>
          <w:tcPr>
            <w:tcW w:w="2541" w:type="dxa"/>
          </w:tcPr>
          <w:p w14:paraId="5C6F3A27" w14:textId="09184BCD" w:rsidR="002B798B" w:rsidRPr="00DB4EA0" w:rsidRDefault="002B798B" w:rsidP="009E65B3">
            <w:pPr>
              <w:pStyle w:val="Default"/>
              <w:spacing w:after="40"/>
              <w:jc w:val="both"/>
              <w:rPr>
                <w:color w:val="auto"/>
              </w:rPr>
            </w:pPr>
            <w:r w:rsidRPr="00DB4EA0">
              <w:rPr>
                <w:color w:val="auto"/>
              </w:rPr>
              <w:t xml:space="preserve">Azote total (NT) </w:t>
            </w:r>
            <w:r w:rsidRPr="00A90056">
              <w:rPr>
                <w:color w:val="auto"/>
                <w:vertAlign w:val="superscript"/>
              </w:rPr>
              <w:t>(</w:t>
            </w:r>
            <w:r w:rsidR="001C739C">
              <w:rPr>
                <w:color w:val="auto"/>
                <w:vertAlign w:val="superscript"/>
              </w:rPr>
              <w:t>9</w:t>
            </w:r>
            <w:r w:rsidRPr="00A90056">
              <w:rPr>
                <w:color w:val="auto"/>
                <w:vertAlign w:val="superscript"/>
              </w:rPr>
              <w:t>)</w:t>
            </w:r>
          </w:p>
        </w:tc>
        <w:tc>
          <w:tcPr>
            <w:tcW w:w="860" w:type="dxa"/>
          </w:tcPr>
          <w:p w14:paraId="3216DA7D" w14:textId="0420A303" w:rsidR="002B798B" w:rsidRPr="00DB4EA0" w:rsidRDefault="002B798B" w:rsidP="009E65B3">
            <w:pPr>
              <w:pStyle w:val="Default"/>
              <w:spacing w:after="40"/>
              <w:jc w:val="both"/>
              <w:rPr>
                <w:color w:val="auto"/>
              </w:rPr>
            </w:pPr>
            <w:r w:rsidRPr="00DB4EA0">
              <w:rPr>
                <w:color w:val="auto"/>
              </w:rPr>
              <w:t>mg/</w:t>
            </w:r>
            <w:r w:rsidR="00205F64">
              <w:rPr>
                <w:color w:val="auto"/>
              </w:rPr>
              <w:t>L</w:t>
            </w:r>
          </w:p>
        </w:tc>
        <w:tc>
          <w:tcPr>
            <w:tcW w:w="2037" w:type="dxa"/>
          </w:tcPr>
          <w:p w14:paraId="31C8AB9A" w14:textId="5D0E34ED" w:rsidR="002B798B" w:rsidRPr="00DB4EA0" w:rsidRDefault="002B798B" w:rsidP="006E1CF2">
            <w:pPr>
              <w:pStyle w:val="Default"/>
              <w:spacing w:after="40"/>
              <w:jc w:val="center"/>
              <w:rPr>
                <w:color w:val="auto"/>
              </w:rPr>
            </w:pPr>
            <w:r w:rsidRPr="00DB4EA0">
              <w:rPr>
                <w:color w:val="auto"/>
              </w:rPr>
              <w:t>25</w:t>
            </w:r>
            <w:r w:rsidR="0035579C">
              <w:rPr>
                <w:color w:val="auto"/>
              </w:rPr>
              <w:t xml:space="preserve"> </w:t>
            </w:r>
            <w:r w:rsidRPr="00A90056">
              <w:rPr>
                <w:color w:val="auto"/>
                <w:vertAlign w:val="superscript"/>
              </w:rPr>
              <w:t>(</w:t>
            </w:r>
            <w:r w:rsidR="007778E0">
              <w:rPr>
                <w:color w:val="auto"/>
                <w:vertAlign w:val="superscript"/>
              </w:rPr>
              <w:t>3</w:t>
            </w:r>
            <w:r w:rsidRPr="00A90056">
              <w:rPr>
                <w:color w:val="auto"/>
                <w:vertAlign w:val="superscript"/>
              </w:rPr>
              <w:t>)</w:t>
            </w:r>
            <w:r w:rsidR="0035579C" w:rsidRPr="00A90056">
              <w:rPr>
                <w:color w:val="auto"/>
                <w:vertAlign w:val="superscript"/>
              </w:rPr>
              <w:t xml:space="preserve"> </w:t>
            </w:r>
            <w:r w:rsidRPr="00A90056">
              <w:rPr>
                <w:color w:val="auto"/>
                <w:vertAlign w:val="superscript"/>
              </w:rPr>
              <w:t>(</w:t>
            </w:r>
            <w:r w:rsidR="001C739C">
              <w:rPr>
                <w:color w:val="auto"/>
                <w:vertAlign w:val="superscript"/>
              </w:rPr>
              <w:t>5</w:t>
            </w:r>
            <w:r w:rsidRPr="00A90056">
              <w:rPr>
                <w:color w:val="auto"/>
                <w:vertAlign w:val="superscript"/>
              </w:rPr>
              <w:t>)</w:t>
            </w:r>
            <w:r w:rsidR="0035579C" w:rsidRPr="00A90056">
              <w:rPr>
                <w:color w:val="auto"/>
                <w:vertAlign w:val="superscript"/>
              </w:rPr>
              <w:t xml:space="preserve"> </w:t>
            </w:r>
            <w:r w:rsidRPr="00A90056">
              <w:rPr>
                <w:color w:val="auto"/>
                <w:vertAlign w:val="superscript"/>
              </w:rPr>
              <w:t>(</w:t>
            </w:r>
            <w:r w:rsidR="001C739C">
              <w:rPr>
                <w:color w:val="auto"/>
                <w:vertAlign w:val="superscript"/>
              </w:rPr>
              <w:t>6</w:t>
            </w:r>
            <w:r w:rsidRPr="00A90056">
              <w:rPr>
                <w:color w:val="auto"/>
                <w:vertAlign w:val="superscript"/>
              </w:rPr>
              <w:t>)</w:t>
            </w:r>
          </w:p>
        </w:tc>
        <w:tc>
          <w:tcPr>
            <w:tcW w:w="1503" w:type="dxa"/>
          </w:tcPr>
          <w:p w14:paraId="69BE4A62" w14:textId="7BB7FEC5" w:rsidR="002B798B" w:rsidRPr="00DB4EA0" w:rsidRDefault="00F51510" w:rsidP="006E1CF2">
            <w:pPr>
              <w:pStyle w:val="Default"/>
              <w:spacing w:after="40"/>
              <w:jc w:val="center"/>
              <w:rPr>
                <w:color w:val="auto"/>
              </w:rPr>
            </w:pPr>
            <w:r w:rsidRPr="00DB4EA0">
              <w:rPr>
                <w:color w:val="auto"/>
              </w:rPr>
              <w:t>6018</w:t>
            </w:r>
          </w:p>
        </w:tc>
      </w:tr>
      <w:tr w:rsidR="00DB4EA0" w:rsidRPr="00DB4EA0" w14:paraId="38A8FAC7" w14:textId="105079D8" w:rsidTr="00DB4EA0">
        <w:trPr>
          <w:jc w:val="center"/>
        </w:trPr>
        <w:tc>
          <w:tcPr>
            <w:tcW w:w="2541" w:type="dxa"/>
          </w:tcPr>
          <w:p w14:paraId="1CD49C79" w14:textId="051156D8" w:rsidR="002B798B" w:rsidRPr="00DB4EA0" w:rsidRDefault="002B798B" w:rsidP="00287475">
            <w:pPr>
              <w:pStyle w:val="Default"/>
              <w:spacing w:after="40"/>
              <w:jc w:val="both"/>
              <w:rPr>
                <w:color w:val="auto"/>
              </w:rPr>
            </w:pPr>
            <w:r w:rsidRPr="00DB4EA0">
              <w:rPr>
                <w:color w:val="auto"/>
              </w:rPr>
              <w:t xml:space="preserve">Phosphore total (PT) </w:t>
            </w:r>
            <w:r w:rsidRPr="00A90056">
              <w:rPr>
                <w:color w:val="auto"/>
                <w:vertAlign w:val="superscript"/>
              </w:rPr>
              <w:t>(</w:t>
            </w:r>
            <w:r w:rsidR="001C739C">
              <w:rPr>
                <w:color w:val="auto"/>
                <w:vertAlign w:val="superscript"/>
              </w:rPr>
              <w:t>9</w:t>
            </w:r>
            <w:r w:rsidRPr="00A90056">
              <w:rPr>
                <w:color w:val="auto"/>
                <w:vertAlign w:val="superscript"/>
              </w:rPr>
              <w:t>)</w:t>
            </w:r>
          </w:p>
        </w:tc>
        <w:tc>
          <w:tcPr>
            <w:tcW w:w="860" w:type="dxa"/>
          </w:tcPr>
          <w:p w14:paraId="23838508" w14:textId="053D61C8" w:rsidR="002B798B" w:rsidRPr="00DB4EA0" w:rsidRDefault="002B798B" w:rsidP="00287475">
            <w:pPr>
              <w:pStyle w:val="Default"/>
              <w:spacing w:after="40"/>
              <w:jc w:val="both"/>
              <w:rPr>
                <w:color w:val="auto"/>
              </w:rPr>
            </w:pPr>
            <w:r w:rsidRPr="00DB4EA0">
              <w:rPr>
                <w:color w:val="auto"/>
              </w:rPr>
              <w:t>mg/</w:t>
            </w:r>
            <w:r w:rsidR="00205F64">
              <w:rPr>
                <w:color w:val="auto"/>
              </w:rPr>
              <w:t>L</w:t>
            </w:r>
          </w:p>
        </w:tc>
        <w:tc>
          <w:tcPr>
            <w:tcW w:w="2037" w:type="dxa"/>
          </w:tcPr>
          <w:p w14:paraId="07934ACB" w14:textId="1EDCE9CF" w:rsidR="002B798B" w:rsidRPr="00DB4EA0" w:rsidRDefault="002B798B" w:rsidP="006E1CF2">
            <w:pPr>
              <w:pStyle w:val="Default"/>
              <w:spacing w:after="40"/>
              <w:jc w:val="center"/>
              <w:rPr>
                <w:color w:val="auto"/>
              </w:rPr>
            </w:pPr>
            <w:r w:rsidRPr="00DB4EA0">
              <w:rPr>
                <w:color w:val="auto"/>
              </w:rPr>
              <w:t>2</w:t>
            </w:r>
            <w:r w:rsidR="0035579C">
              <w:rPr>
                <w:color w:val="auto"/>
              </w:rPr>
              <w:t xml:space="preserve"> </w:t>
            </w:r>
            <w:r w:rsidRPr="00A90056">
              <w:rPr>
                <w:color w:val="auto"/>
                <w:vertAlign w:val="superscript"/>
              </w:rPr>
              <w:t>(</w:t>
            </w:r>
            <w:r w:rsidR="007778E0">
              <w:rPr>
                <w:color w:val="auto"/>
                <w:vertAlign w:val="superscript"/>
              </w:rPr>
              <w:t>3</w:t>
            </w:r>
            <w:r w:rsidRPr="00A90056">
              <w:rPr>
                <w:color w:val="auto"/>
                <w:vertAlign w:val="superscript"/>
              </w:rPr>
              <w:t>)</w:t>
            </w:r>
          </w:p>
        </w:tc>
        <w:tc>
          <w:tcPr>
            <w:tcW w:w="1503" w:type="dxa"/>
          </w:tcPr>
          <w:p w14:paraId="45F70345" w14:textId="043DCF72" w:rsidR="002B798B" w:rsidRPr="00DB4EA0" w:rsidRDefault="002B798B" w:rsidP="006E1CF2">
            <w:pPr>
              <w:pStyle w:val="Default"/>
              <w:spacing w:after="40"/>
              <w:jc w:val="center"/>
              <w:rPr>
                <w:color w:val="auto"/>
              </w:rPr>
            </w:pPr>
            <w:r w:rsidRPr="00DB4EA0">
              <w:rPr>
                <w:color w:val="auto"/>
              </w:rPr>
              <w:t>1350</w:t>
            </w:r>
          </w:p>
        </w:tc>
      </w:tr>
      <w:tr w:rsidR="00DB4EA0" w:rsidRPr="00DB4EA0" w14:paraId="4363E380" w14:textId="28FF3615" w:rsidTr="00DB4EA0">
        <w:trPr>
          <w:jc w:val="center"/>
        </w:trPr>
        <w:tc>
          <w:tcPr>
            <w:tcW w:w="2541" w:type="dxa"/>
          </w:tcPr>
          <w:p w14:paraId="45A98480" w14:textId="1C026DDD" w:rsidR="002B798B" w:rsidRPr="00DB4EA0" w:rsidRDefault="002B798B" w:rsidP="00287475">
            <w:pPr>
              <w:pStyle w:val="Default"/>
              <w:spacing w:after="40"/>
              <w:jc w:val="both"/>
              <w:rPr>
                <w:color w:val="auto"/>
              </w:rPr>
            </w:pPr>
            <w:r w:rsidRPr="00DB4EA0">
              <w:rPr>
                <w:color w:val="auto"/>
              </w:rPr>
              <w:t xml:space="preserve">Composés organochlorés adsorbables (AOX) </w:t>
            </w:r>
            <w:r w:rsidRPr="00A90056">
              <w:rPr>
                <w:color w:val="auto"/>
                <w:vertAlign w:val="superscript"/>
              </w:rPr>
              <w:t>(</w:t>
            </w:r>
            <w:r w:rsidR="001C739C">
              <w:rPr>
                <w:color w:val="auto"/>
                <w:vertAlign w:val="superscript"/>
              </w:rPr>
              <w:t>8</w:t>
            </w:r>
            <w:r w:rsidRPr="00A90056">
              <w:rPr>
                <w:color w:val="auto"/>
                <w:vertAlign w:val="superscript"/>
              </w:rPr>
              <w:t>)</w:t>
            </w:r>
          </w:p>
        </w:tc>
        <w:tc>
          <w:tcPr>
            <w:tcW w:w="860" w:type="dxa"/>
          </w:tcPr>
          <w:p w14:paraId="134D0509" w14:textId="243D6B96" w:rsidR="002B798B" w:rsidRPr="00DB4EA0" w:rsidRDefault="002B798B" w:rsidP="00287475">
            <w:pPr>
              <w:pStyle w:val="Default"/>
              <w:spacing w:after="40"/>
              <w:jc w:val="both"/>
              <w:rPr>
                <w:color w:val="auto"/>
              </w:rPr>
            </w:pPr>
            <w:r w:rsidRPr="00DB4EA0">
              <w:rPr>
                <w:color w:val="auto"/>
              </w:rPr>
              <w:t>mg/</w:t>
            </w:r>
            <w:r w:rsidR="00205F64">
              <w:rPr>
                <w:color w:val="auto"/>
              </w:rPr>
              <w:t>L</w:t>
            </w:r>
          </w:p>
        </w:tc>
        <w:tc>
          <w:tcPr>
            <w:tcW w:w="2037" w:type="dxa"/>
          </w:tcPr>
          <w:p w14:paraId="0CC6D847" w14:textId="7D2C098E" w:rsidR="002B798B" w:rsidRPr="00DB4EA0" w:rsidRDefault="002B798B" w:rsidP="006E1CF2">
            <w:pPr>
              <w:pStyle w:val="Default"/>
              <w:spacing w:after="40"/>
              <w:jc w:val="center"/>
              <w:rPr>
                <w:color w:val="auto"/>
              </w:rPr>
            </w:pPr>
            <w:r w:rsidRPr="00DB4EA0">
              <w:rPr>
                <w:color w:val="auto"/>
              </w:rPr>
              <w:t>0,3</w:t>
            </w:r>
          </w:p>
        </w:tc>
        <w:tc>
          <w:tcPr>
            <w:tcW w:w="1503" w:type="dxa"/>
          </w:tcPr>
          <w:p w14:paraId="6EEF896A" w14:textId="4FE90042" w:rsidR="002B798B" w:rsidRPr="00DB4EA0" w:rsidRDefault="002B798B" w:rsidP="006E1CF2">
            <w:pPr>
              <w:pStyle w:val="Default"/>
              <w:spacing w:after="40"/>
              <w:jc w:val="center"/>
              <w:rPr>
                <w:color w:val="auto"/>
              </w:rPr>
            </w:pPr>
            <w:r w:rsidRPr="00DB4EA0">
              <w:rPr>
                <w:color w:val="auto"/>
              </w:rPr>
              <w:t>1106</w:t>
            </w:r>
          </w:p>
        </w:tc>
      </w:tr>
      <w:tr w:rsidR="00E022ED" w:rsidRPr="00DB4EA0" w14:paraId="182205A8" w14:textId="77777777" w:rsidTr="00DB4EA0">
        <w:trPr>
          <w:jc w:val="center"/>
        </w:trPr>
        <w:tc>
          <w:tcPr>
            <w:tcW w:w="2541" w:type="dxa"/>
          </w:tcPr>
          <w:p w14:paraId="47B1BD19" w14:textId="37B9A340" w:rsidR="00E022ED" w:rsidRPr="00DB4EA0" w:rsidRDefault="00E022ED" w:rsidP="00287475">
            <w:pPr>
              <w:pStyle w:val="Default"/>
              <w:spacing w:after="40"/>
              <w:jc w:val="both"/>
              <w:rPr>
                <w:color w:val="auto"/>
              </w:rPr>
            </w:pPr>
            <w:r>
              <w:rPr>
                <w:color w:val="auto"/>
              </w:rPr>
              <w:t>M</w:t>
            </w:r>
            <w:r w:rsidRPr="00E022ED">
              <w:rPr>
                <w:color w:val="auto"/>
              </w:rPr>
              <w:t>atières grasses</w:t>
            </w:r>
          </w:p>
        </w:tc>
        <w:tc>
          <w:tcPr>
            <w:tcW w:w="860" w:type="dxa"/>
          </w:tcPr>
          <w:p w14:paraId="08B0363C" w14:textId="63552B16" w:rsidR="00E022ED" w:rsidRPr="00DB4EA0" w:rsidRDefault="00E022ED" w:rsidP="00287475">
            <w:pPr>
              <w:pStyle w:val="Default"/>
              <w:spacing w:after="40"/>
              <w:jc w:val="both"/>
              <w:rPr>
                <w:color w:val="auto"/>
              </w:rPr>
            </w:pPr>
            <w:r w:rsidRPr="00DB4EA0">
              <w:rPr>
                <w:color w:val="auto"/>
              </w:rPr>
              <w:t>mg/</w:t>
            </w:r>
            <w:r w:rsidR="00205F64">
              <w:rPr>
                <w:color w:val="auto"/>
              </w:rPr>
              <w:t>L</w:t>
            </w:r>
          </w:p>
        </w:tc>
        <w:tc>
          <w:tcPr>
            <w:tcW w:w="2037" w:type="dxa"/>
          </w:tcPr>
          <w:p w14:paraId="6B1D6094" w14:textId="46BBD01C" w:rsidR="00E022ED" w:rsidRPr="00DB4EA0" w:rsidRDefault="00E022ED" w:rsidP="006E1CF2">
            <w:pPr>
              <w:pStyle w:val="Default"/>
              <w:spacing w:after="40"/>
              <w:jc w:val="center"/>
              <w:rPr>
                <w:color w:val="auto"/>
              </w:rPr>
            </w:pPr>
            <w:r>
              <w:rPr>
                <w:color w:val="auto"/>
              </w:rPr>
              <w:t>15</w:t>
            </w:r>
          </w:p>
        </w:tc>
        <w:tc>
          <w:tcPr>
            <w:tcW w:w="1503" w:type="dxa"/>
          </w:tcPr>
          <w:p w14:paraId="610F043A" w14:textId="547BA49E" w:rsidR="00E022ED" w:rsidRPr="00DB4EA0" w:rsidRDefault="00062BEC" w:rsidP="006E1CF2">
            <w:pPr>
              <w:pStyle w:val="Default"/>
              <w:spacing w:after="40"/>
              <w:jc w:val="center"/>
              <w:rPr>
                <w:color w:val="auto"/>
              </w:rPr>
            </w:pPr>
            <w:r>
              <w:rPr>
                <w:color w:val="auto"/>
              </w:rPr>
              <w:t>1088</w:t>
            </w:r>
          </w:p>
        </w:tc>
      </w:tr>
      <w:tr w:rsidR="0000375C" w:rsidRPr="00DB4EA0" w14:paraId="209C88C3" w14:textId="77777777" w:rsidTr="00DB4EA0">
        <w:trPr>
          <w:jc w:val="center"/>
        </w:trPr>
        <w:tc>
          <w:tcPr>
            <w:tcW w:w="2541" w:type="dxa"/>
          </w:tcPr>
          <w:p w14:paraId="046FA252" w14:textId="7140D290" w:rsidR="0000375C" w:rsidRDefault="0000375C" w:rsidP="00287475">
            <w:pPr>
              <w:pStyle w:val="Default"/>
              <w:spacing w:after="40"/>
              <w:jc w:val="both"/>
              <w:rPr>
                <w:color w:val="auto"/>
              </w:rPr>
            </w:pPr>
            <w:r>
              <w:rPr>
                <w:color w:val="auto"/>
              </w:rPr>
              <w:t>Zinc</w:t>
            </w:r>
          </w:p>
        </w:tc>
        <w:tc>
          <w:tcPr>
            <w:tcW w:w="860" w:type="dxa"/>
          </w:tcPr>
          <w:p w14:paraId="49B2CEA6" w14:textId="5562E3C7" w:rsidR="0000375C" w:rsidRPr="00DB4EA0" w:rsidRDefault="0000375C" w:rsidP="00287475">
            <w:pPr>
              <w:pStyle w:val="Default"/>
              <w:spacing w:after="40"/>
              <w:jc w:val="both"/>
              <w:rPr>
                <w:color w:val="auto"/>
              </w:rPr>
            </w:pPr>
            <w:r w:rsidRPr="00DB4EA0">
              <w:rPr>
                <w:color w:val="auto"/>
              </w:rPr>
              <w:t>mg/</w:t>
            </w:r>
            <w:r w:rsidR="00205F64">
              <w:rPr>
                <w:color w:val="auto"/>
              </w:rPr>
              <w:t>L</w:t>
            </w:r>
          </w:p>
        </w:tc>
        <w:tc>
          <w:tcPr>
            <w:tcW w:w="2037" w:type="dxa"/>
          </w:tcPr>
          <w:p w14:paraId="6BAE8C3F" w14:textId="4DC91BA3" w:rsidR="0000375C" w:rsidRDefault="0000375C" w:rsidP="006E1CF2">
            <w:pPr>
              <w:pStyle w:val="Default"/>
              <w:spacing w:after="40"/>
              <w:jc w:val="center"/>
              <w:rPr>
                <w:color w:val="auto"/>
              </w:rPr>
            </w:pPr>
            <w:r w:rsidRPr="0000375C">
              <w:rPr>
                <w:color w:val="auto"/>
              </w:rPr>
              <w:t>0,5</w:t>
            </w:r>
            <w:r w:rsidR="0035579C">
              <w:rPr>
                <w:color w:val="auto"/>
              </w:rPr>
              <w:t xml:space="preserve"> </w:t>
            </w:r>
            <w:r w:rsidRPr="00A90056">
              <w:rPr>
                <w:color w:val="auto"/>
                <w:vertAlign w:val="superscript"/>
              </w:rPr>
              <w:t>(</w:t>
            </w:r>
            <w:r w:rsidR="001C739C">
              <w:rPr>
                <w:color w:val="auto"/>
                <w:vertAlign w:val="superscript"/>
              </w:rPr>
              <w:t>10</w:t>
            </w:r>
            <w:r w:rsidRPr="00A90056">
              <w:rPr>
                <w:color w:val="auto"/>
                <w:vertAlign w:val="superscript"/>
              </w:rPr>
              <w:t>)</w:t>
            </w:r>
            <w:r>
              <w:rPr>
                <w:color w:val="auto"/>
              </w:rPr>
              <w:t xml:space="preserve"> </w:t>
            </w:r>
          </w:p>
        </w:tc>
        <w:tc>
          <w:tcPr>
            <w:tcW w:w="1503" w:type="dxa"/>
          </w:tcPr>
          <w:p w14:paraId="224733D7" w14:textId="224A4F39" w:rsidR="0000375C" w:rsidRDefault="0000375C" w:rsidP="006E1CF2">
            <w:pPr>
              <w:pStyle w:val="Default"/>
              <w:spacing w:after="40"/>
              <w:jc w:val="center"/>
              <w:rPr>
                <w:color w:val="auto"/>
              </w:rPr>
            </w:pPr>
            <w:r>
              <w:rPr>
                <w:color w:val="auto"/>
              </w:rPr>
              <w:t>1383</w:t>
            </w:r>
          </w:p>
        </w:tc>
      </w:tr>
    </w:tbl>
    <w:p w14:paraId="434F5B8D" w14:textId="757E7B6C" w:rsidR="009E65B3" w:rsidRPr="00DB4EA0" w:rsidRDefault="009E65B3" w:rsidP="00401831">
      <w:pPr>
        <w:pStyle w:val="Default"/>
        <w:spacing w:after="40"/>
        <w:jc w:val="both"/>
        <w:rPr>
          <w:color w:val="auto"/>
        </w:rPr>
      </w:pPr>
    </w:p>
    <w:p w14:paraId="3F5278EA" w14:textId="348DDF81" w:rsidR="00A21BCF" w:rsidRPr="00A21BCF" w:rsidRDefault="00A21BCF" w:rsidP="00A21BCF">
      <w:pPr>
        <w:pStyle w:val="NormalWeb"/>
        <w:spacing w:beforeAutospacing="0" w:after="40" w:line="240" w:lineRule="auto"/>
        <w:jc w:val="both"/>
      </w:pPr>
      <w:r w:rsidRPr="00A90056">
        <w:rPr>
          <w:rFonts w:eastAsia="Calibri"/>
          <w:vertAlign w:val="superscript"/>
          <w:lang w:eastAsia="en-US"/>
        </w:rPr>
        <w:t>(</w:t>
      </w:r>
      <w:r w:rsidR="007778E0">
        <w:rPr>
          <w:rFonts w:eastAsia="Calibri"/>
          <w:vertAlign w:val="superscript"/>
          <w:lang w:eastAsia="en-US"/>
        </w:rPr>
        <w:t>1</w:t>
      </w:r>
      <w:r w:rsidRPr="00A90056">
        <w:rPr>
          <w:rFonts w:eastAsia="Calibri"/>
          <w:vertAlign w:val="superscript"/>
          <w:lang w:eastAsia="en-US"/>
        </w:rPr>
        <w:t>)</w:t>
      </w:r>
      <w:r w:rsidRPr="00A21BCF">
        <w:t xml:space="preserve"> </w:t>
      </w:r>
      <w:r w:rsidR="00615315">
        <w:t>P</w:t>
      </w:r>
      <w:r w:rsidR="00C54407">
        <w:t>our les installations existantes, l</w:t>
      </w:r>
      <w:r w:rsidRPr="00A21BCF">
        <w:t xml:space="preserve">a </w:t>
      </w:r>
      <w:r w:rsidR="00BF16A1">
        <w:t>valeur limite d’émission</w:t>
      </w:r>
      <w:r w:rsidRPr="00A21BCF">
        <w:t xml:space="preserve"> applicable est soit celle pour la DCO, soit celui pour le COT. La </w:t>
      </w:r>
      <w:r w:rsidR="00BF16A1">
        <w:t>valeur limite d’émission</w:t>
      </w:r>
      <w:r w:rsidRPr="00A21BCF">
        <w:t xml:space="preserve"> pour le COT est préférable car la surveillance du COT n’implique pas l’utilisation de composés très toxiques.</w:t>
      </w:r>
      <w:r w:rsidR="00C54407">
        <w:t xml:space="preserve"> </w:t>
      </w:r>
      <w:r w:rsidR="00C54407" w:rsidRPr="00C54407">
        <w:t>Pour les installations nouvelles, le paramètre COT est suivi à la place du paramètre DCO.</w:t>
      </w:r>
    </w:p>
    <w:p w14:paraId="22FEC568" w14:textId="7E2800E2" w:rsidR="009E65B3" w:rsidRPr="00A21BCF" w:rsidRDefault="009E65B3" w:rsidP="009E65B3">
      <w:pPr>
        <w:pStyle w:val="Default"/>
        <w:spacing w:after="40"/>
        <w:jc w:val="both"/>
        <w:rPr>
          <w:color w:val="auto"/>
        </w:rPr>
      </w:pPr>
      <w:r w:rsidRPr="00A90056">
        <w:rPr>
          <w:color w:val="auto"/>
          <w:vertAlign w:val="superscript"/>
        </w:rPr>
        <w:t>(</w:t>
      </w:r>
      <w:r w:rsidR="007778E0">
        <w:rPr>
          <w:color w:val="auto"/>
          <w:vertAlign w:val="superscript"/>
        </w:rPr>
        <w:t>2</w:t>
      </w:r>
      <w:r w:rsidRPr="00A90056">
        <w:rPr>
          <w:color w:val="auto"/>
          <w:vertAlign w:val="superscript"/>
        </w:rPr>
        <w:t>)</w:t>
      </w:r>
      <w:r w:rsidRPr="00A21BCF">
        <w:rPr>
          <w:color w:val="auto"/>
        </w:rPr>
        <w:t xml:space="preserve"> Pour les installations transformant des sous-produits animaux et/ou des coproduits alimentaires, </w:t>
      </w:r>
      <w:r w:rsidR="00C54407">
        <w:rPr>
          <w:color w:val="auto"/>
        </w:rPr>
        <w:t>l</w:t>
      </w:r>
      <w:r w:rsidRPr="00A21BCF">
        <w:rPr>
          <w:color w:val="auto"/>
        </w:rPr>
        <w:t xml:space="preserve">a </w:t>
      </w:r>
      <w:r w:rsidR="00BF16A1">
        <w:t>valeur limite d’émission</w:t>
      </w:r>
      <w:r w:rsidRPr="00A21BCF">
        <w:rPr>
          <w:color w:val="auto"/>
        </w:rPr>
        <w:t xml:space="preserve"> </w:t>
      </w:r>
      <w:r w:rsidR="001C1E0E">
        <w:rPr>
          <w:color w:val="auto"/>
        </w:rPr>
        <w:t>est de</w:t>
      </w:r>
      <w:r w:rsidRPr="00A21BCF">
        <w:rPr>
          <w:color w:val="auto"/>
        </w:rPr>
        <w:t xml:space="preserve"> 120</w:t>
      </w:r>
      <w:r w:rsidR="00205F64">
        <w:rPr>
          <w:color w:val="auto"/>
        </w:rPr>
        <w:t> </w:t>
      </w:r>
      <w:r w:rsidRPr="00A21BCF">
        <w:rPr>
          <w:color w:val="auto"/>
        </w:rPr>
        <w:t>mg/</w:t>
      </w:r>
      <w:r w:rsidR="00205F64">
        <w:rPr>
          <w:color w:val="auto"/>
        </w:rPr>
        <w:t>L</w:t>
      </w:r>
      <w:r w:rsidRPr="00A21BCF">
        <w:rPr>
          <w:color w:val="auto"/>
        </w:rPr>
        <w:t xml:space="preserve"> uniquement lorsque l’efficacité du traitement de réduction de la DCO est </w:t>
      </w:r>
      <w:r w:rsidR="00615315">
        <w:rPr>
          <w:color w:val="auto"/>
        </w:rPr>
        <w:t xml:space="preserve">supérieure ou égale à </w:t>
      </w:r>
      <w:r w:rsidRPr="00A21BCF">
        <w:rPr>
          <w:color w:val="auto"/>
        </w:rPr>
        <w:t>95</w:t>
      </w:r>
      <w:r w:rsidR="00205F64">
        <w:rPr>
          <w:color w:val="auto"/>
        </w:rPr>
        <w:t> </w:t>
      </w:r>
      <w:r w:rsidRPr="00A21BCF">
        <w:rPr>
          <w:color w:val="auto"/>
        </w:rPr>
        <w:t>% en moyenne sur douze mois ou au cours de la période de production.</w:t>
      </w:r>
    </w:p>
    <w:p w14:paraId="4A7A81DB" w14:textId="5E628482" w:rsidR="009738B3" w:rsidRDefault="009E65B3" w:rsidP="00A336B6">
      <w:pPr>
        <w:pStyle w:val="Default"/>
        <w:spacing w:after="40"/>
        <w:jc w:val="both"/>
        <w:rPr>
          <w:color w:val="auto"/>
        </w:rPr>
      </w:pPr>
      <w:r w:rsidRPr="00A90056">
        <w:rPr>
          <w:color w:val="auto"/>
          <w:vertAlign w:val="superscript"/>
        </w:rPr>
        <w:t>(</w:t>
      </w:r>
      <w:r w:rsidR="007778E0">
        <w:rPr>
          <w:color w:val="auto"/>
          <w:vertAlign w:val="superscript"/>
        </w:rPr>
        <w:t>3</w:t>
      </w:r>
      <w:r w:rsidRPr="00A90056">
        <w:rPr>
          <w:color w:val="auto"/>
          <w:vertAlign w:val="superscript"/>
        </w:rPr>
        <w:t>)</w:t>
      </w:r>
      <w:r w:rsidRPr="00A21BCF">
        <w:rPr>
          <w:color w:val="auto"/>
        </w:rPr>
        <w:t xml:space="preserve"> </w:t>
      </w:r>
      <w:r w:rsidR="00BF16A1">
        <w:rPr>
          <w:color w:val="auto"/>
        </w:rPr>
        <w:t xml:space="preserve">La </w:t>
      </w:r>
      <w:r w:rsidR="00BF16A1">
        <w:t>valeur limite d’émission</w:t>
      </w:r>
      <w:r w:rsidR="00BF16A1" w:rsidRPr="00A21BCF">
        <w:rPr>
          <w:color w:val="auto"/>
        </w:rPr>
        <w:t xml:space="preserve"> </w:t>
      </w:r>
      <w:r w:rsidRPr="00A21BCF">
        <w:rPr>
          <w:color w:val="auto"/>
        </w:rPr>
        <w:t>peut ne pas être applicable pour les rejets d’eau de mer issus de la production de farine et d’huile de poisson</w:t>
      </w:r>
      <w:r w:rsidR="009738B3">
        <w:rPr>
          <w:color w:val="auto"/>
        </w:rPr>
        <w:t xml:space="preserve">. </w:t>
      </w:r>
      <w:r w:rsidR="009117BC">
        <w:rPr>
          <w:color w:val="auto"/>
        </w:rPr>
        <w:t>Dans ce cas</w:t>
      </w:r>
      <w:r w:rsidR="009738B3">
        <w:rPr>
          <w:color w:val="auto"/>
        </w:rPr>
        <w:t>, les dispositions de l’article 32 de l’arrêté du 2 février 1998 susvisé sont respectées.</w:t>
      </w:r>
    </w:p>
    <w:p w14:paraId="635D39E4" w14:textId="2DDC5027" w:rsidR="009E65B3" w:rsidRPr="00A21BCF" w:rsidRDefault="009E65B3" w:rsidP="009E65B3">
      <w:pPr>
        <w:pStyle w:val="Default"/>
        <w:spacing w:after="40"/>
        <w:jc w:val="both"/>
        <w:rPr>
          <w:color w:val="auto"/>
        </w:rPr>
      </w:pPr>
      <w:r w:rsidRPr="00A90056">
        <w:rPr>
          <w:color w:val="auto"/>
          <w:vertAlign w:val="superscript"/>
        </w:rPr>
        <w:t>(</w:t>
      </w:r>
      <w:r w:rsidR="007778E0">
        <w:rPr>
          <w:color w:val="auto"/>
          <w:vertAlign w:val="superscript"/>
        </w:rPr>
        <w:t>4</w:t>
      </w:r>
      <w:r w:rsidRPr="00A90056">
        <w:rPr>
          <w:color w:val="auto"/>
          <w:vertAlign w:val="superscript"/>
        </w:rPr>
        <w:t>)</w:t>
      </w:r>
      <w:r w:rsidRPr="00A21BCF">
        <w:rPr>
          <w:color w:val="auto"/>
        </w:rPr>
        <w:t xml:space="preserve"> Pour les installations transformant des sous-produits animaux et/ou des coproduits alimentaires, </w:t>
      </w:r>
      <w:r w:rsidR="00C54407">
        <w:rPr>
          <w:color w:val="auto"/>
        </w:rPr>
        <w:t>l</w:t>
      </w:r>
      <w:r w:rsidR="00A21BCF" w:rsidRPr="00A21BCF">
        <w:rPr>
          <w:color w:val="auto"/>
        </w:rPr>
        <w:t xml:space="preserve">a </w:t>
      </w:r>
      <w:r w:rsidR="00BF16A1">
        <w:t>valeur limite d’émission</w:t>
      </w:r>
      <w:r w:rsidRPr="00A21BCF">
        <w:rPr>
          <w:color w:val="auto"/>
        </w:rPr>
        <w:t xml:space="preserve"> </w:t>
      </w:r>
      <w:r w:rsidR="000E2738">
        <w:rPr>
          <w:color w:val="auto"/>
        </w:rPr>
        <w:t>est de</w:t>
      </w:r>
      <w:r w:rsidRPr="00A21BCF">
        <w:rPr>
          <w:color w:val="auto"/>
        </w:rPr>
        <w:t xml:space="preserve"> 40</w:t>
      </w:r>
      <w:r w:rsidR="00205F64">
        <w:rPr>
          <w:color w:val="auto"/>
        </w:rPr>
        <w:t> </w:t>
      </w:r>
      <w:r w:rsidRPr="00A21BCF">
        <w:rPr>
          <w:color w:val="auto"/>
        </w:rPr>
        <w:t>mg/</w:t>
      </w:r>
      <w:r w:rsidR="00205F64">
        <w:rPr>
          <w:color w:val="auto"/>
        </w:rPr>
        <w:t>L</w:t>
      </w:r>
      <w:r w:rsidRPr="00A21BCF">
        <w:rPr>
          <w:color w:val="auto"/>
        </w:rPr>
        <w:t xml:space="preserve"> uniquement lorsque l’efficacité du traitement de réduction du COT est </w:t>
      </w:r>
      <w:r w:rsidR="00205F64">
        <w:rPr>
          <w:color w:val="auto"/>
        </w:rPr>
        <w:t xml:space="preserve">supérieure ou égale à </w:t>
      </w:r>
      <w:r w:rsidRPr="00A21BCF">
        <w:rPr>
          <w:color w:val="auto"/>
        </w:rPr>
        <w:t>95</w:t>
      </w:r>
      <w:r w:rsidR="00205F64">
        <w:rPr>
          <w:color w:val="auto"/>
        </w:rPr>
        <w:t> </w:t>
      </w:r>
      <w:r w:rsidRPr="00A21BCF">
        <w:rPr>
          <w:color w:val="auto"/>
        </w:rPr>
        <w:t>% en moyenne sur douze mois ou au cours de la période de production.</w:t>
      </w:r>
    </w:p>
    <w:p w14:paraId="6A1A853F" w14:textId="0B8EAF1B" w:rsidR="009E65B3" w:rsidRPr="00A21BCF" w:rsidRDefault="009E65B3" w:rsidP="009E65B3">
      <w:pPr>
        <w:pStyle w:val="Default"/>
        <w:spacing w:after="40"/>
        <w:jc w:val="both"/>
        <w:rPr>
          <w:color w:val="auto"/>
        </w:rPr>
      </w:pPr>
      <w:r w:rsidRPr="00A90056">
        <w:rPr>
          <w:color w:val="auto"/>
          <w:vertAlign w:val="superscript"/>
        </w:rPr>
        <w:t>(</w:t>
      </w:r>
      <w:r w:rsidR="001C739C">
        <w:rPr>
          <w:color w:val="auto"/>
          <w:vertAlign w:val="superscript"/>
        </w:rPr>
        <w:t>5</w:t>
      </w:r>
      <w:r w:rsidRPr="00A90056">
        <w:rPr>
          <w:color w:val="auto"/>
          <w:vertAlign w:val="superscript"/>
        </w:rPr>
        <w:t>)</w:t>
      </w:r>
      <w:r w:rsidRPr="00A21BCF">
        <w:rPr>
          <w:color w:val="auto"/>
        </w:rPr>
        <w:t xml:space="preserve"> </w:t>
      </w:r>
      <w:r w:rsidR="003E771E" w:rsidRPr="00A21BCF">
        <w:rPr>
          <w:color w:val="auto"/>
        </w:rPr>
        <w:t xml:space="preserve">La </w:t>
      </w:r>
      <w:r w:rsidR="00BF16A1">
        <w:t>valeur limite d’émission</w:t>
      </w:r>
      <w:r w:rsidRPr="00A21BCF">
        <w:rPr>
          <w:color w:val="auto"/>
        </w:rPr>
        <w:t xml:space="preserve"> peut ne pas être applicable en cas de faible température des effluents aqueux (inférieure à 12</w:t>
      </w:r>
      <w:r w:rsidR="00205F64">
        <w:rPr>
          <w:color w:val="auto"/>
        </w:rPr>
        <w:t> </w:t>
      </w:r>
      <w:r w:rsidRPr="00A21BCF">
        <w:rPr>
          <w:color w:val="auto"/>
        </w:rPr>
        <w:t>°C, par exemple) pendant de longues périodes.</w:t>
      </w:r>
    </w:p>
    <w:p w14:paraId="604C5437" w14:textId="7D8DDE68" w:rsidR="009E65B3" w:rsidRDefault="009E65B3" w:rsidP="009E65B3">
      <w:pPr>
        <w:pStyle w:val="Default"/>
        <w:spacing w:after="40"/>
        <w:jc w:val="both"/>
        <w:rPr>
          <w:color w:val="auto"/>
        </w:rPr>
      </w:pPr>
      <w:r w:rsidRPr="00A90056">
        <w:rPr>
          <w:color w:val="auto"/>
          <w:vertAlign w:val="superscript"/>
        </w:rPr>
        <w:t>(</w:t>
      </w:r>
      <w:r w:rsidR="001C739C">
        <w:rPr>
          <w:color w:val="auto"/>
          <w:vertAlign w:val="superscript"/>
        </w:rPr>
        <w:t>6</w:t>
      </w:r>
      <w:r w:rsidRPr="00A90056">
        <w:rPr>
          <w:color w:val="auto"/>
          <w:vertAlign w:val="superscript"/>
        </w:rPr>
        <w:t>)</w:t>
      </w:r>
      <w:r w:rsidRPr="00A21BCF">
        <w:rPr>
          <w:color w:val="auto"/>
        </w:rPr>
        <w:t xml:space="preserve"> Pour les installations de traitement des sous-produits animaux et/ou des coproduits alimentaires, la </w:t>
      </w:r>
      <w:r w:rsidR="00BF16A1">
        <w:t>valeur limite d’émission</w:t>
      </w:r>
      <w:r w:rsidRPr="00A21BCF">
        <w:rPr>
          <w:color w:val="auto"/>
        </w:rPr>
        <w:t xml:space="preserve"> </w:t>
      </w:r>
      <w:r w:rsidR="00C54407">
        <w:rPr>
          <w:color w:val="auto"/>
        </w:rPr>
        <w:t>est de</w:t>
      </w:r>
      <w:r w:rsidRPr="00A21BCF">
        <w:rPr>
          <w:color w:val="auto"/>
        </w:rPr>
        <w:t xml:space="preserve"> 40</w:t>
      </w:r>
      <w:r w:rsidR="00205F64">
        <w:rPr>
          <w:color w:val="auto"/>
        </w:rPr>
        <w:t> </w:t>
      </w:r>
      <w:r w:rsidRPr="00A21BCF">
        <w:rPr>
          <w:color w:val="auto"/>
        </w:rPr>
        <w:t>mg/</w:t>
      </w:r>
      <w:r w:rsidR="00205F64">
        <w:rPr>
          <w:color w:val="auto"/>
        </w:rPr>
        <w:t>L</w:t>
      </w:r>
      <w:r w:rsidRPr="00A21BCF">
        <w:rPr>
          <w:color w:val="auto"/>
        </w:rPr>
        <w:t xml:space="preserve"> uniquement lorsque l’efficacité du traitement de réduction d’azote total est </w:t>
      </w:r>
      <w:r w:rsidR="00205F64">
        <w:rPr>
          <w:color w:val="auto"/>
        </w:rPr>
        <w:t xml:space="preserve">supérieure ou égale à </w:t>
      </w:r>
      <w:r w:rsidRPr="00A21BCF">
        <w:rPr>
          <w:color w:val="auto"/>
        </w:rPr>
        <w:t>90</w:t>
      </w:r>
      <w:r w:rsidR="00205F64">
        <w:rPr>
          <w:color w:val="auto"/>
        </w:rPr>
        <w:t> </w:t>
      </w:r>
      <w:r w:rsidRPr="00A21BCF">
        <w:rPr>
          <w:color w:val="auto"/>
        </w:rPr>
        <w:t>% en moyenne sur douze mois ou au cours de la période de production.</w:t>
      </w:r>
    </w:p>
    <w:p w14:paraId="281C9B3F" w14:textId="3F217B28" w:rsidR="001C739C" w:rsidRPr="00A21BCF" w:rsidRDefault="001C739C" w:rsidP="009E65B3">
      <w:pPr>
        <w:pStyle w:val="Default"/>
        <w:spacing w:after="40"/>
        <w:jc w:val="both"/>
        <w:rPr>
          <w:color w:val="auto"/>
        </w:rPr>
      </w:pPr>
      <w:r w:rsidRPr="00A90056">
        <w:rPr>
          <w:vertAlign w:val="superscript"/>
        </w:rPr>
        <w:t>(</w:t>
      </w:r>
      <w:r>
        <w:rPr>
          <w:vertAlign w:val="superscript"/>
        </w:rPr>
        <w:t>7</w:t>
      </w:r>
      <w:r w:rsidRPr="00A90056">
        <w:rPr>
          <w:vertAlign w:val="superscript"/>
        </w:rPr>
        <w:t>)</w:t>
      </w:r>
      <w:r w:rsidRPr="00A21BCF">
        <w:t xml:space="preserve"> </w:t>
      </w:r>
      <w:r w:rsidRPr="001C739C">
        <w:rPr>
          <w:color w:val="auto"/>
        </w:rPr>
        <w:t>La limite supérieure de la fourchette de NEA-MTD peut être plus élevée, jusqu’à un maximum de 40</w:t>
      </w:r>
      <w:r w:rsidR="002757CF">
        <w:rPr>
          <w:color w:val="auto"/>
        </w:rPr>
        <w:t> </w:t>
      </w:r>
      <w:r w:rsidRPr="001C739C">
        <w:rPr>
          <w:color w:val="auto"/>
        </w:rPr>
        <w:t>mg/</w:t>
      </w:r>
      <w:r w:rsidR="00205F64">
        <w:rPr>
          <w:color w:val="auto"/>
        </w:rPr>
        <w:t>L</w:t>
      </w:r>
      <w:r w:rsidRPr="001C739C">
        <w:rPr>
          <w:color w:val="auto"/>
        </w:rPr>
        <w:t xml:space="preserve"> pour la fabrication de gélatine.</w:t>
      </w:r>
    </w:p>
    <w:p w14:paraId="34BE2C26" w14:textId="469A3218" w:rsidR="00A21BCF" w:rsidRPr="00BA3D96" w:rsidRDefault="00A21BCF" w:rsidP="00A21BCF">
      <w:pPr>
        <w:pStyle w:val="NormalWeb"/>
        <w:spacing w:beforeAutospacing="0" w:after="40" w:line="240" w:lineRule="auto"/>
        <w:jc w:val="both"/>
      </w:pPr>
      <w:r w:rsidRPr="00A90056">
        <w:rPr>
          <w:rFonts w:eastAsia="Calibri"/>
          <w:vertAlign w:val="superscript"/>
          <w:lang w:eastAsia="en-US"/>
        </w:rPr>
        <w:t>(</w:t>
      </w:r>
      <w:r w:rsidR="001C739C">
        <w:rPr>
          <w:rFonts w:eastAsia="Calibri"/>
          <w:vertAlign w:val="superscript"/>
          <w:lang w:eastAsia="en-US"/>
        </w:rPr>
        <w:t>8</w:t>
      </w:r>
      <w:r w:rsidRPr="00A90056">
        <w:rPr>
          <w:rFonts w:eastAsia="Calibri"/>
          <w:vertAlign w:val="superscript"/>
          <w:lang w:eastAsia="en-US"/>
        </w:rPr>
        <w:t>)</w:t>
      </w:r>
      <w:r w:rsidRPr="00A21BCF">
        <w:t xml:space="preserve"> La </w:t>
      </w:r>
      <w:r w:rsidR="00BF16A1">
        <w:t>valeur limite d’émission</w:t>
      </w:r>
      <w:r w:rsidRPr="00A21BCF">
        <w:t xml:space="preserve"> ne s’applique que lorsque la présence de la substance/du paramètre concerné est jugée pertinente dans le flux d’effluents aqueux</w:t>
      </w:r>
      <w:r w:rsidRPr="00BA3D96">
        <w:t>, d’après l’inventaire des flux entrants et sortants mentionné à l’article 3.5 du présent arrêté</w:t>
      </w:r>
      <w:r w:rsidR="00BE3761">
        <w:t xml:space="preserve">. </w:t>
      </w:r>
    </w:p>
    <w:p w14:paraId="70926CB2" w14:textId="73EEF809" w:rsidR="0072076A" w:rsidRDefault="00072364" w:rsidP="00530CCE">
      <w:pPr>
        <w:pStyle w:val="NormalWeb"/>
        <w:spacing w:beforeAutospacing="0" w:after="40"/>
        <w:jc w:val="both"/>
      </w:pPr>
      <w:r w:rsidRPr="00A90056">
        <w:rPr>
          <w:rFonts w:eastAsia="Calibri"/>
          <w:vertAlign w:val="superscript"/>
          <w:lang w:eastAsia="en-US"/>
        </w:rPr>
        <w:t>(</w:t>
      </w:r>
      <w:r w:rsidR="001C739C">
        <w:rPr>
          <w:rFonts w:eastAsia="Calibri"/>
          <w:vertAlign w:val="superscript"/>
          <w:lang w:eastAsia="en-US"/>
        </w:rPr>
        <w:t>9</w:t>
      </w:r>
      <w:r w:rsidRPr="00A90056">
        <w:rPr>
          <w:rFonts w:eastAsia="Calibri"/>
          <w:vertAlign w:val="superscript"/>
          <w:lang w:eastAsia="en-US"/>
        </w:rPr>
        <w:t>)</w:t>
      </w:r>
      <w:r w:rsidRPr="00BA3D96">
        <w:rPr>
          <w:b/>
          <w:bCs/>
        </w:rPr>
        <w:t xml:space="preserve"> </w:t>
      </w:r>
      <w:r w:rsidR="00A21BCF" w:rsidRPr="00BA3D96">
        <w:t>Lorsque l’installation est raccordée à une station d’épuration, qui n’est pas exploitée par le producteur des eaux résiduaires industrielles, et sous réserve du respect du III de l’article R. 515-65</w:t>
      </w:r>
      <w:r w:rsidR="002757CF">
        <w:t xml:space="preserve"> du code de l’environnement</w:t>
      </w:r>
      <w:r w:rsidR="00A21BCF" w:rsidRPr="00BA3D96">
        <w:t>, l’arrêté préfectoral d’autorisation peut fixer une valeur limite de concentration n’excédant pas les valeurs limites indiquées dans le tableau divisées par « 1-taux d’abattement de la station</w:t>
      </w:r>
      <w:r w:rsidR="00615315">
        <w:t> »</w:t>
      </w:r>
      <w:r w:rsidR="00A21BCF" w:rsidRPr="00BA3D96">
        <w:t>. La valeur peut être différente après avis du conseil mentionné à l’article R. 181-39</w:t>
      </w:r>
      <w:r w:rsidR="002757CF">
        <w:t xml:space="preserve"> du même code</w:t>
      </w:r>
      <w:r w:rsidR="00A21BCF" w:rsidRPr="00BA3D96">
        <w:t>.</w:t>
      </w:r>
    </w:p>
    <w:p w14:paraId="712854AD" w14:textId="083EEF02" w:rsidR="00BA3D96" w:rsidRDefault="0000375C" w:rsidP="00530CCE">
      <w:pPr>
        <w:pStyle w:val="NormalWeb"/>
        <w:spacing w:beforeAutospacing="0" w:after="40"/>
        <w:jc w:val="both"/>
      </w:pPr>
      <w:r w:rsidRPr="00A90056">
        <w:rPr>
          <w:rFonts w:eastAsia="Calibri"/>
          <w:vertAlign w:val="superscript"/>
          <w:lang w:eastAsia="en-US"/>
        </w:rPr>
        <w:t>(</w:t>
      </w:r>
      <w:r w:rsidR="001C739C">
        <w:rPr>
          <w:rFonts w:eastAsia="Calibri"/>
          <w:vertAlign w:val="superscript"/>
          <w:lang w:eastAsia="en-US"/>
        </w:rPr>
        <w:t>10</w:t>
      </w:r>
      <w:r w:rsidRPr="00A90056">
        <w:rPr>
          <w:rFonts w:eastAsia="Calibri"/>
          <w:vertAlign w:val="superscript"/>
          <w:lang w:eastAsia="en-US"/>
        </w:rPr>
        <w:t>)</w:t>
      </w:r>
      <w:r>
        <w:t xml:space="preserve"> La </w:t>
      </w:r>
      <w:r w:rsidR="00BF16A1">
        <w:t>valeur limite d’émission</w:t>
      </w:r>
      <w:r>
        <w:t xml:space="preserve"> s’applique </w:t>
      </w:r>
      <w:r w:rsidRPr="0000375C">
        <w:t xml:space="preserve">lorsque le flux journalier maximal autorisé </w:t>
      </w:r>
      <w:r w:rsidR="00744909">
        <w:t xml:space="preserve">dépasse </w:t>
      </w:r>
      <w:r w:rsidRPr="0000375C">
        <w:t>20</w:t>
      </w:r>
      <w:r w:rsidR="002757CF">
        <w:t> </w:t>
      </w:r>
      <w:r w:rsidRPr="0000375C">
        <w:t>g/j.</w:t>
      </w:r>
    </w:p>
    <w:p w14:paraId="5CE49237" w14:textId="77777777" w:rsidR="00BE3761" w:rsidRDefault="00BE3761" w:rsidP="00530CCE">
      <w:pPr>
        <w:pStyle w:val="NormalWeb"/>
        <w:spacing w:beforeAutospacing="0" w:after="40"/>
        <w:jc w:val="both"/>
      </w:pPr>
    </w:p>
    <w:p w14:paraId="629FFE1A" w14:textId="36566231" w:rsidR="00530CCE" w:rsidRPr="00A21BCF" w:rsidRDefault="00530CCE" w:rsidP="00530CCE">
      <w:pPr>
        <w:pStyle w:val="NormalWeb"/>
        <w:spacing w:beforeAutospacing="0" w:after="40"/>
        <w:jc w:val="both"/>
      </w:pPr>
      <w:r w:rsidRPr="00114BAA">
        <w:t>II</w:t>
      </w:r>
      <w:r w:rsidR="0036618F">
        <w:t>. - </w:t>
      </w:r>
      <w:bookmarkStart w:id="82" w:name="_Hlk185432306"/>
      <w:r w:rsidR="005B225B">
        <w:t>Pour les paramètres ou polluants autres que ceux mentionnés au I, l</w:t>
      </w:r>
      <w:r w:rsidR="007828F3">
        <w:t>’exploitant respecte l</w:t>
      </w:r>
      <w:r w:rsidR="0072076A" w:rsidRPr="0072076A">
        <w:t xml:space="preserve">es dispositions de l'article 32 de l'arrêté du 2 février 1998 </w:t>
      </w:r>
      <w:r w:rsidR="002757CF">
        <w:t>susvisé</w:t>
      </w:r>
      <w:r w:rsidR="007828F3">
        <w:t>.</w:t>
      </w:r>
      <w:bookmarkEnd w:id="82"/>
    </w:p>
    <w:p w14:paraId="04D40D6B" w14:textId="77777777" w:rsidR="00063D84" w:rsidRPr="00A21BCF" w:rsidRDefault="00063D84" w:rsidP="008B3A3A">
      <w:pPr>
        <w:suppressAutoHyphens w:val="0"/>
        <w:spacing w:after="40"/>
        <w:jc w:val="both"/>
        <w:textAlignment w:val="auto"/>
        <w:rPr>
          <w:kern w:val="0"/>
          <w:szCs w:val="24"/>
          <w:lang w:eastAsia="fr-FR"/>
        </w:rPr>
      </w:pPr>
    </w:p>
    <w:p w14:paraId="035F4CF6" w14:textId="03412210" w:rsidR="00C05657" w:rsidRPr="00BC1570" w:rsidRDefault="00C05657" w:rsidP="004638C8">
      <w:pPr>
        <w:pStyle w:val="Titre1"/>
      </w:pPr>
      <w:bookmarkStart w:id="83" w:name="_Toc164951615"/>
      <w:bookmarkStart w:id="84" w:name="_Toc164951721"/>
      <w:r w:rsidRPr="00BC1570">
        <w:t>Chapitre VI</w:t>
      </w:r>
      <w:r w:rsidR="0036618F">
        <w:t>. - </w:t>
      </w:r>
      <w:r w:rsidR="0065789B">
        <w:t xml:space="preserve"> </w:t>
      </w:r>
      <w:r w:rsidRPr="00BC1570">
        <w:t>Émissions dans l’air</w:t>
      </w:r>
      <w:bookmarkEnd w:id="83"/>
      <w:bookmarkEnd w:id="84"/>
    </w:p>
    <w:p w14:paraId="2F9F129B" w14:textId="44D7D87C" w:rsidR="007834B8" w:rsidRPr="00BC1570" w:rsidRDefault="007834B8" w:rsidP="004638C8">
      <w:pPr>
        <w:pStyle w:val="Titre3"/>
      </w:pPr>
      <w:bookmarkStart w:id="85" w:name="_Toc164951722"/>
      <w:r w:rsidRPr="00BC1570">
        <w:t>Article 6.1 Généralités</w:t>
      </w:r>
      <w:bookmarkEnd w:id="85"/>
    </w:p>
    <w:p w14:paraId="73BD73DD" w14:textId="2B01CB44" w:rsidR="000A7299" w:rsidRDefault="00BC1570" w:rsidP="000A7299">
      <w:pPr>
        <w:pStyle w:val="Default"/>
        <w:spacing w:after="40"/>
        <w:jc w:val="both"/>
        <w:rPr>
          <w:color w:val="auto"/>
        </w:rPr>
      </w:pPr>
      <w:r>
        <w:rPr>
          <w:color w:val="auto"/>
        </w:rPr>
        <w:t>I</w:t>
      </w:r>
      <w:r w:rsidR="0036618F">
        <w:t>. - </w:t>
      </w:r>
      <w:r w:rsidR="007834B8" w:rsidRPr="00BC1570">
        <w:rPr>
          <w:color w:val="auto"/>
        </w:rPr>
        <w:t xml:space="preserve">Les poussières, gaz polluants ou odeurs sont captés à la source et canalisés, sauf dans le cas d’une impossibilité technique justifiée. </w:t>
      </w:r>
      <w:r w:rsidR="00293929" w:rsidRPr="00293929">
        <w:rPr>
          <w:color w:val="auto"/>
        </w:rPr>
        <w:t xml:space="preserve">Les effluents sont collectés et rejetés </w:t>
      </w:r>
      <w:r w:rsidR="007828F3">
        <w:rPr>
          <w:color w:val="auto"/>
        </w:rPr>
        <w:t>dans</w:t>
      </w:r>
      <w:r w:rsidR="00293929" w:rsidRPr="00293929">
        <w:rPr>
          <w:color w:val="auto"/>
        </w:rPr>
        <w:t xml:space="preserve"> l’atmosphère, après traitement éventuel, par l’intermédiaire de cheminées pour permettre une bonne diffusion des rejets. </w:t>
      </w:r>
      <w:r w:rsidR="00C119A8">
        <w:rPr>
          <w:color w:val="auto"/>
        </w:rPr>
        <w:t xml:space="preserve">L’exploitant dispose </w:t>
      </w:r>
      <w:r w:rsidR="00BA024F">
        <w:rPr>
          <w:color w:val="auto"/>
        </w:rPr>
        <w:t xml:space="preserve">de plans permettant de </w:t>
      </w:r>
      <w:r w:rsidR="000A7299">
        <w:rPr>
          <w:color w:val="auto"/>
        </w:rPr>
        <w:t>visualiser</w:t>
      </w:r>
      <w:r w:rsidR="00BA024F">
        <w:rPr>
          <w:color w:val="auto"/>
        </w:rPr>
        <w:t xml:space="preserve"> l’ensemble des circuits de collectes et d’aspiration </w:t>
      </w:r>
      <w:r w:rsidR="002945EA">
        <w:rPr>
          <w:color w:val="auto"/>
        </w:rPr>
        <w:t xml:space="preserve">des gaz odorants et buées ainsi </w:t>
      </w:r>
      <w:r w:rsidR="00D25A7D">
        <w:rPr>
          <w:color w:val="auto"/>
        </w:rPr>
        <w:t xml:space="preserve">que </w:t>
      </w:r>
      <w:r w:rsidR="002945EA">
        <w:rPr>
          <w:color w:val="auto"/>
        </w:rPr>
        <w:t>du dossier d’installation définissant les caractéristiques aérau</w:t>
      </w:r>
      <w:r w:rsidR="000A7299">
        <w:rPr>
          <w:color w:val="auto"/>
        </w:rPr>
        <w:t xml:space="preserve">liques et dimensionnelles des installations. </w:t>
      </w:r>
    </w:p>
    <w:p w14:paraId="04999FA6" w14:textId="7F90DEBA" w:rsidR="007834B8" w:rsidRDefault="00293929" w:rsidP="000A7299">
      <w:pPr>
        <w:pStyle w:val="Default"/>
        <w:spacing w:after="40"/>
        <w:jc w:val="both"/>
        <w:rPr>
          <w:color w:val="auto"/>
        </w:rPr>
      </w:pPr>
      <w:r w:rsidRPr="00293929">
        <w:rPr>
          <w:color w:val="auto"/>
        </w:rPr>
        <w:t>La dilution des effluents est interdite sauf si elle est nécessaire en vue d’un traitement.</w:t>
      </w:r>
      <w:r>
        <w:rPr>
          <w:color w:val="auto"/>
        </w:rPr>
        <w:t xml:space="preserve"> </w:t>
      </w:r>
      <w:r w:rsidR="007834B8" w:rsidRPr="00BC1570">
        <w:rPr>
          <w:color w:val="auto"/>
        </w:rPr>
        <w:t>Les rejets sont conformes aux dispositions du présent arrêté.</w:t>
      </w:r>
    </w:p>
    <w:p w14:paraId="148E66E5" w14:textId="6991732F" w:rsidR="007834B8" w:rsidRPr="00BC1570" w:rsidRDefault="000D1F50" w:rsidP="008B3A3A">
      <w:pPr>
        <w:pStyle w:val="Default"/>
        <w:spacing w:after="40"/>
        <w:jc w:val="both"/>
        <w:rPr>
          <w:color w:val="auto"/>
        </w:rPr>
      </w:pPr>
      <w:r>
        <w:rPr>
          <w:color w:val="auto"/>
        </w:rPr>
        <w:t>II</w:t>
      </w:r>
      <w:r w:rsidR="0036618F">
        <w:t>. - </w:t>
      </w:r>
      <w:r w:rsidR="007834B8" w:rsidRPr="00BC1570">
        <w:rPr>
          <w:color w:val="auto"/>
        </w:rPr>
        <w:t>Les stockages de produits susceptibles de conduire à des émissions diffuses de polluants dans l’atmosphère sont confinés. Les installations de manipulation, transvasement, transport de ces produits sont, sauf impossibilité technique démontrée, munies de dispositifs de capotage et d’aspiration permettant de réduire les émissions dans l’atmosphère. Si nécessaire, les dispositifs d’aspiration sont raccordés à une installation de dépoussiérage en vue de respecter les dispositions du présent arrêté.</w:t>
      </w:r>
    </w:p>
    <w:p w14:paraId="360E0C86" w14:textId="77777777" w:rsidR="007834B8" w:rsidRPr="00BC1570" w:rsidRDefault="007834B8" w:rsidP="008B3A3A">
      <w:pPr>
        <w:pStyle w:val="Default"/>
        <w:spacing w:after="40"/>
        <w:jc w:val="both"/>
        <w:rPr>
          <w:color w:val="auto"/>
        </w:rPr>
      </w:pPr>
      <w:r w:rsidRPr="00BC1570">
        <w:rPr>
          <w:color w:val="auto"/>
        </w:rPr>
        <w:t>Le stockage des autres produits en vrac est réalisé dans la mesure du possible dans des espaces fermés. À défaut, des dispositions particulières tant au niveau de la conception et de la construction (implantation en fonction du vent, etc.) que de l’exploitation sont mises en œuvre.</w:t>
      </w:r>
    </w:p>
    <w:p w14:paraId="54034666" w14:textId="1CAC9771" w:rsidR="007834B8" w:rsidRPr="00915DEF" w:rsidRDefault="00BC1570" w:rsidP="008B3A3A">
      <w:pPr>
        <w:pStyle w:val="Default"/>
        <w:spacing w:after="40"/>
        <w:jc w:val="both"/>
      </w:pPr>
      <w:r>
        <w:t>II</w:t>
      </w:r>
      <w:r w:rsidR="000D1F50">
        <w:t>I</w:t>
      </w:r>
      <w:r w:rsidR="0036618F">
        <w:t>. </w:t>
      </w:r>
      <w:r w:rsidR="00B44E5A">
        <w:t>–</w:t>
      </w:r>
      <w:r w:rsidR="0036618F">
        <w:t> </w:t>
      </w:r>
      <w:bookmarkStart w:id="86" w:name="_Hlk185432564"/>
      <w:r w:rsidR="00F1230C" w:rsidRPr="00010CC8">
        <w:t xml:space="preserve">Pour </w:t>
      </w:r>
      <w:r w:rsidR="00010CC8" w:rsidRPr="00010CC8">
        <w:t xml:space="preserve">ses installations de traitement des effluents gazeux, </w:t>
      </w:r>
      <w:bookmarkEnd w:id="86"/>
      <w:r w:rsidR="00010CC8">
        <w:t>l’</w:t>
      </w:r>
      <w:r w:rsidR="00B44E5A">
        <w:t>exploitant respecte le</w:t>
      </w:r>
      <w:r w:rsidR="007834B8" w:rsidRPr="00915DEF">
        <w:t>s dispositions des articles 18 et 19 de l’arrêté du 2 février 1998 susvisé.</w:t>
      </w:r>
    </w:p>
    <w:p w14:paraId="2D2B2898" w14:textId="381D9805" w:rsidR="00DD1009" w:rsidRPr="00915DEF" w:rsidRDefault="00DD1009" w:rsidP="008B3A3A">
      <w:pPr>
        <w:pStyle w:val="Default"/>
        <w:spacing w:after="40"/>
        <w:jc w:val="both"/>
      </w:pPr>
    </w:p>
    <w:p w14:paraId="1ECB3D57" w14:textId="503B47E9" w:rsidR="00E47591" w:rsidRPr="00915DEF" w:rsidRDefault="00E47591" w:rsidP="004638C8">
      <w:pPr>
        <w:pStyle w:val="Titre3"/>
      </w:pPr>
      <w:bookmarkStart w:id="87" w:name="_Toc164951729"/>
      <w:r w:rsidRPr="00915DEF">
        <w:t xml:space="preserve">Article </w:t>
      </w:r>
      <w:r w:rsidR="009F2736" w:rsidRPr="00915DEF">
        <w:t>6.</w:t>
      </w:r>
      <w:r w:rsidR="0025080C">
        <w:t>2</w:t>
      </w:r>
      <w:r w:rsidRPr="000F7984">
        <w:t xml:space="preserve"> </w:t>
      </w:r>
      <w:r w:rsidR="00F34C7F" w:rsidRPr="000F7984">
        <w:t>Mesures de prévention et de g</w:t>
      </w:r>
      <w:r w:rsidR="008F1FB1" w:rsidRPr="000F7984">
        <w:t>estion</w:t>
      </w:r>
      <w:r w:rsidRPr="00915DEF">
        <w:t xml:space="preserve"> des émissions d'odeur</w:t>
      </w:r>
      <w:bookmarkEnd w:id="87"/>
    </w:p>
    <w:p w14:paraId="55B6DAD4" w14:textId="5B47C16A" w:rsidR="00E47591" w:rsidRPr="009B504A" w:rsidRDefault="00E47591" w:rsidP="00E47591">
      <w:pPr>
        <w:pStyle w:val="Default"/>
        <w:spacing w:after="40"/>
        <w:jc w:val="both"/>
        <w:rPr>
          <w:color w:val="auto"/>
        </w:rPr>
      </w:pPr>
      <w:r w:rsidRPr="009B504A">
        <w:rPr>
          <w:color w:val="auto"/>
        </w:rPr>
        <w:t>I</w:t>
      </w:r>
      <w:r w:rsidR="0036618F">
        <w:t>. - </w:t>
      </w:r>
      <w:r w:rsidRPr="009B504A">
        <w:rPr>
          <w:color w:val="auto"/>
        </w:rPr>
        <w:t>Mesures de prévention des émissions d’odeurs</w:t>
      </w:r>
    </w:p>
    <w:p w14:paraId="11ED6DA1" w14:textId="3DDA0028" w:rsidR="00E47591" w:rsidRPr="009B504A" w:rsidRDefault="00E47591" w:rsidP="00E47591">
      <w:pPr>
        <w:pStyle w:val="Default"/>
        <w:spacing w:after="40"/>
        <w:jc w:val="both"/>
        <w:rPr>
          <w:color w:val="auto"/>
        </w:rPr>
      </w:pPr>
      <w:r w:rsidRPr="009B504A">
        <w:rPr>
          <w:color w:val="auto"/>
        </w:rPr>
        <w:t xml:space="preserve">L’exploitant évite ou, si cela n’est pas possible, réduit les dégagements d’odeurs. Il établit, met en œuvre et réexamine régulièrement, dans le cadre du système de management environnemental </w:t>
      </w:r>
      <w:r w:rsidR="0051133D" w:rsidRPr="009B504A">
        <w:rPr>
          <w:color w:val="auto"/>
        </w:rPr>
        <w:t>prévu à l’article 3.4 du présent arrêté</w:t>
      </w:r>
      <w:r w:rsidRPr="009B504A">
        <w:rPr>
          <w:color w:val="auto"/>
        </w:rPr>
        <w:t>, un plan de gestion des odeurs comprenant l’ensemble des éléments suivants :</w:t>
      </w:r>
    </w:p>
    <w:p w14:paraId="5C936EFC" w14:textId="243A9A60" w:rsidR="00E47591" w:rsidRPr="009B504A" w:rsidRDefault="00E47591" w:rsidP="00E47591">
      <w:pPr>
        <w:pStyle w:val="Default"/>
        <w:spacing w:after="40"/>
        <w:jc w:val="both"/>
        <w:rPr>
          <w:color w:val="auto"/>
        </w:rPr>
      </w:pPr>
      <w:r w:rsidRPr="009B504A">
        <w:rPr>
          <w:color w:val="auto"/>
        </w:rPr>
        <w:t>-</w:t>
      </w:r>
      <w:r w:rsidR="00B33922">
        <w:rPr>
          <w:color w:val="auto"/>
        </w:rPr>
        <w:t> </w:t>
      </w:r>
      <w:r w:rsidRPr="009B504A">
        <w:rPr>
          <w:color w:val="auto"/>
        </w:rPr>
        <w:t>un protocole décrivant les mesures à prendre et les échéances</w:t>
      </w:r>
      <w:r w:rsidR="009B504A" w:rsidRPr="009B504A">
        <w:rPr>
          <w:color w:val="auto"/>
        </w:rPr>
        <w:t> </w:t>
      </w:r>
      <w:r w:rsidRPr="009B504A">
        <w:rPr>
          <w:color w:val="auto"/>
        </w:rPr>
        <w:t>;</w:t>
      </w:r>
    </w:p>
    <w:p w14:paraId="1F15ADEA" w14:textId="190C06C7" w:rsidR="00E47591" w:rsidRPr="009B504A" w:rsidRDefault="00E47591" w:rsidP="00E47591">
      <w:pPr>
        <w:pStyle w:val="Default"/>
        <w:spacing w:after="40"/>
        <w:jc w:val="both"/>
        <w:rPr>
          <w:color w:val="auto"/>
        </w:rPr>
      </w:pPr>
      <w:r w:rsidRPr="009B504A">
        <w:rPr>
          <w:color w:val="auto"/>
        </w:rPr>
        <w:t>-</w:t>
      </w:r>
      <w:r w:rsidR="00B33922">
        <w:rPr>
          <w:color w:val="auto"/>
        </w:rPr>
        <w:t> </w:t>
      </w:r>
      <w:r w:rsidRPr="009B504A">
        <w:rPr>
          <w:color w:val="auto"/>
        </w:rPr>
        <w:t>un protocole de surveillance des odeurs, éventuellement complété de mesures</w:t>
      </w:r>
      <w:r w:rsidR="00F1230C">
        <w:rPr>
          <w:color w:val="auto"/>
        </w:rPr>
        <w:t xml:space="preserve"> </w:t>
      </w:r>
      <w:r w:rsidR="00F1230C" w:rsidRPr="00F1230C">
        <w:rPr>
          <w:color w:val="auto"/>
        </w:rPr>
        <w:t>ou</w:t>
      </w:r>
      <w:r w:rsidR="00F1230C">
        <w:rPr>
          <w:color w:val="auto"/>
        </w:rPr>
        <w:t xml:space="preserve"> </w:t>
      </w:r>
      <w:r w:rsidRPr="009B504A">
        <w:rPr>
          <w:color w:val="auto"/>
        </w:rPr>
        <w:t>d’une estimation de l’exposition aux odeurs</w:t>
      </w:r>
      <w:r w:rsidR="00010CC8">
        <w:rPr>
          <w:color w:val="auto"/>
        </w:rPr>
        <w:t>,</w:t>
      </w:r>
      <w:r w:rsidRPr="009B504A">
        <w:rPr>
          <w:color w:val="auto"/>
        </w:rPr>
        <w:t xml:space="preserve"> ou d’une estimation des effets des odeurs</w:t>
      </w:r>
      <w:r w:rsidR="009B504A" w:rsidRPr="009B504A">
        <w:rPr>
          <w:color w:val="auto"/>
        </w:rPr>
        <w:t> </w:t>
      </w:r>
      <w:r w:rsidRPr="009B504A">
        <w:rPr>
          <w:color w:val="auto"/>
        </w:rPr>
        <w:t>;</w:t>
      </w:r>
    </w:p>
    <w:p w14:paraId="1DBDA0DC" w14:textId="7D6CC573" w:rsidR="00E47591" w:rsidRPr="009B504A" w:rsidRDefault="00E47591" w:rsidP="00E47591">
      <w:pPr>
        <w:pStyle w:val="Default"/>
        <w:spacing w:after="40"/>
        <w:jc w:val="both"/>
        <w:rPr>
          <w:color w:val="auto"/>
        </w:rPr>
      </w:pPr>
      <w:r w:rsidRPr="009B504A">
        <w:rPr>
          <w:color w:val="auto"/>
        </w:rPr>
        <w:t>-</w:t>
      </w:r>
      <w:r w:rsidR="00B33922">
        <w:rPr>
          <w:color w:val="auto"/>
        </w:rPr>
        <w:t> </w:t>
      </w:r>
      <w:r w:rsidRPr="009B504A">
        <w:rPr>
          <w:color w:val="auto"/>
        </w:rPr>
        <w:t>un protocole pour répondre aux incidents signalés liés aux odeurs (dans le cadre de plaintes, par exemple)</w:t>
      </w:r>
      <w:r w:rsidR="00FC404E" w:rsidRPr="009B504A">
        <w:rPr>
          <w:color w:val="auto"/>
        </w:rPr>
        <w:t xml:space="preserve"> </w:t>
      </w:r>
      <w:r w:rsidRPr="009B504A">
        <w:rPr>
          <w:color w:val="auto"/>
        </w:rPr>
        <w:t>;</w:t>
      </w:r>
    </w:p>
    <w:p w14:paraId="0ED0C9E7" w14:textId="277D560B" w:rsidR="00E47591" w:rsidRPr="009B504A" w:rsidRDefault="00E47591" w:rsidP="00E47591">
      <w:pPr>
        <w:pStyle w:val="Default"/>
        <w:spacing w:after="40"/>
        <w:jc w:val="both"/>
        <w:rPr>
          <w:color w:val="auto"/>
        </w:rPr>
      </w:pPr>
      <w:r w:rsidRPr="009B504A">
        <w:rPr>
          <w:color w:val="auto"/>
        </w:rPr>
        <w:t>-</w:t>
      </w:r>
      <w:r w:rsidR="00B33922">
        <w:rPr>
          <w:color w:val="auto"/>
        </w:rPr>
        <w:t> </w:t>
      </w:r>
      <w:r w:rsidRPr="009B504A">
        <w:rPr>
          <w:color w:val="auto"/>
        </w:rPr>
        <w:t>un programme de prévention et de réduction des odeurs destiné à identifier la ou les sources d’odeurs</w:t>
      </w:r>
      <w:r w:rsidR="00FC404E" w:rsidRPr="009B504A">
        <w:rPr>
          <w:color w:val="auto"/>
        </w:rPr>
        <w:t>,</w:t>
      </w:r>
      <w:r w:rsidRPr="009B504A">
        <w:rPr>
          <w:color w:val="auto"/>
        </w:rPr>
        <w:t xml:space="preserve"> à mesurer ou estimer l’exposition aux odeurs</w:t>
      </w:r>
      <w:r w:rsidR="00FC404E" w:rsidRPr="009B504A">
        <w:rPr>
          <w:color w:val="auto"/>
        </w:rPr>
        <w:t>,</w:t>
      </w:r>
      <w:r w:rsidRPr="009B504A">
        <w:rPr>
          <w:color w:val="auto"/>
        </w:rPr>
        <w:t xml:space="preserve"> à caractériser les contributions des sources</w:t>
      </w:r>
      <w:r w:rsidR="00FC404E" w:rsidRPr="009B504A">
        <w:rPr>
          <w:color w:val="auto"/>
        </w:rPr>
        <w:t>,</w:t>
      </w:r>
      <w:r w:rsidRPr="009B504A">
        <w:rPr>
          <w:color w:val="auto"/>
        </w:rPr>
        <w:t xml:space="preserve"> et à mettre en œuvre des mesures de prévention </w:t>
      </w:r>
      <w:r w:rsidRPr="00010CC8">
        <w:rPr>
          <w:color w:val="auto"/>
        </w:rPr>
        <w:t>et</w:t>
      </w:r>
      <w:r w:rsidR="00010CC8">
        <w:rPr>
          <w:color w:val="auto"/>
        </w:rPr>
        <w:t>,</w:t>
      </w:r>
      <w:r w:rsidR="00010CC8" w:rsidRPr="00010CC8">
        <w:rPr>
          <w:color w:val="auto"/>
        </w:rPr>
        <w:t xml:space="preserve"> le cas échéant</w:t>
      </w:r>
      <w:r w:rsidR="00010CC8">
        <w:rPr>
          <w:color w:val="auto"/>
        </w:rPr>
        <w:t>,</w:t>
      </w:r>
      <w:r w:rsidR="00010CC8" w:rsidRPr="00010CC8">
        <w:rPr>
          <w:color w:val="auto"/>
        </w:rPr>
        <w:t xml:space="preserve"> </w:t>
      </w:r>
      <w:r w:rsidRPr="009B504A">
        <w:rPr>
          <w:color w:val="auto"/>
        </w:rPr>
        <w:t>de réduction.</w:t>
      </w:r>
    </w:p>
    <w:p w14:paraId="7ADE5C4F" w14:textId="10E3EE96" w:rsidR="00E47591" w:rsidRPr="00DD26D6" w:rsidRDefault="00E47591" w:rsidP="00E47591">
      <w:pPr>
        <w:pStyle w:val="Default"/>
        <w:spacing w:after="40"/>
        <w:jc w:val="both"/>
        <w:rPr>
          <w:color w:val="auto"/>
        </w:rPr>
      </w:pPr>
      <w:r w:rsidRPr="009B504A">
        <w:rPr>
          <w:color w:val="auto"/>
        </w:rPr>
        <w:t xml:space="preserve">L’exploitant engage les mesures ci-dessus en cas de nuisance olfactive probable ou avérée dans des </w:t>
      </w:r>
      <w:r w:rsidRPr="00DD26D6">
        <w:rPr>
          <w:color w:val="auto"/>
        </w:rPr>
        <w:t>zones sensibles.</w:t>
      </w:r>
    </w:p>
    <w:p w14:paraId="3F884826" w14:textId="72F954EC" w:rsidR="00E47591" w:rsidRPr="00DD26D6" w:rsidRDefault="00E47591" w:rsidP="00E47591">
      <w:pPr>
        <w:pStyle w:val="Default"/>
        <w:spacing w:after="40"/>
        <w:jc w:val="both"/>
        <w:rPr>
          <w:color w:val="auto"/>
        </w:rPr>
      </w:pPr>
    </w:p>
    <w:p w14:paraId="3AF82BCF" w14:textId="140B60B3" w:rsidR="00CA3818" w:rsidRPr="00DD26D6" w:rsidRDefault="00604CE9" w:rsidP="00225FAE">
      <w:pPr>
        <w:pStyle w:val="Default"/>
        <w:spacing w:after="40"/>
        <w:jc w:val="both"/>
        <w:rPr>
          <w:color w:val="auto"/>
        </w:rPr>
      </w:pPr>
      <w:r w:rsidRPr="00DD26D6">
        <w:rPr>
          <w:color w:val="auto"/>
        </w:rPr>
        <w:t>II</w:t>
      </w:r>
      <w:r w:rsidR="0036618F">
        <w:t>. - </w:t>
      </w:r>
      <w:r w:rsidRPr="00DD26D6">
        <w:rPr>
          <w:color w:val="auto"/>
        </w:rPr>
        <w:t xml:space="preserve">Gaz </w:t>
      </w:r>
      <w:r w:rsidR="00CA3818" w:rsidRPr="00DD26D6">
        <w:rPr>
          <w:color w:val="auto"/>
        </w:rPr>
        <w:t>odorants froids</w:t>
      </w:r>
    </w:p>
    <w:p w14:paraId="6CA2A1C2" w14:textId="48C75CB5" w:rsidR="009B504A" w:rsidRPr="00DD26D6" w:rsidRDefault="00604CE9" w:rsidP="00225FAE">
      <w:pPr>
        <w:pStyle w:val="Default"/>
        <w:spacing w:after="40"/>
        <w:jc w:val="both"/>
        <w:rPr>
          <w:color w:val="auto"/>
        </w:rPr>
      </w:pPr>
      <w:r w:rsidRPr="00DD26D6">
        <w:rPr>
          <w:color w:val="auto"/>
        </w:rPr>
        <w:t xml:space="preserve">La dispersion des odeurs dans l'air ambiant des locaux de réception et de stockage de la matière première </w:t>
      </w:r>
      <w:r w:rsidR="000E19CD">
        <w:rPr>
          <w:color w:val="auto"/>
        </w:rPr>
        <w:t>est</w:t>
      </w:r>
      <w:r w:rsidRPr="00DD26D6">
        <w:rPr>
          <w:color w:val="auto"/>
        </w:rPr>
        <w:t xml:space="preserve"> limitée le plus possible :</w:t>
      </w:r>
    </w:p>
    <w:p w14:paraId="1A4F3649" w14:textId="73C5217D" w:rsidR="00604CE9" w:rsidRPr="00DD26D6" w:rsidRDefault="00604CE9" w:rsidP="00225FAE">
      <w:pPr>
        <w:pStyle w:val="Default"/>
        <w:spacing w:after="40"/>
        <w:jc w:val="both"/>
        <w:rPr>
          <w:color w:val="auto"/>
        </w:rPr>
      </w:pPr>
      <w:r w:rsidRPr="00DD26D6">
        <w:rPr>
          <w:color w:val="auto"/>
        </w:rPr>
        <w:t>- en réduisant la durée de stockage avant traitement ;</w:t>
      </w:r>
    </w:p>
    <w:p w14:paraId="668E3151" w14:textId="233C79AD" w:rsidR="00604CE9" w:rsidRPr="00DD26D6" w:rsidRDefault="00604CE9" w:rsidP="00225FAE">
      <w:pPr>
        <w:pStyle w:val="Default"/>
        <w:spacing w:after="40"/>
        <w:jc w:val="both"/>
        <w:rPr>
          <w:color w:val="auto"/>
        </w:rPr>
      </w:pPr>
      <w:r w:rsidRPr="00DD26D6">
        <w:rPr>
          <w:color w:val="auto"/>
        </w:rPr>
        <w:t>- en assurant la fermeture permanente des bâtiments de réception, de stockage et de traitement préparatoire des sous-produits d'origine animale ;</w:t>
      </w:r>
    </w:p>
    <w:p w14:paraId="3C2AAF18" w14:textId="75050EE5" w:rsidR="00604CE9" w:rsidRPr="00DD26D6" w:rsidRDefault="00604CE9" w:rsidP="00225FAE">
      <w:pPr>
        <w:pStyle w:val="Default"/>
        <w:spacing w:after="40"/>
        <w:jc w:val="both"/>
        <w:rPr>
          <w:color w:val="auto"/>
        </w:rPr>
      </w:pPr>
      <w:r w:rsidRPr="00DD26D6">
        <w:rPr>
          <w:color w:val="auto"/>
        </w:rPr>
        <w:t>- en évitant les dégagements d'odeurs provenant</w:t>
      </w:r>
      <w:r w:rsidR="00CD6F1F">
        <w:rPr>
          <w:color w:val="auto"/>
        </w:rPr>
        <w:t>,</w:t>
      </w:r>
      <w:r w:rsidRPr="00DD26D6">
        <w:rPr>
          <w:color w:val="auto"/>
        </w:rPr>
        <w:t xml:space="preserve"> notamment</w:t>
      </w:r>
      <w:r w:rsidR="00CD6F1F">
        <w:rPr>
          <w:color w:val="auto"/>
        </w:rPr>
        <w:t>,</w:t>
      </w:r>
      <w:r w:rsidRPr="00DD26D6">
        <w:rPr>
          <w:color w:val="auto"/>
        </w:rPr>
        <w:t xml:space="preserve"> des broyeurs et des vis de transfert par la mise en place de hottes ou de capots ;</w:t>
      </w:r>
    </w:p>
    <w:p w14:paraId="31372236" w14:textId="77777777" w:rsidR="00604CE9" w:rsidRPr="00DD26D6" w:rsidRDefault="00604CE9" w:rsidP="00225FAE">
      <w:pPr>
        <w:pStyle w:val="Default"/>
        <w:spacing w:after="40"/>
        <w:jc w:val="both"/>
        <w:rPr>
          <w:color w:val="auto"/>
        </w:rPr>
      </w:pPr>
      <w:r w:rsidRPr="00DD26D6">
        <w:rPr>
          <w:color w:val="auto"/>
        </w:rPr>
        <w:t>- en effectuant un nettoyage et une désinfection appropriés des locaux.</w:t>
      </w:r>
    </w:p>
    <w:p w14:paraId="623BC7DC" w14:textId="60E4DEAE" w:rsidR="00604CE9" w:rsidRPr="00DD26D6" w:rsidRDefault="00604CE9" w:rsidP="00CA3818">
      <w:pPr>
        <w:pStyle w:val="Default"/>
        <w:spacing w:after="40"/>
        <w:jc w:val="both"/>
        <w:rPr>
          <w:color w:val="auto"/>
        </w:rPr>
      </w:pPr>
      <w:r w:rsidRPr="00DD26D6">
        <w:rPr>
          <w:color w:val="auto"/>
        </w:rPr>
        <w:t>Dans les installations traitant par déshydratation les sous-produits d'origine animale tous les gaz odorants froids provenant des matières premières des installations de réception</w:t>
      </w:r>
      <w:r w:rsidR="00E32B65">
        <w:rPr>
          <w:color w:val="auto"/>
        </w:rPr>
        <w:t xml:space="preserve"> </w:t>
      </w:r>
      <w:r w:rsidRPr="00DD26D6">
        <w:rPr>
          <w:color w:val="auto"/>
        </w:rPr>
        <w:t>et de broyage sont collectés et dirigés vers une installation de traitement.</w:t>
      </w:r>
    </w:p>
    <w:p w14:paraId="0204A39F" w14:textId="0705C955" w:rsidR="00CA3818" w:rsidRPr="00DD26D6" w:rsidRDefault="00CA3818" w:rsidP="00CA3818">
      <w:pPr>
        <w:pStyle w:val="Default"/>
        <w:spacing w:after="40"/>
        <w:jc w:val="both"/>
        <w:rPr>
          <w:color w:val="auto"/>
        </w:rPr>
      </w:pPr>
    </w:p>
    <w:p w14:paraId="0297927F" w14:textId="6D3B5D77" w:rsidR="00CA3818" w:rsidRPr="00DD26D6" w:rsidRDefault="00CA3818" w:rsidP="00CA3818">
      <w:pPr>
        <w:pStyle w:val="Default"/>
        <w:spacing w:after="40"/>
        <w:jc w:val="both"/>
        <w:rPr>
          <w:color w:val="auto"/>
        </w:rPr>
      </w:pPr>
      <w:r w:rsidRPr="00DD26D6">
        <w:rPr>
          <w:color w:val="auto"/>
        </w:rPr>
        <w:t>III</w:t>
      </w:r>
      <w:r w:rsidR="0036618F">
        <w:t>. - </w:t>
      </w:r>
      <w:r w:rsidRPr="00DD26D6">
        <w:rPr>
          <w:color w:val="auto"/>
        </w:rPr>
        <w:t>Gaz odorants chauds</w:t>
      </w:r>
    </w:p>
    <w:p w14:paraId="5581E613" w14:textId="006E5678" w:rsidR="00CA3818" w:rsidRPr="00DD26D6" w:rsidRDefault="00CA3818" w:rsidP="00CA3818">
      <w:pPr>
        <w:pStyle w:val="Default"/>
        <w:spacing w:after="40"/>
        <w:jc w:val="both"/>
        <w:rPr>
          <w:color w:val="auto"/>
        </w:rPr>
      </w:pPr>
      <w:r w:rsidRPr="00DD26D6">
        <w:rPr>
          <w:color w:val="auto"/>
        </w:rPr>
        <w:t xml:space="preserve">Tous les gaz de cuisson et les gaz des ateliers </w:t>
      </w:r>
      <w:r w:rsidR="00F1230C">
        <w:rPr>
          <w:color w:val="auto"/>
        </w:rPr>
        <w:t>sont</w:t>
      </w:r>
      <w:r w:rsidRPr="00DD26D6">
        <w:rPr>
          <w:color w:val="auto"/>
        </w:rPr>
        <w:t xml:space="preserve"> collectés par des hottes ou des capotages au niveau des points d'émission</w:t>
      </w:r>
      <w:r w:rsidR="00CD6F1F">
        <w:rPr>
          <w:color w:val="auto"/>
        </w:rPr>
        <w:t>,</w:t>
      </w:r>
      <w:r w:rsidRPr="00DD26D6">
        <w:rPr>
          <w:color w:val="auto"/>
        </w:rPr>
        <w:t xml:space="preserve"> en particulier</w:t>
      </w:r>
      <w:r w:rsidR="00CD6F1F">
        <w:rPr>
          <w:color w:val="auto"/>
        </w:rPr>
        <w:t xml:space="preserve"> les endroits suivants</w:t>
      </w:r>
      <w:r w:rsidR="00D03987">
        <w:rPr>
          <w:color w:val="auto"/>
        </w:rPr>
        <w:t xml:space="preserve"> : </w:t>
      </w:r>
      <w:r w:rsidRPr="00DD26D6">
        <w:rPr>
          <w:color w:val="auto"/>
        </w:rPr>
        <w:t xml:space="preserve">postes de chargement et de déchargement des </w:t>
      </w:r>
      <w:proofErr w:type="spellStart"/>
      <w:r w:rsidRPr="00DD26D6">
        <w:rPr>
          <w:color w:val="auto"/>
        </w:rPr>
        <w:t>précuiseurs</w:t>
      </w:r>
      <w:proofErr w:type="spellEnd"/>
      <w:r w:rsidRPr="00DD26D6">
        <w:rPr>
          <w:color w:val="auto"/>
        </w:rPr>
        <w:t xml:space="preserve">, cuiseurs, </w:t>
      </w:r>
      <w:proofErr w:type="spellStart"/>
      <w:r w:rsidRPr="00DD26D6">
        <w:rPr>
          <w:color w:val="auto"/>
        </w:rPr>
        <w:t>hydrolyseurs</w:t>
      </w:r>
      <w:proofErr w:type="spellEnd"/>
      <w:r w:rsidRPr="00DD26D6">
        <w:rPr>
          <w:color w:val="auto"/>
        </w:rPr>
        <w:t>, etc. ;</w:t>
      </w:r>
    </w:p>
    <w:p w14:paraId="69DDAD22" w14:textId="0C8C048E" w:rsidR="00CA3818" w:rsidRPr="00DD26D6" w:rsidRDefault="00CA3818" w:rsidP="00CA3818">
      <w:pPr>
        <w:pStyle w:val="Default"/>
        <w:spacing w:after="40"/>
        <w:jc w:val="both"/>
        <w:rPr>
          <w:color w:val="auto"/>
        </w:rPr>
      </w:pPr>
      <w:r w:rsidRPr="00DD26D6">
        <w:rPr>
          <w:color w:val="auto"/>
        </w:rPr>
        <w:t xml:space="preserve">- exhaure de la pompe à vide des </w:t>
      </w:r>
      <w:proofErr w:type="spellStart"/>
      <w:r w:rsidRPr="00DD26D6">
        <w:rPr>
          <w:color w:val="auto"/>
        </w:rPr>
        <w:t>précuiseurs</w:t>
      </w:r>
      <w:proofErr w:type="spellEnd"/>
      <w:r w:rsidRPr="00DD26D6">
        <w:rPr>
          <w:color w:val="auto"/>
        </w:rPr>
        <w:t xml:space="preserve"> et cuiseurs ;</w:t>
      </w:r>
    </w:p>
    <w:p w14:paraId="7927BBFB" w14:textId="72976CF6" w:rsidR="00CA3818" w:rsidRPr="00DD26D6" w:rsidRDefault="00CA3818" w:rsidP="00CA3818">
      <w:pPr>
        <w:pStyle w:val="Default"/>
        <w:spacing w:after="40"/>
        <w:jc w:val="both"/>
        <w:rPr>
          <w:color w:val="auto"/>
        </w:rPr>
      </w:pPr>
      <w:r w:rsidRPr="00DD26D6">
        <w:rPr>
          <w:color w:val="auto"/>
        </w:rPr>
        <w:t>- capacités tampons entre deux postes de travail ;</w:t>
      </w:r>
    </w:p>
    <w:p w14:paraId="7A47011F" w14:textId="363C0E1B" w:rsidR="00CA3818" w:rsidRPr="00DD26D6" w:rsidRDefault="00CA3818" w:rsidP="00CA3818">
      <w:pPr>
        <w:pStyle w:val="Default"/>
        <w:spacing w:after="40"/>
        <w:jc w:val="both"/>
        <w:rPr>
          <w:color w:val="auto"/>
        </w:rPr>
      </w:pPr>
      <w:r w:rsidRPr="00DD26D6">
        <w:rPr>
          <w:color w:val="auto"/>
        </w:rPr>
        <w:t>- vis de transfert ;</w:t>
      </w:r>
    </w:p>
    <w:p w14:paraId="3BA1FFA1" w14:textId="79C01973" w:rsidR="00CA3818" w:rsidRPr="00DD26D6" w:rsidRDefault="00CA3818" w:rsidP="00CA3818">
      <w:pPr>
        <w:pStyle w:val="Default"/>
        <w:spacing w:after="40"/>
        <w:jc w:val="both"/>
        <w:rPr>
          <w:color w:val="auto"/>
        </w:rPr>
      </w:pPr>
      <w:r w:rsidRPr="00DD26D6">
        <w:rPr>
          <w:color w:val="auto"/>
        </w:rPr>
        <w:t>- installation de pressage, tamisage ;</w:t>
      </w:r>
    </w:p>
    <w:p w14:paraId="221285F0" w14:textId="49FBAADE" w:rsidR="00CA3818" w:rsidRPr="00DD26D6" w:rsidRDefault="00CA3818" w:rsidP="00CA3818">
      <w:pPr>
        <w:pStyle w:val="Default"/>
        <w:spacing w:after="40"/>
        <w:jc w:val="both"/>
        <w:rPr>
          <w:color w:val="auto"/>
        </w:rPr>
      </w:pPr>
      <w:r w:rsidRPr="00DD26D6">
        <w:rPr>
          <w:color w:val="auto"/>
        </w:rPr>
        <w:t>- sécheurs.</w:t>
      </w:r>
    </w:p>
    <w:p w14:paraId="09C1151E" w14:textId="30903F4E" w:rsidR="00CA3818" w:rsidRPr="00DD26D6" w:rsidRDefault="00CA3818" w:rsidP="00CA3818">
      <w:pPr>
        <w:pStyle w:val="Default"/>
        <w:spacing w:after="40"/>
        <w:jc w:val="both"/>
        <w:rPr>
          <w:color w:val="auto"/>
        </w:rPr>
      </w:pPr>
      <w:r w:rsidRPr="00DD26D6">
        <w:rPr>
          <w:color w:val="auto"/>
        </w:rPr>
        <w:t>Les effluents gazeux ainsi collectés sont dirigés</w:t>
      </w:r>
      <w:r w:rsidR="00CD6F1F">
        <w:rPr>
          <w:color w:val="auto"/>
        </w:rPr>
        <w:t>,</w:t>
      </w:r>
      <w:r w:rsidRPr="00DD26D6">
        <w:rPr>
          <w:color w:val="auto"/>
        </w:rPr>
        <w:t xml:space="preserve"> par des circuits réalisés dans des matériaux anticorrosion</w:t>
      </w:r>
      <w:r w:rsidR="00CD6F1F">
        <w:rPr>
          <w:color w:val="auto"/>
        </w:rPr>
        <w:t>,</w:t>
      </w:r>
      <w:r w:rsidRPr="00DD26D6">
        <w:rPr>
          <w:color w:val="auto"/>
        </w:rPr>
        <w:t xml:space="preserve"> vers des installations de prétraitement et/ou de traitement. Les rejets dans l'atmosphère </w:t>
      </w:r>
      <w:r w:rsidR="00F1230C">
        <w:rPr>
          <w:color w:val="auto"/>
        </w:rPr>
        <w:t>sont</w:t>
      </w:r>
      <w:r w:rsidRPr="00DD26D6">
        <w:rPr>
          <w:color w:val="auto"/>
        </w:rPr>
        <w:t xml:space="preserve"> épurés.</w:t>
      </w:r>
    </w:p>
    <w:p w14:paraId="6E6F03D0" w14:textId="4312B168" w:rsidR="00E47591" w:rsidRDefault="00E47591" w:rsidP="00E47591">
      <w:pPr>
        <w:pStyle w:val="Default"/>
        <w:spacing w:after="40"/>
        <w:jc w:val="both"/>
        <w:rPr>
          <w:color w:val="auto"/>
        </w:rPr>
      </w:pPr>
    </w:p>
    <w:p w14:paraId="01DE7890" w14:textId="380A6B59" w:rsidR="00FC5491" w:rsidRDefault="00FC5491" w:rsidP="00FC5491">
      <w:pPr>
        <w:pStyle w:val="Default"/>
        <w:spacing w:after="40"/>
        <w:jc w:val="both"/>
        <w:rPr>
          <w:color w:val="auto"/>
        </w:rPr>
      </w:pPr>
      <w:r>
        <w:rPr>
          <w:color w:val="auto"/>
        </w:rPr>
        <w:t>IV</w:t>
      </w:r>
      <w:r w:rsidR="0036618F">
        <w:t>. - </w:t>
      </w:r>
      <w:r>
        <w:rPr>
          <w:color w:val="auto"/>
        </w:rPr>
        <w:t xml:space="preserve">Dispositions spécifiques aux </w:t>
      </w:r>
      <w:r w:rsidRPr="00FC5491">
        <w:rPr>
          <w:color w:val="auto"/>
        </w:rPr>
        <w:t>installations traitant par déshydratation les sous-produits d'origine animale</w:t>
      </w:r>
    </w:p>
    <w:p w14:paraId="4EC3E555" w14:textId="43590DAC" w:rsidR="00FC5491" w:rsidRPr="00FC5491" w:rsidRDefault="00FC5491" w:rsidP="00FC5491">
      <w:pPr>
        <w:pStyle w:val="Default"/>
        <w:spacing w:after="40"/>
        <w:jc w:val="both"/>
        <w:rPr>
          <w:color w:val="auto"/>
        </w:rPr>
      </w:pPr>
      <w:r w:rsidRPr="00FC5491">
        <w:rPr>
          <w:color w:val="auto"/>
        </w:rPr>
        <w:t>Dans les installations existantes</w:t>
      </w:r>
      <w:r w:rsidR="001476A3">
        <w:rPr>
          <w:color w:val="auto"/>
        </w:rPr>
        <w:t xml:space="preserve"> avant le 25 avril 2008</w:t>
      </w:r>
      <w:r w:rsidRPr="00FC5491">
        <w:rPr>
          <w:color w:val="auto"/>
        </w:rPr>
        <w:t>, l'exploitant s'assure, sur la base d'une étude de dispersion</w:t>
      </w:r>
      <w:r w:rsidR="00E564A2">
        <w:rPr>
          <w:color w:val="auto"/>
        </w:rPr>
        <w:t xml:space="preserve"> </w:t>
      </w:r>
      <w:r w:rsidR="00E564A2" w:rsidRPr="00CD6F1F">
        <w:rPr>
          <w:color w:val="auto"/>
        </w:rPr>
        <w:t xml:space="preserve">à partir </w:t>
      </w:r>
      <w:r w:rsidR="00E67458">
        <w:rPr>
          <w:color w:val="auto"/>
        </w:rPr>
        <w:t xml:space="preserve">de l’ensemble </w:t>
      </w:r>
      <w:r w:rsidR="00E564A2" w:rsidRPr="00FC5491">
        <w:rPr>
          <w:color w:val="auto"/>
        </w:rPr>
        <w:t xml:space="preserve">des sources exprimés en débit d'odeur aux conditions normales </w:t>
      </w:r>
      <w:proofErr w:type="spellStart"/>
      <w:r w:rsidR="00E564A2" w:rsidRPr="00FC5491">
        <w:rPr>
          <w:color w:val="auto"/>
        </w:rPr>
        <w:t>olfactométriques</w:t>
      </w:r>
      <w:proofErr w:type="spellEnd"/>
      <w:r w:rsidRPr="00FC5491">
        <w:rPr>
          <w:color w:val="auto"/>
        </w:rPr>
        <w:t>, que la concentration d'odeur, calculée dans un rayon de 3</w:t>
      </w:r>
      <w:r w:rsidR="00E67458">
        <w:rPr>
          <w:color w:val="auto"/>
        </w:rPr>
        <w:t> </w:t>
      </w:r>
      <w:r w:rsidRPr="00FC5491">
        <w:rPr>
          <w:color w:val="auto"/>
        </w:rPr>
        <w:t>kilomètres par rapport aux limites de propriété de l'installation ne dépasse pas 5</w:t>
      </w:r>
      <w:r w:rsidR="00E67458">
        <w:rPr>
          <w:color w:val="auto"/>
        </w:rPr>
        <w:t> </w:t>
      </w:r>
      <w:proofErr w:type="spellStart"/>
      <w:r w:rsidR="00E67458">
        <w:rPr>
          <w:color w:val="auto"/>
        </w:rPr>
        <w:t>uoE</w:t>
      </w:r>
      <w:proofErr w:type="spellEnd"/>
      <w:r w:rsidRPr="00FC5491">
        <w:rPr>
          <w:color w:val="auto"/>
        </w:rPr>
        <w:t>/m³ plus de 175</w:t>
      </w:r>
      <w:r w:rsidR="00E67458">
        <w:rPr>
          <w:color w:val="auto"/>
        </w:rPr>
        <w:t> </w:t>
      </w:r>
      <w:r w:rsidRPr="00FC5491">
        <w:rPr>
          <w:color w:val="auto"/>
        </w:rPr>
        <w:t>heures par an (soit une fréquence de 2</w:t>
      </w:r>
      <w:r w:rsidR="00E67458">
        <w:rPr>
          <w:color w:val="auto"/>
        </w:rPr>
        <w:t> </w:t>
      </w:r>
      <w:r w:rsidRPr="00FC5491">
        <w:rPr>
          <w:color w:val="auto"/>
        </w:rPr>
        <w:t>%).</w:t>
      </w:r>
    </w:p>
    <w:p w14:paraId="13E81764" w14:textId="641214AF" w:rsidR="00FC5491" w:rsidRPr="00FC5491" w:rsidRDefault="00FC5491" w:rsidP="00FC5491">
      <w:pPr>
        <w:pStyle w:val="Default"/>
        <w:spacing w:after="40"/>
        <w:jc w:val="both"/>
        <w:rPr>
          <w:color w:val="auto"/>
        </w:rPr>
      </w:pPr>
      <w:r w:rsidRPr="00FC5491">
        <w:rPr>
          <w:color w:val="auto"/>
        </w:rPr>
        <w:t>Dans les installations nouvelle</w:t>
      </w:r>
      <w:r w:rsidR="001476A3">
        <w:rPr>
          <w:color w:val="auto"/>
        </w:rPr>
        <w:t>s et dans les installations existantes après le 25 avril 2008</w:t>
      </w:r>
      <w:r w:rsidRPr="00FC5491">
        <w:rPr>
          <w:color w:val="auto"/>
        </w:rPr>
        <w:t xml:space="preserve">, à partir d'une estimation des rejets de chacune des sources exprimés en débit d'odeur aux conditions normales </w:t>
      </w:r>
      <w:proofErr w:type="spellStart"/>
      <w:r w:rsidRPr="00FC5491">
        <w:rPr>
          <w:color w:val="auto"/>
        </w:rPr>
        <w:t>olfactométriques</w:t>
      </w:r>
      <w:proofErr w:type="spellEnd"/>
      <w:r w:rsidRPr="00FC5491">
        <w:rPr>
          <w:color w:val="auto"/>
        </w:rPr>
        <w:t>, l'exploitant démontre dans l'étude d'impact, sur la base d'une étude de dispersion, que la concentration d'odeur, calculée dans un rayon de 3</w:t>
      </w:r>
      <w:r w:rsidR="00E67458">
        <w:rPr>
          <w:color w:val="auto"/>
        </w:rPr>
        <w:t> </w:t>
      </w:r>
      <w:r w:rsidRPr="00FC5491">
        <w:rPr>
          <w:color w:val="auto"/>
        </w:rPr>
        <w:t>kilomètres par rapport aux limites de propriété de l'installation ne dépasse pas 5</w:t>
      </w:r>
      <w:r w:rsidR="00E67458">
        <w:rPr>
          <w:color w:val="auto"/>
        </w:rPr>
        <w:t> </w:t>
      </w:r>
      <w:proofErr w:type="spellStart"/>
      <w:r w:rsidR="00E67458">
        <w:rPr>
          <w:color w:val="auto"/>
        </w:rPr>
        <w:t>uoE</w:t>
      </w:r>
      <w:proofErr w:type="spellEnd"/>
      <w:r w:rsidRPr="00FC5491">
        <w:rPr>
          <w:color w:val="auto"/>
        </w:rPr>
        <w:t>/m³ plus de 44</w:t>
      </w:r>
      <w:r w:rsidR="00E67458">
        <w:rPr>
          <w:color w:val="auto"/>
        </w:rPr>
        <w:t> </w:t>
      </w:r>
      <w:r w:rsidRPr="00FC5491">
        <w:rPr>
          <w:color w:val="auto"/>
        </w:rPr>
        <w:t>heures par an (soit une fréquence de 0,5</w:t>
      </w:r>
      <w:r w:rsidR="00E67458">
        <w:rPr>
          <w:color w:val="auto"/>
        </w:rPr>
        <w:t> </w:t>
      </w:r>
      <w:r w:rsidRPr="00FC5491">
        <w:rPr>
          <w:color w:val="auto"/>
        </w:rPr>
        <w:t>%).</w:t>
      </w:r>
    </w:p>
    <w:p w14:paraId="49D611D9" w14:textId="77777777" w:rsidR="00FC5491" w:rsidRPr="00FC5491" w:rsidRDefault="00FC5491" w:rsidP="00FC5491">
      <w:pPr>
        <w:pStyle w:val="Default"/>
        <w:spacing w:after="40"/>
        <w:jc w:val="both"/>
        <w:rPr>
          <w:color w:val="auto"/>
        </w:rPr>
      </w:pPr>
    </w:p>
    <w:p w14:paraId="3477865A" w14:textId="4BFF81D0" w:rsidR="00FC5491" w:rsidRPr="00FC5491" w:rsidRDefault="00FC5491" w:rsidP="00FC5491">
      <w:pPr>
        <w:pStyle w:val="Default"/>
        <w:spacing w:after="40"/>
        <w:jc w:val="both"/>
        <w:rPr>
          <w:color w:val="auto"/>
        </w:rPr>
      </w:pPr>
      <w:r w:rsidRPr="00FC5491">
        <w:rPr>
          <w:color w:val="auto"/>
        </w:rPr>
        <w:t>La fréquence de dépassement prend en compte les éventuelles durées d'indisponibilité des installations de traitement des composés odorants.</w:t>
      </w:r>
    </w:p>
    <w:p w14:paraId="2403CEEC" w14:textId="1E4F7593" w:rsidR="00FC5491" w:rsidRPr="00FC5491" w:rsidRDefault="00FC5491" w:rsidP="00FC5491">
      <w:pPr>
        <w:pStyle w:val="Default"/>
        <w:spacing w:after="40"/>
        <w:jc w:val="both"/>
        <w:rPr>
          <w:color w:val="auto"/>
        </w:rPr>
      </w:pPr>
      <w:r w:rsidRPr="00FC5491">
        <w:rPr>
          <w:color w:val="auto"/>
        </w:rPr>
        <w:t>Le mode de calcul utilisé pour l'étude de dispersion prend en compte les conditions aérauliques et thermiques des rejets, ainsi que les conditions locales de dispersion, topographiques et météorologiques.</w:t>
      </w:r>
    </w:p>
    <w:p w14:paraId="6A962113" w14:textId="77777777" w:rsidR="00FC5491" w:rsidRPr="00FC5491" w:rsidRDefault="00FC5491" w:rsidP="00FC5491">
      <w:pPr>
        <w:pStyle w:val="Default"/>
        <w:spacing w:after="40"/>
        <w:jc w:val="both"/>
        <w:rPr>
          <w:color w:val="auto"/>
        </w:rPr>
      </w:pPr>
      <w:r w:rsidRPr="00FC5491">
        <w:rPr>
          <w:color w:val="auto"/>
        </w:rPr>
        <w:t>La liste des sources caractérisées et quantifiées et le choix du modèle de dispersion sont justifiés par l'exploitant. Les méthodologies mises en œuvre sont décrites.</w:t>
      </w:r>
    </w:p>
    <w:p w14:paraId="002273C1" w14:textId="10668997" w:rsidR="00FC5491" w:rsidRDefault="00FC5491" w:rsidP="00FC5491">
      <w:pPr>
        <w:pStyle w:val="Default"/>
        <w:spacing w:after="40"/>
        <w:jc w:val="both"/>
        <w:rPr>
          <w:color w:val="auto"/>
        </w:rPr>
      </w:pPr>
      <w:r w:rsidRPr="00FC5491">
        <w:rPr>
          <w:color w:val="auto"/>
        </w:rPr>
        <w:t>Cette étude de dispersion est réalisée par un organisme compétent choisi en accord avec l'inspecteur des installations classées, aux frais de l'exploitant et sous sa responsabilité.</w:t>
      </w:r>
      <w:r>
        <w:rPr>
          <w:color w:val="auto"/>
        </w:rPr>
        <w:t xml:space="preserve"> L’étude de dispersion est partie intégrante du</w:t>
      </w:r>
      <w:r w:rsidRPr="009B504A">
        <w:rPr>
          <w:color w:val="auto"/>
        </w:rPr>
        <w:t xml:space="preserve"> plan de gestion des odeurs</w:t>
      </w:r>
      <w:r w:rsidR="00E32B65">
        <w:rPr>
          <w:color w:val="auto"/>
        </w:rPr>
        <w:t>.</w:t>
      </w:r>
    </w:p>
    <w:p w14:paraId="62202CBC" w14:textId="4C388B1D" w:rsidR="00FC5491" w:rsidRDefault="00FC5491" w:rsidP="00E47591">
      <w:pPr>
        <w:pStyle w:val="Default"/>
        <w:spacing w:after="40"/>
        <w:jc w:val="both"/>
        <w:rPr>
          <w:color w:val="auto"/>
        </w:rPr>
      </w:pPr>
    </w:p>
    <w:p w14:paraId="717C13AF" w14:textId="303DA8D5" w:rsidR="0025080C" w:rsidRPr="00915DEF" w:rsidRDefault="0025080C" w:rsidP="0025080C">
      <w:pPr>
        <w:pStyle w:val="Titre3"/>
      </w:pPr>
      <w:r w:rsidRPr="00915DEF">
        <w:t>Article 6.</w:t>
      </w:r>
      <w:r>
        <w:t>3</w:t>
      </w:r>
      <w:r w:rsidRPr="00915DEF">
        <w:t xml:space="preserve"> Points de rejets</w:t>
      </w:r>
    </w:p>
    <w:p w14:paraId="400C0F05" w14:textId="77777777" w:rsidR="0025080C" w:rsidRDefault="0025080C" w:rsidP="0025080C">
      <w:pPr>
        <w:pStyle w:val="Default"/>
        <w:spacing w:after="40"/>
        <w:jc w:val="both"/>
        <w:rPr>
          <w:color w:val="auto"/>
        </w:rPr>
      </w:pPr>
      <w:r w:rsidRPr="00BC1570">
        <w:rPr>
          <w:color w:val="auto"/>
        </w:rPr>
        <w:t>Les points de rejet dans le milieu naturel sont en nombre aussi réduit que possible. Les ouvrages de rejet doivent permettre une bonne diffusion des effluents dans le milieu récepteur.</w:t>
      </w:r>
    </w:p>
    <w:p w14:paraId="29A902C4" w14:textId="201976AF" w:rsidR="0025080C" w:rsidRDefault="0025080C" w:rsidP="0025080C">
      <w:pPr>
        <w:pStyle w:val="Default"/>
        <w:spacing w:after="40"/>
        <w:jc w:val="both"/>
        <w:rPr>
          <w:color w:val="auto"/>
        </w:rPr>
      </w:pPr>
      <w:r w:rsidRPr="000A5C79">
        <w:rPr>
          <w:color w:val="auto"/>
        </w:rPr>
        <w:t>Les rejets à l'atmosphère sont</w:t>
      </w:r>
      <w:r w:rsidR="00E67458">
        <w:rPr>
          <w:color w:val="auto"/>
        </w:rPr>
        <w:t>,</w:t>
      </w:r>
      <w:r w:rsidRPr="000A5C79">
        <w:rPr>
          <w:color w:val="auto"/>
        </w:rPr>
        <w:t xml:space="preserve"> dans toute la mesure du possible</w:t>
      </w:r>
      <w:r w:rsidR="00E67458">
        <w:rPr>
          <w:color w:val="auto"/>
        </w:rPr>
        <w:t>,</w:t>
      </w:r>
      <w:r w:rsidRPr="000A5C79">
        <w:rPr>
          <w:color w:val="auto"/>
        </w:rPr>
        <w:t xml:space="preserve"> collectés et évacués, après traitement si besoin, par l'intermédiaire de moyens techniques permettant une bonne diffusion des rejets.</w:t>
      </w:r>
    </w:p>
    <w:p w14:paraId="53DBEBC6" w14:textId="08AD1C93" w:rsidR="0025080C" w:rsidRDefault="0025080C" w:rsidP="0025080C">
      <w:pPr>
        <w:pStyle w:val="Default"/>
        <w:spacing w:after="40"/>
        <w:jc w:val="both"/>
        <w:rPr>
          <w:color w:val="auto"/>
        </w:rPr>
      </w:pPr>
      <w:r w:rsidRPr="000D1F50">
        <w:rPr>
          <w:color w:val="auto"/>
        </w:rPr>
        <w:t>La hauteur de la cheminée (différence entre l’altitude du débouché à l’air libre et l’altitude moyenne du sol à l’endroit considéré) n</w:t>
      </w:r>
      <w:r>
        <w:rPr>
          <w:color w:val="auto"/>
        </w:rPr>
        <w:t>’est pas</w:t>
      </w:r>
      <w:r w:rsidRPr="000D1F50">
        <w:rPr>
          <w:color w:val="auto"/>
        </w:rPr>
        <w:t xml:space="preserve"> inférieure à dix mètres. Elle est fixée par </w:t>
      </w:r>
      <w:r>
        <w:rPr>
          <w:color w:val="auto"/>
        </w:rPr>
        <w:t>l’</w:t>
      </w:r>
      <w:r w:rsidRPr="000D1F50">
        <w:rPr>
          <w:color w:val="auto"/>
        </w:rPr>
        <w:t>arrêté d’autorisation</w:t>
      </w:r>
      <w:r w:rsidR="009B6B90">
        <w:rPr>
          <w:color w:val="auto"/>
        </w:rPr>
        <w:t xml:space="preserve"> dans le respect des </w:t>
      </w:r>
      <w:r w:rsidRPr="000D1F50">
        <w:rPr>
          <w:color w:val="auto"/>
        </w:rPr>
        <w:t>dispositions des articles 52 à 56 de l’arrêté du 2 février 1998 susvisé.</w:t>
      </w:r>
      <w:r>
        <w:rPr>
          <w:color w:val="auto"/>
        </w:rPr>
        <w:t xml:space="preserve"> </w:t>
      </w:r>
      <w:r w:rsidRPr="000D1F50">
        <w:rPr>
          <w:color w:val="auto"/>
        </w:rPr>
        <w:t>La vitesse d’éjection des gaz respecte les dispositions de l’article 57 de l’arrêté du 2 février 1998 susvisé.</w:t>
      </w:r>
    </w:p>
    <w:p w14:paraId="36F0EB37" w14:textId="77777777" w:rsidR="0025080C" w:rsidRDefault="0025080C" w:rsidP="0025080C">
      <w:pPr>
        <w:pStyle w:val="Default"/>
        <w:spacing w:after="40"/>
        <w:jc w:val="both"/>
        <w:rPr>
          <w:color w:val="auto"/>
        </w:rPr>
      </w:pPr>
    </w:p>
    <w:p w14:paraId="537C601E" w14:textId="5D7D89B6" w:rsidR="0025080C" w:rsidRPr="00037B61" w:rsidRDefault="0025080C" w:rsidP="0025080C">
      <w:pPr>
        <w:pStyle w:val="Titre3"/>
      </w:pPr>
      <w:r w:rsidRPr="00037B61">
        <w:t>Article 6.</w:t>
      </w:r>
      <w:r>
        <w:t>4</w:t>
      </w:r>
      <w:r w:rsidRPr="00037B61">
        <w:t xml:space="preserve"> Points de mesures</w:t>
      </w:r>
    </w:p>
    <w:p w14:paraId="65802F25" w14:textId="3418FB5C" w:rsidR="0025080C" w:rsidRPr="00501B05" w:rsidRDefault="0025080C" w:rsidP="0025080C">
      <w:pPr>
        <w:pStyle w:val="Default"/>
        <w:spacing w:after="40"/>
        <w:jc w:val="both"/>
        <w:rPr>
          <w:color w:val="auto"/>
        </w:rPr>
      </w:pPr>
      <w:r w:rsidRPr="00501B05">
        <w:rPr>
          <w:color w:val="auto"/>
        </w:rPr>
        <w:t xml:space="preserve">Les points de mesure et les points de prélèvement d’échantillons sont aménagés conformément aux méthodes précisées dans l’avis en vigueur sur les méthodes normalisées de référence pour les mesures dans l’air, l’eau et les sols dans les installations classées pour la protection de l’environnement, publié au </w:t>
      </w:r>
      <w:r w:rsidRPr="003B24D7">
        <w:rPr>
          <w:i/>
          <w:iCs/>
          <w:color w:val="auto"/>
        </w:rPr>
        <w:t>Journal officiel</w:t>
      </w:r>
      <w:r w:rsidRPr="00501B05">
        <w:rPr>
          <w:color w:val="auto"/>
        </w:rPr>
        <w:t xml:space="preserve"> et équipés des appareils nécessaires pour effectuer les mesures prévues </w:t>
      </w:r>
      <w:r>
        <w:rPr>
          <w:color w:val="auto"/>
        </w:rPr>
        <w:t>au</w:t>
      </w:r>
      <w:r w:rsidRPr="00501B05">
        <w:rPr>
          <w:color w:val="auto"/>
        </w:rPr>
        <w:t xml:space="preserve"> le présent arrêté dans des conditions représentatives.</w:t>
      </w:r>
    </w:p>
    <w:p w14:paraId="425AA3A6" w14:textId="77777777" w:rsidR="0025080C" w:rsidRPr="00DD26D6" w:rsidRDefault="0025080C" w:rsidP="00E47591">
      <w:pPr>
        <w:pStyle w:val="Default"/>
        <w:spacing w:after="40"/>
        <w:jc w:val="both"/>
        <w:rPr>
          <w:color w:val="auto"/>
        </w:rPr>
      </w:pPr>
    </w:p>
    <w:p w14:paraId="5576F351" w14:textId="203E4361" w:rsidR="007834B8" w:rsidRPr="00915DEF" w:rsidRDefault="007834B8" w:rsidP="004638C8">
      <w:pPr>
        <w:pStyle w:val="Titre3"/>
      </w:pPr>
      <w:bookmarkStart w:id="88" w:name="_Toc164951732"/>
      <w:r w:rsidRPr="00915DEF">
        <w:t>Article 6.</w:t>
      </w:r>
      <w:r w:rsidR="00BE3761">
        <w:t>5</w:t>
      </w:r>
      <w:r w:rsidRPr="00915DEF">
        <w:t xml:space="preserve"> </w:t>
      </w:r>
      <w:r w:rsidR="00F04E5D">
        <w:t>M</w:t>
      </w:r>
      <w:r w:rsidRPr="00915DEF">
        <w:t>esures</w:t>
      </w:r>
      <w:bookmarkEnd w:id="88"/>
      <w:r w:rsidR="007C4ACA">
        <w:t xml:space="preserve"> des substances et paramètres</w:t>
      </w:r>
    </w:p>
    <w:p w14:paraId="783BC58B" w14:textId="028678EC" w:rsidR="00D96C66" w:rsidRDefault="00D96C66" w:rsidP="00D96C66">
      <w:pPr>
        <w:pStyle w:val="Default"/>
        <w:spacing w:after="40"/>
        <w:jc w:val="both"/>
      </w:pPr>
      <w:r>
        <w:t>Les mesures mise en œuvre visent à mesurer des concentrations (masse de substances émises par volume d’effluents gazeux), exprimées en mg/N</w:t>
      </w:r>
      <w:r w:rsidR="0075350B" w:rsidRPr="00114BAA">
        <w:t>m</w:t>
      </w:r>
      <w:r w:rsidR="0075350B" w:rsidRPr="00FA2143">
        <w:rPr>
          <w:vertAlign w:val="superscript"/>
        </w:rPr>
        <w:t>3</w:t>
      </w:r>
      <w:r>
        <w:t xml:space="preserve"> ou </w:t>
      </w:r>
      <w:r w:rsidRPr="00796C7B">
        <w:t xml:space="preserve">en </w:t>
      </w:r>
      <w:bookmarkStart w:id="89" w:name="_Hlk180664127"/>
      <w:proofErr w:type="spellStart"/>
      <w:r w:rsidR="00E67458" w:rsidRPr="00796C7B">
        <w:t>uoE</w:t>
      </w:r>
      <w:proofErr w:type="spellEnd"/>
      <w:r w:rsidRPr="00796C7B">
        <w:t>/</w:t>
      </w:r>
      <w:r w:rsidR="0075350B" w:rsidRPr="00796C7B">
        <w:t>m</w:t>
      </w:r>
      <w:r w:rsidR="0075350B" w:rsidRPr="00796C7B">
        <w:rPr>
          <w:vertAlign w:val="superscript"/>
        </w:rPr>
        <w:t>3</w:t>
      </w:r>
      <w:bookmarkEnd w:id="89"/>
      <w:r>
        <w:t>, dans les conditions normalisées suivantes</w:t>
      </w:r>
      <w:r w:rsidR="00AD0019">
        <w:t> </w:t>
      </w:r>
      <w:r>
        <w:t>: gaz secs à une température de 273,15</w:t>
      </w:r>
      <w:r w:rsidR="009B6B90">
        <w:t> </w:t>
      </w:r>
      <w:r>
        <w:t>K (ou gaz humide à une température de 293</w:t>
      </w:r>
      <w:r w:rsidR="009B6B90">
        <w:t> </w:t>
      </w:r>
      <w:r>
        <w:t xml:space="preserve">K dans le cas de la </w:t>
      </w:r>
      <w:r w:rsidRPr="0005710F">
        <w:t>concentration d’odeurs) et une pression de 101,3</w:t>
      </w:r>
      <w:r w:rsidR="009B6B90">
        <w:t> </w:t>
      </w:r>
      <w:r w:rsidRPr="0005710F">
        <w:t>kPa, sans correction à un niveau d’oxygène de référence</w:t>
      </w:r>
      <w:r w:rsidR="00C70658">
        <w:t xml:space="preserve">, </w:t>
      </w:r>
      <w:bookmarkStart w:id="90" w:name="_Hlk180675060"/>
      <w:r w:rsidR="00C70658">
        <w:t xml:space="preserve">sauf </w:t>
      </w:r>
      <w:r w:rsidR="00C70658" w:rsidRPr="00C70658">
        <w:t>dispositions particulières prévue</w:t>
      </w:r>
      <w:r w:rsidR="00C70658">
        <w:t xml:space="preserve"> </w:t>
      </w:r>
      <w:r w:rsidR="00B53EC6">
        <w:t>au</w:t>
      </w:r>
      <w:r w:rsidR="00C70658">
        <w:t xml:space="preserve"> présent </w:t>
      </w:r>
      <w:r w:rsidR="008A2BD3">
        <w:t>arrêté</w:t>
      </w:r>
      <w:bookmarkEnd w:id="90"/>
      <w:r w:rsidRPr="0005710F">
        <w:t>.</w:t>
      </w:r>
    </w:p>
    <w:p w14:paraId="28166759" w14:textId="777718A1" w:rsidR="00D96C66" w:rsidRDefault="00D96C66" w:rsidP="00D96C66">
      <w:pPr>
        <w:pStyle w:val="Default"/>
        <w:spacing w:after="40"/>
        <w:jc w:val="both"/>
      </w:pPr>
      <w:r>
        <w:t>La mesure retenue de la concentration est constituée de la moyenne sur la période d’échantillonnage défini</w:t>
      </w:r>
      <w:r w:rsidR="009B6B90">
        <w:t>e</w:t>
      </w:r>
      <w:r>
        <w:t xml:space="preserve"> comme la valeur moyenne de trois échantillonnages</w:t>
      </w:r>
      <w:r w:rsidR="009B6B90">
        <w:t xml:space="preserve"> ou </w:t>
      </w:r>
      <w:r>
        <w:t>relevés de mesures consécutifs d’au moins 30</w:t>
      </w:r>
      <w:r w:rsidR="009B6B90">
        <w:t> </w:t>
      </w:r>
      <w:r>
        <w:t>minutes chacun.</w:t>
      </w:r>
    </w:p>
    <w:p w14:paraId="7E8792ED" w14:textId="2FCC6393" w:rsidR="00D96C66" w:rsidRDefault="00D96C66" w:rsidP="00D96C66">
      <w:pPr>
        <w:pStyle w:val="Default"/>
        <w:spacing w:after="40"/>
        <w:jc w:val="both"/>
      </w:pPr>
      <w:r>
        <w:t>Si, en raison de contraintes liées à l’échantillonnage ou à l’analyse, un échantillonnage</w:t>
      </w:r>
      <w:r w:rsidR="009B6B90">
        <w:t xml:space="preserve"> ou </w:t>
      </w:r>
      <w:r>
        <w:t>un relevé de mesures de 30</w:t>
      </w:r>
      <w:r w:rsidR="009B6B90">
        <w:t> </w:t>
      </w:r>
      <w:r>
        <w:t>minutes ne conviennent pas pour un paramètre, quel qu’il soit (pour la concentration d’odeurs, par exemple), il convient d’appliquer une période d’échantillonnage</w:t>
      </w:r>
      <w:r w:rsidR="00E67458">
        <w:t xml:space="preserve"> ou </w:t>
      </w:r>
      <w:r>
        <w:t>un relevé de mesures plus approprié.</w:t>
      </w:r>
    </w:p>
    <w:p w14:paraId="39EF06EC" w14:textId="7DCB7E80" w:rsidR="00CA0254" w:rsidRDefault="00D96C66" w:rsidP="00D96C66">
      <w:pPr>
        <w:pStyle w:val="Default"/>
        <w:spacing w:after="40"/>
        <w:jc w:val="both"/>
      </w:pPr>
      <w:r>
        <w:t xml:space="preserve">Lorsque les effluents gazeux d’au moins deux sources (par exemple, des séchoirs) sont </w:t>
      </w:r>
      <w:proofErr w:type="gramStart"/>
      <w:r>
        <w:t>émis</w:t>
      </w:r>
      <w:proofErr w:type="gramEnd"/>
      <w:r>
        <w:t xml:space="preserve"> par une cheminée commune, la </w:t>
      </w:r>
      <w:r w:rsidR="008A2BD3">
        <w:t>valeur limite d’émission</w:t>
      </w:r>
      <w:r>
        <w:t xml:space="preserve"> s’applique à l’effluent gazeux global rejeté par cette cheminée.</w:t>
      </w:r>
    </w:p>
    <w:p w14:paraId="2718F320" w14:textId="5EE39EDE" w:rsidR="00110E20" w:rsidRPr="00037B61" w:rsidRDefault="00110E20" w:rsidP="00D96C66">
      <w:pPr>
        <w:pStyle w:val="Default"/>
        <w:spacing w:after="40"/>
        <w:jc w:val="both"/>
      </w:pPr>
      <w:r w:rsidRPr="00126891">
        <w:rPr>
          <w:color w:val="auto"/>
        </w:rPr>
        <w:t>Les mesures (prélèvement et analyse) des émissions dans l'air sont effectuées au moins une fois par an par un organisme ou laboratoire agréé ou, s'il n'existe pas d'agrément pour le paramètre mesuré, par un organisme ou laboratoire accrédité par le Comité français d'accréditation ou par un organisme signataire de l'accord multilatéral pris dans le cadre de la Coordination européenne des organismes d'accréditation.</w:t>
      </w:r>
    </w:p>
    <w:p w14:paraId="7F397F52" w14:textId="77777777" w:rsidR="00F04E5D" w:rsidRPr="00037B61" w:rsidRDefault="00F04E5D" w:rsidP="00F04E5D">
      <w:pPr>
        <w:pStyle w:val="Default"/>
        <w:spacing w:after="40"/>
        <w:jc w:val="both"/>
      </w:pPr>
      <w:bookmarkStart w:id="91" w:name="_Hlk169688958"/>
      <w:r w:rsidRPr="00037B61">
        <w:t xml:space="preserve">Les méthodes de mesure (prélèvement et analyse) de référence en vigueur sont fixées dans un avis en vigueur publié au </w:t>
      </w:r>
      <w:r w:rsidRPr="003B24D7">
        <w:rPr>
          <w:i/>
          <w:iCs/>
        </w:rPr>
        <w:t>Journal officiel</w:t>
      </w:r>
      <w:r w:rsidRPr="00037B61">
        <w:t>.</w:t>
      </w:r>
    </w:p>
    <w:bookmarkEnd w:id="91"/>
    <w:p w14:paraId="153E7CE4" w14:textId="77777777" w:rsidR="00F04E5D" w:rsidRPr="00037B61" w:rsidRDefault="00F04E5D" w:rsidP="00D96C66">
      <w:pPr>
        <w:pStyle w:val="Default"/>
        <w:spacing w:after="40"/>
        <w:jc w:val="both"/>
      </w:pPr>
    </w:p>
    <w:p w14:paraId="236C86FF" w14:textId="0D429A47" w:rsidR="007834B8" w:rsidRPr="00042525" w:rsidRDefault="007834B8" w:rsidP="00042525">
      <w:pPr>
        <w:pStyle w:val="Titre3"/>
      </w:pPr>
      <w:bookmarkStart w:id="92" w:name="_Toc164951733"/>
      <w:r w:rsidRPr="00042525">
        <w:t>Article 6.</w:t>
      </w:r>
      <w:r w:rsidR="00BE3761" w:rsidRPr="00042525">
        <w:t>6</w:t>
      </w:r>
      <w:r w:rsidRPr="00042525">
        <w:t xml:space="preserve"> </w:t>
      </w:r>
      <w:r w:rsidR="00F04E5D" w:rsidRPr="00042525">
        <w:t>V</w:t>
      </w:r>
      <w:r w:rsidRPr="00042525">
        <w:t>aleurs limites d’émission</w:t>
      </w:r>
      <w:bookmarkEnd w:id="92"/>
      <w:r w:rsidR="00192A9C" w:rsidRPr="00042525">
        <w:t>s</w:t>
      </w:r>
    </w:p>
    <w:p w14:paraId="7ADFB448" w14:textId="3D3504BD" w:rsidR="00310AC7" w:rsidRDefault="00310AC7" w:rsidP="00310AC7">
      <w:pPr>
        <w:pStyle w:val="Default"/>
        <w:spacing w:after="40"/>
        <w:jc w:val="both"/>
        <w:rPr>
          <w:color w:val="auto"/>
        </w:rPr>
      </w:pPr>
      <w:r>
        <w:rPr>
          <w:color w:val="auto"/>
        </w:rPr>
        <w:t>I</w:t>
      </w:r>
      <w:r w:rsidRPr="00E82739">
        <w:rPr>
          <w:color w:val="auto"/>
        </w:rPr>
        <w:t xml:space="preserve">. </w:t>
      </w:r>
      <w:r>
        <w:rPr>
          <w:color w:val="auto"/>
        </w:rPr>
        <w:t xml:space="preserve">Lorsque l’exploitant dispose d’une </w:t>
      </w:r>
      <w:r w:rsidRPr="00E82739">
        <w:rPr>
          <w:color w:val="auto"/>
        </w:rPr>
        <w:t xml:space="preserve">installation classée pour la protection de l’environnement relevant de la rubrique </w:t>
      </w:r>
      <w:r>
        <w:rPr>
          <w:color w:val="auto"/>
        </w:rPr>
        <w:t>n° </w:t>
      </w:r>
      <w:r w:rsidRPr="00E82739">
        <w:rPr>
          <w:color w:val="auto"/>
        </w:rPr>
        <w:t xml:space="preserve">2910 ou </w:t>
      </w:r>
      <w:r>
        <w:rPr>
          <w:color w:val="auto"/>
        </w:rPr>
        <w:t>n° </w:t>
      </w:r>
      <w:r w:rsidRPr="00E82739">
        <w:rPr>
          <w:color w:val="auto"/>
        </w:rPr>
        <w:t>3110</w:t>
      </w:r>
      <w:r>
        <w:rPr>
          <w:color w:val="auto"/>
        </w:rPr>
        <w:t>, il respecte les dispositions prévues par les arrêtés de prescriptions générales associés aux rubriques concernées.</w:t>
      </w:r>
    </w:p>
    <w:p w14:paraId="67A25869" w14:textId="16E47CDC" w:rsidR="00310AC7" w:rsidRDefault="00310AC7" w:rsidP="00310AC7">
      <w:pPr>
        <w:pStyle w:val="Default"/>
        <w:spacing w:after="40"/>
        <w:jc w:val="both"/>
        <w:rPr>
          <w:color w:val="auto"/>
        </w:rPr>
      </w:pPr>
      <w:r>
        <w:rPr>
          <w:color w:val="auto"/>
        </w:rPr>
        <w:t xml:space="preserve">II. </w:t>
      </w:r>
      <w:r w:rsidRPr="005700BA">
        <w:rPr>
          <w:color w:val="auto"/>
        </w:rPr>
        <w:t xml:space="preserve">Lorsque </w:t>
      </w:r>
      <w:r>
        <w:rPr>
          <w:color w:val="auto"/>
        </w:rPr>
        <w:t xml:space="preserve">les cadavres d’animaux </w:t>
      </w:r>
      <w:r w:rsidRPr="005700BA">
        <w:rPr>
          <w:color w:val="auto"/>
        </w:rPr>
        <w:t>sont incinérés,</w:t>
      </w:r>
      <w:r>
        <w:rPr>
          <w:color w:val="auto"/>
        </w:rPr>
        <w:t xml:space="preserve"> l</w:t>
      </w:r>
      <w:r w:rsidRPr="00684B60">
        <w:rPr>
          <w:color w:val="auto"/>
        </w:rPr>
        <w:t xml:space="preserve">’exploitant respecte les valeurs limites </w:t>
      </w:r>
      <w:r>
        <w:rPr>
          <w:color w:val="auto"/>
        </w:rPr>
        <w:t xml:space="preserve">des paramètres ou substances suivantes : </w:t>
      </w:r>
    </w:p>
    <w:p w14:paraId="5395D5E6" w14:textId="77777777" w:rsidR="00310AC7" w:rsidRDefault="00310AC7" w:rsidP="00310AC7">
      <w:pPr>
        <w:textAlignment w:val="auto"/>
        <w:rPr>
          <w:kern w:val="0"/>
          <w:szCs w:val="24"/>
          <w:lang w:eastAsia="fr-FR"/>
        </w:rPr>
      </w:pPr>
    </w:p>
    <w:tbl>
      <w:tblPr>
        <w:tblStyle w:val="Grilledutableau"/>
        <w:tblW w:w="0" w:type="auto"/>
        <w:jc w:val="center"/>
        <w:tblLook w:val="04A0" w:firstRow="1" w:lastRow="0" w:firstColumn="1" w:lastColumn="0" w:noHBand="0" w:noVBand="1"/>
      </w:tblPr>
      <w:tblGrid>
        <w:gridCol w:w="4390"/>
        <w:gridCol w:w="1651"/>
        <w:gridCol w:w="1609"/>
      </w:tblGrid>
      <w:tr w:rsidR="00310AC7" w14:paraId="3935151F" w14:textId="77777777" w:rsidTr="00310AC7">
        <w:trPr>
          <w:jc w:val="center"/>
        </w:trPr>
        <w:tc>
          <w:tcPr>
            <w:tcW w:w="4390" w:type="dxa"/>
          </w:tcPr>
          <w:p w14:paraId="363BCC18" w14:textId="77777777" w:rsidR="00310AC7" w:rsidRPr="00284ED5" w:rsidRDefault="00310AC7" w:rsidP="00F0752C">
            <w:pPr>
              <w:jc w:val="center"/>
              <w:textAlignment w:val="auto"/>
              <w:rPr>
                <w:b/>
                <w:bCs/>
                <w:kern w:val="0"/>
                <w:szCs w:val="24"/>
                <w:lang w:eastAsia="fr-FR"/>
              </w:rPr>
            </w:pPr>
            <w:r w:rsidRPr="00284ED5">
              <w:rPr>
                <w:b/>
                <w:bCs/>
                <w:kern w:val="0"/>
                <w:szCs w:val="24"/>
                <w:lang w:eastAsia="fr-FR"/>
              </w:rPr>
              <w:t>Substance/Paramètre</w:t>
            </w:r>
          </w:p>
        </w:tc>
        <w:tc>
          <w:tcPr>
            <w:tcW w:w="1651" w:type="dxa"/>
          </w:tcPr>
          <w:p w14:paraId="2F119201" w14:textId="77777777" w:rsidR="00310AC7" w:rsidRPr="00284ED5" w:rsidRDefault="00310AC7" w:rsidP="00F0752C">
            <w:pPr>
              <w:jc w:val="center"/>
              <w:textAlignment w:val="auto"/>
              <w:rPr>
                <w:b/>
                <w:bCs/>
                <w:kern w:val="0"/>
                <w:szCs w:val="24"/>
                <w:lang w:eastAsia="fr-FR"/>
              </w:rPr>
            </w:pPr>
            <w:r w:rsidRPr="00284ED5">
              <w:rPr>
                <w:b/>
                <w:bCs/>
                <w:kern w:val="0"/>
                <w:szCs w:val="24"/>
                <w:lang w:eastAsia="fr-FR"/>
              </w:rPr>
              <w:t>Unité</w:t>
            </w:r>
          </w:p>
        </w:tc>
        <w:tc>
          <w:tcPr>
            <w:tcW w:w="1609" w:type="dxa"/>
          </w:tcPr>
          <w:p w14:paraId="501B0FAC" w14:textId="5D509807" w:rsidR="00310AC7" w:rsidRPr="00284ED5" w:rsidRDefault="00310AC7" w:rsidP="00F0752C">
            <w:pPr>
              <w:jc w:val="center"/>
              <w:textAlignment w:val="auto"/>
              <w:rPr>
                <w:b/>
                <w:bCs/>
                <w:kern w:val="0"/>
                <w:szCs w:val="24"/>
                <w:lang w:eastAsia="fr-FR"/>
              </w:rPr>
            </w:pPr>
            <w:r w:rsidRPr="00284ED5">
              <w:rPr>
                <w:b/>
                <w:bCs/>
                <w:kern w:val="0"/>
                <w:szCs w:val="24"/>
                <w:lang w:eastAsia="fr-FR"/>
              </w:rPr>
              <w:t>Valeur limite d'émission</w:t>
            </w:r>
            <w:r>
              <w:rPr>
                <w:b/>
                <w:bCs/>
                <w:kern w:val="0"/>
                <w:szCs w:val="24"/>
                <w:lang w:eastAsia="fr-FR"/>
              </w:rPr>
              <w:t xml:space="preserve"> </w:t>
            </w:r>
            <w:r w:rsidRPr="00310AC7">
              <w:rPr>
                <w:kern w:val="0"/>
                <w:szCs w:val="24"/>
                <w:vertAlign w:val="superscript"/>
                <w:lang w:eastAsia="fr-FR"/>
              </w:rPr>
              <w:t>(1)</w:t>
            </w:r>
          </w:p>
        </w:tc>
      </w:tr>
      <w:tr w:rsidR="00310AC7" w14:paraId="2A63AB51" w14:textId="77777777" w:rsidTr="00310AC7">
        <w:trPr>
          <w:jc w:val="center"/>
        </w:trPr>
        <w:tc>
          <w:tcPr>
            <w:tcW w:w="4390" w:type="dxa"/>
          </w:tcPr>
          <w:p w14:paraId="447825B8" w14:textId="77777777" w:rsidR="00310AC7" w:rsidRPr="00322F24" w:rsidRDefault="00310AC7" w:rsidP="00310AC7">
            <w:pPr>
              <w:textAlignment w:val="auto"/>
              <w:rPr>
                <w:kern w:val="0"/>
                <w:szCs w:val="24"/>
                <w:lang w:eastAsia="fr-FR"/>
              </w:rPr>
            </w:pPr>
            <w:r w:rsidRPr="00322F24">
              <w:rPr>
                <w:kern w:val="0"/>
                <w:szCs w:val="24"/>
                <w:lang w:eastAsia="fr-FR"/>
              </w:rPr>
              <w:t>Poussières totales</w:t>
            </w:r>
          </w:p>
        </w:tc>
        <w:tc>
          <w:tcPr>
            <w:tcW w:w="1651" w:type="dxa"/>
          </w:tcPr>
          <w:p w14:paraId="504BED6B" w14:textId="77777777" w:rsidR="00310AC7" w:rsidRDefault="00310AC7" w:rsidP="00F0752C">
            <w:pPr>
              <w:jc w:val="center"/>
              <w:textAlignment w:val="auto"/>
              <w:rPr>
                <w:kern w:val="0"/>
                <w:szCs w:val="24"/>
                <w:lang w:eastAsia="fr-FR"/>
              </w:rPr>
            </w:pPr>
            <w:r w:rsidRPr="002041CC">
              <w:rPr>
                <w:kern w:val="0"/>
                <w:szCs w:val="24"/>
                <w:lang w:val="en-GB" w:eastAsia="fr-FR"/>
              </w:rPr>
              <w:t>mg/N</w:t>
            </w:r>
            <w:r w:rsidRPr="00114BAA">
              <w:t>m</w:t>
            </w:r>
            <w:r w:rsidRPr="00FA2143">
              <w:rPr>
                <w:vertAlign w:val="superscript"/>
              </w:rPr>
              <w:t>3</w:t>
            </w:r>
          </w:p>
        </w:tc>
        <w:tc>
          <w:tcPr>
            <w:tcW w:w="1609" w:type="dxa"/>
          </w:tcPr>
          <w:p w14:paraId="0BDFF917" w14:textId="77777777" w:rsidR="00310AC7" w:rsidRDefault="00310AC7" w:rsidP="00F0752C">
            <w:pPr>
              <w:jc w:val="center"/>
              <w:textAlignment w:val="auto"/>
              <w:rPr>
                <w:kern w:val="0"/>
                <w:szCs w:val="24"/>
                <w:lang w:eastAsia="fr-FR"/>
              </w:rPr>
            </w:pPr>
            <w:r>
              <w:rPr>
                <w:kern w:val="0"/>
                <w:szCs w:val="24"/>
                <w:lang w:eastAsia="fr-FR"/>
              </w:rPr>
              <w:t>10</w:t>
            </w:r>
          </w:p>
        </w:tc>
      </w:tr>
      <w:tr w:rsidR="00310AC7" w14:paraId="3E4A7EC6" w14:textId="77777777" w:rsidTr="00310AC7">
        <w:trPr>
          <w:trHeight w:val="411"/>
          <w:jc w:val="center"/>
        </w:trPr>
        <w:tc>
          <w:tcPr>
            <w:tcW w:w="4390" w:type="dxa"/>
          </w:tcPr>
          <w:p w14:paraId="4CB01299" w14:textId="77777777" w:rsidR="00310AC7" w:rsidRPr="00322F24" w:rsidRDefault="00310AC7" w:rsidP="00310AC7">
            <w:pPr>
              <w:textAlignment w:val="auto"/>
              <w:rPr>
                <w:kern w:val="0"/>
                <w:szCs w:val="24"/>
                <w:lang w:eastAsia="fr-FR"/>
              </w:rPr>
            </w:pPr>
            <w:r w:rsidRPr="00322F24">
              <w:rPr>
                <w:kern w:val="0"/>
                <w:szCs w:val="24"/>
                <w:lang w:eastAsia="fr-FR"/>
              </w:rPr>
              <w:t>Monoxyde de carbone</w:t>
            </w:r>
          </w:p>
        </w:tc>
        <w:tc>
          <w:tcPr>
            <w:tcW w:w="1651" w:type="dxa"/>
          </w:tcPr>
          <w:p w14:paraId="19C65F10" w14:textId="77777777" w:rsidR="00310AC7" w:rsidRDefault="00310AC7" w:rsidP="00F0752C">
            <w:pPr>
              <w:jc w:val="center"/>
              <w:textAlignment w:val="auto"/>
              <w:rPr>
                <w:kern w:val="0"/>
                <w:szCs w:val="24"/>
                <w:lang w:eastAsia="fr-FR"/>
              </w:rPr>
            </w:pPr>
            <w:r w:rsidRPr="002041CC">
              <w:rPr>
                <w:kern w:val="0"/>
                <w:szCs w:val="24"/>
                <w:lang w:val="en-GB" w:eastAsia="fr-FR"/>
              </w:rPr>
              <w:t>mg/N</w:t>
            </w:r>
            <w:r w:rsidRPr="00114BAA">
              <w:t>m</w:t>
            </w:r>
            <w:r w:rsidRPr="00FA2143">
              <w:rPr>
                <w:vertAlign w:val="superscript"/>
              </w:rPr>
              <w:t>3</w:t>
            </w:r>
          </w:p>
        </w:tc>
        <w:tc>
          <w:tcPr>
            <w:tcW w:w="1609" w:type="dxa"/>
          </w:tcPr>
          <w:p w14:paraId="6A39965E" w14:textId="77777777" w:rsidR="00310AC7" w:rsidRDefault="00310AC7" w:rsidP="00F0752C">
            <w:pPr>
              <w:jc w:val="center"/>
              <w:textAlignment w:val="auto"/>
              <w:rPr>
                <w:kern w:val="0"/>
                <w:szCs w:val="24"/>
                <w:lang w:eastAsia="fr-FR"/>
              </w:rPr>
            </w:pPr>
            <w:r>
              <w:rPr>
                <w:kern w:val="0"/>
                <w:szCs w:val="24"/>
                <w:lang w:eastAsia="fr-FR"/>
              </w:rPr>
              <w:t>25</w:t>
            </w:r>
          </w:p>
        </w:tc>
      </w:tr>
      <w:tr w:rsidR="00310AC7" w14:paraId="303557E8" w14:textId="77777777" w:rsidTr="00310AC7">
        <w:trPr>
          <w:jc w:val="center"/>
        </w:trPr>
        <w:tc>
          <w:tcPr>
            <w:tcW w:w="4390" w:type="dxa"/>
          </w:tcPr>
          <w:p w14:paraId="4AEE379D" w14:textId="77777777" w:rsidR="00310AC7" w:rsidRPr="00322F24" w:rsidRDefault="00310AC7" w:rsidP="00310AC7">
            <w:pPr>
              <w:textAlignment w:val="auto"/>
              <w:rPr>
                <w:kern w:val="0"/>
                <w:szCs w:val="24"/>
                <w:lang w:eastAsia="fr-FR"/>
              </w:rPr>
            </w:pPr>
            <w:r w:rsidRPr="00322F24">
              <w:rPr>
                <w:kern w:val="0"/>
                <w:szCs w:val="24"/>
                <w:lang w:eastAsia="fr-FR"/>
              </w:rPr>
              <w:t>Composés organiques volatils non méthaniques</w:t>
            </w:r>
          </w:p>
        </w:tc>
        <w:tc>
          <w:tcPr>
            <w:tcW w:w="1651" w:type="dxa"/>
          </w:tcPr>
          <w:p w14:paraId="2FD85907" w14:textId="77777777" w:rsidR="00310AC7" w:rsidRDefault="00310AC7" w:rsidP="00F0752C">
            <w:pPr>
              <w:jc w:val="center"/>
              <w:textAlignment w:val="auto"/>
              <w:rPr>
                <w:kern w:val="0"/>
                <w:szCs w:val="24"/>
                <w:lang w:eastAsia="fr-FR"/>
              </w:rPr>
            </w:pPr>
            <w:r w:rsidRPr="002041CC">
              <w:rPr>
                <w:kern w:val="0"/>
                <w:szCs w:val="24"/>
                <w:lang w:val="en-GB" w:eastAsia="fr-FR"/>
              </w:rPr>
              <w:t>mg/N</w:t>
            </w:r>
            <w:r w:rsidRPr="00114BAA">
              <w:t>m</w:t>
            </w:r>
            <w:r w:rsidRPr="00FA2143">
              <w:rPr>
                <w:vertAlign w:val="superscript"/>
              </w:rPr>
              <w:t>3</w:t>
            </w:r>
          </w:p>
        </w:tc>
        <w:tc>
          <w:tcPr>
            <w:tcW w:w="1609" w:type="dxa"/>
          </w:tcPr>
          <w:p w14:paraId="19DC36F7" w14:textId="77777777" w:rsidR="00310AC7" w:rsidRDefault="00310AC7" w:rsidP="00F0752C">
            <w:pPr>
              <w:jc w:val="center"/>
              <w:textAlignment w:val="auto"/>
              <w:rPr>
                <w:kern w:val="0"/>
                <w:szCs w:val="24"/>
                <w:lang w:eastAsia="fr-FR"/>
              </w:rPr>
            </w:pPr>
            <w:r>
              <w:rPr>
                <w:kern w:val="0"/>
                <w:szCs w:val="24"/>
                <w:lang w:eastAsia="fr-FR"/>
              </w:rPr>
              <w:t>10</w:t>
            </w:r>
          </w:p>
        </w:tc>
      </w:tr>
      <w:tr w:rsidR="00310AC7" w14:paraId="18E57B41" w14:textId="77777777" w:rsidTr="00310AC7">
        <w:trPr>
          <w:jc w:val="center"/>
        </w:trPr>
        <w:tc>
          <w:tcPr>
            <w:tcW w:w="4390" w:type="dxa"/>
          </w:tcPr>
          <w:p w14:paraId="097A1F46" w14:textId="77777777" w:rsidR="00310AC7" w:rsidRPr="00322F24" w:rsidRDefault="00310AC7" w:rsidP="00310AC7">
            <w:pPr>
              <w:textAlignment w:val="auto"/>
              <w:rPr>
                <w:kern w:val="0"/>
                <w:szCs w:val="24"/>
                <w:lang w:eastAsia="fr-FR"/>
              </w:rPr>
            </w:pPr>
            <w:r w:rsidRPr="00322F24">
              <w:rPr>
                <w:kern w:val="0"/>
                <w:szCs w:val="24"/>
                <w:lang w:eastAsia="fr-FR"/>
              </w:rPr>
              <w:t>Oxydes d'azote</w:t>
            </w:r>
          </w:p>
        </w:tc>
        <w:tc>
          <w:tcPr>
            <w:tcW w:w="1651" w:type="dxa"/>
          </w:tcPr>
          <w:p w14:paraId="2D0E788D" w14:textId="77777777" w:rsidR="00310AC7" w:rsidRDefault="00310AC7" w:rsidP="00F0752C">
            <w:pPr>
              <w:jc w:val="center"/>
              <w:textAlignment w:val="auto"/>
              <w:rPr>
                <w:kern w:val="0"/>
                <w:szCs w:val="24"/>
                <w:lang w:eastAsia="fr-FR"/>
              </w:rPr>
            </w:pPr>
            <w:r w:rsidRPr="002041CC">
              <w:rPr>
                <w:kern w:val="0"/>
                <w:szCs w:val="24"/>
                <w:lang w:val="en-GB" w:eastAsia="fr-FR"/>
              </w:rPr>
              <w:t>mg/N</w:t>
            </w:r>
            <w:r w:rsidRPr="00114BAA">
              <w:t>m</w:t>
            </w:r>
            <w:r w:rsidRPr="00FA2143">
              <w:rPr>
                <w:vertAlign w:val="superscript"/>
              </w:rPr>
              <w:t>3</w:t>
            </w:r>
          </w:p>
        </w:tc>
        <w:tc>
          <w:tcPr>
            <w:tcW w:w="1609" w:type="dxa"/>
          </w:tcPr>
          <w:p w14:paraId="1F3394F0" w14:textId="77777777" w:rsidR="00310AC7" w:rsidRDefault="00310AC7" w:rsidP="00F0752C">
            <w:pPr>
              <w:jc w:val="center"/>
              <w:textAlignment w:val="auto"/>
              <w:rPr>
                <w:kern w:val="0"/>
                <w:szCs w:val="24"/>
                <w:lang w:eastAsia="fr-FR"/>
              </w:rPr>
            </w:pPr>
            <w:r>
              <w:rPr>
                <w:kern w:val="0"/>
                <w:szCs w:val="24"/>
                <w:lang w:eastAsia="fr-FR"/>
              </w:rPr>
              <w:t>175</w:t>
            </w:r>
          </w:p>
        </w:tc>
      </w:tr>
      <w:tr w:rsidR="00310AC7" w14:paraId="36F7637B" w14:textId="77777777" w:rsidTr="00310AC7">
        <w:trPr>
          <w:trHeight w:val="405"/>
          <w:jc w:val="center"/>
        </w:trPr>
        <w:tc>
          <w:tcPr>
            <w:tcW w:w="4390" w:type="dxa"/>
          </w:tcPr>
          <w:p w14:paraId="36B62BB4" w14:textId="77777777" w:rsidR="00310AC7" w:rsidRPr="00322F24" w:rsidRDefault="00310AC7" w:rsidP="00310AC7">
            <w:pPr>
              <w:textAlignment w:val="auto"/>
              <w:rPr>
                <w:kern w:val="0"/>
                <w:szCs w:val="24"/>
                <w:lang w:eastAsia="fr-FR"/>
              </w:rPr>
            </w:pPr>
            <w:r w:rsidRPr="00322F24">
              <w:rPr>
                <w:kern w:val="0"/>
                <w:szCs w:val="24"/>
                <w:lang w:eastAsia="fr-FR"/>
              </w:rPr>
              <w:t>Chlorure d'hydrogène</w:t>
            </w:r>
          </w:p>
        </w:tc>
        <w:tc>
          <w:tcPr>
            <w:tcW w:w="1651" w:type="dxa"/>
          </w:tcPr>
          <w:p w14:paraId="05B76FFC" w14:textId="77777777" w:rsidR="00310AC7" w:rsidRDefault="00310AC7" w:rsidP="00F0752C">
            <w:pPr>
              <w:jc w:val="center"/>
              <w:textAlignment w:val="auto"/>
              <w:rPr>
                <w:kern w:val="0"/>
                <w:szCs w:val="24"/>
                <w:lang w:eastAsia="fr-FR"/>
              </w:rPr>
            </w:pPr>
            <w:r w:rsidRPr="002041CC">
              <w:rPr>
                <w:kern w:val="0"/>
                <w:szCs w:val="24"/>
                <w:lang w:val="en-GB" w:eastAsia="fr-FR"/>
              </w:rPr>
              <w:t>mg/N</w:t>
            </w:r>
            <w:r w:rsidRPr="00114BAA">
              <w:t>m</w:t>
            </w:r>
            <w:r w:rsidRPr="00FA2143">
              <w:rPr>
                <w:vertAlign w:val="superscript"/>
              </w:rPr>
              <w:t>3</w:t>
            </w:r>
          </w:p>
        </w:tc>
        <w:tc>
          <w:tcPr>
            <w:tcW w:w="1609" w:type="dxa"/>
          </w:tcPr>
          <w:p w14:paraId="694FD6FC" w14:textId="77777777" w:rsidR="00310AC7" w:rsidRDefault="00310AC7" w:rsidP="00F0752C">
            <w:pPr>
              <w:jc w:val="center"/>
              <w:textAlignment w:val="auto"/>
              <w:rPr>
                <w:kern w:val="0"/>
                <w:szCs w:val="24"/>
                <w:lang w:eastAsia="fr-FR"/>
              </w:rPr>
            </w:pPr>
            <w:r>
              <w:rPr>
                <w:kern w:val="0"/>
                <w:szCs w:val="24"/>
                <w:lang w:eastAsia="fr-FR"/>
              </w:rPr>
              <w:t>10</w:t>
            </w:r>
          </w:p>
        </w:tc>
      </w:tr>
      <w:tr w:rsidR="00310AC7" w14:paraId="37C59B60" w14:textId="77777777" w:rsidTr="00310AC7">
        <w:trPr>
          <w:jc w:val="center"/>
        </w:trPr>
        <w:tc>
          <w:tcPr>
            <w:tcW w:w="4390" w:type="dxa"/>
          </w:tcPr>
          <w:p w14:paraId="4BB028AB" w14:textId="77777777" w:rsidR="00310AC7" w:rsidRPr="00322F24" w:rsidRDefault="00310AC7" w:rsidP="00310AC7">
            <w:pPr>
              <w:textAlignment w:val="auto"/>
              <w:rPr>
                <w:kern w:val="0"/>
                <w:szCs w:val="24"/>
                <w:lang w:eastAsia="fr-FR"/>
              </w:rPr>
            </w:pPr>
            <w:r w:rsidRPr="00322F24">
              <w:rPr>
                <w:kern w:val="0"/>
                <w:szCs w:val="24"/>
                <w:lang w:eastAsia="fr-FR"/>
              </w:rPr>
              <w:t>Dioxyde de soufre</w:t>
            </w:r>
          </w:p>
        </w:tc>
        <w:tc>
          <w:tcPr>
            <w:tcW w:w="1651" w:type="dxa"/>
          </w:tcPr>
          <w:p w14:paraId="401510CC" w14:textId="77777777" w:rsidR="00310AC7" w:rsidRDefault="00310AC7" w:rsidP="00F0752C">
            <w:pPr>
              <w:jc w:val="center"/>
              <w:textAlignment w:val="auto"/>
              <w:rPr>
                <w:kern w:val="0"/>
                <w:szCs w:val="24"/>
                <w:lang w:eastAsia="fr-FR"/>
              </w:rPr>
            </w:pPr>
            <w:r w:rsidRPr="002041CC">
              <w:rPr>
                <w:kern w:val="0"/>
                <w:szCs w:val="24"/>
                <w:lang w:val="en-GB" w:eastAsia="fr-FR"/>
              </w:rPr>
              <w:t>mg/N</w:t>
            </w:r>
            <w:r w:rsidRPr="00114BAA">
              <w:t>m</w:t>
            </w:r>
            <w:r w:rsidRPr="00FA2143">
              <w:rPr>
                <w:vertAlign w:val="superscript"/>
              </w:rPr>
              <w:t>3</w:t>
            </w:r>
          </w:p>
        </w:tc>
        <w:tc>
          <w:tcPr>
            <w:tcW w:w="1609" w:type="dxa"/>
          </w:tcPr>
          <w:p w14:paraId="03323270" w14:textId="77777777" w:rsidR="00310AC7" w:rsidRDefault="00310AC7" w:rsidP="00F0752C">
            <w:pPr>
              <w:jc w:val="center"/>
              <w:textAlignment w:val="auto"/>
              <w:rPr>
                <w:kern w:val="0"/>
                <w:szCs w:val="24"/>
                <w:lang w:eastAsia="fr-FR"/>
              </w:rPr>
            </w:pPr>
            <w:r>
              <w:rPr>
                <w:kern w:val="0"/>
                <w:szCs w:val="24"/>
                <w:lang w:eastAsia="fr-FR"/>
              </w:rPr>
              <w:t>30</w:t>
            </w:r>
          </w:p>
        </w:tc>
      </w:tr>
      <w:tr w:rsidR="00310AC7" w14:paraId="7CC3B448" w14:textId="77777777" w:rsidTr="00310AC7">
        <w:trPr>
          <w:jc w:val="center"/>
        </w:trPr>
        <w:tc>
          <w:tcPr>
            <w:tcW w:w="4390" w:type="dxa"/>
          </w:tcPr>
          <w:p w14:paraId="32E67D8E" w14:textId="77777777" w:rsidR="00310AC7" w:rsidRPr="00322F24" w:rsidRDefault="00310AC7" w:rsidP="00310AC7">
            <w:pPr>
              <w:textAlignment w:val="auto"/>
              <w:rPr>
                <w:kern w:val="0"/>
                <w:szCs w:val="24"/>
                <w:lang w:eastAsia="fr-FR"/>
              </w:rPr>
            </w:pPr>
            <w:r w:rsidRPr="00322F24">
              <w:rPr>
                <w:kern w:val="0"/>
                <w:szCs w:val="24"/>
                <w:lang w:eastAsia="fr-FR"/>
              </w:rPr>
              <w:t>Total des métaux lourds (antimoine + arsenic + chrome + cobalt + cuivre + manganèse + nickel + plomb + vanadium)</w:t>
            </w:r>
          </w:p>
        </w:tc>
        <w:tc>
          <w:tcPr>
            <w:tcW w:w="1651" w:type="dxa"/>
          </w:tcPr>
          <w:p w14:paraId="4F6B8C99" w14:textId="77777777" w:rsidR="00310AC7" w:rsidRDefault="00310AC7" w:rsidP="00F0752C">
            <w:pPr>
              <w:jc w:val="center"/>
              <w:textAlignment w:val="auto"/>
              <w:rPr>
                <w:kern w:val="0"/>
                <w:szCs w:val="24"/>
                <w:lang w:eastAsia="fr-FR"/>
              </w:rPr>
            </w:pPr>
            <w:r w:rsidRPr="002041CC">
              <w:rPr>
                <w:kern w:val="0"/>
                <w:szCs w:val="24"/>
                <w:lang w:val="en-GB" w:eastAsia="fr-FR"/>
              </w:rPr>
              <w:t>mg/N</w:t>
            </w:r>
            <w:r w:rsidRPr="00114BAA">
              <w:t>m</w:t>
            </w:r>
            <w:r w:rsidRPr="00FA2143">
              <w:rPr>
                <w:vertAlign w:val="superscript"/>
              </w:rPr>
              <w:t>3</w:t>
            </w:r>
          </w:p>
        </w:tc>
        <w:tc>
          <w:tcPr>
            <w:tcW w:w="1609" w:type="dxa"/>
          </w:tcPr>
          <w:p w14:paraId="6BFDA584" w14:textId="77777777" w:rsidR="00310AC7" w:rsidRDefault="00310AC7" w:rsidP="00F0752C">
            <w:pPr>
              <w:jc w:val="center"/>
              <w:textAlignment w:val="auto"/>
              <w:rPr>
                <w:kern w:val="0"/>
                <w:szCs w:val="24"/>
                <w:lang w:eastAsia="fr-FR"/>
              </w:rPr>
            </w:pPr>
            <w:r>
              <w:rPr>
                <w:kern w:val="0"/>
                <w:szCs w:val="24"/>
                <w:lang w:eastAsia="fr-FR"/>
              </w:rPr>
              <w:t>0,5</w:t>
            </w:r>
          </w:p>
        </w:tc>
      </w:tr>
      <w:tr w:rsidR="00310AC7" w14:paraId="7AA8CB88" w14:textId="77777777" w:rsidTr="00310AC7">
        <w:trPr>
          <w:jc w:val="center"/>
        </w:trPr>
        <w:tc>
          <w:tcPr>
            <w:tcW w:w="4390" w:type="dxa"/>
          </w:tcPr>
          <w:p w14:paraId="7AE82DC2" w14:textId="77777777" w:rsidR="00310AC7" w:rsidRDefault="00310AC7" w:rsidP="00310AC7">
            <w:pPr>
              <w:textAlignment w:val="auto"/>
              <w:rPr>
                <w:kern w:val="0"/>
                <w:szCs w:val="24"/>
                <w:lang w:eastAsia="fr-FR"/>
              </w:rPr>
            </w:pPr>
            <w:r>
              <w:rPr>
                <w:kern w:val="0"/>
                <w:szCs w:val="24"/>
                <w:lang w:val="en-GB" w:eastAsia="fr-FR"/>
              </w:rPr>
              <w:t>C</w:t>
            </w:r>
            <w:r w:rsidRPr="00684B60">
              <w:rPr>
                <w:kern w:val="0"/>
                <w:szCs w:val="24"/>
                <w:lang w:val="en-GB" w:eastAsia="fr-FR"/>
              </w:rPr>
              <w:t>admium + thallium</w:t>
            </w:r>
          </w:p>
        </w:tc>
        <w:tc>
          <w:tcPr>
            <w:tcW w:w="1651" w:type="dxa"/>
          </w:tcPr>
          <w:p w14:paraId="38305234" w14:textId="77777777" w:rsidR="00310AC7" w:rsidRDefault="00310AC7" w:rsidP="00F0752C">
            <w:pPr>
              <w:jc w:val="center"/>
              <w:textAlignment w:val="auto"/>
              <w:rPr>
                <w:kern w:val="0"/>
                <w:szCs w:val="24"/>
                <w:lang w:eastAsia="fr-FR"/>
              </w:rPr>
            </w:pPr>
            <w:r w:rsidRPr="002041CC">
              <w:rPr>
                <w:kern w:val="0"/>
                <w:szCs w:val="24"/>
                <w:lang w:val="en-GB" w:eastAsia="fr-FR"/>
              </w:rPr>
              <w:t>mg/N</w:t>
            </w:r>
            <w:r w:rsidRPr="00114BAA">
              <w:t>m</w:t>
            </w:r>
            <w:r w:rsidRPr="00FA2143">
              <w:rPr>
                <w:vertAlign w:val="superscript"/>
              </w:rPr>
              <w:t>3</w:t>
            </w:r>
          </w:p>
        </w:tc>
        <w:tc>
          <w:tcPr>
            <w:tcW w:w="1609" w:type="dxa"/>
          </w:tcPr>
          <w:p w14:paraId="30CE6FEE" w14:textId="77777777" w:rsidR="00310AC7" w:rsidRDefault="00310AC7" w:rsidP="00F0752C">
            <w:pPr>
              <w:jc w:val="center"/>
              <w:textAlignment w:val="auto"/>
              <w:rPr>
                <w:kern w:val="0"/>
                <w:szCs w:val="24"/>
                <w:lang w:eastAsia="fr-FR"/>
              </w:rPr>
            </w:pPr>
            <w:r>
              <w:rPr>
                <w:kern w:val="0"/>
                <w:szCs w:val="24"/>
                <w:lang w:eastAsia="fr-FR"/>
              </w:rPr>
              <w:t>0,05</w:t>
            </w:r>
          </w:p>
        </w:tc>
      </w:tr>
      <w:tr w:rsidR="00310AC7" w14:paraId="588E6485" w14:textId="77777777" w:rsidTr="00310AC7">
        <w:trPr>
          <w:jc w:val="center"/>
        </w:trPr>
        <w:tc>
          <w:tcPr>
            <w:tcW w:w="4390" w:type="dxa"/>
          </w:tcPr>
          <w:p w14:paraId="38952AF3" w14:textId="77777777" w:rsidR="00310AC7" w:rsidRDefault="00310AC7" w:rsidP="00310AC7">
            <w:pPr>
              <w:textAlignment w:val="auto"/>
              <w:rPr>
                <w:kern w:val="0"/>
                <w:szCs w:val="24"/>
                <w:lang w:eastAsia="fr-FR"/>
              </w:rPr>
            </w:pPr>
            <w:r w:rsidRPr="00684B60">
              <w:rPr>
                <w:kern w:val="0"/>
                <w:szCs w:val="24"/>
                <w:lang w:val="en-GB" w:eastAsia="fr-FR"/>
              </w:rPr>
              <w:t>Mercure</w:t>
            </w:r>
          </w:p>
        </w:tc>
        <w:tc>
          <w:tcPr>
            <w:tcW w:w="1651" w:type="dxa"/>
          </w:tcPr>
          <w:p w14:paraId="4D9D8092" w14:textId="77777777" w:rsidR="00310AC7" w:rsidRDefault="00310AC7" w:rsidP="00F0752C">
            <w:pPr>
              <w:jc w:val="center"/>
              <w:textAlignment w:val="auto"/>
              <w:rPr>
                <w:kern w:val="0"/>
                <w:szCs w:val="24"/>
                <w:lang w:eastAsia="fr-FR"/>
              </w:rPr>
            </w:pPr>
            <w:r w:rsidRPr="002041CC">
              <w:rPr>
                <w:kern w:val="0"/>
                <w:szCs w:val="24"/>
                <w:lang w:val="en-GB" w:eastAsia="fr-FR"/>
              </w:rPr>
              <w:t>mg/N</w:t>
            </w:r>
            <w:r w:rsidRPr="00114BAA">
              <w:t>m</w:t>
            </w:r>
            <w:r w:rsidRPr="00FA2143">
              <w:rPr>
                <w:vertAlign w:val="superscript"/>
              </w:rPr>
              <w:t>3</w:t>
            </w:r>
          </w:p>
        </w:tc>
        <w:tc>
          <w:tcPr>
            <w:tcW w:w="1609" w:type="dxa"/>
          </w:tcPr>
          <w:p w14:paraId="2E5A4824" w14:textId="77777777" w:rsidR="00310AC7" w:rsidRDefault="00310AC7" w:rsidP="00F0752C">
            <w:pPr>
              <w:jc w:val="center"/>
              <w:textAlignment w:val="auto"/>
              <w:rPr>
                <w:kern w:val="0"/>
                <w:szCs w:val="24"/>
                <w:lang w:eastAsia="fr-FR"/>
              </w:rPr>
            </w:pPr>
            <w:r>
              <w:rPr>
                <w:kern w:val="0"/>
                <w:szCs w:val="24"/>
                <w:lang w:eastAsia="fr-FR"/>
              </w:rPr>
              <w:t>0,05</w:t>
            </w:r>
          </w:p>
        </w:tc>
      </w:tr>
      <w:tr w:rsidR="00310AC7" w14:paraId="3EC3F5BF" w14:textId="77777777" w:rsidTr="00310AC7">
        <w:trPr>
          <w:jc w:val="center"/>
        </w:trPr>
        <w:tc>
          <w:tcPr>
            <w:tcW w:w="4390" w:type="dxa"/>
          </w:tcPr>
          <w:p w14:paraId="69B31B2E" w14:textId="75F89B38" w:rsidR="00310AC7" w:rsidRDefault="00310AC7" w:rsidP="00310AC7">
            <w:pPr>
              <w:textAlignment w:val="auto"/>
              <w:rPr>
                <w:kern w:val="0"/>
                <w:szCs w:val="24"/>
                <w:lang w:eastAsia="fr-FR"/>
              </w:rPr>
            </w:pPr>
            <w:r w:rsidRPr="00B60923">
              <w:rPr>
                <w:kern w:val="0"/>
                <w:szCs w:val="24"/>
                <w:lang w:eastAsia="fr-FR"/>
              </w:rPr>
              <w:t>Dioxines et composés de type dioxines</w:t>
            </w:r>
            <w:r>
              <w:rPr>
                <w:kern w:val="0"/>
                <w:szCs w:val="24"/>
                <w:lang w:eastAsia="fr-FR"/>
              </w:rPr>
              <w:t xml:space="preserve"> </w:t>
            </w:r>
            <w:r w:rsidRPr="00B60923">
              <w:rPr>
                <w:kern w:val="0"/>
                <w:szCs w:val="24"/>
                <w:lang w:eastAsia="fr-FR"/>
              </w:rPr>
              <w:t xml:space="preserve">dont certains PCDD, PCDF et PCB-TD </w:t>
            </w:r>
            <w:r w:rsidRPr="00DD0E2C">
              <w:rPr>
                <w:kern w:val="0"/>
                <w:szCs w:val="24"/>
                <w:vertAlign w:val="superscript"/>
                <w:lang w:eastAsia="fr-FR"/>
              </w:rPr>
              <w:t>(</w:t>
            </w:r>
            <w:r>
              <w:rPr>
                <w:kern w:val="0"/>
                <w:szCs w:val="24"/>
                <w:vertAlign w:val="superscript"/>
                <w:lang w:eastAsia="fr-FR"/>
              </w:rPr>
              <w:t>2</w:t>
            </w:r>
            <w:r w:rsidRPr="00DD0E2C">
              <w:rPr>
                <w:kern w:val="0"/>
                <w:szCs w:val="24"/>
                <w:vertAlign w:val="superscript"/>
                <w:lang w:eastAsia="fr-FR"/>
              </w:rPr>
              <w:t>)</w:t>
            </w:r>
          </w:p>
        </w:tc>
        <w:tc>
          <w:tcPr>
            <w:tcW w:w="1651" w:type="dxa"/>
          </w:tcPr>
          <w:p w14:paraId="17269DE3" w14:textId="77777777" w:rsidR="00310AC7" w:rsidRDefault="00310AC7" w:rsidP="00F0752C">
            <w:pPr>
              <w:jc w:val="center"/>
              <w:textAlignment w:val="auto"/>
              <w:rPr>
                <w:kern w:val="0"/>
                <w:szCs w:val="24"/>
                <w:lang w:eastAsia="fr-FR"/>
              </w:rPr>
            </w:pPr>
            <w:r w:rsidRPr="00284ED5">
              <w:rPr>
                <w:kern w:val="0"/>
                <w:szCs w:val="24"/>
                <w:lang w:val="en-GB" w:eastAsia="fr-FR"/>
              </w:rPr>
              <w:t>ng/</w:t>
            </w:r>
            <w:r w:rsidRPr="002041CC">
              <w:rPr>
                <w:kern w:val="0"/>
                <w:szCs w:val="24"/>
                <w:lang w:val="en-GB" w:eastAsia="fr-FR"/>
              </w:rPr>
              <w:t>N</w:t>
            </w:r>
            <w:r w:rsidRPr="00114BAA">
              <w:t>m</w:t>
            </w:r>
            <w:r w:rsidRPr="00FA2143">
              <w:rPr>
                <w:vertAlign w:val="superscript"/>
              </w:rPr>
              <w:t>3</w:t>
            </w:r>
          </w:p>
        </w:tc>
        <w:tc>
          <w:tcPr>
            <w:tcW w:w="1609" w:type="dxa"/>
          </w:tcPr>
          <w:p w14:paraId="3F83CFB4" w14:textId="77777777" w:rsidR="00310AC7" w:rsidRDefault="00310AC7" w:rsidP="00F0752C">
            <w:pPr>
              <w:jc w:val="center"/>
              <w:textAlignment w:val="auto"/>
              <w:rPr>
                <w:kern w:val="0"/>
                <w:szCs w:val="24"/>
                <w:lang w:eastAsia="fr-FR"/>
              </w:rPr>
            </w:pPr>
            <w:r>
              <w:rPr>
                <w:kern w:val="0"/>
                <w:szCs w:val="24"/>
                <w:lang w:eastAsia="fr-FR"/>
              </w:rPr>
              <w:t>0,1</w:t>
            </w:r>
          </w:p>
        </w:tc>
      </w:tr>
      <w:tr w:rsidR="00310AC7" w14:paraId="7788EC8E" w14:textId="77777777" w:rsidTr="00310AC7">
        <w:trPr>
          <w:jc w:val="center"/>
        </w:trPr>
        <w:tc>
          <w:tcPr>
            <w:tcW w:w="4390" w:type="dxa"/>
          </w:tcPr>
          <w:p w14:paraId="7EB7738E" w14:textId="77777777" w:rsidR="00310AC7" w:rsidRDefault="00310AC7" w:rsidP="00310AC7">
            <w:pPr>
              <w:textAlignment w:val="auto"/>
              <w:rPr>
                <w:kern w:val="0"/>
                <w:szCs w:val="24"/>
                <w:lang w:eastAsia="fr-FR"/>
              </w:rPr>
            </w:pPr>
            <w:r w:rsidRPr="00684B60">
              <w:rPr>
                <w:kern w:val="0"/>
                <w:szCs w:val="24"/>
                <w:lang w:eastAsia="fr-FR"/>
              </w:rPr>
              <w:t>Ammonia</w:t>
            </w:r>
            <w:r>
              <w:rPr>
                <w:kern w:val="0"/>
                <w:szCs w:val="24"/>
                <w:lang w:eastAsia="fr-FR"/>
              </w:rPr>
              <w:t>c</w:t>
            </w:r>
          </w:p>
        </w:tc>
        <w:tc>
          <w:tcPr>
            <w:tcW w:w="1651" w:type="dxa"/>
          </w:tcPr>
          <w:p w14:paraId="5ED90040" w14:textId="77777777" w:rsidR="00310AC7" w:rsidRDefault="00310AC7" w:rsidP="00F0752C">
            <w:pPr>
              <w:jc w:val="center"/>
              <w:textAlignment w:val="auto"/>
              <w:rPr>
                <w:kern w:val="0"/>
                <w:szCs w:val="24"/>
                <w:lang w:eastAsia="fr-FR"/>
              </w:rPr>
            </w:pPr>
            <w:r w:rsidRPr="002041CC">
              <w:rPr>
                <w:kern w:val="0"/>
                <w:szCs w:val="24"/>
                <w:lang w:val="en-GB" w:eastAsia="fr-FR"/>
              </w:rPr>
              <w:t>mg/N</w:t>
            </w:r>
            <w:r w:rsidRPr="00114BAA">
              <w:t>m</w:t>
            </w:r>
            <w:r w:rsidRPr="00FA2143">
              <w:rPr>
                <w:vertAlign w:val="superscript"/>
              </w:rPr>
              <w:t>3</w:t>
            </w:r>
          </w:p>
        </w:tc>
        <w:tc>
          <w:tcPr>
            <w:tcW w:w="1609" w:type="dxa"/>
          </w:tcPr>
          <w:p w14:paraId="45EB8638" w14:textId="77777777" w:rsidR="00310AC7" w:rsidRDefault="00310AC7" w:rsidP="00F0752C">
            <w:pPr>
              <w:jc w:val="center"/>
              <w:textAlignment w:val="auto"/>
              <w:rPr>
                <w:kern w:val="0"/>
                <w:szCs w:val="24"/>
                <w:lang w:eastAsia="fr-FR"/>
              </w:rPr>
            </w:pPr>
            <w:r>
              <w:rPr>
                <w:kern w:val="0"/>
                <w:szCs w:val="24"/>
                <w:lang w:eastAsia="fr-FR"/>
              </w:rPr>
              <w:t>10</w:t>
            </w:r>
          </w:p>
        </w:tc>
      </w:tr>
    </w:tbl>
    <w:p w14:paraId="5AE7F819" w14:textId="77777777" w:rsidR="00310AC7" w:rsidRDefault="00310AC7" w:rsidP="00310AC7">
      <w:pPr>
        <w:jc w:val="center"/>
        <w:textAlignment w:val="auto"/>
        <w:rPr>
          <w:kern w:val="0"/>
          <w:szCs w:val="24"/>
          <w:lang w:eastAsia="fr-FR"/>
        </w:rPr>
      </w:pPr>
    </w:p>
    <w:p w14:paraId="29AA00B6" w14:textId="20C884FE" w:rsidR="00310AC7" w:rsidRPr="00684B60" w:rsidRDefault="00310AC7" w:rsidP="00310AC7">
      <w:pPr>
        <w:textAlignment w:val="auto"/>
        <w:rPr>
          <w:kern w:val="0"/>
          <w:szCs w:val="24"/>
          <w:lang w:eastAsia="fr-FR"/>
        </w:rPr>
      </w:pPr>
      <w:r w:rsidRPr="00DD0E2C">
        <w:rPr>
          <w:kern w:val="0"/>
          <w:szCs w:val="24"/>
          <w:vertAlign w:val="superscript"/>
          <w:lang w:eastAsia="fr-FR"/>
        </w:rPr>
        <w:t>(</w:t>
      </w:r>
      <w:r>
        <w:rPr>
          <w:kern w:val="0"/>
          <w:szCs w:val="24"/>
          <w:vertAlign w:val="superscript"/>
          <w:lang w:eastAsia="fr-FR"/>
        </w:rPr>
        <w:t>1</w:t>
      </w:r>
      <w:r w:rsidRPr="00DD0E2C">
        <w:rPr>
          <w:kern w:val="0"/>
          <w:szCs w:val="24"/>
          <w:vertAlign w:val="superscript"/>
          <w:lang w:eastAsia="fr-FR"/>
        </w:rPr>
        <w:t>)</w:t>
      </w:r>
      <w:r w:rsidRPr="00322F24">
        <w:rPr>
          <w:kern w:val="0"/>
          <w:szCs w:val="24"/>
          <w:lang w:eastAsia="fr-FR"/>
        </w:rPr>
        <w:t xml:space="preserve"> </w:t>
      </w:r>
      <w:r>
        <w:t>Les rejets sont exprimés sur gaz secs après déduction de la vapeur d'eau et rapportés à une concentration de 11 % d'oxygène sur gaz secs.</w:t>
      </w:r>
    </w:p>
    <w:p w14:paraId="351FF477" w14:textId="5696BF0A" w:rsidR="00310AC7" w:rsidRDefault="00310AC7" w:rsidP="00310AC7">
      <w:pPr>
        <w:textAlignment w:val="auto"/>
      </w:pPr>
      <w:r w:rsidRPr="00DD0E2C">
        <w:rPr>
          <w:kern w:val="0"/>
          <w:szCs w:val="24"/>
          <w:vertAlign w:val="superscript"/>
          <w:lang w:eastAsia="fr-FR"/>
        </w:rPr>
        <w:t>(</w:t>
      </w:r>
      <w:r>
        <w:rPr>
          <w:kern w:val="0"/>
          <w:szCs w:val="24"/>
          <w:vertAlign w:val="superscript"/>
          <w:lang w:eastAsia="fr-FR"/>
        </w:rPr>
        <w:t>2</w:t>
      </w:r>
      <w:r w:rsidRPr="00DD0E2C">
        <w:rPr>
          <w:kern w:val="0"/>
          <w:szCs w:val="24"/>
          <w:vertAlign w:val="superscript"/>
          <w:lang w:eastAsia="fr-FR"/>
        </w:rPr>
        <w:t>)</w:t>
      </w:r>
      <w:r w:rsidRPr="00322F24">
        <w:rPr>
          <w:kern w:val="0"/>
          <w:szCs w:val="24"/>
          <w:lang w:eastAsia="fr-FR"/>
        </w:rPr>
        <w:t xml:space="preserve"> Les échantillons analysés sont constitués de prélèvements réalisés sur une période d'échantillonnage de six </w:t>
      </w:r>
      <w:r w:rsidRPr="00567D4C">
        <w:rPr>
          <w:kern w:val="0"/>
          <w:szCs w:val="24"/>
          <w:lang w:eastAsia="fr-FR"/>
        </w:rPr>
        <w:t>au minimum et de huit heures au maximum</w:t>
      </w:r>
      <w:r>
        <w:rPr>
          <w:kern w:val="0"/>
          <w:szCs w:val="24"/>
          <w:lang w:eastAsia="fr-FR"/>
        </w:rPr>
        <w:t>. La mesure r</w:t>
      </w:r>
      <w:r w:rsidRPr="00322F24">
        <w:rPr>
          <w:kern w:val="0"/>
          <w:szCs w:val="24"/>
          <w:lang w:eastAsia="fr-FR"/>
        </w:rPr>
        <w:t>envoie à la concentration totale en dioxines et en furannes calculée au moyen du concept d'équivalence toxique</w:t>
      </w:r>
      <w:r>
        <w:rPr>
          <w:kern w:val="0"/>
          <w:szCs w:val="24"/>
          <w:lang w:eastAsia="fr-FR"/>
        </w:rPr>
        <w:t>.</w:t>
      </w:r>
    </w:p>
    <w:p w14:paraId="6CCAADB0" w14:textId="77777777" w:rsidR="003169AA" w:rsidRPr="005458FE" w:rsidRDefault="003169AA" w:rsidP="003169AA">
      <w:pPr>
        <w:pStyle w:val="Default"/>
      </w:pPr>
    </w:p>
    <w:p w14:paraId="594F1118" w14:textId="3F2838D2" w:rsidR="008341C1" w:rsidRDefault="00F87343" w:rsidP="008B3A3A">
      <w:pPr>
        <w:pStyle w:val="Default"/>
        <w:spacing w:after="40"/>
        <w:jc w:val="both"/>
        <w:rPr>
          <w:color w:val="auto"/>
        </w:rPr>
      </w:pPr>
      <w:bookmarkStart w:id="93" w:name="_Hlk169693325"/>
      <w:r>
        <w:rPr>
          <w:color w:val="auto"/>
        </w:rPr>
        <w:t>I</w:t>
      </w:r>
      <w:r w:rsidR="000B3E67">
        <w:rPr>
          <w:color w:val="auto"/>
        </w:rPr>
        <w:t>II</w:t>
      </w:r>
      <w:r>
        <w:rPr>
          <w:color w:val="auto"/>
        </w:rPr>
        <w:t>. - </w:t>
      </w:r>
      <w:r w:rsidR="0083232F" w:rsidRPr="008341C1">
        <w:rPr>
          <w:color w:val="auto"/>
        </w:rPr>
        <w:t xml:space="preserve">L’exploitant </w:t>
      </w:r>
      <w:r w:rsidR="002C5C32" w:rsidRPr="00F447B1">
        <w:rPr>
          <w:color w:val="auto"/>
        </w:rPr>
        <w:t>rédui</w:t>
      </w:r>
      <w:r w:rsidR="002C5C32">
        <w:rPr>
          <w:color w:val="auto"/>
        </w:rPr>
        <w:t>t</w:t>
      </w:r>
      <w:r w:rsidR="002C5C32" w:rsidRPr="00F447B1">
        <w:rPr>
          <w:color w:val="auto"/>
        </w:rPr>
        <w:t xml:space="preserve"> les émissions dans l’air de composés organiques et de composés malodorants, notamment </w:t>
      </w:r>
      <w:r w:rsidR="00006D45">
        <w:rPr>
          <w:color w:val="auto"/>
        </w:rPr>
        <w:t xml:space="preserve">le </w:t>
      </w:r>
      <w:r w:rsidR="00A90056" w:rsidRPr="008F6A01">
        <w:rPr>
          <w:color w:val="auto"/>
        </w:rPr>
        <w:t>H</w:t>
      </w:r>
      <w:r w:rsidR="00A90056" w:rsidRPr="0035579C">
        <w:rPr>
          <w:color w:val="auto"/>
          <w:vertAlign w:val="subscript"/>
        </w:rPr>
        <w:t>2</w:t>
      </w:r>
      <w:r w:rsidR="00A90056" w:rsidRPr="008F6A01">
        <w:rPr>
          <w:color w:val="auto"/>
        </w:rPr>
        <w:t>S</w:t>
      </w:r>
      <w:r w:rsidR="002C5C32" w:rsidRPr="00F447B1">
        <w:rPr>
          <w:color w:val="auto"/>
        </w:rPr>
        <w:t xml:space="preserve"> et </w:t>
      </w:r>
      <w:r w:rsidR="00A90056" w:rsidRPr="008F6A01">
        <w:rPr>
          <w:color w:val="auto"/>
        </w:rPr>
        <w:t>NH</w:t>
      </w:r>
      <w:r w:rsidR="00A90056" w:rsidRPr="0035579C">
        <w:rPr>
          <w:color w:val="auto"/>
          <w:vertAlign w:val="subscript"/>
        </w:rPr>
        <w:t>3</w:t>
      </w:r>
      <w:r w:rsidR="002C5C32">
        <w:rPr>
          <w:color w:val="auto"/>
        </w:rPr>
        <w:t xml:space="preserve">. Il </w:t>
      </w:r>
      <w:r w:rsidR="0083232F" w:rsidRPr="008341C1">
        <w:rPr>
          <w:color w:val="auto"/>
        </w:rPr>
        <w:t xml:space="preserve">respecte les valeurs limites d'émissions suivantes </w:t>
      </w:r>
      <w:r w:rsidR="007834B8" w:rsidRPr="008341C1">
        <w:rPr>
          <w:color w:val="auto"/>
        </w:rPr>
        <w:t>pour les émissions atmosphériques canalisées</w:t>
      </w:r>
      <w:r w:rsidR="008341C1">
        <w:rPr>
          <w:color w:val="auto"/>
        </w:rPr>
        <w:t> </w:t>
      </w:r>
      <w:bookmarkEnd w:id="93"/>
      <w:r w:rsidR="008341C1">
        <w:rPr>
          <w:color w:val="auto"/>
        </w:rPr>
        <w:t xml:space="preserve">: </w:t>
      </w:r>
    </w:p>
    <w:p w14:paraId="03A16EE3" w14:textId="77777777" w:rsidR="002C5C32" w:rsidRDefault="002C5C32" w:rsidP="002C5C32">
      <w:pPr>
        <w:pStyle w:val="Default"/>
        <w:spacing w:after="40"/>
        <w:jc w:val="both"/>
        <w:rPr>
          <w:color w:val="auto"/>
        </w:rPr>
      </w:pPr>
    </w:p>
    <w:tbl>
      <w:tblPr>
        <w:tblStyle w:val="Grilledutableau"/>
        <w:tblW w:w="0" w:type="auto"/>
        <w:tblLook w:val="04A0" w:firstRow="1" w:lastRow="0" w:firstColumn="1" w:lastColumn="0" w:noHBand="0" w:noVBand="1"/>
      </w:tblPr>
      <w:tblGrid>
        <w:gridCol w:w="3114"/>
        <w:gridCol w:w="2551"/>
        <w:gridCol w:w="1274"/>
        <w:gridCol w:w="2123"/>
      </w:tblGrid>
      <w:tr w:rsidR="002C5C32" w:rsidRPr="008341C1" w14:paraId="7E28CFDF" w14:textId="77777777" w:rsidTr="00EA5FB1">
        <w:tc>
          <w:tcPr>
            <w:tcW w:w="3114" w:type="dxa"/>
            <w:shd w:val="clear" w:color="auto" w:fill="E7E6E6" w:themeFill="background2"/>
          </w:tcPr>
          <w:p w14:paraId="6327A71F" w14:textId="77777777" w:rsidR="002C5C32" w:rsidRPr="00E867B8" w:rsidRDefault="002C5C32" w:rsidP="00EA5FB1">
            <w:pPr>
              <w:pStyle w:val="Default"/>
              <w:spacing w:after="40"/>
              <w:jc w:val="center"/>
              <w:rPr>
                <w:b/>
                <w:bCs/>
                <w:color w:val="auto"/>
              </w:rPr>
            </w:pPr>
            <w:r w:rsidRPr="00E867B8">
              <w:rPr>
                <w:b/>
                <w:bCs/>
                <w:color w:val="auto"/>
              </w:rPr>
              <w:t>Activités</w:t>
            </w:r>
          </w:p>
        </w:tc>
        <w:tc>
          <w:tcPr>
            <w:tcW w:w="2551" w:type="dxa"/>
            <w:shd w:val="clear" w:color="auto" w:fill="E7E6E6" w:themeFill="background2"/>
          </w:tcPr>
          <w:p w14:paraId="034333FF" w14:textId="77777777" w:rsidR="002C5C32" w:rsidRPr="00E867B8" w:rsidRDefault="002C5C32" w:rsidP="00EA5FB1">
            <w:pPr>
              <w:pStyle w:val="Default"/>
              <w:spacing w:after="40"/>
              <w:jc w:val="center"/>
              <w:rPr>
                <w:b/>
                <w:bCs/>
                <w:color w:val="auto"/>
              </w:rPr>
            </w:pPr>
            <w:r w:rsidRPr="00E867B8">
              <w:rPr>
                <w:b/>
                <w:bCs/>
                <w:color w:val="auto"/>
              </w:rPr>
              <w:t>Substance/Paramètre</w:t>
            </w:r>
          </w:p>
        </w:tc>
        <w:tc>
          <w:tcPr>
            <w:tcW w:w="1274" w:type="dxa"/>
            <w:shd w:val="clear" w:color="auto" w:fill="E7E6E6" w:themeFill="background2"/>
          </w:tcPr>
          <w:p w14:paraId="442E680C" w14:textId="77777777" w:rsidR="002C5C32" w:rsidRPr="00E867B8" w:rsidRDefault="002C5C32" w:rsidP="00EA5FB1">
            <w:pPr>
              <w:pStyle w:val="Default"/>
              <w:spacing w:after="40"/>
              <w:jc w:val="center"/>
              <w:rPr>
                <w:b/>
                <w:bCs/>
                <w:color w:val="auto"/>
              </w:rPr>
            </w:pPr>
            <w:r w:rsidRPr="00E867B8">
              <w:rPr>
                <w:b/>
                <w:bCs/>
                <w:color w:val="auto"/>
              </w:rPr>
              <w:t>Unité</w:t>
            </w:r>
          </w:p>
        </w:tc>
        <w:tc>
          <w:tcPr>
            <w:tcW w:w="2123" w:type="dxa"/>
            <w:shd w:val="clear" w:color="auto" w:fill="E7E6E6" w:themeFill="background2"/>
          </w:tcPr>
          <w:p w14:paraId="435A66DC" w14:textId="77777777" w:rsidR="002C5C32" w:rsidRPr="00E867B8" w:rsidRDefault="002C5C32" w:rsidP="00EA5FB1">
            <w:pPr>
              <w:pStyle w:val="Default"/>
              <w:spacing w:after="40"/>
              <w:jc w:val="center"/>
              <w:rPr>
                <w:b/>
                <w:bCs/>
                <w:color w:val="auto"/>
              </w:rPr>
            </w:pPr>
            <w:r w:rsidRPr="00E867B8">
              <w:rPr>
                <w:b/>
                <w:bCs/>
                <w:color w:val="auto"/>
              </w:rPr>
              <w:t>VLE (moyenne sur la période d’échantillonnage)</w:t>
            </w:r>
          </w:p>
        </w:tc>
      </w:tr>
      <w:tr w:rsidR="002C5C32" w:rsidRPr="008341C1" w14:paraId="7D745FAF" w14:textId="77777777" w:rsidTr="00EA5FB1">
        <w:tc>
          <w:tcPr>
            <w:tcW w:w="3114" w:type="dxa"/>
            <w:vMerge w:val="restart"/>
            <w:vAlign w:val="center"/>
          </w:tcPr>
          <w:p w14:paraId="7EBBA8ED" w14:textId="21C402E8" w:rsidR="002C5C32" w:rsidRPr="0018105F" w:rsidRDefault="00D14D1B" w:rsidP="00EA5FB1">
            <w:pPr>
              <w:pStyle w:val="Default"/>
              <w:spacing w:after="40"/>
              <w:jc w:val="both"/>
              <w:rPr>
                <w:color w:val="auto"/>
              </w:rPr>
            </w:pPr>
            <w:r>
              <w:rPr>
                <w:color w:val="auto"/>
              </w:rPr>
              <w:t xml:space="preserve">Activité </w:t>
            </w:r>
            <w:r w:rsidR="002C5C32" w:rsidRPr="0018105F">
              <w:rPr>
                <w:color w:val="auto"/>
              </w:rPr>
              <w:t>de transformation de sous-produits animaux, de la fonte des graisses et du traitement du sang et/ou des plumes</w:t>
            </w:r>
          </w:p>
          <w:p w14:paraId="004C8350" w14:textId="77777777" w:rsidR="002C5C32" w:rsidRPr="0018105F" w:rsidRDefault="002C5C32" w:rsidP="00EA5FB1">
            <w:pPr>
              <w:pStyle w:val="Default"/>
              <w:spacing w:after="40"/>
              <w:jc w:val="both"/>
              <w:rPr>
                <w:color w:val="auto"/>
              </w:rPr>
            </w:pPr>
          </w:p>
        </w:tc>
        <w:tc>
          <w:tcPr>
            <w:tcW w:w="2551" w:type="dxa"/>
          </w:tcPr>
          <w:p w14:paraId="1256473E" w14:textId="77777777" w:rsidR="002C5C32" w:rsidRPr="008F6A01" w:rsidRDefault="002C5C32" w:rsidP="00EA5FB1">
            <w:pPr>
              <w:pStyle w:val="Default"/>
              <w:spacing w:after="40"/>
              <w:jc w:val="both"/>
              <w:rPr>
                <w:color w:val="auto"/>
              </w:rPr>
            </w:pPr>
            <w:r w:rsidRPr="008F6A01">
              <w:rPr>
                <w:color w:val="auto"/>
              </w:rPr>
              <w:t>Concentration d’odeurs</w:t>
            </w:r>
          </w:p>
        </w:tc>
        <w:tc>
          <w:tcPr>
            <w:tcW w:w="1274" w:type="dxa"/>
          </w:tcPr>
          <w:p w14:paraId="12F7CB54" w14:textId="6EC4A967" w:rsidR="002C5C32" w:rsidRPr="008F6A01" w:rsidRDefault="00E67458" w:rsidP="00EA5FB1">
            <w:pPr>
              <w:pStyle w:val="Default"/>
              <w:spacing w:after="40"/>
              <w:jc w:val="center"/>
              <w:rPr>
                <w:color w:val="auto"/>
              </w:rPr>
            </w:pPr>
            <w:proofErr w:type="spellStart"/>
            <w:r>
              <w:rPr>
                <w:color w:val="auto"/>
              </w:rPr>
              <w:t>uoE</w:t>
            </w:r>
            <w:proofErr w:type="spellEnd"/>
            <w:r w:rsidR="002C5C32" w:rsidRPr="008F6A01">
              <w:rPr>
                <w:color w:val="auto"/>
              </w:rPr>
              <w:t>/</w:t>
            </w:r>
            <w:r w:rsidR="00E56137" w:rsidRPr="00114BAA">
              <w:t>m</w:t>
            </w:r>
            <w:r w:rsidR="00E56137" w:rsidRPr="00FA2143">
              <w:rPr>
                <w:vertAlign w:val="superscript"/>
              </w:rPr>
              <w:t>3</w:t>
            </w:r>
          </w:p>
        </w:tc>
        <w:tc>
          <w:tcPr>
            <w:tcW w:w="2123" w:type="dxa"/>
          </w:tcPr>
          <w:p w14:paraId="47400108" w14:textId="77777777" w:rsidR="002C5C32" w:rsidRPr="0018105F" w:rsidRDefault="002C5C32" w:rsidP="00EA5FB1">
            <w:pPr>
              <w:pStyle w:val="Default"/>
              <w:spacing w:after="40"/>
              <w:jc w:val="center"/>
              <w:rPr>
                <w:color w:val="auto"/>
              </w:rPr>
            </w:pPr>
            <w:r w:rsidRPr="00B41DE9">
              <w:rPr>
                <w:color w:val="auto"/>
              </w:rPr>
              <w:t xml:space="preserve">1 100 </w:t>
            </w:r>
            <w:r w:rsidRPr="00A90056">
              <w:rPr>
                <w:color w:val="auto"/>
                <w:vertAlign w:val="superscript"/>
              </w:rPr>
              <w:t>(1) (2)</w:t>
            </w:r>
          </w:p>
        </w:tc>
      </w:tr>
      <w:tr w:rsidR="002C5C32" w:rsidRPr="008341C1" w14:paraId="5A367893" w14:textId="77777777" w:rsidTr="00EA5FB1">
        <w:tc>
          <w:tcPr>
            <w:tcW w:w="3114" w:type="dxa"/>
            <w:vMerge/>
            <w:vAlign w:val="center"/>
          </w:tcPr>
          <w:p w14:paraId="7487AF70" w14:textId="77777777" w:rsidR="002C5C32" w:rsidRPr="0018105F" w:rsidRDefault="002C5C32" w:rsidP="00EA5FB1">
            <w:pPr>
              <w:pStyle w:val="Default"/>
              <w:spacing w:after="40"/>
              <w:jc w:val="both"/>
              <w:rPr>
                <w:color w:val="auto"/>
              </w:rPr>
            </w:pPr>
          </w:p>
        </w:tc>
        <w:tc>
          <w:tcPr>
            <w:tcW w:w="2551" w:type="dxa"/>
          </w:tcPr>
          <w:p w14:paraId="14624710" w14:textId="77777777" w:rsidR="002C5C32" w:rsidRPr="008F6A01" w:rsidRDefault="002C5C32" w:rsidP="00EA5FB1">
            <w:pPr>
              <w:pStyle w:val="Default"/>
              <w:spacing w:after="40"/>
              <w:jc w:val="both"/>
              <w:rPr>
                <w:color w:val="auto"/>
              </w:rPr>
            </w:pPr>
            <w:r w:rsidRPr="008F6A01">
              <w:rPr>
                <w:color w:val="auto"/>
              </w:rPr>
              <w:t>COVT</w:t>
            </w:r>
          </w:p>
        </w:tc>
        <w:tc>
          <w:tcPr>
            <w:tcW w:w="1274" w:type="dxa"/>
          </w:tcPr>
          <w:p w14:paraId="194CEF88" w14:textId="48AFF7E8" w:rsidR="002C5C32" w:rsidRPr="008F6A01" w:rsidRDefault="002C5C32" w:rsidP="00EA5FB1">
            <w:pPr>
              <w:pStyle w:val="Default"/>
              <w:spacing w:after="40"/>
              <w:jc w:val="center"/>
              <w:rPr>
                <w:color w:val="auto"/>
              </w:rPr>
            </w:pPr>
            <w:r w:rsidRPr="008F6A01">
              <w:rPr>
                <w:color w:val="auto"/>
              </w:rPr>
              <w:t>mg C/N</w:t>
            </w:r>
            <w:r w:rsidR="00E56137" w:rsidRPr="00114BAA">
              <w:t>m</w:t>
            </w:r>
            <w:r w:rsidR="00E56137" w:rsidRPr="00FA2143">
              <w:rPr>
                <w:vertAlign w:val="superscript"/>
              </w:rPr>
              <w:t>3</w:t>
            </w:r>
          </w:p>
        </w:tc>
        <w:tc>
          <w:tcPr>
            <w:tcW w:w="2123" w:type="dxa"/>
          </w:tcPr>
          <w:p w14:paraId="378DE928" w14:textId="77777777" w:rsidR="002C5C32" w:rsidRPr="0018105F" w:rsidRDefault="002C5C32" w:rsidP="00EA5FB1">
            <w:pPr>
              <w:pStyle w:val="Default"/>
              <w:spacing w:after="40"/>
              <w:jc w:val="center"/>
              <w:rPr>
                <w:color w:val="auto"/>
              </w:rPr>
            </w:pPr>
            <w:r w:rsidRPr="0018105F">
              <w:rPr>
                <w:color w:val="auto"/>
              </w:rPr>
              <w:t>16</w:t>
            </w:r>
          </w:p>
        </w:tc>
      </w:tr>
      <w:tr w:rsidR="002C5C32" w:rsidRPr="008341C1" w14:paraId="102779D6" w14:textId="77777777" w:rsidTr="00EA5FB1">
        <w:tc>
          <w:tcPr>
            <w:tcW w:w="3114" w:type="dxa"/>
            <w:vMerge/>
            <w:vAlign w:val="center"/>
          </w:tcPr>
          <w:p w14:paraId="76BC7F75" w14:textId="77777777" w:rsidR="002C5C32" w:rsidRPr="0018105F" w:rsidRDefault="002C5C32" w:rsidP="00EA5FB1">
            <w:pPr>
              <w:pStyle w:val="Default"/>
              <w:spacing w:after="40"/>
              <w:jc w:val="both"/>
              <w:rPr>
                <w:color w:val="auto"/>
              </w:rPr>
            </w:pPr>
          </w:p>
        </w:tc>
        <w:tc>
          <w:tcPr>
            <w:tcW w:w="2551" w:type="dxa"/>
          </w:tcPr>
          <w:p w14:paraId="3872A676" w14:textId="01EB433D" w:rsidR="002C5C32" w:rsidRPr="008F6A01" w:rsidRDefault="002C5C32" w:rsidP="00EA5FB1">
            <w:pPr>
              <w:pStyle w:val="Default"/>
              <w:spacing w:after="40"/>
              <w:jc w:val="both"/>
              <w:rPr>
                <w:color w:val="auto"/>
              </w:rPr>
            </w:pPr>
            <w:r w:rsidRPr="008F6A01">
              <w:rPr>
                <w:color w:val="auto"/>
              </w:rPr>
              <w:t>NH</w:t>
            </w:r>
            <w:r w:rsidR="0035579C" w:rsidRPr="0035579C">
              <w:rPr>
                <w:color w:val="auto"/>
                <w:vertAlign w:val="subscript"/>
              </w:rPr>
              <w:t>3</w:t>
            </w:r>
          </w:p>
        </w:tc>
        <w:tc>
          <w:tcPr>
            <w:tcW w:w="1274" w:type="dxa"/>
          </w:tcPr>
          <w:p w14:paraId="2168D98E" w14:textId="62065365" w:rsidR="002C5C32" w:rsidRPr="008F6A01" w:rsidRDefault="0035579C" w:rsidP="00EA5FB1">
            <w:pPr>
              <w:pStyle w:val="Default"/>
              <w:spacing w:after="40"/>
              <w:jc w:val="center"/>
              <w:rPr>
                <w:color w:val="auto"/>
              </w:rPr>
            </w:pPr>
            <w:r w:rsidRPr="0031107C">
              <w:rPr>
                <w:color w:val="auto"/>
              </w:rPr>
              <w:t>mg/N</w:t>
            </w:r>
            <w:r w:rsidRPr="00114BAA">
              <w:t>m</w:t>
            </w:r>
            <w:r w:rsidRPr="00FA2143">
              <w:rPr>
                <w:vertAlign w:val="superscript"/>
              </w:rPr>
              <w:t>3</w:t>
            </w:r>
          </w:p>
        </w:tc>
        <w:tc>
          <w:tcPr>
            <w:tcW w:w="2123" w:type="dxa"/>
          </w:tcPr>
          <w:p w14:paraId="4E6EEA83" w14:textId="77777777" w:rsidR="002C5C32" w:rsidRPr="0018105F" w:rsidRDefault="002C5C32" w:rsidP="00EA5FB1">
            <w:pPr>
              <w:pStyle w:val="Default"/>
              <w:spacing w:after="40"/>
              <w:jc w:val="center"/>
              <w:rPr>
                <w:color w:val="auto"/>
              </w:rPr>
            </w:pPr>
            <w:r w:rsidRPr="0018105F">
              <w:rPr>
                <w:color w:val="auto"/>
              </w:rPr>
              <w:t xml:space="preserve">4 </w:t>
            </w:r>
            <w:r w:rsidRPr="00A90056">
              <w:rPr>
                <w:color w:val="auto"/>
                <w:vertAlign w:val="superscript"/>
              </w:rPr>
              <w:t>(3)</w:t>
            </w:r>
          </w:p>
        </w:tc>
      </w:tr>
      <w:tr w:rsidR="002C5C32" w:rsidRPr="008341C1" w14:paraId="6D9F5067" w14:textId="77777777" w:rsidTr="00EA5FB1">
        <w:tc>
          <w:tcPr>
            <w:tcW w:w="3114" w:type="dxa"/>
            <w:vMerge/>
            <w:vAlign w:val="center"/>
          </w:tcPr>
          <w:p w14:paraId="5579BCD7" w14:textId="77777777" w:rsidR="002C5C32" w:rsidRPr="0018105F" w:rsidRDefault="002C5C32" w:rsidP="00EA5FB1">
            <w:pPr>
              <w:pStyle w:val="Default"/>
              <w:spacing w:after="40"/>
              <w:jc w:val="both"/>
              <w:rPr>
                <w:color w:val="auto"/>
              </w:rPr>
            </w:pPr>
          </w:p>
        </w:tc>
        <w:tc>
          <w:tcPr>
            <w:tcW w:w="2551" w:type="dxa"/>
          </w:tcPr>
          <w:p w14:paraId="3A4E637D" w14:textId="77777777" w:rsidR="002C5C32" w:rsidRPr="008F6A01" w:rsidRDefault="002C5C32" w:rsidP="00EA5FB1">
            <w:pPr>
              <w:pStyle w:val="Default"/>
              <w:spacing w:after="40"/>
              <w:jc w:val="both"/>
              <w:rPr>
                <w:color w:val="auto"/>
              </w:rPr>
            </w:pPr>
            <w:r w:rsidRPr="008F6A01">
              <w:rPr>
                <w:color w:val="auto"/>
              </w:rPr>
              <w:t>H</w:t>
            </w:r>
            <w:r w:rsidRPr="0035579C">
              <w:rPr>
                <w:color w:val="auto"/>
                <w:vertAlign w:val="subscript"/>
              </w:rPr>
              <w:t>2</w:t>
            </w:r>
            <w:r w:rsidRPr="008F6A01">
              <w:rPr>
                <w:color w:val="auto"/>
              </w:rPr>
              <w:t xml:space="preserve">S </w:t>
            </w:r>
          </w:p>
        </w:tc>
        <w:tc>
          <w:tcPr>
            <w:tcW w:w="1274" w:type="dxa"/>
          </w:tcPr>
          <w:p w14:paraId="6C4B9503" w14:textId="1C6B3E9C" w:rsidR="002C5C32" w:rsidRPr="008F6A01" w:rsidRDefault="0035579C" w:rsidP="00EA5FB1">
            <w:pPr>
              <w:pStyle w:val="Default"/>
              <w:spacing w:after="40"/>
              <w:jc w:val="center"/>
              <w:rPr>
                <w:color w:val="auto"/>
              </w:rPr>
            </w:pPr>
            <w:r w:rsidRPr="0031107C">
              <w:rPr>
                <w:color w:val="auto"/>
              </w:rPr>
              <w:t>mg/N</w:t>
            </w:r>
            <w:r w:rsidRPr="00114BAA">
              <w:t>m</w:t>
            </w:r>
            <w:r w:rsidRPr="00FA2143">
              <w:rPr>
                <w:vertAlign w:val="superscript"/>
              </w:rPr>
              <w:t>3</w:t>
            </w:r>
          </w:p>
        </w:tc>
        <w:tc>
          <w:tcPr>
            <w:tcW w:w="2123" w:type="dxa"/>
          </w:tcPr>
          <w:p w14:paraId="2AA095CB" w14:textId="77777777" w:rsidR="002C5C32" w:rsidRPr="0018105F" w:rsidRDefault="002C5C32" w:rsidP="00EA5FB1">
            <w:pPr>
              <w:pStyle w:val="Default"/>
              <w:spacing w:after="40"/>
              <w:jc w:val="center"/>
              <w:rPr>
                <w:color w:val="auto"/>
              </w:rPr>
            </w:pPr>
            <w:r w:rsidRPr="0018105F">
              <w:rPr>
                <w:color w:val="auto"/>
              </w:rPr>
              <w:t xml:space="preserve">1 </w:t>
            </w:r>
            <w:r w:rsidRPr="00A90056">
              <w:rPr>
                <w:color w:val="auto"/>
                <w:vertAlign w:val="superscript"/>
              </w:rPr>
              <w:t>(4)</w:t>
            </w:r>
          </w:p>
        </w:tc>
      </w:tr>
      <w:tr w:rsidR="002C5C32" w:rsidRPr="008341C1" w14:paraId="74EF6DE9" w14:textId="77777777" w:rsidTr="00EA5FB1">
        <w:tc>
          <w:tcPr>
            <w:tcW w:w="3114" w:type="dxa"/>
            <w:vMerge w:val="restart"/>
            <w:shd w:val="clear" w:color="auto" w:fill="E7E6E6" w:themeFill="background2"/>
            <w:vAlign w:val="center"/>
          </w:tcPr>
          <w:p w14:paraId="13DC8073" w14:textId="77777777" w:rsidR="002C5C32" w:rsidRPr="0018105F" w:rsidRDefault="002C5C32" w:rsidP="00EA5FB1">
            <w:pPr>
              <w:pStyle w:val="Default"/>
              <w:spacing w:after="40"/>
              <w:jc w:val="both"/>
              <w:rPr>
                <w:color w:val="auto"/>
              </w:rPr>
            </w:pPr>
            <w:r>
              <w:rPr>
                <w:color w:val="auto"/>
              </w:rPr>
              <w:t>P</w:t>
            </w:r>
            <w:r w:rsidRPr="0018105F">
              <w:rPr>
                <w:color w:val="auto"/>
              </w:rPr>
              <w:t>roduction de farine et d’huile de poisson</w:t>
            </w:r>
          </w:p>
          <w:p w14:paraId="0D38672A" w14:textId="77777777" w:rsidR="002C5C32" w:rsidRPr="008341C1" w:rsidRDefault="002C5C32" w:rsidP="00EA5FB1">
            <w:pPr>
              <w:pStyle w:val="Default"/>
              <w:spacing w:after="40"/>
              <w:jc w:val="both"/>
              <w:rPr>
                <w:color w:val="auto"/>
              </w:rPr>
            </w:pPr>
          </w:p>
        </w:tc>
        <w:tc>
          <w:tcPr>
            <w:tcW w:w="2551" w:type="dxa"/>
            <w:shd w:val="clear" w:color="auto" w:fill="E7E6E6" w:themeFill="background2"/>
          </w:tcPr>
          <w:p w14:paraId="47DA7041" w14:textId="77777777" w:rsidR="002C5C32" w:rsidRPr="008F6A01" w:rsidRDefault="002C5C32" w:rsidP="00EA5FB1">
            <w:pPr>
              <w:pStyle w:val="Default"/>
              <w:spacing w:after="40"/>
              <w:jc w:val="both"/>
              <w:rPr>
                <w:color w:val="auto"/>
              </w:rPr>
            </w:pPr>
            <w:r w:rsidRPr="008F6A01">
              <w:rPr>
                <w:color w:val="auto"/>
              </w:rPr>
              <w:t>Concentration d’odeurs</w:t>
            </w:r>
          </w:p>
        </w:tc>
        <w:tc>
          <w:tcPr>
            <w:tcW w:w="1274" w:type="dxa"/>
            <w:shd w:val="clear" w:color="auto" w:fill="E7E6E6" w:themeFill="background2"/>
          </w:tcPr>
          <w:p w14:paraId="221137B8" w14:textId="731D4662" w:rsidR="002C5C32" w:rsidRPr="008F6A01" w:rsidRDefault="00E67458" w:rsidP="00EA5FB1">
            <w:pPr>
              <w:pStyle w:val="Default"/>
              <w:spacing w:after="40"/>
              <w:jc w:val="center"/>
              <w:rPr>
                <w:color w:val="auto"/>
              </w:rPr>
            </w:pPr>
            <w:proofErr w:type="spellStart"/>
            <w:r>
              <w:rPr>
                <w:color w:val="auto"/>
              </w:rPr>
              <w:t>uoE</w:t>
            </w:r>
            <w:proofErr w:type="spellEnd"/>
            <w:r w:rsidR="002C5C32" w:rsidRPr="008F6A01">
              <w:rPr>
                <w:color w:val="auto"/>
              </w:rPr>
              <w:t>/</w:t>
            </w:r>
            <w:r w:rsidR="00E56137" w:rsidRPr="00114BAA">
              <w:t>m</w:t>
            </w:r>
            <w:r w:rsidR="00E56137" w:rsidRPr="00FA2143">
              <w:rPr>
                <w:vertAlign w:val="superscript"/>
              </w:rPr>
              <w:t>3</w:t>
            </w:r>
          </w:p>
        </w:tc>
        <w:tc>
          <w:tcPr>
            <w:tcW w:w="2123" w:type="dxa"/>
            <w:shd w:val="clear" w:color="auto" w:fill="E7E6E6" w:themeFill="background2"/>
          </w:tcPr>
          <w:p w14:paraId="099359F9" w14:textId="77777777" w:rsidR="002C5C32" w:rsidRPr="0018105F" w:rsidRDefault="002C5C32" w:rsidP="00EA5FB1">
            <w:pPr>
              <w:pStyle w:val="Default"/>
              <w:spacing w:after="40"/>
              <w:jc w:val="center"/>
              <w:rPr>
                <w:color w:val="auto"/>
              </w:rPr>
            </w:pPr>
            <w:r w:rsidRPr="00B41DE9">
              <w:rPr>
                <w:color w:val="auto"/>
              </w:rPr>
              <w:t xml:space="preserve">3500 </w:t>
            </w:r>
            <w:r w:rsidRPr="00A90056">
              <w:rPr>
                <w:color w:val="auto"/>
                <w:vertAlign w:val="superscript"/>
              </w:rPr>
              <w:t>(1)</w:t>
            </w:r>
          </w:p>
        </w:tc>
      </w:tr>
      <w:tr w:rsidR="002C5C32" w:rsidRPr="008341C1" w14:paraId="3C2A5C38" w14:textId="77777777" w:rsidTr="00EA5FB1">
        <w:tc>
          <w:tcPr>
            <w:tcW w:w="3114" w:type="dxa"/>
            <w:vMerge/>
            <w:shd w:val="clear" w:color="auto" w:fill="E7E6E6" w:themeFill="background2"/>
          </w:tcPr>
          <w:p w14:paraId="20587649" w14:textId="77777777" w:rsidR="002C5C32" w:rsidRPr="008341C1" w:rsidRDefault="002C5C32" w:rsidP="00EA5FB1">
            <w:pPr>
              <w:pStyle w:val="Default"/>
              <w:spacing w:after="40"/>
              <w:jc w:val="both"/>
              <w:rPr>
                <w:color w:val="auto"/>
              </w:rPr>
            </w:pPr>
          </w:p>
        </w:tc>
        <w:tc>
          <w:tcPr>
            <w:tcW w:w="2551" w:type="dxa"/>
            <w:shd w:val="clear" w:color="auto" w:fill="E7E6E6" w:themeFill="background2"/>
          </w:tcPr>
          <w:p w14:paraId="7CBEA50F" w14:textId="77777777" w:rsidR="002C5C32" w:rsidRPr="008F6A01" w:rsidRDefault="002C5C32" w:rsidP="00EA5FB1">
            <w:pPr>
              <w:pStyle w:val="Default"/>
              <w:spacing w:after="40"/>
              <w:jc w:val="both"/>
              <w:rPr>
                <w:color w:val="auto"/>
              </w:rPr>
            </w:pPr>
            <w:r w:rsidRPr="008F6A01">
              <w:rPr>
                <w:color w:val="auto"/>
              </w:rPr>
              <w:t xml:space="preserve">COVT </w:t>
            </w:r>
            <w:r w:rsidRPr="00A90056">
              <w:rPr>
                <w:color w:val="auto"/>
                <w:vertAlign w:val="superscript"/>
              </w:rPr>
              <w:t>(5)</w:t>
            </w:r>
          </w:p>
        </w:tc>
        <w:tc>
          <w:tcPr>
            <w:tcW w:w="1274" w:type="dxa"/>
            <w:shd w:val="clear" w:color="auto" w:fill="E7E6E6" w:themeFill="background2"/>
          </w:tcPr>
          <w:p w14:paraId="38CF28C9" w14:textId="62268F1D" w:rsidR="002C5C32" w:rsidRPr="008F6A01" w:rsidRDefault="002C5C32" w:rsidP="00EA5FB1">
            <w:pPr>
              <w:pStyle w:val="Default"/>
              <w:spacing w:after="40"/>
              <w:jc w:val="center"/>
              <w:rPr>
                <w:color w:val="auto"/>
              </w:rPr>
            </w:pPr>
            <w:r w:rsidRPr="008F6A01">
              <w:rPr>
                <w:color w:val="auto"/>
              </w:rPr>
              <w:t>mg C/N</w:t>
            </w:r>
            <w:r w:rsidR="00E56137" w:rsidRPr="00114BAA">
              <w:t>m</w:t>
            </w:r>
            <w:r w:rsidR="00E56137" w:rsidRPr="00FA2143">
              <w:rPr>
                <w:vertAlign w:val="superscript"/>
              </w:rPr>
              <w:t>3</w:t>
            </w:r>
          </w:p>
        </w:tc>
        <w:tc>
          <w:tcPr>
            <w:tcW w:w="2123" w:type="dxa"/>
            <w:shd w:val="clear" w:color="auto" w:fill="E7E6E6" w:themeFill="background2"/>
          </w:tcPr>
          <w:p w14:paraId="7E5C7611" w14:textId="77777777" w:rsidR="002C5C32" w:rsidRPr="008F6A01" w:rsidRDefault="002C5C32" w:rsidP="00EA5FB1">
            <w:pPr>
              <w:pStyle w:val="Default"/>
              <w:spacing w:after="40"/>
              <w:jc w:val="center"/>
              <w:rPr>
                <w:color w:val="auto"/>
              </w:rPr>
            </w:pPr>
            <w:r w:rsidRPr="008F6A01">
              <w:rPr>
                <w:color w:val="auto"/>
              </w:rPr>
              <w:t>14</w:t>
            </w:r>
          </w:p>
        </w:tc>
      </w:tr>
      <w:tr w:rsidR="002C5C32" w:rsidRPr="008341C1" w14:paraId="3F6FF63A" w14:textId="77777777" w:rsidTr="00EA5FB1">
        <w:tc>
          <w:tcPr>
            <w:tcW w:w="3114" w:type="dxa"/>
            <w:vMerge/>
            <w:shd w:val="clear" w:color="auto" w:fill="E7E6E6" w:themeFill="background2"/>
          </w:tcPr>
          <w:p w14:paraId="40209581" w14:textId="77777777" w:rsidR="002C5C32" w:rsidRPr="008341C1" w:rsidRDefault="002C5C32" w:rsidP="00EA5FB1">
            <w:pPr>
              <w:pStyle w:val="Default"/>
              <w:spacing w:after="40"/>
              <w:jc w:val="both"/>
              <w:rPr>
                <w:color w:val="auto"/>
              </w:rPr>
            </w:pPr>
          </w:p>
        </w:tc>
        <w:tc>
          <w:tcPr>
            <w:tcW w:w="2551" w:type="dxa"/>
            <w:shd w:val="clear" w:color="auto" w:fill="E7E6E6" w:themeFill="background2"/>
          </w:tcPr>
          <w:p w14:paraId="3D144271" w14:textId="17F0AD2C" w:rsidR="002C5C32" w:rsidRPr="008F6A01" w:rsidRDefault="0035579C" w:rsidP="00EA5FB1">
            <w:pPr>
              <w:pStyle w:val="Default"/>
              <w:spacing w:after="40"/>
              <w:jc w:val="both"/>
              <w:rPr>
                <w:color w:val="auto"/>
              </w:rPr>
            </w:pPr>
            <w:r w:rsidRPr="008F6A01">
              <w:rPr>
                <w:color w:val="auto"/>
              </w:rPr>
              <w:t>NH</w:t>
            </w:r>
            <w:r w:rsidRPr="0035579C">
              <w:rPr>
                <w:color w:val="auto"/>
                <w:vertAlign w:val="subscript"/>
              </w:rPr>
              <w:t>3</w:t>
            </w:r>
            <w:r w:rsidRPr="008F6A01">
              <w:rPr>
                <w:color w:val="auto"/>
              </w:rPr>
              <w:t xml:space="preserve"> </w:t>
            </w:r>
            <w:r w:rsidR="002C5C32" w:rsidRPr="00A90056">
              <w:rPr>
                <w:color w:val="auto"/>
                <w:vertAlign w:val="superscript"/>
              </w:rPr>
              <w:t>(5)</w:t>
            </w:r>
          </w:p>
        </w:tc>
        <w:tc>
          <w:tcPr>
            <w:tcW w:w="1274" w:type="dxa"/>
            <w:shd w:val="clear" w:color="auto" w:fill="E7E6E6" w:themeFill="background2"/>
          </w:tcPr>
          <w:p w14:paraId="4D45B4F4" w14:textId="0023A3EA" w:rsidR="002C5C32" w:rsidRPr="008F6A01" w:rsidRDefault="0035579C" w:rsidP="00EA5FB1">
            <w:pPr>
              <w:pStyle w:val="Default"/>
              <w:spacing w:after="40"/>
              <w:jc w:val="center"/>
              <w:rPr>
                <w:color w:val="auto"/>
              </w:rPr>
            </w:pPr>
            <w:r w:rsidRPr="0031107C">
              <w:rPr>
                <w:color w:val="auto"/>
              </w:rPr>
              <w:t>mg/N</w:t>
            </w:r>
            <w:r w:rsidRPr="00114BAA">
              <w:t>m</w:t>
            </w:r>
            <w:r w:rsidRPr="00FA2143">
              <w:rPr>
                <w:vertAlign w:val="superscript"/>
              </w:rPr>
              <w:t>3</w:t>
            </w:r>
          </w:p>
        </w:tc>
        <w:tc>
          <w:tcPr>
            <w:tcW w:w="2123" w:type="dxa"/>
            <w:shd w:val="clear" w:color="auto" w:fill="E7E6E6" w:themeFill="background2"/>
          </w:tcPr>
          <w:p w14:paraId="063BCE8F" w14:textId="77777777" w:rsidR="002C5C32" w:rsidRPr="008F6A01" w:rsidRDefault="002C5C32" w:rsidP="00EA5FB1">
            <w:pPr>
              <w:pStyle w:val="Default"/>
              <w:spacing w:after="40"/>
              <w:jc w:val="center"/>
              <w:rPr>
                <w:color w:val="auto"/>
              </w:rPr>
            </w:pPr>
            <w:r>
              <w:rPr>
                <w:color w:val="auto"/>
              </w:rPr>
              <w:t>7</w:t>
            </w:r>
          </w:p>
        </w:tc>
      </w:tr>
    </w:tbl>
    <w:p w14:paraId="4545E457" w14:textId="77777777" w:rsidR="002C5C32" w:rsidRPr="008F6A01" w:rsidRDefault="002C5C32" w:rsidP="002C5C32">
      <w:pPr>
        <w:pStyle w:val="Default"/>
        <w:spacing w:after="40"/>
        <w:jc w:val="both"/>
        <w:rPr>
          <w:color w:val="auto"/>
        </w:rPr>
      </w:pPr>
    </w:p>
    <w:p w14:paraId="2555AC35" w14:textId="77777777" w:rsidR="002C5C32" w:rsidRPr="008F6A01" w:rsidRDefault="002C5C32" w:rsidP="002C5C32">
      <w:pPr>
        <w:pStyle w:val="Default"/>
        <w:spacing w:after="40"/>
        <w:jc w:val="both"/>
        <w:rPr>
          <w:color w:val="auto"/>
        </w:rPr>
      </w:pPr>
      <w:r w:rsidRPr="00A90056">
        <w:rPr>
          <w:color w:val="auto"/>
          <w:vertAlign w:val="superscript"/>
        </w:rPr>
        <w:t>(1)</w:t>
      </w:r>
      <w:r w:rsidRPr="008F6A01">
        <w:rPr>
          <w:color w:val="auto"/>
        </w:rPr>
        <w:t xml:space="preserve"> La VLE peut ne pas s’appliquer en cas de combustion (dans un </w:t>
      </w:r>
      <w:proofErr w:type="spellStart"/>
      <w:r w:rsidRPr="008F6A01">
        <w:rPr>
          <w:color w:val="auto"/>
        </w:rPr>
        <w:t>oxydateur</w:t>
      </w:r>
      <w:proofErr w:type="spellEnd"/>
      <w:r w:rsidRPr="008F6A01">
        <w:rPr>
          <w:color w:val="auto"/>
        </w:rPr>
        <w:t xml:space="preserve"> thermique ou une chaudière à vapeur, par exemple) de gaz malodorants lorsque les deux conditions suivantes sont remplies</w:t>
      </w:r>
      <w:r>
        <w:rPr>
          <w:color w:val="auto"/>
        </w:rPr>
        <w:t> </w:t>
      </w:r>
      <w:r w:rsidRPr="008F6A01">
        <w:rPr>
          <w:color w:val="auto"/>
        </w:rPr>
        <w:t>:</w:t>
      </w:r>
    </w:p>
    <w:p w14:paraId="62BC357C" w14:textId="48993CB0" w:rsidR="002C5C32" w:rsidRPr="008F6A01" w:rsidRDefault="002C5C32" w:rsidP="002C5C32">
      <w:pPr>
        <w:pStyle w:val="Default"/>
        <w:spacing w:after="40"/>
        <w:jc w:val="both"/>
        <w:rPr>
          <w:color w:val="auto"/>
        </w:rPr>
      </w:pPr>
      <w:r>
        <w:rPr>
          <w:color w:val="auto"/>
        </w:rPr>
        <w:t xml:space="preserve">- </w:t>
      </w:r>
      <w:r w:rsidRPr="008F6A01">
        <w:rPr>
          <w:color w:val="auto"/>
        </w:rPr>
        <w:t>la température de combustion est suffisamment élevée (généralement dans la fourchette 750</w:t>
      </w:r>
      <w:r w:rsidR="00006D45">
        <w:rPr>
          <w:color w:val="auto"/>
        </w:rPr>
        <w:t xml:space="preserve"> à </w:t>
      </w:r>
      <w:r w:rsidRPr="008F6A01">
        <w:rPr>
          <w:color w:val="auto"/>
        </w:rPr>
        <w:t>850</w:t>
      </w:r>
      <w:r w:rsidR="00006D45">
        <w:rPr>
          <w:color w:val="auto"/>
        </w:rPr>
        <w:t> </w:t>
      </w:r>
      <w:r w:rsidRPr="008F6A01">
        <w:rPr>
          <w:color w:val="auto"/>
        </w:rPr>
        <w:t>°C) avec un temps de séjour suffisant (généralement entre 1 et 2 secondes)</w:t>
      </w:r>
      <w:r>
        <w:rPr>
          <w:color w:val="auto"/>
        </w:rPr>
        <w:t> </w:t>
      </w:r>
      <w:r w:rsidRPr="008F6A01">
        <w:rPr>
          <w:color w:val="auto"/>
        </w:rPr>
        <w:t>; et</w:t>
      </w:r>
    </w:p>
    <w:p w14:paraId="695CB3C8" w14:textId="39B9FC1D" w:rsidR="002C5C32" w:rsidRPr="008F6A01" w:rsidRDefault="002C5C32" w:rsidP="002C5C32">
      <w:pPr>
        <w:pStyle w:val="Default"/>
        <w:spacing w:after="40"/>
        <w:jc w:val="both"/>
        <w:rPr>
          <w:color w:val="auto"/>
        </w:rPr>
      </w:pPr>
      <w:r>
        <w:rPr>
          <w:color w:val="auto"/>
        </w:rPr>
        <w:t xml:space="preserve">- </w:t>
      </w:r>
      <w:r w:rsidRPr="008F6A01">
        <w:rPr>
          <w:color w:val="auto"/>
        </w:rPr>
        <w:t>soit l’efficacité de l’abattement des odeurs est ≥ 99</w:t>
      </w:r>
      <w:r w:rsidR="00006D45">
        <w:rPr>
          <w:color w:val="auto"/>
        </w:rPr>
        <w:t> </w:t>
      </w:r>
      <w:r w:rsidRPr="008F6A01">
        <w:rPr>
          <w:color w:val="auto"/>
        </w:rPr>
        <w:t>%, soit l’odeur imputable au process n’est pas perceptible dans les gaz résiduaires traités.</w:t>
      </w:r>
    </w:p>
    <w:p w14:paraId="2469E26A" w14:textId="06D99091" w:rsidR="002C5C32" w:rsidRPr="008F6A01" w:rsidRDefault="002C5C32" w:rsidP="002C5C32">
      <w:pPr>
        <w:pStyle w:val="Default"/>
        <w:spacing w:after="40"/>
        <w:jc w:val="both"/>
        <w:rPr>
          <w:color w:val="auto"/>
        </w:rPr>
      </w:pPr>
      <w:r w:rsidRPr="00A90056">
        <w:rPr>
          <w:color w:val="auto"/>
          <w:vertAlign w:val="superscript"/>
        </w:rPr>
        <w:t>(2)</w:t>
      </w:r>
      <w:r w:rsidRPr="008F6A01">
        <w:rPr>
          <w:color w:val="auto"/>
        </w:rPr>
        <w:t xml:space="preserve"> Dans le cas des techniques de réduction autres que la combustion des gaz malodorants, lorsque soit l’efficacité du traitement est ≥ 92</w:t>
      </w:r>
      <w:r w:rsidR="00006D45">
        <w:rPr>
          <w:color w:val="auto"/>
        </w:rPr>
        <w:t> </w:t>
      </w:r>
      <w:r w:rsidRPr="008F6A01">
        <w:rPr>
          <w:color w:val="auto"/>
        </w:rPr>
        <w:t xml:space="preserve">%, soit l’odeur imputable au process n’est pas perceptible dans les gaz résiduaires traités, la VLE </w:t>
      </w:r>
      <w:r>
        <w:rPr>
          <w:color w:val="auto"/>
        </w:rPr>
        <w:t>est</w:t>
      </w:r>
      <w:r w:rsidRPr="008F6A01">
        <w:rPr>
          <w:color w:val="auto"/>
        </w:rPr>
        <w:t xml:space="preserve"> </w:t>
      </w:r>
      <w:r>
        <w:rPr>
          <w:color w:val="auto"/>
        </w:rPr>
        <w:t>de</w:t>
      </w:r>
      <w:r w:rsidRPr="008F6A01">
        <w:rPr>
          <w:color w:val="auto"/>
        </w:rPr>
        <w:t xml:space="preserve"> 3</w:t>
      </w:r>
      <w:r w:rsidR="00006D45">
        <w:rPr>
          <w:color w:val="auto"/>
        </w:rPr>
        <w:t> </w:t>
      </w:r>
      <w:r w:rsidRPr="008F6A01">
        <w:rPr>
          <w:color w:val="auto"/>
        </w:rPr>
        <w:t>000</w:t>
      </w:r>
      <w:r w:rsidR="00006D45">
        <w:rPr>
          <w:color w:val="auto"/>
        </w:rPr>
        <w:t> </w:t>
      </w:r>
      <w:proofErr w:type="spellStart"/>
      <w:r w:rsidRPr="008F6A01">
        <w:rPr>
          <w:color w:val="auto"/>
        </w:rPr>
        <w:t>uoE</w:t>
      </w:r>
      <w:proofErr w:type="spellEnd"/>
      <w:r w:rsidRPr="008F6A01">
        <w:rPr>
          <w:color w:val="auto"/>
        </w:rPr>
        <w:t xml:space="preserve"> /</w:t>
      </w:r>
      <w:r w:rsidR="0075350B" w:rsidRPr="00114BAA">
        <w:t>m</w:t>
      </w:r>
      <w:r w:rsidR="0075350B" w:rsidRPr="00FA2143">
        <w:rPr>
          <w:vertAlign w:val="superscript"/>
        </w:rPr>
        <w:t>3</w:t>
      </w:r>
      <w:r w:rsidRPr="008F6A01">
        <w:rPr>
          <w:color w:val="auto"/>
        </w:rPr>
        <w:t>.</w:t>
      </w:r>
    </w:p>
    <w:p w14:paraId="0D1FBF6C" w14:textId="638BBB4D" w:rsidR="002C5C32" w:rsidRPr="008F6A01" w:rsidRDefault="002C5C32" w:rsidP="002C5C32">
      <w:pPr>
        <w:pStyle w:val="Default"/>
        <w:spacing w:after="40"/>
        <w:jc w:val="both"/>
        <w:rPr>
          <w:color w:val="auto"/>
        </w:rPr>
      </w:pPr>
      <w:r w:rsidRPr="00A90056">
        <w:rPr>
          <w:color w:val="auto"/>
          <w:vertAlign w:val="superscript"/>
        </w:rPr>
        <w:t>(3)</w:t>
      </w:r>
      <w:r w:rsidRPr="008F6A01">
        <w:rPr>
          <w:color w:val="auto"/>
        </w:rPr>
        <w:t xml:space="preserve"> La VLE </w:t>
      </w:r>
      <w:r>
        <w:rPr>
          <w:color w:val="auto"/>
        </w:rPr>
        <w:t>est de</w:t>
      </w:r>
      <w:r w:rsidRPr="008F6A01">
        <w:rPr>
          <w:color w:val="auto"/>
        </w:rPr>
        <w:t xml:space="preserve"> 7</w:t>
      </w:r>
      <w:r w:rsidR="00006D45">
        <w:rPr>
          <w:color w:val="auto"/>
        </w:rPr>
        <w:t> </w:t>
      </w:r>
      <w:r w:rsidRPr="008F6A01">
        <w:rPr>
          <w:color w:val="auto"/>
        </w:rPr>
        <w:t>mg/N</w:t>
      </w:r>
      <w:r w:rsidR="0075350B" w:rsidRPr="00114BAA">
        <w:t>m</w:t>
      </w:r>
      <w:r w:rsidR="0075350B" w:rsidRPr="00FA2143">
        <w:rPr>
          <w:vertAlign w:val="superscript"/>
        </w:rPr>
        <w:t>3</w:t>
      </w:r>
      <w:r w:rsidRPr="008F6A01">
        <w:rPr>
          <w:color w:val="auto"/>
        </w:rPr>
        <w:t xml:space="preserve"> en cas de combustion (dans un </w:t>
      </w:r>
      <w:proofErr w:type="spellStart"/>
      <w:r w:rsidRPr="008F6A01">
        <w:rPr>
          <w:color w:val="auto"/>
        </w:rPr>
        <w:t>oxydateur</w:t>
      </w:r>
      <w:proofErr w:type="spellEnd"/>
      <w:r w:rsidRPr="008F6A01">
        <w:rPr>
          <w:color w:val="auto"/>
        </w:rPr>
        <w:t xml:space="preserve"> thermique ou une chaudière à vapeur, par exemple) des gaz malodorants.</w:t>
      </w:r>
    </w:p>
    <w:p w14:paraId="15FF4D95" w14:textId="7E4199D0" w:rsidR="002C5C32" w:rsidRPr="008F6A01" w:rsidRDefault="002C5C32" w:rsidP="002C5C32">
      <w:pPr>
        <w:pStyle w:val="Default"/>
        <w:spacing w:after="40"/>
        <w:jc w:val="both"/>
        <w:rPr>
          <w:color w:val="auto"/>
        </w:rPr>
      </w:pPr>
      <w:r w:rsidRPr="00A90056">
        <w:rPr>
          <w:color w:val="auto"/>
          <w:vertAlign w:val="superscript"/>
        </w:rPr>
        <w:t>(4)</w:t>
      </w:r>
      <w:r w:rsidRPr="008F6A01">
        <w:rPr>
          <w:color w:val="auto"/>
        </w:rPr>
        <w:t xml:space="preserve"> La VLE ne s’applique que lorsque la présence de H</w:t>
      </w:r>
      <w:r w:rsidRPr="00006D45">
        <w:rPr>
          <w:color w:val="auto"/>
          <w:vertAlign w:val="subscript"/>
        </w:rPr>
        <w:t>2</w:t>
      </w:r>
      <w:r w:rsidRPr="008F6A01">
        <w:rPr>
          <w:color w:val="auto"/>
        </w:rPr>
        <w:t xml:space="preserve">S est jugée pertinente pour le flux d’effluents gazeux, d’après l’inventaire des flux entrants et sortants mentionné </w:t>
      </w:r>
      <w:r>
        <w:rPr>
          <w:color w:val="auto"/>
        </w:rPr>
        <w:t>à l’article 3.5</w:t>
      </w:r>
      <w:r w:rsidR="00006D45">
        <w:rPr>
          <w:color w:val="auto"/>
        </w:rPr>
        <w:t xml:space="preserve"> du présent arrêté</w:t>
      </w:r>
      <w:r w:rsidRPr="008F6A01">
        <w:rPr>
          <w:color w:val="auto"/>
        </w:rPr>
        <w:t>.</w:t>
      </w:r>
      <w:r w:rsidR="00CE2C8D">
        <w:rPr>
          <w:color w:val="auto"/>
        </w:rPr>
        <w:t xml:space="preserve"> </w:t>
      </w:r>
    </w:p>
    <w:p w14:paraId="6C0AA0A6" w14:textId="4D22DB3C" w:rsidR="00B60923" w:rsidRDefault="002C5C32" w:rsidP="002C5C32">
      <w:pPr>
        <w:pStyle w:val="Default"/>
        <w:spacing w:after="40"/>
        <w:jc w:val="both"/>
        <w:rPr>
          <w:color w:val="auto"/>
        </w:rPr>
      </w:pPr>
      <w:r w:rsidRPr="00A90056">
        <w:rPr>
          <w:color w:val="auto"/>
          <w:vertAlign w:val="superscript"/>
        </w:rPr>
        <w:t>(5)</w:t>
      </w:r>
      <w:r w:rsidR="008A2BD3">
        <w:t xml:space="preserve"> La </w:t>
      </w:r>
      <w:bookmarkStart w:id="94" w:name="_Hlk180675694"/>
      <w:r w:rsidR="008A2BD3">
        <w:t>valeur limite d’émission</w:t>
      </w:r>
      <w:r>
        <w:t xml:space="preserve"> </w:t>
      </w:r>
      <w:bookmarkEnd w:id="94"/>
      <w:r>
        <w:t xml:space="preserve">ne s’applique qu’à la combustion (dans un </w:t>
      </w:r>
      <w:proofErr w:type="spellStart"/>
      <w:r>
        <w:t>oxydateur</w:t>
      </w:r>
      <w:proofErr w:type="spellEnd"/>
      <w:r>
        <w:t xml:space="preserve"> thermique ou une chaudière à vapeur, par exemple) de gaz malodorants, y compris de gaz non condensables</w:t>
      </w:r>
      <w:r w:rsidR="00D64003">
        <w:t>.</w:t>
      </w:r>
    </w:p>
    <w:p w14:paraId="09EEAD99" w14:textId="742DEDD8" w:rsidR="002C5C32" w:rsidRDefault="00006D45" w:rsidP="002C5C32">
      <w:pPr>
        <w:pStyle w:val="Default"/>
        <w:spacing w:after="40"/>
        <w:jc w:val="both"/>
        <w:rPr>
          <w:color w:val="auto"/>
        </w:rPr>
      </w:pPr>
      <w:r>
        <w:rPr>
          <w:color w:val="auto"/>
        </w:rPr>
        <w:t>I</w:t>
      </w:r>
      <w:r w:rsidR="000B3E67">
        <w:rPr>
          <w:color w:val="auto"/>
        </w:rPr>
        <w:t>V</w:t>
      </w:r>
      <w:r>
        <w:rPr>
          <w:color w:val="auto"/>
        </w:rPr>
        <w:t>. - </w:t>
      </w:r>
      <w:r w:rsidR="00BF16A1" w:rsidRPr="00BF16A1">
        <w:rPr>
          <w:color w:val="auto"/>
        </w:rPr>
        <w:t xml:space="preserve">Lorsque l’exploitant réalise une combustion de gaz malodorants, y compris de gaz non condensables, dans un </w:t>
      </w:r>
      <w:proofErr w:type="spellStart"/>
      <w:r w:rsidR="00BF16A1" w:rsidRPr="00BF16A1">
        <w:rPr>
          <w:color w:val="auto"/>
        </w:rPr>
        <w:t>oxydateur</w:t>
      </w:r>
      <w:proofErr w:type="spellEnd"/>
      <w:r w:rsidR="00BF16A1" w:rsidRPr="00BF16A1">
        <w:rPr>
          <w:color w:val="auto"/>
        </w:rPr>
        <w:t xml:space="preserve"> thermique</w:t>
      </w:r>
      <w:r w:rsidR="00D03987">
        <w:rPr>
          <w:color w:val="auto"/>
        </w:rPr>
        <w:t>,</w:t>
      </w:r>
      <w:r w:rsidR="00BF16A1">
        <w:rPr>
          <w:color w:val="auto"/>
        </w:rPr>
        <w:t xml:space="preserve"> l</w:t>
      </w:r>
      <w:r w:rsidR="002C5C32" w:rsidRPr="008341C1">
        <w:rPr>
          <w:color w:val="auto"/>
        </w:rPr>
        <w:t xml:space="preserve">’exploitant </w:t>
      </w:r>
      <w:r w:rsidR="002C5C32">
        <w:rPr>
          <w:color w:val="auto"/>
        </w:rPr>
        <w:t>réduit</w:t>
      </w:r>
      <w:r w:rsidR="002C5C32" w:rsidRPr="00F447B1">
        <w:rPr>
          <w:color w:val="auto"/>
        </w:rPr>
        <w:t xml:space="preserve"> les émissions dans l’air de CO, de poussières, de NO</w:t>
      </w:r>
      <w:r w:rsidR="002C5C32" w:rsidRPr="00055822">
        <w:rPr>
          <w:color w:val="auto"/>
          <w:vertAlign w:val="subscript"/>
        </w:rPr>
        <w:t>X</w:t>
      </w:r>
      <w:r w:rsidR="002C5C32" w:rsidRPr="00F447B1">
        <w:rPr>
          <w:color w:val="auto"/>
        </w:rPr>
        <w:t xml:space="preserve"> et de SO</w:t>
      </w:r>
      <w:r w:rsidR="002C5C32" w:rsidRPr="00055822">
        <w:rPr>
          <w:color w:val="auto"/>
          <w:vertAlign w:val="subscript"/>
        </w:rPr>
        <w:t xml:space="preserve">X </w:t>
      </w:r>
      <w:r w:rsidR="002C5C32" w:rsidRPr="00F447B1">
        <w:rPr>
          <w:color w:val="auto"/>
        </w:rPr>
        <w:t xml:space="preserve">issues de </w:t>
      </w:r>
      <w:r w:rsidR="00BF16A1">
        <w:rPr>
          <w:color w:val="auto"/>
        </w:rPr>
        <w:t>cette</w:t>
      </w:r>
      <w:r w:rsidR="002C5C32" w:rsidRPr="00F447B1">
        <w:rPr>
          <w:color w:val="auto"/>
        </w:rPr>
        <w:t xml:space="preserve"> combustion</w:t>
      </w:r>
      <w:r w:rsidR="00D64003">
        <w:rPr>
          <w:color w:val="auto"/>
        </w:rPr>
        <w:t>.</w:t>
      </w:r>
    </w:p>
    <w:p w14:paraId="05FA2E7F" w14:textId="4F5C11E1" w:rsidR="002C5C32" w:rsidRDefault="002C5C32" w:rsidP="002C5C32">
      <w:pPr>
        <w:pStyle w:val="Default"/>
        <w:spacing w:after="40"/>
        <w:jc w:val="both"/>
        <w:rPr>
          <w:color w:val="auto"/>
        </w:rPr>
      </w:pPr>
      <w:r>
        <w:rPr>
          <w:color w:val="auto"/>
        </w:rPr>
        <w:t xml:space="preserve">Il </w:t>
      </w:r>
      <w:r w:rsidRPr="008341C1">
        <w:rPr>
          <w:color w:val="auto"/>
        </w:rPr>
        <w:t>respecte les valeurs limites d'émissions suivantes pour les émissions atmosphériques canalisées</w:t>
      </w:r>
      <w:r>
        <w:rPr>
          <w:color w:val="auto"/>
        </w:rPr>
        <w:t> :</w:t>
      </w:r>
    </w:p>
    <w:p w14:paraId="3BB7245F" w14:textId="5359F2AF" w:rsidR="002C5C32" w:rsidRDefault="002C5C32" w:rsidP="002C5C32">
      <w:pPr>
        <w:pStyle w:val="Default"/>
        <w:spacing w:after="40"/>
        <w:jc w:val="both"/>
        <w:rPr>
          <w:color w:val="auto"/>
        </w:rPr>
      </w:pPr>
    </w:p>
    <w:tbl>
      <w:tblPr>
        <w:tblStyle w:val="Grilledutableau"/>
        <w:tblW w:w="0" w:type="auto"/>
        <w:tblInd w:w="704" w:type="dxa"/>
        <w:tblLook w:val="04A0" w:firstRow="1" w:lastRow="0" w:firstColumn="1" w:lastColumn="0" w:noHBand="0" w:noVBand="1"/>
      </w:tblPr>
      <w:tblGrid>
        <w:gridCol w:w="2416"/>
        <w:gridCol w:w="1411"/>
        <w:gridCol w:w="3119"/>
      </w:tblGrid>
      <w:tr w:rsidR="00BB3C26" w14:paraId="4872B54F" w14:textId="77777777" w:rsidTr="00BB3C26">
        <w:tc>
          <w:tcPr>
            <w:tcW w:w="2416" w:type="dxa"/>
          </w:tcPr>
          <w:p w14:paraId="376AC67A" w14:textId="3F4275B0" w:rsidR="00BB3C26" w:rsidRDefault="00BB3C26" w:rsidP="00BB3C26">
            <w:pPr>
              <w:pStyle w:val="Default"/>
              <w:spacing w:after="40"/>
              <w:jc w:val="center"/>
              <w:rPr>
                <w:color w:val="auto"/>
              </w:rPr>
            </w:pPr>
            <w:r w:rsidRPr="00E867B8">
              <w:rPr>
                <w:b/>
                <w:bCs/>
                <w:color w:val="auto"/>
              </w:rPr>
              <w:t>Substance/Paramètre</w:t>
            </w:r>
          </w:p>
        </w:tc>
        <w:tc>
          <w:tcPr>
            <w:tcW w:w="1411" w:type="dxa"/>
          </w:tcPr>
          <w:p w14:paraId="164D02FA" w14:textId="73A9BEF8" w:rsidR="00BB3C26" w:rsidRDefault="00BB3C26" w:rsidP="00BB3C26">
            <w:pPr>
              <w:pStyle w:val="Default"/>
              <w:spacing w:after="40"/>
              <w:jc w:val="center"/>
              <w:rPr>
                <w:color w:val="auto"/>
              </w:rPr>
            </w:pPr>
            <w:r w:rsidRPr="00E867B8">
              <w:rPr>
                <w:b/>
                <w:bCs/>
                <w:color w:val="auto"/>
              </w:rPr>
              <w:t>Unité</w:t>
            </w:r>
          </w:p>
        </w:tc>
        <w:tc>
          <w:tcPr>
            <w:tcW w:w="3119" w:type="dxa"/>
          </w:tcPr>
          <w:p w14:paraId="2377DD54" w14:textId="52102EB9" w:rsidR="00BB3C26" w:rsidRDefault="00BB3C26" w:rsidP="00BB3C26">
            <w:pPr>
              <w:pStyle w:val="Default"/>
              <w:spacing w:after="40"/>
              <w:jc w:val="center"/>
              <w:rPr>
                <w:color w:val="auto"/>
              </w:rPr>
            </w:pPr>
            <w:r w:rsidRPr="00E867B8">
              <w:rPr>
                <w:b/>
                <w:bCs/>
                <w:color w:val="auto"/>
              </w:rPr>
              <w:t>VLE (moyenne sur la période d’échantillonnage)</w:t>
            </w:r>
          </w:p>
        </w:tc>
      </w:tr>
      <w:tr w:rsidR="00BB3C26" w14:paraId="6986B0EF" w14:textId="77777777" w:rsidTr="00BB3C26">
        <w:tc>
          <w:tcPr>
            <w:tcW w:w="2416" w:type="dxa"/>
          </w:tcPr>
          <w:p w14:paraId="73A270B6" w14:textId="550A001D" w:rsidR="00BB3C26" w:rsidRDefault="00BB3C26" w:rsidP="00BB3C26">
            <w:pPr>
              <w:pStyle w:val="Default"/>
              <w:spacing w:after="40"/>
              <w:jc w:val="center"/>
              <w:rPr>
                <w:color w:val="auto"/>
              </w:rPr>
            </w:pPr>
            <w:r w:rsidRPr="0018105F">
              <w:rPr>
                <w:color w:val="auto"/>
              </w:rPr>
              <w:t>Poussières</w:t>
            </w:r>
          </w:p>
        </w:tc>
        <w:tc>
          <w:tcPr>
            <w:tcW w:w="1411" w:type="dxa"/>
          </w:tcPr>
          <w:p w14:paraId="39CAEE3A" w14:textId="62ED9663" w:rsidR="00BB3C26" w:rsidRDefault="00BB3C26" w:rsidP="00BB3C26">
            <w:pPr>
              <w:pStyle w:val="Default"/>
              <w:spacing w:after="40"/>
              <w:jc w:val="center"/>
              <w:rPr>
                <w:color w:val="auto"/>
              </w:rPr>
            </w:pPr>
            <w:r w:rsidRPr="0031107C">
              <w:rPr>
                <w:color w:val="auto"/>
              </w:rPr>
              <w:t>mg/N</w:t>
            </w:r>
            <w:r w:rsidR="00237F44" w:rsidRPr="00114BAA">
              <w:t>m</w:t>
            </w:r>
            <w:r w:rsidR="00237F44" w:rsidRPr="00FA2143">
              <w:rPr>
                <w:vertAlign w:val="superscript"/>
              </w:rPr>
              <w:t>3</w:t>
            </w:r>
          </w:p>
        </w:tc>
        <w:tc>
          <w:tcPr>
            <w:tcW w:w="3119" w:type="dxa"/>
          </w:tcPr>
          <w:p w14:paraId="39220781" w14:textId="04F4B8D2" w:rsidR="00BB3C26" w:rsidRDefault="00BB3C26" w:rsidP="00BB3C26">
            <w:pPr>
              <w:pStyle w:val="Default"/>
              <w:spacing w:after="40"/>
              <w:jc w:val="center"/>
              <w:rPr>
                <w:color w:val="auto"/>
              </w:rPr>
            </w:pPr>
            <w:r w:rsidRPr="0018105F">
              <w:rPr>
                <w:color w:val="auto"/>
              </w:rPr>
              <w:t>5</w:t>
            </w:r>
            <w:r w:rsidR="0035579C">
              <w:rPr>
                <w:color w:val="auto"/>
              </w:rPr>
              <w:t xml:space="preserve"> </w:t>
            </w:r>
            <w:r w:rsidRPr="00A90056">
              <w:rPr>
                <w:color w:val="auto"/>
                <w:vertAlign w:val="superscript"/>
              </w:rPr>
              <w:t>(1)</w:t>
            </w:r>
          </w:p>
        </w:tc>
      </w:tr>
      <w:tr w:rsidR="00BB3C26" w14:paraId="6506E87A" w14:textId="77777777" w:rsidTr="00BB3C26">
        <w:tc>
          <w:tcPr>
            <w:tcW w:w="2416" w:type="dxa"/>
          </w:tcPr>
          <w:p w14:paraId="6F3EAF31" w14:textId="635BDD2F" w:rsidR="00BB3C26" w:rsidRDefault="0035579C" w:rsidP="00BB3C26">
            <w:pPr>
              <w:pStyle w:val="Default"/>
              <w:spacing w:after="40"/>
              <w:jc w:val="center"/>
              <w:rPr>
                <w:color w:val="auto"/>
              </w:rPr>
            </w:pPr>
            <w:r>
              <w:rPr>
                <w:color w:val="auto"/>
              </w:rPr>
              <w:t>NO</w:t>
            </w:r>
            <w:r w:rsidRPr="00237F44">
              <w:rPr>
                <w:color w:val="auto"/>
                <w:vertAlign w:val="subscript"/>
              </w:rPr>
              <w:t>x</w:t>
            </w:r>
          </w:p>
        </w:tc>
        <w:tc>
          <w:tcPr>
            <w:tcW w:w="1411" w:type="dxa"/>
          </w:tcPr>
          <w:p w14:paraId="52D3D9FE" w14:textId="18AE7F9D" w:rsidR="00BB3C26" w:rsidRDefault="00237F44" w:rsidP="00BB3C26">
            <w:pPr>
              <w:pStyle w:val="Default"/>
              <w:spacing w:after="40"/>
              <w:jc w:val="center"/>
              <w:rPr>
                <w:color w:val="auto"/>
              </w:rPr>
            </w:pPr>
            <w:r w:rsidRPr="0031107C">
              <w:rPr>
                <w:color w:val="auto"/>
              </w:rPr>
              <w:t>mg/N</w:t>
            </w:r>
            <w:r w:rsidRPr="00114BAA">
              <w:t>m</w:t>
            </w:r>
            <w:r w:rsidRPr="00FA2143">
              <w:rPr>
                <w:vertAlign w:val="superscript"/>
              </w:rPr>
              <w:t>3</w:t>
            </w:r>
          </w:p>
        </w:tc>
        <w:tc>
          <w:tcPr>
            <w:tcW w:w="3119" w:type="dxa"/>
          </w:tcPr>
          <w:p w14:paraId="245ED465" w14:textId="61775DA8" w:rsidR="00BB3C26" w:rsidRDefault="00BB3C26" w:rsidP="00BB3C26">
            <w:pPr>
              <w:pStyle w:val="Default"/>
              <w:spacing w:after="40"/>
              <w:jc w:val="center"/>
              <w:rPr>
                <w:color w:val="auto"/>
              </w:rPr>
            </w:pPr>
            <w:r w:rsidRPr="0018105F">
              <w:rPr>
                <w:color w:val="auto"/>
              </w:rPr>
              <w:t>200</w:t>
            </w:r>
            <w:r w:rsidR="0035579C" w:rsidRPr="00A90056">
              <w:rPr>
                <w:color w:val="auto"/>
                <w:vertAlign w:val="superscript"/>
              </w:rPr>
              <w:t xml:space="preserve"> </w:t>
            </w:r>
            <w:r w:rsidRPr="00A90056">
              <w:rPr>
                <w:color w:val="auto"/>
                <w:vertAlign w:val="superscript"/>
              </w:rPr>
              <w:t>(1)</w:t>
            </w:r>
            <w:r w:rsidR="0035579C" w:rsidRPr="00A90056">
              <w:rPr>
                <w:color w:val="auto"/>
                <w:vertAlign w:val="superscript"/>
              </w:rPr>
              <w:t xml:space="preserve"> </w:t>
            </w:r>
            <w:r w:rsidRPr="00A90056">
              <w:rPr>
                <w:color w:val="auto"/>
                <w:vertAlign w:val="superscript"/>
              </w:rPr>
              <w:t>(2)</w:t>
            </w:r>
          </w:p>
        </w:tc>
      </w:tr>
      <w:tr w:rsidR="00BB3C26" w14:paraId="31946848" w14:textId="77777777" w:rsidTr="00BB3C26">
        <w:tc>
          <w:tcPr>
            <w:tcW w:w="2416" w:type="dxa"/>
          </w:tcPr>
          <w:p w14:paraId="55117C97" w14:textId="5EA8C38E" w:rsidR="00BB3C26" w:rsidRDefault="0035579C" w:rsidP="00BB3C26">
            <w:pPr>
              <w:pStyle w:val="Default"/>
              <w:spacing w:after="40"/>
              <w:jc w:val="center"/>
              <w:rPr>
                <w:color w:val="auto"/>
              </w:rPr>
            </w:pPr>
            <w:proofErr w:type="spellStart"/>
            <w:r>
              <w:rPr>
                <w:color w:val="auto"/>
              </w:rPr>
              <w:t>SO</w:t>
            </w:r>
            <w:r w:rsidRPr="00237F44">
              <w:rPr>
                <w:color w:val="auto"/>
                <w:vertAlign w:val="subscript"/>
              </w:rPr>
              <w:t>x</w:t>
            </w:r>
            <w:proofErr w:type="spellEnd"/>
          </w:p>
        </w:tc>
        <w:tc>
          <w:tcPr>
            <w:tcW w:w="1411" w:type="dxa"/>
          </w:tcPr>
          <w:p w14:paraId="1AE598C1" w14:textId="6026008F" w:rsidR="00BB3C26" w:rsidRDefault="00237F44" w:rsidP="00BB3C26">
            <w:pPr>
              <w:pStyle w:val="Default"/>
              <w:spacing w:after="40"/>
              <w:jc w:val="center"/>
              <w:rPr>
                <w:color w:val="auto"/>
              </w:rPr>
            </w:pPr>
            <w:r w:rsidRPr="0031107C">
              <w:rPr>
                <w:color w:val="auto"/>
              </w:rPr>
              <w:t>mg/N</w:t>
            </w:r>
            <w:r w:rsidRPr="00114BAA">
              <w:t>m</w:t>
            </w:r>
            <w:r w:rsidRPr="00FA2143">
              <w:rPr>
                <w:vertAlign w:val="superscript"/>
              </w:rPr>
              <w:t>3</w:t>
            </w:r>
          </w:p>
        </w:tc>
        <w:tc>
          <w:tcPr>
            <w:tcW w:w="3119" w:type="dxa"/>
          </w:tcPr>
          <w:p w14:paraId="7521ED2A" w14:textId="6DEE8CA7" w:rsidR="00BB3C26" w:rsidRDefault="00BB3C26" w:rsidP="00BB3C26">
            <w:pPr>
              <w:pStyle w:val="Default"/>
              <w:spacing w:after="40"/>
              <w:jc w:val="center"/>
              <w:rPr>
                <w:color w:val="auto"/>
              </w:rPr>
            </w:pPr>
            <w:r w:rsidRPr="0018105F">
              <w:rPr>
                <w:color w:val="auto"/>
              </w:rPr>
              <w:t>100</w:t>
            </w:r>
          </w:p>
        </w:tc>
      </w:tr>
    </w:tbl>
    <w:p w14:paraId="2D6425D5" w14:textId="77777777" w:rsidR="002C5C32" w:rsidRPr="008F6A01" w:rsidRDefault="002C5C32" w:rsidP="002C5C32">
      <w:pPr>
        <w:pStyle w:val="Default"/>
        <w:spacing w:after="40"/>
        <w:jc w:val="both"/>
        <w:rPr>
          <w:color w:val="auto"/>
        </w:rPr>
      </w:pPr>
    </w:p>
    <w:p w14:paraId="760C37A3" w14:textId="1A26C09A" w:rsidR="002C5C32" w:rsidRPr="0018105F" w:rsidRDefault="002C5C32" w:rsidP="002C5C32">
      <w:pPr>
        <w:pStyle w:val="Default"/>
        <w:spacing w:after="40"/>
        <w:jc w:val="both"/>
        <w:rPr>
          <w:color w:val="auto"/>
        </w:rPr>
      </w:pPr>
      <w:r w:rsidRPr="00A90056">
        <w:rPr>
          <w:color w:val="auto"/>
          <w:vertAlign w:val="superscript"/>
        </w:rPr>
        <w:t>(1)</w:t>
      </w:r>
      <w:r w:rsidRPr="0018105F">
        <w:rPr>
          <w:color w:val="auto"/>
        </w:rPr>
        <w:t xml:space="preserve"> La </w:t>
      </w:r>
      <w:r w:rsidR="008A2BD3">
        <w:t>valeur limite d’émission</w:t>
      </w:r>
      <w:r w:rsidRPr="0018105F">
        <w:rPr>
          <w:color w:val="auto"/>
        </w:rPr>
        <w:t xml:space="preserve"> ne s’applique qu’en cas d’utilisation exclusive de gaz naturel comme combustible.</w:t>
      </w:r>
    </w:p>
    <w:p w14:paraId="2685C828" w14:textId="34DE2A83" w:rsidR="001B0CDE" w:rsidRDefault="002C5C32" w:rsidP="001B0CDE">
      <w:r w:rsidRPr="00A90056">
        <w:rPr>
          <w:vertAlign w:val="superscript"/>
        </w:rPr>
        <w:t>(2)</w:t>
      </w:r>
      <w:r w:rsidRPr="0018105F">
        <w:t xml:space="preserve"> La </w:t>
      </w:r>
      <w:r w:rsidR="008A2BD3">
        <w:t>valeur limite d’émission</w:t>
      </w:r>
      <w:r w:rsidRPr="0018105F">
        <w:t xml:space="preserve"> </w:t>
      </w:r>
      <w:r w:rsidR="00BF16A1">
        <w:t>est</w:t>
      </w:r>
      <w:r w:rsidRPr="0018105F">
        <w:t xml:space="preserve"> de 350</w:t>
      </w:r>
      <w:r w:rsidR="00006D45">
        <w:t> </w:t>
      </w:r>
      <w:r w:rsidR="00006D45" w:rsidRPr="0031107C">
        <w:t>mg/N</w:t>
      </w:r>
      <w:r w:rsidR="00006D45" w:rsidRPr="00114BAA">
        <w:t>m</w:t>
      </w:r>
      <w:r w:rsidR="00006D45" w:rsidRPr="00FA2143">
        <w:rPr>
          <w:vertAlign w:val="superscript"/>
        </w:rPr>
        <w:t>3</w:t>
      </w:r>
      <w:r w:rsidR="00006D45">
        <w:t xml:space="preserve"> </w:t>
      </w:r>
      <w:r w:rsidRPr="0018105F">
        <w:t>pour les systèmes d’oxydation thermique récupérative.</w:t>
      </w:r>
      <w:bookmarkStart w:id="95" w:name="_Toc164951617"/>
      <w:bookmarkStart w:id="96" w:name="_Toc164951736"/>
    </w:p>
    <w:p w14:paraId="4CE25CE9" w14:textId="77777777" w:rsidR="005A01F2" w:rsidRDefault="005A01F2" w:rsidP="000B3E67">
      <w:pPr>
        <w:pStyle w:val="Default"/>
        <w:spacing w:after="40"/>
        <w:jc w:val="both"/>
        <w:rPr>
          <w:color w:val="auto"/>
        </w:rPr>
      </w:pPr>
    </w:p>
    <w:p w14:paraId="781A96A8" w14:textId="71D6085C" w:rsidR="000B3E67" w:rsidRDefault="005A01F2" w:rsidP="000B3E67">
      <w:pPr>
        <w:pStyle w:val="Default"/>
        <w:spacing w:after="40"/>
        <w:jc w:val="both"/>
        <w:rPr>
          <w:color w:val="auto"/>
        </w:rPr>
      </w:pPr>
      <w:r>
        <w:rPr>
          <w:color w:val="auto"/>
        </w:rPr>
        <w:t>V</w:t>
      </w:r>
      <w:r w:rsidR="000B3E67">
        <w:rPr>
          <w:color w:val="auto"/>
        </w:rPr>
        <w:t>. - L’</w:t>
      </w:r>
      <w:r w:rsidR="000B3E67" w:rsidRPr="00AE55E6">
        <w:rPr>
          <w:color w:val="auto"/>
        </w:rPr>
        <w:t>exploitant respecte les valeurs limites d'émissions suivantes</w:t>
      </w:r>
      <w:r w:rsidR="000B3E67">
        <w:rPr>
          <w:color w:val="auto"/>
        </w:rPr>
        <w:t xml:space="preserve"> pour les autres émissaires : </w:t>
      </w:r>
    </w:p>
    <w:p w14:paraId="2F12AAC9" w14:textId="77777777" w:rsidR="000B3E67" w:rsidRDefault="000B3E67" w:rsidP="000B3E67">
      <w:pPr>
        <w:pStyle w:val="Default"/>
        <w:spacing w:after="40"/>
        <w:jc w:val="both"/>
        <w:rPr>
          <w:color w:val="auto"/>
        </w:rPr>
      </w:pPr>
    </w:p>
    <w:tbl>
      <w:tblPr>
        <w:tblStyle w:val="Grilledutableau"/>
        <w:tblW w:w="0" w:type="auto"/>
        <w:tblLook w:val="04A0" w:firstRow="1" w:lastRow="0" w:firstColumn="1" w:lastColumn="0" w:noHBand="0" w:noVBand="1"/>
      </w:tblPr>
      <w:tblGrid>
        <w:gridCol w:w="3681"/>
        <w:gridCol w:w="1559"/>
        <w:gridCol w:w="3544"/>
      </w:tblGrid>
      <w:tr w:rsidR="000B3E67" w:rsidRPr="008341C1" w14:paraId="127E82C0" w14:textId="77777777" w:rsidTr="00CB2ACF">
        <w:tc>
          <w:tcPr>
            <w:tcW w:w="3681" w:type="dxa"/>
            <w:shd w:val="clear" w:color="auto" w:fill="E7E6E6" w:themeFill="background2"/>
          </w:tcPr>
          <w:p w14:paraId="7A2EAF51" w14:textId="77777777" w:rsidR="000B3E67" w:rsidRPr="00E867B8" w:rsidRDefault="000B3E67" w:rsidP="00CB2ACF">
            <w:pPr>
              <w:pStyle w:val="Default"/>
              <w:spacing w:after="40"/>
              <w:jc w:val="center"/>
              <w:rPr>
                <w:b/>
                <w:bCs/>
                <w:color w:val="auto"/>
              </w:rPr>
            </w:pPr>
            <w:r w:rsidRPr="00E867B8">
              <w:rPr>
                <w:b/>
                <w:bCs/>
                <w:color w:val="auto"/>
              </w:rPr>
              <w:t>Substance/Paramètre</w:t>
            </w:r>
          </w:p>
        </w:tc>
        <w:tc>
          <w:tcPr>
            <w:tcW w:w="1559" w:type="dxa"/>
            <w:shd w:val="clear" w:color="auto" w:fill="E7E6E6" w:themeFill="background2"/>
          </w:tcPr>
          <w:p w14:paraId="6C08AF82" w14:textId="77777777" w:rsidR="000B3E67" w:rsidRPr="00E867B8" w:rsidRDefault="000B3E67" w:rsidP="00CB2ACF">
            <w:pPr>
              <w:pStyle w:val="Default"/>
              <w:spacing w:after="40"/>
              <w:jc w:val="center"/>
              <w:rPr>
                <w:b/>
                <w:bCs/>
                <w:color w:val="auto"/>
              </w:rPr>
            </w:pPr>
            <w:r w:rsidRPr="00E867B8">
              <w:rPr>
                <w:b/>
                <w:bCs/>
                <w:color w:val="auto"/>
              </w:rPr>
              <w:t>Unité</w:t>
            </w:r>
          </w:p>
        </w:tc>
        <w:tc>
          <w:tcPr>
            <w:tcW w:w="3544" w:type="dxa"/>
            <w:shd w:val="clear" w:color="auto" w:fill="E7E6E6" w:themeFill="background2"/>
          </w:tcPr>
          <w:p w14:paraId="2441FC73" w14:textId="77777777" w:rsidR="000B3E67" w:rsidRPr="00E867B8" w:rsidRDefault="000B3E67" w:rsidP="00CB2ACF">
            <w:pPr>
              <w:pStyle w:val="Default"/>
              <w:spacing w:after="40"/>
              <w:jc w:val="center"/>
              <w:rPr>
                <w:b/>
                <w:bCs/>
                <w:color w:val="auto"/>
              </w:rPr>
            </w:pPr>
            <w:r>
              <w:t>Valeur limite d’émission</w:t>
            </w:r>
            <w:r w:rsidRPr="00E867B8">
              <w:rPr>
                <w:b/>
                <w:bCs/>
                <w:color w:val="auto"/>
              </w:rPr>
              <w:t xml:space="preserve"> (moyenne sur la période d’échantillonnage)</w:t>
            </w:r>
            <w:r>
              <w:rPr>
                <w:b/>
                <w:bCs/>
                <w:color w:val="auto"/>
              </w:rPr>
              <w:t xml:space="preserve"> </w:t>
            </w:r>
            <w:r w:rsidRPr="00A90056">
              <w:rPr>
                <w:color w:val="auto"/>
                <w:vertAlign w:val="superscript"/>
              </w:rPr>
              <w:t>(1)</w:t>
            </w:r>
            <w:r>
              <w:rPr>
                <w:color w:val="auto"/>
                <w:vertAlign w:val="superscript"/>
              </w:rPr>
              <w:t xml:space="preserve"> </w:t>
            </w:r>
            <w:r w:rsidRPr="00A90056">
              <w:rPr>
                <w:color w:val="auto"/>
                <w:vertAlign w:val="superscript"/>
              </w:rPr>
              <w:t>(2)</w:t>
            </w:r>
          </w:p>
        </w:tc>
      </w:tr>
      <w:tr w:rsidR="000B3E67" w:rsidRPr="008341C1" w14:paraId="6E17EEE6" w14:textId="77777777" w:rsidTr="00CB2ACF">
        <w:tc>
          <w:tcPr>
            <w:tcW w:w="3681" w:type="dxa"/>
          </w:tcPr>
          <w:p w14:paraId="1A6AB15B" w14:textId="77777777" w:rsidR="000B3E67" w:rsidRPr="0018105F" w:rsidRDefault="000B3E67" w:rsidP="00CB2ACF">
            <w:pPr>
              <w:pStyle w:val="Default"/>
              <w:spacing w:after="40"/>
              <w:rPr>
                <w:color w:val="auto"/>
              </w:rPr>
            </w:pPr>
            <w:r w:rsidRPr="0018105F">
              <w:rPr>
                <w:color w:val="auto"/>
              </w:rPr>
              <w:t>Poussières</w:t>
            </w:r>
          </w:p>
        </w:tc>
        <w:tc>
          <w:tcPr>
            <w:tcW w:w="1559" w:type="dxa"/>
          </w:tcPr>
          <w:p w14:paraId="0A22ACFB" w14:textId="77777777" w:rsidR="000B3E67" w:rsidRPr="00E867B8" w:rsidRDefault="000B3E67" w:rsidP="00CB2ACF">
            <w:pPr>
              <w:pStyle w:val="Default"/>
              <w:spacing w:after="40"/>
              <w:jc w:val="center"/>
              <w:rPr>
                <w:b/>
                <w:bCs/>
                <w:color w:val="auto"/>
              </w:rPr>
            </w:pPr>
            <w:r w:rsidRPr="0031107C">
              <w:rPr>
                <w:color w:val="auto"/>
              </w:rPr>
              <w:t>mg/N</w:t>
            </w:r>
            <w:r w:rsidRPr="00114BAA">
              <w:t>m</w:t>
            </w:r>
            <w:r w:rsidRPr="00FA2143">
              <w:rPr>
                <w:vertAlign w:val="superscript"/>
              </w:rPr>
              <w:t>3</w:t>
            </w:r>
          </w:p>
        </w:tc>
        <w:tc>
          <w:tcPr>
            <w:tcW w:w="3544" w:type="dxa"/>
          </w:tcPr>
          <w:p w14:paraId="6F52C025" w14:textId="77777777" w:rsidR="000B3E67" w:rsidRDefault="000B3E67" w:rsidP="00CB2ACF">
            <w:pPr>
              <w:pStyle w:val="Default"/>
              <w:spacing w:after="40"/>
              <w:jc w:val="center"/>
            </w:pPr>
            <w:r>
              <w:rPr>
                <w:color w:val="auto"/>
              </w:rPr>
              <w:t>100 s</w:t>
            </w:r>
            <w:r>
              <w:t>i le flux horaire est inférieur ou égal à 1 kg/h</w:t>
            </w:r>
          </w:p>
          <w:p w14:paraId="54A236AA" w14:textId="77777777" w:rsidR="000B3E67" w:rsidRPr="0018105F" w:rsidRDefault="000B3E67" w:rsidP="00CB2ACF">
            <w:pPr>
              <w:pStyle w:val="Default"/>
              <w:spacing w:after="40"/>
              <w:jc w:val="center"/>
              <w:rPr>
                <w:color w:val="auto"/>
              </w:rPr>
            </w:pPr>
            <w:r>
              <w:t>40 si le flux horaire est supérieur à 1 kg/h</w:t>
            </w:r>
          </w:p>
        </w:tc>
      </w:tr>
      <w:tr w:rsidR="000B3E67" w:rsidRPr="008341C1" w14:paraId="69A3A61A" w14:textId="77777777" w:rsidTr="00CB2ACF">
        <w:tc>
          <w:tcPr>
            <w:tcW w:w="3681" w:type="dxa"/>
          </w:tcPr>
          <w:p w14:paraId="2734D0E9" w14:textId="77777777" w:rsidR="000B3E67" w:rsidRPr="0018105F" w:rsidRDefault="000B3E67" w:rsidP="00CB2ACF">
            <w:pPr>
              <w:pStyle w:val="Default"/>
              <w:spacing w:after="40"/>
              <w:rPr>
                <w:color w:val="auto"/>
              </w:rPr>
            </w:pPr>
            <w:proofErr w:type="spellStart"/>
            <w:r>
              <w:rPr>
                <w:color w:val="auto"/>
              </w:rPr>
              <w:t>SO</w:t>
            </w:r>
            <w:r w:rsidRPr="00237F44">
              <w:rPr>
                <w:color w:val="auto"/>
                <w:vertAlign w:val="subscript"/>
              </w:rPr>
              <w:t>x</w:t>
            </w:r>
            <w:proofErr w:type="spellEnd"/>
          </w:p>
        </w:tc>
        <w:tc>
          <w:tcPr>
            <w:tcW w:w="1559" w:type="dxa"/>
          </w:tcPr>
          <w:p w14:paraId="303F4F17" w14:textId="77777777" w:rsidR="000B3E67" w:rsidRPr="00810388" w:rsidRDefault="000B3E67" w:rsidP="00CB2ACF">
            <w:pPr>
              <w:pStyle w:val="Default"/>
              <w:spacing w:after="40"/>
              <w:jc w:val="center"/>
              <w:rPr>
                <w:color w:val="auto"/>
              </w:rPr>
            </w:pPr>
            <w:r w:rsidRPr="0031107C">
              <w:rPr>
                <w:color w:val="auto"/>
              </w:rPr>
              <w:t>mg/N</w:t>
            </w:r>
            <w:r w:rsidRPr="00114BAA">
              <w:t>m</w:t>
            </w:r>
            <w:r w:rsidRPr="00FA2143">
              <w:rPr>
                <w:vertAlign w:val="superscript"/>
              </w:rPr>
              <w:t>3</w:t>
            </w:r>
          </w:p>
        </w:tc>
        <w:tc>
          <w:tcPr>
            <w:tcW w:w="3544" w:type="dxa"/>
          </w:tcPr>
          <w:p w14:paraId="07C9F409" w14:textId="77777777" w:rsidR="000B3E67" w:rsidRDefault="000B3E67" w:rsidP="00CB2ACF">
            <w:pPr>
              <w:pStyle w:val="Default"/>
              <w:spacing w:after="40"/>
              <w:jc w:val="center"/>
              <w:rPr>
                <w:color w:val="auto"/>
              </w:rPr>
            </w:pPr>
            <w:r>
              <w:rPr>
                <w:color w:val="auto"/>
              </w:rPr>
              <w:t>300 s</w:t>
            </w:r>
            <w:r>
              <w:t>i le flux horaire est supérieur à 25 kg/h</w:t>
            </w:r>
          </w:p>
        </w:tc>
      </w:tr>
      <w:tr w:rsidR="000B3E67" w:rsidRPr="008341C1" w14:paraId="6D3CFD3B" w14:textId="77777777" w:rsidTr="00CB2ACF">
        <w:tc>
          <w:tcPr>
            <w:tcW w:w="3681" w:type="dxa"/>
          </w:tcPr>
          <w:p w14:paraId="4628336C" w14:textId="77777777" w:rsidR="000B3E67" w:rsidRPr="00FE34A1" w:rsidRDefault="000B3E67" w:rsidP="00CB2ACF">
            <w:pPr>
              <w:pStyle w:val="Default"/>
              <w:spacing w:after="40"/>
              <w:rPr>
                <w:color w:val="auto"/>
              </w:rPr>
            </w:pPr>
            <w:r>
              <w:rPr>
                <w:color w:val="auto"/>
              </w:rPr>
              <w:t>NO</w:t>
            </w:r>
            <w:r w:rsidRPr="00237F44">
              <w:rPr>
                <w:color w:val="auto"/>
                <w:vertAlign w:val="subscript"/>
              </w:rPr>
              <w:t>x</w:t>
            </w:r>
          </w:p>
        </w:tc>
        <w:tc>
          <w:tcPr>
            <w:tcW w:w="1559" w:type="dxa"/>
          </w:tcPr>
          <w:p w14:paraId="0F49995E" w14:textId="77777777" w:rsidR="000B3E67" w:rsidRPr="00810388" w:rsidRDefault="000B3E67" w:rsidP="00CB2ACF">
            <w:pPr>
              <w:pStyle w:val="Default"/>
              <w:spacing w:after="40"/>
              <w:jc w:val="center"/>
              <w:rPr>
                <w:color w:val="auto"/>
              </w:rPr>
            </w:pPr>
            <w:r w:rsidRPr="0031107C">
              <w:rPr>
                <w:color w:val="auto"/>
              </w:rPr>
              <w:t>mg/N</w:t>
            </w:r>
            <w:r w:rsidRPr="00114BAA">
              <w:t>m</w:t>
            </w:r>
            <w:r w:rsidRPr="00FA2143">
              <w:rPr>
                <w:vertAlign w:val="superscript"/>
              </w:rPr>
              <w:t>3</w:t>
            </w:r>
          </w:p>
        </w:tc>
        <w:tc>
          <w:tcPr>
            <w:tcW w:w="3544" w:type="dxa"/>
          </w:tcPr>
          <w:p w14:paraId="158D6A8A" w14:textId="77777777" w:rsidR="000B3E67" w:rsidRDefault="000B3E67" w:rsidP="00CB2ACF">
            <w:pPr>
              <w:pStyle w:val="Default"/>
              <w:spacing w:after="40"/>
              <w:jc w:val="center"/>
              <w:rPr>
                <w:color w:val="auto"/>
              </w:rPr>
            </w:pPr>
            <w:r>
              <w:rPr>
                <w:color w:val="auto"/>
              </w:rPr>
              <w:t>500 s</w:t>
            </w:r>
            <w:r>
              <w:t>i le flux horaire est supérieur à 25 kg/h</w:t>
            </w:r>
          </w:p>
        </w:tc>
      </w:tr>
      <w:tr w:rsidR="000B3E67" w:rsidRPr="008341C1" w14:paraId="0AFD9D42" w14:textId="77777777" w:rsidTr="00CB2ACF">
        <w:tc>
          <w:tcPr>
            <w:tcW w:w="3681" w:type="dxa"/>
          </w:tcPr>
          <w:p w14:paraId="57CBBD1D" w14:textId="77777777" w:rsidR="000B3E67" w:rsidRPr="00FE34A1" w:rsidRDefault="000B3E67" w:rsidP="00CB2ACF">
            <w:pPr>
              <w:pStyle w:val="Default"/>
              <w:spacing w:after="40"/>
              <w:rPr>
                <w:color w:val="auto"/>
              </w:rPr>
            </w:pPr>
            <w:r>
              <w:rPr>
                <w:color w:val="auto"/>
              </w:rPr>
              <w:t>CO</w:t>
            </w:r>
          </w:p>
        </w:tc>
        <w:tc>
          <w:tcPr>
            <w:tcW w:w="1559" w:type="dxa"/>
          </w:tcPr>
          <w:p w14:paraId="3E22E4F7" w14:textId="77777777" w:rsidR="000B3E67" w:rsidRPr="00810388" w:rsidRDefault="000B3E67" w:rsidP="00CB2ACF">
            <w:pPr>
              <w:pStyle w:val="Default"/>
              <w:spacing w:after="40"/>
              <w:jc w:val="center"/>
              <w:rPr>
                <w:color w:val="auto"/>
              </w:rPr>
            </w:pPr>
            <w:r w:rsidRPr="0031107C">
              <w:rPr>
                <w:color w:val="auto"/>
              </w:rPr>
              <w:t>mg/N</w:t>
            </w:r>
            <w:r w:rsidRPr="00114BAA">
              <w:t>m</w:t>
            </w:r>
            <w:r w:rsidRPr="00FA2143">
              <w:rPr>
                <w:vertAlign w:val="superscript"/>
              </w:rPr>
              <w:t>3</w:t>
            </w:r>
          </w:p>
        </w:tc>
        <w:tc>
          <w:tcPr>
            <w:tcW w:w="3544" w:type="dxa"/>
          </w:tcPr>
          <w:p w14:paraId="5BB6B2FE" w14:textId="77777777" w:rsidR="000B3E67" w:rsidRDefault="000B3E67" w:rsidP="00CB2ACF">
            <w:pPr>
              <w:pStyle w:val="Default"/>
              <w:spacing w:after="40"/>
              <w:jc w:val="center"/>
              <w:rPr>
                <w:color w:val="auto"/>
              </w:rPr>
            </w:pPr>
            <w:r>
              <w:rPr>
                <w:color w:val="auto"/>
              </w:rPr>
              <w:t>100</w:t>
            </w:r>
          </w:p>
        </w:tc>
      </w:tr>
      <w:tr w:rsidR="000B3E67" w:rsidRPr="008341C1" w14:paraId="12B88865" w14:textId="77777777" w:rsidTr="00CB2ACF">
        <w:tc>
          <w:tcPr>
            <w:tcW w:w="3681" w:type="dxa"/>
          </w:tcPr>
          <w:p w14:paraId="3E869E6E" w14:textId="77777777" w:rsidR="000B3E67" w:rsidRPr="0018105F" w:rsidRDefault="000B3E67" w:rsidP="00CB2ACF">
            <w:pPr>
              <w:pStyle w:val="Default"/>
              <w:spacing w:after="40"/>
              <w:rPr>
                <w:color w:val="auto"/>
              </w:rPr>
            </w:pPr>
            <w:r w:rsidRPr="00FE34A1">
              <w:rPr>
                <w:color w:val="auto"/>
              </w:rPr>
              <w:t>Chlorure d'hydrogène et autres composés inorganiques gazeux du chlore</w:t>
            </w:r>
          </w:p>
        </w:tc>
        <w:tc>
          <w:tcPr>
            <w:tcW w:w="1559" w:type="dxa"/>
          </w:tcPr>
          <w:p w14:paraId="4D78B74E" w14:textId="77777777" w:rsidR="000B3E67" w:rsidRPr="00E867B8" w:rsidRDefault="000B3E67" w:rsidP="00CB2ACF">
            <w:pPr>
              <w:pStyle w:val="Default"/>
              <w:spacing w:after="40"/>
              <w:jc w:val="center"/>
              <w:rPr>
                <w:b/>
                <w:bCs/>
                <w:color w:val="auto"/>
              </w:rPr>
            </w:pPr>
            <w:r w:rsidRPr="0031107C">
              <w:rPr>
                <w:color w:val="auto"/>
              </w:rPr>
              <w:t>mg/N</w:t>
            </w:r>
            <w:r w:rsidRPr="00114BAA">
              <w:t>m</w:t>
            </w:r>
            <w:r w:rsidRPr="00FA2143">
              <w:rPr>
                <w:vertAlign w:val="superscript"/>
              </w:rPr>
              <w:t>3</w:t>
            </w:r>
          </w:p>
        </w:tc>
        <w:tc>
          <w:tcPr>
            <w:tcW w:w="3544" w:type="dxa"/>
          </w:tcPr>
          <w:p w14:paraId="2B1D00E8" w14:textId="77777777" w:rsidR="000B3E67" w:rsidRPr="0018105F" w:rsidRDefault="000B3E67" w:rsidP="00CB2ACF">
            <w:pPr>
              <w:pStyle w:val="Default"/>
              <w:spacing w:after="40"/>
              <w:jc w:val="center"/>
              <w:rPr>
                <w:color w:val="auto"/>
              </w:rPr>
            </w:pPr>
            <w:r>
              <w:rPr>
                <w:color w:val="auto"/>
              </w:rPr>
              <w:t xml:space="preserve">50 </w:t>
            </w:r>
            <w:r>
              <w:t>si le flux horaire est supérieur à 1 kg/h</w:t>
            </w:r>
          </w:p>
        </w:tc>
      </w:tr>
      <w:tr w:rsidR="000B3E67" w:rsidRPr="008341C1" w14:paraId="69D7E625" w14:textId="77777777" w:rsidTr="00CB2ACF">
        <w:tc>
          <w:tcPr>
            <w:tcW w:w="3681" w:type="dxa"/>
          </w:tcPr>
          <w:p w14:paraId="4C554270" w14:textId="77777777" w:rsidR="000B3E67" w:rsidRPr="008F6A01" w:rsidRDefault="000B3E67" w:rsidP="00CB2ACF">
            <w:pPr>
              <w:pStyle w:val="Default"/>
              <w:spacing w:after="40"/>
              <w:jc w:val="both"/>
              <w:rPr>
                <w:color w:val="auto"/>
              </w:rPr>
            </w:pPr>
            <w:r w:rsidRPr="00FE34A1">
              <w:rPr>
                <w:color w:val="auto"/>
              </w:rPr>
              <w:t>Fluor et composés du fluor</w:t>
            </w:r>
          </w:p>
        </w:tc>
        <w:tc>
          <w:tcPr>
            <w:tcW w:w="1559" w:type="dxa"/>
          </w:tcPr>
          <w:p w14:paraId="7DE2A1EB" w14:textId="77777777" w:rsidR="000B3E67" w:rsidRPr="008F6A01" w:rsidRDefault="000B3E67" w:rsidP="00CB2ACF">
            <w:pPr>
              <w:pStyle w:val="Default"/>
              <w:spacing w:after="40"/>
              <w:jc w:val="center"/>
              <w:rPr>
                <w:color w:val="auto"/>
              </w:rPr>
            </w:pPr>
            <w:r w:rsidRPr="0031107C">
              <w:rPr>
                <w:color w:val="auto"/>
              </w:rPr>
              <w:t>mg/N</w:t>
            </w:r>
            <w:r w:rsidRPr="00114BAA">
              <w:t>m</w:t>
            </w:r>
            <w:r w:rsidRPr="00FA2143">
              <w:rPr>
                <w:vertAlign w:val="superscript"/>
              </w:rPr>
              <w:t>3</w:t>
            </w:r>
          </w:p>
        </w:tc>
        <w:tc>
          <w:tcPr>
            <w:tcW w:w="3544" w:type="dxa"/>
          </w:tcPr>
          <w:p w14:paraId="7A6AAF66" w14:textId="77777777" w:rsidR="000B3E67" w:rsidRPr="0018105F" w:rsidRDefault="000B3E67" w:rsidP="00CB2ACF">
            <w:pPr>
              <w:pStyle w:val="Default"/>
              <w:spacing w:after="40"/>
              <w:jc w:val="center"/>
              <w:rPr>
                <w:color w:val="auto"/>
              </w:rPr>
            </w:pPr>
            <w:r>
              <w:rPr>
                <w:color w:val="auto"/>
              </w:rPr>
              <w:t xml:space="preserve">5 </w:t>
            </w:r>
            <w:r>
              <w:t>si le flux horaire est supérieur à 500 g/h pour l'ensemble des vésicules et particules.</w:t>
            </w:r>
          </w:p>
        </w:tc>
      </w:tr>
      <w:tr w:rsidR="000B3E67" w:rsidRPr="008341C1" w14:paraId="2AA90B7E" w14:textId="77777777" w:rsidTr="00CB2ACF">
        <w:tc>
          <w:tcPr>
            <w:tcW w:w="3681" w:type="dxa"/>
          </w:tcPr>
          <w:p w14:paraId="1AA510A8" w14:textId="35AB8BF9" w:rsidR="000B3E67" w:rsidRPr="00FE34A1" w:rsidRDefault="005A01F2" w:rsidP="00CB2ACF">
            <w:pPr>
              <w:pStyle w:val="Default"/>
              <w:spacing w:after="40"/>
              <w:jc w:val="both"/>
              <w:rPr>
                <w:color w:val="auto"/>
              </w:rPr>
            </w:pPr>
            <w:r>
              <w:rPr>
                <w:color w:val="auto"/>
              </w:rPr>
              <w:t>H2S</w:t>
            </w:r>
          </w:p>
        </w:tc>
        <w:tc>
          <w:tcPr>
            <w:tcW w:w="1559" w:type="dxa"/>
          </w:tcPr>
          <w:p w14:paraId="497CB022" w14:textId="3D651CD7" w:rsidR="000B3E67" w:rsidRPr="0031107C" w:rsidRDefault="005A01F2" w:rsidP="00CB2ACF">
            <w:pPr>
              <w:pStyle w:val="Default"/>
              <w:spacing w:after="40"/>
              <w:jc w:val="center"/>
              <w:rPr>
                <w:color w:val="auto"/>
              </w:rPr>
            </w:pPr>
            <w:r w:rsidRPr="0031107C">
              <w:rPr>
                <w:color w:val="auto"/>
              </w:rPr>
              <w:t>mg/N</w:t>
            </w:r>
            <w:r w:rsidRPr="00114BAA">
              <w:t>m</w:t>
            </w:r>
            <w:r w:rsidRPr="00FA2143">
              <w:rPr>
                <w:vertAlign w:val="superscript"/>
              </w:rPr>
              <w:t>3</w:t>
            </w:r>
          </w:p>
        </w:tc>
        <w:tc>
          <w:tcPr>
            <w:tcW w:w="3544" w:type="dxa"/>
          </w:tcPr>
          <w:p w14:paraId="4F7DDD8B" w14:textId="6352B61D" w:rsidR="000B3E67" w:rsidRDefault="00DE73E6" w:rsidP="00CB2ACF">
            <w:pPr>
              <w:pStyle w:val="Default"/>
              <w:spacing w:after="40"/>
              <w:jc w:val="center"/>
              <w:rPr>
                <w:color w:val="auto"/>
              </w:rPr>
            </w:pPr>
            <w:r w:rsidRPr="00DE73E6">
              <w:rPr>
                <w:color w:val="auto"/>
              </w:rPr>
              <w:t xml:space="preserve">5 </w:t>
            </w:r>
            <w:r>
              <w:rPr>
                <w:color w:val="auto"/>
              </w:rPr>
              <w:t xml:space="preserve">si </w:t>
            </w:r>
            <w:r w:rsidRPr="00DE73E6">
              <w:rPr>
                <w:color w:val="auto"/>
              </w:rPr>
              <w:t>le flux horaire d'hydrogène sulfuré est supérieur à 50 g/h</w:t>
            </w:r>
          </w:p>
        </w:tc>
      </w:tr>
      <w:tr w:rsidR="000B3E67" w:rsidRPr="008341C1" w14:paraId="0C8C242C" w14:textId="77777777" w:rsidTr="00CB2ACF">
        <w:tc>
          <w:tcPr>
            <w:tcW w:w="3681" w:type="dxa"/>
          </w:tcPr>
          <w:p w14:paraId="322AAD20" w14:textId="77777777" w:rsidR="000B3E67" w:rsidRDefault="000B3E67" w:rsidP="00CB2ACF">
            <w:pPr>
              <w:pStyle w:val="Default"/>
              <w:spacing w:after="40"/>
              <w:jc w:val="both"/>
              <w:rPr>
                <w:color w:val="auto"/>
              </w:rPr>
            </w:pPr>
            <w:r w:rsidRPr="008C6951">
              <w:rPr>
                <w:color w:val="auto"/>
              </w:rPr>
              <w:t>Carbone organique total</w:t>
            </w:r>
          </w:p>
        </w:tc>
        <w:tc>
          <w:tcPr>
            <w:tcW w:w="1559" w:type="dxa"/>
          </w:tcPr>
          <w:p w14:paraId="2A4081FD" w14:textId="77777777" w:rsidR="000B3E67" w:rsidRPr="00810388" w:rsidRDefault="000B3E67" w:rsidP="00CB2ACF">
            <w:pPr>
              <w:pStyle w:val="Default"/>
              <w:spacing w:after="40"/>
              <w:jc w:val="center"/>
              <w:rPr>
                <w:color w:val="auto"/>
              </w:rPr>
            </w:pPr>
            <w:r w:rsidRPr="0031107C">
              <w:rPr>
                <w:color w:val="auto"/>
              </w:rPr>
              <w:t>mg/N</w:t>
            </w:r>
            <w:r w:rsidRPr="00114BAA">
              <w:t>m</w:t>
            </w:r>
            <w:r w:rsidRPr="00FA2143">
              <w:rPr>
                <w:vertAlign w:val="superscript"/>
              </w:rPr>
              <w:t>3</w:t>
            </w:r>
          </w:p>
        </w:tc>
        <w:tc>
          <w:tcPr>
            <w:tcW w:w="3544" w:type="dxa"/>
          </w:tcPr>
          <w:p w14:paraId="07C786D4" w14:textId="77777777" w:rsidR="000B3E67" w:rsidRDefault="000B3E67" w:rsidP="00CB2ACF">
            <w:pPr>
              <w:pStyle w:val="Default"/>
              <w:spacing w:after="40"/>
              <w:jc w:val="center"/>
              <w:rPr>
                <w:color w:val="auto"/>
              </w:rPr>
            </w:pPr>
            <w:r>
              <w:rPr>
                <w:color w:val="auto"/>
              </w:rPr>
              <w:t>20</w:t>
            </w:r>
          </w:p>
        </w:tc>
      </w:tr>
      <w:tr w:rsidR="000B3E67" w:rsidRPr="008341C1" w14:paraId="538818F1" w14:textId="77777777" w:rsidTr="00CB2ACF">
        <w:tc>
          <w:tcPr>
            <w:tcW w:w="3681" w:type="dxa"/>
          </w:tcPr>
          <w:p w14:paraId="77546574" w14:textId="77777777" w:rsidR="000B3E67" w:rsidRPr="008F6A01" w:rsidRDefault="000B3E67" w:rsidP="00CB2ACF">
            <w:pPr>
              <w:pStyle w:val="Default"/>
              <w:spacing w:after="40"/>
              <w:jc w:val="both"/>
              <w:rPr>
                <w:color w:val="auto"/>
              </w:rPr>
            </w:pPr>
            <w:r w:rsidRPr="00B60923">
              <w:rPr>
                <w:color w:val="auto"/>
              </w:rPr>
              <w:t>Dioxines et composés de type dioxines dont certains PCDD, PCDF et PCB-TD</w:t>
            </w:r>
            <w:r>
              <w:rPr>
                <w:color w:val="auto"/>
              </w:rPr>
              <w:t xml:space="preserve"> </w:t>
            </w:r>
            <w:r w:rsidRPr="00A90056">
              <w:rPr>
                <w:color w:val="auto"/>
                <w:vertAlign w:val="superscript"/>
              </w:rPr>
              <w:t>(</w:t>
            </w:r>
            <w:r>
              <w:rPr>
                <w:color w:val="auto"/>
                <w:vertAlign w:val="superscript"/>
              </w:rPr>
              <w:t>3</w:t>
            </w:r>
            <w:r w:rsidRPr="00A90056">
              <w:rPr>
                <w:color w:val="auto"/>
                <w:vertAlign w:val="superscript"/>
              </w:rPr>
              <w:t>)</w:t>
            </w:r>
          </w:p>
        </w:tc>
        <w:tc>
          <w:tcPr>
            <w:tcW w:w="1559" w:type="dxa"/>
          </w:tcPr>
          <w:p w14:paraId="7BC4F931" w14:textId="77777777" w:rsidR="000B3E67" w:rsidRPr="008F6A01" w:rsidRDefault="000B3E67" w:rsidP="00CB2ACF">
            <w:pPr>
              <w:pStyle w:val="Default"/>
              <w:spacing w:after="40"/>
              <w:jc w:val="center"/>
              <w:rPr>
                <w:color w:val="auto"/>
              </w:rPr>
            </w:pPr>
            <w:proofErr w:type="spellStart"/>
            <w:r>
              <w:rPr>
                <w:color w:val="auto"/>
              </w:rPr>
              <w:t>n</w:t>
            </w:r>
            <w:r w:rsidRPr="008F6A01">
              <w:rPr>
                <w:color w:val="auto"/>
              </w:rPr>
              <w:t>g</w:t>
            </w:r>
            <w:proofErr w:type="spellEnd"/>
            <w:r w:rsidRPr="008F6A01">
              <w:rPr>
                <w:color w:val="auto"/>
              </w:rPr>
              <w:t>/</w:t>
            </w:r>
            <w:r w:rsidRPr="0031107C">
              <w:rPr>
                <w:color w:val="auto"/>
              </w:rPr>
              <w:t>N</w:t>
            </w:r>
            <w:r w:rsidRPr="00114BAA">
              <w:t>m</w:t>
            </w:r>
            <w:r w:rsidRPr="00FA2143">
              <w:rPr>
                <w:vertAlign w:val="superscript"/>
              </w:rPr>
              <w:t>3</w:t>
            </w:r>
          </w:p>
        </w:tc>
        <w:tc>
          <w:tcPr>
            <w:tcW w:w="3544" w:type="dxa"/>
          </w:tcPr>
          <w:p w14:paraId="4E98B5ED" w14:textId="77777777" w:rsidR="000B3E67" w:rsidRPr="0018105F" w:rsidRDefault="000B3E67" w:rsidP="00CB2ACF">
            <w:pPr>
              <w:pStyle w:val="Default"/>
              <w:spacing w:after="40"/>
              <w:jc w:val="center"/>
              <w:rPr>
                <w:color w:val="auto"/>
              </w:rPr>
            </w:pPr>
            <w:r>
              <w:rPr>
                <w:color w:val="auto"/>
              </w:rPr>
              <w:t>0,1</w:t>
            </w:r>
          </w:p>
        </w:tc>
      </w:tr>
    </w:tbl>
    <w:p w14:paraId="2731B935" w14:textId="77777777" w:rsidR="000B3E67" w:rsidRDefault="000B3E67" w:rsidP="000B3E67">
      <w:pPr>
        <w:pStyle w:val="Default"/>
        <w:spacing w:after="40"/>
        <w:jc w:val="both"/>
        <w:rPr>
          <w:color w:val="auto"/>
        </w:rPr>
      </w:pPr>
      <w:r w:rsidRPr="00A90056">
        <w:rPr>
          <w:color w:val="auto"/>
          <w:vertAlign w:val="superscript"/>
        </w:rPr>
        <w:t>(1)</w:t>
      </w:r>
      <w:r w:rsidRPr="00F274AF">
        <w:t xml:space="preserve"> </w:t>
      </w:r>
      <w:r>
        <w:rPr>
          <w:color w:val="auto"/>
        </w:rPr>
        <w:t>L</w:t>
      </w:r>
      <w:r w:rsidRPr="00F274AF">
        <w:rPr>
          <w:color w:val="auto"/>
        </w:rPr>
        <w:t>es rejets dans l'atmosphère</w:t>
      </w:r>
      <w:r>
        <w:rPr>
          <w:color w:val="auto"/>
        </w:rPr>
        <w:t xml:space="preserve"> de ces paramètres ou substances sont</w:t>
      </w:r>
      <w:r w:rsidRPr="00F274AF">
        <w:rPr>
          <w:color w:val="auto"/>
        </w:rPr>
        <w:t xml:space="preserve"> exprimés sur gaz secs</w:t>
      </w:r>
      <w:r>
        <w:rPr>
          <w:color w:val="auto"/>
        </w:rPr>
        <w:t xml:space="preserve"> </w:t>
      </w:r>
      <w:r w:rsidRPr="00F274AF">
        <w:rPr>
          <w:color w:val="auto"/>
        </w:rPr>
        <w:t>après déduction de la vapeur d'eau et rapportés à une concentration de 11 % d'oxygène sur gaz</w:t>
      </w:r>
      <w:r>
        <w:rPr>
          <w:color w:val="auto"/>
        </w:rPr>
        <w:t xml:space="preserve"> </w:t>
      </w:r>
      <w:r w:rsidRPr="00F274AF">
        <w:rPr>
          <w:color w:val="auto"/>
        </w:rPr>
        <w:t>secs</w:t>
      </w:r>
      <w:r>
        <w:rPr>
          <w:color w:val="auto"/>
        </w:rPr>
        <w:t>.</w:t>
      </w:r>
    </w:p>
    <w:p w14:paraId="399AF00F" w14:textId="77777777" w:rsidR="000B3E67" w:rsidRDefault="000B3E67" w:rsidP="000B3E67">
      <w:pPr>
        <w:pStyle w:val="Default"/>
        <w:spacing w:after="40"/>
        <w:jc w:val="both"/>
        <w:rPr>
          <w:color w:val="auto"/>
        </w:rPr>
      </w:pPr>
      <w:r w:rsidRPr="00A90056">
        <w:rPr>
          <w:color w:val="auto"/>
          <w:vertAlign w:val="superscript"/>
        </w:rPr>
        <w:t>(2)</w:t>
      </w:r>
      <w:r>
        <w:rPr>
          <w:color w:val="auto"/>
        </w:rPr>
        <w:t xml:space="preserve"> </w:t>
      </w:r>
      <w:r w:rsidRPr="004D78B0">
        <w:rPr>
          <w:color w:val="auto"/>
        </w:rPr>
        <w:t xml:space="preserve">Dans le cas où une installation rejette le même polluant par </w:t>
      </w:r>
      <w:r>
        <w:rPr>
          <w:color w:val="auto"/>
        </w:rPr>
        <w:t xml:space="preserve">plusieurs </w:t>
      </w:r>
      <w:r w:rsidRPr="004D78B0">
        <w:rPr>
          <w:color w:val="auto"/>
        </w:rPr>
        <w:t>rejets canalisés, le</w:t>
      </w:r>
      <w:r>
        <w:rPr>
          <w:color w:val="auto"/>
        </w:rPr>
        <w:t xml:space="preserve"> flux horaire seuil mentionné correspond au </w:t>
      </w:r>
      <w:r w:rsidRPr="004D78B0">
        <w:rPr>
          <w:color w:val="auto"/>
        </w:rPr>
        <w:t>flux total de l'ensemble des rejets canalisés et diffus</w:t>
      </w:r>
      <w:r>
        <w:rPr>
          <w:color w:val="auto"/>
        </w:rPr>
        <w:t>.</w:t>
      </w:r>
    </w:p>
    <w:p w14:paraId="07F84612" w14:textId="77777777" w:rsidR="000B3E67" w:rsidRPr="008F0C45" w:rsidRDefault="000B3E67" w:rsidP="000B3E67">
      <w:pPr>
        <w:pStyle w:val="Default"/>
        <w:spacing w:after="40"/>
        <w:jc w:val="both"/>
        <w:rPr>
          <w:color w:val="auto"/>
        </w:rPr>
      </w:pPr>
      <w:r w:rsidRPr="00A90056">
        <w:rPr>
          <w:color w:val="auto"/>
          <w:vertAlign w:val="superscript"/>
        </w:rPr>
        <w:t>(</w:t>
      </w:r>
      <w:r>
        <w:rPr>
          <w:color w:val="auto"/>
          <w:vertAlign w:val="superscript"/>
        </w:rPr>
        <w:t>3</w:t>
      </w:r>
      <w:r w:rsidRPr="00A90056">
        <w:rPr>
          <w:color w:val="auto"/>
          <w:vertAlign w:val="superscript"/>
        </w:rPr>
        <w:t>)</w:t>
      </w:r>
      <w:r>
        <w:rPr>
          <w:color w:val="auto"/>
        </w:rPr>
        <w:t xml:space="preserve"> La mesure est faite </w:t>
      </w:r>
      <w:r w:rsidRPr="008F0C45">
        <w:rPr>
          <w:color w:val="auto"/>
        </w:rPr>
        <w:t>sur une période d'échantillonnage de six heures au minimum et de huit heures au maximum et renvoie à la concentration totale en dioxines et en furannes calculée au moyen du concept d'équivalence toxique.</w:t>
      </w:r>
    </w:p>
    <w:p w14:paraId="4B06A26D" w14:textId="77777777" w:rsidR="000B3E67" w:rsidRPr="001B0CDE" w:rsidRDefault="000B3E67" w:rsidP="001B0CDE"/>
    <w:p w14:paraId="21456666" w14:textId="0D8B123B" w:rsidR="00C05657" w:rsidRPr="00915DEF" w:rsidRDefault="007834B8" w:rsidP="004638C8">
      <w:pPr>
        <w:pStyle w:val="Titre1"/>
      </w:pPr>
      <w:r w:rsidRPr="00915DEF">
        <w:t>Chapitre VII</w:t>
      </w:r>
      <w:r w:rsidR="0036618F">
        <w:t>. - </w:t>
      </w:r>
      <w:r w:rsidRPr="00915DEF">
        <w:t>Bruit et vibration</w:t>
      </w:r>
      <w:bookmarkEnd w:id="95"/>
      <w:bookmarkEnd w:id="96"/>
    </w:p>
    <w:p w14:paraId="39AF66DA" w14:textId="77777777" w:rsidR="007F48C9" w:rsidRPr="009273F7" w:rsidRDefault="007F48C9" w:rsidP="003C0387">
      <w:pPr>
        <w:pStyle w:val="Titre3"/>
      </w:pPr>
      <w:r w:rsidRPr="009273F7">
        <w:t xml:space="preserve">Article </w:t>
      </w:r>
      <w:r w:rsidR="002661F4">
        <w:t>7</w:t>
      </w:r>
      <w:r w:rsidRPr="009273F7">
        <w:t>.1 Généralités</w:t>
      </w:r>
    </w:p>
    <w:p w14:paraId="665BFA9F" w14:textId="50A6F0DF" w:rsidR="00E90645" w:rsidRPr="005E36F9" w:rsidRDefault="00E90645" w:rsidP="00E90645">
      <w:pPr>
        <w:pStyle w:val="Default"/>
        <w:spacing w:after="40"/>
        <w:jc w:val="both"/>
        <w:rPr>
          <w:color w:val="auto"/>
        </w:rPr>
      </w:pPr>
      <w:r w:rsidRPr="005E36F9">
        <w:rPr>
          <w:color w:val="auto"/>
        </w:rPr>
        <w:t>I</w:t>
      </w:r>
      <w:bookmarkStart w:id="97" w:name="_Hlk164272349"/>
      <w:r w:rsidR="0036618F">
        <w:t>. - </w:t>
      </w:r>
      <w:r w:rsidRPr="005E36F9">
        <w:rPr>
          <w:color w:val="auto"/>
        </w:rPr>
        <w:t>Les émissions sonores de l'installation respectent les dispositions de l'arrêté du 23 janvier 1997</w:t>
      </w:r>
      <w:bookmarkEnd w:id="97"/>
      <w:r w:rsidRPr="005E36F9">
        <w:rPr>
          <w:color w:val="auto"/>
        </w:rPr>
        <w:t xml:space="preserve"> </w:t>
      </w:r>
      <w:r w:rsidR="00665BFA">
        <w:rPr>
          <w:color w:val="auto"/>
        </w:rPr>
        <w:t>susvisé</w:t>
      </w:r>
      <w:r w:rsidRPr="005E36F9">
        <w:rPr>
          <w:color w:val="auto"/>
        </w:rPr>
        <w:t>.</w:t>
      </w:r>
    </w:p>
    <w:p w14:paraId="3A7A08BB" w14:textId="08E49E02" w:rsidR="00E90645" w:rsidRPr="005E36F9" w:rsidRDefault="00E90645" w:rsidP="00E90645">
      <w:pPr>
        <w:pStyle w:val="Default"/>
        <w:spacing w:after="40"/>
        <w:jc w:val="both"/>
        <w:rPr>
          <w:color w:val="auto"/>
        </w:rPr>
      </w:pPr>
      <w:r w:rsidRPr="005E36F9">
        <w:rPr>
          <w:color w:val="auto"/>
        </w:rPr>
        <w:t>II</w:t>
      </w:r>
      <w:r w:rsidR="0036618F">
        <w:t>. - </w:t>
      </w:r>
      <w:r w:rsidRPr="005E36F9">
        <w:rPr>
          <w:color w:val="auto"/>
        </w:rPr>
        <w:t>L'installation est construite, équipée et exploitée de façon que son fonctionnement ne puisse être à l'origine de vibrations mécaniques susceptibles de compromettre la santé ou la sécurité du voisinage ou de constituer une nuisance pour celui-ci.</w:t>
      </w:r>
    </w:p>
    <w:p w14:paraId="007D09DD" w14:textId="77777777" w:rsidR="00E90645" w:rsidRPr="005E36F9" w:rsidRDefault="00E90645" w:rsidP="00E90645">
      <w:pPr>
        <w:pStyle w:val="Default"/>
        <w:spacing w:after="40"/>
        <w:jc w:val="both"/>
        <w:rPr>
          <w:color w:val="auto"/>
        </w:rPr>
      </w:pPr>
      <w:r w:rsidRPr="005E36F9">
        <w:rPr>
          <w:color w:val="auto"/>
        </w:rPr>
        <w:t>Les vibrations émises respectent les règles techniques annexées à la circulaire n° 86-23 du 23 juillet 1986 relative aux vibrations mécaniques émises dans l'environnement par les installations classées. Les mesures sont faites selon la méthodologie définie par cette circulaire.</w:t>
      </w:r>
    </w:p>
    <w:p w14:paraId="53C296DB" w14:textId="6B222EB7" w:rsidR="00E90645" w:rsidRPr="005E36F9" w:rsidRDefault="00E90645" w:rsidP="008B3A3A">
      <w:pPr>
        <w:pStyle w:val="Default"/>
        <w:spacing w:after="40"/>
        <w:jc w:val="both"/>
        <w:rPr>
          <w:color w:val="auto"/>
        </w:rPr>
      </w:pPr>
    </w:p>
    <w:p w14:paraId="22D8BA46" w14:textId="4F254718" w:rsidR="00E90645" w:rsidRPr="00915DEF" w:rsidRDefault="00E90645" w:rsidP="004638C8">
      <w:pPr>
        <w:pStyle w:val="Titre3"/>
      </w:pPr>
      <w:bookmarkStart w:id="98" w:name="_Toc164951738"/>
      <w:r w:rsidRPr="00915DEF">
        <w:t xml:space="preserve">Article </w:t>
      </w:r>
      <w:r w:rsidR="002661F4">
        <w:t>7</w:t>
      </w:r>
      <w:r w:rsidRPr="00915DEF">
        <w:t>.2</w:t>
      </w:r>
      <w:r w:rsidRPr="00114BAA">
        <w:t xml:space="preserve"> </w:t>
      </w:r>
      <w:r w:rsidRPr="00915DEF">
        <w:t>Réduction des émissions sonores</w:t>
      </w:r>
      <w:bookmarkEnd w:id="98"/>
    </w:p>
    <w:p w14:paraId="7577575E" w14:textId="3E4C470D" w:rsidR="005E36F9" w:rsidRPr="00114BAA" w:rsidRDefault="005E36F9" w:rsidP="005E36F9">
      <w:pPr>
        <w:pStyle w:val="NormalWeb"/>
        <w:spacing w:beforeAutospacing="0" w:after="40"/>
        <w:jc w:val="both"/>
      </w:pPr>
      <w:r w:rsidRPr="00114BAA">
        <w:t>I</w:t>
      </w:r>
      <w:r w:rsidR="0036618F">
        <w:t>. - </w:t>
      </w:r>
      <w:r w:rsidRPr="00114BAA">
        <w:t>L’exploitant évite ou, si cela n’est pas possible, réduit le bruit. Il établit, met en œuvre et réexamine régulièrement, dans le cadre du système de management, un plan de gestion du bruit comprenant l’ensemble des éléments suivants :</w:t>
      </w:r>
    </w:p>
    <w:p w14:paraId="7E5FACA0" w14:textId="2F7369C3" w:rsidR="005E36F9" w:rsidRPr="00114BAA" w:rsidRDefault="005E36F9" w:rsidP="005E36F9">
      <w:pPr>
        <w:pStyle w:val="NormalWeb"/>
        <w:spacing w:beforeAutospacing="0" w:after="40"/>
        <w:jc w:val="both"/>
      </w:pPr>
      <w:r w:rsidRPr="00114BAA">
        <w:t>-</w:t>
      </w:r>
      <w:r w:rsidR="00073336">
        <w:t> </w:t>
      </w:r>
      <w:r w:rsidRPr="00114BAA">
        <w:t>un protocole décrivant les mesures à prendre et les échéances</w:t>
      </w:r>
      <w:r>
        <w:t> </w:t>
      </w:r>
      <w:r w:rsidRPr="00114BAA">
        <w:t>;</w:t>
      </w:r>
    </w:p>
    <w:p w14:paraId="376E8384" w14:textId="79AD3401" w:rsidR="005E36F9" w:rsidRPr="00114BAA" w:rsidRDefault="005E36F9" w:rsidP="005E36F9">
      <w:pPr>
        <w:pStyle w:val="NormalWeb"/>
        <w:spacing w:beforeAutospacing="0" w:after="40"/>
        <w:jc w:val="both"/>
      </w:pPr>
      <w:r w:rsidRPr="00114BAA">
        <w:t>-</w:t>
      </w:r>
      <w:r w:rsidR="00073336">
        <w:t> </w:t>
      </w:r>
      <w:r w:rsidRPr="00114BAA">
        <w:t>un protocole de surveillance des émissions sonores</w:t>
      </w:r>
      <w:r>
        <w:t> </w:t>
      </w:r>
      <w:r w:rsidRPr="00114BAA">
        <w:t>;</w:t>
      </w:r>
    </w:p>
    <w:p w14:paraId="26032575" w14:textId="04B10639" w:rsidR="005E36F9" w:rsidRPr="00114BAA" w:rsidRDefault="005E36F9" w:rsidP="005E36F9">
      <w:pPr>
        <w:pStyle w:val="NormalWeb"/>
        <w:spacing w:beforeAutospacing="0" w:after="40"/>
        <w:jc w:val="both"/>
      </w:pPr>
      <w:r w:rsidRPr="00114BAA">
        <w:t>-</w:t>
      </w:r>
      <w:r w:rsidR="00073336">
        <w:t> </w:t>
      </w:r>
      <w:r w:rsidRPr="00114BAA">
        <w:t>un protocole des mesures à prendre pour remédier aux problèmes de bruit signalés (dans le cadre de plaintes</w:t>
      </w:r>
      <w:r>
        <w:t xml:space="preserve"> </w:t>
      </w:r>
      <w:r w:rsidRPr="00114BAA">
        <w:t>par exemple)</w:t>
      </w:r>
      <w:r>
        <w:t> </w:t>
      </w:r>
      <w:r w:rsidRPr="00114BAA">
        <w:t>;</w:t>
      </w:r>
    </w:p>
    <w:p w14:paraId="61C0B8D1" w14:textId="164875ED" w:rsidR="005E36F9" w:rsidRPr="00114BAA" w:rsidRDefault="005E36F9" w:rsidP="005E36F9">
      <w:pPr>
        <w:pStyle w:val="NormalWeb"/>
        <w:spacing w:beforeAutospacing="0" w:after="40"/>
        <w:jc w:val="both"/>
      </w:pPr>
      <w:r w:rsidRPr="00114BAA">
        <w:t>-</w:t>
      </w:r>
      <w:r w:rsidR="00073336">
        <w:t> </w:t>
      </w:r>
      <w:r w:rsidRPr="00114BAA">
        <w:t>un programme de réduction du bruit visant à déterminer la ou les sources, à mesurer/estimer l’exposition au bruit, à caractériser les contributions des sources et à mettre en œuvre des mesures de prévention ou de réduction.</w:t>
      </w:r>
    </w:p>
    <w:p w14:paraId="397F166C" w14:textId="23E75CAF" w:rsidR="005E36F9" w:rsidRDefault="005E36F9" w:rsidP="005E36F9">
      <w:pPr>
        <w:pStyle w:val="NormalWeb"/>
        <w:spacing w:beforeAutospacing="0" w:after="40"/>
        <w:jc w:val="both"/>
      </w:pPr>
      <w:r w:rsidRPr="00114BAA">
        <w:t xml:space="preserve">L’exploitant engage les mesures ci-dessus aux cas où une nuisance sonore est probable ou a été constatée dans des zones sensibles. </w:t>
      </w:r>
    </w:p>
    <w:p w14:paraId="57DAFB60" w14:textId="77777777" w:rsidR="005E36F9" w:rsidRPr="00114BAA" w:rsidRDefault="005E36F9" w:rsidP="005E36F9">
      <w:pPr>
        <w:pStyle w:val="NormalWeb"/>
        <w:spacing w:beforeAutospacing="0" w:after="40"/>
        <w:jc w:val="both"/>
      </w:pPr>
    </w:p>
    <w:p w14:paraId="06EA759C" w14:textId="0FB5AB34" w:rsidR="005E36F9" w:rsidRPr="00114BAA" w:rsidRDefault="005E36F9" w:rsidP="005E36F9">
      <w:pPr>
        <w:pStyle w:val="NormalWeb"/>
        <w:spacing w:beforeAutospacing="0" w:after="40"/>
        <w:jc w:val="both"/>
      </w:pPr>
      <w:r w:rsidRPr="00114BAA">
        <w:t>II</w:t>
      </w:r>
      <w:r w:rsidR="0036618F">
        <w:t>. - </w:t>
      </w:r>
      <w:r w:rsidRPr="00114BAA">
        <w:t xml:space="preserve">L’exploitant applique une ou plusieurs des techniques énumérées ci-dessous : </w:t>
      </w:r>
    </w:p>
    <w:tbl>
      <w:tblPr>
        <w:tblStyle w:val="Grilledutableau"/>
        <w:tblW w:w="0" w:type="auto"/>
        <w:tblLook w:val="04A0" w:firstRow="1" w:lastRow="0" w:firstColumn="1" w:lastColumn="0" w:noHBand="0" w:noVBand="1"/>
      </w:tblPr>
      <w:tblGrid>
        <w:gridCol w:w="421"/>
        <w:gridCol w:w="1559"/>
        <w:gridCol w:w="4252"/>
        <w:gridCol w:w="2828"/>
      </w:tblGrid>
      <w:tr w:rsidR="005E36F9" w:rsidRPr="00114BAA" w14:paraId="3A46C08A" w14:textId="77777777" w:rsidTr="00EF2038">
        <w:tc>
          <w:tcPr>
            <w:tcW w:w="421" w:type="dxa"/>
          </w:tcPr>
          <w:p w14:paraId="53C86CC4" w14:textId="77777777" w:rsidR="005E36F9" w:rsidRPr="00114BAA" w:rsidRDefault="005E36F9" w:rsidP="00EF2038">
            <w:pPr>
              <w:pStyle w:val="NormalWeb"/>
              <w:spacing w:beforeAutospacing="0" w:after="40"/>
              <w:jc w:val="both"/>
            </w:pPr>
          </w:p>
        </w:tc>
        <w:tc>
          <w:tcPr>
            <w:tcW w:w="1559" w:type="dxa"/>
          </w:tcPr>
          <w:p w14:paraId="4B018E11" w14:textId="77777777" w:rsidR="005E36F9" w:rsidRPr="00114BAA" w:rsidRDefault="005E36F9" w:rsidP="00EF2038">
            <w:pPr>
              <w:pStyle w:val="NormalWeb"/>
              <w:spacing w:beforeAutospacing="0" w:after="40"/>
              <w:jc w:val="both"/>
            </w:pPr>
            <w:r w:rsidRPr="00114BAA">
              <w:t>Technique</w:t>
            </w:r>
          </w:p>
        </w:tc>
        <w:tc>
          <w:tcPr>
            <w:tcW w:w="4252" w:type="dxa"/>
          </w:tcPr>
          <w:p w14:paraId="15B40D7A" w14:textId="77777777" w:rsidR="005E36F9" w:rsidRPr="00114BAA" w:rsidRDefault="005E36F9" w:rsidP="00EF2038">
            <w:pPr>
              <w:pStyle w:val="NormalWeb"/>
              <w:spacing w:beforeAutospacing="0" w:after="40"/>
              <w:jc w:val="both"/>
            </w:pPr>
            <w:r w:rsidRPr="00114BAA">
              <w:t xml:space="preserve">Description </w:t>
            </w:r>
          </w:p>
        </w:tc>
        <w:tc>
          <w:tcPr>
            <w:tcW w:w="2828" w:type="dxa"/>
          </w:tcPr>
          <w:p w14:paraId="3775B8FE" w14:textId="77777777" w:rsidR="005E36F9" w:rsidRPr="00114BAA" w:rsidRDefault="005E36F9" w:rsidP="00EF2038">
            <w:pPr>
              <w:pStyle w:val="NormalWeb"/>
              <w:spacing w:beforeAutospacing="0" w:after="40"/>
              <w:jc w:val="both"/>
            </w:pPr>
            <w:r w:rsidRPr="00114BAA">
              <w:t>Applicabilité</w:t>
            </w:r>
          </w:p>
        </w:tc>
      </w:tr>
      <w:tr w:rsidR="005E36F9" w:rsidRPr="00114BAA" w14:paraId="23BD78D2" w14:textId="77777777" w:rsidTr="00EF2038">
        <w:tc>
          <w:tcPr>
            <w:tcW w:w="421" w:type="dxa"/>
          </w:tcPr>
          <w:p w14:paraId="475546EC" w14:textId="77777777" w:rsidR="005E36F9" w:rsidRPr="00114BAA" w:rsidRDefault="005E36F9" w:rsidP="00EF2038">
            <w:pPr>
              <w:pStyle w:val="NormalWeb"/>
              <w:spacing w:beforeAutospacing="0" w:after="40"/>
              <w:jc w:val="both"/>
            </w:pPr>
            <w:r w:rsidRPr="00114BAA">
              <w:t>a</w:t>
            </w:r>
          </w:p>
        </w:tc>
        <w:tc>
          <w:tcPr>
            <w:tcW w:w="1559" w:type="dxa"/>
          </w:tcPr>
          <w:p w14:paraId="2D8EAEF1" w14:textId="77777777" w:rsidR="005E36F9" w:rsidRPr="00114BAA" w:rsidRDefault="005E36F9" w:rsidP="00EF2038">
            <w:pPr>
              <w:pStyle w:val="NormalWeb"/>
              <w:spacing w:after="40"/>
              <w:jc w:val="both"/>
            </w:pPr>
            <w:r w:rsidRPr="00114BAA">
              <w:t xml:space="preserve">Implantation appropriée des équipements et des bâtiments </w:t>
            </w:r>
          </w:p>
        </w:tc>
        <w:tc>
          <w:tcPr>
            <w:tcW w:w="4252" w:type="dxa"/>
          </w:tcPr>
          <w:p w14:paraId="55DA19E8" w14:textId="77777777" w:rsidR="005E36F9" w:rsidRPr="00114BAA" w:rsidRDefault="005E36F9" w:rsidP="00EF2038">
            <w:pPr>
              <w:pStyle w:val="NormalWeb"/>
              <w:spacing w:beforeAutospacing="0" w:after="40" w:line="240" w:lineRule="auto"/>
              <w:jc w:val="both"/>
            </w:pPr>
            <w:r w:rsidRPr="00114BAA">
              <w:t>Augmentation de la distance entre l’émetteur et le récepteur, en utilisant des bâtiments comme écrans antibruit et en déplaçant les entrées ou sorties des équipements et/ou des bâtiments.</w:t>
            </w:r>
          </w:p>
        </w:tc>
        <w:tc>
          <w:tcPr>
            <w:tcW w:w="2828" w:type="dxa"/>
          </w:tcPr>
          <w:p w14:paraId="2B20C8A0" w14:textId="77777777" w:rsidR="005E36F9" w:rsidRPr="00114BAA" w:rsidRDefault="005E36F9" w:rsidP="00EF2038">
            <w:pPr>
              <w:pStyle w:val="NormalWeb"/>
              <w:spacing w:beforeAutospacing="0" w:after="40" w:line="240" w:lineRule="auto"/>
              <w:jc w:val="both"/>
            </w:pPr>
            <w:r w:rsidRPr="00114BAA">
              <w:t>Dans le cas des unités existantes, le déplacement des équipements et des entrées/sorties des bâtiments peut ne pas être applicable en raison du manque d’espace ou de coûts excessifs.</w:t>
            </w:r>
          </w:p>
        </w:tc>
      </w:tr>
      <w:tr w:rsidR="005E36F9" w:rsidRPr="00114BAA" w14:paraId="32EC399B" w14:textId="77777777" w:rsidTr="00EF2038">
        <w:tc>
          <w:tcPr>
            <w:tcW w:w="421" w:type="dxa"/>
          </w:tcPr>
          <w:p w14:paraId="36D0C9D6" w14:textId="77777777" w:rsidR="005E36F9" w:rsidRPr="00114BAA" w:rsidRDefault="005E36F9" w:rsidP="00EF2038">
            <w:pPr>
              <w:pStyle w:val="NormalWeb"/>
              <w:spacing w:beforeAutospacing="0" w:after="40"/>
              <w:jc w:val="both"/>
            </w:pPr>
            <w:r w:rsidRPr="00114BAA">
              <w:t>b</w:t>
            </w:r>
          </w:p>
        </w:tc>
        <w:tc>
          <w:tcPr>
            <w:tcW w:w="1559" w:type="dxa"/>
          </w:tcPr>
          <w:p w14:paraId="02DBDD67" w14:textId="77777777" w:rsidR="005E36F9" w:rsidRPr="00114BAA" w:rsidRDefault="005E36F9" w:rsidP="00EF2038">
            <w:pPr>
              <w:pStyle w:val="NormalWeb"/>
              <w:spacing w:beforeAutospacing="0" w:after="40" w:line="240" w:lineRule="auto"/>
              <w:jc w:val="both"/>
            </w:pPr>
            <w:r w:rsidRPr="00114BAA">
              <w:t>Mesures opérationnelles</w:t>
            </w:r>
          </w:p>
        </w:tc>
        <w:tc>
          <w:tcPr>
            <w:tcW w:w="4252" w:type="dxa"/>
          </w:tcPr>
          <w:p w14:paraId="337FAA51" w14:textId="77777777" w:rsidR="005458FE" w:rsidRDefault="005E36F9" w:rsidP="00EF2038">
            <w:pPr>
              <w:pStyle w:val="NormalWeb"/>
              <w:spacing w:beforeAutospacing="0" w:after="40" w:line="240" w:lineRule="auto"/>
              <w:jc w:val="both"/>
            </w:pPr>
            <w:r w:rsidRPr="00114BAA">
              <w:t>Il s’agit notamment des techniques suivantes : i. surveillance et maintenance des équipements ;</w:t>
            </w:r>
          </w:p>
          <w:p w14:paraId="51D99733" w14:textId="74E0C7EE" w:rsidR="005458FE" w:rsidRDefault="005E36F9" w:rsidP="00EF2038">
            <w:pPr>
              <w:pStyle w:val="NormalWeb"/>
              <w:spacing w:beforeAutospacing="0" w:after="40" w:line="240" w:lineRule="auto"/>
              <w:jc w:val="both"/>
            </w:pPr>
            <w:proofErr w:type="gramStart"/>
            <w:r w:rsidRPr="00114BAA">
              <w:t>ii</w:t>
            </w:r>
            <w:r w:rsidR="005458FE">
              <w:t> </w:t>
            </w:r>
            <w:r w:rsidRPr="00114BAA">
              <w:t>.</w:t>
            </w:r>
            <w:proofErr w:type="gramEnd"/>
            <w:r w:rsidRPr="00114BAA">
              <w:t xml:space="preserve"> fermeture des portes et des fenêtres des espaces clos, si possible ; </w:t>
            </w:r>
          </w:p>
          <w:p w14:paraId="71627E63" w14:textId="6A978516" w:rsidR="005458FE" w:rsidRDefault="005E36F9" w:rsidP="00EF2038">
            <w:pPr>
              <w:pStyle w:val="NormalWeb"/>
              <w:spacing w:beforeAutospacing="0" w:after="40" w:line="240" w:lineRule="auto"/>
              <w:jc w:val="both"/>
            </w:pPr>
            <w:r w:rsidRPr="00114BAA">
              <w:t xml:space="preserve">iii. utilisation des équipements par du personnel expérimenté ; </w:t>
            </w:r>
          </w:p>
          <w:p w14:paraId="0F0BCBE2" w14:textId="77777777" w:rsidR="005458FE" w:rsidRDefault="005E36F9" w:rsidP="00EF2038">
            <w:pPr>
              <w:pStyle w:val="NormalWeb"/>
              <w:spacing w:beforeAutospacing="0" w:after="40" w:line="240" w:lineRule="auto"/>
              <w:jc w:val="both"/>
            </w:pPr>
            <w:r w:rsidRPr="00114BAA">
              <w:t xml:space="preserve">iv. évitement des activités bruyantes pendant la nuit, si possible ; </w:t>
            </w:r>
          </w:p>
          <w:p w14:paraId="5E3974FF" w14:textId="77777777" w:rsidR="005458FE" w:rsidRDefault="005E36F9" w:rsidP="00EF2038">
            <w:pPr>
              <w:pStyle w:val="NormalWeb"/>
              <w:spacing w:beforeAutospacing="0" w:after="40" w:line="240" w:lineRule="auto"/>
              <w:jc w:val="both"/>
            </w:pPr>
            <w:r w:rsidRPr="00114BAA">
              <w:t xml:space="preserve">v. mesures pour limiter le bruit, par exemple lors des opérations de production et de maintenance ; </w:t>
            </w:r>
          </w:p>
          <w:p w14:paraId="47C976E8" w14:textId="52994D5B" w:rsidR="005E36F9" w:rsidRPr="00114BAA" w:rsidRDefault="005E36F9" w:rsidP="00EF2038">
            <w:pPr>
              <w:pStyle w:val="NormalWeb"/>
              <w:spacing w:beforeAutospacing="0" w:after="40" w:line="240" w:lineRule="auto"/>
              <w:jc w:val="both"/>
            </w:pPr>
            <w:r w:rsidRPr="00114BAA">
              <w:t xml:space="preserve">vi. limitation du bruit des animaux dans les abattoirs (par exemple, au moyen de précautions lors du transport et de la prise en charge des animaux). </w:t>
            </w:r>
          </w:p>
        </w:tc>
        <w:tc>
          <w:tcPr>
            <w:tcW w:w="2828" w:type="dxa"/>
          </w:tcPr>
          <w:p w14:paraId="16E38EDC" w14:textId="77777777" w:rsidR="005E36F9" w:rsidRPr="00114BAA" w:rsidRDefault="005E36F9" w:rsidP="00EF2038">
            <w:pPr>
              <w:pStyle w:val="NormalWeb"/>
              <w:spacing w:beforeAutospacing="0" w:after="40" w:line="240" w:lineRule="auto"/>
              <w:jc w:val="both"/>
            </w:pPr>
            <w:r w:rsidRPr="00114BAA">
              <w:t>Applicable d’une manière générale.</w:t>
            </w:r>
          </w:p>
        </w:tc>
      </w:tr>
      <w:tr w:rsidR="005E36F9" w:rsidRPr="00114BAA" w14:paraId="5B983B4B" w14:textId="77777777" w:rsidTr="00EF2038">
        <w:trPr>
          <w:trHeight w:val="771"/>
        </w:trPr>
        <w:tc>
          <w:tcPr>
            <w:tcW w:w="421" w:type="dxa"/>
          </w:tcPr>
          <w:p w14:paraId="2B6AC52E" w14:textId="77777777" w:rsidR="005E36F9" w:rsidRPr="00114BAA" w:rsidRDefault="005E36F9" w:rsidP="00EF2038">
            <w:pPr>
              <w:pStyle w:val="NormalWeb"/>
              <w:spacing w:beforeAutospacing="0" w:after="40"/>
              <w:jc w:val="both"/>
            </w:pPr>
            <w:r w:rsidRPr="00114BAA">
              <w:t>c</w:t>
            </w:r>
          </w:p>
        </w:tc>
        <w:tc>
          <w:tcPr>
            <w:tcW w:w="1559" w:type="dxa"/>
          </w:tcPr>
          <w:p w14:paraId="3A1B2F55" w14:textId="77777777" w:rsidR="005E36F9" w:rsidRPr="00114BAA" w:rsidRDefault="005E36F9" w:rsidP="00EF2038">
            <w:pPr>
              <w:pStyle w:val="NormalWeb"/>
              <w:spacing w:beforeAutospacing="0" w:after="40" w:line="240" w:lineRule="auto"/>
              <w:jc w:val="both"/>
            </w:pPr>
            <w:r w:rsidRPr="00114BAA">
              <w:t>Équipements peu bruyants</w:t>
            </w:r>
          </w:p>
          <w:p w14:paraId="3FF39D81" w14:textId="77777777" w:rsidR="005E36F9" w:rsidRPr="00114BAA" w:rsidRDefault="005E36F9" w:rsidP="00EF2038">
            <w:pPr>
              <w:pStyle w:val="NormalWeb"/>
              <w:spacing w:after="40"/>
              <w:jc w:val="both"/>
            </w:pPr>
          </w:p>
        </w:tc>
        <w:tc>
          <w:tcPr>
            <w:tcW w:w="4252" w:type="dxa"/>
          </w:tcPr>
          <w:p w14:paraId="7FEE3E98" w14:textId="77777777" w:rsidR="005E36F9" w:rsidRPr="00114BAA" w:rsidRDefault="005E36F9" w:rsidP="00EF2038">
            <w:pPr>
              <w:pStyle w:val="NormalWeb"/>
              <w:spacing w:beforeAutospacing="0" w:after="40" w:line="240" w:lineRule="auto"/>
              <w:jc w:val="both"/>
            </w:pPr>
            <w:r w:rsidRPr="00114BAA">
              <w:t>Il s’agit notamment de techniques telles que les compresseurs, les pompes et les ventilateurs peu bruyants.</w:t>
            </w:r>
          </w:p>
        </w:tc>
        <w:tc>
          <w:tcPr>
            <w:tcW w:w="2828" w:type="dxa"/>
          </w:tcPr>
          <w:p w14:paraId="71E43A29" w14:textId="77777777" w:rsidR="005E36F9" w:rsidRPr="00114BAA" w:rsidRDefault="005E36F9" w:rsidP="00EF2038">
            <w:pPr>
              <w:pStyle w:val="NormalWeb"/>
              <w:spacing w:beforeAutospacing="0" w:after="40" w:line="240" w:lineRule="auto"/>
              <w:jc w:val="both"/>
            </w:pPr>
            <w:r w:rsidRPr="00114BAA">
              <w:t>Applicable d’une manière générale.</w:t>
            </w:r>
          </w:p>
        </w:tc>
      </w:tr>
      <w:tr w:rsidR="005E36F9" w:rsidRPr="00114BAA" w14:paraId="11FAA5A7" w14:textId="77777777" w:rsidTr="00EF2038">
        <w:tc>
          <w:tcPr>
            <w:tcW w:w="421" w:type="dxa"/>
          </w:tcPr>
          <w:p w14:paraId="7A278495" w14:textId="77777777" w:rsidR="005E36F9" w:rsidRPr="00114BAA" w:rsidRDefault="005E36F9" w:rsidP="00EF2038">
            <w:pPr>
              <w:pStyle w:val="NormalWeb"/>
              <w:spacing w:beforeAutospacing="0" w:after="40"/>
              <w:jc w:val="both"/>
            </w:pPr>
            <w:r w:rsidRPr="00114BAA">
              <w:t>d</w:t>
            </w:r>
          </w:p>
        </w:tc>
        <w:tc>
          <w:tcPr>
            <w:tcW w:w="1559" w:type="dxa"/>
          </w:tcPr>
          <w:p w14:paraId="59164E40" w14:textId="77777777" w:rsidR="005E36F9" w:rsidRPr="00114BAA" w:rsidRDefault="005E36F9" w:rsidP="00EF2038">
            <w:pPr>
              <w:pStyle w:val="NormalWeb"/>
              <w:spacing w:beforeAutospacing="0" w:after="40" w:line="240" w:lineRule="auto"/>
              <w:jc w:val="both"/>
            </w:pPr>
            <w:r w:rsidRPr="00114BAA">
              <w:t>Dispositifs anti-bruit</w:t>
            </w:r>
          </w:p>
          <w:p w14:paraId="47C4CC7C" w14:textId="77777777" w:rsidR="005E36F9" w:rsidRPr="00114BAA" w:rsidRDefault="005E36F9" w:rsidP="00EF2038">
            <w:pPr>
              <w:pStyle w:val="NormalWeb"/>
              <w:spacing w:after="40"/>
              <w:jc w:val="both"/>
            </w:pPr>
          </w:p>
        </w:tc>
        <w:tc>
          <w:tcPr>
            <w:tcW w:w="4252" w:type="dxa"/>
          </w:tcPr>
          <w:p w14:paraId="63E585B7" w14:textId="5703E41D" w:rsidR="005E36F9" w:rsidRPr="00114BAA" w:rsidRDefault="005E36F9" w:rsidP="00EF2038">
            <w:pPr>
              <w:pStyle w:val="NormalWeb"/>
              <w:spacing w:beforeAutospacing="0" w:after="40" w:line="240" w:lineRule="auto"/>
              <w:jc w:val="both"/>
            </w:pPr>
            <w:r w:rsidRPr="00114BAA">
              <w:t>Il s’agit notamment des techniques suivantes : i.</w:t>
            </w:r>
            <w:r w:rsidR="00073336">
              <w:t> </w:t>
            </w:r>
            <w:r w:rsidRPr="00114BAA">
              <w:t>réducteurs de bruit ; ii.</w:t>
            </w:r>
            <w:r w:rsidR="00073336">
              <w:t> </w:t>
            </w:r>
            <w:r w:rsidRPr="00114BAA">
              <w:t>isolation acoustique des équipements ; iii.</w:t>
            </w:r>
            <w:r w:rsidR="00073336">
              <w:t> </w:t>
            </w:r>
            <w:r w:rsidRPr="00114BAA">
              <w:t>confinement des équipements bruyants ; iv.</w:t>
            </w:r>
            <w:r w:rsidR="00073336">
              <w:t> </w:t>
            </w:r>
            <w:r w:rsidRPr="00114BAA">
              <w:t xml:space="preserve">insonorisation des bâtiments. </w:t>
            </w:r>
          </w:p>
        </w:tc>
        <w:tc>
          <w:tcPr>
            <w:tcW w:w="2828" w:type="dxa"/>
          </w:tcPr>
          <w:p w14:paraId="7747A10F" w14:textId="77777777" w:rsidR="005E36F9" w:rsidRPr="00114BAA" w:rsidRDefault="005E36F9" w:rsidP="00EF2038">
            <w:pPr>
              <w:pStyle w:val="NormalWeb"/>
              <w:spacing w:after="40"/>
              <w:jc w:val="both"/>
            </w:pPr>
            <w:r w:rsidRPr="00114BAA">
              <w:t>Peut ne pas être applicable aux unités existantes en raison du manque d’espace.</w:t>
            </w:r>
          </w:p>
        </w:tc>
      </w:tr>
      <w:tr w:rsidR="005E36F9" w:rsidRPr="00114BAA" w14:paraId="72E70354" w14:textId="77777777" w:rsidTr="00EF2038">
        <w:tc>
          <w:tcPr>
            <w:tcW w:w="421" w:type="dxa"/>
          </w:tcPr>
          <w:p w14:paraId="57B1AC0B" w14:textId="77777777" w:rsidR="005E36F9" w:rsidRPr="00114BAA" w:rsidRDefault="005E36F9" w:rsidP="00EF2038">
            <w:pPr>
              <w:pStyle w:val="NormalWeb"/>
              <w:spacing w:beforeAutospacing="0" w:after="40"/>
              <w:jc w:val="both"/>
            </w:pPr>
            <w:r w:rsidRPr="00114BAA">
              <w:t>e.</w:t>
            </w:r>
          </w:p>
        </w:tc>
        <w:tc>
          <w:tcPr>
            <w:tcW w:w="1559" w:type="dxa"/>
          </w:tcPr>
          <w:p w14:paraId="5621FA8F" w14:textId="77777777" w:rsidR="005E36F9" w:rsidRPr="00114BAA" w:rsidRDefault="005E36F9" w:rsidP="00EF2038">
            <w:pPr>
              <w:pStyle w:val="NormalWeb"/>
              <w:spacing w:after="40"/>
              <w:jc w:val="both"/>
            </w:pPr>
            <w:r w:rsidRPr="00114BAA">
              <w:t>Réduction du bruit</w:t>
            </w:r>
          </w:p>
        </w:tc>
        <w:tc>
          <w:tcPr>
            <w:tcW w:w="4252" w:type="dxa"/>
          </w:tcPr>
          <w:p w14:paraId="7096349C" w14:textId="77777777" w:rsidR="005E36F9" w:rsidRPr="00114BAA" w:rsidRDefault="005E36F9" w:rsidP="00EF2038">
            <w:pPr>
              <w:pStyle w:val="NormalWeb"/>
              <w:spacing w:beforeAutospacing="0" w:after="40" w:line="240" w:lineRule="auto"/>
              <w:jc w:val="both"/>
            </w:pPr>
            <w:r w:rsidRPr="00114BAA">
              <w:t>implantation d’obstacles entre les émetteurs et les récepteurs (par exemple, murs antibruit, remblais).</w:t>
            </w:r>
          </w:p>
        </w:tc>
        <w:tc>
          <w:tcPr>
            <w:tcW w:w="2828" w:type="dxa"/>
          </w:tcPr>
          <w:p w14:paraId="4D6D3DC1" w14:textId="77777777" w:rsidR="005E36F9" w:rsidRPr="00114BAA" w:rsidRDefault="005E36F9" w:rsidP="00EF2038">
            <w:pPr>
              <w:pStyle w:val="NormalWeb"/>
              <w:spacing w:beforeAutospacing="0" w:after="40" w:line="240" w:lineRule="auto"/>
              <w:jc w:val="both"/>
            </w:pPr>
            <w:r w:rsidRPr="00114BAA">
              <w:t>Applicable d’une manière générale.</w:t>
            </w:r>
          </w:p>
        </w:tc>
      </w:tr>
    </w:tbl>
    <w:p w14:paraId="015B564F" w14:textId="77777777" w:rsidR="00244249" w:rsidRDefault="00244249" w:rsidP="005E36F9">
      <w:pPr>
        <w:pStyle w:val="NormalWeb"/>
        <w:spacing w:beforeAutospacing="0" w:after="40"/>
        <w:jc w:val="both"/>
      </w:pPr>
    </w:p>
    <w:p w14:paraId="2F1BF65B" w14:textId="20195F14" w:rsidR="007F48C9" w:rsidRPr="00915DEF" w:rsidRDefault="007F48C9" w:rsidP="004638C8">
      <w:pPr>
        <w:pStyle w:val="Titre1"/>
      </w:pPr>
      <w:bookmarkStart w:id="99" w:name="_Toc164951618"/>
      <w:bookmarkStart w:id="100" w:name="_Toc164951740"/>
      <w:r w:rsidRPr="00915DEF">
        <w:t xml:space="preserve">Chapitre </w:t>
      </w:r>
      <w:r w:rsidR="002661F4">
        <w:t>VIII</w:t>
      </w:r>
      <w:r w:rsidR="0036618F">
        <w:t>. - </w:t>
      </w:r>
      <w:r w:rsidRPr="00915DEF">
        <w:t>Déchets</w:t>
      </w:r>
      <w:bookmarkEnd w:id="99"/>
      <w:bookmarkEnd w:id="100"/>
    </w:p>
    <w:p w14:paraId="492D104C" w14:textId="6C145E02" w:rsidR="007F48C9" w:rsidRPr="00915DEF" w:rsidRDefault="007F48C9" w:rsidP="004638C8">
      <w:pPr>
        <w:pStyle w:val="Titre3"/>
      </w:pPr>
      <w:bookmarkStart w:id="101" w:name="_Toc164951741"/>
      <w:r w:rsidRPr="00915DEF">
        <w:t xml:space="preserve">Article </w:t>
      </w:r>
      <w:r w:rsidR="005E36F9">
        <w:t>8</w:t>
      </w:r>
      <w:r w:rsidRPr="00915DEF">
        <w:t>.1 Généralités</w:t>
      </w:r>
      <w:bookmarkEnd w:id="101"/>
    </w:p>
    <w:p w14:paraId="51515F4B" w14:textId="43BA884A" w:rsidR="005E36F9" w:rsidRDefault="00C96957" w:rsidP="008B3A3A">
      <w:pPr>
        <w:pStyle w:val="NormalWeb"/>
        <w:spacing w:beforeAutospacing="0" w:after="40"/>
        <w:jc w:val="both"/>
      </w:pPr>
      <w:r w:rsidRPr="005E36F9">
        <w:t>L'exploitant prend toutes les dispositions nécessaires</w:t>
      </w:r>
      <w:r w:rsidR="006A7DF6">
        <w:t>,</w:t>
      </w:r>
      <w:r w:rsidRPr="005E36F9">
        <w:t xml:space="preserve"> dans la conception et l'exploitation de ses installations</w:t>
      </w:r>
      <w:r w:rsidR="006A7DF6">
        <w:t>,</w:t>
      </w:r>
      <w:r w:rsidRPr="005E36F9">
        <w:t xml:space="preserve"> pour assurer une bonne gestion des déchets produits. A cette fin, il met en œuvre successivement les dispositions suivantes :</w:t>
      </w:r>
    </w:p>
    <w:p w14:paraId="03B7639E" w14:textId="4227E6FD" w:rsidR="005E36F9" w:rsidRDefault="00C96957" w:rsidP="008B3A3A">
      <w:pPr>
        <w:pStyle w:val="Default"/>
        <w:spacing w:after="40"/>
        <w:jc w:val="both"/>
        <w:rPr>
          <w:color w:val="auto"/>
        </w:rPr>
      </w:pPr>
      <w:r w:rsidRPr="005E36F9">
        <w:rPr>
          <w:color w:val="auto"/>
        </w:rPr>
        <w:t>-</w:t>
      </w:r>
      <w:r w:rsidR="00073336">
        <w:rPr>
          <w:color w:val="auto"/>
        </w:rPr>
        <w:t> </w:t>
      </w:r>
      <w:r w:rsidRPr="005E36F9">
        <w:rPr>
          <w:color w:val="auto"/>
        </w:rPr>
        <w:t>limiter à la source la quantité et la toxicité des déchets en adoptant des technologies propres</w:t>
      </w:r>
      <w:r w:rsidR="000F7984" w:rsidRPr="005E36F9">
        <w:rPr>
          <w:color w:val="auto"/>
        </w:rPr>
        <w:t> </w:t>
      </w:r>
      <w:r w:rsidRPr="005E36F9">
        <w:rPr>
          <w:color w:val="auto"/>
        </w:rPr>
        <w:t>;</w:t>
      </w:r>
    </w:p>
    <w:p w14:paraId="07A3C60A" w14:textId="0FD5611D" w:rsidR="005E36F9" w:rsidRDefault="00C96957" w:rsidP="008B3A3A">
      <w:pPr>
        <w:pStyle w:val="Default"/>
        <w:spacing w:after="40"/>
        <w:jc w:val="both"/>
        <w:rPr>
          <w:color w:val="auto"/>
        </w:rPr>
      </w:pPr>
      <w:r w:rsidRPr="005E36F9">
        <w:rPr>
          <w:color w:val="auto"/>
        </w:rPr>
        <w:t>-</w:t>
      </w:r>
      <w:r w:rsidR="00073336">
        <w:rPr>
          <w:color w:val="auto"/>
        </w:rPr>
        <w:t> </w:t>
      </w:r>
      <w:r w:rsidRPr="005E36F9">
        <w:rPr>
          <w:color w:val="auto"/>
        </w:rPr>
        <w:t xml:space="preserve">trier, recycler, valoriser </w:t>
      </w:r>
      <w:r w:rsidR="00592C13">
        <w:rPr>
          <w:color w:val="auto"/>
        </w:rPr>
        <w:t>l</w:t>
      </w:r>
      <w:r w:rsidRPr="005E36F9">
        <w:rPr>
          <w:color w:val="auto"/>
        </w:rPr>
        <w:t>es sous-produits de fabrication ;</w:t>
      </w:r>
    </w:p>
    <w:p w14:paraId="2FF2D55D" w14:textId="07FB49EA" w:rsidR="005E36F9" w:rsidRDefault="00C96957" w:rsidP="008B3A3A">
      <w:pPr>
        <w:pStyle w:val="Default"/>
        <w:spacing w:after="40"/>
        <w:jc w:val="both"/>
        <w:rPr>
          <w:color w:val="auto"/>
        </w:rPr>
      </w:pPr>
      <w:r w:rsidRPr="005E36F9">
        <w:rPr>
          <w:color w:val="auto"/>
        </w:rPr>
        <w:t>-</w:t>
      </w:r>
      <w:r w:rsidR="00073336">
        <w:rPr>
          <w:color w:val="auto"/>
        </w:rPr>
        <w:t> </w:t>
      </w:r>
      <w:r w:rsidRPr="005E36F9">
        <w:rPr>
          <w:color w:val="auto"/>
        </w:rPr>
        <w:t>s'assurer du traitement ou du prétraitement des déchets, notamment par voie physico-chimique, biologique ou thermique ;</w:t>
      </w:r>
    </w:p>
    <w:p w14:paraId="735E4F92" w14:textId="4E4F4836" w:rsidR="00C96957" w:rsidRPr="005E36F9" w:rsidRDefault="00C96957" w:rsidP="008B3A3A">
      <w:pPr>
        <w:pStyle w:val="Default"/>
        <w:spacing w:after="40"/>
        <w:jc w:val="both"/>
        <w:rPr>
          <w:color w:val="auto"/>
        </w:rPr>
      </w:pPr>
      <w:r w:rsidRPr="005E36F9">
        <w:rPr>
          <w:color w:val="auto"/>
        </w:rPr>
        <w:t>-</w:t>
      </w:r>
      <w:r w:rsidR="00073336">
        <w:rPr>
          <w:color w:val="auto"/>
        </w:rPr>
        <w:t> </w:t>
      </w:r>
      <w:r w:rsidRPr="005E36F9">
        <w:rPr>
          <w:color w:val="auto"/>
        </w:rPr>
        <w:t>s'assurer, pour les déchets ultimes dont le volume est strictement limité, d'un stockage dans les meilleures conditions possibles.</w:t>
      </w:r>
    </w:p>
    <w:p w14:paraId="60D71517" w14:textId="163E6967" w:rsidR="007F48C9" w:rsidRPr="00915DEF" w:rsidRDefault="007F48C9" w:rsidP="008B3A3A">
      <w:pPr>
        <w:pStyle w:val="Default"/>
        <w:spacing w:after="40"/>
        <w:jc w:val="both"/>
      </w:pPr>
      <w:r w:rsidRPr="00915DEF">
        <w:t>Les déchets produits par l’installation sont entreposés dans des conditions prévenant toute dégradation qui remettrait en cause leur valorisation ou élimination appropriée.</w:t>
      </w:r>
    </w:p>
    <w:p w14:paraId="46DD093E" w14:textId="1271E3AA" w:rsidR="004F07D5" w:rsidRPr="00114BAA" w:rsidRDefault="007F48C9" w:rsidP="004F07D5">
      <w:pPr>
        <w:pStyle w:val="Default"/>
        <w:spacing w:after="40"/>
        <w:jc w:val="both"/>
      </w:pPr>
      <w:r w:rsidRPr="00915DEF">
        <w:t xml:space="preserve">L’exploitant conserve </w:t>
      </w:r>
      <w:r w:rsidRPr="009179B0">
        <w:t>l’attestation</w:t>
      </w:r>
      <w:r w:rsidRPr="00915DEF">
        <w:t xml:space="preserve"> </w:t>
      </w:r>
      <w:r w:rsidR="00073336">
        <w:t xml:space="preserve">mentionnée </w:t>
      </w:r>
      <w:r w:rsidRPr="00915DEF">
        <w:t>à l’article D. 543-284 du code de l’environnement ou la preuve de la valorisation de ces déchets par lui-même ou par une installation de valorisation à laquelle il a confié directement ses déchets.</w:t>
      </w:r>
      <w:r w:rsidR="00C96957" w:rsidRPr="00915DEF">
        <w:t xml:space="preserve"> </w:t>
      </w:r>
      <w:r w:rsidRPr="00915DEF">
        <w:t>Les déchets dangereux font l’objet de bordereaux de suivi qui sont conservés</w:t>
      </w:r>
      <w:r w:rsidR="005E36F9">
        <w:t>.</w:t>
      </w:r>
    </w:p>
    <w:p w14:paraId="28B876C7" w14:textId="77777777" w:rsidR="004F07D5" w:rsidRPr="00114BAA" w:rsidRDefault="004F07D5" w:rsidP="004F07D5">
      <w:pPr>
        <w:pStyle w:val="NormalWeb"/>
        <w:spacing w:beforeAutospacing="0" w:after="40"/>
        <w:jc w:val="both"/>
      </w:pPr>
      <w:r w:rsidRPr="00114BAA">
        <w:t xml:space="preserve">Le brûlage des déchets liquides, solides et gazeux est interdit sur le site. </w:t>
      </w:r>
    </w:p>
    <w:p w14:paraId="312C4058" w14:textId="5E4AE6DE" w:rsidR="004F07D5" w:rsidRDefault="004F07D5" w:rsidP="008B3A3A">
      <w:pPr>
        <w:pStyle w:val="Default"/>
        <w:spacing w:after="40"/>
        <w:jc w:val="both"/>
        <w:rPr>
          <w:color w:val="auto"/>
        </w:rPr>
      </w:pPr>
    </w:p>
    <w:p w14:paraId="5EB06FBC" w14:textId="59FF144B" w:rsidR="004600DA" w:rsidRPr="00915DEF" w:rsidRDefault="004600DA" w:rsidP="004600DA">
      <w:pPr>
        <w:pStyle w:val="Titre3"/>
      </w:pPr>
      <w:r w:rsidRPr="00915DEF">
        <w:t xml:space="preserve">Article </w:t>
      </w:r>
      <w:r>
        <w:t>8</w:t>
      </w:r>
      <w:r w:rsidRPr="00915DEF">
        <w:t>.</w:t>
      </w:r>
      <w:r>
        <w:t>2</w:t>
      </w:r>
      <w:r w:rsidRPr="00915DEF">
        <w:t xml:space="preserve"> </w:t>
      </w:r>
      <w:r>
        <w:t>Dispositions spécifiques</w:t>
      </w:r>
    </w:p>
    <w:p w14:paraId="73F672EE" w14:textId="37513E12" w:rsidR="00C96957" w:rsidRPr="004F07D5" w:rsidRDefault="00C96957" w:rsidP="00C96957">
      <w:pPr>
        <w:pStyle w:val="Default"/>
        <w:spacing w:after="40"/>
        <w:jc w:val="both"/>
        <w:rPr>
          <w:color w:val="auto"/>
        </w:rPr>
      </w:pPr>
      <w:r w:rsidRPr="004F07D5">
        <w:rPr>
          <w:color w:val="auto"/>
        </w:rPr>
        <w:t>I.</w:t>
      </w:r>
      <w:r w:rsidR="0036618F">
        <w:t> - </w:t>
      </w:r>
      <w:r w:rsidRPr="004F07D5">
        <w:rPr>
          <w:color w:val="auto"/>
        </w:rPr>
        <w:t>Dispositions spécifiques à l’activité d’incinération de cadavres d’animaux</w:t>
      </w:r>
      <w:r w:rsidR="008261CB">
        <w:rPr>
          <w:color w:val="auto"/>
        </w:rPr>
        <w:t xml:space="preserve"> </w:t>
      </w:r>
    </w:p>
    <w:p w14:paraId="2420EDB6" w14:textId="7CCB5DBF" w:rsidR="00C96957" w:rsidRPr="004F07D5" w:rsidRDefault="00C96957" w:rsidP="00C96957">
      <w:pPr>
        <w:pStyle w:val="Default"/>
        <w:spacing w:after="40"/>
        <w:jc w:val="both"/>
        <w:rPr>
          <w:color w:val="auto"/>
        </w:rPr>
      </w:pPr>
      <w:r w:rsidRPr="004F07D5">
        <w:rPr>
          <w:color w:val="auto"/>
        </w:rPr>
        <w:t>L'exploitant prend les dispositions nécessaires</w:t>
      </w:r>
      <w:r w:rsidR="007347AF">
        <w:rPr>
          <w:color w:val="auto"/>
        </w:rPr>
        <w:t>,</w:t>
      </w:r>
      <w:r w:rsidRPr="004F07D5">
        <w:rPr>
          <w:color w:val="auto"/>
        </w:rPr>
        <w:t xml:space="preserve"> dans la conception et l'exploitation de l'installation pour permettre l'élimination des déchets issus de ses activités et notamment des cendres et des résidus de traitement des fumées.</w:t>
      </w:r>
    </w:p>
    <w:p w14:paraId="1E4C26E7" w14:textId="36379B8B" w:rsidR="00C96957" w:rsidRPr="004F07D5" w:rsidRDefault="00C96957" w:rsidP="00C96957">
      <w:pPr>
        <w:pStyle w:val="Default"/>
        <w:spacing w:after="40"/>
        <w:jc w:val="both"/>
        <w:rPr>
          <w:color w:val="auto"/>
        </w:rPr>
      </w:pPr>
      <w:r w:rsidRPr="004F07D5">
        <w:rPr>
          <w:color w:val="auto"/>
        </w:rPr>
        <w:t xml:space="preserve">Le stockage des cendres non rendues aux propriétaires des animaux incinérés s'effectue sur une aire ou dans un réceptacle étanche avant d'être éliminées. Elles sont protégées de la pluie et des envols. Les cendres sont valorisées conformément au règlement </w:t>
      </w:r>
      <w:r w:rsidR="00BE4A76">
        <w:rPr>
          <w:color w:val="auto"/>
        </w:rPr>
        <w:t xml:space="preserve">du 21 octobre 2009 </w:t>
      </w:r>
      <w:r w:rsidRPr="004F07D5">
        <w:rPr>
          <w:color w:val="auto"/>
        </w:rPr>
        <w:t>susvisé</w:t>
      </w:r>
      <w:r w:rsidR="00B86375">
        <w:rPr>
          <w:color w:val="auto"/>
        </w:rPr>
        <w:t xml:space="preserve">. </w:t>
      </w:r>
    </w:p>
    <w:p w14:paraId="27BD4C32" w14:textId="77777777" w:rsidR="00C96957" w:rsidRPr="00B86375" w:rsidRDefault="00C96957" w:rsidP="008B3A3A">
      <w:pPr>
        <w:pStyle w:val="Default"/>
        <w:spacing w:after="40"/>
        <w:jc w:val="both"/>
        <w:rPr>
          <w:color w:val="auto"/>
        </w:rPr>
      </w:pPr>
    </w:p>
    <w:p w14:paraId="7B20DD48" w14:textId="0E56F279" w:rsidR="00C96957" w:rsidRPr="00B86375" w:rsidRDefault="00C96957" w:rsidP="008B3A3A">
      <w:pPr>
        <w:pStyle w:val="Default"/>
        <w:spacing w:after="40"/>
        <w:jc w:val="both"/>
        <w:rPr>
          <w:color w:val="auto"/>
        </w:rPr>
      </w:pPr>
      <w:r w:rsidRPr="00B86375">
        <w:rPr>
          <w:color w:val="auto"/>
        </w:rPr>
        <w:t>II</w:t>
      </w:r>
      <w:r w:rsidR="0036618F">
        <w:t>. - </w:t>
      </w:r>
      <w:r w:rsidRPr="00B86375">
        <w:rPr>
          <w:color w:val="auto"/>
        </w:rPr>
        <w:t>Dispositions spécifiques aux autres installations</w:t>
      </w:r>
    </w:p>
    <w:p w14:paraId="06C4583C" w14:textId="5560A8FA" w:rsidR="007F48C9" w:rsidRPr="004E0288" w:rsidRDefault="004E0288" w:rsidP="008B3A3A">
      <w:pPr>
        <w:pStyle w:val="Default"/>
        <w:spacing w:after="40"/>
        <w:jc w:val="both"/>
        <w:rPr>
          <w:color w:val="auto"/>
        </w:rPr>
      </w:pPr>
      <w:r w:rsidRPr="004F07D5">
        <w:rPr>
          <w:color w:val="auto"/>
        </w:rPr>
        <w:t xml:space="preserve">L'exploitant prend les </w:t>
      </w:r>
      <w:r w:rsidRPr="004E0288">
        <w:rPr>
          <w:color w:val="auto"/>
        </w:rPr>
        <w:t>dispositions nécessaires</w:t>
      </w:r>
      <w:r w:rsidR="007347AF">
        <w:rPr>
          <w:color w:val="auto"/>
        </w:rPr>
        <w:t>,</w:t>
      </w:r>
      <w:r w:rsidRPr="004E0288">
        <w:rPr>
          <w:color w:val="auto"/>
        </w:rPr>
        <w:t xml:space="preserve"> dans la conception et l'exploitation de l'installation pour permettre l'élimination des déchets issus de ses activités. </w:t>
      </w:r>
      <w:r w:rsidR="007F48C9" w:rsidRPr="004E0288">
        <w:rPr>
          <w:color w:val="auto"/>
        </w:rPr>
        <w:t xml:space="preserve">Les déchets qui ne peuvent pas être valorisés sont éliminés dans des installations réglementées à cet effet au titre du livre V du code de l'environnement, dans des conditions permettant d'assurer la protection de l'environnement ; l'exploitant est en mesure d'en justifier l'élimination sur demande de l'inspection des installations classées. Il </w:t>
      </w:r>
      <w:r w:rsidR="009117BC" w:rsidRPr="004E0288">
        <w:rPr>
          <w:color w:val="auto"/>
        </w:rPr>
        <w:t>tient</w:t>
      </w:r>
      <w:r w:rsidR="007F48C9" w:rsidRPr="004E0288">
        <w:rPr>
          <w:color w:val="auto"/>
        </w:rPr>
        <w:t xml:space="preserve"> à la disposition de l'inspection des installations classées une caractérisation et une quantification de tous les déchets spéciaux générés par ses activités.</w:t>
      </w:r>
    </w:p>
    <w:p w14:paraId="49A99F0F" w14:textId="77777777" w:rsidR="00AB3E76" w:rsidRPr="00AB3E76" w:rsidRDefault="00AB3E76" w:rsidP="00AB3E76">
      <w:pPr>
        <w:pStyle w:val="Default"/>
        <w:spacing w:after="40"/>
        <w:jc w:val="both"/>
        <w:rPr>
          <w:color w:val="auto"/>
        </w:rPr>
      </w:pPr>
      <w:r w:rsidRPr="00AB3E76">
        <w:rPr>
          <w:color w:val="auto"/>
        </w:rPr>
        <w:t>Les sous-produits traités sur le site, ou constituant un rebut de l'activité, sont stockés, avant leur revalorisation ou leur élimination, dans des conditions ne présentant pas de risques de pollution (prévention d'un lessivage par les eaux météoriques, d'une pollution des eaux superficielles et souterraines, des envols et des odeurs) pour les populations avoisinantes et l'environnement.</w:t>
      </w:r>
    </w:p>
    <w:p w14:paraId="0B47DD57" w14:textId="0B73F0E2" w:rsidR="00AB3E76" w:rsidRPr="00AB3E76" w:rsidRDefault="00AB3E76" w:rsidP="00AB3E76">
      <w:pPr>
        <w:pStyle w:val="Default"/>
        <w:spacing w:after="40"/>
        <w:jc w:val="both"/>
        <w:rPr>
          <w:color w:val="auto"/>
        </w:rPr>
      </w:pPr>
      <w:r w:rsidRPr="00AB3E76">
        <w:rPr>
          <w:color w:val="auto"/>
        </w:rPr>
        <w:t xml:space="preserve">Leur transport </w:t>
      </w:r>
      <w:r w:rsidR="000E19CD">
        <w:rPr>
          <w:color w:val="auto"/>
        </w:rPr>
        <w:t>est</w:t>
      </w:r>
      <w:r w:rsidRPr="00AB3E76">
        <w:rPr>
          <w:color w:val="auto"/>
        </w:rPr>
        <w:t xml:space="preserve"> conforme à la réglementation sanitaire en vigueur. Avant tout départ, les véhicules ayant circulé sur une zone souillée </w:t>
      </w:r>
      <w:r w:rsidR="005458FE">
        <w:rPr>
          <w:color w:val="auto"/>
        </w:rPr>
        <w:t>font</w:t>
      </w:r>
      <w:r w:rsidRPr="00AB3E76">
        <w:rPr>
          <w:color w:val="auto"/>
        </w:rPr>
        <w:t xml:space="preserve"> l'objet d'un nettoyage adapté.</w:t>
      </w:r>
    </w:p>
    <w:p w14:paraId="5F0312BE" w14:textId="77777777" w:rsidR="00AB3E76" w:rsidRPr="00AB3E76" w:rsidRDefault="00AB3E76" w:rsidP="00AB3E76">
      <w:pPr>
        <w:pStyle w:val="Default"/>
        <w:spacing w:after="40"/>
        <w:jc w:val="both"/>
        <w:rPr>
          <w:color w:val="auto"/>
        </w:rPr>
      </w:pPr>
      <w:r w:rsidRPr="00AB3E76">
        <w:rPr>
          <w:color w:val="auto"/>
        </w:rPr>
        <w:t>Les stockages temporaires, avant recyclage ou élimination des déchets spéciaux, sont réalisés sur des cuvettes de rétention étanches et protégées des eaux météoriques.</w:t>
      </w:r>
    </w:p>
    <w:p w14:paraId="3176947D" w14:textId="16479178" w:rsidR="00AB3E76" w:rsidRDefault="00AB3E76" w:rsidP="00AB3E76">
      <w:pPr>
        <w:pStyle w:val="Default"/>
        <w:spacing w:after="40"/>
        <w:jc w:val="both"/>
        <w:rPr>
          <w:color w:val="auto"/>
        </w:rPr>
      </w:pPr>
      <w:r w:rsidRPr="004E0288">
        <w:rPr>
          <w:color w:val="auto"/>
        </w:rPr>
        <w:t>Les matières d'origine animale recueillies lors d</w:t>
      </w:r>
      <w:r>
        <w:rPr>
          <w:color w:val="auto"/>
        </w:rPr>
        <w:t>es</w:t>
      </w:r>
      <w:r w:rsidRPr="004E0288">
        <w:rPr>
          <w:color w:val="auto"/>
        </w:rPr>
        <w:t xml:space="preserve"> traitement</w:t>
      </w:r>
      <w:r>
        <w:rPr>
          <w:color w:val="auto"/>
        </w:rPr>
        <w:t>s</w:t>
      </w:r>
      <w:r w:rsidRPr="004E0288">
        <w:rPr>
          <w:color w:val="auto"/>
        </w:rPr>
        <w:t xml:space="preserve"> des effluents liquides, en particulier les</w:t>
      </w:r>
      <w:r>
        <w:rPr>
          <w:color w:val="auto"/>
        </w:rPr>
        <w:t xml:space="preserve"> matières d’une taille de plus de 6 mm de diamètre</w:t>
      </w:r>
      <w:r w:rsidR="007347AF">
        <w:rPr>
          <w:color w:val="auto"/>
        </w:rPr>
        <w:t>,</w:t>
      </w:r>
      <w:r>
        <w:rPr>
          <w:color w:val="auto"/>
        </w:rPr>
        <w:t xml:space="preserve"> </w:t>
      </w:r>
      <w:r w:rsidRPr="004E0288">
        <w:rPr>
          <w:color w:val="auto"/>
        </w:rPr>
        <w:t>sont traitées et/ou éliminées selon les dispositions réglementaires en vigueur</w:t>
      </w:r>
      <w:r>
        <w:rPr>
          <w:color w:val="auto"/>
        </w:rPr>
        <w:t xml:space="preserve">. </w:t>
      </w:r>
    </w:p>
    <w:p w14:paraId="19C98A4B" w14:textId="77777777" w:rsidR="004E0288" w:rsidRPr="004E0288" w:rsidRDefault="004E0288" w:rsidP="008B3A3A">
      <w:pPr>
        <w:pStyle w:val="Default"/>
        <w:spacing w:after="40"/>
        <w:jc w:val="both"/>
        <w:rPr>
          <w:color w:val="auto"/>
        </w:rPr>
      </w:pPr>
    </w:p>
    <w:p w14:paraId="1B71230D" w14:textId="20A217CC" w:rsidR="007F48C9" w:rsidRPr="00915DEF" w:rsidRDefault="007F48C9" w:rsidP="009A1DAC">
      <w:pPr>
        <w:pStyle w:val="Titre1"/>
      </w:pPr>
      <w:bookmarkStart w:id="102" w:name="_Toc164951619"/>
      <w:bookmarkStart w:id="103" w:name="_Toc164951743"/>
      <w:r w:rsidRPr="00915DEF">
        <w:t xml:space="preserve">Chapitre </w:t>
      </w:r>
      <w:r w:rsidR="00B86375">
        <w:t>I</w:t>
      </w:r>
      <w:r w:rsidRPr="00915DEF">
        <w:t>X</w:t>
      </w:r>
      <w:r w:rsidR="0036618F">
        <w:t>. - </w:t>
      </w:r>
      <w:r w:rsidRPr="00915DEF">
        <w:t>Epandage</w:t>
      </w:r>
      <w:bookmarkEnd w:id="102"/>
      <w:bookmarkEnd w:id="103"/>
    </w:p>
    <w:p w14:paraId="4EA3266C" w14:textId="1E0F4D11" w:rsidR="007F48C9" w:rsidRPr="00915DEF" w:rsidRDefault="007F48C9" w:rsidP="009A1DAC">
      <w:pPr>
        <w:pStyle w:val="Titre3"/>
      </w:pPr>
      <w:bookmarkStart w:id="104" w:name="_Toc164951744"/>
      <w:r w:rsidRPr="00915DEF">
        <w:t xml:space="preserve">Article </w:t>
      </w:r>
      <w:r w:rsidR="002661F4">
        <w:t>9</w:t>
      </w:r>
      <w:r w:rsidR="00C96957" w:rsidRPr="00915DEF">
        <w:t>.1</w:t>
      </w:r>
      <w:r w:rsidRPr="00915DEF">
        <w:t xml:space="preserve">. </w:t>
      </w:r>
      <w:bookmarkEnd w:id="104"/>
      <w:r w:rsidRPr="00915DEF">
        <w:t>Épandage</w:t>
      </w:r>
    </w:p>
    <w:p w14:paraId="0415A559" w14:textId="3E55A5A9" w:rsidR="00B86375" w:rsidRPr="004F07D5" w:rsidRDefault="00B86375" w:rsidP="00B86375">
      <w:pPr>
        <w:pStyle w:val="Default"/>
        <w:spacing w:after="40"/>
        <w:jc w:val="both"/>
        <w:rPr>
          <w:color w:val="auto"/>
        </w:rPr>
      </w:pPr>
      <w:r w:rsidRPr="004F07D5">
        <w:rPr>
          <w:color w:val="auto"/>
        </w:rPr>
        <w:t>I</w:t>
      </w:r>
      <w:r w:rsidR="0036618F">
        <w:t>. - </w:t>
      </w:r>
      <w:r w:rsidRPr="004F07D5">
        <w:rPr>
          <w:color w:val="auto"/>
        </w:rPr>
        <w:t xml:space="preserve">Dispositions spécifiques à l’activité d’incinération de cadavres d’animaux </w:t>
      </w:r>
    </w:p>
    <w:p w14:paraId="1FEAB217" w14:textId="2F14CF53" w:rsidR="00B86375" w:rsidRDefault="00B86375" w:rsidP="00804EE9">
      <w:pPr>
        <w:pStyle w:val="NormalWeb"/>
        <w:spacing w:beforeAutospacing="0" w:after="40" w:line="240" w:lineRule="auto"/>
        <w:jc w:val="both"/>
      </w:pPr>
      <w:r>
        <w:t>L’exploitant é</w:t>
      </w:r>
      <w:r w:rsidRPr="00B86375">
        <w:t>pand</w:t>
      </w:r>
      <w:r>
        <w:t xml:space="preserve"> les cendres selon </w:t>
      </w:r>
      <w:r w:rsidRPr="00B86375">
        <w:t>les prescriptions de</w:t>
      </w:r>
      <w:r w:rsidR="005562D5">
        <w:t>s articles 36 à 42</w:t>
      </w:r>
      <w:r w:rsidRPr="00B86375">
        <w:t xml:space="preserve"> </w:t>
      </w:r>
      <w:r w:rsidR="005562D5">
        <w:t xml:space="preserve">de </w:t>
      </w:r>
      <w:r w:rsidRPr="00B86375">
        <w:t>l'arrêté du 2 février 1998 susvisé</w:t>
      </w:r>
      <w:r w:rsidR="005562D5">
        <w:t>.</w:t>
      </w:r>
    </w:p>
    <w:p w14:paraId="6F2EABFB" w14:textId="77777777" w:rsidR="00B86375" w:rsidRPr="00B86375" w:rsidRDefault="00B86375" w:rsidP="00B86375">
      <w:pPr>
        <w:pStyle w:val="Default"/>
        <w:spacing w:after="40"/>
        <w:jc w:val="both"/>
        <w:rPr>
          <w:color w:val="auto"/>
        </w:rPr>
      </w:pPr>
    </w:p>
    <w:p w14:paraId="6C88B7AA" w14:textId="262AF2BE" w:rsidR="00B86375" w:rsidRPr="00507D72" w:rsidRDefault="00B86375" w:rsidP="00B86375">
      <w:pPr>
        <w:pStyle w:val="Default"/>
        <w:spacing w:after="40"/>
        <w:jc w:val="both"/>
        <w:rPr>
          <w:color w:val="auto"/>
          <w:highlight w:val="yellow"/>
        </w:rPr>
      </w:pPr>
      <w:r w:rsidRPr="00520317">
        <w:rPr>
          <w:color w:val="auto"/>
        </w:rPr>
        <w:t>II</w:t>
      </w:r>
      <w:r w:rsidR="0036618F">
        <w:t>. - </w:t>
      </w:r>
      <w:r w:rsidRPr="00520317">
        <w:rPr>
          <w:color w:val="auto"/>
        </w:rPr>
        <w:t>Dispositions</w:t>
      </w:r>
      <w:r w:rsidRPr="00507D72">
        <w:rPr>
          <w:color w:val="auto"/>
        </w:rPr>
        <w:t xml:space="preserve"> spécifiques aux autres installations </w:t>
      </w:r>
    </w:p>
    <w:p w14:paraId="50E6E9E6" w14:textId="086542BE" w:rsidR="00964283" w:rsidRDefault="00964283" w:rsidP="00804EE9">
      <w:pPr>
        <w:pStyle w:val="NormalWeb"/>
        <w:spacing w:beforeAutospacing="0" w:after="40" w:line="240" w:lineRule="auto"/>
        <w:jc w:val="both"/>
      </w:pPr>
      <w:r w:rsidRPr="00507D72">
        <w:t xml:space="preserve">L’exploitant épand les </w:t>
      </w:r>
      <w:r w:rsidR="009334CD">
        <w:t xml:space="preserve">matières </w:t>
      </w:r>
      <w:r w:rsidRPr="00507D72">
        <w:t>mentionné</w:t>
      </w:r>
      <w:r w:rsidR="009334CD">
        <w:t>e</w:t>
      </w:r>
      <w:r w:rsidRPr="00507D72">
        <w:t>s prévues à l’annexe</w:t>
      </w:r>
      <w:r w:rsidR="00BB1597">
        <w:t xml:space="preserve"> </w:t>
      </w:r>
      <w:r w:rsidRPr="00507D72">
        <w:t>du présent arrêté</w:t>
      </w:r>
      <w:r w:rsidR="009334CD">
        <w:t xml:space="preserve"> et selon les dispositions fixées</w:t>
      </w:r>
      <w:r w:rsidRPr="00507D72">
        <w:t>.</w:t>
      </w:r>
      <w:r>
        <w:t xml:space="preserve"> </w:t>
      </w:r>
    </w:p>
    <w:p w14:paraId="2E3D6162" w14:textId="77777777" w:rsidR="00244249" w:rsidRDefault="00244249" w:rsidP="00804EE9">
      <w:pPr>
        <w:pStyle w:val="NormalWeb"/>
        <w:spacing w:beforeAutospacing="0" w:after="40" w:line="240" w:lineRule="auto"/>
        <w:jc w:val="both"/>
      </w:pPr>
    </w:p>
    <w:p w14:paraId="3E92EC0A" w14:textId="7B4E3F53" w:rsidR="007F48C9" w:rsidRPr="00915DEF" w:rsidRDefault="007F48C9" w:rsidP="009A1DAC">
      <w:pPr>
        <w:pStyle w:val="Titre1"/>
      </w:pPr>
      <w:bookmarkStart w:id="105" w:name="_Toc164951620"/>
      <w:bookmarkStart w:id="106" w:name="_Toc164951745"/>
      <w:r w:rsidRPr="00915DEF">
        <w:t xml:space="preserve">Chapitre </w:t>
      </w:r>
      <w:r w:rsidRPr="00114BAA">
        <w:t>X</w:t>
      </w:r>
      <w:r w:rsidR="0036618F">
        <w:t>. - </w:t>
      </w:r>
      <w:r w:rsidRPr="00915DEF">
        <w:t>Consommation d'énergie et efficacité énergétique</w:t>
      </w:r>
      <w:bookmarkEnd w:id="105"/>
      <w:bookmarkEnd w:id="106"/>
    </w:p>
    <w:p w14:paraId="6BEBD5BA" w14:textId="3D9FBAD6" w:rsidR="00DF370F" w:rsidRPr="00915DEF" w:rsidRDefault="00DF370F" w:rsidP="009A1DAC">
      <w:pPr>
        <w:pStyle w:val="Titre3"/>
      </w:pPr>
      <w:bookmarkStart w:id="107" w:name="_Toc164951747"/>
      <w:r w:rsidRPr="00915DEF">
        <w:t xml:space="preserve">Article </w:t>
      </w:r>
      <w:r w:rsidR="004943FB" w:rsidRPr="00915DEF">
        <w:t>1</w:t>
      </w:r>
      <w:r w:rsidR="007A26A5">
        <w:t>0</w:t>
      </w:r>
      <w:r w:rsidR="004943FB" w:rsidRPr="00915DEF">
        <w:t>.</w:t>
      </w:r>
      <w:r w:rsidR="004822A8">
        <w:t>1</w:t>
      </w:r>
      <w:r w:rsidR="004943FB" w:rsidRPr="00915DEF">
        <w:t xml:space="preserve"> </w:t>
      </w:r>
      <w:r w:rsidR="007A26A5">
        <w:t>Mesure du n</w:t>
      </w:r>
      <w:r w:rsidRPr="00915DEF">
        <w:t>iveau de performance</w:t>
      </w:r>
      <w:bookmarkEnd w:id="107"/>
    </w:p>
    <w:p w14:paraId="06B90760" w14:textId="3F827EA4" w:rsidR="004822A8" w:rsidRPr="00114BAA" w:rsidRDefault="004822A8" w:rsidP="004822A8">
      <w:pPr>
        <w:pStyle w:val="NormalWeb"/>
        <w:spacing w:beforeAutospacing="0" w:after="40" w:line="240" w:lineRule="auto"/>
        <w:jc w:val="both"/>
      </w:pPr>
      <w:r w:rsidRPr="00114BAA">
        <w:t xml:space="preserve">Les niveaux de performance environnementale liés à la consommation d’énergie nette spécifique correspondent à des moyennes annuelles calculées à l’aide de l’équation suivante : </w:t>
      </w:r>
    </w:p>
    <w:p w14:paraId="035C9BCF" w14:textId="77777777" w:rsidR="004822A8" w:rsidRDefault="004822A8" w:rsidP="004822A8">
      <w:pPr>
        <w:pStyle w:val="NormalWeb"/>
        <w:spacing w:beforeAutospacing="0" w:after="40" w:line="240" w:lineRule="auto"/>
        <w:jc w:val="both"/>
      </w:pPr>
    </w:p>
    <w:p w14:paraId="5C004339" w14:textId="2CCB7E6E" w:rsidR="000162AE" w:rsidRDefault="000162AE" w:rsidP="004822A8">
      <w:pPr>
        <w:pStyle w:val="NormalWeb"/>
        <w:spacing w:beforeAutospacing="0" w:after="40" w:line="240" w:lineRule="auto"/>
        <w:jc w:val="both"/>
      </w:pPr>
      <m:oMath>
        <m:r>
          <m:rPr>
            <m:sty m:val="p"/>
          </m:rPr>
          <w:rPr>
            <w:rFonts w:ascii="Cambria Math" w:hAnsi="Cambria Math"/>
          </w:rPr>
          <m:t>Consommation d’énergie nette spécifique=</m:t>
        </m:r>
        <m:f>
          <m:fPr>
            <m:ctrlPr>
              <w:rPr>
                <w:rFonts w:ascii="Cambria Math" w:hAnsi="Cambria Math"/>
              </w:rPr>
            </m:ctrlPr>
          </m:fPr>
          <m:num>
            <m:r>
              <m:rPr>
                <m:sty m:val="p"/>
              </m:rPr>
              <w:rPr>
                <w:rFonts w:ascii="Cambria Math"/>
              </w:rPr>
              <m:t xml:space="preserve"> Niveau de consommation d</m:t>
            </m:r>
            <m:r>
              <m:rPr>
                <m:sty m:val="p"/>
              </m:rPr>
              <w:rPr>
                <w:rFonts w:ascii="Cambria Math"/>
              </w:rPr>
              <m:t>’é</m:t>
            </m:r>
            <m:r>
              <m:rPr>
                <m:sty m:val="p"/>
              </m:rPr>
              <w:rPr>
                <w:rFonts w:ascii="Cambria Math"/>
              </w:rPr>
              <m:t>nergie nette finale</m:t>
            </m:r>
          </m:num>
          <m:den>
            <m:r>
              <m:rPr>
                <m:sty m:val="p"/>
              </m:rPr>
              <w:rPr>
                <w:rFonts w:ascii="Cambria Math"/>
              </w:rPr>
              <m:t xml:space="preserve">Niveau </m:t>
            </m:r>
            <m:sSup>
              <m:sSupPr>
                <m:ctrlPr>
                  <w:rPr>
                    <w:rFonts w:ascii="Cambria Math" w:hAnsi="Cambria Math"/>
                    <w:iCs/>
                  </w:rPr>
                </m:ctrlPr>
              </m:sSupPr>
              <m:e>
                <m:r>
                  <m:rPr>
                    <m:sty m:val="p"/>
                  </m:rPr>
                  <w:rPr>
                    <w:rFonts w:ascii="Cambria Math"/>
                  </w:rPr>
                  <m:t>d</m:t>
                </m:r>
              </m:e>
              <m:sup>
                <m:r>
                  <m:rPr>
                    <m:sty m:val="p"/>
                  </m:rPr>
                  <w:rPr>
                    <w:rFonts w:ascii="Cambria Math"/>
                  </w:rPr>
                  <m:t>'</m:t>
                </m:r>
              </m:sup>
            </m:sSup>
            <m:r>
              <m:rPr>
                <m:sty m:val="p"/>
              </m:rPr>
              <w:rPr>
                <w:rFonts w:ascii="Cambria Math"/>
              </w:rPr>
              <m:t>activit</m:t>
            </m:r>
            <m:r>
              <m:rPr>
                <m:sty m:val="p"/>
              </m:rPr>
              <w:rPr>
                <w:rFonts w:ascii="Cambria Math"/>
              </w:rPr>
              <m:t>é</m:t>
            </m:r>
          </m:den>
        </m:f>
      </m:oMath>
      <w:r w:rsidRPr="000162AE">
        <w:t xml:space="preserve"> </w:t>
      </w:r>
    </w:p>
    <w:p w14:paraId="0D758CFA" w14:textId="77777777" w:rsidR="000162AE" w:rsidRPr="00114BAA" w:rsidRDefault="000162AE" w:rsidP="004822A8">
      <w:pPr>
        <w:pStyle w:val="NormalWeb"/>
        <w:spacing w:beforeAutospacing="0" w:after="40" w:line="240" w:lineRule="auto"/>
        <w:jc w:val="both"/>
      </w:pPr>
    </w:p>
    <w:p w14:paraId="7C810E79" w14:textId="77777777" w:rsidR="004822A8" w:rsidRPr="00114BAA" w:rsidRDefault="004822A8" w:rsidP="004822A8">
      <w:pPr>
        <w:pStyle w:val="NormalWeb"/>
        <w:spacing w:beforeAutospacing="0" w:after="40" w:line="240" w:lineRule="auto"/>
        <w:jc w:val="both"/>
      </w:pPr>
      <w:r>
        <w:t>dans laquelle :</w:t>
      </w:r>
      <w:r w:rsidRPr="00114BAA">
        <w:t xml:space="preserve"> </w:t>
      </w:r>
    </w:p>
    <w:p w14:paraId="7E152CEB" w14:textId="2FBE266D" w:rsidR="004822A8" w:rsidRPr="00114BAA" w:rsidRDefault="004822A8" w:rsidP="004822A8">
      <w:pPr>
        <w:pStyle w:val="NormalWeb"/>
        <w:spacing w:beforeAutospacing="0" w:after="40" w:line="240" w:lineRule="auto"/>
        <w:jc w:val="both"/>
      </w:pPr>
      <w:r>
        <w:t>- C</w:t>
      </w:r>
      <w:r w:rsidRPr="00114BAA">
        <w:t xml:space="preserve">onsommation d’énergie nette </w:t>
      </w:r>
      <w:r w:rsidR="00564E21">
        <w:t>spécifique</w:t>
      </w:r>
      <w:r w:rsidR="00564E21" w:rsidRPr="00114BAA">
        <w:t xml:space="preserve"> </w:t>
      </w:r>
      <w:r>
        <w:t xml:space="preserve">désigne </w:t>
      </w:r>
      <w:r w:rsidRPr="00114BAA">
        <w:t>la quantité totale d’énergie consommée (à l’exclusion de l’énergie recyclée) par l’installation (sous forme de chaleur et d’électricité), exprimée en kWh/an</w:t>
      </w:r>
      <w:r>
        <w:t> ;</w:t>
      </w:r>
    </w:p>
    <w:p w14:paraId="0D69220B" w14:textId="6ED825E4" w:rsidR="004822A8" w:rsidRPr="00114BAA" w:rsidRDefault="004822A8" w:rsidP="004822A8">
      <w:pPr>
        <w:pStyle w:val="NormalWeb"/>
        <w:spacing w:beforeAutospacing="0" w:after="40" w:line="240" w:lineRule="auto"/>
        <w:jc w:val="both"/>
      </w:pPr>
      <w:r>
        <w:t xml:space="preserve">- </w:t>
      </w:r>
      <w:r w:rsidRPr="00114BAA">
        <w:t xml:space="preserve">Niveau d’activité </w:t>
      </w:r>
      <w:r>
        <w:t>désigne</w:t>
      </w:r>
      <w:r w:rsidRPr="00114BAA">
        <w:t xml:space="preserve"> la quantité totale de produits ou de matières premières transformés, exprimée en tonnes de </w:t>
      </w:r>
      <w:r w:rsidRPr="004822A8">
        <w:t>tonnes de matières premières par an</w:t>
      </w:r>
      <w:r>
        <w:t>.</w:t>
      </w:r>
    </w:p>
    <w:p w14:paraId="15D4A7C0" w14:textId="77777777" w:rsidR="004822A8" w:rsidRPr="00114BAA" w:rsidRDefault="004822A8" w:rsidP="004822A8">
      <w:pPr>
        <w:pStyle w:val="NormalWeb"/>
        <w:spacing w:beforeAutospacing="0" w:after="40" w:line="240" w:lineRule="auto"/>
        <w:jc w:val="both"/>
      </w:pPr>
      <w:r w:rsidRPr="00114BAA">
        <w:t xml:space="preserve">Le calcul de la consommation d’énergie </w:t>
      </w:r>
      <w:r w:rsidRPr="00541F3D">
        <w:t>peut inclure</w:t>
      </w:r>
      <w:r w:rsidRPr="00114BAA">
        <w:t xml:space="preserve"> l’énergie consommée par les activités FDM.</w:t>
      </w:r>
    </w:p>
    <w:p w14:paraId="1A342FEB" w14:textId="5B548071" w:rsidR="004822A8" w:rsidRDefault="004822A8" w:rsidP="004822A8">
      <w:pPr>
        <w:pStyle w:val="NormalWeb"/>
        <w:spacing w:beforeAutospacing="0" w:after="40" w:line="240" w:lineRule="auto"/>
        <w:jc w:val="both"/>
      </w:pPr>
    </w:p>
    <w:p w14:paraId="7A57EFAD" w14:textId="435F7C11" w:rsidR="007A26A5" w:rsidRPr="00114BAA" w:rsidRDefault="007A26A5" w:rsidP="007A26A5">
      <w:pPr>
        <w:pStyle w:val="Titre3"/>
      </w:pPr>
      <w:r w:rsidRPr="00114BAA">
        <w:t>Article 1</w:t>
      </w:r>
      <w:r>
        <w:t>0</w:t>
      </w:r>
      <w:r w:rsidRPr="00114BAA">
        <w:t>.</w:t>
      </w:r>
      <w:r>
        <w:t>2</w:t>
      </w:r>
      <w:r w:rsidRPr="00114BAA">
        <w:t xml:space="preserve"> </w:t>
      </w:r>
      <w:r>
        <w:t>N</w:t>
      </w:r>
      <w:r w:rsidRPr="00114BAA">
        <w:t>iveau de performance</w:t>
      </w:r>
      <w:r>
        <w:t xml:space="preserve"> énergétique</w:t>
      </w:r>
    </w:p>
    <w:p w14:paraId="563AD30B" w14:textId="17483679" w:rsidR="009203EB" w:rsidRDefault="004822A8" w:rsidP="008B3A3A">
      <w:pPr>
        <w:pStyle w:val="Default"/>
        <w:spacing w:after="40"/>
        <w:jc w:val="both"/>
        <w:rPr>
          <w:color w:val="auto"/>
        </w:rPr>
      </w:pPr>
      <w:r w:rsidRPr="004822A8">
        <w:rPr>
          <w:color w:val="auto"/>
        </w:rPr>
        <w:t>I</w:t>
      </w:r>
      <w:r w:rsidR="0036618F">
        <w:t>. - </w:t>
      </w:r>
      <w:r w:rsidR="004943FB" w:rsidRPr="004822A8">
        <w:rPr>
          <w:color w:val="auto"/>
        </w:rPr>
        <w:t xml:space="preserve">L’exploitant vise à l’atteinte </w:t>
      </w:r>
      <w:r w:rsidR="007F48C9" w:rsidRPr="004822A8">
        <w:rPr>
          <w:color w:val="auto"/>
        </w:rPr>
        <w:t xml:space="preserve">la consommation </w:t>
      </w:r>
      <w:r w:rsidR="001D4A59" w:rsidRPr="004822A8">
        <w:rPr>
          <w:color w:val="auto"/>
        </w:rPr>
        <w:t xml:space="preserve">d’énergie nette spécifique </w:t>
      </w:r>
      <w:r w:rsidR="009203EB">
        <w:rPr>
          <w:color w:val="auto"/>
        </w:rPr>
        <w:t xml:space="preserve">suivante </w:t>
      </w:r>
      <w:r w:rsidR="00B51F56">
        <w:rPr>
          <w:color w:val="auto"/>
        </w:rPr>
        <w:t>de</w:t>
      </w:r>
      <w:r w:rsidR="009203EB">
        <w:rPr>
          <w:color w:val="auto"/>
        </w:rPr>
        <w:t xml:space="preserve"> : </w:t>
      </w:r>
    </w:p>
    <w:p w14:paraId="448E60D8" w14:textId="6AA7792F" w:rsidR="009203EB" w:rsidRDefault="009203EB" w:rsidP="008B3A3A">
      <w:pPr>
        <w:pStyle w:val="Default"/>
        <w:spacing w:after="40"/>
        <w:jc w:val="both"/>
        <w:rPr>
          <w:color w:val="auto"/>
        </w:rPr>
      </w:pPr>
      <w:r>
        <w:rPr>
          <w:color w:val="auto"/>
        </w:rPr>
        <w:t>- </w:t>
      </w:r>
      <w:r w:rsidR="00B51F56">
        <w:rPr>
          <w:color w:val="auto"/>
        </w:rPr>
        <w:t>910</w:t>
      </w:r>
      <w:r w:rsidR="00964930">
        <w:rPr>
          <w:color w:val="auto"/>
        </w:rPr>
        <w:t> </w:t>
      </w:r>
      <w:r w:rsidR="00B51F56" w:rsidRPr="00B51F56">
        <w:rPr>
          <w:color w:val="auto"/>
        </w:rPr>
        <w:t>kWh/tonne de matières premières</w:t>
      </w:r>
      <w:r w:rsidR="00B65449">
        <w:rPr>
          <w:color w:val="auto"/>
        </w:rPr>
        <w:t xml:space="preserve"> </w:t>
      </w:r>
      <w:r w:rsidR="00B65449" w:rsidRPr="00B65449">
        <w:rPr>
          <w:color w:val="auto"/>
        </w:rPr>
        <w:t>pour les activités de transformation de sous-produits animaux, fonte des graisses, traitement du sang et/ou des plumes</w:t>
      </w:r>
      <w:r>
        <w:rPr>
          <w:color w:val="auto"/>
        </w:rPr>
        <w:t xml:space="preserve"> ; </w:t>
      </w:r>
    </w:p>
    <w:p w14:paraId="031B2296" w14:textId="539BFF75" w:rsidR="007F48C9" w:rsidRDefault="009203EB" w:rsidP="008B3A3A">
      <w:pPr>
        <w:pStyle w:val="Default"/>
        <w:spacing w:after="40"/>
        <w:jc w:val="both"/>
        <w:rPr>
          <w:color w:val="auto"/>
        </w:rPr>
      </w:pPr>
      <w:r>
        <w:rPr>
          <w:color w:val="auto"/>
        </w:rPr>
        <w:t xml:space="preserve">-  </w:t>
      </w:r>
      <w:r w:rsidR="00B65449">
        <w:rPr>
          <w:color w:val="auto"/>
        </w:rPr>
        <w:t>710</w:t>
      </w:r>
      <w:r>
        <w:rPr>
          <w:color w:val="auto"/>
        </w:rPr>
        <w:t> </w:t>
      </w:r>
      <w:r w:rsidR="00B65449" w:rsidRPr="00B51F56">
        <w:rPr>
          <w:color w:val="auto"/>
        </w:rPr>
        <w:t>kWh/tonne de matières premières</w:t>
      </w:r>
      <w:r w:rsidR="00B65449">
        <w:rPr>
          <w:color w:val="auto"/>
        </w:rPr>
        <w:t xml:space="preserve"> </w:t>
      </w:r>
      <w:r w:rsidR="00B65449" w:rsidRPr="00B65449">
        <w:rPr>
          <w:color w:val="auto"/>
        </w:rPr>
        <w:t>pour les activités de production de farine et d’huile de poisson.</w:t>
      </w:r>
    </w:p>
    <w:p w14:paraId="3D263B29" w14:textId="3EE62A51" w:rsidR="002E5C08" w:rsidRPr="00915DEF" w:rsidRDefault="007A26A5" w:rsidP="002E5C08">
      <w:pPr>
        <w:jc w:val="both"/>
        <w:rPr>
          <w:szCs w:val="24"/>
          <w:lang w:eastAsia="fr-FR"/>
        </w:rPr>
      </w:pPr>
      <w:r>
        <w:rPr>
          <w:szCs w:val="24"/>
          <w:lang w:eastAsia="fr-FR"/>
        </w:rPr>
        <w:t>II</w:t>
      </w:r>
      <w:r w:rsidR="0036618F">
        <w:t>. - </w:t>
      </w:r>
      <w:r w:rsidR="002E5C08" w:rsidRPr="00915DEF">
        <w:rPr>
          <w:szCs w:val="24"/>
          <w:lang w:eastAsia="fr-FR"/>
        </w:rPr>
        <w:t xml:space="preserve">Le </w:t>
      </w:r>
      <w:bookmarkStart w:id="108" w:name="_Hlk167193757"/>
      <w:r w:rsidR="002E5C08" w:rsidRPr="00915DEF">
        <w:rPr>
          <w:szCs w:val="24"/>
          <w:lang w:eastAsia="fr-FR"/>
        </w:rPr>
        <w:t>préfet peut fixer une valeur différente</w:t>
      </w:r>
      <w:bookmarkEnd w:id="108"/>
      <w:r w:rsidR="000D5C85">
        <w:rPr>
          <w:szCs w:val="24"/>
          <w:lang w:eastAsia="fr-FR"/>
        </w:rPr>
        <w:t xml:space="preserve"> </w:t>
      </w:r>
      <w:r w:rsidR="002E5C08" w:rsidRPr="00915DEF">
        <w:rPr>
          <w:szCs w:val="24"/>
          <w:lang w:eastAsia="fr-FR"/>
        </w:rPr>
        <w:t>par arrêté préfectoral, sous réserve du respect</w:t>
      </w:r>
      <w:r w:rsidR="00040A88" w:rsidRPr="00114BAA">
        <w:rPr>
          <w:kern w:val="0"/>
          <w:szCs w:val="24"/>
          <w:lang w:eastAsia="fr-FR"/>
        </w:rPr>
        <w:t xml:space="preserve"> de</w:t>
      </w:r>
      <w:r w:rsidR="00822997" w:rsidRPr="00114BAA">
        <w:rPr>
          <w:kern w:val="0"/>
          <w:szCs w:val="24"/>
          <w:lang w:eastAsia="fr-FR"/>
        </w:rPr>
        <w:t>s dispositions du II</w:t>
      </w:r>
      <w:r w:rsidR="002E5C08" w:rsidRPr="00915DEF">
        <w:rPr>
          <w:szCs w:val="24"/>
          <w:lang w:eastAsia="fr-FR"/>
        </w:rPr>
        <w:t xml:space="preserve"> de </w:t>
      </w:r>
      <w:hyperlink r:id="rId9" w:anchor="Article_R_515_62" w:tooltip="Livre V : Prévention des pollutions, des risques et des nuisances - Titre I : Installations Classées pour la Protection de l’Environnement (partie réglementaire)" w:history="1">
        <w:r w:rsidR="002E5C08" w:rsidRPr="00915DEF">
          <w:rPr>
            <w:szCs w:val="24"/>
            <w:lang w:eastAsia="fr-FR"/>
          </w:rPr>
          <w:t>l’article R. 515-62</w:t>
        </w:r>
      </w:hyperlink>
      <w:r w:rsidR="00964930">
        <w:rPr>
          <w:szCs w:val="24"/>
          <w:lang w:eastAsia="fr-FR"/>
        </w:rPr>
        <w:t xml:space="preserve"> du code de l’environnement</w:t>
      </w:r>
      <w:r w:rsidR="002E5C08" w:rsidRPr="00915DEF">
        <w:rPr>
          <w:szCs w:val="24"/>
          <w:lang w:eastAsia="fr-FR"/>
        </w:rPr>
        <w:t>, au vu d’une justification fournie par l’exploitant comprenant notamment une étude technicoéconomique.</w:t>
      </w:r>
    </w:p>
    <w:p w14:paraId="7EB85D06" w14:textId="0FCC6A8C" w:rsidR="002E5C08" w:rsidRPr="00915DEF" w:rsidRDefault="002E5C08" w:rsidP="002E5C08">
      <w:pPr>
        <w:jc w:val="both"/>
        <w:rPr>
          <w:szCs w:val="24"/>
          <w:lang w:eastAsia="fr-FR"/>
        </w:rPr>
      </w:pPr>
      <w:r w:rsidRPr="00915DEF">
        <w:rPr>
          <w:szCs w:val="24"/>
          <w:lang w:eastAsia="fr-FR"/>
        </w:rPr>
        <w:t>L’exploitant tient à la disposition de l’inspection des installations classées la liste détaillée des procédés mis en œuvre, ainsi que les éléments et justificatifs permettant de connaitre les niveaux de performance atteints.</w:t>
      </w:r>
    </w:p>
    <w:p w14:paraId="729A745D" w14:textId="77777777" w:rsidR="004F2626" w:rsidRPr="00915DEF" w:rsidRDefault="004F2626" w:rsidP="009273F7">
      <w:pPr>
        <w:rPr>
          <w:szCs w:val="24"/>
        </w:rPr>
      </w:pPr>
    </w:p>
    <w:p w14:paraId="7E09A231" w14:textId="0AECCC19" w:rsidR="007F48C9" w:rsidRPr="00915DEF" w:rsidRDefault="007F48C9" w:rsidP="009A1DAC">
      <w:pPr>
        <w:pStyle w:val="Titre1"/>
      </w:pPr>
      <w:bookmarkStart w:id="109" w:name="_Toc164951621"/>
      <w:bookmarkStart w:id="110" w:name="_Toc164951748"/>
      <w:r w:rsidRPr="00915DEF">
        <w:t>Chapitre X</w:t>
      </w:r>
      <w:r w:rsidR="008E2C6E">
        <w:t>I</w:t>
      </w:r>
      <w:r w:rsidR="0036618F">
        <w:t>. - </w:t>
      </w:r>
      <w:r w:rsidRPr="00915DEF">
        <w:t>Surveillance</w:t>
      </w:r>
      <w:bookmarkEnd w:id="109"/>
      <w:bookmarkEnd w:id="110"/>
    </w:p>
    <w:p w14:paraId="327FDEC1" w14:textId="41277D54" w:rsidR="003F7516" w:rsidRPr="00915DEF" w:rsidRDefault="008B3A3A" w:rsidP="009A1DAC">
      <w:pPr>
        <w:pStyle w:val="Titre3"/>
      </w:pPr>
      <w:bookmarkStart w:id="111" w:name="_Toc164951750"/>
      <w:r w:rsidRPr="00915DEF">
        <w:t xml:space="preserve">Article </w:t>
      </w:r>
      <w:r w:rsidR="00634842" w:rsidRPr="00915DEF">
        <w:t>1</w:t>
      </w:r>
      <w:r w:rsidR="008E2C6E">
        <w:t>1</w:t>
      </w:r>
      <w:r w:rsidR="00634842" w:rsidRPr="00915DEF">
        <w:t>.1</w:t>
      </w:r>
      <w:r w:rsidRPr="00915DEF">
        <w:t xml:space="preserve"> </w:t>
      </w:r>
      <w:r w:rsidR="003F7516" w:rsidRPr="00915DEF">
        <w:t>Généralité</w:t>
      </w:r>
      <w:r w:rsidR="00634842" w:rsidRPr="00915DEF">
        <w:t>s</w:t>
      </w:r>
      <w:bookmarkEnd w:id="111"/>
    </w:p>
    <w:p w14:paraId="51BFA4EE" w14:textId="7C330C82" w:rsidR="00C37736" w:rsidRPr="00B50013" w:rsidRDefault="000525EE" w:rsidP="008B3A3A">
      <w:pPr>
        <w:pStyle w:val="Default"/>
        <w:spacing w:after="40"/>
        <w:jc w:val="both"/>
        <w:rPr>
          <w:color w:val="auto"/>
        </w:rPr>
      </w:pPr>
      <w:r w:rsidRPr="00B50013">
        <w:rPr>
          <w:color w:val="auto"/>
        </w:rPr>
        <w:t>I</w:t>
      </w:r>
      <w:r w:rsidR="0036618F">
        <w:t>. - </w:t>
      </w:r>
      <w:r w:rsidR="000D1688">
        <w:t>P</w:t>
      </w:r>
      <w:r w:rsidR="009203EB">
        <w:rPr>
          <w:color w:val="auto"/>
        </w:rPr>
        <w:t>our la</w:t>
      </w:r>
      <w:r w:rsidR="003F7516" w:rsidRPr="00B50013">
        <w:rPr>
          <w:color w:val="auto"/>
        </w:rPr>
        <w:t xml:space="preserve"> surveillance des émissions, </w:t>
      </w:r>
      <w:r w:rsidR="009203EB">
        <w:rPr>
          <w:color w:val="auto"/>
        </w:rPr>
        <w:t xml:space="preserve">l’exploitant respecte </w:t>
      </w:r>
      <w:r w:rsidR="003F7516" w:rsidRPr="00B50013">
        <w:rPr>
          <w:color w:val="auto"/>
        </w:rPr>
        <w:t xml:space="preserve">les dispositions de l'article 58 de l'arrêté du 2 février 1998 </w:t>
      </w:r>
      <w:r w:rsidR="0033327B" w:rsidRPr="007347AF">
        <w:rPr>
          <w:color w:val="auto"/>
        </w:rPr>
        <w:t>susvisé</w:t>
      </w:r>
      <w:r w:rsidR="000D1688">
        <w:rPr>
          <w:color w:val="auto"/>
        </w:rPr>
        <w:t xml:space="preserve"> </w:t>
      </w:r>
      <w:r w:rsidR="000D1688">
        <w:t>sous réserve des dispositions du présent arrêté</w:t>
      </w:r>
      <w:r w:rsidR="00B50013" w:rsidRPr="007347AF">
        <w:rPr>
          <w:color w:val="auto"/>
        </w:rPr>
        <w:t>.</w:t>
      </w:r>
    </w:p>
    <w:p w14:paraId="39D731B4" w14:textId="4D73C8E4" w:rsidR="005854FA" w:rsidRPr="000D5C85" w:rsidRDefault="005854FA" w:rsidP="005854FA">
      <w:pPr>
        <w:pStyle w:val="Default"/>
        <w:spacing w:after="40"/>
        <w:jc w:val="both"/>
        <w:rPr>
          <w:color w:val="auto"/>
        </w:rPr>
      </w:pPr>
    </w:p>
    <w:p w14:paraId="75711BEA" w14:textId="7D182DEE" w:rsidR="005854FA" w:rsidRPr="000D5C85" w:rsidRDefault="00634842" w:rsidP="005854FA">
      <w:pPr>
        <w:pStyle w:val="Default"/>
        <w:spacing w:after="40"/>
        <w:jc w:val="both"/>
        <w:rPr>
          <w:color w:val="auto"/>
        </w:rPr>
      </w:pPr>
      <w:r w:rsidRPr="000D5C85">
        <w:rPr>
          <w:color w:val="auto"/>
        </w:rPr>
        <w:t>II</w:t>
      </w:r>
      <w:r w:rsidR="0036618F">
        <w:t>. - </w:t>
      </w:r>
      <w:r w:rsidR="005854FA" w:rsidRPr="000D5C85">
        <w:rPr>
          <w:color w:val="auto"/>
        </w:rPr>
        <w:t xml:space="preserve">L’exploitant surveille, au moins une fois </w:t>
      </w:r>
      <w:r w:rsidR="005854FA" w:rsidRPr="00BB1597">
        <w:rPr>
          <w:color w:val="auto"/>
        </w:rPr>
        <w:t>par an</w:t>
      </w:r>
      <w:r w:rsidR="000D5C85" w:rsidRPr="000D5C85">
        <w:rPr>
          <w:color w:val="auto"/>
        </w:rPr>
        <w:t> </w:t>
      </w:r>
      <w:r w:rsidR="005854FA" w:rsidRPr="000D5C85">
        <w:rPr>
          <w:color w:val="auto"/>
        </w:rPr>
        <w:t>:</w:t>
      </w:r>
    </w:p>
    <w:p w14:paraId="0F48D533" w14:textId="6DEEC1CB" w:rsidR="005854FA" w:rsidRPr="000D5C85" w:rsidRDefault="00E85556" w:rsidP="005854FA">
      <w:pPr>
        <w:pStyle w:val="Default"/>
        <w:spacing w:after="40"/>
        <w:jc w:val="both"/>
        <w:rPr>
          <w:color w:val="auto"/>
        </w:rPr>
      </w:pPr>
      <w:r w:rsidRPr="000D5C85">
        <w:rPr>
          <w:color w:val="auto"/>
        </w:rPr>
        <w:t>-</w:t>
      </w:r>
      <w:r w:rsidR="009203EB">
        <w:rPr>
          <w:color w:val="auto"/>
        </w:rPr>
        <w:t> </w:t>
      </w:r>
      <w:r w:rsidR="005854FA" w:rsidRPr="000D5C85">
        <w:rPr>
          <w:color w:val="auto"/>
        </w:rPr>
        <w:t>la consommation annuelle d’eau et d’énergie</w:t>
      </w:r>
      <w:r w:rsidR="000D5C85" w:rsidRPr="000D5C85">
        <w:rPr>
          <w:color w:val="auto"/>
        </w:rPr>
        <w:t> </w:t>
      </w:r>
      <w:r w:rsidR="005854FA" w:rsidRPr="000D5C85">
        <w:rPr>
          <w:color w:val="auto"/>
        </w:rPr>
        <w:t>;</w:t>
      </w:r>
    </w:p>
    <w:p w14:paraId="7B3208DE" w14:textId="23A6F521" w:rsidR="000D5C85" w:rsidRPr="000D5C85" w:rsidRDefault="00E85556" w:rsidP="005854FA">
      <w:pPr>
        <w:pStyle w:val="Default"/>
        <w:spacing w:after="40"/>
        <w:jc w:val="both"/>
        <w:rPr>
          <w:color w:val="auto"/>
        </w:rPr>
      </w:pPr>
      <w:r w:rsidRPr="000D5C85">
        <w:rPr>
          <w:color w:val="auto"/>
        </w:rPr>
        <w:t>-</w:t>
      </w:r>
      <w:r w:rsidR="000D5C85" w:rsidRPr="000D5C85">
        <w:rPr>
          <w:color w:val="auto"/>
        </w:rPr>
        <w:t xml:space="preserve"> l</w:t>
      </w:r>
      <w:r w:rsidR="005854FA" w:rsidRPr="000D5C85">
        <w:rPr>
          <w:color w:val="auto"/>
        </w:rPr>
        <w:t>e volume annuel d’effluents aqueux produits</w:t>
      </w:r>
      <w:r w:rsidR="000D5C85" w:rsidRPr="000D5C85">
        <w:rPr>
          <w:color w:val="auto"/>
        </w:rPr>
        <w:t>.</w:t>
      </w:r>
    </w:p>
    <w:p w14:paraId="7215561C" w14:textId="7CCFE2FC" w:rsidR="005854FA" w:rsidRPr="000D5C85" w:rsidRDefault="000D40B0" w:rsidP="005854FA">
      <w:pPr>
        <w:pStyle w:val="Default"/>
        <w:spacing w:after="40"/>
        <w:jc w:val="both"/>
        <w:rPr>
          <w:color w:val="auto"/>
        </w:rPr>
      </w:pPr>
      <w:r w:rsidRPr="00114BAA">
        <w:t>La surveillance s’effectue de préférence par des mesures directes.</w:t>
      </w:r>
      <w:r w:rsidR="005854FA" w:rsidRPr="000D5C85">
        <w:rPr>
          <w:color w:val="auto"/>
        </w:rPr>
        <w:t xml:space="preserve"> Il est également possible de recourir à des calculs ou à des relevés, par exemple au moyen d’appareils de mesure appropriés ou sur la base de factures. La surveillance s’effectue au niveau de l’installation (et peut s’effectuer au niveau du procédé le plus approprié) et tient compte de tout changement notable intervenu dans les procédés.</w:t>
      </w:r>
    </w:p>
    <w:p w14:paraId="772DD0D9" w14:textId="77777777" w:rsidR="005854FA" w:rsidRPr="000D5C85" w:rsidRDefault="005854FA" w:rsidP="008B3A3A">
      <w:pPr>
        <w:pStyle w:val="Default"/>
        <w:spacing w:after="40"/>
        <w:jc w:val="both"/>
        <w:rPr>
          <w:color w:val="auto"/>
        </w:rPr>
      </w:pPr>
    </w:p>
    <w:p w14:paraId="32F3EB27" w14:textId="0854E44D" w:rsidR="008B3A3A" w:rsidRPr="00915DEF" w:rsidRDefault="008B3A3A" w:rsidP="009A1DAC">
      <w:pPr>
        <w:pStyle w:val="Titre3"/>
      </w:pPr>
      <w:bookmarkStart w:id="112" w:name="_Toc164951751"/>
      <w:r w:rsidRPr="00915DEF">
        <w:t xml:space="preserve">Article </w:t>
      </w:r>
      <w:r w:rsidR="000D5C85">
        <w:t>1</w:t>
      </w:r>
      <w:r w:rsidR="008E2C6E">
        <w:t>1</w:t>
      </w:r>
      <w:r w:rsidRPr="00915DEF">
        <w:t>.2</w:t>
      </w:r>
      <w:r w:rsidRPr="00EA7F0F">
        <w:t xml:space="preserve"> </w:t>
      </w:r>
      <w:r w:rsidR="003D1B34">
        <w:t>S</w:t>
      </w:r>
      <w:r w:rsidRPr="00915DEF">
        <w:t>urveillance des émissions dans l’air</w:t>
      </w:r>
      <w:bookmarkEnd w:id="112"/>
    </w:p>
    <w:p w14:paraId="0DD97CC5" w14:textId="3B3AC0C8" w:rsidR="00C37736" w:rsidRPr="009941DB" w:rsidRDefault="0057790D" w:rsidP="00C37736">
      <w:pPr>
        <w:jc w:val="both"/>
        <w:rPr>
          <w:szCs w:val="24"/>
        </w:rPr>
      </w:pPr>
      <w:r>
        <w:rPr>
          <w:szCs w:val="24"/>
        </w:rPr>
        <w:t>I</w:t>
      </w:r>
      <w:r w:rsidR="0036618F">
        <w:t>. - </w:t>
      </w:r>
      <w:r w:rsidR="00E85556" w:rsidRPr="009941DB">
        <w:rPr>
          <w:szCs w:val="24"/>
        </w:rPr>
        <w:t>L’exploitant</w:t>
      </w:r>
      <w:r w:rsidR="008B3A3A" w:rsidRPr="009941DB">
        <w:rPr>
          <w:szCs w:val="24"/>
        </w:rPr>
        <w:t xml:space="preserve"> surveille les émissions canalisées </w:t>
      </w:r>
      <w:r w:rsidR="00C37736" w:rsidRPr="009941DB">
        <w:rPr>
          <w:szCs w:val="24"/>
        </w:rPr>
        <w:t>en utilisant des méthodes d’analyse lui permettant de réaliser des mesures fiables, répétables et reproductibles</w:t>
      </w:r>
      <w:r w:rsidR="008B3A3A" w:rsidRPr="009941DB">
        <w:rPr>
          <w:szCs w:val="24"/>
        </w:rPr>
        <w:t xml:space="preserve">. </w:t>
      </w:r>
      <w:r w:rsidR="00C37736" w:rsidRPr="009941DB">
        <w:rPr>
          <w:szCs w:val="24"/>
        </w:rPr>
        <w:t>Les normes mentionnées sont réputées permettre l’obtention de données d’une qualité scientifique suffisante.</w:t>
      </w:r>
    </w:p>
    <w:p w14:paraId="706D5E6A" w14:textId="38CDE217" w:rsidR="00C37736" w:rsidRPr="009941DB" w:rsidRDefault="00C37736" w:rsidP="00C37736">
      <w:pPr>
        <w:jc w:val="both"/>
        <w:rPr>
          <w:szCs w:val="24"/>
        </w:rPr>
      </w:pPr>
      <w:r w:rsidRPr="009941DB">
        <w:rPr>
          <w:szCs w:val="24"/>
        </w:rPr>
        <w:t xml:space="preserve">En l’absence de norme précisée dans le tableau, les méthodes précisées dans l’avis </w:t>
      </w:r>
      <w:r w:rsidR="00DA3944" w:rsidRPr="009941DB">
        <w:rPr>
          <w:szCs w:val="24"/>
        </w:rPr>
        <w:t xml:space="preserve">en vigueur </w:t>
      </w:r>
      <w:r w:rsidRPr="009941DB">
        <w:rPr>
          <w:szCs w:val="24"/>
        </w:rPr>
        <w:t xml:space="preserve">sur les méthodes normalisées de référence pour les mesures dans l’air, l’eau et les sols dans les installations classées pour la protection de l’environnement publié au </w:t>
      </w:r>
      <w:r w:rsidRPr="003B24D7">
        <w:rPr>
          <w:i/>
          <w:iCs/>
          <w:szCs w:val="24"/>
        </w:rPr>
        <w:t>Journal officiel</w:t>
      </w:r>
      <w:r w:rsidRPr="009941DB">
        <w:rPr>
          <w:szCs w:val="24"/>
        </w:rPr>
        <w:t xml:space="preserve"> sont réputées satisfaire aux exigences de l’alinéa précédent.</w:t>
      </w:r>
    </w:p>
    <w:p w14:paraId="6400587C" w14:textId="7C4F6CBB" w:rsidR="00E85556" w:rsidRPr="009941DB" w:rsidRDefault="00E85556" w:rsidP="008B3A3A">
      <w:pPr>
        <w:pStyle w:val="Default"/>
        <w:spacing w:after="40"/>
        <w:jc w:val="both"/>
        <w:rPr>
          <w:color w:val="aut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4950"/>
        <w:gridCol w:w="1843"/>
      </w:tblGrid>
      <w:tr w:rsidR="00C51C0F" w:rsidRPr="00915DEF" w14:paraId="52DECD26" w14:textId="77777777" w:rsidTr="00B41DE9">
        <w:tc>
          <w:tcPr>
            <w:tcW w:w="2416" w:type="dxa"/>
          </w:tcPr>
          <w:p w14:paraId="1BEAFD2B" w14:textId="26937085" w:rsidR="00C51C0F" w:rsidRPr="009941DB" w:rsidRDefault="00C51C0F" w:rsidP="009941DB">
            <w:pPr>
              <w:pStyle w:val="Default"/>
              <w:spacing w:after="40"/>
              <w:jc w:val="center"/>
              <w:rPr>
                <w:b/>
                <w:bCs/>
                <w:color w:val="auto"/>
              </w:rPr>
            </w:pPr>
            <w:r w:rsidRPr="009941DB">
              <w:rPr>
                <w:b/>
                <w:bCs/>
                <w:color w:val="auto"/>
              </w:rPr>
              <w:t>Substance/Paramètre</w:t>
            </w:r>
          </w:p>
        </w:tc>
        <w:tc>
          <w:tcPr>
            <w:tcW w:w="4950" w:type="dxa"/>
          </w:tcPr>
          <w:p w14:paraId="20FF2819" w14:textId="0051EB22" w:rsidR="00C51C0F" w:rsidRPr="009941DB" w:rsidRDefault="00C51C0F" w:rsidP="009941DB">
            <w:pPr>
              <w:pStyle w:val="Default"/>
              <w:spacing w:after="40"/>
              <w:jc w:val="center"/>
              <w:rPr>
                <w:b/>
                <w:bCs/>
                <w:color w:val="auto"/>
              </w:rPr>
            </w:pPr>
            <w:r w:rsidRPr="009941DB">
              <w:rPr>
                <w:b/>
                <w:bCs/>
                <w:color w:val="auto"/>
              </w:rPr>
              <w:t>Activités/Procédés</w:t>
            </w:r>
          </w:p>
        </w:tc>
        <w:tc>
          <w:tcPr>
            <w:tcW w:w="1843" w:type="dxa"/>
          </w:tcPr>
          <w:p w14:paraId="77B219E0" w14:textId="27B8314F" w:rsidR="00C51C0F" w:rsidRPr="009941DB" w:rsidRDefault="00C51C0F" w:rsidP="009941DB">
            <w:pPr>
              <w:pStyle w:val="Default"/>
              <w:spacing w:after="40"/>
              <w:jc w:val="center"/>
              <w:rPr>
                <w:b/>
                <w:bCs/>
                <w:color w:val="auto"/>
              </w:rPr>
            </w:pPr>
            <w:r w:rsidRPr="009941DB">
              <w:rPr>
                <w:b/>
                <w:bCs/>
                <w:color w:val="auto"/>
              </w:rPr>
              <w:t>Norm</w:t>
            </w:r>
            <w:r w:rsidR="00E27AE6">
              <w:rPr>
                <w:b/>
                <w:bCs/>
                <w:color w:val="auto"/>
              </w:rPr>
              <w:t>e</w:t>
            </w:r>
          </w:p>
        </w:tc>
      </w:tr>
      <w:tr w:rsidR="00C51C0F" w:rsidRPr="00915DEF" w14:paraId="56342AAD" w14:textId="77777777" w:rsidTr="00B41DE9">
        <w:tc>
          <w:tcPr>
            <w:tcW w:w="2416" w:type="dxa"/>
          </w:tcPr>
          <w:p w14:paraId="48710EAF" w14:textId="334DD40C" w:rsidR="00C51C0F" w:rsidRPr="00A604FE" w:rsidRDefault="00C51C0F" w:rsidP="008B3A3A">
            <w:pPr>
              <w:pStyle w:val="Default"/>
              <w:spacing w:after="40"/>
              <w:jc w:val="both"/>
              <w:rPr>
                <w:color w:val="auto"/>
              </w:rPr>
            </w:pPr>
            <w:r w:rsidRPr="00A604FE">
              <w:rPr>
                <w:color w:val="auto"/>
              </w:rPr>
              <w:t>CO</w:t>
            </w:r>
          </w:p>
        </w:tc>
        <w:tc>
          <w:tcPr>
            <w:tcW w:w="4950" w:type="dxa"/>
          </w:tcPr>
          <w:p w14:paraId="41FE8F35" w14:textId="604860B0" w:rsidR="00C51C0F" w:rsidRPr="00A604FE" w:rsidRDefault="00C51C0F" w:rsidP="00E85556">
            <w:pPr>
              <w:pStyle w:val="Default"/>
              <w:spacing w:after="40"/>
              <w:jc w:val="both"/>
              <w:rPr>
                <w:color w:val="auto"/>
              </w:rPr>
            </w:pPr>
            <w:r w:rsidRPr="00A604FE">
              <w:rPr>
                <w:color w:val="auto"/>
              </w:rPr>
              <w:t xml:space="preserve">Combustion (dans un </w:t>
            </w:r>
            <w:proofErr w:type="spellStart"/>
            <w:r w:rsidRPr="00A604FE">
              <w:rPr>
                <w:color w:val="auto"/>
              </w:rPr>
              <w:t>oxydateur</w:t>
            </w:r>
            <w:proofErr w:type="spellEnd"/>
            <w:r w:rsidRPr="00A604FE">
              <w:rPr>
                <w:color w:val="auto"/>
              </w:rPr>
              <w:t xml:space="preserve"> thermique ou une chaudière à vapeur, par exemple) de gaz malodorants, y compris de gaz non condensables</w:t>
            </w:r>
          </w:p>
          <w:p w14:paraId="344D39C0" w14:textId="53B23A98" w:rsidR="00C51C0F" w:rsidRPr="00A604FE" w:rsidRDefault="00C51C0F" w:rsidP="00E85556">
            <w:pPr>
              <w:pStyle w:val="Default"/>
              <w:spacing w:after="40"/>
              <w:jc w:val="both"/>
              <w:rPr>
                <w:color w:val="auto"/>
              </w:rPr>
            </w:pPr>
            <w:r w:rsidRPr="00A604FE">
              <w:rPr>
                <w:color w:val="auto"/>
              </w:rPr>
              <w:t>Incinération des carcasses</w:t>
            </w:r>
          </w:p>
        </w:tc>
        <w:tc>
          <w:tcPr>
            <w:tcW w:w="1843" w:type="dxa"/>
          </w:tcPr>
          <w:p w14:paraId="11AD3CFD" w14:textId="54A4E13B" w:rsidR="00C51C0F" w:rsidRPr="00A604FE" w:rsidRDefault="00C37736" w:rsidP="008B3A3A">
            <w:pPr>
              <w:pStyle w:val="Default"/>
              <w:spacing w:after="40"/>
              <w:jc w:val="both"/>
              <w:rPr>
                <w:color w:val="auto"/>
              </w:rPr>
            </w:pPr>
            <w:r w:rsidRPr="00A604FE">
              <w:rPr>
                <w:color w:val="auto"/>
              </w:rPr>
              <w:t>NF</w:t>
            </w:r>
            <w:r w:rsidR="0069489F">
              <w:rPr>
                <w:color w:val="auto"/>
              </w:rPr>
              <w:t> </w:t>
            </w:r>
            <w:r w:rsidR="00C51C0F" w:rsidRPr="00A604FE">
              <w:rPr>
                <w:color w:val="auto"/>
              </w:rPr>
              <w:t>EN</w:t>
            </w:r>
            <w:r w:rsidR="0069489F">
              <w:rPr>
                <w:color w:val="auto"/>
              </w:rPr>
              <w:t> </w:t>
            </w:r>
            <w:r w:rsidR="00C51C0F" w:rsidRPr="00A604FE">
              <w:rPr>
                <w:color w:val="auto"/>
              </w:rPr>
              <w:t>15058</w:t>
            </w:r>
          </w:p>
        </w:tc>
      </w:tr>
      <w:tr w:rsidR="00C51C0F" w:rsidRPr="00915DEF" w14:paraId="4D42B0A7" w14:textId="77777777" w:rsidTr="00B41DE9">
        <w:tc>
          <w:tcPr>
            <w:tcW w:w="2416" w:type="dxa"/>
          </w:tcPr>
          <w:p w14:paraId="2A561DBE" w14:textId="44D2874D" w:rsidR="00C51C0F" w:rsidRPr="00A604FE" w:rsidRDefault="00C51C0F" w:rsidP="008B3A3A">
            <w:pPr>
              <w:pStyle w:val="Default"/>
              <w:spacing w:after="40"/>
              <w:jc w:val="both"/>
              <w:rPr>
                <w:color w:val="auto"/>
              </w:rPr>
            </w:pPr>
            <w:r w:rsidRPr="00A604FE">
              <w:rPr>
                <w:color w:val="auto"/>
              </w:rPr>
              <w:t>Poussières</w:t>
            </w:r>
          </w:p>
        </w:tc>
        <w:tc>
          <w:tcPr>
            <w:tcW w:w="4950" w:type="dxa"/>
          </w:tcPr>
          <w:p w14:paraId="3E692822" w14:textId="54616D5F" w:rsidR="00C51C0F" w:rsidRPr="00A604FE" w:rsidRDefault="00C51C0F" w:rsidP="00E85556">
            <w:pPr>
              <w:pStyle w:val="Default"/>
              <w:spacing w:after="40"/>
              <w:jc w:val="both"/>
              <w:rPr>
                <w:color w:val="auto"/>
              </w:rPr>
            </w:pPr>
            <w:r w:rsidRPr="00A604FE">
              <w:rPr>
                <w:color w:val="auto"/>
              </w:rPr>
              <w:t xml:space="preserve">Combustion (dans un </w:t>
            </w:r>
            <w:proofErr w:type="spellStart"/>
            <w:r w:rsidRPr="00A604FE">
              <w:rPr>
                <w:color w:val="auto"/>
              </w:rPr>
              <w:t>oxydateur</w:t>
            </w:r>
            <w:proofErr w:type="spellEnd"/>
            <w:r w:rsidRPr="00A604FE">
              <w:rPr>
                <w:color w:val="auto"/>
              </w:rPr>
              <w:t xml:space="preserve"> thermique ou une chaudière à vapeur, par exemple) de gaz malodorants, y compris de gaz non condensables</w:t>
            </w:r>
          </w:p>
          <w:p w14:paraId="44BFD545" w14:textId="38ADC6A7" w:rsidR="00C51C0F" w:rsidRPr="00A604FE" w:rsidRDefault="00C51C0F" w:rsidP="00E85556">
            <w:pPr>
              <w:pStyle w:val="Default"/>
              <w:spacing w:after="40"/>
              <w:jc w:val="both"/>
              <w:rPr>
                <w:color w:val="auto"/>
              </w:rPr>
            </w:pPr>
            <w:r w:rsidRPr="00A604FE">
              <w:rPr>
                <w:color w:val="auto"/>
              </w:rPr>
              <w:t>Incinération des carcasses</w:t>
            </w:r>
          </w:p>
        </w:tc>
        <w:tc>
          <w:tcPr>
            <w:tcW w:w="1843" w:type="dxa"/>
          </w:tcPr>
          <w:p w14:paraId="0E658A57" w14:textId="1E595089" w:rsidR="00C51C0F" w:rsidRPr="00A604FE" w:rsidRDefault="00C37736" w:rsidP="008B3A3A">
            <w:pPr>
              <w:pStyle w:val="Default"/>
              <w:spacing w:after="40"/>
              <w:jc w:val="both"/>
              <w:rPr>
                <w:color w:val="auto"/>
              </w:rPr>
            </w:pPr>
            <w:r w:rsidRPr="00A604FE">
              <w:rPr>
                <w:color w:val="auto"/>
              </w:rPr>
              <w:t>NF</w:t>
            </w:r>
            <w:r w:rsidR="0069489F">
              <w:rPr>
                <w:color w:val="auto"/>
              </w:rPr>
              <w:t> </w:t>
            </w:r>
            <w:r w:rsidR="00C51C0F" w:rsidRPr="00A604FE">
              <w:rPr>
                <w:color w:val="auto"/>
              </w:rPr>
              <w:t>EN</w:t>
            </w:r>
            <w:r w:rsidR="0069489F">
              <w:rPr>
                <w:color w:val="auto"/>
              </w:rPr>
              <w:t> </w:t>
            </w:r>
            <w:r w:rsidR="00C51C0F" w:rsidRPr="00A604FE">
              <w:rPr>
                <w:color w:val="auto"/>
              </w:rPr>
              <w:t>13284-1</w:t>
            </w:r>
          </w:p>
        </w:tc>
      </w:tr>
      <w:tr w:rsidR="00C51C0F" w:rsidRPr="00915DEF" w14:paraId="2C7AED39" w14:textId="77777777" w:rsidTr="00B41DE9">
        <w:tc>
          <w:tcPr>
            <w:tcW w:w="2416" w:type="dxa"/>
          </w:tcPr>
          <w:p w14:paraId="127FCCD7" w14:textId="5A4DBB52" w:rsidR="00C51C0F" w:rsidRPr="00A604FE" w:rsidRDefault="00C51C0F" w:rsidP="00E85556">
            <w:pPr>
              <w:pStyle w:val="Default"/>
              <w:spacing w:after="40"/>
              <w:jc w:val="both"/>
              <w:rPr>
                <w:color w:val="auto"/>
              </w:rPr>
            </w:pPr>
            <w:r w:rsidRPr="00A604FE">
              <w:rPr>
                <w:color w:val="auto"/>
              </w:rPr>
              <w:t>NO</w:t>
            </w:r>
            <w:r w:rsidRPr="00E56137">
              <w:rPr>
                <w:color w:val="auto"/>
                <w:vertAlign w:val="subscript"/>
              </w:rPr>
              <w:t>x</w:t>
            </w:r>
          </w:p>
        </w:tc>
        <w:tc>
          <w:tcPr>
            <w:tcW w:w="4950" w:type="dxa"/>
          </w:tcPr>
          <w:p w14:paraId="009D5B12" w14:textId="6373676B" w:rsidR="00C51C0F" w:rsidRPr="00A604FE" w:rsidRDefault="00C51C0F" w:rsidP="00667A0B">
            <w:pPr>
              <w:pStyle w:val="Default"/>
              <w:spacing w:after="40"/>
              <w:jc w:val="both"/>
              <w:rPr>
                <w:color w:val="auto"/>
              </w:rPr>
            </w:pPr>
            <w:r w:rsidRPr="00A604FE">
              <w:rPr>
                <w:color w:val="auto"/>
              </w:rPr>
              <w:t xml:space="preserve">Combustion (dans un </w:t>
            </w:r>
            <w:proofErr w:type="spellStart"/>
            <w:r w:rsidRPr="00A604FE">
              <w:rPr>
                <w:color w:val="auto"/>
              </w:rPr>
              <w:t>oxydateur</w:t>
            </w:r>
            <w:proofErr w:type="spellEnd"/>
            <w:r w:rsidRPr="00A604FE">
              <w:rPr>
                <w:color w:val="auto"/>
              </w:rPr>
              <w:t xml:space="preserve"> thermique ou une chaudière à vapeur, par exemple) de gaz malodorants, y compris de gaz non condensables</w:t>
            </w:r>
          </w:p>
          <w:p w14:paraId="4BE21A3D" w14:textId="5D5350EE" w:rsidR="00C51C0F" w:rsidRPr="00A604FE" w:rsidRDefault="00C51C0F" w:rsidP="00667A0B">
            <w:pPr>
              <w:pStyle w:val="Default"/>
              <w:spacing w:after="40"/>
              <w:jc w:val="both"/>
              <w:rPr>
                <w:color w:val="auto"/>
              </w:rPr>
            </w:pPr>
            <w:r w:rsidRPr="00A604FE">
              <w:rPr>
                <w:color w:val="auto"/>
              </w:rPr>
              <w:t>Incinération des carcasses</w:t>
            </w:r>
          </w:p>
        </w:tc>
        <w:tc>
          <w:tcPr>
            <w:tcW w:w="1843" w:type="dxa"/>
          </w:tcPr>
          <w:p w14:paraId="3C157099" w14:textId="2B39B813" w:rsidR="00C51C0F" w:rsidRPr="00A604FE" w:rsidRDefault="00C37736" w:rsidP="00E85556">
            <w:pPr>
              <w:pStyle w:val="Default"/>
              <w:spacing w:after="40"/>
              <w:jc w:val="both"/>
              <w:rPr>
                <w:color w:val="auto"/>
              </w:rPr>
            </w:pPr>
            <w:r w:rsidRPr="00A604FE">
              <w:rPr>
                <w:color w:val="auto"/>
              </w:rPr>
              <w:t>NF</w:t>
            </w:r>
            <w:r w:rsidR="0069489F">
              <w:rPr>
                <w:color w:val="auto"/>
              </w:rPr>
              <w:t> </w:t>
            </w:r>
            <w:r w:rsidR="00C51C0F" w:rsidRPr="00A604FE">
              <w:rPr>
                <w:color w:val="auto"/>
              </w:rPr>
              <w:t>EN</w:t>
            </w:r>
            <w:r w:rsidR="0069489F">
              <w:rPr>
                <w:color w:val="auto"/>
              </w:rPr>
              <w:t> </w:t>
            </w:r>
            <w:r w:rsidR="00C51C0F" w:rsidRPr="00A604FE">
              <w:rPr>
                <w:color w:val="auto"/>
              </w:rPr>
              <w:t>14792</w:t>
            </w:r>
          </w:p>
        </w:tc>
      </w:tr>
      <w:tr w:rsidR="00C51C0F" w:rsidRPr="00915DEF" w14:paraId="6C6844C8" w14:textId="77777777" w:rsidTr="00B41DE9">
        <w:tc>
          <w:tcPr>
            <w:tcW w:w="2416" w:type="dxa"/>
          </w:tcPr>
          <w:p w14:paraId="02EB79A7" w14:textId="697EB0EB" w:rsidR="00C51C0F" w:rsidRPr="00A604FE" w:rsidRDefault="00C51C0F" w:rsidP="00E85556">
            <w:pPr>
              <w:pStyle w:val="Default"/>
              <w:spacing w:after="40"/>
              <w:jc w:val="both"/>
              <w:rPr>
                <w:color w:val="auto"/>
              </w:rPr>
            </w:pPr>
            <w:proofErr w:type="spellStart"/>
            <w:r w:rsidRPr="00A604FE">
              <w:rPr>
                <w:color w:val="auto"/>
              </w:rPr>
              <w:t>S</w:t>
            </w:r>
            <w:r w:rsidR="00E56137" w:rsidRPr="00A604FE">
              <w:rPr>
                <w:color w:val="auto"/>
              </w:rPr>
              <w:t>O</w:t>
            </w:r>
            <w:r w:rsidR="00E56137" w:rsidRPr="00E56137">
              <w:rPr>
                <w:color w:val="auto"/>
                <w:vertAlign w:val="subscript"/>
              </w:rPr>
              <w:t>x</w:t>
            </w:r>
            <w:proofErr w:type="spellEnd"/>
          </w:p>
        </w:tc>
        <w:tc>
          <w:tcPr>
            <w:tcW w:w="4950" w:type="dxa"/>
          </w:tcPr>
          <w:p w14:paraId="5BC924A0" w14:textId="605768DF" w:rsidR="00C51C0F" w:rsidRPr="00A604FE" w:rsidRDefault="00C51C0F" w:rsidP="00E85556">
            <w:pPr>
              <w:pStyle w:val="Default"/>
              <w:spacing w:after="40"/>
              <w:jc w:val="both"/>
              <w:rPr>
                <w:color w:val="auto"/>
              </w:rPr>
            </w:pPr>
            <w:r w:rsidRPr="00A604FE">
              <w:rPr>
                <w:color w:val="auto"/>
              </w:rPr>
              <w:t xml:space="preserve">Combustion (dans un </w:t>
            </w:r>
            <w:proofErr w:type="spellStart"/>
            <w:r w:rsidRPr="00A604FE">
              <w:rPr>
                <w:color w:val="auto"/>
              </w:rPr>
              <w:t>oxydateur</w:t>
            </w:r>
            <w:proofErr w:type="spellEnd"/>
            <w:r w:rsidRPr="00A604FE">
              <w:rPr>
                <w:color w:val="auto"/>
              </w:rPr>
              <w:t xml:space="preserve"> thermique ou une chaudière à vapeur, par exemple) de gaz malodorants, y compris de gaz non condensables</w:t>
            </w:r>
          </w:p>
          <w:p w14:paraId="1EA6BC42" w14:textId="145F2727" w:rsidR="00C51C0F" w:rsidRPr="00A604FE" w:rsidRDefault="00C51C0F" w:rsidP="00E85556">
            <w:pPr>
              <w:pStyle w:val="Default"/>
              <w:spacing w:after="40"/>
              <w:jc w:val="both"/>
              <w:rPr>
                <w:color w:val="auto"/>
              </w:rPr>
            </w:pPr>
            <w:r w:rsidRPr="00A604FE">
              <w:rPr>
                <w:color w:val="auto"/>
              </w:rPr>
              <w:t>Incinération des carcasses</w:t>
            </w:r>
          </w:p>
        </w:tc>
        <w:tc>
          <w:tcPr>
            <w:tcW w:w="1843" w:type="dxa"/>
          </w:tcPr>
          <w:p w14:paraId="7D90F97B" w14:textId="216DCB7A" w:rsidR="00C51C0F" w:rsidRPr="00A604FE" w:rsidRDefault="00C51C0F" w:rsidP="00E85556">
            <w:pPr>
              <w:pStyle w:val="Default"/>
              <w:spacing w:after="40"/>
              <w:jc w:val="both"/>
              <w:rPr>
                <w:color w:val="auto"/>
              </w:rPr>
            </w:pPr>
            <w:r w:rsidRPr="00A604FE">
              <w:rPr>
                <w:color w:val="auto"/>
              </w:rPr>
              <w:t>EN</w:t>
            </w:r>
            <w:r w:rsidR="0069489F">
              <w:rPr>
                <w:color w:val="auto"/>
              </w:rPr>
              <w:t> </w:t>
            </w:r>
            <w:r w:rsidRPr="00A604FE">
              <w:rPr>
                <w:color w:val="auto"/>
              </w:rPr>
              <w:t>14791</w:t>
            </w:r>
          </w:p>
        </w:tc>
      </w:tr>
      <w:tr w:rsidR="00C51C0F" w:rsidRPr="00915DEF" w14:paraId="70B78083" w14:textId="77777777" w:rsidTr="00B41DE9">
        <w:tc>
          <w:tcPr>
            <w:tcW w:w="2416" w:type="dxa"/>
          </w:tcPr>
          <w:p w14:paraId="77239B06" w14:textId="65F53C12" w:rsidR="00C51C0F" w:rsidRPr="00A604FE" w:rsidRDefault="00C51C0F" w:rsidP="00E85556">
            <w:pPr>
              <w:pStyle w:val="Default"/>
              <w:spacing w:after="40"/>
              <w:jc w:val="both"/>
              <w:rPr>
                <w:color w:val="auto"/>
              </w:rPr>
            </w:pPr>
            <w:r w:rsidRPr="00A604FE">
              <w:rPr>
                <w:color w:val="auto"/>
              </w:rPr>
              <w:t>H</w:t>
            </w:r>
            <w:r w:rsidRPr="00E56137">
              <w:rPr>
                <w:color w:val="auto"/>
                <w:vertAlign w:val="subscript"/>
              </w:rPr>
              <w:t>2</w:t>
            </w:r>
            <w:r w:rsidRPr="00A604FE">
              <w:rPr>
                <w:color w:val="auto"/>
              </w:rPr>
              <w:t>S</w:t>
            </w:r>
          </w:p>
        </w:tc>
        <w:tc>
          <w:tcPr>
            <w:tcW w:w="4950" w:type="dxa"/>
          </w:tcPr>
          <w:p w14:paraId="2BFF2473" w14:textId="0C23C5AA" w:rsidR="00C51C0F" w:rsidRPr="00A604FE" w:rsidRDefault="00C51C0F" w:rsidP="00E85556">
            <w:pPr>
              <w:pStyle w:val="Default"/>
              <w:spacing w:after="40"/>
              <w:jc w:val="both"/>
              <w:rPr>
                <w:color w:val="auto"/>
              </w:rPr>
            </w:pPr>
            <w:r w:rsidRPr="00A604FE">
              <w:rPr>
                <w:color w:val="auto"/>
              </w:rPr>
              <w:t xml:space="preserve">Transformation de sous-produits animaux, fonte des graisses, transformation du sang et/ou des plumes </w:t>
            </w:r>
            <w:r w:rsidRPr="00A90056">
              <w:rPr>
                <w:color w:val="auto"/>
                <w:vertAlign w:val="superscript"/>
              </w:rPr>
              <w:t>(</w:t>
            </w:r>
            <w:r w:rsidR="00C217C8">
              <w:rPr>
                <w:color w:val="auto"/>
                <w:vertAlign w:val="superscript"/>
              </w:rPr>
              <w:t>1</w:t>
            </w:r>
            <w:r w:rsidRPr="00A90056">
              <w:rPr>
                <w:color w:val="auto"/>
                <w:vertAlign w:val="superscript"/>
              </w:rPr>
              <w:t>)</w:t>
            </w:r>
          </w:p>
        </w:tc>
        <w:tc>
          <w:tcPr>
            <w:tcW w:w="1843" w:type="dxa"/>
          </w:tcPr>
          <w:p w14:paraId="76261F93" w14:textId="6D6839F0" w:rsidR="00C51C0F" w:rsidRPr="00A604FE" w:rsidRDefault="00C51C0F" w:rsidP="00E85556">
            <w:pPr>
              <w:pStyle w:val="Default"/>
              <w:spacing w:after="40"/>
              <w:jc w:val="both"/>
              <w:rPr>
                <w:color w:val="auto"/>
              </w:rPr>
            </w:pPr>
            <w:r w:rsidRPr="00A604FE">
              <w:rPr>
                <w:color w:val="auto"/>
              </w:rPr>
              <w:t>Pas de norme EN disponible</w:t>
            </w:r>
          </w:p>
        </w:tc>
      </w:tr>
      <w:tr w:rsidR="00C51C0F" w:rsidRPr="00915DEF" w14:paraId="33D8EB1B" w14:textId="77777777" w:rsidTr="00B41DE9">
        <w:tc>
          <w:tcPr>
            <w:tcW w:w="2416" w:type="dxa"/>
          </w:tcPr>
          <w:p w14:paraId="34F44FC2" w14:textId="2AAAB029" w:rsidR="00C51C0F" w:rsidRPr="00A604FE" w:rsidRDefault="00C51C0F" w:rsidP="00E85556">
            <w:pPr>
              <w:pStyle w:val="Default"/>
              <w:spacing w:after="40"/>
              <w:jc w:val="both"/>
              <w:rPr>
                <w:color w:val="auto"/>
              </w:rPr>
            </w:pPr>
            <w:r w:rsidRPr="00A604FE">
              <w:rPr>
                <w:color w:val="auto"/>
              </w:rPr>
              <w:t>NH</w:t>
            </w:r>
            <w:r w:rsidRPr="00E56137">
              <w:rPr>
                <w:color w:val="auto"/>
                <w:vertAlign w:val="subscript"/>
              </w:rPr>
              <w:t>3</w:t>
            </w:r>
          </w:p>
        </w:tc>
        <w:tc>
          <w:tcPr>
            <w:tcW w:w="4950" w:type="dxa"/>
          </w:tcPr>
          <w:p w14:paraId="14462832" w14:textId="5362C307" w:rsidR="00C51C0F" w:rsidRPr="00A604FE" w:rsidRDefault="00C51C0F" w:rsidP="00667A0B">
            <w:pPr>
              <w:pStyle w:val="Default"/>
              <w:spacing w:after="40"/>
              <w:jc w:val="both"/>
              <w:rPr>
                <w:color w:val="auto"/>
              </w:rPr>
            </w:pPr>
            <w:r w:rsidRPr="00A604FE">
              <w:rPr>
                <w:color w:val="auto"/>
              </w:rPr>
              <w:t>Transformation de sous-produits animaux, fonte des graisses, transformation du sang et/ou des plumes</w:t>
            </w:r>
          </w:p>
          <w:p w14:paraId="6C6F42E0" w14:textId="0EE0CD32" w:rsidR="00C51C0F" w:rsidRPr="00A604FE" w:rsidRDefault="00C51C0F" w:rsidP="00E85556">
            <w:pPr>
              <w:pStyle w:val="Default"/>
              <w:spacing w:after="40"/>
              <w:jc w:val="both"/>
              <w:rPr>
                <w:color w:val="auto"/>
              </w:rPr>
            </w:pPr>
            <w:r w:rsidRPr="00A604FE">
              <w:rPr>
                <w:color w:val="auto"/>
              </w:rPr>
              <w:t xml:space="preserve">Combustion (dans un </w:t>
            </w:r>
            <w:proofErr w:type="spellStart"/>
            <w:r w:rsidRPr="00A604FE">
              <w:rPr>
                <w:color w:val="auto"/>
              </w:rPr>
              <w:t>oxydateur</w:t>
            </w:r>
            <w:proofErr w:type="spellEnd"/>
            <w:r w:rsidRPr="00A604FE">
              <w:rPr>
                <w:color w:val="auto"/>
              </w:rPr>
              <w:t xml:space="preserve"> thermique ou une chaudière à vapeur, par exemple) de gaz malodorants, y compris de gaz non condensables</w:t>
            </w:r>
          </w:p>
          <w:p w14:paraId="1BA4A84F" w14:textId="612CAEFC" w:rsidR="00C51C0F" w:rsidRPr="00A604FE" w:rsidRDefault="00C51C0F" w:rsidP="00E85556">
            <w:pPr>
              <w:pStyle w:val="Default"/>
              <w:spacing w:after="40"/>
              <w:jc w:val="both"/>
              <w:rPr>
                <w:color w:val="auto"/>
              </w:rPr>
            </w:pPr>
            <w:r w:rsidRPr="00A604FE">
              <w:rPr>
                <w:color w:val="auto"/>
              </w:rPr>
              <w:t>Incinération des carcasses</w:t>
            </w:r>
          </w:p>
        </w:tc>
        <w:tc>
          <w:tcPr>
            <w:tcW w:w="1843" w:type="dxa"/>
          </w:tcPr>
          <w:p w14:paraId="16D9A895" w14:textId="1C31994D" w:rsidR="00C51C0F" w:rsidRPr="00A604FE" w:rsidRDefault="00C37736" w:rsidP="00E85556">
            <w:pPr>
              <w:pStyle w:val="Default"/>
              <w:spacing w:after="40"/>
              <w:jc w:val="both"/>
              <w:rPr>
                <w:color w:val="auto"/>
              </w:rPr>
            </w:pPr>
            <w:r w:rsidRPr="00A604FE">
              <w:rPr>
                <w:color w:val="auto"/>
              </w:rPr>
              <w:t>NF</w:t>
            </w:r>
            <w:r w:rsidR="009203EB">
              <w:rPr>
                <w:color w:val="auto"/>
              </w:rPr>
              <w:t> </w:t>
            </w:r>
            <w:r w:rsidR="00C51C0F" w:rsidRPr="00A604FE">
              <w:rPr>
                <w:color w:val="auto"/>
              </w:rPr>
              <w:t>EN</w:t>
            </w:r>
            <w:r w:rsidR="009203EB">
              <w:rPr>
                <w:color w:val="auto"/>
              </w:rPr>
              <w:t> </w:t>
            </w:r>
            <w:r w:rsidR="00C51C0F" w:rsidRPr="00A604FE">
              <w:rPr>
                <w:color w:val="auto"/>
              </w:rPr>
              <w:t>ISO 21877</w:t>
            </w:r>
          </w:p>
        </w:tc>
      </w:tr>
      <w:tr w:rsidR="00C51C0F" w:rsidRPr="00915DEF" w14:paraId="17721A45" w14:textId="77777777" w:rsidTr="00B41DE9">
        <w:tc>
          <w:tcPr>
            <w:tcW w:w="2416" w:type="dxa"/>
          </w:tcPr>
          <w:p w14:paraId="19217113" w14:textId="373B6154" w:rsidR="00C51C0F" w:rsidRPr="00A604FE" w:rsidRDefault="00C51C0F" w:rsidP="00E85556">
            <w:pPr>
              <w:pStyle w:val="Default"/>
              <w:spacing w:after="40"/>
              <w:jc w:val="both"/>
              <w:rPr>
                <w:color w:val="auto"/>
              </w:rPr>
            </w:pPr>
            <w:r w:rsidRPr="00A604FE">
              <w:rPr>
                <w:color w:val="auto"/>
              </w:rPr>
              <w:t>COVT</w:t>
            </w:r>
          </w:p>
        </w:tc>
        <w:tc>
          <w:tcPr>
            <w:tcW w:w="4950" w:type="dxa"/>
          </w:tcPr>
          <w:p w14:paraId="436B0C8D" w14:textId="35D2DC91" w:rsidR="00C51C0F" w:rsidRPr="00A604FE" w:rsidRDefault="00C51C0F" w:rsidP="00667A0B">
            <w:pPr>
              <w:pStyle w:val="Default"/>
              <w:spacing w:after="40"/>
              <w:jc w:val="both"/>
              <w:rPr>
                <w:color w:val="auto"/>
              </w:rPr>
            </w:pPr>
            <w:r w:rsidRPr="00A604FE">
              <w:rPr>
                <w:color w:val="auto"/>
              </w:rPr>
              <w:t>Transformation de sous-produits animaux, fonte des graisses, transformation du sang et/ou des plumes</w:t>
            </w:r>
          </w:p>
          <w:p w14:paraId="7CCD63A5" w14:textId="756465FD" w:rsidR="00C51C0F" w:rsidRPr="00A604FE" w:rsidRDefault="00C51C0F" w:rsidP="00667A0B">
            <w:pPr>
              <w:pStyle w:val="Default"/>
              <w:spacing w:after="40"/>
              <w:jc w:val="both"/>
              <w:rPr>
                <w:color w:val="auto"/>
              </w:rPr>
            </w:pPr>
            <w:r w:rsidRPr="00A604FE">
              <w:rPr>
                <w:color w:val="auto"/>
              </w:rPr>
              <w:t xml:space="preserve">Combustion (dans un </w:t>
            </w:r>
            <w:proofErr w:type="spellStart"/>
            <w:r w:rsidRPr="00A604FE">
              <w:rPr>
                <w:color w:val="auto"/>
              </w:rPr>
              <w:t>oxydateur</w:t>
            </w:r>
            <w:proofErr w:type="spellEnd"/>
            <w:r w:rsidRPr="00A604FE">
              <w:rPr>
                <w:color w:val="auto"/>
              </w:rPr>
              <w:t xml:space="preserve"> thermique ou une chaudière à vapeur, par exemple) de gaz malodorants, y compris de gaz non condensables</w:t>
            </w:r>
          </w:p>
          <w:p w14:paraId="32FBB554" w14:textId="27A98768" w:rsidR="00C51C0F" w:rsidRPr="00A604FE" w:rsidRDefault="00C51C0F" w:rsidP="00667A0B">
            <w:pPr>
              <w:pStyle w:val="Default"/>
              <w:spacing w:after="40"/>
              <w:jc w:val="both"/>
              <w:rPr>
                <w:color w:val="auto"/>
              </w:rPr>
            </w:pPr>
            <w:r w:rsidRPr="00A604FE">
              <w:rPr>
                <w:color w:val="auto"/>
              </w:rPr>
              <w:t>Incinération des carcasses</w:t>
            </w:r>
          </w:p>
        </w:tc>
        <w:tc>
          <w:tcPr>
            <w:tcW w:w="1843" w:type="dxa"/>
          </w:tcPr>
          <w:p w14:paraId="7D681FAB" w14:textId="32CFF666" w:rsidR="00C51C0F" w:rsidRPr="00A604FE" w:rsidRDefault="00C37736" w:rsidP="00E85556">
            <w:pPr>
              <w:pStyle w:val="Default"/>
              <w:spacing w:after="40"/>
              <w:jc w:val="both"/>
              <w:rPr>
                <w:color w:val="auto"/>
              </w:rPr>
            </w:pPr>
            <w:r w:rsidRPr="00A604FE">
              <w:rPr>
                <w:color w:val="auto"/>
              </w:rPr>
              <w:t>NF</w:t>
            </w:r>
            <w:r w:rsidR="009203EB">
              <w:rPr>
                <w:color w:val="auto"/>
              </w:rPr>
              <w:t> </w:t>
            </w:r>
            <w:r w:rsidR="00C51C0F" w:rsidRPr="00A604FE">
              <w:rPr>
                <w:color w:val="auto"/>
              </w:rPr>
              <w:t>EN</w:t>
            </w:r>
            <w:r w:rsidR="009203EB">
              <w:rPr>
                <w:color w:val="auto"/>
              </w:rPr>
              <w:t> </w:t>
            </w:r>
            <w:r w:rsidR="00C51C0F" w:rsidRPr="00A604FE">
              <w:rPr>
                <w:color w:val="auto"/>
              </w:rPr>
              <w:t>12619</w:t>
            </w:r>
          </w:p>
        </w:tc>
      </w:tr>
      <w:tr w:rsidR="00A604FE" w:rsidRPr="00915DEF" w14:paraId="3E075F56" w14:textId="77777777" w:rsidTr="00B41DE9">
        <w:tc>
          <w:tcPr>
            <w:tcW w:w="2416" w:type="dxa"/>
          </w:tcPr>
          <w:p w14:paraId="2AB5212D" w14:textId="11F23E1E" w:rsidR="00A604FE" w:rsidRPr="00A604FE" w:rsidRDefault="00A604FE" w:rsidP="00E85556">
            <w:pPr>
              <w:pStyle w:val="Default"/>
              <w:spacing w:after="40"/>
              <w:jc w:val="both"/>
              <w:rPr>
                <w:color w:val="auto"/>
              </w:rPr>
            </w:pPr>
            <w:r w:rsidRPr="00A604FE">
              <w:rPr>
                <w:color w:val="auto"/>
              </w:rPr>
              <w:t>Concentration d’odeur</w:t>
            </w:r>
            <w:r w:rsidR="0069489F">
              <w:rPr>
                <w:color w:val="auto"/>
              </w:rPr>
              <w:t> </w:t>
            </w:r>
            <w:r w:rsidR="0069489F" w:rsidRPr="00A90056">
              <w:rPr>
                <w:color w:val="auto"/>
                <w:vertAlign w:val="superscript"/>
              </w:rPr>
              <w:t>(</w:t>
            </w:r>
            <w:r w:rsidR="0069489F">
              <w:rPr>
                <w:color w:val="auto"/>
                <w:vertAlign w:val="superscript"/>
              </w:rPr>
              <w:t>2</w:t>
            </w:r>
            <w:r w:rsidR="0069489F" w:rsidRPr="00A90056">
              <w:rPr>
                <w:color w:val="auto"/>
                <w:vertAlign w:val="superscript"/>
              </w:rPr>
              <w:t>)</w:t>
            </w:r>
          </w:p>
        </w:tc>
        <w:tc>
          <w:tcPr>
            <w:tcW w:w="4950" w:type="dxa"/>
          </w:tcPr>
          <w:p w14:paraId="63DA842C" w14:textId="081D3303" w:rsidR="00A604FE" w:rsidRPr="00A604FE" w:rsidRDefault="00A604FE" w:rsidP="00667A0B">
            <w:pPr>
              <w:pStyle w:val="Default"/>
              <w:spacing w:after="40"/>
              <w:jc w:val="both"/>
              <w:rPr>
                <w:color w:val="auto"/>
              </w:rPr>
            </w:pPr>
            <w:r w:rsidRPr="00A604FE">
              <w:rPr>
                <w:color w:val="auto"/>
              </w:rPr>
              <w:t>Production de farine et d’huile de poisson</w:t>
            </w:r>
          </w:p>
          <w:p w14:paraId="5215654F" w14:textId="360CBE5C" w:rsidR="0069489F" w:rsidRDefault="0069489F" w:rsidP="00667A0B">
            <w:pPr>
              <w:pStyle w:val="Default"/>
              <w:spacing w:after="40"/>
              <w:jc w:val="both"/>
              <w:rPr>
                <w:color w:val="auto"/>
              </w:rPr>
            </w:pPr>
            <w:r>
              <w:rPr>
                <w:color w:val="auto"/>
              </w:rPr>
              <w:t>Incinération de carcasse</w:t>
            </w:r>
          </w:p>
          <w:p w14:paraId="01C67280" w14:textId="0A727A2C" w:rsidR="0069489F" w:rsidRPr="00A604FE" w:rsidRDefault="00A604FE">
            <w:pPr>
              <w:pStyle w:val="Default"/>
              <w:spacing w:after="40"/>
              <w:jc w:val="both"/>
              <w:rPr>
                <w:color w:val="auto"/>
              </w:rPr>
            </w:pPr>
            <w:r w:rsidRPr="00A604FE">
              <w:rPr>
                <w:color w:val="auto"/>
              </w:rPr>
              <w:t>Transformation de sous-produits animaux, fonte des graisses, transformation du sang et/ou de plume</w:t>
            </w:r>
            <w:r w:rsidR="0069489F">
              <w:rPr>
                <w:color w:val="auto"/>
              </w:rPr>
              <w:t>s</w:t>
            </w:r>
          </w:p>
        </w:tc>
        <w:tc>
          <w:tcPr>
            <w:tcW w:w="1843" w:type="dxa"/>
          </w:tcPr>
          <w:p w14:paraId="73004182" w14:textId="64C59A63" w:rsidR="00A604FE" w:rsidRDefault="00A604FE" w:rsidP="00E85556">
            <w:pPr>
              <w:pStyle w:val="Default"/>
              <w:spacing w:after="40"/>
              <w:jc w:val="both"/>
              <w:rPr>
                <w:color w:val="auto"/>
              </w:rPr>
            </w:pPr>
            <w:r w:rsidRPr="00A604FE">
              <w:rPr>
                <w:color w:val="auto"/>
              </w:rPr>
              <w:t>EN</w:t>
            </w:r>
            <w:r w:rsidR="009203EB">
              <w:rPr>
                <w:color w:val="auto"/>
              </w:rPr>
              <w:t> </w:t>
            </w:r>
            <w:r w:rsidRPr="00A604FE">
              <w:rPr>
                <w:color w:val="auto"/>
              </w:rPr>
              <w:t>13725</w:t>
            </w:r>
          </w:p>
          <w:p w14:paraId="35233FFD" w14:textId="3E349DA5" w:rsidR="0057790D" w:rsidRPr="00A604FE" w:rsidRDefault="0057790D" w:rsidP="00E85556">
            <w:pPr>
              <w:pStyle w:val="Default"/>
              <w:spacing w:after="40"/>
              <w:jc w:val="both"/>
              <w:rPr>
                <w:color w:val="auto"/>
              </w:rPr>
            </w:pPr>
          </w:p>
        </w:tc>
      </w:tr>
      <w:tr w:rsidR="00C51C0F" w:rsidRPr="00915DEF" w14:paraId="6C9D39DF" w14:textId="77777777" w:rsidTr="00B41DE9">
        <w:tc>
          <w:tcPr>
            <w:tcW w:w="2416" w:type="dxa"/>
          </w:tcPr>
          <w:p w14:paraId="280E4D87" w14:textId="0F6EF3AF" w:rsidR="00C51C0F" w:rsidRPr="00A604FE" w:rsidRDefault="00C51C0F" w:rsidP="00E85556">
            <w:pPr>
              <w:pStyle w:val="Default"/>
              <w:spacing w:after="40"/>
              <w:jc w:val="both"/>
              <w:rPr>
                <w:color w:val="auto"/>
              </w:rPr>
            </w:pPr>
            <w:proofErr w:type="spellStart"/>
            <w:r w:rsidRPr="00A604FE">
              <w:rPr>
                <w:color w:val="auto"/>
              </w:rPr>
              <w:t>HCl</w:t>
            </w:r>
            <w:proofErr w:type="spellEnd"/>
          </w:p>
        </w:tc>
        <w:tc>
          <w:tcPr>
            <w:tcW w:w="4950" w:type="dxa"/>
          </w:tcPr>
          <w:p w14:paraId="47C0FDA9" w14:textId="0BC0AED8" w:rsidR="00C51C0F" w:rsidRPr="00A604FE" w:rsidRDefault="00C51C0F" w:rsidP="00E85556">
            <w:pPr>
              <w:pStyle w:val="Default"/>
              <w:spacing w:after="40"/>
              <w:jc w:val="both"/>
              <w:rPr>
                <w:color w:val="auto"/>
              </w:rPr>
            </w:pPr>
            <w:r w:rsidRPr="00A604FE">
              <w:rPr>
                <w:color w:val="auto"/>
              </w:rPr>
              <w:t>Incinération des car</w:t>
            </w:r>
            <w:bookmarkStart w:id="113" w:name="_GoBack"/>
            <w:bookmarkEnd w:id="113"/>
            <w:r w:rsidRPr="00A604FE">
              <w:rPr>
                <w:color w:val="auto"/>
              </w:rPr>
              <w:t>casses</w:t>
            </w:r>
          </w:p>
        </w:tc>
        <w:tc>
          <w:tcPr>
            <w:tcW w:w="1843" w:type="dxa"/>
          </w:tcPr>
          <w:p w14:paraId="51D014C6" w14:textId="7A16A697" w:rsidR="00C51C0F" w:rsidRPr="00A604FE" w:rsidRDefault="00110E20" w:rsidP="00E85556">
            <w:pPr>
              <w:pStyle w:val="Default"/>
              <w:spacing w:after="40"/>
              <w:jc w:val="both"/>
              <w:rPr>
                <w:color w:val="auto"/>
              </w:rPr>
            </w:pPr>
            <w:r>
              <w:rPr>
                <w:color w:val="auto"/>
              </w:rPr>
              <w:t>NF</w:t>
            </w:r>
            <w:r w:rsidR="0069489F">
              <w:rPr>
                <w:color w:val="auto"/>
              </w:rPr>
              <w:t> </w:t>
            </w:r>
            <w:r w:rsidR="00C51C0F" w:rsidRPr="00A604FE">
              <w:rPr>
                <w:color w:val="auto"/>
              </w:rPr>
              <w:t>EN</w:t>
            </w:r>
            <w:r w:rsidR="0069489F">
              <w:rPr>
                <w:color w:val="auto"/>
              </w:rPr>
              <w:t> </w:t>
            </w:r>
            <w:r w:rsidR="00C51C0F" w:rsidRPr="00A604FE">
              <w:rPr>
                <w:color w:val="auto"/>
              </w:rPr>
              <w:t xml:space="preserve">1911 </w:t>
            </w:r>
          </w:p>
        </w:tc>
      </w:tr>
      <w:tr w:rsidR="00C51C0F" w:rsidRPr="00915DEF" w14:paraId="248C40AE" w14:textId="77777777" w:rsidTr="00B41DE9">
        <w:tc>
          <w:tcPr>
            <w:tcW w:w="2416" w:type="dxa"/>
          </w:tcPr>
          <w:p w14:paraId="26CDAD91" w14:textId="15F5909A" w:rsidR="00C51C0F" w:rsidRPr="00A604FE" w:rsidRDefault="00C51C0F" w:rsidP="00E85556">
            <w:pPr>
              <w:pStyle w:val="Default"/>
              <w:spacing w:after="40"/>
              <w:jc w:val="both"/>
              <w:rPr>
                <w:color w:val="auto"/>
              </w:rPr>
            </w:pPr>
            <w:r w:rsidRPr="00A604FE">
              <w:rPr>
                <w:color w:val="auto"/>
              </w:rPr>
              <w:t>HF</w:t>
            </w:r>
          </w:p>
        </w:tc>
        <w:tc>
          <w:tcPr>
            <w:tcW w:w="4950" w:type="dxa"/>
          </w:tcPr>
          <w:p w14:paraId="3B885CBB" w14:textId="5201D7FB" w:rsidR="00C51C0F" w:rsidRPr="00A604FE" w:rsidRDefault="00C51C0F" w:rsidP="00E85556">
            <w:pPr>
              <w:pStyle w:val="Default"/>
              <w:spacing w:after="40"/>
              <w:jc w:val="both"/>
              <w:rPr>
                <w:color w:val="auto"/>
              </w:rPr>
            </w:pPr>
            <w:r w:rsidRPr="00A604FE">
              <w:rPr>
                <w:color w:val="auto"/>
              </w:rPr>
              <w:t>Incinération des carcasses</w:t>
            </w:r>
          </w:p>
        </w:tc>
        <w:tc>
          <w:tcPr>
            <w:tcW w:w="1843" w:type="dxa"/>
          </w:tcPr>
          <w:p w14:paraId="719D7D0F" w14:textId="77777777" w:rsidR="00C51C0F" w:rsidRDefault="00C51C0F" w:rsidP="00E85556">
            <w:pPr>
              <w:pStyle w:val="Default"/>
              <w:spacing w:after="40"/>
              <w:jc w:val="both"/>
              <w:rPr>
                <w:color w:val="auto"/>
              </w:rPr>
            </w:pPr>
            <w:r w:rsidRPr="00A604FE">
              <w:rPr>
                <w:color w:val="auto"/>
              </w:rPr>
              <w:t>Pas de norme EN disponible</w:t>
            </w:r>
          </w:p>
          <w:p w14:paraId="795A4F97" w14:textId="2BC78C08" w:rsidR="00110E20" w:rsidRPr="00A604FE" w:rsidRDefault="00110E20" w:rsidP="00E85556">
            <w:pPr>
              <w:pStyle w:val="Default"/>
              <w:spacing w:after="40"/>
              <w:jc w:val="both"/>
              <w:rPr>
                <w:color w:val="auto"/>
              </w:rPr>
            </w:pPr>
            <w:r>
              <w:t>NF</w:t>
            </w:r>
            <w:r w:rsidR="009203EB">
              <w:t> </w:t>
            </w:r>
            <w:r>
              <w:t>CEN/TS 17340</w:t>
            </w:r>
          </w:p>
        </w:tc>
      </w:tr>
      <w:tr w:rsidR="00C51C0F" w:rsidRPr="00915DEF" w14:paraId="0E53C640" w14:textId="77777777" w:rsidTr="00B41DE9">
        <w:tc>
          <w:tcPr>
            <w:tcW w:w="2416" w:type="dxa"/>
          </w:tcPr>
          <w:p w14:paraId="648DCD01" w14:textId="410C0D2A" w:rsidR="00C51C0F" w:rsidRPr="00A604FE" w:rsidRDefault="00C51C0F" w:rsidP="00E85556">
            <w:pPr>
              <w:pStyle w:val="Default"/>
              <w:spacing w:after="40"/>
              <w:jc w:val="both"/>
              <w:rPr>
                <w:color w:val="auto"/>
              </w:rPr>
            </w:pPr>
            <w:r w:rsidRPr="00A604FE">
              <w:rPr>
                <w:color w:val="auto"/>
              </w:rPr>
              <w:t>Hg</w:t>
            </w:r>
          </w:p>
        </w:tc>
        <w:tc>
          <w:tcPr>
            <w:tcW w:w="4950" w:type="dxa"/>
          </w:tcPr>
          <w:p w14:paraId="2EFE8C29" w14:textId="2153CC33" w:rsidR="00C51C0F" w:rsidRPr="00A604FE" w:rsidRDefault="00C51C0F" w:rsidP="00E85556">
            <w:pPr>
              <w:pStyle w:val="Default"/>
              <w:spacing w:after="40"/>
              <w:jc w:val="both"/>
              <w:rPr>
                <w:color w:val="auto"/>
              </w:rPr>
            </w:pPr>
            <w:r w:rsidRPr="00A604FE">
              <w:rPr>
                <w:color w:val="auto"/>
              </w:rPr>
              <w:t>Incinération des carcasses</w:t>
            </w:r>
          </w:p>
        </w:tc>
        <w:tc>
          <w:tcPr>
            <w:tcW w:w="1843" w:type="dxa"/>
          </w:tcPr>
          <w:p w14:paraId="7653D0D7" w14:textId="26CD8A55" w:rsidR="00C51C0F" w:rsidRPr="00A604FE" w:rsidRDefault="00C51C0F" w:rsidP="00E85556">
            <w:pPr>
              <w:pStyle w:val="Default"/>
              <w:spacing w:after="40"/>
              <w:jc w:val="both"/>
              <w:rPr>
                <w:color w:val="auto"/>
              </w:rPr>
            </w:pPr>
            <w:r w:rsidRPr="00A604FE">
              <w:rPr>
                <w:color w:val="auto"/>
              </w:rPr>
              <w:t>EN</w:t>
            </w:r>
            <w:r w:rsidR="0069489F">
              <w:rPr>
                <w:color w:val="auto"/>
              </w:rPr>
              <w:t> </w:t>
            </w:r>
            <w:r w:rsidRPr="00A604FE">
              <w:rPr>
                <w:color w:val="auto"/>
              </w:rPr>
              <w:t>13211</w:t>
            </w:r>
          </w:p>
        </w:tc>
      </w:tr>
      <w:tr w:rsidR="00C51C0F" w:rsidRPr="00915DEF" w14:paraId="46A93BC4" w14:textId="77777777" w:rsidTr="00B41DE9">
        <w:tc>
          <w:tcPr>
            <w:tcW w:w="2416" w:type="dxa"/>
          </w:tcPr>
          <w:p w14:paraId="5BB270DF" w14:textId="20B92B19" w:rsidR="00C51C0F" w:rsidRPr="00A604FE" w:rsidRDefault="00C51C0F" w:rsidP="00E85556">
            <w:pPr>
              <w:pStyle w:val="Default"/>
              <w:spacing w:after="40"/>
              <w:jc w:val="both"/>
              <w:rPr>
                <w:color w:val="auto"/>
              </w:rPr>
            </w:pPr>
            <w:r w:rsidRPr="00A604FE">
              <w:rPr>
                <w:color w:val="auto"/>
              </w:rPr>
              <w:t>Métaux et métalloïdes, à exclusion du mercure (As, Cd, Co, Cr, Cu, Mn, Ni, Pb, Sb, Tl, V)</w:t>
            </w:r>
          </w:p>
        </w:tc>
        <w:tc>
          <w:tcPr>
            <w:tcW w:w="4950" w:type="dxa"/>
          </w:tcPr>
          <w:p w14:paraId="67A0EFFA" w14:textId="3640B57F" w:rsidR="00C51C0F" w:rsidRPr="00A604FE" w:rsidRDefault="00C51C0F" w:rsidP="00E85556">
            <w:pPr>
              <w:pStyle w:val="Default"/>
              <w:spacing w:after="40"/>
              <w:jc w:val="both"/>
              <w:rPr>
                <w:color w:val="auto"/>
              </w:rPr>
            </w:pPr>
            <w:r w:rsidRPr="00A604FE">
              <w:rPr>
                <w:color w:val="auto"/>
              </w:rPr>
              <w:t>Incinération des carcasses</w:t>
            </w:r>
          </w:p>
        </w:tc>
        <w:tc>
          <w:tcPr>
            <w:tcW w:w="1843" w:type="dxa"/>
          </w:tcPr>
          <w:p w14:paraId="24234946" w14:textId="6B7FA213" w:rsidR="00C51C0F" w:rsidRPr="00A604FE" w:rsidRDefault="00C51C0F" w:rsidP="00E85556">
            <w:pPr>
              <w:pStyle w:val="Default"/>
              <w:spacing w:after="40"/>
              <w:jc w:val="both"/>
              <w:rPr>
                <w:color w:val="auto"/>
              </w:rPr>
            </w:pPr>
            <w:r w:rsidRPr="00A604FE">
              <w:rPr>
                <w:color w:val="auto"/>
              </w:rPr>
              <w:t>EN</w:t>
            </w:r>
            <w:r w:rsidR="0069489F">
              <w:rPr>
                <w:color w:val="auto"/>
              </w:rPr>
              <w:t> </w:t>
            </w:r>
            <w:r w:rsidRPr="00A604FE">
              <w:rPr>
                <w:color w:val="auto"/>
              </w:rPr>
              <w:t>14385</w:t>
            </w:r>
          </w:p>
        </w:tc>
      </w:tr>
      <w:tr w:rsidR="00C51C0F" w:rsidRPr="00915DEF" w14:paraId="042F4E63" w14:textId="77777777" w:rsidTr="00B41DE9">
        <w:tc>
          <w:tcPr>
            <w:tcW w:w="2416" w:type="dxa"/>
          </w:tcPr>
          <w:p w14:paraId="74D50E7C" w14:textId="6EFCC9EF" w:rsidR="00C51C0F" w:rsidRPr="00A604FE" w:rsidRDefault="00C51C0F" w:rsidP="00E85556">
            <w:pPr>
              <w:pStyle w:val="Default"/>
              <w:spacing w:after="40"/>
              <w:jc w:val="both"/>
              <w:rPr>
                <w:color w:val="auto"/>
              </w:rPr>
            </w:pPr>
            <w:r w:rsidRPr="00A604FE">
              <w:rPr>
                <w:color w:val="auto"/>
              </w:rPr>
              <w:t>PCDD/PCDF</w:t>
            </w:r>
          </w:p>
        </w:tc>
        <w:tc>
          <w:tcPr>
            <w:tcW w:w="4950" w:type="dxa"/>
          </w:tcPr>
          <w:p w14:paraId="2C99918D" w14:textId="1A79A40C" w:rsidR="00C51C0F" w:rsidRPr="00A604FE" w:rsidRDefault="00C51C0F" w:rsidP="00E85556">
            <w:pPr>
              <w:pStyle w:val="Default"/>
              <w:spacing w:after="40"/>
              <w:jc w:val="both"/>
              <w:rPr>
                <w:color w:val="auto"/>
              </w:rPr>
            </w:pPr>
            <w:r w:rsidRPr="00A604FE">
              <w:rPr>
                <w:color w:val="auto"/>
              </w:rPr>
              <w:t>Incinération des carcasses</w:t>
            </w:r>
          </w:p>
        </w:tc>
        <w:tc>
          <w:tcPr>
            <w:tcW w:w="1843" w:type="dxa"/>
          </w:tcPr>
          <w:p w14:paraId="256C6289" w14:textId="0B7EB7CB" w:rsidR="00C51C0F" w:rsidRPr="00A604FE" w:rsidRDefault="00C51C0F" w:rsidP="00E85556">
            <w:pPr>
              <w:pStyle w:val="Default"/>
              <w:spacing w:after="40"/>
              <w:jc w:val="both"/>
              <w:rPr>
                <w:color w:val="auto"/>
              </w:rPr>
            </w:pPr>
            <w:r w:rsidRPr="00A604FE">
              <w:rPr>
                <w:color w:val="auto"/>
              </w:rPr>
              <w:t>EN</w:t>
            </w:r>
            <w:r w:rsidR="0069489F">
              <w:rPr>
                <w:color w:val="auto"/>
              </w:rPr>
              <w:t> </w:t>
            </w:r>
            <w:r w:rsidRPr="00A604FE">
              <w:rPr>
                <w:color w:val="auto"/>
              </w:rPr>
              <w:t>1978-1</w:t>
            </w:r>
          </w:p>
          <w:p w14:paraId="6B910A35" w14:textId="175DAE28" w:rsidR="00C51C0F" w:rsidRPr="00A604FE" w:rsidRDefault="00C51C0F" w:rsidP="00E85556">
            <w:pPr>
              <w:pStyle w:val="Default"/>
              <w:spacing w:after="40"/>
              <w:jc w:val="both"/>
              <w:rPr>
                <w:color w:val="auto"/>
              </w:rPr>
            </w:pPr>
            <w:r w:rsidRPr="00A604FE">
              <w:rPr>
                <w:color w:val="auto"/>
              </w:rPr>
              <w:t>EN</w:t>
            </w:r>
            <w:r w:rsidR="0069489F">
              <w:rPr>
                <w:color w:val="auto"/>
              </w:rPr>
              <w:t> </w:t>
            </w:r>
            <w:r w:rsidRPr="00A604FE">
              <w:rPr>
                <w:color w:val="auto"/>
              </w:rPr>
              <w:t xml:space="preserve">1948-2 </w:t>
            </w:r>
          </w:p>
          <w:p w14:paraId="1A719449" w14:textId="7FEEEBFA" w:rsidR="00C51C0F" w:rsidRPr="00A604FE" w:rsidRDefault="00C51C0F" w:rsidP="00E85556">
            <w:pPr>
              <w:pStyle w:val="Default"/>
              <w:spacing w:after="40"/>
              <w:jc w:val="both"/>
              <w:rPr>
                <w:color w:val="auto"/>
              </w:rPr>
            </w:pPr>
            <w:r w:rsidRPr="00A604FE">
              <w:rPr>
                <w:color w:val="auto"/>
              </w:rPr>
              <w:t>EN</w:t>
            </w:r>
            <w:r w:rsidR="0069489F">
              <w:rPr>
                <w:color w:val="auto"/>
              </w:rPr>
              <w:t> </w:t>
            </w:r>
            <w:r w:rsidRPr="00A604FE">
              <w:rPr>
                <w:color w:val="auto"/>
              </w:rPr>
              <w:t>1948-3</w:t>
            </w:r>
          </w:p>
        </w:tc>
      </w:tr>
    </w:tbl>
    <w:p w14:paraId="0E0B310E" w14:textId="2C23B693" w:rsidR="00E85556" w:rsidRPr="00091DD9" w:rsidRDefault="00E85556" w:rsidP="00C51C0F">
      <w:pPr>
        <w:pStyle w:val="Default"/>
        <w:spacing w:after="40"/>
        <w:jc w:val="both"/>
        <w:rPr>
          <w:color w:val="auto"/>
        </w:rPr>
      </w:pPr>
    </w:p>
    <w:p w14:paraId="731314A6" w14:textId="21C41CBA" w:rsidR="00C51C0F" w:rsidRPr="00D03987" w:rsidRDefault="00C51C0F" w:rsidP="00C51C0F">
      <w:pPr>
        <w:pStyle w:val="Default"/>
        <w:spacing w:after="40"/>
        <w:jc w:val="both"/>
        <w:rPr>
          <w:color w:val="auto"/>
        </w:rPr>
      </w:pPr>
      <w:r w:rsidRPr="00091DD9">
        <w:rPr>
          <w:color w:val="auto"/>
          <w:vertAlign w:val="superscript"/>
        </w:rPr>
        <w:t>(</w:t>
      </w:r>
      <w:r w:rsidR="00C217C8" w:rsidRPr="00091DD9">
        <w:rPr>
          <w:color w:val="auto"/>
          <w:vertAlign w:val="superscript"/>
        </w:rPr>
        <w:t>1</w:t>
      </w:r>
      <w:r w:rsidRPr="00091DD9">
        <w:rPr>
          <w:color w:val="auto"/>
          <w:vertAlign w:val="superscript"/>
        </w:rPr>
        <w:t>)</w:t>
      </w:r>
      <w:r w:rsidRPr="00796C7B">
        <w:rPr>
          <w:color w:val="auto"/>
        </w:rPr>
        <w:t xml:space="preserve"> La surveillance ne s’applique que lorsque la présence de H</w:t>
      </w:r>
      <w:r w:rsidRPr="00796C7B">
        <w:rPr>
          <w:color w:val="auto"/>
          <w:vertAlign w:val="subscript"/>
        </w:rPr>
        <w:t>2</w:t>
      </w:r>
      <w:r w:rsidRPr="00D03987">
        <w:rPr>
          <w:color w:val="auto"/>
        </w:rPr>
        <w:t xml:space="preserve">S est jugée pertinente pour le flux d’effluents gazeux, d’après l’inventaire des flux entrants et sortants mentionné </w:t>
      </w:r>
      <w:r w:rsidR="00A604FE" w:rsidRPr="00D03987">
        <w:rPr>
          <w:color w:val="auto"/>
        </w:rPr>
        <w:t>à l’article 3.5 du présent arrêté</w:t>
      </w:r>
      <w:r w:rsidRPr="00D03987">
        <w:rPr>
          <w:color w:val="auto"/>
        </w:rPr>
        <w:t>.</w:t>
      </w:r>
      <w:r w:rsidR="00480C74" w:rsidRPr="00D03987">
        <w:rPr>
          <w:color w:val="auto"/>
        </w:rPr>
        <w:t xml:space="preserve"> </w:t>
      </w:r>
    </w:p>
    <w:p w14:paraId="71D04D2F" w14:textId="7B8ECE41" w:rsidR="00C51C0F" w:rsidRPr="00B349A6" w:rsidRDefault="00C51C0F" w:rsidP="00C51C0F">
      <w:pPr>
        <w:pStyle w:val="Default"/>
        <w:spacing w:after="40"/>
        <w:jc w:val="both"/>
        <w:rPr>
          <w:color w:val="auto"/>
        </w:rPr>
      </w:pPr>
      <w:r w:rsidRPr="00091DD9">
        <w:rPr>
          <w:color w:val="auto"/>
          <w:vertAlign w:val="superscript"/>
        </w:rPr>
        <w:t>(</w:t>
      </w:r>
      <w:r w:rsidR="00C217C8" w:rsidRPr="00091DD9">
        <w:rPr>
          <w:color w:val="auto"/>
          <w:vertAlign w:val="superscript"/>
        </w:rPr>
        <w:t>2</w:t>
      </w:r>
      <w:r w:rsidRPr="00091DD9">
        <w:rPr>
          <w:color w:val="auto"/>
          <w:vertAlign w:val="superscript"/>
        </w:rPr>
        <w:t>)</w:t>
      </w:r>
      <w:r w:rsidRPr="00796C7B">
        <w:rPr>
          <w:color w:val="auto"/>
        </w:rPr>
        <w:t xml:space="preserve"> Cela comprend la combustion (dans un </w:t>
      </w:r>
      <w:proofErr w:type="spellStart"/>
      <w:r w:rsidRPr="00796C7B">
        <w:rPr>
          <w:color w:val="auto"/>
        </w:rPr>
        <w:t>oxydateur</w:t>
      </w:r>
      <w:proofErr w:type="spellEnd"/>
      <w:r w:rsidRPr="00796C7B">
        <w:rPr>
          <w:color w:val="auto"/>
        </w:rPr>
        <w:t xml:space="preserve"> thermique ou une chaudière à vapeur, par exemple) de gaz malodorants, y compris de gaz non condensables.</w:t>
      </w:r>
    </w:p>
    <w:p w14:paraId="3DE59924" w14:textId="77777777" w:rsidR="00936FD6" w:rsidRPr="00D03987" w:rsidRDefault="00936FD6" w:rsidP="00C51C0F">
      <w:pPr>
        <w:pStyle w:val="Default"/>
        <w:spacing w:after="40"/>
        <w:jc w:val="both"/>
        <w:rPr>
          <w:color w:val="auto"/>
        </w:rPr>
      </w:pPr>
    </w:p>
    <w:p w14:paraId="22686CDB" w14:textId="6D3F9BF7" w:rsidR="00A604FE" w:rsidRPr="00520317" w:rsidRDefault="00C51C0F" w:rsidP="00C51C0F">
      <w:pPr>
        <w:pStyle w:val="Default"/>
        <w:spacing w:after="40"/>
        <w:jc w:val="both"/>
        <w:rPr>
          <w:color w:val="auto"/>
        </w:rPr>
      </w:pPr>
      <w:r w:rsidRPr="00520317">
        <w:rPr>
          <w:color w:val="auto"/>
        </w:rPr>
        <w:t>La fréquence minimale de surveillance de ces substances</w:t>
      </w:r>
      <w:r w:rsidR="00BA01C9">
        <w:rPr>
          <w:color w:val="auto"/>
        </w:rPr>
        <w:t xml:space="preserve"> ou </w:t>
      </w:r>
      <w:r w:rsidRPr="00520317">
        <w:rPr>
          <w:color w:val="auto"/>
        </w:rPr>
        <w:t xml:space="preserve">paramètres est une fois par an. </w:t>
      </w:r>
    </w:p>
    <w:p w14:paraId="2A97D464" w14:textId="114F186B" w:rsidR="007334B4" w:rsidRPr="00A604FE" w:rsidRDefault="00C51C0F" w:rsidP="00C51C0F">
      <w:pPr>
        <w:pStyle w:val="Default"/>
        <w:spacing w:after="40"/>
        <w:jc w:val="both"/>
        <w:rPr>
          <w:color w:val="auto"/>
        </w:rPr>
      </w:pPr>
      <w:r w:rsidRPr="00520317">
        <w:rPr>
          <w:color w:val="auto"/>
        </w:rPr>
        <w:t>Autant que possible, les mesures sont effectuées au niveau d’émission le plus élevé attendu dans les conditions normales de fonctionnement.</w:t>
      </w:r>
    </w:p>
    <w:p w14:paraId="2EA3A18A" w14:textId="19B17299" w:rsidR="007334B4" w:rsidRDefault="007334B4" w:rsidP="00C51C0F">
      <w:pPr>
        <w:pStyle w:val="Default"/>
        <w:spacing w:after="40"/>
        <w:jc w:val="both"/>
        <w:rPr>
          <w:color w:val="auto"/>
        </w:rPr>
      </w:pPr>
    </w:p>
    <w:p w14:paraId="414A05BD" w14:textId="3C4F375C" w:rsidR="00110E20" w:rsidRDefault="00A415E5" w:rsidP="001C13BA">
      <w:pPr>
        <w:pStyle w:val="Default"/>
        <w:spacing w:after="40"/>
        <w:jc w:val="both"/>
        <w:rPr>
          <w:color w:val="auto"/>
        </w:rPr>
      </w:pPr>
      <w:r>
        <w:rPr>
          <w:color w:val="auto"/>
        </w:rPr>
        <w:t>II</w:t>
      </w:r>
      <w:r w:rsidR="0036618F">
        <w:t>. - </w:t>
      </w:r>
      <w:r>
        <w:rPr>
          <w:color w:val="auto"/>
        </w:rPr>
        <w:t>Sans préjudice aux dispositions prévues au I</w:t>
      </w:r>
      <w:r w:rsidR="00AD456A">
        <w:rPr>
          <w:color w:val="auto"/>
        </w:rPr>
        <w:t xml:space="preserve">, </w:t>
      </w:r>
      <w:r w:rsidR="001C13BA">
        <w:rPr>
          <w:color w:val="auto"/>
        </w:rPr>
        <w:t>l’exploitant respecte les dispositions de l’article 59 de l’arrêté du 2 février 1998 susvisé notamment pour ce qui concerne l</w:t>
      </w:r>
      <w:r w:rsidR="00C37A34">
        <w:rPr>
          <w:color w:val="auto"/>
        </w:rPr>
        <w:t>a surveillance d</w:t>
      </w:r>
      <w:r w:rsidR="001C13BA">
        <w:rPr>
          <w:color w:val="auto"/>
        </w:rPr>
        <w:t>es polluants</w:t>
      </w:r>
      <w:r w:rsidR="00C37A34">
        <w:rPr>
          <w:color w:val="auto"/>
        </w:rPr>
        <w:t xml:space="preserve"> mentionnés au point 1° à 7°</w:t>
      </w:r>
      <w:r w:rsidR="00BA01C9">
        <w:rPr>
          <w:color w:val="auto"/>
        </w:rPr>
        <w:t xml:space="preserve"> de ce même article</w:t>
      </w:r>
      <w:r w:rsidR="00C37A34">
        <w:rPr>
          <w:color w:val="auto"/>
        </w:rPr>
        <w:t xml:space="preserve">. </w:t>
      </w:r>
    </w:p>
    <w:p w14:paraId="1128E3FB" w14:textId="4672C5A2" w:rsidR="001C13BA" w:rsidRPr="00A415E5" w:rsidRDefault="00C37A34" w:rsidP="001C13BA">
      <w:pPr>
        <w:pStyle w:val="Default"/>
        <w:spacing w:after="40"/>
        <w:jc w:val="both"/>
        <w:rPr>
          <w:color w:val="auto"/>
        </w:rPr>
      </w:pPr>
      <w:r>
        <w:rPr>
          <w:color w:val="auto"/>
        </w:rPr>
        <w:t xml:space="preserve">L’exploitant </w:t>
      </w:r>
      <w:r>
        <w:t xml:space="preserve">réalise dans les même conditions une mesure en permanence du débit du rejet correspondant ainsi que les mesures ci-après pour les rejets des polluants suivants : </w:t>
      </w:r>
    </w:p>
    <w:p w14:paraId="68BEBF91" w14:textId="3C14B18B" w:rsidR="001C13BA" w:rsidRPr="001C13BA" w:rsidRDefault="00091DD9" w:rsidP="001C13BA">
      <w:pPr>
        <w:pStyle w:val="Default"/>
        <w:spacing w:after="40"/>
        <w:jc w:val="both"/>
        <w:rPr>
          <w:color w:val="auto"/>
        </w:rPr>
      </w:pPr>
      <w:r>
        <w:rPr>
          <w:color w:val="auto"/>
        </w:rPr>
        <w:t>- </w:t>
      </w:r>
      <w:r w:rsidR="001C13BA" w:rsidRPr="001C13BA">
        <w:rPr>
          <w:color w:val="auto"/>
        </w:rPr>
        <w:t>Ammoniac, chlore, hydrogène sulfuré :</w:t>
      </w:r>
    </w:p>
    <w:p w14:paraId="3C3252B1" w14:textId="74C5EA10" w:rsidR="001C13BA" w:rsidRPr="00A415E5" w:rsidRDefault="001C13BA" w:rsidP="001C13BA">
      <w:pPr>
        <w:pStyle w:val="Default"/>
        <w:spacing w:after="40"/>
        <w:jc w:val="both"/>
        <w:rPr>
          <w:color w:val="auto"/>
        </w:rPr>
      </w:pPr>
      <w:r w:rsidRPr="001C13BA">
        <w:rPr>
          <w:color w:val="auto"/>
        </w:rPr>
        <w:t>Si le flux horaire de chlore ou d'hydrogène sulfuré dépasse 1</w:t>
      </w:r>
      <w:r w:rsidR="00091DD9">
        <w:rPr>
          <w:color w:val="auto"/>
        </w:rPr>
        <w:t> </w:t>
      </w:r>
      <w:r w:rsidRPr="001C13BA">
        <w:rPr>
          <w:color w:val="auto"/>
        </w:rPr>
        <w:t>kg/h, la mesure en permanence des émissions est réalisée.</w:t>
      </w:r>
      <w:r w:rsidR="00B4173E">
        <w:rPr>
          <w:color w:val="auto"/>
        </w:rPr>
        <w:t xml:space="preserve"> </w:t>
      </w:r>
      <w:r w:rsidRPr="001C13BA">
        <w:rPr>
          <w:color w:val="auto"/>
        </w:rPr>
        <w:t>Le flux horaire est porté à 10</w:t>
      </w:r>
      <w:r w:rsidR="00091DD9">
        <w:rPr>
          <w:color w:val="auto"/>
        </w:rPr>
        <w:t> </w:t>
      </w:r>
      <w:r w:rsidRPr="001C13BA">
        <w:rPr>
          <w:color w:val="auto"/>
        </w:rPr>
        <w:t>kg/h pour l'ammoniac.</w:t>
      </w:r>
    </w:p>
    <w:p w14:paraId="66061745" w14:textId="67B15BA7" w:rsidR="001C13BA" w:rsidRPr="00A415E5" w:rsidRDefault="00091DD9" w:rsidP="001C13BA">
      <w:pPr>
        <w:pStyle w:val="Default"/>
        <w:spacing w:after="40"/>
        <w:jc w:val="both"/>
        <w:rPr>
          <w:color w:val="auto"/>
        </w:rPr>
      </w:pPr>
      <w:r>
        <w:rPr>
          <w:color w:val="auto"/>
        </w:rPr>
        <w:t>- </w:t>
      </w:r>
      <w:bookmarkStart w:id="114" w:name="_Hlk180680004"/>
      <w:r w:rsidR="001C13BA" w:rsidRPr="00A415E5">
        <w:rPr>
          <w:color w:val="auto"/>
        </w:rPr>
        <w:t xml:space="preserve">Composés soufrés réduits </w:t>
      </w:r>
      <w:bookmarkEnd w:id="114"/>
      <w:r w:rsidR="001C13BA" w:rsidRPr="00A415E5">
        <w:rPr>
          <w:color w:val="auto"/>
        </w:rPr>
        <w:t>:</w:t>
      </w:r>
    </w:p>
    <w:p w14:paraId="2878FE32" w14:textId="51B28E6B" w:rsidR="001C13BA" w:rsidRDefault="001C13BA" w:rsidP="001C13BA">
      <w:pPr>
        <w:pStyle w:val="Default"/>
        <w:spacing w:after="40"/>
        <w:jc w:val="both"/>
        <w:rPr>
          <w:color w:val="auto"/>
        </w:rPr>
      </w:pPr>
      <w:r w:rsidRPr="00A415E5">
        <w:rPr>
          <w:color w:val="auto"/>
        </w:rPr>
        <w:t>Si le flux horaire de la somme des composés soufrés réduits est supérieur à 5</w:t>
      </w:r>
      <w:r w:rsidR="00091DD9">
        <w:rPr>
          <w:color w:val="auto"/>
        </w:rPr>
        <w:t> </w:t>
      </w:r>
      <w:r w:rsidRPr="00A415E5">
        <w:rPr>
          <w:color w:val="auto"/>
        </w:rPr>
        <w:t xml:space="preserve">g/h d'une part et si la concentration d'odeur mesurée à l'émission est supérieure à </w:t>
      </w:r>
      <w:r w:rsidRPr="00520317">
        <w:rPr>
          <w:color w:val="auto"/>
        </w:rPr>
        <w:t>100</w:t>
      </w:r>
      <w:r w:rsidR="00091DD9">
        <w:rPr>
          <w:color w:val="auto"/>
        </w:rPr>
        <w:t> </w:t>
      </w:r>
      <w:r w:rsidRPr="00520317">
        <w:rPr>
          <w:color w:val="auto"/>
        </w:rPr>
        <w:t>000</w:t>
      </w:r>
      <w:r w:rsidR="00091DD9">
        <w:rPr>
          <w:color w:val="auto"/>
        </w:rPr>
        <w:t> </w:t>
      </w:r>
      <w:proofErr w:type="spellStart"/>
      <w:r w:rsidR="00E67458">
        <w:rPr>
          <w:color w:val="auto"/>
        </w:rPr>
        <w:t>uoE</w:t>
      </w:r>
      <w:proofErr w:type="spellEnd"/>
      <w:r w:rsidRPr="00520317">
        <w:rPr>
          <w:color w:val="auto"/>
        </w:rPr>
        <w:t>/</w:t>
      </w:r>
      <w:r w:rsidR="0075350B" w:rsidRPr="00520317">
        <w:t>m</w:t>
      </w:r>
      <w:r w:rsidR="0075350B" w:rsidRPr="00520317">
        <w:rPr>
          <w:vertAlign w:val="superscript"/>
        </w:rPr>
        <w:t>3</w:t>
      </w:r>
      <w:r w:rsidRPr="00520317">
        <w:rPr>
          <w:color w:val="auto"/>
        </w:rPr>
        <w:t xml:space="preserve"> d'autre</w:t>
      </w:r>
      <w:r w:rsidRPr="00A415E5">
        <w:rPr>
          <w:color w:val="auto"/>
        </w:rPr>
        <w:t xml:space="preserve"> part, la mesure permanente des émissions est réalis</w:t>
      </w:r>
      <w:r w:rsidRPr="00D03987">
        <w:rPr>
          <w:color w:val="auto"/>
        </w:rPr>
        <w:t>ée.</w:t>
      </w:r>
    </w:p>
    <w:p w14:paraId="75E9E403" w14:textId="77777777" w:rsidR="001C13BA" w:rsidRPr="00A415E5" w:rsidRDefault="001C13BA" w:rsidP="00A415E5">
      <w:pPr>
        <w:pStyle w:val="Default"/>
        <w:spacing w:after="40"/>
        <w:jc w:val="both"/>
        <w:rPr>
          <w:color w:val="auto"/>
        </w:rPr>
      </w:pPr>
    </w:p>
    <w:p w14:paraId="0C08D70A" w14:textId="3BC708AF" w:rsidR="008B3A3A" w:rsidRPr="00915DEF" w:rsidRDefault="008B3A3A" w:rsidP="009A1DAC">
      <w:pPr>
        <w:pStyle w:val="Titre3"/>
      </w:pPr>
      <w:bookmarkStart w:id="115" w:name="_Toc164951752"/>
      <w:r w:rsidRPr="00915DEF">
        <w:t xml:space="preserve">Article </w:t>
      </w:r>
      <w:r w:rsidR="00223E47">
        <w:t>1</w:t>
      </w:r>
      <w:r w:rsidR="008E2C6E">
        <w:t>1</w:t>
      </w:r>
      <w:r w:rsidR="00223E47">
        <w:t>.</w:t>
      </w:r>
      <w:r w:rsidR="00A512D2" w:rsidRPr="00915DEF">
        <w:t>3</w:t>
      </w:r>
      <w:r w:rsidRPr="00EA7F0F">
        <w:t xml:space="preserve"> </w:t>
      </w:r>
      <w:r w:rsidRPr="00915DEF">
        <w:t>Surveillance des émissions dans l’eau</w:t>
      </w:r>
      <w:bookmarkEnd w:id="115"/>
    </w:p>
    <w:p w14:paraId="13A5F3E9" w14:textId="4A0E77E3" w:rsidR="007334B4" w:rsidRPr="007104D3" w:rsidRDefault="000E1733" w:rsidP="007334B4">
      <w:pPr>
        <w:pStyle w:val="Default"/>
        <w:spacing w:after="40"/>
        <w:jc w:val="both"/>
        <w:rPr>
          <w:color w:val="auto"/>
        </w:rPr>
      </w:pPr>
      <w:r>
        <w:rPr>
          <w:color w:val="auto"/>
        </w:rPr>
        <w:t>I</w:t>
      </w:r>
      <w:r w:rsidR="0036618F">
        <w:t>. - </w:t>
      </w:r>
      <w:r w:rsidR="007334B4" w:rsidRPr="007104D3">
        <w:rPr>
          <w:color w:val="auto"/>
        </w:rPr>
        <w:t xml:space="preserve">Pour les flux d’effluents aqueux à prendre en considération d’après l’inventaire des flux entrants et sortants </w:t>
      </w:r>
      <w:r w:rsidR="0051133D" w:rsidRPr="007104D3">
        <w:rPr>
          <w:color w:val="auto"/>
        </w:rPr>
        <w:t xml:space="preserve">prévu à l’article </w:t>
      </w:r>
      <w:r w:rsidR="00BF376A" w:rsidRPr="007104D3">
        <w:rPr>
          <w:color w:val="auto"/>
        </w:rPr>
        <w:t>3</w:t>
      </w:r>
      <w:r w:rsidR="0051133D" w:rsidRPr="007104D3">
        <w:rPr>
          <w:color w:val="auto"/>
        </w:rPr>
        <w:t>.</w:t>
      </w:r>
      <w:r w:rsidR="00BF376A" w:rsidRPr="007104D3">
        <w:rPr>
          <w:color w:val="auto"/>
        </w:rPr>
        <w:t>5</w:t>
      </w:r>
      <w:r w:rsidR="0051133D" w:rsidRPr="007104D3">
        <w:rPr>
          <w:color w:val="auto"/>
        </w:rPr>
        <w:t xml:space="preserve"> du présent arrêté</w:t>
      </w:r>
      <w:r w:rsidR="007334B4" w:rsidRPr="007104D3">
        <w:rPr>
          <w:color w:val="auto"/>
        </w:rPr>
        <w:t xml:space="preserve">, </w:t>
      </w:r>
      <w:r w:rsidR="00335BB6" w:rsidRPr="007104D3">
        <w:rPr>
          <w:color w:val="auto"/>
        </w:rPr>
        <w:t xml:space="preserve">l’exploitant </w:t>
      </w:r>
      <w:r w:rsidR="007334B4" w:rsidRPr="007104D3">
        <w:rPr>
          <w:color w:val="auto"/>
        </w:rPr>
        <w:t xml:space="preserve">surveille les principaux paramètres du </w:t>
      </w:r>
      <w:r w:rsidR="007334B4" w:rsidRPr="00B41DE9">
        <w:rPr>
          <w:color w:val="auto"/>
        </w:rPr>
        <w:t>procédé (par exemple, surveillance</w:t>
      </w:r>
      <w:r w:rsidR="00BA01C9">
        <w:rPr>
          <w:color w:val="auto"/>
        </w:rPr>
        <w:t xml:space="preserve"> en</w:t>
      </w:r>
      <w:r w:rsidR="007334B4" w:rsidRPr="00B41DE9">
        <w:rPr>
          <w:color w:val="auto"/>
        </w:rPr>
        <w:t xml:space="preserve"> continu du débit des effluents aqueux, du pH et de la température) aux endroits stratégiques (par exemple, à l’entrée et/ou à la sortie de l’unité de prétraitement des effluents aqueux, à l’entrée de l’unité</w:t>
      </w:r>
      <w:r w:rsidR="007334B4" w:rsidRPr="007104D3">
        <w:rPr>
          <w:color w:val="auto"/>
        </w:rPr>
        <w:t xml:space="preserve"> de traitement final des effluents aqueux, au point où les émissions sortent de l’installation).</w:t>
      </w:r>
    </w:p>
    <w:p w14:paraId="2398FF1C" w14:textId="2E781C18" w:rsidR="00E84EA5" w:rsidRPr="007104D3" w:rsidRDefault="003C0F24" w:rsidP="00EC08FA">
      <w:pPr>
        <w:pStyle w:val="Default"/>
        <w:spacing w:after="40"/>
        <w:jc w:val="both"/>
        <w:rPr>
          <w:color w:val="auto"/>
        </w:rPr>
      </w:pPr>
      <w:r>
        <w:rPr>
          <w:color w:val="auto"/>
        </w:rPr>
        <w:t>II</w:t>
      </w:r>
      <w:r w:rsidR="0036618F">
        <w:t>. - </w:t>
      </w:r>
      <w:r w:rsidR="003D786C" w:rsidRPr="007104D3">
        <w:rPr>
          <w:color w:val="auto"/>
        </w:rPr>
        <w:t>Pour les substances et paramètres mentionnés ci-après,</w:t>
      </w:r>
      <w:r w:rsidR="00E84EA5" w:rsidRPr="007104D3">
        <w:rPr>
          <w:color w:val="auto"/>
        </w:rPr>
        <w:t xml:space="preserve"> </w:t>
      </w:r>
      <w:r w:rsidR="007104D3" w:rsidRPr="007104D3">
        <w:rPr>
          <w:color w:val="auto"/>
        </w:rPr>
        <w:t>l</w:t>
      </w:r>
      <w:r w:rsidR="0022243A" w:rsidRPr="007104D3">
        <w:rPr>
          <w:color w:val="auto"/>
        </w:rPr>
        <w:t xml:space="preserve">’exploitant </w:t>
      </w:r>
      <w:r w:rsidR="008B3A3A" w:rsidRPr="007104D3">
        <w:rPr>
          <w:color w:val="auto"/>
        </w:rPr>
        <w:t xml:space="preserve">surveille les rejets dans l’eau au moins à la fréquence indiquée </w:t>
      </w:r>
      <w:r w:rsidR="003D786C" w:rsidRPr="007104D3">
        <w:rPr>
          <w:color w:val="auto"/>
        </w:rPr>
        <w:t>dans le tableau</w:t>
      </w:r>
      <w:r w:rsidR="00E84EA5" w:rsidRPr="007104D3">
        <w:rPr>
          <w:color w:val="auto"/>
        </w:rPr>
        <w:t xml:space="preserve"> en utilisant des méthodes d’analyse lui permettant de réaliser des mesures fiables, répétables et reproductibles. Les normes mentionnées sont réputées permettre l’obtention de données d’une qualité scientifique suffisante.</w:t>
      </w:r>
    </w:p>
    <w:p w14:paraId="3F7FA977" w14:textId="2E6004AD" w:rsidR="00E84EA5" w:rsidRPr="007104D3" w:rsidRDefault="00E84EA5" w:rsidP="00EC08FA">
      <w:pPr>
        <w:pStyle w:val="Default"/>
        <w:spacing w:after="40"/>
        <w:jc w:val="both"/>
        <w:rPr>
          <w:color w:val="auto"/>
        </w:rPr>
      </w:pPr>
      <w:r w:rsidRPr="007104D3">
        <w:rPr>
          <w:color w:val="auto"/>
        </w:rPr>
        <w:t xml:space="preserve">En l’absence de norme précisée dans le tableau, les méthodes précisées dans l’avis </w:t>
      </w:r>
      <w:r w:rsidR="00DA3944" w:rsidRPr="007104D3">
        <w:rPr>
          <w:color w:val="auto"/>
        </w:rPr>
        <w:t xml:space="preserve">en vigueur </w:t>
      </w:r>
      <w:r w:rsidRPr="007104D3">
        <w:rPr>
          <w:color w:val="auto"/>
        </w:rPr>
        <w:t xml:space="preserve">sur les méthodes normalisées de référence pour les mesures dans l’air, l’eau et les sols dans les installations classées pour la protection de l’environnement publié au </w:t>
      </w:r>
      <w:r w:rsidRPr="003B24D7">
        <w:rPr>
          <w:i/>
          <w:iCs/>
          <w:color w:val="auto"/>
        </w:rPr>
        <w:t>Journal officiel</w:t>
      </w:r>
      <w:r w:rsidRPr="007104D3">
        <w:rPr>
          <w:color w:val="auto"/>
        </w:rPr>
        <w:t xml:space="preserve"> sont réputées satisfaire aux exigences de l’alinéa précédent.</w:t>
      </w:r>
    </w:p>
    <w:p w14:paraId="61BBD933" w14:textId="1F952156" w:rsidR="008B3A3A" w:rsidRPr="007104D3" w:rsidRDefault="00E84EA5" w:rsidP="009A3DD6">
      <w:pPr>
        <w:pStyle w:val="Default"/>
        <w:spacing w:after="40"/>
        <w:jc w:val="both"/>
        <w:rPr>
          <w:color w:val="auto"/>
        </w:rPr>
      </w:pPr>
      <w:r w:rsidRPr="007104D3">
        <w:rPr>
          <w:color w:val="auto"/>
        </w:rPr>
        <w:t>Pour les installations nouvelles, le paramètre COT est suivi à la place du paramètre DCO.</w:t>
      </w:r>
    </w:p>
    <w:p w14:paraId="75415F21" w14:textId="67EB68E6" w:rsidR="0022243A" w:rsidRPr="00734ACE" w:rsidRDefault="0022243A">
      <w:pPr>
        <w:pStyle w:val="Default"/>
        <w:spacing w:after="40"/>
        <w:jc w:val="both"/>
        <w:rPr>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3402"/>
        <w:gridCol w:w="1701"/>
      </w:tblGrid>
      <w:tr w:rsidR="00734ACE" w:rsidRPr="00734ACE" w14:paraId="448AC4D9" w14:textId="77777777" w:rsidTr="00734ACE">
        <w:tc>
          <w:tcPr>
            <w:tcW w:w="2830" w:type="dxa"/>
          </w:tcPr>
          <w:p w14:paraId="4F43FC29" w14:textId="0ED40E99" w:rsidR="00734ACE" w:rsidRPr="00734ACE" w:rsidRDefault="00734ACE" w:rsidP="007104D3">
            <w:pPr>
              <w:pStyle w:val="Default"/>
              <w:spacing w:after="40"/>
              <w:jc w:val="center"/>
              <w:rPr>
                <w:color w:val="auto"/>
                <w:sz w:val="22"/>
                <w:szCs w:val="22"/>
              </w:rPr>
            </w:pPr>
            <w:r w:rsidRPr="00734ACE">
              <w:rPr>
                <w:color w:val="auto"/>
                <w:sz w:val="22"/>
                <w:szCs w:val="22"/>
              </w:rPr>
              <w:t>Substance/ Paramètre</w:t>
            </w:r>
          </w:p>
        </w:tc>
        <w:tc>
          <w:tcPr>
            <w:tcW w:w="1134" w:type="dxa"/>
          </w:tcPr>
          <w:p w14:paraId="242F8F94" w14:textId="6161C940" w:rsidR="00734ACE" w:rsidRPr="00734ACE" w:rsidRDefault="00734ACE" w:rsidP="007104D3">
            <w:pPr>
              <w:pStyle w:val="Default"/>
              <w:spacing w:after="40"/>
              <w:jc w:val="center"/>
              <w:rPr>
                <w:color w:val="auto"/>
                <w:sz w:val="22"/>
                <w:szCs w:val="22"/>
              </w:rPr>
            </w:pPr>
            <w:r w:rsidRPr="00734ACE">
              <w:rPr>
                <w:color w:val="auto"/>
                <w:sz w:val="22"/>
                <w:szCs w:val="22"/>
              </w:rPr>
              <w:t>Code SANDRE</w:t>
            </w:r>
          </w:p>
        </w:tc>
        <w:tc>
          <w:tcPr>
            <w:tcW w:w="3402" w:type="dxa"/>
          </w:tcPr>
          <w:p w14:paraId="3383A7BB" w14:textId="69ECAFC0" w:rsidR="00734ACE" w:rsidRPr="00734ACE" w:rsidRDefault="00734ACE" w:rsidP="007104D3">
            <w:pPr>
              <w:pStyle w:val="Default"/>
              <w:spacing w:after="40"/>
              <w:jc w:val="center"/>
              <w:rPr>
                <w:color w:val="auto"/>
                <w:sz w:val="22"/>
                <w:szCs w:val="22"/>
              </w:rPr>
            </w:pPr>
            <w:r w:rsidRPr="00734ACE">
              <w:rPr>
                <w:color w:val="auto"/>
                <w:sz w:val="22"/>
                <w:szCs w:val="22"/>
              </w:rPr>
              <w:t>Norme</w:t>
            </w:r>
            <w:r w:rsidR="00E27AE6">
              <w:rPr>
                <w:color w:val="auto"/>
                <w:sz w:val="22"/>
                <w:szCs w:val="22"/>
              </w:rPr>
              <w:t xml:space="preserve"> </w:t>
            </w:r>
            <w:r w:rsidR="00E27AE6" w:rsidRPr="00A90056">
              <w:rPr>
                <w:color w:val="auto"/>
                <w:vertAlign w:val="superscript"/>
              </w:rPr>
              <w:t>(</w:t>
            </w:r>
            <w:r w:rsidR="009A2E3C">
              <w:rPr>
                <w:color w:val="auto"/>
                <w:vertAlign w:val="superscript"/>
              </w:rPr>
              <w:t>8</w:t>
            </w:r>
            <w:r w:rsidR="00E27AE6" w:rsidRPr="00A90056">
              <w:rPr>
                <w:color w:val="auto"/>
                <w:vertAlign w:val="superscript"/>
              </w:rPr>
              <w:t>)</w:t>
            </w:r>
          </w:p>
        </w:tc>
        <w:tc>
          <w:tcPr>
            <w:tcW w:w="1701" w:type="dxa"/>
          </w:tcPr>
          <w:p w14:paraId="5CC67531" w14:textId="72B1675F" w:rsidR="00734ACE" w:rsidRPr="00734ACE" w:rsidRDefault="00734ACE" w:rsidP="007104D3">
            <w:pPr>
              <w:pStyle w:val="Default"/>
              <w:spacing w:after="40"/>
              <w:jc w:val="center"/>
              <w:rPr>
                <w:color w:val="auto"/>
                <w:sz w:val="22"/>
                <w:szCs w:val="22"/>
              </w:rPr>
            </w:pPr>
            <w:r w:rsidRPr="00734ACE">
              <w:rPr>
                <w:color w:val="auto"/>
                <w:sz w:val="22"/>
                <w:szCs w:val="22"/>
              </w:rPr>
              <w:t xml:space="preserve">Fréquence minimale de surveillance </w:t>
            </w:r>
            <w:r w:rsidRPr="00A90056">
              <w:rPr>
                <w:color w:val="auto"/>
                <w:vertAlign w:val="superscript"/>
              </w:rPr>
              <w:t>(1)</w:t>
            </w:r>
          </w:p>
        </w:tc>
      </w:tr>
      <w:tr w:rsidR="00734ACE" w:rsidRPr="00734ACE" w14:paraId="757D4918" w14:textId="77777777" w:rsidTr="00734ACE">
        <w:tc>
          <w:tcPr>
            <w:tcW w:w="2830" w:type="dxa"/>
          </w:tcPr>
          <w:p w14:paraId="1AAE8FD4" w14:textId="281A1CAD" w:rsidR="00734ACE" w:rsidRPr="00734ACE" w:rsidRDefault="00734ACE" w:rsidP="00467F16">
            <w:pPr>
              <w:pStyle w:val="Default"/>
              <w:spacing w:after="40"/>
              <w:jc w:val="both"/>
              <w:rPr>
                <w:color w:val="auto"/>
              </w:rPr>
            </w:pPr>
            <w:bookmarkStart w:id="116" w:name="_Hlk172224511"/>
            <w:r w:rsidRPr="00734ACE">
              <w:rPr>
                <w:color w:val="auto"/>
              </w:rPr>
              <w:t>Composés</w:t>
            </w:r>
            <w:r w:rsidR="00091DD9">
              <w:rPr>
                <w:color w:val="auto"/>
              </w:rPr>
              <w:t> </w:t>
            </w:r>
            <w:r w:rsidRPr="00734ACE">
              <w:rPr>
                <w:color w:val="auto"/>
              </w:rPr>
              <w:t xml:space="preserve">organochlorés adsorbables (AOX) </w:t>
            </w:r>
            <w:bookmarkEnd w:id="116"/>
            <w:r w:rsidRPr="00DD0E2C">
              <w:rPr>
                <w:color w:val="auto"/>
                <w:vertAlign w:val="superscript"/>
              </w:rPr>
              <w:t>(2) (3)</w:t>
            </w:r>
          </w:p>
        </w:tc>
        <w:tc>
          <w:tcPr>
            <w:tcW w:w="1134" w:type="dxa"/>
          </w:tcPr>
          <w:p w14:paraId="5D1788EA" w14:textId="34ECD358" w:rsidR="00734ACE" w:rsidRPr="00734ACE" w:rsidRDefault="00734ACE" w:rsidP="00467F16">
            <w:pPr>
              <w:pStyle w:val="Default"/>
              <w:spacing w:after="40"/>
              <w:jc w:val="both"/>
              <w:rPr>
                <w:color w:val="auto"/>
              </w:rPr>
            </w:pPr>
            <w:r w:rsidRPr="00734ACE">
              <w:rPr>
                <w:color w:val="auto"/>
              </w:rPr>
              <w:t>1106</w:t>
            </w:r>
          </w:p>
        </w:tc>
        <w:tc>
          <w:tcPr>
            <w:tcW w:w="3402" w:type="dxa"/>
          </w:tcPr>
          <w:p w14:paraId="170EFA14" w14:textId="114D5E71" w:rsidR="00734ACE" w:rsidRPr="00734ACE" w:rsidRDefault="00734ACE" w:rsidP="00467F16">
            <w:pPr>
              <w:pStyle w:val="Default"/>
              <w:spacing w:after="40"/>
              <w:jc w:val="both"/>
              <w:rPr>
                <w:color w:val="auto"/>
              </w:rPr>
            </w:pPr>
            <w:r w:rsidRPr="00734ACE">
              <w:rPr>
                <w:color w:val="auto"/>
              </w:rPr>
              <w:t>NF EN ISO 9562</w:t>
            </w:r>
          </w:p>
        </w:tc>
        <w:tc>
          <w:tcPr>
            <w:tcW w:w="1701" w:type="dxa"/>
          </w:tcPr>
          <w:p w14:paraId="349C9141" w14:textId="31C52846" w:rsidR="00734ACE" w:rsidRPr="00734ACE" w:rsidRDefault="003527F3" w:rsidP="00467F16">
            <w:pPr>
              <w:pStyle w:val="Default"/>
              <w:spacing w:after="40"/>
              <w:jc w:val="both"/>
              <w:rPr>
                <w:color w:val="auto"/>
              </w:rPr>
            </w:pPr>
            <w:r w:rsidRPr="00734ACE">
              <w:rPr>
                <w:color w:val="auto"/>
              </w:rPr>
              <w:t xml:space="preserve">Une fois par mois </w:t>
            </w:r>
            <w:r w:rsidR="00734ACE" w:rsidRPr="00A90056">
              <w:rPr>
                <w:color w:val="auto"/>
                <w:vertAlign w:val="superscript"/>
              </w:rPr>
              <w:t>(4)</w:t>
            </w:r>
          </w:p>
        </w:tc>
      </w:tr>
      <w:tr w:rsidR="00734ACE" w:rsidRPr="00734ACE" w14:paraId="2435B899" w14:textId="77777777" w:rsidTr="00734ACE">
        <w:tc>
          <w:tcPr>
            <w:tcW w:w="2830" w:type="dxa"/>
          </w:tcPr>
          <w:p w14:paraId="44E07485" w14:textId="383D8EB8" w:rsidR="00734ACE" w:rsidRPr="00734ACE" w:rsidRDefault="00734ACE" w:rsidP="00467F16">
            <w:pPr>
              <w:pStyle w:val="Default"/>
              <w:spacing w:after="40"/>
              <w:jc w:val="both"/>
              <w:rPr>
                <w:color w:val="auto"/>
              </w:rPr>
            </w:pPr>
            <w:r w:rsidRPr="00734ACE">
              <w:rPr>
                <w:color w:val="auto"/>
              </w:rPr>
              <w:t>Demande biochimique en oxygène (</w:t>
            </w:r>
            <w:proofErr w:type="spellStart"/>
            <w:r w:rsidRPr="00734ACE">
              <w:rPr>
                <w:color w:val="auto"/>
              </w:rPr>
              <w:t>DBO</w:t>
            </w:r>
            <w:r w:rsidRPr="00837226">
              <w:rPr>
                <w:color w:val="auto"/>
                <w:vertAlign w:val="subscript"/>
              </w:rPr>
              <w:t>n</w:t>
            </w:r>
            <w:proofErr w:type="spellEnd"/>
            <w:r w:rsidRPr="00734ACE">
              <w:rPr>
                <w:color w:val="auto"/>
              </w:rPr>
              <w:t xml:space="preserve">) </w:t>
            </w:r>
          </w:p>
          <w:p w14:paraId="626A1FCB" w14:textId="77777777" w:rsidR="00734ACE" w:rsidRPr="00734ACE" w:rsidRDefault="00734ACE" w:rsidP="00467F16">
            <w:pPr>
              <w:pStyle w:val="Default"/>
              <w:spacing w:after="40"/>
              <w:jc w:val="both"/>
              <w:rPr>
                <w:color w:val="auto"/>
              </w:rPr>
            </w:pPr>
          </w:p>
        </w:tc>
        <w:tc>
          <w:tcPr>
            <w:tcW w:w="1134" w:type="dxa"/>
          </w:tcPr>
          <w:p w14:paraId="0AF33550" w14:textId="3535FFB7" w:rsidR="00734ACE" w:rsidRPr="00734ACE" w:rsidRDefault="00734ACE" w:rsidP="00467F16">
            <w:pPr>
              <w:pStyle w:val="Default"/>
              <w:spacing w:after="40"/>
              <w:jc w:val="both"/>
              <w:rPr>
                <w:color w:val="auto"/>
              </w:rPr>
            </w:pPr>
            <w:r w:rsidRPr="00734ACE">
              <w:rPr>
                <w:color w:val="auto"/>
              </w:rPr>
              <w:t>1313</w:t>
            </w:r>
          </w:p>
        </w:tc>
        <w:tc>
          <w:tcPr>
            <w:tcW w:w="3402" w:type="dxa"/>
          </w:tcPr>
          <w:p w14:paraId="27319E70" w14:textId="6D6C0880" w:rsidR="00734ACE" w:rsidRPr="00734ACE" w:rsidRDefault="00734ACE" w:rsidP="00467F16">
            <w:pPr>
              <w:pStyle w:val="Default"/>
              <w:spacing w:after="40"/>
              <w:jc w:val="both"/>
              <w:rPr>
                <w:color w:val="auto"/>
              </w:rPr>
            </w:pPr>
            <w:r w:rsidRPr="00734ACE">
              <w:rPr>
                <w:color w:val="auto"/>
              </w:rPr>
              <w:t>Plusieurs normes EN disponibles (par exemple, NF EN 1899-1, NF EN ISO 5815-1)</w:t>
            </w:r>
          </w:p>
        </w:tc>
        <w:tc>
          <w:tcPr>
            <w:tcW w:w="1701" w:type="dxa"/>
          </w:tcPr>
          <w:p w14:paraId="2FC65C12" w14:textId="77777777" w:rsidR="00734ACE" w:rsidRPr="00734ACE" w:rsidRDefault="00734ACE" w:rsidP="00467F16">
            <w:pPr>
              <w:pStyle w:val="Default"/>
              <w:spacing w:after="40"/>
              <w:jc w:val="both"/>
              <w:rPr>
                <w:color w:val="auto"/>
              </w:rPr>
            </w:pPr>
            <w:r w:rsidRPr="00734ACE">
              <w:rPr>
                <w:color w:val="auto"/>
              </w:rPr>
              <w:t>Une fois par mois</w:t>
            </w:r>
          </w:p>
          <w:p w14:paraId="35980648" w14:textId="77777777" w:rsidR="00734ACE" w:rsidRPr="00734ACE" w:rsidRDefault="00734ACE" w:rsidP="00467F16">
            <w:pPr>
              <w:pStyle w:val="Default"/>
              <w:spacing w:after="40"/>
              <w:jc w:val="both"/>
              <w:rPr>
                <w:color w:val="auto"/>
              </w:rPr>
            </w:pPr>
          </w:p>
        </w:tc>
      </w:tr>
      <w:tr w:rsidR="009A2E3C" w:rsidRPr="00734ACE" w14:paraId="044E08CD" w14:textId="77777777" w:rsidTr="00734ACE">
        <w:tc>
          <w:tcPr>
            <w:tcW w:w="2830" w:type="dxa"/>
          </w:tcPr>
          <w:p w14:paraId="3BF78127" w14:textId="7EA349B6" w:rsidR="009A2E3C" w:rsidRPr="00734ACE" w:rsidRDefault="009A2E3C" w:rsidP="009A2E3C">
            <w:pPr>
              <w:pStyle w:val="Default"/>
              <w:spacing w:after="40"/>
              <w:jc w:val="both"/>
              <w:rPr>
                <w:color w:val="auto"/>
              </w:rPr>
            </w:pPr>
            <w:r w:rsidRPr="00734ACE">
              <w:rPr>
                <w:color w:val="auto"/>
              </w:rPr>
              <w:t xml:space="preserve">Demande chimique en oxygène (DCO) </w:t>
            </w:r>
            <w:r w:rsidRPr="00A90056">
              <w:rPr>
                <w:color w:val="auto"/>
                <w:vertAlign w:val="superscript"/>
              </w:rPr>
              <w:t>(</w:t>
            </w:r>
            <w:r>
              <w:rPr>
                <w:color w:val="auto"/>
                <w:vertAlign w:val="superscript"/>
              </w:rPr>
              <w:t>5</w:t>
            </w:r>
            <w:r w:rsidRPr="00A90056">
              <w:rPr>
                <w:color w:val="auto"/>
                <w:vertAlign w:val="superscript"/>
              </w:rPr>
              <w:t>)</w:t>
            </w:r>
          </w:p>
        </w:tc>
        <w:tc>
          <w:tcPr>
            <w:tcW w:w="1134" w:type="dxa"/>
          </w:tcPr>
          <w:p w14:paraId="4FF00590" w14:textId="25D0CD1B" w:rsidR="009A2E3C" w:rsidRPr="00734ACE" w:rsidRDefault="009A2E3C" w:rsidP="009A2E3C">
            <w:pPr>
              <w:pStyle w:val="Default"/>
              <w:spacing w:after="40"/>
              <w:jc w:val="both"/>
              <w:rPr>
                <w:color w:val="auto"/>
              </w:rPr>
            </w:pPr>
            <w:r w:rsidRPr="00734ACE">
              <w:rPr>
                <w:color w:val="auto"/>
              </w:rPr>
              <w:t>1314</w:t>
            </w:r>
          </w:p>
        </w:tc>
        <w:tc>
          <w:tcPr>
            <w:tcW w:w="3402" w:type="dxa"/>
          </w:tcPr>
          <w:p w14:paraId="27CEAA16" w14:textId="089A7209" w:rsidR="009A2E3C" w:rsidRPr="00734ACE" w:rsidRDefault="009A2E3C" w:rsidP="009A2E3C">
            <w:pPr>
              <w:pStyle w:val="Default"/>
              <w:spacing w:after="40"/>
              <w:jc w:val="both"/>
              <w:rPr>
                <w:color w:val="auto"/>
              </w:rPr>
            </w:pPr>
            <w:r w:rsidRPr="00734ACE">
              <w:rPr>
                <w:color w:val="auto"/>
              </w:rPr>
              <w:t>Pas de norme EN, mais par exemple NF T90-101, ISO 15705</w:t>
            </w:r>
          </w:p>
          <w:p w14:paraId="426858D8" w14:textId="77777777" w:rsidR="009A2E3C" w:rsidRPr="00734ACE" w:rsidRDefault="009A2E3C" w:rsidP="009A2E3C">
            <w:pPr>
              <w:pStyle w:val="Default"/>
              <w:spacing w:after="40"/>
              <w:jc w:val="both"/>
              <w:rPr>
                <w:color w:val="auto"/>
              </w:rPr>
            </w:pPr>
          </w:p>
        </w:tc>
        <w:tc>
          <w:tcPr>
            <w:tcW w:w="1701" w:type="dxa"/>
          </w:tcPr>
          <w:p w14:paraId="382526CB" w14:textId="43C815ED" w:rsidR="009A2E3C" w:rsidRPr="00734ACE" w:rsidRDefault="009A2E3C" w:rsidP="009A2E3C">
            <w:pPr>
              <w:pStyle w:val="Default"/>
              <w:spacing w:after="40"/>
              <w:jc w:val="both"/>
              <w:rPr>
                <w:color w:val="auto"/>
              </w:rPr>
            </w:pPr>
            <w:r w:rsidRPr="007D2FD2">
              <w:rPr>
                <w:color w:val="auto"/>
              </w:rPr>
              <w:t xml:space="preserve">Une fois par semaine </w:t>
            </w:r>
            <w:r w:rsidRPr="007D2FD2">
              <w:rPr>
                <w:color w:val="auto"/>
                <w:vertAlign w:val="superscript"/>
              </w:rPr>
              <w:t>(6)</w:t>
            </w:r>
          </w:p>
        </w:tc>
      </w:tr>
      <w:tr w:rsidR="009A2E3C" w:rsidRPr="00734ACE" w14:paraId="5C749C58" w14:textId="77777777" w:rsidTr="00734ACE">
        <w:tc>
          <w:tcPr>
            <w:tcW w:w="2830" w:type="dxa"/>
          </w:tcPr>
          <w:p w14:paraId="0D543CDB" w14:textId="6A99D4AF" w:rsidR="009A2E3C" w:rsidRPr="00734ACE" w:rsidRDefault="009A2E3C" w:rsidP="009A2E3C">
            <w:pPr>
              <w:pStyle w:val="Default"/>
              <w:spacing w:after="40"/>
              <w:jc w:val="both"/>
              <w:rPr>
                <w:color w:val="auto"/>
              </w:rPr>
            </w:pPr>
            <w:r w:rsidRPr="00734ACE">
              <w:rPr>
                <w:color w:val="auto"/>
              </w:rPr>
              <w:t xml:space="preserve">Azote total (NT) </w:t>
            </w:r>
          </w:p>
          <w:p w14:paraId="40B445CA" w14:textId="77777777" w:rsidR="009A2E3C" w:rsidRPr="00734ACE" w:rsidRDefault="009A2E3C" w:rsidP="009A2E3C">
            <w:pPr>
              <w:pStyle w:val="Default"/>
              <w:spacing w:after="40"/>
              <w:jc w:val="both"/>
              <w:rPr>
                <w:color w:val="auto"/>
              </w:rPr>
            </w:pPr>
          </w:p>
        </w:tc>
        <w:tc>
          <w:tcPr>
            <w:tcW w:w="1134" w:type="dxa"/>
          </w:tcPr>
          <w:p w14:paraId="44E54EA7" w14:textId="1067B6E3" w:rsidR="009A2E3C" w:rsidRPr="00734ACE" w:rsidRDefault="009A2E3C" w:rsidP="009A2E3C">
            <w:pPr>
              <w:pStyle w:val="Default"/>
              <w:spacing w:after="40"/>
              <w:jc w:val="both"/>
              <w:rPr>
                <w:color w:val="auto"/>
              </w:rPr>
            </w:pPr>
            <w:r w:rsidRPr="00734ACE">
              <w:rPr>
                <w:color w:val="auto"/>
              </w:rPr>
              <w:t>6018</w:t>
            </w:r>
          </w:p>
        </w:tc>
        <w:tc>
          <w:tcPr>
            <w:tcW w:w="3402" w:type="dxa"/>
          </w:tcPr>
          <w:p w14:paraId="3CB5B055" w14:textId="24F4ED79" w:rsidR="009A2E3C" w:rsidRPr="00734ACE" w:rsidRDefault="009A2E3C" w:rsidP="009A2E3C">
            <w:pPr>
              <w:pStyle w:val="Default"/>
              <w:spacing w:after="40"/>
              <w:jc w:val="both"/>
              <w:rPr>
                <w:color w:val="auto"/>
              </w:rPr>
            </w:pPr>
            <w:r w:rsidRPr="00734ACE">
              <w:rPr>
                <w:color w:val="auto"/>
              </w:rPr>
              <w:t>Plusieurs normes NF EN disponibles (par exemple, EN 12260, NF EN ISO 11905-1)</w:t>
            </w:r>
          </w:p>
        </w:tc>
        <w:tc>
          <w:tcPr>
            <w:tcW w:w="1701" w:type="dxa"/>
          </w:tcPr>
          <w:p w14:paraId="213A8107" w14:textId="4377D6E1" w:rsidR="009A2E3C" w:rsidRPr="00734ACE" w:rsidRDefault="009A2E3C" w:rsidP="009A2E3C">
            <w:pPr>
              <w:pStyle w:val="Default"/>
              <w:spacing w:after="40"/>
              <w:jc w:val="both"/>
              <w:rPr>
                <w:color w:val="auto"/>
              </w:rPr>
            </w:pPr>
            <w:r w:rsidRPr="007D2FD2">
              <w:rPr>
                <w:color w:val="auto"/>
              </w:rPr>
              <w:t xml:space="preserve">Une fois par semaine </w:t>
            </w:r>
            <w:r w:rsidRPr="007D2FD2">
              <w:rPr>
                <w:color w:val="auto"/>
                <w:vertAlign w:val="superscript"/>
              </w:rPr>
              <w:t>(6)</w:t>
            </w:r>
          </w:p>
        </w:tc>
      </w:tr>
      <w:tr w:rsidR="009A2E3C" w:rsidRPr="00734ACE" w14:paraId="0D2670B1" w14:textId="77777777" w:rsidTr="00734ACE">
        <w:tc>
          <w:tcPr>
            <w:tcW w:w="2830" w:type="dxa"/>
          </w:tcPr>
          <w:p w14:paraId="009EBBA8" w14:textId="67150511" w:rsidR="009A2E3C" w:rsidRPr="00734ACE" w:rsidRDefault="009A2E3C" w:rsidP="009A2E3C">
            <w:pPr>
              <w:pStyle w:val="Default"/>
              <w:spacing w:after="40"/>
              <w:jc w:val="both"/>
              <w:rPr>
                <w:color w:val="auto"/>
              </w:rPr>
            </w:pPr>
            <w:r w:rsidRPr="00734ACE">
              <w:rPr>
                <w:color w:val="auto"/>
              </w:rPr>
              <w:t xml:space="preserve">Carbone organique total (COT) </w:t>
            </w:r>
            <w:r w:rsidRPr="00A90056">
              <w:rPr>
                <w:color w:val="auto"/>
                <w:vertAlign w:val="superscript"/>
              </w:rPr>
              <w:t>(</w:t>
            </w:r>
            <w:r>
              <w:rPr>
                <w:color w:val="auto"/>
                <w:vertAlign w:val="superscript"/>
              </w:rPr>
              <w:t>5</w:t>
            </w:r>
            <w:r w:rsidRPr="00A90056">
              <w:rPr>
                <w:color w:val="auto"/>
                <w:vertAlign w:val="superscript"/>
              </w:rPr>
              <w:t xml:space="preserve">) </w:t>
            </w:r>
          </w:p>
        </w:tc>
        <w:tc>
          <w:tcPr>
            <w:tcW w:w="1134" w:type="dxa"/>
          </w:tcPr>
          <w:p w14:paraId="28D78C86" w14:textId="4B7CF807" w:rsidR="009A2E3C" w:rsidRPr="00734ACE" w:rsidRDefault="009A2E3C" w:rsidP="009A2E3C">
            <w:pPr>
              <w:pStyle w:val="Default"/>
              <w:spacing w:after="40"/>
              <w:jc w:val="both"/>
              <w:rPr>
                <w:color w:val="auto"/>
              </w:rPr>
            </w:pPr>
            <w:r w:rsidRPr="00734ACE">
              <w:rPr>
                <w:color w:val="auto"/>
              </w:rPr>
              <w:t>1841</w:t>
            </w:r>
          </w:p>
        </w:tc>
        <w:tc>
          <w:tcPr>
            <w:tcW w:w="3402" w:type="dxa"/>
          </w:tcPr>
          <w:p w14:paraId="161BD519" w14:textId="2C072307" w:rsidR="009A2E3C" w:rsidRPr="00734ACE" w:rsidRDefault="009A2E3C" w:rsidP="009A2E3C">
            <w:pPr>
              <w:pStyle w:val="Default"/>
              <w:spacing w:after="40"/>
              <w:jc w:val="both"/>
              <w:rPr>
                <w:color w:val="auto"/>
              </w:rPr>
            </w:pPr>
            <w:r w:rsidRPr="00734ACE">
              <w:rPr>
                <w:color w:val="auto"/>
              </w:rPr>
              <w:t>NF EN 1484</w:t>
            </w:r>
          </w:p>
          <w:p w14:paraId="489062E0" w14:textId="77777777" w:rsidR="009A2E3C" w:rsidRPr="00734ACE" w:rsidRDefault="009A2E3C" w:rsidP="009A2E3C">
            <w:pPr>
              <w:pStyle w:val="Default"/>
              <w:spacing w:after="40"/>
              <w:jc w:val="both"/>
              <w:rPr>
                <w:color w:val="auto"/>
              </w:rPr>
            </w:pPr>
          </w:p>
        </w:tc>
        <w:tc>
          <w:tcPr>
            <w:tcW w:w="1701" w:type="dxa"/>
          </w:tcPr>
          <w:p w14:paraId="662DFBEC" w14:textId="6CCC88C6" w:rsidR="009A2E3C" w:rsidRPr="00734ACE" w:rsidRDefault="009A2E3C" w:rsidP="009A2E3C">
            <w:pPr>
              <w:pStyle w:val="Default"/>
              <w:spacing w:after="40"/>
              <w:jc w:val="both"/>
              <w:rPr>
                <w:color w:val="auto"/>
              </w:rPr>
            </w:pPr>
            <w:r w:rsidRPr="0026131D">
              <w:rPr>
                <w:color w:val="auto"/>
              </w:rPr>
              <w:t xml:space="preserve">Une fois par semaine </w:t>
            </w:r>
            <w:r w:rsidRPr="0026131D">
              <w:rPr>
                <w:color w:val="auto"/>
                <w:vertAlign w:val="superscript"/>
              </w:rPr>
              <w:t>(6)</w:t>
            </w:r>
          </w:p>
        </w:tc>
      </w:tr>
      <w:tr w:rsidR="009A2E3C" w:rsidRPr="00734ACE" w14:paraId="76142776" w14:textId="77777777" w:rsidTr="00734ACE">
        <w:tc>
          <w:tcPr>
            <w:tcW w:w="2830" w:type="dxa"/>
          </w:tcPr>
          <w:p w14:paraId="3EEC9630" w14:textId="494B58C8" w:rsidR="009A2E3C" w:rsidRPr="00734ACE" w:rsidRDefault="009A2E3C" w:rsidP="009A2E3C">
            <w:pPr>
              <w:pStyle w:val="Default"/>
              <w:spacing w:after="40"/>
              <w:jc w:val="both"/>
              <w:rPr>
                <w:color w:val="auto"/>
              </w:rPr>
            </w:pPr>
            <w:bookmarkStart w:id="117" w:name="_Hlk172223034"/>
            <w:r w:rsidRPr="00734ACE">
              <w:rPr>
                <w:color w:val="auto"/>
              </w:rPr>
              <w:t xml:space="preserve">Phosphore total </w:t>
            </w:r>
            <w:bookmarkEnd w:id="117"/>
            <w:r w:rsidRPr="00734ACE">
              <w:rPr>
                <w:color w:val="auto"/>
              </w:rPr>
              <w:t xml:space="preserve">(PT) </w:t>
            </w:r>
          </w:p>
          <w:p w14:paraId="16BDF59E" w14:textId="77777777" w:rsidR="009A2E3C" w:rsidRPr="00734ACE" w:rsidRDefault="009A2E3C" w:rsidP="009A2E3C">
            <w:pPr>
              <w:pStyle w:val="Default"/>
              <w:spacing w:after="40"/>
              <w:jc w:val="both"/>
              <w:rPr>
                <w:color w:val="auto"/>
              </w:rPr>
            </w:pPr>
          </w:p>
        </w:tc>
        <w:tc>
          <w:tcPr>
            <w:tcW w:w="1134" w:type="dxa"/>
          </w:tcPr>
          <w:p w14:paraId="39AFAD6A" w14:textId="41078F18" w:rsidR="009A2E3C" w:rsidRPr="00734ACE" w:rsidRDefault="009A2E3C" w:rsidP="009A2E3C">
            <w:pPr>
              <w:pStyle w:val="Default"/>
              <w:spacing w:after="40"/>
              <w:jc w:val="both"/>
              <w:rPr>
                <w:color w:val="auto"/>
              </w:rPr>
            </w:pPr>
            <w:r w:rsidRPr="00734ACE">
              <w:rPr>
                <w:color w:val="auto"/>
              </w:rPr>
              <w:t>1350</w:t>
            </w:r>
          </w:p>
          <w:p w14:paraId="008B676D" w14:textId="24610954" w:rsidR="009A2E3C" w:rsidRPr="00734ACE" w:rsidRDefault="009A2E3C" w:rsidP="009A2E3C">
            <w:pPr>
              <w:rPr>
                <w:szCs w:val="24"/>
                <w:lang w:eastAsia="fr-FR"/>
              </w:rPr>
            </w:pPr>
          </w:p>
        </w:tc>
        <w:tc>
          <w:tcPr>
            <w:tcW w:w="3402" w:type="dxa"/>
          </w:tcPr>
          <w:p w14:paraId="44775FD8" w14:textId="281572DA" w:rsidR="009A2E3C" w:rsidRPr="00734ACE" w:rsidRDefault="009A2E3C" w:rsidP="009A2E3C">
            <w:pPr>
              <w:pStyle w:val="Default"/>
              <w:spacing w:after="40"/>
              <w:jc w:val="both"/>
              <w:rPr>
                <w:color w:val="auto"/>
              </w:rPr>
            </w:pPr>
            <w:r w:rsidRPr="00734ACE">
              <w:rPr>
                <w:color w:val="auto"/>
              </w:rPr>
              <w:t>Plusieurs normes EN (par exemple, NF EN ISO 6878, NF EN ISO 15681-1 et -2, NF EN ISO 11885)</w:t>
            </w:r>
          </w:p>
        </w:tc>
        <w:tc>
          <w:tcPr>
            <w:tcW w:w="1701" w:type="dxa"/>
          </w:tcPr>
          <w:p w14:paraId="32A4C486" w14:textId="334FF727" w:rsidR="009A2E3C" w:rsidRPr="00734ACE" w:rsidRDefault="009A2E3C" w:rsidP="009A2E3C">
            <w:pPr>
              <w:pStyle w:val="Default"/>
              <w:spacing w:after="40"/>
              <w:jc w:val="both"/>
              <w:rPr>
                <w:color w:val="auto"/>
              </w:rPr>
            </w:pPr>
            <w:r w:rsidRPr="0026131D">
              <w:rPr>
                <w:color w:val="auto"/>
              </w:rPr>
              <w:t xml:space="preserve">Une fois par semaine </w:t>
            </w:r>
            <w:r w:rsidRPr="0026131D">
              <w:rPr>
                <w:color w:val="auto"/>
                <w:vertAlign w:val="superscript"/>
              </w:rPr>
              <w:t>(6)</w:t>
            </w:r>
          </w:p>
        </w:tc>
      </w:tr>
      <w:tr w:rsidR="00734ACE" w:rsidRPr="00734ACE" w14:paraId="1510F76B" w14:textId="77777777" w:rsidTr="00734ACE">
        <w:tc>
          <w:tcPr>
            <w:tcW w:w="2830" w:type="dxa"/>
          </w:tcPr>
          <w:p w14:paraId="7AAE7EF4" w14:textId="115A1E5C" w:rsidR="00734ACE" w:rsidRPr="00734ACE" w:rsidRDefault="00734ACE" w:rsidP="00467F16">
            <w:pPr>
              <w:pStyle w:val="Default"/>
              <w:spacing w:after="40"/>
              <w:jc w:val="both"/>
              <w:rPr>
                <w:color w:val="auto"/>
              </w:rPr>
            </w:pPr>
            <w:r w:rsidRPr="00734ACE">
              <w:rPr>
                <w:color w:val="auto"/>
              </w:rPr>
              <w:t xml:space="preserve">Matières en suspension totales (MEST) </w:t>
            </w:r>
          </w:p>
        </w:tc>
        <w:tc>
          <w:tcPr>
            <w:tcW w:w="1134" w:type="dxa"/>
          </w:tcPr>
          <w:p w14:paraId="7290EFAE" w14:textId="2B87BB44" w:rsidR="00734ACE" w:rsidRPr="00734ACE" w:rsidRDefault="00734ACE" w:rsidP="00467F16">
            <w:pPr>
              <w:pStyle w:val="Default"/>
              <w:spacing w:after="40"/>
              <w:jc w:val="both"/>
              <w:rPr>
                <w:color w:val="auto"/>
              </w:rPr>
            </w:pPr>
            <w:r w:rsidRPr="00734ACE">
              <w:rPr>
                <w:color w:val="auto"/>
              </w:rPr>
              <w:t>1305</w:t>
            </w:r>
          </w:p>
        </w:tc>
        <w:tc>
          <w:tcPr>
            <w:tcW w:w="3402" w:type="dxa"/>
          </w:tcPr>
          <w:p w14:paraId="0B297190" w14:textId="62A50942" w:rsidR="00734ACE" w:rsidRPr="00734ACE" w:rsidRDefault="00734ACE" w:rsidP="00467F16">
            <w:pPr>
              <w:pStyle w:val="Default"/>
              <w:spacing w:after="40"/>
              <w:jc w:val="both"/>
              <w:rPr>
                <w:color w:val="auto"/>
              </w:rPr>
            </w:pPr>
            <w:r w:rsidRPr="00734ACE">
              <w:rPr>
                <w:color w:val="auto"/>
              </w:rPr>
              <w:t>NF EN 872</w:t>
            </w:r>
          </w:p>
          <w:p w14:paraId="7DC982E7" w14:textId="77777777" w:rsidR="00734ACE" w:rsidRPr="00734ACE" w:rsidRDefault="00734ACE" w:rsidP="00467F16">
            <w:pPr>
              <w:pStyle w:val="Default"/>
              <w:spacing w:after="40"/>
              <w:jc w:val="both"/>
              <w:rPr>
                <w:color w:val="auto"/>
              </w:rPr>
            </w:pPr>
          </w:p>
        </w:tc>
        <w:tc>
          <w:tcPr>
            <w:tcW w:w="1701" w:type="dxa"/>
          </w:tcPr>
          <w:p w14:paraId="36AFE5D5" w14:textId="39E41AD3" w:rsidR="00734ACE" w:rsidRPr="00734ACE" w:rsidRDefault="00734ACE" w:rsidP="00467F16">
            <w:pPr>
              <w:pStyle w:val="Default"/>
              <w:spacing w:after="40"/>
              <w:jc w:val="both"/>
              <w:rPr>
                <w:color w:val="auto"/>
              </w:rPr>
            </w:pPr>
            <w:r w:rsidRPr="00734ACE">
              <w:rPr>
                <w:color w:val="auto"/>
              </w:rPr>
              <w:t xml:space="preserve">Une fois par semaine </w:t>
            </w:r>
            <w:r w:rsidRPr="00A90056">
              <w:rPr>
                <w:color w:val="auto"/>
                <w:vertAlign w:val="superscript"/>
              </w:rPr>
              <w:t>(</w:t>
            </w:r>
            <w:r w:rsidR="009A2E3C">
              <w:rPr>
                <w:color w:val="auto"/>
                <w:vertAlign w:val="superscript"/>
              </w:rPr>
              <w:t>6</w:t>
            </w:r>
            <w:r w:rsidRPr="00A90056">
              <w:rPr>
                <w:color w:val="auto"/>
                <w:vertAlign w:val="superscript"/>
              </w:rPr>
              <w:t>)</w:t>
            </w:r>
          </w:p>
        </w:tc>
      </w:tr>
      <w:tr w:rsidR="00734ACE" w:rsidRPr="00734ACE" w14:paraId="17109D73" w14:textId="77777777" w:rsidTr="00734ACE">
        <w:tc>
          <w:tcPr>
            <w:tcW w:w="2830" w:type="dxa"/>
          </w:tcPr>
          <w:p w14:paraId="2F3CC65A" w14:textId="582BB8CD" w:rsidR="00734ACE" w:rsidRPr="00734ACE" w:rsidRDefault="00734ACE" w:rsidP="00467F16">
            <w:pPr>
              <w:pStyle w:val="Default"/>
              <w:spacing w:after="40"/>
              <w:jc w:val="both"/>
              <w:rPr>
                <w:color w:val="auto"/>
              </w:rPr>
            </w:pPr>
            <w:r w:rsidRPr="00734ACE">
              <w:rPr>
                <w:color w:val="auto"/>
              </w:rPr>
              <w:t>Chlorures (Cl</w:t>
            </w:r>
            <w:r w:rsidRPr="00A90056">
              <w:rPr>
                <w:color w:val="auto"/>
                <w:vertAlign w:val="superscript"/>
              </w:rPr>
              <w:t>-</w:t>
            </w:r>
            <w:r w:rsidRPr="00734ACE">
              <w:rPr>
                <w:color w:val="auto"/>
              </w:rPr>
              <w:t xml:space="preserve">) </w:t>
            </w:r>
            <w:r w:rsidRPr="00DD0E2C">
              <w:rPr>
                <w:color w:val="auto"/>
                <w:vertAlign w:val="superscript"/>
              </w:rPr>
              <w:t>(2) (3)</w:t>
            </w:r>
            <w:r w:rsidR="00DD0E2C">
              <w:rPr>
                <w:color w:val="auto"/>
                <w:vertAlign w:val="superscript"/>
              </w:rPr>
              <w:t xml:space="preserve"> </w:t>
            </w:r>
            <w:r w:rsidRPr="00DD0E2C">
              <w:rPr>
                <w:color w:val="auto"/>
                <w:vertAlign w:val="superscript"/>
              </w:rPr>
              <w:t>(</w:t>
            </w:r>
            <w:r w:rsidR="009A2E3C">
              <w:rPr>
                <w:color w:val="auto"/>
                <w:vertAlign w:val="superscript"/>
              </w:rPr>
              <w:t>7</w:t>
            </w:r>
            <w:r w:rsidRPr="00DD0E2C">
              <w:rPr>
                <w:color w:val="auto"/>
                <w:vertAlign w:val="superscript"/>
              </w:rPr>
              <w:t>)</w:t>
            </w:r>
          </w:p>
        </w:tc>
        <w:tc>
          <w:tcPr>
            <w:tcW w:w="1134" w:type="dxa"/>
          </w:tcPr>
          <w:p w14:paraId="0928D03A" w14:textId="716E6975" w:rsidR="00734ACE" w:rsidRPr="00734ACE" w:rsidRDefault="00734ACE" w:rsidP="00467F16">
            <w:pPr>
              <w:pStyle w:val="Default"/>
              <w:spacing w:after="40"/>
              <w:jc w:val="both"/>
              <w:rPr>
                <w:color w:val="auto"/>
              </w:rPr>
            </w:pPr>
            <w:r w:rsidRPr="00734ACE">
              <w:rPr>
                <w:color w:val="auto"/>
              </w:rPr>
              <w:t>1337</w:t>
            </w:r>
          </w:p>
        </w:tc>
        <w:tc>
          <w:tcPr>
            <w:tcW w:w="3402" w:type="dxa"/>
          </w:tcPr>
          <w:p w14:paraId="07FDB43E" w14:textId="66EA2F4A" w:rsidR="00734ACE" w:rsidRPr="00734ACE" w:rsidRDefault="00734ACE" w:rsidP="00467F16">
            <w:pPr>
              <w:pStyle w:val="Default"/>
              <w:spacing w:after="40"/>
              <w:jc w:val="both"/>
              <w:rPr>
                <w:color w:val="auto"/>
              </w:rPr>
            </w:pPr>
            <w:r w:rsidRPr="00734ACE">
              <w:rPr>
                <w:color w:val="auto"/>
              </w:rPr>
              <w:t>Plusieurs normes EN (par exemple, NF EN ISO 10304-1, NF EN ISO 15682)</w:t>
            </w:r>
          </w:p>
        </w:tc>
        <w:tc>
          <w:tcPr>
            <w:tcW w:w="1701" w:type="dxa"/>
          </w:tcPr>
          <w:p w14:paraId="2AF86A3E" w14:textId="412517BA" w:rsidR="00734ACE" w:rsidRPr="00734ACE" w:rsidRDefault="00734ACE" w:rsidP="00467F16">
            <w:pPr>
              <w:pStyle w:val="Default"/>
              <w:spacing w:after="40"/>
              <w:jc w:val="both"/>
              <w:rPr>
                <w:color w:val="auto"/>
              </w:rPr>
            </w:pPr>
            <w:r w:rsidRPr="00734ACE">
              <w:rPr>
                <w:color w:val="auto"/>
              </w:rPr>
              <w:t xml:space="preserve">Une fois par mois </w:t>
            </w:r>
            <w:r w:rsidRPr="00A90056">
              <w:rPr>
                <w:color w:val="auto"/>
                <w:vertAlign w:val="superscript"/>
              </w:rPr>
              <w:t>(4)</w:t>
            </w:r>
          </w:p>
        </w:tc>
      </w:tr>
    </w:tbl>
    <w:p w14:paraId="35D5DF3B" w14:textId="475D90FB" w:rsidR="0022243A" w:rsidRPr="00734ACE" w:rsidRDefault="0022243A" w:rsidP="008B3A3A">
      <w:pPr>
        <w:pStyle w:val="Default"/>
        <w:spacing w:after="40"/>
        <w:jc w:val="both"/>
        <w:rPr>
          <w:color w:val="auto"/>
        </w:rPr>
      </w:pPr>
    </w:p>
    <w:p w14:paraId="18EA12AE" w14:textId="270888DE" w:rsidR="00467F16" w:rsidRPr="00796C7B" w:rsidRDefault="00467F16" w:rsidP="00467F16">
      <w:pPr>
        <w:pStyle w:val="Default"/>
        <w:spacing w:after="40"/>
        <w:jc w:val="both"/>
        <w:rPr>
          <w:color w:val="auto"/>
        </w:rPr>
      </w:pPr>
      <w:r w:rsidRPr="00091DD9">
        <w:rPr>
          <w:color w:val="auto"/>
          <w:vertAlign w:val="superscript"/>
        </w:rPr>
        <w:t>(1)</w:t>
      </w:r>
      <w:r w:rsidRPr="00796C7B">
        <w:rPr>
          <w:color w:val="auto"/>
        </w:rPr>
        <w:t xml:space="preserve"> En cas de rejets discontinus à une fréquence inférieure à la fréquence minimale de surveillance, la surveillance est effectuée une fois par rejet.</w:t>
      </w:r>
    </w:p>
    <w:p w14:paraId="0E5B77A8" w14:textId="08A4B859" w:rsidR="00467F16" w:rsidRPr="00796C7B" w:rsidRDefault="00467F16" w:rsidP="00467F16">
      <w:pPr>
        <w:pStyle w:val="Default"/>
        <w:spacing w:after="40"/>
        <w:jc w:val="both"/>
        <w:rPr>
          <w:color w:val="auto"/>
        </w:rPr>
      </w:pPr>
      <w:r w:rsidRPr="00091DD9">
        <w:rPr>
          <w:color w:val="auto"/>
          <w:vertAlign w:val="superscript"/>
        </w:rPr>
        <w:t>(2)</w:t>
      </w:r>
      <w:r w:rsidRPr="00796C7B">
        <w:rPr>
          <w:color w:val="auto"/>
        </w:rPr>
        <w:t xml:space="preserve"> En cas de rejet indirect, il est possible de réduire la fréquence de surveillance à une fois tous les six mois pour les AOX et le</w:t>
      </w:r>
      <w:r w:rsidR="00BA01C9">
        <w:rPr>
          <w:color w:val="auto"/>
        </w:rPr>
        <w:t>s chlorures</w:t>
      </w:r>
      <w:r w:rsidR="0017637F" w:rsidRPr="00796C7B">
        <w:rPr>
          <w:color w:val="auto"/>
        </w:rPr>
        <w:t xml:space="preserve"> </w:t>
      </w:r>
      <w:r w:rsidRPr="00796C7B">
        <w:rPr>
          <w:color w:val="auto"/>
        </w:rPr>
        <w:t>si l’unité de traitement des eaux usées en aval est conçue et équipée de manière appropriée pour réduire les polluants concernés.</w:t>
      </w:r>
    </w:p>
    <w:p w14:paraId="2E74A8E4" w14:textId="3240E362" w:rsidR="00467F16" w:rsidRPr="00091DD9" w:rsidRDefault="00467F16" w:rsidP="0017637F">
      <w:pPr>
        <w:pStyle w:val="NormalWeb"/>
        <w:spacing w:beforeAutospacing="0" w:after="40" w:line="240" w:lineRule="auto"/>
        <w:jc w:val="both"/>
      </w:pPr>
      <w:r w:rsidRPr="00091DD9">
        <w:rPr>
          <w:rFonts w:eastAsia="Calibri"/>
          <w:vertAlign w:val="superscript"/>
          <w:lang w:eastAsia="en-US"/>
        </w:rPr>
        <w:t>(3)</w:t>
      </w:r>
      <w:r w:rsidRPr="00796C7B">
        <w:t xml:space="preserve"> La surveillance ne s’applique que lorsque la présence de la substance/du paramètre concerné est jugée pertinente dans le flux d’effluents aqueux, d’après l’inventaire des flux entrants et sortants mentionné </w:t>
      </w:r>
      <w:r w:rsidR="00555899" w:rsidRPr="00796C7B">
        <w:t>à l’article 3.5 du présent arrêté</w:t>
      </w:r>
      <w:r w:rsidRPr="00796C7B">
        <w:t>.</w:t>
      </w:r>
      <w:r w:rsidR="0017637F" w:rsidRPr="00796C7B">
        <w:t xml:space="preserve"> </w:t>
      </w:r>
      <w:bookmarkStart w:id="118" w:name="_Hlk172300382"/>
      <w:bookmarkStart w:id="119" w:name="_Hlk172897229"/>
      <w:r w:rsidR="0017637F" w:rsidRPr="00091DD9">
        <w:t xml:space="preserve">La substance peut être jugée comme pertinente dès lors que le flux massique </w:t>
      </w:r>
      <w:bookmarkEnd w:id="118"/>
      <w:r w:rsidR="00C121C0" w:rsidRPr="00091DD9">
        <w:t>des AO</w:t>
      </w:r>
      <w:r w:rsidR="00E56137" w:rsidRPr="00091DD9">
        <w:t>X</w:t>
      </w:r>
      <w:r w:rsidR="0017637F" w:rsidRPr="00091DD9">
        <w:t xml:space="preserve"> dépasse</w:t>
      </w:r>
      <w:r w:rsidR="00D6268E" w:rsidRPr="00091DD9">
        <w:t xml:space="preserve"> </w:t>
      </w:r>
      <w:r w:rsidR="001E1F27" w:rsidRPr="00091DD9">
        <w:t>200</w:t>
      </w:r>
      <w:r w:rsidR="00091DD9">
        <w:t> </w:t>
      </w:r>
      <w:r w:rsidR="001E1F27" w:rsidRPr="00091DD9">
        <w:t>g/j</w:t>
      </w:r>
      <w:bookmarkEnd w:id="119"/>
      <w:r w:rsidR="0017637F" w:rsidRPr="00091DD9">
        <w:t xml:space="preserve">. </w:t>
      </w:r>
    </w:p>
    <w:p w14:paraId="2F41BD13" w14:textId="42FC7282" w:rsidR="00467F16" w:rsidRPr="00796C7B" w:rsidRDefault="00467F16" w:rsidP="000E1733">
      <w:pPr>
        <w:pStyle w:val="Default"/>
        <w:spacing w:after="40"/>
        <w:jc w:val="both"/>
        <w:rPr>
          <w:color w:val="auto"/>
        </w:rPr>
      </w:pPr>
      <w:r w:rsidRPr="00091DD9">
        <w:rPr>
          <w:color w:val="auto"/>
          <w:vertAlign w:val="superscript"/>
        </w:rPr>
        <w:t>(4)</w:t>
      </w:r>
      <w:r w:rsidRPr="00796C7B">
        <w:rPr>
          <w:color w:val="auto"/>
        </w:rPr>
        <w:t xml:space="preserve"> La fréquence minimale de surveillance peut être ramenée à une fois tous les </w:t>
      </w:r>
      <w:r w:rsidR="00091DD9">
        <w:rPr>
          <w:color w:val="auto"/>
        </w:rPr>
        <w:t>six</w:t>
      </w:r>
      <w:r w:rsidRPr="00D03987">
        <w:rPr>
          <w:color w:val="auto"/>
        </w:rPr>
        <w:t xml:space="preserve"> mois s’il est démontré que les niveaux d’émission sont suffisamment stables</w:t>
      </w:r>
      <w:r w:rsidR="003527F3" w:rsidRPr="00D03987">
        <w:rPr>
          <w:color w:val="auto"/>
        </w:rPr>
        <w:t xml:space="preserve"> </w:t>
      </w:r>
      <w:bookmarkStart w:id="120" w:name="_Hlk172897262"/>
      <w:r w:rsidR="003527F3" w:rsidRPr="00D03987">
        <w:rPr>
          <w:color w:val="auto"/>
        </w:rPr>
        <w:t xml:space="preserve">et dès lors que </w:t>
      </w:r>
      <w:r w:rsidR="003527F3" w:rsidRPr="00091DD9">
        <w:rPr>
          <w:lang w:val="fr-BE"/>
        </w:rPr>
        <w:t>le flux massique</w:t>
      </w:r>
      <w:r w:rsidR="003527F3" w:rsidRPr="00796C7B">
        <w:rPr>
          <w:lang w:val="fr-BE"/>
        </w:rPr>
        <w:t xml:space="preserve"> ne dépasse pas</w:t>
      </w:r>
      <w:r w:rsidR="00BA01C9">
        <w:rPr>
          <w:lang w:val="fr-BE"/>
        </w:rPr>
        <w:t>,</w:t>
      </w:r>
      <w:r w:rsidR="003527F3" w:rsidRPr="00796C7B">
        <w:rPr>
          <w:lang w:val="fr-BE"/>
        </w:rPr>
        <w:t xml:space="preserve"> pour les composés organochlorés adsorbables (AOX) la valeur de 2</w:t>
      </w:r>
      <w:r w:rsidR="00091DD9">
        <w:rPr>
          <w:lang w:val="fr-BE"/>
        </w:rPr>
        <w:t> </w:t>
      </w:r>
      <w:r w:rsidR="003527F3" w:rsidRPr="00091DD9">
        <w:rPr>
          <w:lang w:val="fr-BE"/>
        </w:rPr>
        <w:t>kg/j.</w:t>
      </w:r>
      <w:bookmarkEnd w:id="120"/>
    </w:p>
    <w:p w14:paraId="689DAEA5" w14:textId="05FD10D7" w:rsidR="00467F16" w:rsidRPr="00796C7B" w:rsidRDefault="00467F16" w:rsidP="00467F16">
      <w:pPr>
        <w:pStyle w:val="Default"/>
        <w:spacing w:after="40"/>
        <w:jc w:val="both"/>
        <w:rPr>
          <w:color w:val="auto"/>
        </w:rPr>
      </w:pPr>
      <w:r w:rsidRPr="00091DD9">
        <w:rPr>
          <w:color w:val="auto"/>
          <w:vertAlign w:val="superscript"/>
        </w:rPr>
        <w:t>(</w:t>
      </w:r>
      <w:r w:rsidR="009A2E3C" w:rsidRPr="00091DD9">
        <w:rPr>
          <w:color w:val="auto"/>
          <w:vertAlign w:val="superscript"/>
        </w:rPr>
        <w:t>5</w:t>
      </w:r>
      <w:r w:rsidRPr="00091DD9">
        <w:rPr>
          <w:color w:val="auto"/>
          <w:vertAlign w:val="superscript"/>
        </w:rPr>
        <w:t>)</w:t>
      </w:r>
      <w:r w:rsidRPr="00796C7B">
        <w:rPr>
          <w:color w:val="auto"/>
        </w:rPr>
        <w:t xml:space="preserve"> La surveillance porte soit sur le COT, soit sur la DCO. La surveillance du COT est préférable, car elle n’implique pas l’utilisation de composés très toxiques.</w:t>
      </w:r>
    </w:p>
    <w:p w14:paraId="15ACBF0E" w14:textId="4A4EAE8A" w:rsidR="007D3052" w:rsidRPr="00091DD9" w:rsidRDefault="00467F16" w:rsidP="00C121C0">
      <w:pPr>
        <w:pStyle w:val="Default"/>
        <w:spacing w:after="40"/>
        <w:jc w:val="both"/>
        <w:rPr>
          <w:lang w:val="fr-BE"/>
        </w:rPr>
      </w:pPr>
      <w:r w:rsidRPr="00091DD9">
        <w:rPr>
          <w:color w:val="auto"/>
          <w:vertAlign w:val="superscript"/>
        </w:rPr>
        <w:t>(</w:t>
      </w:r>
      <w:r w:rsidR="009A2E3C" w:rsidRPr="00091DD9">
        <w:rPr>
          <w:color w:val="auto"/>
          <w:vertAlign w:val="superscript"/>
        </w:rPr>
        <w:t>6</w:t>
      </w:r>
      <w:r w:rsidRPr="00091DD9">
        <w:rPr>
          <w:color w:val="auto"/>
          <w:vertAlign w:val="superscript"/>
        </w:rPr>
        <w:t>)</w:t>
      </w:r>
      <w:r w:rsidRPr="00796C7B">
        <w:rPr>
          <w:color w:val="auto"/>
        </w:rPr>
        <w:t xml:space="preserve"> La fréquence minimale de surveillance peut être ramenée à une fois par mois s’il est démontré que les niveaux d’émission sont suffisamment stables</w:t>
      </w:r>
      <w:r w:rsidR="0040426E" w:rsidRPr="00796C7B">
        <w:rPr>
          <w:color w:val="auto"/>
        </w:rPr>
        <w:t xml:space="preserve"> </w:t>
      </w:r>
      <w:bookmarkStart w:id="121" w:name="_Hlk172897302"/>
      <w:r w:rsidR="0040426E" w:rsidRPr="00796C7B">
        <w:rPr>
          <w:color w:val="auto"/>
        </w:rPr>
        <w:t xml:space="preserve">et dès lors que </w:t>
      </w:r>
      <w:r w:rsidR="007D3052" w:rsidRPr="00091DD9">
        <w:rPr>
          <w:lang w:val="fr-BE"/>
        </w:rPr>
        <w:t>le</w:t>
      </w:r>
      <w:r w:rsidR="0040426E" w:rsidRPr="00091DD9">
        <w:rPr>
          <w:lang w:val="fr-BE"/>
        </w:rPr>
        <w:t>s</w:t>
      </w:r>
      <w:r w:rsidR="007D3052" w:rsidRPr="00091DD9">
        <w:rPr>
          <w:lang w:val="fr-BE"/>
        </w:rPr>
        <w:t xml:space="preserve"> flux massique</w:t>
      </w:r>
      <w:r w:rsidR="0040426E" w:rsidRPr="00091DD9">
        <w:rPr>
          <w:lang w:val="fr-BE"/>
        </w:rPr>
        <w:t xml:space="preserve">s ne dépassent pas les valeurs suivantes : </w:t>
      </w:r>
      <w:r w:rsidR="000563E8" w:rsidRPr="00796C7B">
        <w:rPr>
          <w:lang w:val="fr-BE"/>
        </w:rPr>
        <w:t xml:space="preserve">ou </w:t>
      </w:r>
      <w:r w:rsidR="0040426E" w:rsidRPr="00151A71">
        <w:rPr>
          <w:lang w:val="fr-BE"/>
        </w:rPr>
        <w:t xml:space="preserve">pour la </w:t>
      </w:r>
      <w:r w:rsidR="007D3052" w:rsidRPr="00151A71">
        <w:rPr>
          <w:lang w:val="fr-BE"/>
        </w:rPr>
        <w:t>DCO 300</w:t>
      </w:r>
      <w:r w:rsidR="00091DD9">
        <w:rPr>
          <w:lang w:val="fr-BE"/>
        </w:rPr>
        <w:t> </w:t>
      </w:r>
      <w:r w:rsidR="007D3052" w:rsidRPr="00091DD9">
        <w:rPr>
          <w:lang w:val="fr-BE"/>
        </w:rPr>
        <w:t>kg/j</w:t>
      </w:r>
      <w:r w:rsidR="0040426E" w:rsidRPr="00091DD9">
        <w:rPr>
          <w:lang w:val="fr-BE"/>
        </w:rPr>
        <w:t>,</w:t>
      </w:r>
      <w:r w:rsidR="00C121C0" w:rsidRPr="00091DD9">
        <w:rPr>
          <w:lang w:val="fr-BE"/>
        </w:rPr>
        <w:t xml:space="preserve"> ou</w:t>
      </w:r>
      <w:r w:rsidR="0040426E" w:rsidRPr="00091DD9">
        <w:rPr>
          <w:lang w:val="fr-BE"/>
        </w:rPr>
        <w:t xml:space="preserve"> pour l’azote total</w:t>
      </w:r>
      <w:r w:rsidR="00C121C0" w:rsidRPr="00091DD9">
        <w:rPr>
          <w:lang w:val="fr-BE"/>
        </w:rPr>
        <w:t xml:space="preserve"> (NT)</w:t>
      </w:r>
      <w:r w:rsidR="0040426E" w:rsidRPr="00091DD9">
        <w:rPr>
          <w:lang w:val="fr-BE"/>
        </w:rPr>
        <w:t xml:space="preserve"> 50 kg/j, </w:t>
      </w:r>
      <w:r w:rsidR="00C121C0" w:rsidRPr="00091DD9">
        <w:rPr>
          <w:lang w:val="fr-BE"/>
        </w:rPr>
        <w:t xml:space="preserve">ou </w:t>
      </w:r>
      <w:r w:rsidR="0040426E" w:rsidRPr="00091DD9">
        <w:rPr>
          <w:lang w:val="fr-BE"/>
        </w:rPr>
        <w:t xml:space="preserve">pour le </w:t>
      </w:r>
      <w:r w:rsidR="007D3052" w:rsidRPr="00091DD9">
        <w:rPr>
          <w:lang w:val="fr-BE"/>
        </w:rPr>
        <w:t>COT 100</w:t>
      </w:r>
      <w:r w:rsidR="00091DD9">
        <w:rPr>
          <w:lang w:val="fr-BE"/>
        </w:rPr>
        <w:t> </w:t>
      </w:r>
      <w:r w:rsidR="007D3052" w:rsidRPr="00091DD9">
        <w:rPr>
          <w:lang w:val="fr-BE"/>
        </w:rPr>
        <w:t xml:space="preserve">kg/j, </w:t>
      </w:r>
      <w:r w:rsidR="00C121C0" w:rsidRPr="00091DD9">
        <w:rPr>
          <w:lang w:val="fr-BE"/>
        </w:rPr>
        <w:t xml:space="preserve">ou pour le </w:t>
      </w:r>
      <w:r w:rsidR="00091DD9">
        <w:rPr>
          <w:lang w:val="fr-BE"/>
        </w:rPr>
        <w:t>p</w:t>
      </w:r>
      <w:r w:rsidR="00C121C0" w:rsidRPr="00091DD9">
        <w:rPr>
          <w:lang w:val="fr-BE"/>
        </w:rPr>
        <w:t>hosphore total (PT) 15</w:t>
      </w:r>
      <w:r w:rsidR="00091DD9">
        <w:rPr>
          <w:lang w:val="fr-BE"/>
        </w:rPr>
        <w:t> </w:t>
      </w:r>
      <w:r w:rsidR="00C121C0" w:rsidRPr="00091DD9">
        <w:rPr>
          <w:lang w:val="fr-BE"/>
        </w:rPr>
        <w:t xml:space="preserve">g/j, ou pour les </w:t>
      </w:r>
      <w:r w:rsidR="00C121C0" w:rsidRPr="00091DD9">
        <w:rPr>
          <w:color w:val="auto"/>
        </w:rPr>
        <w:t>matières en suspension totales (MEST)</w:t>
      </w:r>
      <w:r w:rsidR="00C121C0" w:rsidRPr="00796C7B">
        <w:rPr>
          <w:color w:val="auto"/>
        </w:rPr>
        <w:t xml:space="preserve"> 100</w:t>
      </w:r>
      <w:r w:rsidR="00091DD9">
        <w:rPr>
          <w:color w:val="auto"/>
        </w:rPr>
        <w:t> </w:t>
      </w:r>
      <w:r w:rsidR="00C121C0" w:rsidRPr="00091DD9">
        <w:rPr>
          <w:color w:val="auto"/>
        </w:rPr>
        <w:t>kg/j.</w:t>
      </w:r>
    </w:p>
    <w:bookmarkEnd w:id="121"/>
    <w:p w14:paraId="101672C8" w14:textId="7B2747D9" w:rsidR="00734ACE" w:rsidRPr="00796C7B" w:rsidRDefault="00734ACE" w:rsidP="00467F16">
      <w:pPr>
        <w:pStyle w:val="Default"/>
        <w:spacing w:after="40"/>
        <w:jc w:val="both"/>
        <w:rPr>
          <w:color w:val="auto"/>
        </w:rPr>
      </w:pPr>
      <w:r w:rsidRPr="00091DD9">
        <w:rPr>
          <w:color w:val="auto"/>
          <w:vertAlign w:val="superscript"/>
        </w:rPr>
        <w:t>(</w:t>
      </w:r>
      <w:r w:rsidR="009A2E3C" w:rsidRPr="00091DD9">
        <w:rPr>
          <w:color w:val="auto"/>
          <w:vertAlign w:val="superscript"/>
        </w:rPr>
        <w:t>7</w:t>
      </w:r>
      <w:r w:rsidRPr="00091DD9">
        <w:rPr>
          <w:color w:val="auto"/>
          <w:vertAlign w:val="superscript"/>
        </w:rPr>
        <w:t>)</w:t>
      </w:r>
      <w:r w:rsidRPr="00796C7B">
        <w:rPr>
          <w:color w:val="auto"/>
        </w:rPr>
        <w:t xml:space="preserve"> La surveillance s’applique pour l’activité de salage de peaux.</w:t>
      </w:r>
    </w:p>
    <w:p w14:paraId="55F2B918" w14:textId="66523E1E" w:rsidR="00E27AE6" w:rsidRPr="00796C7B" w:rsidRDefault="00E27AE6" w:rsidP="00E27AE6">
      <w:pPr>
        <w:pStyle w:val="Default"/>
        <w:spacing w:after="40"/>
        <w:jc w:val="both"/>
        <w:rPr>
          <w:color w:val="auto"/>
        </w:rPr>
      </w:pPr>
      <w:r w:rsidRPr="00091DD9">
        <w:rPr>
          <w:color w:val="auto"/>
          <w:vertAlign w:val="superscript"/>
        </w:rPr>
        <w:t>(</w:t>
      </w:r>
      <w:r w:rsidR="009A2E3C" w:rsidRPr="00091DD9">
        <w:rPr>
          <w:color w:val="auto"/>
          <w:vertAlign w:val="superscript"/>
        </w:rPr>
        <w:t>8</w:t>
      </w:r>
      <w:r w:rsidRPr="00091DD9">
        <w:rPr>
          <w:color w:val="auto"/>
          <w:vertAlign w:val="superscript"/>
        </w:rPr>
        <w:t>)</w:t>
      </w:r>
      <w:r w:rsidRPr="00796C7B">
        <w:rPr>
          <w:color w:val="auto"/>
        </w:rPr>
        <w:t xml:space="preserve"> Les normes sont à mettre en œuvre ou toute autre méthode considérée comme équivalente.</w:t>
      </w:r>
    </w:p>
    <w:p w14:paraId="16553BD4" w14:textId="77777777" w:rsidR="0098762B" w:rsidRPr="0098762B" w:rsidRDefault="0098762B" w:rsidP="00467F16">
      <w:pPr>
        <w:pStyle w:val="Default"/>
        <w:spacing w:after="40"/>
        <w:jc w:val="both"/>
        <w:rPr>
          <w:i/>
          <w:iCs/>
          <w:color w:val="auto"/>
        </w:rPr>
      </w:pPr>
    </w:p>
    <w:p w14:paraId="2B387102" w14:textId="77777777" w:rsidR="008B3A3A" w:rsidRPr="00734ACE" w:rsidRDefault="008B3A3A" w:rsidP="003C0387">
      <w:pPr>
        <w:pStyle w:val="Titre3"/>
      </w:pPr>
      <w:r w:rsidRPr="00734ACE">
        <w:t xml:space="preserve">Article </w:t>
      </w:r>
      <w:r w:rsidR="00B6193F" w:rsidRPr="00734ACE">
        <w:t>1</w:t>
      </w:r>
      <w:r w:rsidR="002661F4" w:rsidRPr="00734ACE">
        <w:t>1</w:t>
      </w:r>
      <w:r w:rsidR="00B6193F" w:rsidRPr="00734ACE">
        <w:t>.4</w:t>
      </w:r>
      <w:r w:rsidRPr="00734ACE">
        <w:t xml:space="preserve"> Surveillance des sols</w:t>
      </w:r>
      <w:r w:rsidR="00F80B32" w:rsidRPr="00734ACE">
        <w:t xml:space="preserve"> et des eaux souterraines</w:t>
      </w:r>
    </w:p>
    <w:p w14:paraId="2F5429FA" w14:textId="52C53889" w:rsidR="007F48C9" w:rsidRPr="00734ACE" w:rsidRDefault="00F80B32" w:rsidP="008B3A3A">
      <w:pPr>
        <w:pStyle w:val="NormalWeb"/>
        <w:spacing w:beforeAutospacing="0" w:after="40"/>
        <w:jc w:val="both"/>
      </w:pPr>
      <w:r w:rsidRPr="00734ACE">
        <w:t>L’exploitant met en œuvre les dispositions prévues au IV de l’article</w:t>
      </w:r>
      <w:r w:rsidR="00D14D1B">
        <w:t xml:space="preserve"> </w:t>
      </w:r>
      <w:r w:rsidRPr="00734ACE">
        <w:t xml:space="preserve">6 </w:t>
      </w:r>
      <w:r w:rsidRPr="00796C7B">
        <w:rPr>
          <w:i/>
          <w:iCs/>
        </w:rPr>
        <w:t>bis</w:t>
      </w:r>
      <w:r w:rsidRPr="00734ACE">
        <w:t xml:space="preserve"> de l’arrêté du 2 février 1998 susvisé</w:t>
      </w:r>
      <w:r w:rsidR="00EC5C7E" w:rsidRPr="00734ACE">
        <w:t xml:space="preserve"> et dans un contexte de pollution, les dispositions des articles 65 </w:t>
      </w:r>
      <w:r w:rsidR="00EC5C7E" w:rsidRPr="00796C7B">
        <w:rPr>
          <w:i/>
          <w:iCs/>
        </w:rPr>
        <w:t>bis</w:t>
      </w:r>
      <w:r w:rsidR="00EC5C7E" w:rsidRPr="00734ACE">
        <w:t xml:space="preserve"> et 66 de l’arrêté du 2 février 1998 susvisé.</w:t>
      </w:r>
      <w:r w:rsidR="00D14D1B">
        <w:t xml:space="preserve"> </w:t>
      </w:r>
    </w:p>
    <w:p w14:paraId="220997D7" w14:textId="1282EF65" w:rsidR="007F48C9" w:rsidRPr="00734ACE" w:rsidRDefault="007F48C9" w:rsidP="008B3A3A">
      <w:pPr>
        <w:pStyle w:val="Default"/>
        <w:spacing w:after="40"/>
        <w:jc w:val="both"/>
        <w:rPr>
          <w:color w:val="auto"/>
        </w:rPr>
      </w:pPr>
    </w:p>
    <w:p w14:paraId="12AB1930" w14:textId="5739153F" w:rsidR="007F48C9" w:rsidRPr="00734ACE" w:rsidRDefault="007F48C9" w:rsidP="00A0049F">
      <w:pPr>
        <w:pStyle w:val="Titre1"/>
      </w:pPr>
      <w:bookmarkStart w:id="122" w:name="_Toc164951755"/>
      <w:r w:rsidRPr="00734ACE">
        <w:t>Chapitre X</w:t>
      </w:r>
      <w:r w:rsidR="00D1437C" w:rsidRPr="00734ACE">
        <w:t>I</w:t>
      </w:r>
      <w:r w:rsidR="00963E6E">
        <w:t>I</w:t>
      </w:r>
      <w:r w:rsidR="0036618F">
        <w:t>. - </w:t>
      </w:r>
      <w:r w:rsidR="0098762B">
        <w:t>E</w:t>
      </w:r>
      <w:r w:rsidRPr="00734ACE">
        <w:t>xécution</w:t>
      </w:r>
      <w:bookmarkEnd w:id="122"/>
    </w:p>
    <w:p w14:paraId="547216B0" w14:textId="004411F7" w:rsidR="007F48C9" w:rsidRPr="00915DEF" w:rsidRDefault="007F48C9" w:rsidP="009A1DAC">
      <w:pPr>
        <w:pStyle w:val="Titre3"/>
      </w:pPr>
      <w:bookmarkStart w:id="123" w:name="_Toc164951757"/>
      <w:r w:rsidRPr="00915DEF">
        <w:t xml:space="preserve">Article </w:t>
      </w:r>
      <w:r w:rsidRPr="00D40035">
        <w:t>1</w:t>
      </w:r>
      <w:r w:rsidR="0098762B">
        <w:t>2</w:t>
      </w:r>
      <w:r w:rsidR="00F66464">
        <w:t xml:space="preserve"> Exécution</w:t>
      </w:r>
      <w:bookmarkEnd w:id="123"/>
    </w:p>
    <w:p w14:paraId="50DDBEC4" w14:textId="25C2F29F" w:rsidR="009273F7" w:rsidRPr="00915DEF" w:rsidRDefault="009273F7" w:rsidP="009273F7">
      <w:pPr>
        <w:jc w:val="both"/>
        <w:rPr>
          <w:szCs w:val="24"/>
        </w:rPr>
      </w:pPr>
      <w:r w:rsidRPr="00915DEF">
        <w:rPr>
          <w:szCs w:val="24"/>
        </w:rPr>
        <w:t>L</w:t>
      </w:r>
      <w:r w:rsidR="00AA4857">
        <w:rPr>
          <w:szCs w:val="24"/>
        </w:rPr>
        <w:t>a</w:t>
      </w:r>
      <w:r w:rsidRPr="00915DEF">
        <w:rPr>
          <w:szCs w:val="24"/>
        </w:rPr>
        <w:t xml:space="preserve"> ministre </w:t>
      </w:r>
      <w:r w:rsidR="005476CC" w:rsidRPr="005476CC">
        <w:rPr>
          <w:szCs w:val="24"/>
        </w:rPr>
        <w:t>de la transition écologique, de la biodiversité, de la forêt, de la mer et de la pêche</w:t>
      </w:r>
      <w:r w:rsidR="00AA4857" w:rsidRPr="00AA4857">
        <w:rPr>
          <w:szCs w:val="24"/>
        </w:rPr>
        <w:t xml:space="preserve"> </w:t>
      </w:r>
      <w:r w:rsidRPr="00915DEF">
        <w:rPr>
          <w:szCs w:val="24"/>
        </w:rPr>
        <w:t>est chargé</w:t>
      </w:r>
      <w:r w:rsidR="00AA4857">
        <w:rPr>
          <w:szCs w:val="24"/>
        </w:rPr>
        <w:t>e</w:t>
      </w:r>
      <w:r w:rsidRPr="00915DEF">
        <w:rPr>
          <w:szCs w:val="24"/>
        </w:rPr>
        <w:t xml:space="preserve"> de l’exécution du présent arrêté, qui sera publié au </w:t>
      </w:r>
      <w:r w:rsidRPr="00915DEF">
        <w:rPr>
          <w:i/>
          <w:szCs w:val="24"/>
        </w:rPr>
        <w:t>Journal officiel</w:t>
      </w:r>
      <w:r w:rsidRPr="00915DEF">
        <w:rPr>
          <w:szCs w:val="24"/>
        </w:rPr>
        <w:t xml:space="preserve"> de la République française.</w:t>
      </w:r>
    </w:p>
    <w:p w14:paraId="65EC4CE7" w14:textId="7786E815" w:rsidR="009273F7" w:rsidRDefault="009273F7" w:rsidP="009273F7">
      <w:pPr>
        <w:jc w:val="both"/>
        <w:rPr>
          <w:szCs w:val="24"/>
        </w:rPr>
      </w:pPr>
    </w:p>
    <w:p w14:paraId="53B15C11" w14:textId="77777777" w:rsidR="00091DD9" w:rsidRPr="00915DEF" w:rsidRDefault="00091DD9" w:rsidP="009273F7">
      <w:pPr>
        <w:jc w:val="both"/>
        <w:rPr>
          <w:szCs w:val="24"/>
        </w:rPr>
      </w:pPr>
    </w:p>
    <w:p w14:paraId="354F22BE" w14:textId="77777777" w:rsidR="009273F7" w:rsidRPr="00915DEF" w:rsidRDefault="009273F7" w:rsidP="009273F7">
      <w:pPr>
        <w:jc w:val="both"/>
        <w:rPr>
          <w:szCs w:val="24"/>
        </w:rPr>
      </w:pPr>
      <w:r w:rsidRPr="00915DEF">
        <w:rPr>
          <w:szCs w:val="24"/>
        </w:rPr>
        <w:t xml:space="preserve">Fait le … </w:t>
      </w:r>
    </w:p>
    <w:p w14:paraId="37F4B149" w14:textId="77777777" w:rsidR="009273F7" w:rsidRPr="00915DEF" w:rsidRDefault="009273F7" w:rsidP="009273F7">
      <w:pPr>
        <w:jc w:val="both"/>
        <w:rPr>
          <w:szCs w:val="24"/>
        </w:rPr>
      </w:pPr>
    </w:p>
    <w:p w14:paraId="41420454" w14:textId="06D0E3CC" w:rsidR="009273F7" w:rsidRPr="00915DEF" w:rsidRDefault="009273F7" w:rsidP="009273F7">
      <w:pPr>
        <w:jc w:val="both"/>
        <w:rPr>
          <w:szCs w:val="24"/>
        </w:rPr>
      </w:pPr>
      <w:r w:rsidRPr="00915DEF">
        <w:rPr>
          <w:szCs w:val="24"/>
        </w:rPr>
        <w:t>Pour l</w:t>
      </w:r>
      <w:r w:rsidR="00AA4857">
        <w:rPr>
          <w:szCs w:val="24"/>
        </w:rPr>
        <w:t>a</w:t>
      </w:r>
      <w:r w:rsidRPr="00915DEF">
        <w:rPr>
          <w:szCs w:val="24"/>
        </w:rPr>
        <w:t xml:space="preserve"> ministre</w:t>
      </w:r>
      <w:r w:rsidR="00BA01C9">
        <w:rPr>
          <w:szCs w:val="24"/>
        </w:rPr>
        <w:t xml:space="preserve"> de la t</w:t>
      </w:r>
      <w:r w:rsidR="00BA01C9" w:rsidRPr="00BA01C9">
        <w:rPr>
          <w:szCs w:val="24"/>
        </w:rPr>
        <w:t xml:space="preserve">ransition écologique, de la </w:t>
      </w:r>
      <w:r w:rsidR="00BA01C9">
        <w:rPr>
          <w:szCs w:val="24"/>
        </w:rPr>
        <w:t>b</w:t>
      </w:r>
      <w:r w:rsidR="00BA01C9" w:rsidRPr="00BA01C9">
        <w:rPr>
          <w:szCs w:val="24"/>
        </w:rPr>
        <w:t xml:space="preserve">iodiversité, de la </w:t>
      </w:r>
      <w:r w:rsidR="00BA01C9">
        <w:rPr>
          <w:szCs w:val="24"/>
        </w:rPr>
        <w:t>f</w:t>
      </w:r>
      <w:r w:rsidR="00BA01C9" w:rsidRPr="00BA01C9">
        <w:rPr>
          <w:szCs w:val="24"/>
        </w:rPr>
        <w:t xml:space="preserve">orêt, de la </w:t>
      </w:r>
      <w:r w:rsidR="00BA01C9">
        <w:rPr>
          <w:szCs w:val="24"/>
        </w:rPr>
        <w:t>m</w:t>
      </w:r>
      <w:r w:rsidR="00BA01C9" w:rsidRPr="00BA01C9">
        <w:rPr>
          <w:szCs w:val="24"/>
        </w:rPr>
        <w:t xml:space="preserve">er et de la </w:t>
      </w:r>
      <w:r w:rsidR="00BA01C9">
        <w:rPr>
          <w:szCs w:val="24"/>
        </w:rPr>
        <w:t>p</w:t>
      </w:r>
      <w:r w:rsidR="00BA01C9" w:rsidRPr="00BA01C9">
        <w:rPr>
          <w:szCs w:val="24"/>
        </w:rPr>
        <w:t>êche</w:t>
      </w:r>
      <w:r w:rsidR="00AA4857" w:rsidRPr="00AA4857">
        <w:rPr>
          <w:szCs w:val="24"/>
        </w:rPr>
        <w:t xml:space="preserve"> </w:t>
      </w:r>
      <w:r w:rsidRPr="00915DEF">
        <w:rPr>
          <w:szCs w:val="24"/>
        </w:rPr>
        <w:t>et par délégation :</w:t>
      </w:r>
    </w:p>
    <w:p w14:paraId="1CACD6F2" w14:textId="5D06B0BC" w:rsidR="009273F7" w:rsidRDefault="009273F7" w:rsidP="009273F7">
      <w:pPr>
        <w:jc w:val="both"/>
        <w:rPr>
          <w:szCs w:val="24"/>
        </w:rPr>
      </w:pPr>
    </w:p>
    <w:p w14:paraId="64B703C5" w14:textId="77777777" w:rsidR="00A12D06" w:rsidRDefault="00A12D06" w:rsidP="009273F7">
      <w:pPr>
        <w:jc w:val="both"/>
        <w:rPr>
          <w:szCs w:val="24"/>
        </w:rPr>
      </w:pPr>
    </w:p>
    <w:p w14:paraId="2DBEBFE2" w14:textId="77777777" w:rsidR="009273F7" w:rsidRPr="00915DEF" w:rsidRDefault="009273F7" w:rsidP="009273F7">
      <w:pPr>
        <w:jc w:val="both"/>
        <w:rPr>
          <w:i/>
          <w:szCs w:val="24"/>
        </w:rPr>
      </w:pPr>
      <w:r w:rsidRPr="00915DEF">
        <w:rPr>
          <w:i/>
          <w:szCs w:val="24"/>
        </w:rPr>
        <w:t>Le directeur général</w:t>
      </w:r>
    </w:p>
    <w:p w14:paraId="09D3FCE6" w14:textId="00466E40" w:rsidR="009273F7" w:rsidRDefault="009273F7" w:rsidP="009273F7">
      <w:pPr>
        <w:jc w:val="both"/>
        <w:rPr>
          <w:i/>
          <w:szCs w:val="24"/>
        </w:rPr>
      </w:pPr>
      <w:r w:rsidRPr="00915DEF">
        <w:rPr>
          <w:i/>
          <w:szCs w:val="24"/>
        </w:rPr>
        <w:t>de la prévention des risques,</w:t>
      </w:r>
    </w:p>
    <w:p w14:paraId="29003F61" w14:textId="6326FBA1" w:rsidR="00091DD9" w:rsidRDefault="00091DD9" w:rsidP="009273F7">
      <w:pPr>
        <w:jc w:val="both"/>
        <w:rPr>
          <w:i/>
          <w:szCs w:val="24"/>
        </w:rPr>
      </w:pPr>
    </w:p>
    <w:p w14:paraId="699039CF" w14:textId="77777777" w:rsidR="00A12D06" w:rsidRDefault="00A12D06" w:rsidP="009273F7">
      <w:pPr>
        <w:jc w:val="both"/>
        <w:rPr>
          <w:i/>
          <w:szCs w:val="24"/>
        </w:rPr>
      </w:pPr>
    </w:p>
    <w:p w14:paraId="2499B516" w14:textId="77777777" w:rsidR="009273F7" w:rsidRPr="00915DEF" w:rsidRDefault="009273F7" w:rsidP="009273F7">
      <w:pPr>
        <w:pStyle w:val="Default"/>
        <w:spacing w:before="280"/>
      </w:pPr>
      <w:r w:rsidRPr="00915DEF">
        <w:t>C. BOURILLET</w:t>
      </w:r>
    </w:p>
    <w:p w14:paraId="537543C2" w14:textId="719E5B71" w:rsidR="00A12D06" w:rsidRPr="003A602C" w:rsidRDefault="008D482D">
      <w:pPr>
        <w:textAlignment w:val="auto"/>
        <w:rPr>
          <w:kern w:val="0"/>
          <w:szCs w:val="24"/>
          <w:lang w:eastAsia="fr-FR"/>
        </w:rPr>
      </w:pPr>
      <w:r w:rsidRPr="00915DEF">
        <w:rPr>
          <w:color w:val="ED7D31" w:themeColor="accent2"/>
          <w:szCs w:val="24"/>
        </w:rPr>
        <w:br w:type="page"/>
      </w:r>
    </w:p>
    <w:p w14:paraId="2573FA60" w14:textId="77777777" w:rsidR="00423359" w:rsidRDefault="00423359">
      <w:pPr>
        <w:textAlignment w:val="auto"/>
        <w:rPr>
          <w:kern w:val="0"/>
          <w:szCs w:val="24"/>
          <w:lang w:eastAsia="fr-FR"/>
        </w:rPr>
        <w:sectPr w:rsidR="00423359">
          <w:footerReference w:type="default" r:id="rId10"/>
          <w:pgSz w:w="11906" w:h="16838"/>
          <w:pgMar w:top="684" w:right="1417" w:bottom="1417" w:left="1417" w:header="0" w:footer="720" w:gutter="0"/>
          <w:pgNumType w:start="1"/>
          <w:cols w:space="720"/>
          <w:formProt w:val="0"/>
          <w:docGrid w:linePitch="360"/>
        </w:sectPr>
      </w:pPr>
    </w:p>
    <w:p w14:paraId="60CA32A5" w14:textId="7770B89A" w:rsidR="00684B60" w:rsidRPr="00FC27BD" w:rsidRDefault="00284ED5" w:rsidP="00FC27BD">
      <w:pPr>
        <w:pStyle w:val="Titre1"/>
        <w:rPr>
          <w:lang w:eastAsia="fr-FR"/>
        </w:rPr>
      </w:pPr>
      <w:r>
        <w:rPr>
          <w:lang w:eastAsia="fr-FR"/>
        </w:rPr>
        <w:t xml:space="preserve">Annexe </w:t>
      </w:r>
      <w:r w:rsidR="00E93F52">
        <w:rPr>
          <w:lang w:eastAsia="fr-FR"/>
        </w:rPr>
        <w:t>- Epandage</w:t>
      </w:r>
    </w:p>
    <w:p w14:paraId="0FCDC8D1" w14:textId="16BFC488" w:rsidR="00E93F52" w:rsidRDefault="00BB1597" w:rsidP="00E822B5">
      <w:pPr>
        <w:pStyle w:val="Default"/>
        <w:spacing w:after="40"/>
        <w:jc w:val="both"/>
        <w:rPr>
          <w:color w:val="auto"/>
        </w:rPr>
      </w:pPr>
      <w:r>
        <w:rPr>
          <w:color w:val="auto"/>
        </w:rPr>
        <w:t>a</w:t>
      </w:r>
      <w:r w:rsidR="00E822B5" w:rsidRPr="00423359">
        <w:rPr>
          <w:color w:val="auto"/>
        </w:rPr>
        <w:t>1</w:t>
      </w:r>
      <w:r w:rsidR="000E19CD">
        <w:rPr>
          <w:color w:val="auto"/>
        </w:rPr>
        <w:t>° </w:t>
      </w:r>
      <w:r w:rsidR="00E822B5" w:rsidRPr="00423359">
        <w:rPr>
          <w:color w:val="auto"/>
        </w:rPr>
        <w:t xml:space="preserve"> </w:t>
      </w:r>
      <w:r w:rsidR="00092E4E">
        <w:rPr>
          <w:color w:val="auto"/>
        </w:rPr>
        <w:t>P</w:t>
      </w:r>
      <w:r w:rsidR="00092E4E" w:rsidRPr="00092E4E">
        <w:rPr>
          <w:color w:val="auto"/>
        </w:rPr>
        <w:t>euvent être épandues selon les dispositions prévues à a présente annexe</w:t>
      </w:r>
      <w:r w:rsidR="00092E4E">
        <w:rPr>
          <w:color w:val="auto"/>
        </w:rPr>
        <w:t xml:space="preserve"> l</w:t>
      </w:r>
      <w:r w:rsidR="00E93F52" w:rsidRPr="00E93F52">
        <w:rPr>
          <w:color w:val="auto"/>
        </w:rPr>
        <w:t>es boues issues des installations traitant des sous-produits de catégorie 3, et, par dérogation préfectorale, les boues produites par les stations d'épuration des eaux ayant subi un prétraitement</w:t>
      </w:r>
      <w:r w:rsidR="00092E4E">
        <w:rPr>
          <w:color w:val="auto"/>
        </w:rPr>
        <w:t>,</w:t>
      </w:r>
      <w:r w:rsidR="00E93F52" w:rsidRPr="00E93F52">
        <w:rPr>
          <w:color w:val="auto"/>
        </w:rPr>
        <w:t xml:space="preserve"> </w:t>
      </w:r>
      <w:r w:rsidR="00092E4E">
        <w:rPr>
          <w:color w:val="auto"/>
        </w:rPr>
        <w:t xml:space="preserve">mentionné au point 1° de la section 2 de l’annexe IV du règlement </w:t>
      </w:r>
      <w:r w:rsidR="00092E4E" w:rsidRPr="00092E4E">
        <w:rPr>
          <w:color w:val="auto"/>
        </w:rPr>
        <w:t>du 25 février 2011</w:t>
      </w:r>
      <w:r w:rsidR="00092E4E">
        <w:rPr>
          <w:color w:val="auto"/>
        </w:rPr>
        <w:t xml:space="preserve"> susvisé, </w:t>
      </w:r>
      <w:r w:rsidR="00E93F52" w:rsidRPr="00E93F52">
        <w:rPr>
          <w:color w:val="auto"/>
        </w:rPr>
        <w:t>dans la mesure où l'exploitant s'assure que ces boues ne représentent pas un risque pour la santé humaine, la santé animale et l'environnement</w:t>
      </w:r>
      <w:r w:rsidR="00092E4E">
        <w:rPr>
          <w:color w:val="auto"/>
        </w:rPr>
        <w:t>.</w:t>
      </w:r>
    </w:p>
    <w:p w14:paraId="4C52AE9D" w14:textId="1EFD1862" w:rsidR="00E822B5" w:rsidRPr="00423359" w:rsidRDefault="00A12D06" w:rsidP="00E822B5">
      <w:pPr>
        <w:pStyle w:val="Default"/>
        <w:spacing w:after="40"/>
        <w:jc w:val="both"/>
        <w:rPr>
          <w:color w:val="auto"/>
        </w:rPr>
      </w:pPr>
      <w:r w:rsidRPr="00423359">
        <w:rPr>
          <w:color w:val="auto"/>
        </w:rPr>
        <w:t>Seul</w:t>
      </w:r>
      <w:r>
        <w:rPr>
          <w:color w:val="auto"/>
        </w:rPr>
        <w:t>es</w:t>
      </w:r>
      <w:r w:rsidR="00E822B5" w:rsidRPr="00423359">
        <w:rPr>
          <w:color w:val="auto"/>
        </w:rPr>
        <w:t xml:space="preserve"> les </w:t>
      </w:r>
      <w:r w:rsidR="00092E4E">
        <w:rPr>
          <w:color w:val="auto"/>
        </w:rPr>
        <w:t>matières</w:t>
      </w:r>
      <w:r w:rsidR="00E822B5" w:rsidRPr="00423359">
        <w:rPr>
          <w:color w:val="auto"/>
        </w:rPr>
        <w:t xml:space="preserve"> ayant un intérêt pour les sols ou pour la nutrition des cultures peuvent être épandu</w:t>
      </w:r>
      <w:r w:rsidR="00092E4E">
        <w:rPr>
          <w:color w:val="auto"/>
        </w:rPr>
        <w:t>e</w:t>
      </w:r>
      <w:r w:rsidR="00E822B5" w:rsidRPr="00423359">
        <w:rPr>
          <w:color w:val="auto"/>
        </w:rPr>
        <w:t>s.</w:t>
      </w:r>
    </w:p>
    <w:p w14:paraId="1B019EE5" w14:textId="77777777" w:rsidR="00E822B5" w:rsidRPr="00423359" w:rsidRDefault="00E822B5" w:rsidP="00E822B5">
      <w:pPr>
        <w:pStyle w:val="Default"/>
        <w:spacing w:after="40"/>
        <w:jc w:val="both"/>
        <w:rPr>
          <w:color w:val="auto"/>
        </w:rPr>
      </w:pPr>
      <w:r w:rsidRPr="00423359">
        <w:rPr>
          <w:color w:val="auto"/>
        </w:rPr>
        <w:t>La nature, les caractéristiques et les quantités de déchets ou d'effluents destinés à l'épandage sont telles que leur manipulation et leur application ne portent pas atteinte, directe ou indirecte, à la santé de l'homme et des animaux, à la qualité et à l'état phytosanitaire des cultures, à la qualité des sols et des milieux aquatiques, et que les nuisances soient réduites au minimum.</w:t>
      </w:r>
    </w:p>
    <w:p w14:paraId="28397336" w14:textId="0BAC3510" w:rsidR="00E822B5" w:rsidRPr="00423359" w:rsidRDefault="00E822B5" w:rsidP="00E822B5">
      <w:pPr>
        <w:pStyle w:val="Default"/>
        <w:spacing w:after="40"/>
        <w:jc w:val="both"/>
        <w:rPr>
          <w:color w:val="auto"/>
        </w:rPr>
      </w:pPr>
      <w:r w:rsidRPr="00423359">
        <w:rPr>
          <w:color w:val="auto"/>
        </w:rPr>
        <w:t>2</w:t>
      </w:r>
      <w:r w:rsidR="000E19CD">
        <w:rPr>
          <w:color w:val="auto"/>
        </w:rPr>
        <w:t>° </w:t>
      </w:r>
      <w:r w:rsidRPr="00423359">
        <w:rPr>
          <w:color w:val="auto"/>
        </w:rPr>
        <w:t>Les périodes d'épandage et les quantités épandues sont adaptées de manière :</w:t>
      </w:r>
    </w:p>
    <w:p w14:paraId="3F05A50D" w14:textId="687C5005"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à assurer l'apport des éléments utiles aux sols ou aux cultures sans excéder les besoins, compte tenu des apports de toute nature, y compris les engrais, les amendements et les supports de culture ;</w:t>
      </w:r>
    </w:p>
    <w:p w14:paraId="5699B3AC" w14:textId="0416CC47"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à empêcher la stagnation prolongée sur les sols, le ruissellement en dehors des parcelles d'épandage, une percolation rapide ;</w:t>
      </w:r>
    </w:p>
    <w:p w14:paraId="618EA00E" w14:textId="79A767F4"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à empêcher l'accumulation dans le sol de substances susceptibles à long terme de dégrader sa structure ou de présenter un risque écotoxique ;</w:t>
      </w:r>
    </w:p>
    <w:p w14:paraId="379F195F" w14:textId="264BE345"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à empêcher le colmatage du sol, notamment par les graisses.</w:t>
      </w:r>
    </w:p>
    <w:p w14:paraId="6D9D14A5" w14:textId="485A89A2" w:rsidR="00E822B5" w:rsidRPr="00423359" w:rsidRDefault="00E822B5" w:rsidP="00E822B5">
      <w:pPr>
        <w:pStyle w:val="Default"/>
        <w:spacing w:after="40"/>
        <w:jc w:val="both"/>
        <w:rPr>
          <w:color w:val="auto"/>
        </w:rPr>
      </w:pPr>
      <w:r w:rsidRPr="00423359">
        <w:rPr>
          <w:color w:val="auto"/>
        </w:rPr>
        <w:t>3</w:t>
      </w:r>
      <w:r w:rsidR="000E19CD">
        <w:rPr>
          <w:color w:val="auto"/>
        </w:rPr>
        <w:t>° </w:t>
      </w:r>
      <w:r w:rsidRPr="00423359">
        <w:rPr>
          <w:color w:val="auto"/>
        </w:rPr>
        <w:t>L'épandage est interdit :</w:t>
      </w:r>
    </w:p>
    <w:p w14:paraId="3E2DF48E" w14:textId="545EF533"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pendant les périodes où le sol est pris en masse par le gel ou abondamment enneigé, exception faite des déchets solides ;</w:t>
      </w:r>
    </w:p>
    <w:p w14:paraId="040BB3BF" w14:textId="59F18E33"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pendant les périodes de forte pluviosité et pendant les périodes où il existe un risque d'inondation ;</w:t>
      </w:r>
    </w:p>
    <w:p w14:paraId="4FFB56CA" w14:textId="22E93137"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en dehors des terres régulièrement travaillées et des prairies ou des forêts exploitées ;</w:t>
      </w:r>
    </w:p>
    <w:p w14:paraId="783D6A42" w14:textId="6711DA07"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sur les terrains à forte pente, dans des conditions qui entraîneraient leur ruissellement hors du champ d’épandage</w:t>
      </w:r>
      <w:r w:rsidR="000E19CD">
        <w:rPr>
          <w:color w:val="auto"/>
        </w:rPr>
        <w:t> </w:t>
      </w:r>
      <w:r w:rsidRPr="00423359">
        <w:rPr>
          <w:color w:val="auto"/>
        </w:rPr>
        <w:t>;</w:t>
      </w:r>
    </w:p>
    <w:p w14:paraId="67224EE0" w14:textId="32E63096"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à l'aide de dispositifs d'</w:t>
      </w:r>
      <w:proofErr w:type="spellStart"/>
      <w:r w:rsidRPr="00423359">
        <w:rPr>
          <w:color w:val="auto"/>
        </w:rPr>
        <w:t>aéro</w:t>
      </w:r>
      <w:proofErr w:type="spellEnd"/>
      <w:r w:rsidRPr="00423359">
        <w:rPr>
          <w:color w:val="auto"/>
        </w:rPr>
        <w:t>-aspersion qui produisent des brouillards fins lorsque les effluents sont susceptibles de contenir des microorganismes pathogènes.</w:t>
      </w:r>
    </w:p>
    <w:p w14:paraId="2A38CC9B" w14:textId="43E2AF80" w:rsidR="00E822B5" w:rsidRPr="00423359" w:rsidRDefault="00E822B5" w:rsidP="00E822B5">
      <w:pPr>
        <w:pStyle w:val="Default"/>
        <w:spacing w:after="40"/>
        <w:jc w:val="both"/>
        <w:rPr>
          <w:color w:val="auto"/>
        </w:rPr>
      </w:pPr>
      <w:r w:rsidRPr="00423359">
        <w:rPr>
          <w:color w:val="auto"/>
        </w:rPr>
        <w:t>4</w:t>
      </w:r>
      <w:r w:rsidR="000E19CD">
        <w:rPr>
          <w:color w:val="auto"/>
        </w:rPr>
        <w:t>° </w:t>
      </w:r>
      <w:r w:rsidRPr="00423359">
        <w:rPr>
          <w:color w:val="auto"/>
        </w:rPr>
        <w:t>Sous réserve des prescriptions fixées en application de l'article L. 1331-1 du code de la santé publique, l'épandage de déchets ou d'effluents respecte les distances et délais minima prévus au tableau suivant :</w:t>
      </w:r>
    </w:p>
    <w:p w14:paraId="600E18FE" w14:textId="6A73A680" w:rsidR="00E822B5" w:rsidRPr="00423359" w:rsidRDefault="00E822B5" w:rsidP="00E822B5">
      <w:pPr>
        <w:pStyle w:val="Default"/>
        <w:spacing w:after="40"/>
        <w:jc w:val="both"/>
        <w:rPr>
          <w:color w:val="auto"/>
        </w:rPr>
      </w:pPr>
      <w:r w:rsidRPr="00423359">
        <w:rPr>
          <w:color w:val="auto"/>
        </w:rPr>
        <w:t xml:space="preserve">(non reproduit, </w:t>
      </w:r>
      <w:r w:rsidRPr="00BB1597">
        <w:rPr>
          <w:color w:val="auto"/>
        </w:rPr>
        <w:t xml:space="preserve">voir </w:t>
      </w:r>
      <w:r w:rsidRPr="00BB1597">
        <w:rPr>
          <w:i/>
          <w:iCs/>
          <w:color w:val="auto"/>
        </w:rPr>
        <w:t>J</w:t>
      </w:r>
      <w:r w:rsidR="000E19CD" w:rsidRPr="00BB1597">
        <w:rPr>
          <w:i/>
          <w:iCs/>
          <w:color w:val="auto"/>
        </w:rPr>
        <w:t>ournal Officiel</w:t>
      </w:r>
      <w:r w:rsidR="000E19CD" w:rsidRPr="00BB1597">
        <w:rPr>
          <w:color w:val="auto"/>
        </w:rPr>
        <w:t xml:space="preserve"> </w:t>
      </w:r>
      <w:r w:rsidRPr="00BB1597">
        <w:rPr>
          <w:color w:val="auto"/>
        </w:rPr>
        <w:t>du 15 avril 2003, page 6660</w:t>
      </w:r>
      <w:r w:rsidRPr="00423359">
        <w:rPr>
          <w:color w:val="auto"/>
        </w:rPr>
        <w:t>).</w:t>
      </w:r>
    </w:p>
    <w:p w14:paraId="17E1BB71" w14:textId="77777777" w:rsidR="00E822B5" w:rsidRPr="00423359" w:rsidRDefault="00E822B5" w:rsidP="00E822B5">
      <w:pPr>
        <w:pStyle w:val="Default"/>
        <w:spacing w:after="40"/>
        <w:jc w:val="both"/>
        <w:rPr>
          <w:color w:val="auto"/>
        </w:rPr>
      </w:pPr>
      <w:r w:rsidRPr="00423359">
        <w:rPr>
          <w:color w:val="auto"/>
        </w:rPr>
        <w:t>Les déchets solides ou pâteux non stabilisés sont enfouis le plus tôt possible, dans un délai maximum de quarante-huit heures, pour réduire les nuisances olfactives et les pertes par volatilisation.</w:t>
      </w:r>
    </w:p>
    <w:p w14:paraId="49E0987F" w14:textId="77777777" w:rsidR="00E822B5" w:rsidRPr="00423359" w:rsidRDefault="00E822B5" w:rsidP="00E822B5">
      <w:pPr>
        <w:pStyle w:val="Default"/>
        <w:spacing w:after="40"/>
        <w:jc w:val="both"/>
        <w:rPr>
          <w:color w:val="auto"/>
        </w:rPr>
      </w:pPr>
      <w:r w:rsidRPr="00423359">
        <w:rPr>
          <w:color w:val="auto"/>
        </w:rPr>
        <w:t>Des dérogations à l'obligation d'enfouissement peuvent toutefois être accordées pour des cultures en place à condition que celles-ci ne soient pas destinées à la consommation humaine directe.</w:t>
      </w:r>
    </w:p>
    <w:p w14:paraId="48470DB0" w14:textId="71C77701" w:rsidR="00E822B5" w:rsidRPr="00423359" w:rsidRDefault="00E822B5" w:rsidP="00E822B5">
      <w:pPr>
        <w:pStyle w:val="Default"/>
        <w:spacing w:after="40"/>
        <w:jc w:val="both"/>
        <w:rPr>
          <w:color w:val="auto"/>
        </w:rPr>
      </w:pPr>
      <w:r w:rsidRPr="00423359">
        <w:rPr>
          <w:color w:val="auto"/>
        </w:rPr>
        <w:t>5</w:t>
      </w:r>
      <w:r w:rsidR="000E19CD">
        <w:rPr>
          <w:color w:val="auto"/>
        </w:rPr>
        <w:t>° </w:t>
      </w:r>
      <w:r w:rsidRPr="00423359">
        <w:rPr>
          <w:color w:val="auto"/>
        </w:rPr>
        <w:t>Tout épandage est subordonné à une étude préalable, comprise dans l'étude d'impact, montrant l'innocuité (dans les conditions d'emploi) et l'intérêt agronomique des effluents ou des déchets, l'aptitude du sol à les recevoir, le périmètre d'épandage et les modalités de sa réalisation.</w:t>
      </w:r>
    </w:p>
    <w:p w14:paraId="68E4F2B3" w14:textId="77777777" w:rsidR="00E822B5" w:rsidRPr="00423359" w:rsidRDefault="00E822B5" w:rsidP="00E822B5">
      <w:pPr>
        <w:pStyle w:val="Default"/>
        <w:spacing w:after="40"/>
        <w:jc w:val="both"/>
        <w:rPr>
          <w:color w:val="auto"/>
        </w:rPr>
      </w:pPr>
      <w:r w:rsidRPr="00423359">
        <w:rPr>
          <w:color w:val="auto"/>
        </w:rPr>
        <w:t>Cette étude justifie la compatibilité de l'épandage avec les contraintes environnementales recensées ou les documents de planification existants et est conforme aux dispositions du présent arrêté et à celles qui résultent des autres réglementations en vigueur.</w:t>
      </w:r>
    </w:p>
    <w:p w14:paraId="323FAE18" w14:textId="43EAEAA9" w:rsidR="00E822B5" w:rsidRPr="00423359" w:rsidRDefault="00E822B5" w:rsidP="00E822B5">
      <w:pPr>
        <w:pStyle w:val="Default"/>
        <w:spacing w:after="40"/>
        <w:jc w:val="both"/>
        <w:rPr>
          <w:color w:val="auto"/>
        </w:rPr>
      </w:pPr>
      <w:r w:rsidRPr="00423359">
        <w:rPr>
          <w:color w:val="auto"/>
        </w:rPr>
        <w:t>Cette étude préalable comprend au minimum :</w:t>
      </w:r>
    </w:p>
    <w:p w14:paraId="5006AC3B" w14:textId="26393B73"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présentation des déchets ou effluents : origine, procédés de fabrication, quantités et caractéristiques ;</w:t>
      </w:r>
    </w:p>
    <w:p w14:paraId="2B0A2149" w14:textId="7CAA6D63"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représentation cartographique au 1/25 000 du périmètre d'étude et des zones aptes à l'épandage ;</w:t>
      </w:r>
    </w:p>
    <w:p w14:paraId="3EABBCCB" w14:textId="31335B2A"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représentation cartographique, à une échelle appropriée, des parcelles aptes à l'épandage et de celles qui en sont exclues, en précisant les motifs d'exclusion ;</w:t>
      </w:r>
    </w:p>
    <w:p w14:paraId="5D769854" w14:textId="1A3D18D3"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liste des parcelles retenues avec leur référence cadastrale ;</w:t>
      </w:r>
    </w:p>
    <w:p w14:paraId="29BEAD87" w14:textId="34EE23D4"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l'identification des contraintes liées au milieu naturel ou aux activités humaines dans le périmètre d'étude et l'analyse des nuisances qui pourraient résulter de l'épandage ;</w:t>
      </w:r>
    </w:p>
    <w:p w14:paraId="1313D3CF" w14:textId="2EE1594D"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description des caractéristiques des sols, des systèmes de culture et des cultures envisagées dans le périmètre d'étude ;</w:t>
      </w:r>
    </w:p>
    <w:p w14:paraId="7AB175C7" w14:textId="162BBE49"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une analyse des sols portant sur les paramètres mentionnés au tableau suivant, réalisée en un point de référence, représentatif de chaque zone homogène ;</w:t>
      </w:r>
    </w:p>
    <w:p w14:paraId="05003B5F" w14:textId="272FABCC" w:rsidR="00E822B5" w:rsidRPr="00423359" w:rsidRDefault="00E822B5" w:rsidP="00E822B5">
      <w:pPr>
        <w:pStyle w:val="Default"/>
        <w:spacing w:after="40"/>
        <w:jc w:val="both"/>
        <w:rPr>
          <w:color w:val="auto"/>
        </w:rPr>
      </w:pPr>
      <w:r w:rsidRPr="00423359">
        <w:rPr>
          <w:color w:val="auto"/>
        </w:rPr>
        <w:t xml:space="preserve">(non reproduit, </w:t>
      </w:r>
      <w:r w:rsidRPr="00BB1597">
        <w:rPr>
          <w:color w:val="auto"/>
        </w:rPr>
        <w:t xml:space="preserve">voir </w:t>
      </w:r>
      <w:r w:rsidR="0001737D" w:rsidRPr="00BB1597">
        <w:rPr>
          <w:color w:val="auto"/>
        </w:rPr>
        <w:t xml:space="preserve">le </w:t>
      </w:r>
      <w:r w:rsidR="000E19CD" w:rsidRPr="00D03987">
        <w:rPr>
          <w:i/>
          <w:iCs/>
          <w:color w:val="auto"/>
        </w:rPr>
        <w:t>Journal Officiel</w:t>
      </w:r>
      <w:r w:rsidR="000E19CD" w:rsidRPr="00D03987">
        <w:rPr>
          <w:color w:val="auto"/>
        </w:rPr>
        <w:t xml:space="preserve"> </w:t>
      </w:r>
      <w:r w:rsidRPr="00D03987">
        <w:rPr>
          <w:color w:val="auto"/>
        </w:rPr>
        <w:t>du 15 avril 2003, page 6661</w:t>
      </w:r>
      <w:r w:rsidRPr="00BB1597">
        <w:rPr>
          <w:color w:val="auto"/>
        </w:rPr>
        <w:t>).</w:t>
      </w:r>
    </w:p>
    <w:p w14:paraId="74F26A86" w14:textId="6ADE6A34"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justification des doses d'apport et des fréquences d'épandage sur une même parcelle ;</w:t>
      </w:r>
    </w:p>
    <w:p w14:paraId="12ED8DAB" w14:textId="719D3676"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description des modalités techniques de réalisation de l'épandage ;</w:t>
      </w:r>
    </w:p>
    <w:p w14:paraId="3E609DAE" w14:textId="373F4A86"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description des modalités de surveillance des opérations d'épandage et de contrôle de la qualité des effluents ou déchets épandus ;</w:t>
      </w:r>
    </w:p>
    <w:p w14:paraId="1B8DFDC5" w14:textId="121AC1B0"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localisation, le volume et les caractéristiques des ouvrages d'entreposage. L'étude préalable est complétée par l'accord écrit des exploitants agricoles des parcelles pour la mise en œuvre de l'épandage dans les conditions envisagées.</w:t>
      </w:r>
    </w:p>
    <w:p w14:paraId="314D3513" w14:textId="27852999" w:rsidR="00E822B5" w:rsidRPr="00423359" w:rsidRDefault="00E822B5" w:rsidP="00E822B5">
      <w:pPr>
        <w:pStyle w:val="Default"/>
        <w:spacing w:after="40"/>
        <w:jc w:val="both"/>
        <w:rPr>
          <w:color w:val="auto"/>
        </w:rPr>
      </w:pPr>
      <w:r w:rsidRPr="00423359">
        <w:rPr>
          <w:color w:val="auto"/>
        </w:rPr>
        <w:t xml:space="preserve">Une filière alternative d'élimination ou de valorisation des déchets solides ou pâteux </w:t>
      </w:r>
      <w:r w:rsidR="000E19CD">
        <w:rPr>
          <w:color w:val="auto"/>
        </w:rPr>
        <w:t>est</w:t>
      </w:r>
      <w:r w:rsidRPr="00423359">
        <w:rPr>
          <w:color w:val="auto"/>
        </w:rPr>
        <w:t xml:space="preserve"> prévue en cas d'impossibilité temporaire de se conformer aux dispositions du présent arrêté.</w:t>
      </w:r>
    </w:p>
    <w:p w14:paraId="79F9F0D1" w14:textId="77777777" w:rsidR="00E822B5" w:rsidRPr="00423359" w:rsidRDefault="00E822B5" w:rsidP="00E822B5">
      <w:pPr>
        <w:pStyle w:val="Default"/>
        <w:spacing w:after="40"/>
        <w:jc w:val="both"/>
        <w:rPr>
          <w:color w:val="auto"/>
        </w:rPr>
      </w:pPr>
      <w:r w:rsidRPr="00423359">
        <w:rPr>
          <w:color w:val="auto"/>
        </w:rPr>
        <w:t>Le préfet peut faire appel à un organisme indépendant du producteur de déchets ou d'effluents et mettre en place un dispositif de suivi agronomique des épandages dans un objectif de préservation de la qualité des sols, des cultures et des produits.</w:t>
      </w:r>
    </w:p>
    <w:p w14:paraId="049876BE" w14:textId="3A998FF3" w:rsidR="00E822B5" w:rsidRPr="00423359" w:rsidRDefault="00E822B5" w:rsidP="00E822B5">
      <w:pPr>
        <w:pStyle w:val="Default"/>
        <w:spacing w:after="40"/>
        <w:jc w:val="both"/>
        <w:rPr>
          <w:color w:val="auto"/>
        </w:rPr>
      </w:pPr>
      <w:r w:rsidRPr="00423359">
        <w:rPr>
          <w:color w:val="auto"/>
        </w:rPr>
        <w:t>6</w:t>
      </w:r>
      <w:r w:rsidR="000E19CD">
        <w:rPr>
          <w:color w:val="auto"/>
        </w:rPr>
        <w:t>° </w:t>
      </w:r>
      <w:r w:rsidRPr="00423359">
        <w:rPr>
          <w:color w:val="auto"/>
        </w:rPr>
        <w:t>Le pH des effluents ou des déchets est compris entre 6,5 et 8,5. Toutefois, des valeurs différentes peuvent être retenues sous réserve de conclusions favorables de l'étude préalable.</w:t>
      </w:r>
    </w:p>
    <w:p w14:paraId="68101164" w14:textId="77777777" w:rsidR="00E822B5" w:rsidRPr="00423359" w:rsidRDefault="00E822B5" w:rsidP="00E822B5">
      <w:pPr>
        <w:pStyle w:val="Default"/>
        <w:spacing w:after="40"/>
        <w:jc w:val="both"/>
        <w:rPr>
          <w:color w:val="auto"/>
        </w:rPr>
      </w:pPr>
      <w:r w:rsidRPr="00423359">
        <w:rPr>
          <w:color w:val="auto"/>
        </w:rPr>
        <w:t>Les déchets ou effluents ne doivent pas être épandus sur des sols dont le pH avant épandage est inférieur à 6, sauf lorsque les conditions suivantes sont simultanément remplies :</w:t>
      </w:r>
    </w:p>
    <w:p w14:paraId="4B781646" w14:textId="30342E0D"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 pH du sol est supérieur à 5 ;</w:t>
      </w:r>
    </w:p>
    <w:p w14:paraId="58FB5950" w14:textId="5CD77B38"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nature des déchets ou effluents peut contribuer à remonter le pH du sol à une valeur supérieure ou égale à 6.</w:t>
      </w:r>
    </w:p>
    <w:p w14:paraId="3D9E42C1" w14:textId="1DDC948B" w:rsidR="00E822B5" w:rsidRPr="00423359" w:rsidRDefault="00E822B5" w:rsidP="00E822B5">
      <w:pPr>
        <w:pStyle w:val="Default"/>
        <w:spacing w:after="40"/>
        <w:jc w:val="both"/>
        <w:rPr>
          <w:color w:val="auto"/>
        </w:rPr>
      </w:pPr>
      <w:r w:rsidRPr="00423359">
        <w:rPr>
          <w:color w:val="auto"/>
        </w:rPr>
        <w:t>7</w:t>
      </w:r>
      <w:r w:rsidR="000E19CD">
        <w:rPr>
          <w:color w:val="auto"/>
        </w:rPr>
        <w:t>° </w:t>
      </w:r>
      <w:r w:rsidRPr="00423359">
        <w:rPr>
          <w:color w:val="auto"/>
        </w:rPr>
        <w:t>Lorsque les déchets ou effluents contiennent des éléments ou substances indésirables ou des agents pathogènes, le dossier d'étude préalable permet d'apprécier l'innocuité du déchet dans les conditions d'emploi prévues.</w:t>
      </w:r>
    </w:p>
    <w:p w14:paraId="7B73C724" w14:textId="62E51A0E" w:rsidR="00E822B5" w:rsidRPr="00423359" w:rsidRDefault="00E822B5" w:rsidP="00E822B5">
      <w:pPr>
        <w:pStyle w:val="Default"/>
        <w:spacing w:after="40"/>
        <w:jc w:val="both"/>
        <w:rPr>
          <w:color w:val="auto"/>
        </w:rPr>
      </w:pPr>
      <w:r w:rsidRPr="00423359">
        <w:rPr>
          <w:color w:val="auto"/>
        </w:rPr>
        <w:t>L'arrêté d'autorisation fixe la concentration maximum et le flux maximum de l'élément, de la substance ou de l'agent pathogène considéré, apporté au sol.</w:t>
      </w:r>
    </w:p>
    <w:p w14:paraId="23ABB8E6" w14:textId="323B641A" w:rsidR="00E822B5" w:rsidRPr="00423359" w:rsidRDefault="00E822B5" w:rsidP="00E822B5">
      <w:pPr>
        <w:pStyle w:val="Default"/>
        <w:spacing w:after="40"/>
        <w:jc w:val="both"/>
        <w:rPr>
          <w:color w:val="auto"/>
        </w:rPr>
      </w:pPr>
      <w:r w:rsidRPr="00423359">
        <w:rPr>
          <w:color w:val="auto"/>
        </w:rPr>
        <w:t>8</w:t>
      </w:r>
      <w:r w:rsidR="000E19CD">
        <w:rPr>
          <w:color w:val="auto"/>
        </w:rPr>
        <w:t>° </w:t>
      </w:r>
      <w:r w:rsidRPr="00423359">
        <w:rPr>
          <w:color w:val="auto"/>
        </w:rPr>
        <w:t>La dose d'apport est déterminée en fonction :</w:t>
      </w:r>
    </w:p>
    <w:p w14:paraId="0DE11D1C" w14:textId="2B7BF77D"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du type de culture et de l'objectif réaliste de rendement ;</w:t>
      </w:r>
    </w:p>
    <w:p w14:paraId="10266E93" w14:textId="4DD2392C"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des besoins des cultures en éléments fertilisants disponibles majeurs, secondaires et oligo-éléments, tous apports confondus ;</w:t>
      </w:r>
    </w:p>
    <w:p w14:paraId="2D6CC81B" w14:textId="14E820C2"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des teneurs en éléments fertilisants dans le sol et dans le déchet ou l'effluent et dans les autres apports ;</w:t>
      </w:r>
    </w:p>
    <w:p w14:paraId="41459152" w14:textId="283D68CD"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 xml:space="preserve">des teneurs en </w:t>
      </w:r>
      <w:r w:rsidR="00BB1597">
        <w:rPr>
          <w:color w:val="auto"/>
        </w:rPr>
        <w:t>é</w:t>
      </w:r>
      <w:r w:rsidRPr="00423359">
        <w:rPr>
          <w:color w:val="auto"/>
        </w:rPr>
        <w:t>léments ou substances indésirables des déchets ou effluents à épandre ;</w:t>
      </w:r>
    </w:p>
    <w:p w14:paraId="24E4C4A4" w14:textId="56EA4E66"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de l'état hydrique du sol ;</w:t>
      </w:r>
    </w:p>
    <w:p w14:paraId="775896D9" w14:textId="75CE754B"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de la fréquence des apports sur une même année ou à l'échelle d'une succession de cultures sur plusieurs années.</w:t>
      </w:r>
    </w:p>
    <w:p w14:paraId="1CA009C8" w14:textId="77777777" w:rsidR="00E822B5" w:rsidRPr="00423359" w:rsidRDefault="00E822B5" w:rsidP="00E822B5">
      <w:pPr>
        <w:pStyle w:val="Default"/>
        <w:spacing w:after="40"/>
        <w:jc w:val="both"/>
        <w:rPr>
          <w:color w:val="auto"/>
        </w:rPr>
      </w:pPr>
      <w:r w:rsidRPr="00423359">
        <w:rPr>
          <w:color w:val="auto"/>
        </w:rPr>
        <w:t>Pour l'azote, ces apports (exprimés en N global), toutes origines confondues, ne dépassent pas les valeurs suivantes :</w:t>
      </w:r>
    </w:p>
    <w:p w14:paraId="42A3F661" w14:textId="341E3615"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sur prairies naturelles, ou sur prairies artificielles en place toute l'année et en pleine production</w:t>
      </w:r>
      <w:r w:rsidR="000E19CD">
        <w:rPr>
          <w:color w:val="auto"/>
        </w:rPr>
        <w:t> </w:t>
      </w:r>
      <w:r w:rsidRPr="00423359">
        <w:rPr>
          <w:color w:val="auto"/>
        </w:rPr>
        <w:t>: 350</w:t>
      </w:r>
      <w:r w:rsidR="000E19CD">
        <w:rPr>
          <w:color w:val="auto"/>
        </w:rPr>
        <w:t> </w:t>
      </w:r>
      <w:r w:rsidRPr="00423359">
        <w:rPr>
          <w:color w:val="auto"/>
        </w:rPr>
        <w:t>kg/ha/an ;</w:t>
      </w:r>
    </w:p>
    <w:p w14:paraId="272FADF9" w14:textId="338D8DEF"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sur les autres cultures (sauf légumineuses)</w:t>
      </w:r>
      <w:r w:rsidR="000E19CD">
        <w:rPr>
          <w:color w:val="auto"/>
        </w:rPr>
        <w:t> </w:t>
      </w:r>
      <w:r w:rsidRPr="00423359">
        <w:rPr>
          <w:color w:val="auto"/>
        </w:rPr>
        <w:t>: 200</w:t>
      </w:r>
      <w:r w:rsidR="000E19CD">
        <w:rPr>
          <w:color w:val="auto"/>
        </w:rPr>
        <w:t> </w:t>
      </w:r>
      <w:r w:rsidRPr="00423359">
        <w:rPr>
          <w:color w:val="auto"/>
        </w:rPr>
        <w:t>kg/ha/an ;</w:t>
      </w:r>
    </w:p>
    <w:p w14:paraId="6B31EEEA" w14:textId="588ADCB2"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sur les cultures légumineuses aucun apport azoté. L'épandage des effluents des installations agroalimentaires ne traitant que des matières d'origine végétale sur les cultures de luzerne peut cependant être autorisé par le préfet dans des conditions définies dans l'arrêté d'autorisation dans les limites de 200 kg/ha/an d'azote global.</w:t>
      </w:r>
    </w:p>
    <w:p w14:paraId="75A76F74" w14:textId="0A256EAB" w:rsidR="00E822B5" w:rsidRPr="00423359" w:rsidRDefault="00E822B5" w:rsidP="00E822B5">
      <w:pPr>
        <w:pStyle w:val="Default"/>
        <w:spacing w:after="40"/>
        <w:jc w:val="both"/>
        <w:rPr>
          <w:color w:val="auto"/>
        </w:rPr>
      </w:pPr>
      <w:r w:rsidRPr="00423359">
        <w:rPr>
          <w:color w:val="auto"/>
        </w:rPr>
        <w:t>Pour les cultures autres que prairies et légumineuses, une dose d'apport supérieure à 200 kg/ha/an peut être tolérée si l'azote minéral présent dans le déchet est inférieur à 20 % de l'azote global, sous réserve :</w:t>
      </w:r>
    </w:p>
    <w:p w14:paraId="336BBD70" w14:textId="62416E75" w:rsidR="00E822B5" w:rsidRPr="00423359" w:rsidRDefault="00E822B5" w:rsidP="00E822B5">
      <w:pPr>
        <w:pStyle w:val="Default"/>
        <w:spacing w:after="40"/>
        <w:jc w:val="both"/>
        <w:rPr>
          <w:color w:val="auto"/>
        </w:rPr>
      </w:pPr>
      <w:r w:rsidRPr="00423359">
        <w:rPr>
          <w:color w:val="auto"/>
        </w:rPr>
        <w:t>-</w:t>
      </w:r>
      <w:r w:rsidR="000E19CD">
        <w:t> </w:t>
      </w:r>
      <w:r w:rsidRPr="00423359">
        <w:rPr>
          <w:color w:val="auto"/>
        </w:rPr>
        <w:t>que la moyenne d'apport en azote global sur cinq ans, tous apports confondus, ne dépasse pas 200 kg/ha/an ;</w:t>
      </w:r>
    </w:p>
    <w:p w14:paraId="474F34C0" w14:textId="03375786"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que les fournitures d'azote par la minéralisation de l'azote organique apporté et les autres apports ne dépassent pas 200 kg/ha/an ;</w:t>
      </w:r>
    </w:p>
    <w:p w14:paraId="44A77308" w14:textId="7D255B0F"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de réaliser des mesures d'azote dans le sol exploitable par les racines aux périodes adaptées pour suivre le devenir de l'azote dans le sol et permettre un plan de fumure adapté pour les cultures suivantes ;</w:t>
      </w:r>
    </w:p>
    <w:p w14:paraId="66F4C61B" w14:textId="1D23552D"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de l'avis de l'hydrogéologue agréé en ce qui concerne les risques pour les eaux souterraines.</w:t>
      </w:r>
    </w:p>
    <w:p w14:paraId="5760EF98" w14:textId="77777777" w:rsidR="00E822B5" w:rsidRPr="00423359" w:rsidRDefault="00E822B5" w:rsidP="00E822B5">
      <w:pPr>
        <w:pStyle w:val="Default"/>
        <w:spacing w:after="40"/>
        <w:jc w:val="both"/>
        <w:rPr>
          <w:color w:val="auto"/>
        </w:rPr>
      </w:pPr>
      <w:r w:rsidRPr="00423359">
        <w:rPr>
          <w:color w:val="auto"/>
        </w:rPr>
        <w:t>La dose finale retenue pour les déchets solides ou pâteux est au plus égale à 3 kilogrammes de matières sèches par mètre carré, sur une période de dix ans, hors apport de terre et de chaux.</w:t>
      </w:r>
    </w:p>
    <w:p w14:paraId="3CD488BD" w14:textId="6F875A2A" w:rsidR="00E822B5" w:rsidRPr="00423359" w:rsidRDefault="00E822B5" w:rsidP="00E822B5">
      <w:pPr>
        <w:pStyle w:val="Default"/>
        <w:spacing w:after="40"/>
        <w:jc w:val="both"/>
        <w:rPr>
          <w:color w:val="auto"/>
        </w:rPr>
      </w:pPr>
      <w:r w:rsidRPr="00423359">
        <w:rPr>
          <w:color w:val="auto"/>
        </w:rPr>
        <w:t>9</w:t>
      </w:r>
      <w:r w:rsidR="000E19CD">
        <w:rPr>
          <w:color w:val="auto"/>
        </w:rPr>
        <w:t>° </w:t>
      </w:r>
      <w:r w:rsidRPr="00423359">
        <w:rPr>
          <w:color w:val="auto"/>
        </w:rPr>
        <w:t>Les ouvrages permanents d'entreposage de déchets ou d'effluents sont dimensionnés pour faire face aux périodes où l'épandage est soit impossible, soit interdit par l'étude préalable. Toutes dispositions sont prises pour que les dispositifs d'entreposage ne soient pas source de gêne ou de nuisances pour le voisinage et n'entraînent pas de pollution des eaux ou des sols par ruissellement ou infiltration. Le déversement dans le milieu naturel des trop-pleins des ouvrages d'entreposage est interdit. Les ouvrages d'entreposage à l'air libre sont interdits d'accès aux tiers non autorisés.</w:t>
      </w:r>
    </w:p>
    <w:p w14:paraId="408E916D" w14:textId="77777777" w:rsidR="00E822B5" w:rsidRPr="00423359" w:rsidRDefault="00E822B5" w:rsidP="00E822B5">
      <w:pPr>
        <w:pStyle w:val="Default"/>
        <w:spacing w:after="40"/>
        <w:jc w:val="both"/>
        <w:rPr>
          <w:color w:val="auto"/>
        </w:rPr>
      </w:pPr>
      <w:r w:rsidRPr="00423359">
        <w:rPr>
          <w:color w:val="auto"/>
        </w:rPr>
        <w:t>Le dépôt temporaire de déchets, sur les parcelles d'épandage et sans travaux d'aménagement, n'est autorisé que lorsque les cinq conditions suivantes sont simultanément remplies :</w:t>
      </w:r>
    </w:p>
    <w:p w14:paraId="386DE97A" w14:textId="709BE4D3"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les déchets sont solides et peu fermentescibles</w:t>
      </w:r>
      <w:r w:rsidR="00E8700D">
        <w:rPr>
          <w:color w:val="auto"/>
        </w:rPr>
        <w:t>. A</w:t>
      </w:r>
      <w:r w:rsidRPr="00423359">
        <w:rPr>
          <w:color w:val="auto"/>
        </w:rPr>
        <w:t xml:space="preserve"> défaut, la durée du dépôt est inférieure à quarante-huit heures ;</w:t>
      </w:r>
    </w:p>
    <w:p w14:paraId="6BA2AFDB" w14:textId="27A66598"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toutes les précautions ont été prises pour éviter le ruissellement sur ou en dehors des parcelles d'épandage ou une percolation rapide vers les nappes superficielles ou souterraines ;</w:t>
      </w:r>
    </w:p>
    <w:p w14:paraId="5B4149C9" w14:textId="140BF2EC"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 xml:space="preserve">le dépôt respecte les distances minimales d'isolement définies pour l'épandage au point 4, sauf pour la distance vis-à-vis des habitations ou locaux habités par des tiers qui est toujours égale à 100 mètres. En outre, une distance d'au moins 3 mètres vis-à-vis des routes et fossés </w:t>
      </w:r>
      <w:r w:rsidR="000E19CD">
        <w:rPr>
          <w:color w:val="auto"/>
        </w:rPr>
        <w:t xml:space="preserve">est </w:t>
      </w:r>
      <w:r w:rsidRPr="00423359">
        <w:rPr>
          <w:color w:val="auto"/>
        </w:rPr>
        <w:t>respectée ;</w:t>
      </w:r>
    </w:p>
    <w:p w14:paraId="72B88D24" w14:textId="2972F1C5"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 volume du dépôt est adapté à la fertilisation raisonnée des parcelles réceptrices pour la période d'épandage considérée ;</w:t>
      </w:r>
    </w:p>
    <w:p w14:paraId="2D0B9836" w14:textId="6FA0DA1B"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durée maximale ne dépasse</w:t>
      </w:r>
      <w:r w:rsidR="006B245C">
        <w:rPr>
          <w:color w:val="auto"/>
        </w:rPr>
        <w:t xml:space="preserve"> pas</w:t>
      </w:r>
      <w:r w:rsidRPr="00423359">
        <w:rPr>
          <w:color w:val="auto"/>
        </w:rPr>
        <w:t xml:space="preserve"> un an et le retour sur un même emplacement ne peut intervenir avant un délai de trois ans.</w:t>
      </w:r>
    </w:p>
    <w:p w14:paraId="30DB2C74" w14:textId="74A36A07" w:rsidR="00E822B5" w:rsidRPr="00423359" w:rsidRDefault="00E822B5" w:rsidP="00E822B5">
      <w:pPr>
        <w:pStyle w:val="Default"/>
        <w:spacing w:after="40"/>
        <w:jc w:val="both"/>
        <w:rPr>
          <w:color w:val="auto"/>
        </w:rPr>
      </w:pPr>
      <w:r w:rsidRPr="00423359">
        <w:rPr>
          <w:color w:val="auto"/>
        </w:rPr>
        <w:t>10</w:t>
      </w:r>
      <w:r w:rsidR="000E19CD">
        <w:rPr>
          <w:color w:val="auto"/>
        </w:rPr>
        <w:t>° </w:t>
      </w:r>
      <w:r w:rsidRPr="00423359">
        <w:rPr>
          <w:color w:val="auto"/>
        </w:rPr>
        <w:t xml:space="preserve">Un programme prévisionnel annuel d'épandage </w:t>
      </w:r>
      <w:r w:rsidR="006B245C">
        <w:rPr>
          <w:color w:val="auto"/>
        </w:rPr>
        <w:t>est</w:t>
      </w:r>
      <w:r w:rsidRPr="00423359">
        <w:rPr>
          <w:color w:val="auto"/>
        </w:rPr>
        <w:t xml:space="preserve"> établi, en accord avec l'exploitant agricole, au plus tard un mois avant le début des opérations concernées. Ce programme comprend :</w:t>
      </w:r>
    </w:p>
    <w:p w14:paraId="63453A00" w14:textId="779090B5"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liste des parcelles ou groupes de parcelles concernées par la campagne ainsi que la caractérisation des systèmes de culture (cultures implantées avant et après l'épandage, période d'interculture) sur ces parcelles ;</w:t>
      </w:r>
    </w:p>
    <w:p w14:paraId="71CF065C" w14:textId="75F0F59D"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 xml:space="preserve">une analyse des sols portant sur des paramètres mentionnés dans le tableau </w:t>
      </w:r>
      <w:r w:rsidR="00E70F37">
        <w:rPr>
          <w:color w:val="auto"/>
        </w:rPr>
        <w:t xml:space="preserve">du point </w:t>
      </w:r>
      <w:r w:rsidRPr="00423359">
        <w:rPr>
          <w:color w:val="auto"/>
        </w:rPr>
        <w:t>5 choisis en fonction de l'étude préalable ;</w:t>
      </w:r>
    </w:p>
    <w:p w14:paraId="2E33FAFF" w14:textId="380B7AFA"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une caractérisation des déchets ou effluents à épandre (quantités prévisionnelles, rythme de production, valeur agronomique, ...) ;</w:t>
      </w:r>
    </w:p>
    <w:p w14:paraId="1B30E0FB" w14:textId="2B79A283"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les préconisations spécifiques d'utilisation des déchets ou effluents (calendrier et doses d'épandage par unité culturale ...) ;</w:t>
      </w:r>
    </w:p>
    <w:p w14:paraId="3D33B694" w14:textId="745C3F52"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l'identification des personnes morales ou physiques intervenant dans la réalisation de l'épandage.</w:t>
      </w:r>
    </w:p>
    <w:p w14:paraId="03F02ADB" w14:textId="77777777" w:rsidR="00E822B5" w:rsidRPr="00423359" w:rsidRDefault="00E822B5" w:rsidP="00E822B5">
      <w:pPr>
        <w:pStyle w:val="Default"/>
        <w:spacing w:after="40"/>
        <w:jc w:val="both"/>
        <w:rPr>
          <w:color w:val="auto"/>
        </w:rPr>
      </w:pPr>
      <w:r w:rsidRPr="00423359">
        <w:rPr>
          <w:color w:val="auto"/>
        </w:rPr>
        <w:t>Ce programme prévisionnel est tenu à la disposition de l'inspection des installations classées. L'arrêté préfectoral prévoit, le cas échéant, la transmission de ce programme au préfet avant le début de la campagne.</w:t>
      </w:r>
    </w:p>
    <w:p w14:paraId="2FA8B3EE" w14:textId="03754ACF" w:rsidR="00E822B5" w:rsidRPr="00423359" w:rsidRDefault="00E822B5" w:rsidP="00E822B5">
      <w:pPr>
        <w:pStyle w:val="Default"/>
        <w:spacing w:after="40"/>
        <w:jc w:val="both"/>
        <w:rPr>
          <w:color w:val="auto"/>
        </w:rPr>
      </w:pPr>
      <w:r w:rsidRPr="00423359">
        <w:rPr>
          <w:color w:val="auto"/>
        </w:rPr>
        <w:t>11</w:t>
      </w:r>
      <w:r w:rsidR="000E19CD">
        <w:rPr>
          <w:color w:val="auto"/>
        </w:rPr>
        <w:t>° </w:t>
      </w:r>
      <w:r w:rsidRPr="00423359">
        <w:rPr>
          <w:color w:val="auto"/>
        </w:rPr>
        <w:t xml:space="preserve">Un cahier d'épandage, conservé pendant une durée de dix ans, mis à la disposition de l'inspection des installations classées, </w:t>
      </w:r>
      <w:r w:rsidR="006B245C">
        <w:rPr>
          <w:color w:val="auto"/>
        </w:rPr>
        <w:t>est</w:t>
      </w:r>
      <w:r w:rsidRPr="00423359">
        <w:rPr>
          <w:color w:val="auto"/>
        </w:rPr>
        <w:t xml:space="preserve"> tenu à jour. Il comporte les informations suivantes :</w:t>
      </w:r>
    </w:p>
    <w:p w14:paraId="760B76EB" w14:textId="45C38B8A"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les quantités d'effluents ou de déchets épandus par unité culturale ;</w:t>
      </w:r>
    </w:p>
    <w:p w14:paraId="30DDFDD3" w14:textId="79CD0AA4"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les dates d'épandage ;</w:t>
      </w:r>
    </w:p>
    <w:p w14:paraId="4F5F4338" w14:textId="4A1E29CB"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les parcelles réceptrices et leur surface ;</w:t>
      </w:r>
    </w:p>
    <w:p w14:paraId="14A2A4B2" w14:textId="02362019"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les cultures pratiquées ;</w:t>
      </w:r>
    </w:p>
    <w:p w14:paraId="3E9502FA" w14:textId="717A2044"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 contexte météorologique lors de chaque épandage ;</w:t>
      </w:r>
    </w:p>
    <w:p w14:paraId="75A00124" w14:textId="7534D1F4"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l'ensemble des résultats d'analyses pratiquées sur les sols et sur les déchets ou effluents, avec les dates de prélèvements et de mesures et leur localisation ;</w:t>
      </w:r>
    </w:p>
    <w:p w14:paraId="1658B77E" w14:textId="06677B26"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l'identification des personnes physiques ou morales chargées des opérations d'épandage et des analyses.</w:t>
      </w:r>
    </w:p>
    <w:p w14:paraId="64842886" w14:textId="5F42CF46" w:rsidR="00E822B5" w:rsidRPr="00423359" w:rsidRDefault="00E822B5" w:rsidP="00E822B5">
      <w:pPr>
        <w:pStyle w:val="Default"/>
        <w:spacing w:after="40"/>
        <w:jc w:val="both"/>
        <w:rPr>
          <w:color w:val="auto"/>
        </w:rPr>
      </w:pPr>
      <w:r w:rsidRPr="00423359">
        <w:rPr>
          <w:color w:val="auto"/>
        </w:rPr>
        <w:t xml:space="preserve">Le producteur de déchets ou d'effluents </w:t>
      </w:r>
      <w:r w:rsidR="00E8700D">
        <w:rPr>
          <w:color w:val="auto"/>
        </w:rPr>
        <w:t xml:space="preserve">est en mesure de </w:t>
      </w:r>
      <w:r w:rsidRPr="00423359">
        <w:rPr>
          <w:color w:val="auto"/>
        </w:rPr>
        <w:t>justifie</w:t>
      </w:r>
      <w:r w:rsidR="00E8700D">
        <w:rPr>
          <w:color w:val="auto"/>
        </w:rPr>
        <w:t>r</w:t>
      </w:r>
      <w:r w:rsidRPr="00423359">
        <w:rPr>
          <w:color w:val="auto"/>
        </w:rPr>
        <w:t xml:space="preserve"> à tout moment de la localisation des déchets ou des effluents produits (entreposage, dépôt temporaire, transport ou épandage) en référence à leur période de production et aux analyses réalisées.</w:t>
      </w:r>
    </w:p>
    <w:p w14:paraId="3D138F05" w14:textId="2116936A" w:rsidR="00E822B5" w:rsidRPr="00423359" w:rsidRDefault="00E822B5" w:rsidP="00E822B5">
      <w:pPr>
        <w:pStyle w:val="Default"/>
        <w:spacing w:after="40"/>
        <w:jc w:val="both"/>
        <w:rPr>
          <w:color w:val="auto"/>
        </w:rPr>
      </w:pPr>
      <w:r w:rsidRPr="00423359">
        <w:rPr>
          <w:color w:val="auto"/>
        </w:rPr>
        <w:t>12</w:t>
      </w:r>
      <w:r w:rsidR="000E19CD">
        <w:rPr>
          <w:color w:val="auto"/>
        </w:rPr>
        <w:t>° </w:t>
      </w:r>
      <w:r w:rsidRPr="00423359">
        <w:rPr>
          <w:color w:val="auto"/>
        </w:rPr>
        <w:t>Un bilan est dressé annuellement. Ce document comprend :</w:t>
      </w:r>
    </w:p>
    <w:p w14:paraId="326293B3" w14:textId="7A21FAF5"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les parcelles réceptrices ;</w:t>
      </w:r>
    </w:p>
    <w:p w14:paraId="0AC90E8D" w14:textId="04A584B7"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un bilan qualitatif et quantitatif des déchets ou effluents épandus ;</w:t>
      </w:r>
    </w:p>
    <w:p w14:paraId="5E3FE680" w14:textId="5CE10FC2"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l'exploitation du cahier d'épandage indiquant les quantités d'éléments fertilisants et d'éléments ou substances indésirables apportées sur chaque unité culturale et les résultats des analyses de sols ;</w:t>
      </w:r>
    </w:p>
    <w:p w14:paraId="547AADF1" w14:textId="412676EB"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les bilans de fumure réalisés sur des parcelles de référence représentatives de chaque type de sols et de systèmes de culture ainsi que les conseils de fertilisation complémentaire qui en découlent ;</w:t>
      </w:r>
    </w:p>
    <w:p w14:paraId="016FD08B" w14:textId="7BACEF5B"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la remise à jour éventuelle des données réunies lors de l'étude initiale.</w:t>
      </w:r>
    </w:p>
    <w:p w14:paraId="39A01DBE" w14:textId="77777777" w:rsidR="00E822B5" w:rsidRPr="00423359" w:rsidRDefault="00E822B5" w:rsidP="00E822B5">
      <w:pPr>
        <w:pStyle w:val="Default"/>
        <w:spacing w:after="40"/>
        <w:jc w:val="both"/>
        <w:rPr>
          <w:color w:val="auto"/>
        </w:rPr>
      </w:pPr>
      <w:r w:rsidRPr="00423359">
        <w:rPr>
          <w:color w:val="auto"/>
        </w:rPr>
        <w:t>Une copie du bilan est adressée au préfet et aux agriculteurs concernés.</w:t>
      </w:r>
    </w:p>
    <w:p w14:paraId="4EA1D32C" w14:textId="34677C08" w:rsidR="00E822B5" w:rsidRPr="00423359" w:rsidRDefault="00E822B5" w:rsidP="00E822B5">
      <w:pPr>
        <w:pStyle w:val="Default"/>
        <w:spacing w:after="40"/>
        <w:jc w:val="both"/>
        <w:rPr>
          <w:color w:val="auto"/>
        </w:rPr>
      </w:pPr>
      <w:r w:rsidRPr="00423359">
        <w:rPr>
          <w:color w:val="auto"/>
        </w:rPr>
        <w:t>13</w:t>
      </w:r>
      <w:r w:rsidR="000E19CD">
        <w:rPr>
          <w:color w:val="auto"/>
        </w:rPr>
        <w:t>° </w:t>
      </w:r>
      <w:r w:rsidRPr="00423359">
        <w:rPr>
          <w:color w:val="auto"/>
        </w:rPr>
        <w:t>Les effluents ou déchets sont analysés lors de la première année d'épandage ou lorsque des changements dans les procédés ou les traitements sont susceptibles de modifier leur qualité.</w:t>
      </w:r>
    </w:p>
    <w:p w14:paraId="312F196D" w14:textId="77777777" w:rsidR="00E822B5" w:rsidRPr="00423359" w:rsidRDefault="00E822B5" w:rsidP="00E822B5">
      <w:pPr>
        <w:pStyle w:val="Default"/>
        <w:spacing w:after="40"/>
        <w:jc w:val="both"/>
        <w:rPr>
          <w:color w:val="auto"/>
        </w:rPr>
      </w:pPr>
      <w:r w:rsidRPr="00423359">
        <w:rPr>
          <w:color w:val="auto"/>
        </w:rPr>
        <w:t>Ces analyses portent sur :</w:t>
      </w:r>
    </w:p>
    <w:p w14:paraId="76EF2749" w14:textId="010E100F"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 taux de matière sèche ;</w:t>
      </w:r>
    </w:p>
    <w:p w14:paraId="4FC320AB" w14:textId="138AB810"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les éléments de caractérisation de la valeur agronomique parmi ceux mentionnés au point 5 ;</w:t>
      </w:r>
    </w:p>
    <w:p w14:paraId="0BC9116C" w14:textId="4BC40286"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les éléments et substances chimiques susceptibles d'être présents dans les déchets ou effluents au vu de l'étude préalable ;</w:t>
      </w:r>
    </w:p>
    <w:p w14:paraId="3BAE12C8" w14:textId="39A1A350" w:rsidR="00E822B5" w:rsidRPr="00423359" w:rsidRDefault="00E822B5" w:rsidP="00E822B5">
      <w:pPr>
        <w:pStyle w:val="Default"/>
        <w:spacing w:after="40"/>
        <w:jc w:val="both"/>
        <w:rPr>
          <w:color w:val="auto"/>
        </w:rPr>
      </w:pPr>
      <w:r w:rsidRPr="00423359">
        <w:rPr>
          <w:color w:val="auto"/>
        </w:rPr>
        <w:t>-</w:t>
      </w:r>
      <w:r w:rsidR="000E19CD">
        <w:rPr>
          <w:color w:val="auto"/>
        </w:rPr>
        <w:t> </w:t>
      </w:r>
      <w:r w:rsidRPr="00423359">
        <w:rPr>
          <w:color w:val="auto"/>
        </w:rPr>
        <w:t>les agents pathogènes susceptibles d'être présents.</w:t>
      </w:r>
    </w:p>
    <w:p w14:paraId="2013657D" w14:textId="77777777" w:rsidR="00E822B5" w:rsidRPr="00423359" w:rsidRDefault="00E822B5" w:rsidP="00E822B5">
      <w:pPr>
        <w:pStyle w:val="Default"/>
        <w:spacing w:after="40"/>
        <w:jc w:val="both"/>
        <w:rPr>
          <w:color w:val="auto"/>
        </w:rPr>
      </w:pPr>
      <w:r w:rsidRPr="00423359">
        <w:rPr>
          <w:color w:val="auto"/>
        </w:rPr>
        <w:t>En dehors de la première année d'épandage, les effluents ou déchets sont analysés périodiquement.</w:t>
      </w:r>
    </w:p>
    <w:p w14:paraId="2329364B" w14:textId="45FF77CA" w:rsidR="00E822B5" w:rsidRPr="00423359" w:rsidRDefault="00E822B5" w:rsidP="00E822B5">
      <w:pPr>
        <w:pStyle w:val="Default"/>
        <w:spacing w:after="40"/>
        <w:jc w:val="both"/>
        <w:rPr>
          <w:color w:val="auto"/>
        </w:rPr>
      </w:pPr>
      <w:r w:rsidRPr="00423359">
        <w:rPr>
          <w:color w:val="auto"/>
        </w:rPr>
        <w:t xml:space="preserve">La nature et la </w:t>
      </w:r>
      <w:r w:rsidR="00A12D06">
        <w:rPr>
          <w:color w:val="auto"/>
        </w:rPr>
        <w:t>fréquence</w:t>
      </w:r>
      <w:r w:rsidR="00E8700D" w:rsidRPr="00423359">
        <w:rPr>
          <w:color w:val="auto"/>
        </w:rPr>
        <w:t xml:space="preserve"> </w:t>
      </w:r>
      <w:r w:rsidRPr="00423359">
        <w:rPr>
          <w:color w:val="auto"/>
        </w:rPr>
        <w:t>des analyses sont fixées par l'arrêté d'autorisation.</w:t>
      </w:r>
    </w:p>
    <w:p w14:paraId="7F149277" w14:textId="5347DEF6" w:rsidR="00E822B5" w:rsidRPr="00423359" w:rsidRDefault="00E822B5" w:rsidP="00E822B5">
      <w:pPr>
        <w:pStyle w:val="Default"/>
        <w:spacing w:after="40"/>
        <w:jc w:val="both"/>
        <w:rPr>
          <w:color w:val="auto"/>
        </w:rPr>
      </w:pPr>
      <w:r w:rsidRPr="00423359">
        <w:rPr>
          <w:color w:val="auto"/>
        </w:rPr>
        <w:t>14</w:t>
      </w:r>
      <w:r w:rsidR="000E19CD">
        <w:rPr>
          <w:color w:val="auto"/>
        </w:rPr>
        <w:t>° </w:t>
      </w:r>
      <w:r w:rsidRPr="00423359">
        <w:rPr>
          <w:color w:val="auto"/>
        </w:rPr>
        <w:t>L'échantillonnage et les analyses des effluents ou des déchets, y compris les lixiviats, sont réalisées selon des méthodes normalisées, lorsqu'elles existent. A défaut, ces méthodes sont définies par le laboratoire.</w:t>
      </w:r>
    </w:p>
    <w:p w14:paraId="5343DA69" w14:textId="0741732A" w:rsidR="00E822B5" w:rsidRPr="00423359" w:rsidRDefault="00E822B5" w:rsidP="00E822B5">
      <w:pPr>
        <w:pStyle w:val="Default"/>
        <w:spacing w:after="40"/>
        <w:jc w:val="both"/>
        <w:rPr>
          <w:color w:val="auto"/>
        </w:rPr>
      </w:pPr>
      <w:r w:rsidRPr="00423359">
        <w:rPr>
          <w:color w:val="auto"/>
        </w:rPr>
        <w:t>15</w:t>
      </w:r>
      <w:r w:rsidR="000E19CD">
        <w:rPr>
          <w:color w:val="auto"/>
        </w:rPr>
        <w:t>° </w:t>
      </w:r>
      <w:r w:rsidRPr="00423359">
        <w:rPr>
          <w:color w:val="auto"/>
        </w:rPr>
        <w:t>Le volume des effluents épandus est mesuré, soit par des compteurs horaires totalisateurs dont sont munies les pompes de refoulement, soit par mesure directe, soit par tout autre procédé équivalent.</w:t>
      </w:r>
    </w:p>
    <w:p w14:paraId="6D1EDFA9" w14:textId="14190E74" w:rsidR="00E822B5" w:rsidRPr="00423359" w:rsidRDefault="00E822B5" w:rsidP="00E822B5">
      <w:pPr>
        <w:pStyle w:val="Default"/>
        <w:spacing w:after="40"/>
        <w:jc w:val="both"/>
        <w:rPr>
          <w:color w:val="auto"/>
        </w:rPr>
      </w:pPr>
      <w:r w:rsidRPr="00423359">
        <w:rPr>
          <w:color w:val="auto"/>
        </w:rPr>
        <w:t>16</w:t>
      </w:r>
      <w:r w:rsidR="000E19CD">
        <w:rPr>
          <w:color w:val="auto"/>
        </w:rPr>
        <w:t>° </w:t>
      </w:r>
      <w:r w:rsidRPr="00423359">
        <w:rPr>
          <w:color w:val="auto"/>
        </w:rPr>
        <w:t xml:space="preserve">L'arrêté d'autorisation définit les conditions dans lesquelles l'épandage </w:t>
      </w:r>
      <w:r w:rsidR="006B245C">
        <w:rPr>
          <w:color w:val="auto"/>
        </w:rPr>
        <w:t>est</w:t>
      </w:r>
      <w:r w:rsidRPr="00423359">
        <w:rPr>
          <w:color w:val="auto"/>
        </w:rPr>
        <w:t xml:space="preserve"> pratiqué. Il prévoit notamment l'établissement d'un contrat liant le producteur de déchets ou d'effluents au prestataire réalisant l'opération d'épandage et de contrats liant le producteur de déchets ou d'effluents aux agriculteurs exploitant les terrains. Ces contrats définissent les engagements de chacun ainsi que leurs durées. L'arrêté d'autorisation fixe également :</w:t>
      </w:r>
    </w:p>
    <w:p w14:paraId="5477375A" w14:textId="204C4133" w:rsidR="00E822B5" w:rsidRPr="00423359" w:rsidRDefault="00E822B5" w:rsidP="00E822B5">
      <w:pPr>
        <w:pStyle w:val="Default"/>
        <w:spacing w:after="40"/>
        <w:jc w:val="both"/>
        <w:rPr>
          <w:color w:val="auto"/>
        </w:rPr>
      </w:pPr>
      <w:r w:rsidRPr="00423359">
        <w:rPr>
          <w:color w:val="auto"/>
        </w:rPr>
        <w:t>-</w:t>
      </w:r>
      <w:r w:rsidR="006B245C">
        <w:rPr>
          <w:color w:val="auto"/>
        </w:rPr>
        <w:t> </w:t>
      </w:r>
      <w:r w:rsidRPr="00423359">
        <w:rPr>
          <w:color w:val="auto"/>
        </w:rPr>
        <w:t>les traitements éventuels effectués sur les déchets ou les effluents ;</w:t>
      </w:r>
    </w:p>
    <w:p w14:paraId="7C935354" w14:textId="286DF8D4" w:rsidR="00E822B5" w:rsidRPr="00423359" w:rsidRDefault="00E822B5" w:rsidP="00E822B5">
      <w:pPr>
        <w:pStyle w:val="Default"/>
        <w:spacing w:after="40"/>
        <w:jc w:val="both"/>
        <w:rPr>
          <w:color w:val="auto"/>
        </w:rPr>
      </w:pPr>
      <w:r w:rsidRPr="00423359">
        <w:rPr>
          <w:color w:val="auto"/>
        </w:rPr>
        <w:t>-</w:t>
      </w:r>
      <w:r w:rsidR="006B245C">
        <w:rPr>
          <w:color w:val="auto"/>
        </w:rPr>
        <w:t> </w:t>
      </w:r>
      <w:r w:rsidRPr="00423359">
        <w:rPr>
          <w:color w:val="auto"/>
        </w:rPr>
        <w:t>les teneurs maximales en éléments et substances indésirables et en agents pathogènes présents dans les effluents ou déchets ;</w:t>
      </w:r>
    </w:p>
    <w:p w14:paraId="3AF0C357" w14:textId="1DEF9271" w:rsidR="00E822B5" w:rsidRPr="00423359" w:rsidRDefault="00E822B5" w:rsidP="00E822B5">
      <w:pPr>
        <w:pStyle w:val="Default"/>
        <w:spacing w:after="40"/>
        <w:jc w:val="both"/>
        <w:rPr>
          <w:color w:val="auto"/>
        </w:rPr>
      </w:pPr>
      <w:r w:rsidRPr="00423359">
        <w:rPr>
          <w:color w:val="auto"/>
        </w:rPr>
        <w:t>-</w:t>
      </w:r>
      <w:r w:rsidR="006B245C">
        <w:rPr>
          <w:color w:val="auto"/>
        </w:rPr>
        <w:t> </w:t>
      </w:r>
      <w:r w:rsidRPr="00423359">
        <w:rPr>
          <w:color w:val="auto"/>
        </w:rPr>
        <w:t>les modes d'épandage ;</w:t>
      </w:r>
    </w:p>
    <w:p w14:paraId="4182A3F7" w14:textId="0AD1C016" w:rsidR="00E822B5" w:rsidRPr="00423359" w:rsidRDefault="00E822B5" w:rsidP="00E822B5">
      <w:pPr>
        <w:pStyle w:val="Default"/>
        <w:spacing w:after="40"/>
        <w:jc w:val="both"/>
        <w:rPr>
          <w:color w:val="auto"/>
        </w:rPr>
      </w:pPr>
      <w:r w:rsidRPr="00423359">
        <w:rPr>
          <w:color w:val="auto"/>
        </w:rPr>
        <w:t>-</w:t>
      </w:r>
      <w:r w:rsidR="006B245C">
        <w:rPr>
          <w:color w:val="auto"/>
        </w:rPr>
        <w:t> </w:t>
      </w:r>
      <w:r w:rsidRPr="00423359">
        <w:rPr>
          <w:color w:val="auto"/>
        </w:rPr>
        <w:t>la quantité maximale annuelle d'éléments et de substances indésirables et de matières fertilisantes épandue à l'hectare ;</w:t>
      </w:r>
    </w:p>
    <w:p w14:paraId="4BD91FE2" w14:textId="2BC2C6F6" w:rsidR="00E822B5" w:rsidRPr="00423359" w:rsidRDefault="00E822B5" w:rsidP="00E822B5">
      <w:pPr>
        <w:pStyle w:val="Default"/>
        <w:spacing w:after="40"/>
        <w:jc w:val="both"/>
        <w:rPr>
          <w:color w:val="auto"/>
        </w:rPr>
      </w:pPr>
      <w:r w:rsidRPr="00423359">
        <w:rPr>
          <w:color w:val="auto"/>
        </w:rPr>
        <w:t>-</w:t>
      </w:r>
      <w:r w:rsidR="006B245C">
        <w:rPr>
          <w:color w:val="auto"/>
        </w:rPr>
        <w:t> </w:t>
      </w:r>
      <w:r w:rsidRPr="00423359">
        <w:rPr>
          <w:color w:val="auto"/>
        </w:rPr>
        <w:t>les interdictions d'épandage ;</w:t>
      </w:r>
    </w:p>
    <w:p w14:paraId="63A9032E" w14:textId="6A57A355" w:rsidR="00E822B5" w:rsidRPr="00423359" w:rsidRDefault="00E822B5" w:rsidP="00E822B5">
      <w:pPr>
        <w:pStyle w:val="Default"/>
        <w:spacing w:after="40"/>
        <w:jc w:val="both"/>
        <w:rPr>
          <w:color w:val="auto"/>
        </w:rPr>
      </w:pPr>
      <w:r w:rsidRPr="00423359">
        <w:rPr>
          <w:color w:val="auto"/>
        </w:rPr>
        <w:t>-</w:t>
      </w:r>
      <w:r w:rsidR="006B245C">
        <w:rPr>
          <w:color w:val="auto"/>
        </w:rPr>
        <w:t> </w:t>
      </w:r>
      <w:r w:rsidRPr="00423359">
        <w:rPr>
          <w:color w:val="auto"/>
        </w:rPr>
        <w:t>les prescriptions techniques applicables pour les dispositifs d'entreposage et les dépôts temporaires ;</w:t>
      </w:r>
    </w:p>
    <w:p w14:paraId="65EBF2FF" w14:textId="3F21D729" w:rsidR="00E822B5" w:rsidRPr="00423359" w:rsidRDefault="00E822B5" w:rsidP="00E822B5">
      <w:pPr>
        <w:pStyle w:val="Default"/>
        <w:spacing w:after="40"/>
        <w:jc w:val="both"/>
        <w:rPr>
          <w:color w:val="auto"/>
        </w:rPr>
      </w:pPr>
      <w:r w:rsidRPr="00423359">
        <w:rPr>
          <w:color w:val="auto"/>
        </w:rPr>
        <w:t>-</w:t>
      </w:r>
      <w:r w:rsidR="006B245C">
        <w:rPr>
          <w:color w:val="auto"/>
        </w:rPr>
        <w:t> </w:t>
      </w:r>
      <w:r w:rsidRPr="00423359">
        <w:rPr>
          <w:color w:val="auto"/>
        </w:rPr>
        <w:t>la nature des informations devant figurer au cahier d'épandage mentionné au point 10</w:t>
      </w:r>
      <w:r w:rsidR="006B245C">
        <w:rPr>
          <w:color w:val="auto"/>
        </w:rPr>
        <w:t>°</w:t>
      </w:r>
      <w:r w:rsidRPr="00423359">
        <w:rPr>
          <w:color w:val="auto"/>
        </w:rPr>
        <w:t xml:space="preserve"> ;</w:t>
      </w:r>
    </w:p>
    <w:p w14:paraId="27D60112" w14:textId="10480D39" w:rsidR="00E822B5" w:rsidRPr="00423359" w:rsidRDefault="00E822B5" w:rsidP="00E822B5">
      <w:pPr>
        <w:pStyle w:val="Default"/>
        <w:spacing w:after="40"/>
        <w:jc w:val="both"/>
        <w:rPr>
          <w:color w:val="auto"/>
        </w:rPr>
      </w:pPr>
      <w:r w:rsidRPr="00423359">
        <w:rPr>
          <w:color w:val="auto"/>
        </w:rPr>
        <w:t>-</w:t>
      </w:r>
      <w:r w:rsidR="006B245C">
        <w:rPr>
          <w:color w:val="auto"/>
        </w:rPr>
        <w:t> </w:t>
      </w:r>
      <w:r w:rsidRPr="00423359">
        <w:rPr>
          <w:color w:val="auto"/>
        </w:rPr>
        <w:t>la transmission au préfet du bilan annuel et, le cas échéant, du programme prévisionnel ;</w:t>
      </w:r>
    </w:p>
    <w:p w14:paraId="57F3E09C" w14:textId="37300891" w:rsidR="00E822B5" w:rsidRPr="00423359" w:rsidRDefault="00E822B5" w:rsidP="00E822B5">
      <w:pPr>
        <w:pStyle w:val="Default"/>
        <w:spacing w:after="40"/>
        <w:jc w:val="both"/>
        <w:rPr>
          <w:color w:val="auto"/>
        </w:rPr>
      </w:pPr>
      <w:r w:rsidRPr="00423359">
        <w:rPr>
          <w:color w:val="auto"/>
        </w:rPr>
        <w:t>-</w:t>
      </w:r>
      <w:r w:rsidR="006B245C">
        <w:rPr>
          <w:color w:val="auto"/>
        </w:rPr>
        <w:t> </w:t>
      </w:r>
      <w:r w:rsidRPr="00423359">
        <w:rPr>
          <w:color w:val="auto"/>
        </w:rPr>
        <w:t>la fréquence des analyses sur les déchets ou effluents et leur nature, les modalités de surveillance et les conditions dans lesquelles elles sont transmises aux utilisateurs et à l'inspection des installations classées chargée du contrôle de ces opérations ;</w:t>
      </w:r>
    </w:p>
    <w:p w14:paraId="41FCAF0B" w14:textId="48C579BE" w:rsidR="00E822B5" w:rsidRPr="00423359" w:rsidRDefault="00E822B5" w:rsidP="00E822B5">
      <w:pPr>
        <w:pStyle w:val="Default"/>
        <w:spacing w:after="40"/>
        <w:jc w:val="both"/>
        <w:rPr>
          <w:color w:val="auto"/>
        </w:rPr>
      </w:pPr>
      <w:r w:rsidRPr="00423359">
        <w:rPr>
          <w:color w:val="auto"/>
        </w:rPr>
        <w:t>-</w:t>
      </w:r>
      <w:r w:rsidR="006B245C">
        <w:rPr>
          <w:color w:val="auto"/>
        </w:rPr>
        <w:t> </w:t>
      </w:r>
      <w:r w:rsidRPr="00423359">
        <w:rPr>
          <w:color w:val="auto"/>
        </w:rPr>
        <w:t>la fréquence et la nature des analyses de sols.</w:t>
      </w:r>
    </w:p>
    <w:p w14:paraId="4F96B222" w14:textId="7BB3AEFD" w:rsidR="008862BD" w:rsidRPr="00F91091" w:rsidRDefault="00E822B5" w:rsidP="00E822B5">
      <w:pPr>
        <w:pStyle w:val="Default"/>
        <w:spacing w:after="40"/>
        <w:jc w:val="both"/>
        <w:rPr>
          <w:color w:val="000000" w:themeColor="text1"/>
        </w:rPr>
      </w:pPr>
      <w:r w:rsidRPr="00423359">
        <w:rPr>
          <w:color w:val="auto"/>
        </w:rPr>
        <w:t xml:space="preserve">En tant que de besoin, l'arrêté prescrit le contrôle périodique de la qualité des eaux souterraines, à partir de points de prélèvement existants ou par aménagement </w:t>
      </w:r>
      <w:r w:rsidRPr="00F91091">
        <w:rPr>
          <w:color w:val="000000" w:themeColor="text1"/>
        </w:rPr>
        <w:t>de piézomètres, sur ou en dehors de la zone d'épandage selon le contexte hydrogéologique local</w:t>
      </w:r>
      <w:r w:rsidR="00BB1597">
        <w:rPr>
          <w:color w:val="000000" w:themeColor="text1"/>
        </w:rPr>
        <w:t>.</w:t>
      </w:r>
    </w:p>
    <w:sectPr w:rsidR="008862BD" w:rsidRPr="00F91091" w:rsidSect="00151A71">
      <w:pgSz w:w="11906" w:h="16838"/>
      <w:pgMar w:top="684" w:right="1417" w:bottom="1417" w:left="1417"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F4216" w14:textId="77777777" w:rsidR="009F2CB4" w:rsidRDefault="009F2CB4">
      <w:r>
        <w:separator/>
      </w:r>
    </w:p>
  </w:endnote>
  <w:endnote w:type="continuationSeparator" w:id="0">
    <w:p w14:paraId="49849A9A" w14:textId="77777777" w:rsidR="009F2CB4" w:rsidRDefault="009F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537224"/>
      <w:docPartObj>
        <w:docPartGallery w:val="Page Numbers (Bottom of Page)"/>
        <w:docPartUnique/>
      </w:docPartObj>
    </w:sdtPr>
    <w:sdtEndPr/>
    <w:sdtContent>
      <w:p w14:paraId="6AF42B5D" w14:textId="6483B9DD" w:rsidR="00475B6D" w:rsidRDefault="00475B6D">
        <w:pPr>
          <w:pStyle w:val="Pieddepage"/>
          <w:jc w:val="right"/>
        </w:pPr>
        <w:r>
          <w:fldChar w:fldCharType="begin"/>
        </w:r>
        <w:r>
          <w:instrText>PAGE   \* MERGEFORMAT</w:instrText>
        </w:r>
        <w:r>
          <w:fldChar w:fldCharType="separate"/>
        </w:r>
        <w:r w:rsidR="009117BC">
          <w:rPr>
            <w:noProof/>
          </w:rPr>
          <w:t>38</w:t>
        </w:r>
        <w:r>
          <w:fldChar w:fldCharType="end"/>
        </w:r>
      </w:p>
    </w:sdtContent>
  </w:sdt>
  <w:p w14:paraId="6B507203" w14:textId="77777777" w:rsidR="00475B6D" w:rsidRDefault="00475B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19671" w14:textId="77777777" w:rsidR="009F2CB4" w:rsidRDefault="009F2CB4">
      <w:r>
        <w:separator/>
      </w:r>
    </w:p>
  </w:footnote>
  <w:footnote w:type="continuationSeparator" w:id="0">
    <w:p w14:paraId="0FA3D222" w14:textId="77777777" w:rsidR="009F2CB4" w:rsidRDefault="009F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522"/>
    <w:multiLevelType w:val="hybridMultilevel"/>
    <w:tmpl w:val="2C94A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3405D"/>
    <w:multiLevelType w:val="hybridMultilevel"/>
    <w:tmpl w:val="DB363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44613"/>
    <w:multiLevelType w:val="hybridMultilevel"/>
    <w:tmpl w:val="6F301C34"/>
    <w:lvl w:ilvl="0" w:tplc="0AB4F29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644556"/>
    <w:multiLevelType w:val="hybridMultilevel"/>
    <w:tmpl w:val="D534D2F8"/>
    <w:lvl w:ilvl="0" w:tplc="90244C8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813381"/>
    <w:multiLevelType w:val="multilevel"/>
    <w:tmpl w:val="2064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37892"/>
    <w:multiLevelType w:val="hybridMultilevel"/>
    <w:tmpl w:val="976EF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0D1C43"/>
    <w:multiLevelType w:val="hybridMultilevel"/>
    <w:tmpl w:val="EE467D82"/>
    <w:lvl w:ilvl="0" w:tplc="5DCA85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E01665"/>
    <w:multiLevelType w:val="hybridMultilevel"/>
    <w:tmpl w:val="9AE85EE0"/>
    <w:lvl w:ilvl="0" w:tplc="0F4C4642">
      <w:start w:val="1"/>
      <w:numFmt w:val="bullet"/>
      <w:lvlText w:val="-"/>
      <w:lvlJc w:val="left"/>
      <w:pPr>
        <w:ind w:left="720" w:hanging="360"/>
      </w:pPr>
      <w:rPr>
        <w:rFonts w:ascii="Liberation Sans" w:hAnsi="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D7194D"/>
    <w:multiLevelType w:val="hybridMultilevel"/>
    <w:tmpl w:val="FEAA8E68"/>
    <w:lvl w:ilvl="0" w:tplc="87DEC8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1"/>
  </w:num>
  <w:num w:numId="6">
    <w:abstractNumId w:val="6"/>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50"/>
    <w:rsid w:val="00001013"/>
    <w:rsid w:val="00001D64"/>
    <w:rsid w:val="000020EC"/>
    <w:rsid w:val="0000375C"/>
    <w:rsid w:val="000042FE"/>
    <w:rsid w:val="00006D45"/>
    <w:rsid w:val="00006F0B"/>
    <w:rsid w:val="000101D2"/>
    <w:rsid w:val="00010CC8"/>
    <w:rsid w:val="00013319"/>
    <w:rsid w:val="000155F5"/>
    <w:rsid w:val="000162AE"/>
    <w:rsid w:val="0001737D"/>
    <w:rsid w:val="00022992"/>
    <w:rsid w:val="000259C4"/>
    <w:rsid w:val="000305E8"/>
    <w:rsid w:val="00032C3C"/>
    <w:rsid w:val="00032C69"/>
    <w:rsid w:val="00033301"/>
    <w:rsid w:val="00033DBD"/>
    <w:rsid w:val="00034692"/>
    <w:rsid w:val="0003517A"/>
    <w:rsid w:val="000355CA"/>
    <w:rsid w:val="00036015"/>
    <w:rsid w:val="00037B61"/>
    <w:rsid w:val="00040A88"/>
    <w:rsid w:val="00042525"/>
    <w:rsid w:val="00042A0E"/>
    <w:rsid w:val="000442B4"/>
    <w:rsid w:val="0004552A"/>
    <w:rsid w:val="00050070"/>
    <w:rsid w:val="00052077"/>
    <w:rsid w:val="000525EE"/>
    <w:rsid w:val="000544B8"/>
    <w:rsid w:val="000554B9"/>
    <w:rsid w:val="00055822"/>
    <w:rsid w:val="000563E8"/>
    <w:rsid w:val="0005710F"/>
    <w:rsid w:val="0005794E"/>
    <w:rsid w:val="00062BEC"/>
    <w:rsid w:val="00063D84"/>
    <w:rsid w:val="00070E44"/>
    <w:rsid w:val="00072364"/>
    <w:rsid w:val="00073336"/>
    <w:rsid w:val="00073C5F"/>
    <w:rsid w:val="00075332"/>
    <w:rsid w:val="00077D56"/>
    <w:rsid w:val="000831C7"/>
    <w:rsid w:val="00083431"/>
    <w:rsid w:val="000852CA"/>
    <w:rsid w:val="0008796F"/>
    <w:rsid w:val="00090106"/>
    <w:rsid w:val="00090B84"/>
    <w:rsid w:val="00090E83"/>
    <w:rsid w:val="00091435"/>
    <w:rsid w:val="00091DD9"/>
    <w:rsid w:val="00092E4E"/>
    <w:rsid w:val="00097849"/>
    <w:rsid w:val="000A00F6"/>
    <w:rsid w:val="000A068B"/>
    <w:rsid w:val="000A5DC3"/>
    <w:rsid w:val="000A6A0F"/>
    <w:rsid w:val="000A7299"/>
    <w:rsid w:val="000A7ED1"/>
    <w:rsid w:val="000B25F5"/>
    <w:rsid w:val="000B3209"/>
    <w:rsid w:val="000B3E67"/>
    <w:rsid w:val="000B4F61"/>
    <w:rsid w:val="000B6B89"/>
    <w:rsid w:val="000B75D0"/>
    <w:rsid w:val="000B79CD"/>
    <w:rsid w:val="000B7D0C"/>
    <w:rsid w:val="000C0A71"/>
    <w:rsid w:val="000D0389"/>
    <w:rsid w:val="000D1688"/>
    <w:rsid w:val="000D18C4"/>
    <w:rsid w:val="000D1F50"/>
    <w:rsid w:val="000D40B0"/>
    <w:rsid w:val="000D5C85"/>
    <w:rsid w:val="000D7A8B"/>
    <w:rsid w:val="000E1733"/>
    <w:rsid w:val="000E19CD"/>
    <w:rsid w:val="000E2738"/>
    <w:rsid w:val="000E28A0"/>
    <w:rsid w:val="000F5433"/>
    <w:rsid w:val="000F5DF0"/>
    <w:rsid w:val="000F72E5"/>
    <w:rsid w:val="000F7984"/>
    <w:rsid w:val="001010BE"/>
    <w:rsid w:val="001012AC"/>
    <w:rsid w:val="001018FF"/>
    <w:rsid w:val="001025AD"/>
    <w:rsid w:val="001072A7"/>
    <w:rsid w:val="00107DD0"/>
    <w:rsid w:val="00110E20"/>
    <w:rsid w:val="00114BAA"/>
    <w:rsid w:val="0011609E"/>
    <w:rsid w:val="001171D1"/>
    <w:rsid w:val="001308B7"/>
    <w:rsid w:val="001318BB"/>
    <w:rsid w:val="001319D9"/>
    <w:rsid w:val="001322BF"/>
    <w:rsid w:val="00132983"/>
    <w:rsid w:val="00133B03"/>
    <w:rsid w:val="00135A3C"/>
    <w:rsid w:val="00136C1D"/>
    <w:rsid w:val="00142A7A"/>
    <w:rsid w:val="00143DA1"/>
    <w:rsid w:val="001454DA"/>
    <w:rsid w:val="00146BDA"/>
    <w:rsid w:val="001476A3"/>
    <w:rsid w:val="00151927"/>
    <w:rsid w:val="00151A71"/>
    <w:rsid w:val="00151E99"/>
    <w:rsid w:val="001525F4"/>
    <w:rsid w:val="0015284B"/>
    <w:rsid w:val="001528CC"/>
    <w:rsid w:val="001541D1"/>
    <w:rsid w:val="001548BD"/>
    <w:rsid w:val="00154B69"/>
    <w:rsid w:val="00155410"/>
    <w:rsid w:val="001604FD"/>
    <w:rsid w:val="00163496"/>
    <w:rsid w:val="001659F5"/>
    <w:rsid w:val="00170B9A"/>
    <w:rsid w:val="00171223"/>
    <w:rsid w:val="00171C89"/>
    <w:rsid w:val="001722BD"/>
    <w:rsid w:val="00174401"/>
    <w:rsid w:val="0017637F"/>
    <w:rsid w:val="001807C3"/>
    <w:rsid w:val="0018088D"/>
    <w:rsid w:val="0018105F"/>
    <w:rsid w:val="001917F7"/>
    <w:rsid w:val="0019289E"/>
    <w:rsid w:val="00192A9C"/>
    <w:rsid w:val="001943EF"/>
    <w:rsid w:val="00195241"/>
    <w:rsid w:val="0019554D"/>
    <w:rsid w:val="00195902"/>
    <w:rsid w:val="00196CA9"/>
    <w:rsid w:val="001A06E8"/>
    <w:rsid w:val="001A4163"/>
    <w:rsid w:val="001A5ABD"/>
    <w:rsid w:val="001A62FC"/>
    <w:rsid w:val="001B07CD"/>
    <w:rsid w:val="001B0CDE"/>
    <w:rsid w:val="001B0D66"/>
    <w:rsid w:val="001B7D75"/>
    <w:rsid w:val="001C13BA"/>
    <w:rsid w:val="001C1E0E"/>
    <w:rsid w:val="001C739C"/>
    <w:rsid w:val="001C768E"/>
    <w:rsid w:val="001D0EAD"/>
    <w:rsid w:val="001D4A59"/>
    <w:rsid w:val="001E0992"/>
    <w:rsid w:val="001E1F27"/>
    <w:rsid w:val="001E2100"/>
    <w:rsid w:val="001E2C78"/>
    <w:rsid w:val="001E2DCF"/>
    <w:rsid w:val="001E4E84"/>
    <w:rsid w:val="001E59E7"/>
    <w:rsid w:val="001E6793"/>
    <w:rsid w:val="001F27B9"/>
    <w:rsid w:val="001F2F0E"/>
    <w:rsid w:val="001F4102"/>
    <w:rsid w:val="00205F64"/>
    <w:rsid w:val="0021353A"/>
    <w:rsid w:val="00220328"/>
    <w:rsid w:val="00221927"/>
    <w:rsid w:val="00221D52"/>
    <w:rsid w:val="0022243A"/>
    <w:rsid w:val="00223CEE"/>
    <w:rsid w:val="00223E47"/>
    <w:rsid w:val="00224012"/>
    <w:rsid w:val="002259BE"/>
    <w:rsid w:val="00225C57"/>
    <w:rsid w:val="00225FAE"/>
    <w:rsid w:val="0022607F"/>
    <w:rsid w:val="00231960"/>
    <w:rsid w:val="00232E6A"/>
    <w:rsid w:val="00234269"/>
    <w:rsid w:val="002354B6"/>
    <w:rsid w:val="00235ED9"/>
    <w:rsid w:val="00236543"/>
    <w:rsid w:val="00237F44"/>
    <w:rsid w:val="00241197"/>
    <w:rsid w:val="00242F6F"/>
    <w:rsid w:val="00243F11"/>
    <w:rsid w:val="00244249"/>
    <w:rsid w:val="0025080C"/>
    <w:rsid w:val="00256D53"/>
    <w:rsid w:val="00260F39"/>
    <w:rsid w:val="00261818"/>
    <w:rsid w:val="00262849"/>
    <w:rsid w:val="002661F4"/>
    <w:rsid w:val="00267066"/>
    <w:rsid w:val="00272A44"/>
    <w:rsid w:val="002757CF"/>
    <w:rsid w:val="00282A34"/>
    <w:rsid w:val="00282D27"/>
    <w:rsid w:val="00283348"/>
    <w:rsid w:val="00284ED5"/>
    <w:rsid w:val="00286958"/>
    <w:rsid w:val="00287475"/>
    <w:rsid w:val="0029114D"/>
    <w:rsid w:val="00292A60"/>
    <w:rsid w:val="00293523"/>
    <w:rsid w:val="00293929"/>
    <w:rsid w:val="002945EA"/>
    <w:rsid w:val="0029489A"/>
    <w:rsid w:val="00294B42"/>
    <w:rsid w:val="002A023E"/>
    <w:rsid w:val="002A1625"/>
    <w:rsid w:val="002A3D35"/>
    <w:rsid w:val="002A6DFF"/>
    <w:rsid w:val="002B4F23"/>
    <w:rsid w:val="002B529E"/>
    <w:rsid w:val="002B5D97"/>
    <w:rsid w:val="002B798B"/>
    <w:rsid w:val="002C073D"/>
    <w:rsid w:val="002C4759"/>
    <w:rsid w:val="002C5C32"/>
    <w:rsid w:val="002C6083"/>
    <w:rsid w:val="002D2744"/>
    <w:rsid w:val="002D76E5"/>
    <w:rsid w:val="002E0348"/>
    <w:rsid w:val="002E0AE3"/>
    <w:rsid w:val="002E2445"/>
    <w:rsid w:val="002E5C08"/>
    <w:rsid w:val="002E7417"/>
    <w:rsid w:val="002E7DA9"/>
    <w:rsid w:val="002F1882"/>
    <w:rsid w:val="002F2E05"/>
    <w:rsid w:val="002F477A"/>
    <w:rsid w:val="0030356C"/>
    <w:rsid w:val="00307D54"/>
    <w:rsid w:val="00310255"/>
    <w:rsid w:val="00310A30"/>
    <w:rsid w:val="00310AC7"/>
    <w:rsid w:val="00310F94"/>
    <w:rsid w:val="003141FB"/>
    <w:rsid w:val="003169AA"/>
    <w:rsid w:val="003172E1"/>
    <w:rsid w:val="0032231B"/>
    <w:rsid w:val="00322D47"/>
    <w:rsid w:val="00322F24"/>
    <w:rsid w:val="00325C78"/>
    <w:rsid w:val="00326660"/>
    <w:rsid w:val="00327C46"/>
    <w:rsid w:val="0033327B"/>
    <w:rsid w:val="003335E8"/>
    <w:rsid w:val="00333FFC"/>
    <w:rsid w:val="00334581"/>
    <w:rsid w:val="003354F3"/>
    <w:rsid w:val="00335BB6"/>
    <w:rsid w:val="00336FE7"/>
    <w:rsid w:val="003376A1"/>
    <w:rsid w:val="0034100C"/>
    <w:rsid w:val="00341978"/>
    <w:rsid w:val="00342A5F"/>
    <w:rsid w:val="00350239"/>
    <w:rsid w:val="0035090C"/>
    <w:rsid w:val="00351FD5"/>
    <w:rsid w:val="003527F3"/>
    <w:rsid w:val="00354591"/>
    <w:rsid w:val="0035579C"/>
    <w:rsid w:val="00356C43"/>
    <w:rsid w:val="0036618F"/>
    <w:rsid w:val="003670F0"/>
    <w:rsid w:val="0036784E"/>
    <w:rsid w:val="00370EF6"/>
    <w:rsid w:val="00372D6E"/>
    <w:rsid w:val="00373924"/>
    <w:rsid w:val="0037555A"/>
    <w:rsid w:val="00380CDB"/>
    <w:rsid w:val="00383CBF"/>
    <w:rsid w:val="00386E04"/>
    <w:rsid w:val="00391B2D"/>
    <w:rsid w:val="003949D8"/>
    <w:rsid w:val="0039732B"/>
    <w:rsid w:val="003A2A20"/>
    <w:rsid w:val="003A47E2"/>
    <w:rsid w:val="003A485E"/>
    <w:rsid w:val="003A602C"/>
    <w:rsid w:val="003B2261"/>
    <w:rsid w:val="003B24D7"/>
    <w:rsid w:val="003B4FDE"/>
    <w:rsid w:val="003B67C0"/>
    <w:rsid w:val="003B74C9"/>
    <w:rsid w:val="003C0387"/>
    <w:rsid w:val="003C0F24"/>
    <w:rsid w:val="003C4B86"/>
    <w:rsid w:val="003D1B34"/>
    <w:rsid w:val="003D357B"/>
    <w:rsid w:val="003D689C"/>
    <w:rsid w:val="003D786C"/>
    <w:rsid w:val="003E1E2A"/>
    <w:rsid w:val="003E21FD"/>
    <w:rsid w:val="003E24C1"/>
    <w:rsid w:val="003E255B"/>
    <w:rsid w:val="003E50B1"/>
    <w:rsid w:val="003E771E"/>
    <w:rsid w:val="003F7516"/>
    <w:rsid w:val="003F77E4"/>
    <w:rsid w:val="00401831"/>
    <w:rsid w:val="0040426E"/>
    <w:rsid w:val="00405A5F"/>
    <w:rsid w:val="00411F23"/>
    <w:rsid w:val="00423359"/>
    <w:rsid w:val="004331A2"/>
    <w:rsid w:val="004360C5"/>
    <w:rsid w:val="00440E61"/>
    <w:rsid w:val="00445212"/>
    <w:rsid w:val="00446F46"/>
    <w:rsid w:val="00450BC0"/>
    <w:rsid w:val="0045410D"/>
    <w:rsid w:val="004600DA"/>
    <w:rsid w:val="004638C8"/>
    <w:rsid w:val="00464286"/>
    <w:rsid w:val="00464FFC"/>
    <w:rsid w:val="00466BBC"/>
    <w:rsid w:val="004679FA"/>
    <w:rsid w:val="00467F16"/>
    <w:rsid w:val="0047114D"/>
    <w:rsid w:val="004757B6"/>
    <w:rsid w:val="00475B6D"/>
    <w:rsid w:val="004807C1"/>
    <w:rsid w:val="00480C74"/>
    <w:rsid w:val="004822A8"/>
    <w:rsid w:val="004825B3"/>
    <w:rsid w:val="00485C27"/>
    <w:rsid w:val="00490F40"/>
    <w:rsid w:val="0049141C"/>
    <w:rsid w:val="00491A83"/>
    <w:rsid w:val="00491D15"/>
    <w:rsid w:val="00492797"/>
    <w:rsid w:val="004929BC"/>
    <w:rsid w:val="00493C47"/>
    <w:rsid w:val="004943FB"/>
    <w:rsid w:val="004968E5"/>
    <w:rsid w:val="004A14D6"/>
    <w:rsid w:val="004A2B40"/>
    <w:rsid w:val="004B35C0"/>
    <w:rsid w:val="004B36C2"/>
    <w:rsid w:val="004B571A"/>
    <w:rsid w:val="004B71D8"/>
    <w:rsid w:val="004C2C6D"/>
    <w:rsid w:val="004C465A"/>
    <w:rsid w:val="004C4762"/>
    <w:rsid w:val="004C5A9F"/>
    <w:rsid w:val="004C6835"/>
    <w:rsid w:val="004C75EB"/>
    <w:rsid w:val="004D3352"/>
    <w:rsid w:val="004D45CC"/>
    <w:rsid w:val="004D709D"/>
    <w:rsid w:val="004D78B0"/>
    <w:rsid w:val="004E0288"/>
    <w:rsid w:val="004E249D"/>
    <w:rsid w:val="004E2B8A"/>
    <w:rsid w:val="004E451C"/>
    <w:rsid w:val="004E607C"/>
    <w:rsid w:val="004E6722"/>
    <w:rsid w:val="004F07D5"/>
    <w:rsid w:val="004F2095"/>
    <w:rsid w:val="004F2626"/>
    <w:rsid w:val="004F3F9E"/>
    <w:rsid w:val="004F6207"/>
    <w:rsid w:val="004F62FA"/>
    <w:rsid w:val="00501B05"/>
    <w:rsid w:val="00503428"/>
    <w:rsid w:val="00507D72"/>
    <w:rsid w:val="00510118"/>
    <w:rsid w:val="0051133D"/>
    <w:rsid w:val="0051323A"/>
    <w:rsid w:val="00513AFA"/>
    <w:rsid w:val="005144E8"/>
    <w:rsid w:val="00520317"/>
    <w:rsid w:val="005216E0"/>
    <w:rsid w:val="00523845"/>
    <w:rsid w:val="00525C1F"/>
    <w:rsid w:val="005268CA"/>
    <w:rsid w:val="0052692B"/>
    <w:rsid w:val="00527657"/>
    <w:rsid w:val="00530CCE"/>
    <w:rsid w:val="00530D95"/>
    <w:rsid w:val="005313C4"/>
    <w:rsid w:val="005317E6"/>
    <w:rsid w:val="005321E4"/>
    <w:rsid w:val="005373D6"/>
    <w:rsid w:val="00537E59"/>
    <w:rsid w:val="00541A34"/>
    <w:rsid w:val="00541F3D"/>
    <w:rsid w:val="00542CEE"/>
    <w:rsid w:val="00544414"/>
    <w:rsid w:val="005458FE"/>
    <w:rsid w:val="00545C51"/>
    <w:rsid w:val="005468B1"/>
    <w:rsid w:val="005476CC"/>
    <w:rsid w:val="0054793B"/>
    <w:rsid w:val="00550738"/>
    <w:rsid w:val="005532B9"/>
    <w:rsid w:val="00553624"/>
    <w:rsid w:val="00553869"/>
    <w:rsid w:val="00555899"/>
    <w:rsid w:val="005562D5"/>
    <w:rsid w:val="005605B9"/>
    <w:rsid w:val="00564E21"/>
    <w:rsid w:val="00565134"/>
    <w:rsid w:val="00567D4C"/>
    <w:rsid w:val="005700BA"/>
    <w:rsid w:val="00570F34"/>
    <w:rsid w:val="005711B8"/>
    <w:rsid w:val="00572E00"/>
    <w:rsid w:val="00573DBA"/>
    <w:rsid w:val="005745F8"/>
    <w:rsid w:val="0057790D"/>
    <w:rsid w:val="00580069"/>
    <w:rsid w:val="00581B2D"/>
    <w:rsid w:val="005854FA"/>
    <w:rsid w:val="00592588"/>
    <w:rsid w:val="00592C13"/>
    <w:rsid w:val="005933AF"/>
    <w:rsid w:val="00593CF9"/>
    <w:rsid w:val="00597A5E"/>
    <w:rsid w:val="005A01F2"/>
    <w:rsid w:val="005A281E"/>
    <w:rsid w:val="005A6462"/>
    <w:rsid w:val="005A7A20"/>
    <w:rsid w:val="005B1F47"/>
    <w:rsid w:val="005B225B"/>
    <w:rsid w:val="005B4DF5"/>
    <w:rsid w:val="005C095D"/>
    <w:rsid w:val="005C1488"/>
    <w:rsid w:val="005C3D83"/>
    <w:rsid w:val="005D165A"/>
    <w:rsid w:val="005D3662"/>
    <w:rsid w:val="005D5E6F"/>
    <w:rsid w:val="005E0437"/>
    <w:rsid w:val="005E1296"/>
    <w:rsid w:val="005E13B0"/>
    <w:rsid w:val="005E22EC"/>
    <w:rsid w:val="005E36F9"/>
    <w:rsid w:val="005E41E6"/>
    <w:rsid w:val="005E435D"/>
    <w:rsid w:val="005E6947"/>
    <w:rsid w:val="005E762E"/>
    <w:rsid w:val="005F0077"/>
    <w:rsid w:val="005F11FE"/>
    <w:rsid w:val="005F213B"/>
    <w:rsid w:val="005F225A"/>
    <w:rsid w:val="005F226E"/>
    <w:rsid w:val="00601564"/>
    <w:rsid w:val="006039F5"/>
    <w:rsid w:val="006047D2"/>
    <w:rsid w:val="00604CE9"/>
    <w:rsid w:val="0060616C"/>
    <w:rsid w:val="006061B1"/>
    <w:rsid w:val="006075C8"/>
    <w:rsid w:val="00612437"/>
    <w:rsid w:val="00615315"/>
    <w:rsid w:val="00623B6E"/>
    <w:rsid w:val="0062444A"/>
    <w:rsid w:val="00624FAD"/>
    <w:rsid w:val="006272F0"/>
    <w:rsid w:val="00627E32"/>
    <w:rsid w:val="006305CA"/>
    <w:rsid w:val="00630AE6"/>
    <w:rsid w:val="00634842"/>
    <w:rsid w:val="00634E66"/>
    <w:rsid w:val="0063546E"/>
    <w:rsid w:val="0063613E"/>
    <w:rsid w:val="006371C5"/>
    <w:rsid w:val="0064064D"/>
    <w:rsid w:val="00641ECA"/>
    <w:rsid w:val="00642AB3"/>
    <w:rsid w:val="0064444F"/>
    <w:rsid w:val="00644ACF"/>
    <w:rsid w:val="00652258"/>
    <w:rsid w:val="0065789B"/>
    <w:rsid w:val="00660BCC"/>
    <w:rsid w:val="00662AF4"/>
    <w:rsid w:val="00665BFA"/>
    <w:rsid w:val="00667A0B"/>
    <w:rsid w:val="00672F6B"/>
    <w:rsid w:val="006749BE"/>
    <w:rsid w:val="00674BDD"/>
    <w:rsid w:val="006756D9"/>
    <w:rsid w:val="00675833"/>
    <w:rsid w:val="00676741"/>
    <w:rsid w:val="006821E6"/>
    <w:rsid w:val="00682234"/>
    <w:rsid w:val="00682530"/>
    <w:rsid w:val="00684B60"/>
    <w:rsid w:val="0069489F"/>
    <w:rsid w:val="006A0AB7"/>
    <w:rsid w:val="006A0C58"/>
    <w:rsid w:val="006A7DF6"/>
    <w:rsid w:val="006B0B6A"/>
    <w:rsid w:val="006B0C75"/>
    <w:rsid w:val="006B1C46"/>
    <w:rsid w:val="006B245C"/>
    <w:rsid w:val="006B2A15"/>
    <w:rsid w:val="006B2AAA"/>
    <w:rsid w:val="006B3511"/>
    <w:rsid w:val="006B4389"/>
    <w:rsid w:val="006B4B20"/>
    <w:rsid w:val="006B5D97"/>
    <w:rsid w:val="006C00A0"/>
    <w:rsid w:val="006C1DA8"/>
    <w:rsid w:val="006C2107"/>
    <w:rsid w:val="006C3578"/>
    <w:rsid w:val="006C68C8"/>
    <w:rsid w:val="006D3954"/>
    <w:rsid w:val="006E01DE"/>
    <w:rsid w:val="006E1CF2"/>
    <w:rsid w:val="006E27F9"/>
    <w:rsid w:val="006E37E6"/>
    <w:rsid w:val="006E410D"/>
    <w:rsid w:val="006E41E9"/>
    <w:rsid w:val="006E4A85"/>
    <w:rsid w:val="006E796E"/>
    <w:rsid w:val="006F19A9"/>
    <w:rsid w:val="006F281A"/>
    <w:rsid w:val="006F59AE"/>
    <w:rsid w:val="006F6AC5"/>
    <w:rsid w:val="00701871"/>
    <w:rsid w:val="007037EF"/>
    <w:rsid w:val="007104D3"/>
    <w:rsid w:val="007116E1"/>
    <w:rsid w:val="0071178F"/>
    <w:rsid w:val="00711F62"/>
    <w:rsid w:val="00714F92"/>
    <w:rsid w:val="007158B0"/>
    <w:rsid w:val="0071731E"/>
    <w:rsid w:val="0071732A"/>
    <w:rsid w:val="0072076A"/>
    <w:rsid w:val="00721F6B"/>
    <w:rsid w:val="00722B78"/>
    <w:rsid w:val="00732A40"/>
    <w:rsid w:val="007334B4"/>
    <w:rsid w:val="007347AF"/>
    <w:rsid w:val="00734ACE"/>
    <w:rsid w:val="007358E9"/>
    <w:rsid w:val="00737722"/>
    <w:rsid w:val="0074462C"/>
    <w:rsid w:val="00744909"/>
    <w:rsid w:val="007459D0"/>
    <w:rsid w:val="00751DB5"/>
    <w:rsid w:val="0075350B"/>
    <w:rsid w:val="00755136"/>
    <w:rsid w:val="007572F1"/>
    <w:rsid w:val="00760BBD"/>
    <w:rsid w:val="00767025"/>
    <w:rsid w:val="00772901"/>
    <w:rsid w:val="0077444B"/>
    <w:rsid w:val="00774C65"/>
    <w:rsid w:val="007751B9"/>
    <w:rsid w:val="007753AC"/>
    <w:rsid w:val="00775A1D"/>
    <w:rsid w:val="007778E0"/>
    <w:rsid w:val="00777B50"/>
    <w:rsid w:val="007801FA"/>
    <w:rsid w:val="007828F3"/>
    <w:rsid w:val="007834B8"/>
    <w:rsid w:val="00784906"/>
    <w:rsid w:val="00784E77"/>
    <w:rsid w:val="0078725B"/>
    <w:rsid w:val="00792231"/>
    <w:rsid w:val="00794F30"/>
    <w:rsid w:val="00795A6B"/>
    <w:rsid w:val="00796BB5"/>
    <w:rsid w:val="00796C7B"/>
    <w:rsid w:val="007A26A5"/>
    <w:rsid w:val="007A7FFE"/>
    <w:rsid w:val="007B0097"/>
    <w:rsid w:val="007B0668"/>
    <w:rsid w:val="007B2EED"/>
    <w:rsid w:val="007B3590"/>
    <w:rsid w:val="007B6741"/>
    <w:rsid w:val="007C1EA3"/>
    <w:rsid w:val="007C4ACA"/>
    <w:rsid w:val="007C50BD"/>
    <w:rsid w:val="007C5296"/>
    <w:rsid w:val="007C5D3A"/>
    <w:rsid w:val="007C6FE7"/>
    <w:rsid w:val="007C7730"/>
    <w:rsid w:val="007C7C46"/>
    <w:rsid w:val="007C7E54"/>
    <w:rsid w:val="007D11BB"/>
    <w:rsid w:val="007D218D"/>
    <w:rsid w:val="007D3052"/>
    <w:rsid w:val="007D3458"/>
    <w:rsid w:val="007D3C38"/>
    <w:rsid w:val="007D6802"/>
    <w:rsid w:val="007D7724"/>
    <w:rsid w:val="007D7E6C"/>
    <w:rsid w:val="007E2B7D"/>
    <w:rsid w:val="007E5DE2"/>
    <w:rsid w:val="007E76AD"/>
    <w:rsid w:val="007F0C09"/>
    <w:rsid w:val="007F2975"/>
    <w:rsid w:val="007F48C9"/>
    <w:rsid w:val="007F4CEB"/>
    <w:rsid w:val="007F5856"/>
    <w:rsid w:val="008030C7"/>
    <w:rsid w:val="00804EE9"/>
    <w:rsid w:val="008101AE"/>
    <w:rsid w:val="008175B2"/>
    <w:rsid w:val="00817846"/>
    <w:rsid w:val="00817FD1"/>
    <w:rsid w:val="00820E30"/>
    <w:rsid w:val="00822260"/>
    <w:rsid w:val="00822997"/>
    <w:rsid w:val="008261CB"/>
    <w:rsid w:val="00827FC8"/>
    <w:rsid w:val="0083232F"/>
    <w:rsid w:val="00833B24"/>
    <w:rsid w:val="00834190"/>
    <w:rsid w:val="008341C1"/>
    <w:rsid w:val="00834436"/>
    <w:rsid w:val="00834660"/>
    <w:rsid w:val="0083513F"/>
    <w:rsid w:val="00837226"/>
    <w:rsid w:val="008423E3"/>
    <w:rsid w:val="00843ACA"/>
    <w:rsid w:val="00844C0D"/>
    <w:rsid w:val="008501A4"/>
    <w:rsid w:val="008564FB"/>
    <w:rsid w:val="008616C4"/>
    <w:rsid w:val="00861D6F"/>
    <w:rsid w:val="008704DA"/>
    <w:rsid w:val="0087517F"/>
    <w:rsid w:val="008771C6"/>
    <w:rsid w:val="00881295"/>
    <w:rsid w:val="00882198"/>
    <w:rsid w:val="00882B30"/>
    <w:rsid w:val="0088606A"/>
    <w:rsid w:val="008862BD"/>
    <w:rsid w:val="0088652C"/>
    <w:rsid w:val="00887B35"/>
    <w:rsid w:val="00891814"/>
    <w:rsid w:val="008926FB"/>
    <w:rsid w:val="008940AA"/>
    <w:rsid w:val="00895FDD"/>
    <w:rsid w:val="0089798F"/>
    <w:rsid w:val="008A1F2A"/>
    <w:rsid w:val="008A2BD3"/>
    <w:rsid w:val="008A6848"/>
    <w:rsid w:val="008B04F5"/>
    <w:rsid w:val="008B3A3A"/>
    <w:rsid w:val="008B5293"/>
    <w:rsid w:val="008B6DE6"/>
    <w:rsid w:val="008B7859"/>
    <w:rsid w:val="008C34D6"/>
    <w:rsid w:val="008C486A"/>
    <w:rsid w:val="008C6951"/>
    <w:rsid w:val="008D03B5"/>
    <w:rsid w:val="008D042B"/>
    <w:rsid w:val="008D482D"/>
    <w:rsid w:val="008D6A41"/>
    <w:rsid w:val="008D6CE5"/>
    <w:rsid w:val="008D7DA7"/>
    <w:rsid w:val="008E2C6E"/>
    <w:rsid w:val="008E570F"/>
    <w:rsid w:val="008E64CB"/>
    <w:rsid w:val="008F0C45"/>
    <w:rsid w:val="008F1FB1"/>
    <w:rsid w:val="008F6A01"/>
    <w:rsid w:val="00903F36"/>
    <w:rsid w:val="00905C18"/>
    <w:rsid w:val="00905FAD"/>
    <w:rsid w:val="009113EC"/>
    <w:rsid w:val="009117BC"/>
    <w:rsid w:val="009118C4"/>
    <w:rsid w:val="00912268"/>
    <w:rsid w:val="009125FF"/>
    <w:rsid w:val="00912758"/>
    <w:rsid w:val="00913841"/>
    <w:rsid w:val="00913D36"/>
    <w:rsid w:val="00915AF7"/>
    <w:rsid w:val="00915DEF"/>
    <w:rsid w:val="009168EE"/>
    <w:rsid w:val="00916AD8"/>
    <w:rsid w:val="009179B0"/>
    <w:rsid w:val="00917A74"/>
    <w:rsid w:val="009203EB"/>
    <w:rsid w:val="009233D8"/>
    <w:rsid w:val="0092545C"/>
    <w:rsid w:val="009273F7"/>
    <w:rsid w:val="00930C6B"/>
    <w:rsid w:val="00930F14"/>
    <w:rsid w:val="009326A2"/>
    <w:rsid w:val="009334CD"/>
    <w:rsid w:val="009341FD"/>
    <w:rsid w:val="00936FD6"/>
    <w:rsid w:val="0094047A"/>
    <w:rsid w:val="0094065C"/>
    <w:rsid w:val="00943710"/>
    <w:rsid w:val="00943F3F"/>
    <w:rsid w:val="00951E1B"/>
    <w:rsid w:val="0095262F"/>
    <w:rsid w:val="00953860"/>
    <w:rsid w:val="00962988"/>
    <w:rsid w:val="00963E6E"/>
    <w:rsid w:val="00964283"/>
    <w:rsid w:val="00964930"/>
    <w:rsid w:val="009675A3"/>
    <w:rsid w:val="009701E8"/>
    <w:rsid w:val="00970A77"/>
    <w:rsid w:val="00970F98"/>
    <w:rsid w:val="009738B3"/>
    <w:rsid w:val="00973ABB"/>
    <w:rsid w:val="00973D03"/>
    <w:rsid w:val="00973EF0"/>
    <w:rsid w:val="00975EDF"/>
    <w:rsid w:val="00981D8B"/>
    <w:rsid w:val="009823F6"/>
    <w:rsid w:val="00982FDD"/>
    <w:rsid w:val="009844B9"/>
    <w:rsid w:val="009845C0"/>
    <w:rsid w:val="00985573"/>
    <w:rsid w:val="0098589C"/>
    <w:rsid w:val="00985963"/>
    <w:rsid w:val="00987051"/>
    <w:rsid w:val="0098762B"/>
    <w:rsid w:val="00991963"/>
    <w:rsid w:val="0099312C"/>
    <w:rsid w:val="00993137"/>
    <w:rsid w:val="009933B1"/>
    <w:rsid w:val="009941DB"/>
    <w:rsid w:val="00995638"/>
    <w:rsid w:val="009958AC"/>
    <w:rsid w:val="009A0F4F"/>
    <w:rsid w:val="009A1DAC"/>
    <w:rsid w:val="009A1E43"/>
    <w:rsid w:val="009A2E3C"/>
    <w:rsid w:val="009A3A93"/>
    <w:rsid w:val="009A3DD6"/>
    <w:rsid w:val="009B4361"/>
    <w:rsid w:val="009B4835"/>
    <w:rsid w:val="009B504A"/>
    <w:rsid w:val="009B6B90"/>
    <w:rsid w:val="009C0114"/>
    <w:rsid w:val="009C15EB"/>
    <w:rsid w:val="009C5360"/>
    <w:rsid w:val="009C5732"/>
    <w:rsid w:val="009D01BC"/>
    <w:rsid w:val="009D1674"/>
    <w:rsid w:val="009D619E"/>
    <w:rsid w:val="009E22C5"/>
    <w:rsid w:val="009E2571"/>
    <w:rsid w:val="009E4048"/>
    <w:rsid w:val="009E586D"/>
    <w:rsid w:val="009E65B3"/>
    <w:rsid w:val="009E6BED"/>
    <w:rsid w:val="009F10C2"/>
    <w:rsid w:val="009F2736"/>
    <w:rsid w:val="009F296A"/>
    <w:rsid w:val="009F2CB4"/>
    <w:rsid w:val="009F3922"/>
    <w:rsid w:val="009F3D56"/>
    <w:rsid w:val="009F568A"/>
    <w:rsid w:val="00A0049F"/>
    <w:rsid w:val="00A016A1"/>
    <w:rsid w:val="00A03559"/>
    <w:rsid w:val="00A049FA"/>
    <w:rsid w:val="00A0742F"/>
    <w:rsid w:val="00A119D4"/>
    <w:rsid w:val="00A12D06"/>
    <w:rsid w:val="00A13D63"/>
    <w:rsid w:val="00A141F5"/>
    <w:rsid w:val="00A14ADB"/>
    <w:rsid w:val="00A14FF7"/>
    <w:rsid w:val="00A200C3"/>
    <w:rsid w:val="00A21BCF"/>
    <w:rsid w:val="00A21DAF"/>
    <w:rsid w:val="00A21EEE"/>
    <w:rsid w:val="00A2567E"/>
    <w:rsid w:val="00A2585A"/>
    <w:rsid w:val="00A317EE"/>
    <w:rsid w:val="00A336B6"/>
    <w:rsid w:val="00A33712"/>
    <w:rsid w:val="00A341B6"/>
    <w:rsid w:val="00A415E5"/>
    <w:rsid w:val="00A44D2E"/>
    <w:rsid w:val="00A466DA"/>
    <w:rsid w:val="00A47DCA"/>
    <w:rsid w:val="00A5060B"/>
    <w:rsid w:val="00A507B4"/>
    <w:rsid w:val="00A512D2"/>
    <w:rsid w:val="00A51E2C"/>
    <w:rsid w:val="00A53FA3"/>
    <w:rsid w:val="00A566E5"/>
    <w:rsid w:val="00A604FE"/>
    <w:rsid w:val="00A6360E"/>
    <w:rsid w:val="00A700F1"/>
    <w:rsid w:val="00A703FB"/>
    <w:rsid w:val="00A7506E"/>
    <w:rsid w:val="00A7527C"/>
    <w:rsid w:val="00A7709C"/>
    <w:rsid w:val="00A811C1"/>
    <w:rsid w:val="00A8244C"/>
    <w:rsid w:val="00A85CE9"/>
    <w:rsid w:val="00A90056"/>
    <w:rsid w:val="00A93DB2"/>
    <w:rsid w:val="00A9454D"/>
    <w:rsid w:val="00A9527A"/>
    <w:rsid w:val="00A9649C"/>
    <w:rsid w:val="00AA0E1A"/>
    <w:rsid w:val="00AA0FAD"/>
    <w:rsid w:val="00AA0FD3"/>
    <w:rsid w:val="00AA3618"/>
    <w:rsid w:val="00AA4857"/>
    <w:rsid w:val="00AB0602"/>
    <w:rsid w:val="00AB1F9C"/>
    <w:rsid w:val="00AB2881"/>
    <w:rsid w:val="00AB3E76"/>
    <w:rsid w:val="00AB3EFE"/>
    <w:rsid w:val="00AB70D2"/>
    <w:rsid w:val="00AB76C3"/>
    <w:rsid w:val="00AB7A13"/>
    <w:rsid w:val="00AC46AB"/>
    <w:rsid w:val="00AC4DAC"/>
    <w:rsid w:val="00AC7F25"/>
    <w:rsid w:val="00AD0019"/>
    <w:rsid w:val="00AD0875"/>
    <w:rsid w:val="00AD2340"/>
    <w:rsid w:val="00AD2F46"/>
    <w:rsid w:val="00AD456A"/>
    <w:rsid w:val="00AD484A"/>
    <w:rsid w:val="00AD4A2F"/>
    <w:rsid w:val="00AD500B"/>
    <w:rsid w:val="00AD590D"/>
    <w:rsid w:val="00AD7008"/>
    <w:rsid w:val="00AD79A9"/>
    <w:rsid w:val="00AE55E6"/>
    <w:rsid w:val="00AF0F04"/>
    <w:rsid w:val="00AF3D48"/>
    <w:rsid w:val="00AF46C6"/>
    <w:rsid w:val="00AF4B9B"/>
    <w:rsid w:val="00B00C59"/>
    <w:rsid w:val="00B0571E"/>
    <w:rsid w:val="00B07675"/>
    <w:rsid w:val="00B0788F"/>
    <w:rsid w:val="00B12DD0"/>
    <w:rsid w:val="00B1426E"/>
    <w:rsid w:val="00B17827"/>
    <w:rsid w:val="00B20C95"/>
    <w:rsid w:val="00B2487C"/>
    <w:rsid w:val="00B251D9"/>
    <w:rsid w:val="00B26693"/>
    <w:rsid w:val="00B27537"/>
    <w:rsid w:val="00B27FE3"/>
    <w:rsid w:val="00B305AE"/>
    <w:rsid w:val="00B32BB3"/>
    <w:rsid w:val="00B33922"/>
    <w:rsid w:val="00B34895"/>
    <w:rsid w:val="00B349A6"/>
    <w:rsid w:val="00B34E6E"/>
    <w:rsid w:val="00B36BDE"/>
    <w:rsid w:val="00B37478"/>
    <w:rsid w:val="00B4173E"/>
    <w:rsid w:val="00B41DE9"/>
    <w:rsid w:val="00B4234E"/>
    <w:rsid w:val="00B42994"/>
    <w:rsid w:val="00B4446F"/>
    <w:rsid w:val="00B44E5A"/>
    <w:rsid w:val="00B451F7"/>
    <w:rsid w:val="00B50013"/>
    <w:rsid w:val="00B5045F"/>
    <w:rsid w:val="00B50E33"/>
    <w:rsid w:val="00B51F56"/>
    <w:rsid w:val="00B53EC6"/>
    <w:rsid w:val="00B57F29"/>
    <w:rsid w:val="00B60923"/>
    <w:rsid w:val="00B6193F"/>
    <w:rsid w:val="00B622E7"/>
    <w:rsid w:val="00B62BC8"/>
    <w:rsid w:val="00B62BEC"/>
    <w:rsid w:val="00B63428"/>
    <w:rsid w:val="00B65449"/>
    <w:rsid w:val="00B655CF"/>
    <w:rsid w:val="00B65D31"/>
    <w:rsid w:val="00B67D60"/>
    <w:rsid w:val="00B72F2A"/>
    <w:rsid w:val="00B81ACE"/>
    <w:rsid w:val="00B8294B"/>
    <w:rsid w:val="00B842E8"/>
    <w:rsid w:val="00B85751"/>
    <w:rsid w:val="00B861B8"/>
    <w:rsid w:val="00B86375"/>
    <w:rsid w:val="00B8747C"/>
    <w:rsid w:val="00B92A1E"/>
    <w:rsid w:val="00BA01C9"/>
    <w:rsid w:val="00BA024F"/>
    <w:rsid w:val="00BA0670"/>
    <w:rsid w:val="00BA3D96"/>
    <w:rsid w:val="00BA63FF"/>
    <w:rsid w:val="00BA799F"/>
    <w:rsid w:val="00BB1597"/>
    <w:rsid w:val="00BB1C00"/>
    <w:rsid w:val="00BB3C26"/>
    <w:rsid w:val="00BB46CC"/>
    <w:rsid w:val="00BB6736"/>
    <w:rsid w:val="00BB747D"/>
    <w:rsid w:val="00BC1258"/>
    <w:rsid w:val="00BC1570"/>
    <w:rsid w:val="00BC382D"/>
    <w:rsid w:val="00BC52BD"/>
    <w:rsid w:val="00BC580E"/>
    <w:rsid w:val="00BD0CFE"/>
    <w:rsid w:val="00BD0ECD"/>
    <w:rsid w:val="00BD3375"/>
    <w:rsid w:val="00BD5DD6"/>
    <w:rsid w:val="00BE3761"/>
    <w:rsid w:val="00BE4422"/>
    <w:rsid w:val="00BE4782"/>
    <w:rsid w:val="00BE4A76"/>
    <w:rsid w:val="00BE65A8"/>
    <w:rsid w:val="00BF095D"/>
    <w:rsid w:val="00BF16A1"/>
    <w:rsid w:val="00BF23D7"/>
    <w:rsid w:val="00BF376A"/>
    <w:rsid w:val="00BF3CD7"/>
    <w:rsid w:val="00BF44CA"/>
    <w:rsid w:val="00C00927"/>
    <w:rsid w:val="00C01B97"/>
    <w:rsid w:val="00C02A2A"/>
    <w:rsid w:val="00C03F70"/>
    <w:rsid w:val="00C052FA"/>
    <w:rsid w:val="00C05657"/>
    <w:rsid w:val="00C119A8"/>
    <w:rsid w:val="00C121C0"/>
    <w:rsid w:val="00C13D52"/>
    <w:rsid w:val="00C16946"/>
    <w:rsid w:val="00C2034D"/>
    <w:rsid w:val="00C217C8"/>
    <w:rsid w:val="00C22E19"/>
    <w:rsid w:val="00C24A61"/>
    <w:rsid w:val="00C24A80"/>
    <w:rsid w:val="00C275BC"/>
    <w:rsid w:val="00C304D7"/>
    <w:rsid w:val="00C313F1"/>
    <w:rsid w:val="00C37736"/>
    <w:rsid w:val="00C37A34"/>
    <w:rsid w:val="00C44797"/>
    <w:rsid w:val="00C46C9A"/>
    <w:rsid w:val="00C51C0F"/>
    <w:rsid w:val="00C53221"/>
    <w:rsid w:val="00C53966"/>
    <w:rsid w:val="00C53B22"/>
    <w:rsid w:val="00C54099"/>
    <w:rsid w:val="00C543FB"/>
    <w:rsid w:val="00C54407"/>
    <w:rsid w:val="00C54457"/>
    <w:rsid w:val="00C54785"/>
    <w:rsid w:val="00C5502A"/>
    <w:rsid w:val="00C5620B"/>
    <w:rsid w:val="00C64F4B"/>
    <w:rsid w:val="00C65B86"/>
    <w:rsid w:val="00C6711B"/>
    <w:rsid w:val="00C70658"/>
    <w:rsid w:val="00C74618"/>
    <w:rsid w:val="00C76E1B"/>
    <w:rsid w:val="00C81095"/>
    <w:rsid w:val="00C85D44"/>
    <w:rsid w:val="00C902C9"/>
    <w:rsid w:val="00C911EC"/>
    <w:rsid w:val="00C957F0"/>
    <w:rsid w:val="00C96957"/>
    <w:rsid w:val="00CA0254"/>
    <w:rsid w:val="00CA148B"/>
    <w:rsid w:val="00CA19F8"/>
    <w:rsid w:val="00CA1CA2"/>
    <w:rsid w:val="00CA2D46"/>
    <w:rsid w:val="00CA3818"/>
    <w:rsid w:val="00CA484D"/>
    <w:rsid w:val="00CA6F50"/>
    <w:rsid w:val="00CB1395"/>
    <w:rsid w:val="00CB2919"/>
    <w:rsid w:val="00CB4C15"/>
    <w:rsid w:val="00CC4E5F"/>
    <w:rsid w:val="00CC7DE7"/>
    <w:rsid w:val="00CD4868"/>
    <w:rsid w:val="00CD6F1F"/>
    <w:rsid w:val="00CD7FB2"/>
    <w:rsid w:val="00CE046A"/>
    <w:rsid w:val="00CE2C8D"/>
    <w:rsid w:val="00CF1F68"/>
    <w:rsid w:val="00CF3579"/>
    <w:rsid w:val="00D01997"/>
    <w:rsid w:val="00D01B56"/>
    <w:rsid w:val="00D02326"/>
    <w:rsid w:val="00D03987"/>
    <w:rsid w:val="00D04BE3"/>
    <w:rsid w:val="00D1034A"/>
    <w:rsid w:val="00D13E8F"/>
    <w:rsid w:val="00D1437C"/>
    <w:rsid w:val="00D14D1B"/>
    <w:rsid w:val="00D16932"/>
    <w:rsid w:val="00D17566"/>
    <w:rsid w:val="00D24E0E"/>
    <w:rsid w:val="00D25A7D"/>
    <w:rsid w:val="00D27EFA"/>
    <w:rsid w:val="00D301DD"/>
    <w:rsid w:val="00D31C9B"/>
    <w:rsid w:val="00D32346"/>
    <w:rsid w:val="00D35379"/>
    <w:rsid w:val="00D35CD9"/>
    <w:rsid w:val="00D40035"/>
    <w:rsid w:val="00D40452"/>
    <w:rsid w:val="00D42065"/>
    <w:rsid w:val="00D51A87"/>
    <w:rsid w:val="00D57EFD"/>
    <w:rsid w:val="00D601D8"/>
    <w:rsid w:val="00D60AD5"/>
    <w:rsid w:val="00D6268E"/>
    <w:rsid w:val="00D64003"/>
    <w:rsid w:val="00D65594"/>
    <w:rsid w:val="00D65F14"/>
    <w:rsid w:val="00D6628A"/>
    <w:rsid w:val="00D7289C"/>
    <w:rsid w:val="00D733D5"/>
    <w:rsid w:val="00D75565"/>
    <w:rsid w:val="00D768AA"/>
    <w:rsid w:val="00D80909"/>
    <w:rsid w:val="00D80F12"/>
    <w:rsid w:val="00D8633B"/>
    <w:rsid w:val="00D91261"/>
    <w:rsid w:val="00D92BD9"/>
    <w:rsid w:val="00D93072"/>
    <w:rsid w:val="00D9334F"/>
    <w:rsid w:val="00D93F67"/>
    <w:rsid w:val="00D94F20"/>
    <w:rsid w:val="00D96574"/>
    <w:rsid w:val="00D96C66"/>
    <w:rsid w:val="00D974E9"/>
    <w:rsid w:val="00DA0C53"/>
    <w:rsid w:val="00DA2917"/>
    <w:rsid w:val="00DA3944"/>
    <w:rsid w:val="00DA7C81"/>
    <w:rsid w:val="00DB1451"/>
    <w:rsid w:val="00DB35D2"/>
    <w:rsid w:val="00DB4649"/>
    <w:rsid w:val="00DB4EA0"/>
    <w:rsid w:val="00DB6304"/>
    <w:rsid w:val="00DB7764"/>
    <w:rsid w:val="00DC036A"/>
    <w:rsid w:val="00DC46E6"/>
    <w:rsid w:val="00DC5683"/>
    <w:rsid w:val="00DC6AF7"/>
    <w:rsid w:val="00DD0E2C"/>
    <w:rsid w:val="00DD1009"/>
    <w:rsid w:val="00DD23B4"/>
    <w:rsid w:val="00DD26D6"/>
    <w:rsid w:val="00DD2E08"/>
    <w:rsid w:val="00DD5452"/>
    <w:rsid w:val="00DD7D49"/>
    <w:rsid w:val="00DE1268"/>
    <w:rsid w:val="00DE243F"/>
    <w:rsid w:val="00DE4710"/>
    <w:rsid w:val="00DE6D31"/>
    <w:rsid w:val="00DE73E6"/>
    <w:rsid w:val="00DF191B"/>
    <w:rsid w:val="00DF359B"/>
    <w:rsid w:val="00DF370F"/>
    <w:rsid w:val="00DF38BA"/>
    <w:rsid w:val="00DF5E1E"/>
    <w:rsid w:val="00DF6CB6"/>
    <w:rsid w:val="00DF75DC"/>
    <w:rsid w:val="00E022ED"/>
    <w:rsid w:val="00E04020"/>
    <w:rsid w:val="00E05E10"/>
    <w:rsid w:val="00E138A0"/>
    <w:rsid w:val="00E1632A"/>
    <w:rsid w:val="00E20184"/>
    <w:rsid w:val="00E20C33"/>
    <w:rsid w:val="00E20C4E"/>
    <w:rsid w:val="00E22560"/>
    <w:rsid w:val="00E23AE6"/>
    <w:rsid w:val="00E23EFA"/>
    <w:rsid w:val="00E25AAB"/>
    <w:rsid w:val="00E27AE6"/>
    <w:rsid w:val="00E306B2"/>
    <w:rsid w:val="00E307EF"/>
    <w:rsid w:val="00E315F4"/>
    <w:rsid w:val="00E32B65"/>
    <w:rsid w:val="00E34A9F"/>
    <w:rsid w:val="00E403B9"/>
    <w:rsid w:val="00E41E1C"/>
    <w:rsid w:val="00E43748"/>
    <w:rsid w:val="00E47591"/>
    <w:rsid w:val="00E47AA2"/>
    <w:rsid w:val="00E530AE"/>
    <w:rsid w:val="00E56137"/>
    <w:rsid w:val="00E564A2"/>
    <w:rsid w:val="00E566DC"/>
    <w:rsid w:val="00E619F8"/>
    <w:rsid w:val="00E65E93"/>
    <w:rsid w:val="00E66C2E"/>
    <w:rsid w:val="00E67458"/>
    <w:rsid w:val="00E70F37"/>
    <w:rsid w:val="00E74FA4"/>
    <w:rsid w:val="00E76861"/>
    <w:rsid w:val="00E76FE5"/>
    <w:rsid w:val="00E813AF"/>
    <w:rsid w:val="00E81410"/>
    <w:rsid w:val="00E822B5"/>
    <w:rsid w:val="00E82739"/>
    <w:rsid w:val="00E82775"/>
    <w:rsid w:val="00E84EA5"/>
    <w:rsid w:val="00E85556"/>
    <w:rsid w:val="00E867B8"/>
    <w:rsid w:val="00E8700D"/>
    <w:rsid w:val="00E90645"/>
    <w:rsid w:val="00E93F52"/>
    <w:rsid w:val="00EA7F0F"/>
    <w:rsid w:val="00EB45A0"/>
    <w:rsid w:val="00EB4ED2"/>
    <w:rsid w:val="00EC08FA"/>
    <w:rsid w:val="00EC1DB6"/>
    <w:rsid w:val="00EC3B69"/>
    <w:rsid w:val="00EC3CEE"/>
    <w:rsid w:val="00EC40C7"/>
    <w:rsid w:val="00EC5552"/>
    <w:rsid w:val="00EC5C7E"/>
    <w:rsid w:val="00EC7B13"/>
    <w:rsid w:val="00ED01A9"/>
    <w:rsid w:val="00ED1EBC"/>
    <w:rsid w:val="00ED5DCA"/>
    <w:rsid w:val="00ED64E5"/>
    <w:rsid w:val="00EE06D0"/>
    <w:rsid w:val="00EE1F87"/>
    <w:rsid w:val="00EE2189"/>
    <w:rsid w:val="00EE39D1"/>
    <w:rsid w:val="00EE54B6"/>
    <w:rsid w:val="00EE6B08"/>
    <w:rsid w:val="00EF3763"/>
    <w:rsid w:val="00EF5DAF"/>
    <w:rsid w:val="00EF7776"/>
    <w:rsid w:val="00EF7E9E"/>
    <w:rsid w:val="00F02026"/>
    <w:rsid w:val="00F0227F"/>
    <w:rsid w:val="00F02387"/>
    <w:rsid w:val="00F0342D"/>
    <w:rsid w:val="00F04530"/>
    <w:rsid w:val="00F04E5D"/>
    <w:rsid w:val="00F07D4B"/>
    <w:rsid w:val="00F11231"/>
    <w:rsid w:val="00F1230C"/>
    <w:rsid w:val="00F12B34"/>
    <w:rsid w:val="00F2057D"/>
    <w:rsid w:val="00F24C9D"/>
    <w:rsid w:val="00F27626"/>
    <w:rsid w:val="00F34886"/>
    <w:rsid w:val="00F34C7F"/>
    <w:rsid w:val="00F359D0"/>
    <w:rsid w:val="00F374CD"/>
    <w:rsid w:val="00F375ED"/>
    <w:rsid w:val="00F40A58"/>
    <w:rsid w:val="00F41630"/>
    <w:rsid w:val="00F41A41"/>
    <w:rsid w:val="00F444FA"/>
    <w:rsid w:val="00F44537"/>
    <w:rsid w:val="00F51510"/>
    <w:rsid w:val="00F52303"/>
    <w:rsid w:val="00F530BC"/>
    <w:rsid w:val="00F55FCC"/>
    <w:rsid w:val="00F627DE"/>
    <w:rsid w:val="00F6499A"/>
    <w:rsid w:val="00F64A90"/>
    <w:rsid w:val="00F66464"/>
    <w:rsid w:val="00F72E86"/>
    <w:rsid w:val="00F746CB"/>
    <w:rsid w:val="00F74CBA"/>
    <w:rsid w:val="00F75FF6"/>
    <w:rsid w:val="00F80B32"/>
    <w:rsid w:val="00F87343"/>
    <w:rsid w:val="00F87943"/>
    <w:rsid w:val="00F91091"/>
    <w:rsid w:val="00F94F94"/>
    <w:rsid w:val="00F959BF"/>
    <w:rsid w:val="00F963A5"/>
    <w:rsid w:val="00FA07B9"/>
    <w:rsid w:val="00FA09F4"/>
    <w:rsid w:val="00FA169C"/>
    <w:rsid w:val="00FA382A"/>
    <w:rsid w:val="00FA3D60"/>
    <w:rsid w:val="00FA6A3C"/>
    <w:rsid w:val="00FA7A51"/>
    <w:rsid w:val="00FB0020"/>
    <w:rsid w:val="00FB1B6D"/>
    <w:rsid w:val="00FB21A4"/>
    <w:rsid w:val="00FB32B6"/>
    <w:rsid w:val="00FB5C32"/>
    <w:rsid w:val="00FB6EE8"/>
    <w:rsid w:val="00FB7FD3"/>
    <w:rsid w:val="00FC1E4B"/>
    <w:rsid w:val="00FC27BD"/>
    <w:rsid w:val="00FC404E"/>
    <w:rsid w:val="00FC470F"/>
    <w:rsid w:val="00FC5491"/>
    <w:rsid w:val="00FC6440"/>
    <w:rsid w:val="00FD0408"/>
    <w:rsid w:val="00FD060C"/>
    <w:rsid w:val="00FD0FD9"/>
    <w:rsid w:val="00FD15D0"/>
    <w:rsid w:val="00FD179A"/>
    <w:rsid w:val="00FD1F6B"/>
    <w:rsid w:val="00FD247D"/>
    <w:rsid w:val="00FD4C82"/>
    <w:rsid w:val="00FD7E34"/>
    <w:rsid w:val="00FE1185"/>
    <w:rsid w:val="00FE34A1"/>
    <w:rsid w:val="00FE3636"/>
    <w:rsid w:val="00FE45A2"/>
    <w:rsid w:val="00FE68A0"/>
    <w:rsid w:val="00FF433A"/>
    <w:rsid w:val="00FF623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72EB"/>
  <w15:docId w15:val="{D0A4676D-C679-4D07-9223-482F126D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AC7"/>
    <w:pPr>
      <w:textAlignment w:val="baseline"/>
    </w:pPr>
    <w:rPr>
      <w:rFonts w:ascii="Times New Roman" w:eastAsia="Times New Roman" w:hAnsi="Times New Roman" w:cs="Times New Roman"/>
      <w:kern w:val="2"/>
      <w:sz w:val="24"/>
      <w:szCs w:val="20"/>
      <w:lang w:eastAsia="zh-CN"/>
    </w:rPr>
  </w:style>
  <w:style w:type="paragraph" w:styleId="Titre1">
    <w:name w:val="heading 1"/>
    <w:basedOn w:val="SNArticle"/>
    <w:next w:val="Normal"/>
    <w:link w:val="Titre1Car"/>
    <w:uiPriority w:val="9"/>
    <w:qFormat/>
    <w:rsid w:val="003E24C1"/>
    <w:pPr>
      <w:outlineLvl w:val="0"/>
    </w:pPr>
    <w:rPr>
      <w:sz w:val="24"/>
      <w:szCs w:val="24"/>
    </w:rPr>
  </w:style>
  <w:style w:type="paragraph" w:styleId="Titre2">
    <w:name w:val="heading 2"/>
    <w:basedOn w:val="SNArticle"/>
    <w:next w:val="Normal"/>
    <w:link w:val="Titre2Car"/>
    <w:uiPriority w:val="9"/>
    <w:unhideWhenUsed/>
    <w:qFormat/>
    <w:rsid w:val="003E24C1"/>
    <w:pPr>
      <w:outlineLvl w:val="1"/>
    </w:pPr>
    <w:rPr>
      <w:sz w:val="24"/>
      <w:szCs w:val="24"/>
    </w:rPr>
  </w:style>
  <w:style w:type="paragraph" w:styleId="Titre3">
    <w:name w:val="heading 3"/>
    <w:basedOn w:val="Titre2"/>
    <w:next w:val="Normal"/>
    <w:link w:val="Titre3Car"/>
    <w:uiPriority w:val="9"/>
    <w:unhideWhenUsed/>
    <w:qFormat/>
    <w:rsid w:val="003E24C1"/>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Article">
    <w:name w:val="SNArticle"/>
    <w:basedOn w:val="Normal"/>
    <w:next w:val="Corpsdetexte"/>
    <w:qFormat/>
    <w:rsid w:val="00976FCC"/>
    <w:pPr>
      <w:spacing w:before="240" w:after="240"/>
      <w:jc w:val="center"/>
    </w:pPr>
    <w:rPr>
      <w:b/>
      <w:sz w:val="22"/>
    </w:rPr>
  </w:style>
  <w:style w:type="paragraph" w:styleId="Corpsdetexte">
    <w:name w:val="Body Text"/>
    <w:basedOn w:val="Normal"/>
    <w:link w:val="CorpsdetexteCar"/>
    <w:rsid w:val="00976FCC"/>
    <w:rPr>
      <w:rFonts w:ascii="Arial" w:eastAsia="Arial" w:hAnsi="Arial" w:cs="Arial"/>
      <w:color w:val="000000"/>
      <w:sz w:val="20"/>
    </w:rPr>
  </w:style>
  <w:style w:type="character" w:customStyle="1" w:styleId="CorpsdetexteCar">
    <w:name w:val="Corps de texte Car"/>
    <w:basedOn w:val="Policepardfaut"/>
    <w:link w:val="Corpsdetexte"/>
    <w:qFormat/>
    <w:rsid w:val="00976FCC"/>
    <w:rPr>
      <w:rFonts w:ascii="Arial" w:eastAsia="Arial" w:hAnsi="Arial" w:cs="Arial"/>
      <w:color w:val="000000"/>
      <w:kern w:val="2"/>
      <w:sz w:val="20"/>
      <w:szCs w:val="20"/>
      <w:lang w:eastAsia="zh-CN"/>
    </w:rPr>
  </w:style>
  <w:style w:type="character" w:customStyle="1" w:styleId="Titre1Car">
    <w:name w:val="Titre 1 Car"/>
    <w:basedOn w:val="Policepardfaut"/>
    <w:link w:val="Titre1"/>
    <w:uiPriority w:val="9"/>
    <w:qFormat/>
    <w:rsid w:val="003E24C1"/>
    <w:rPr>
      <w:rFonts w:ascii="Times New Roman" w:eastAsia="Times New Roman" w:hAnsi="Times New Roman" w:cs="Times New Roman"/>
      <w:b/>
      <w:kern w:val="2"/>
      <w:sz w:val="24"/>
      <w:szCs w:val="24"/>
      <w:lang w:eastAsia="zh-CN"/>
    </w:rPr>
  </w:style>
  <w:style w:type="character" w:customStyle="1" w:styleId="Titre2Car">
    <w:name w:val="Titre 2 Car"/>
    <w:basedOn w:val="Policepardfaut"/>
    <w:link w:val="Titre2"/>
    <w:uiPriority w:val="9"/>
    <w:qFormat/>
    <w:rsid w:val="003E24C1"/>
    <w:rPr>
      <w:rFonts w:ascii="Times New Roman" w:eastAsia="Times New Roman" w:hAnsi="Times New Roman" w:cs="Times New Roman"/>
      <w:b/>
      <w:kern w:val="2"/>
      <w:sz w:val="24"/>
      <w:szCs w:val="24"/>
      <w:lang w:eastAsia="zh-CN"/>
    </w:rPr>
  </w:style>
  <w:style w:type="character" w:customStyle="1" w:styleId="Titre3Car">
    <w:name w:val="Titre 3 Car"/>
    <w:basedOn w:val="Policepardfaut"/>
    <w:link w:val="Titre3"/>
    <w:uiPriority w:val="9"/>
    <w:rsid w:val="003E24C1"/>
    <w:rPr>
      <w:rFonts w:ascii="Times New Roman" w:eastAsia="Times New Roman" w:hAnsi="Times New Roman" w:cs="Times New Roman"/>
      <w:b/>
      <w:kern w:val="2"/>
      <w:sz w:val="24"/>
      <w:szCs w:val="24"/>
      <w:lang w:eastAsia="zh-CN"/>
    </w:rPr>
  </w:style>
  <w:style w:type="character" w:customStyle="1" w:styleId="Policepardfaut1">
    <w:name w:val="Police par défaut1"/>
    <w:qFormat/>
    <w:rsid w:val="00976FCC"/>
  </w:style>
  <w:style w:type="character" w:customStyle="1" w:styleId="NotedebasdepageCar">
    <w:name w:val="Note de bas de page Car"/>
    <w:basedOn w:val="Policepardfaut"/>
    <w:link w:val="Notedebasdepage"/>
    <w:uiPriority w:val="99"/>
    <w:qFormat/>
    <w:rsid w:val="00AE29B4"/>
    <w:rPr>
      <w:rFonts w:ascii="Arial" w:hAnsi="Arial" w:cs="Arial"/>
      <w:sz w:val="18"/>
      <w:szCs w:val="20"/>
    </w:rPr>
  </w:style>
  <w:style w:type="paragraph" w:styleId="Notedebasdepage">
    <w:name w:val="footnote text"/>
    <w:basedOn w:val="Normal"/>
    <w:link w:val="NotedebasdepageCar"/>
    <w:uiPriority w:val="99"/>
    <w:unhideWhenUsed/>
    <w:qFormat/>
    <w:rsid w:val="00AE29B4"/>
    <w:pPr>
      <w:suppressAutoHyphens w:val="0"/>
      <w:textAlignment w:val="auto"/>
    </w:pPr>
    <w:rPr>
      <w:rFonts w:ascii="Arial" w:eastAsiaTheme="minorHAnsi" w:hAnsi="Arial" w:cs="Arial"/>
      <w:kern w:val="0"/>
      <w:sz w:val="18"/>
      <w:lang w:eastAsia="en-US"/>
    </w:rPr>
  </w:style>
  <w:style w:type="character" w:customStyle="1" w:styleId="markedcontent">
    <w:name w:val="markedcontent"/>
    <w:basedOn w:val="Policepardfaut"/>
    <w:qFormat/>
    <w:rsid w:val="00AE29B4"/>
  </w:style>
  <w:style w:type="character" w:styleId="Marquedecommentaire">
    <w:name w:val="annotation reference"/>
    <w:basedOn w:val="Policepardfaut"/>
    <w:uiPriority w:val="99"/>
    <w:unhideWhenUsed/>
    <w:qFormat/>
    <w:rsid w:val="009920B3"/>
    <w:rPr>
      <w:sz w:val="16"/>
      <w:szCs w:val="16"/>
    </w:rPr>
  </w:style>
  <w:style w:type="character" w:customStyle="1" w:styleId="CommentaireCar">
    <w:name w:val="Commentaire Car"/>
    <w:basedOn w:val="Policepardfaut"/>
    <w:link w:val="Commentaire"/>
    <w:uiPriority w:val="99"/>
    <w:qFormat/>
    <w:rsid w:val="009920B3"/>
    <w:rPr>
      <w:rFonts w:ascii="Times New Roman" w:eastAsia="Times New Roman" w:hAnsi="Times New Roman" w:cs="Times New Roman"/>
      <w:kern w:val="2"/>
      <w:sz w:val="20"/>
      <w:szCs w:val="20"/>
      <w:lang w:eastAsia="zh-CN"/>
    </w:rPr>
  </w:style>
  <w:style w:type="paragraph" w:styleId="Commentaire">
    <w:name w:val="annotation text"/>
    <w:basedOn w:val="Normal"/>
    <w:link w:val="CommentaireCar"/>
    <w:uiPriority w:val="99"/>
    <w:unhideWhenUsed/>
    <w:qFormat/>
    <w:rsid w:val="009920B3"/>
    <w:rPr>
      <w:sz w:val="20"/>
    </w:rPr>
  </w:style>
  <w:style w:type="character" w:customStyle="1" w:styleId="ObjetducommentaireCar">
    <w:name w:val="Objet du commentaire Car"/>
    <w:basedOn w:val="CommentaireCar"/>
    <w:link w:val="Objetducommentaire"/>
    <w:uiPriority w:val="99"/>
    <w:semiHidden/>
    <w:qFormat/>
    <w:rsid w:val="009920B3"/>
    <w:rPr>
      <w:rFonts w:ascii="Times New Roman" w:eastAsia="Times New Roman" w:hAnsi="Times New Roman" w:cs="Times New Roman"/>
      <w:b/>
      <w:bCs/>
      <w:kern w:val="2"/>
      <w:sz w:val="20"/>
      <w:szCs w:val="20"/>
      <w:lang w:eastAsia="zh-CN"/>
    </w:rPr>
  </w:style>
  <w:style w:type="paragraph" w:styleId="Objetducommentaire">
    <w:name w:val="annotation subject"/>
    <w:basedOn w:val="Commentaire"/>
    <w:next w:val="Commentaire"/>
    <w:link w:val="ObjetducommentaireCar"/>
    <w:uiPriority w:val="99"/>
    <w:semiHidden/>
    <w:unhideWhenUsed/>
    <w:qFormat/>
    <w:rsid w:val="009920B3"/>
    <w:rPr>
      <w:b/>
      <w:bCs/>
    </w:rPr>
  </w:style>
  <w:style w:type="character" w:customStyle="1" w:styleId="TextedebullesCar">
    <w:name w:val="Texte de bulles Car"/>
    <w:basedOn w:val="Policepardfaut"/>
    <w:link w:val="Textedebulles"/>
    <w:uiPriority w:val="99"/>
    <w:semiHidden/>
    <w:qFormat/>
    <w:rsid w:val="009920B3"/>
    <w:rPr>
      <w:rFonts w:ascii="Segoe UI" w:eastAsia="Times New Roman" w:hAnsi="Segoe UI" w:cs="Segoe UI"/>
      <w:kern w:val="2"/>
      <w:sz w:val="18"/>
      <w:szCs w:val="18"/>
      <w:lang w:eastAsia="zh-CN"/>
    </w:rPr>
  </w:style>
  <w:style w:type="paragraph" w:styleId="Textedebulles">
    <w:name w:val="Balloon Text"/>
    <w:basedOn w:val="Normal"/>
    <w:link w:val="TextedebullesCar"/>
    <w:uiPriority w:val="99"/>
    <w:semiHidden/>
    <w:unhideWhenUsed/>
    <w:qFormat/>
    <w:rsid w:val="009920B3"/>
    <w:rPr>
      <w:rFonts w:ascii="Segoe UI" w:hAnsi="Segoe UI" w:cs="Segoe UI"/>
      <w:sz w:val="18"/>
      <w:szCs w:val="18"/>
    </w:rPr>
  </w:style>
  <w:style w:type="character" w:customStyle="1" w:styleId="Caractresdenotedebasdepage">
    <w:name w:val="Caractères de note de bas de page"/>
    <w:basedOn w:val="Policepardfaut"/>
    <w:uiPriority w:val="99"/>
    <w:semiHidden/>
    <w:unhideWhenUsed/>
    <w:qFormat/>
    <w:rsid w:val="0028680A"/>
    <w:rPr>
      <w:vertAlign w:val="superscript"/>
    </w:rPr>
  </w:style>
  <w:style w:type="character" w:customStyle="1" w:styleId="Ancredenotedebasdepage">
    <w:name w:val="Ancre de note de bas de page"/>
    <w:rPr>
      <w:vertAlign w:val="superscript"/>
    </w:rPr>
  </w:style>
  <w:style w:type="character" w:customStyle="1" w:styleId="En-tteCar">
    <w:name w:val="En-tête Car"/>
    <w:basedOn w:val="Policepardfaut"/>
    <w:link w:val="En-tte"/>
    <w:uiPriority w:val="99"/>
    <w:qFormat/>
    <w:rsid w:val="008324A9"/>
    <w:rPr>
      <w:rFonts w:ascii="Times New Roman" w:eastAsia="Times New Roman" w:hAnsi="Times New Roman" w:cs="Times New Roman"/>
      <w:kern w:val="2"/>
      <w:sz w:val="24"/>
      <w:szCs w:val="20"/>
      <w:lang w:eastAsia="zh-CN"/>
    </w:rPr>
  </w:style>
  <w:style w:type="paragraph" w:styleId="En-tte">
    <w:name w:val="header"/>
    <w:basedOn w:val="Normal"/>
    <w:link w:val="En-tteCar"/>
    <w:uiPriority w:val="99"/>
    <w:unhideWhenUsed/>
    <w:rsid w:val="008324A9"/>
    <w:pPr>
      <w:tabs>
        <w:tab w:val="center" w:pos="4536"/>
        <w:tab w:val="right" w:pos="9072"/>
      </w:tabs>
    </w:pPr>
  </w:style>
  <w:style w:type="character" w:customStyle="1" w:styleId="PieddepageCar">
    <w:name w:val="Pied de page Car"/>
    <w:basedOn w:val="Policepardfaut"/>
    <w:link w:val="Pieddepage"/>
    <w:uiPriority w:val="99"/>
    <w:qFormat/>
    <w:rsid w:val="008324A9"/>
    <w:rPr>
      <w:rFonts w:ascii="Times New Roman" w:eastAsia="Times New Roman" w:hAnsi="Times New Roman" w:cs="Times New Roman"/>
      <w:kern w:val="2"/>
      <w:sz w:val="24"/>
      <w:szCs w:val="20"/>
      <w:lang w:eastAsia="zh-CN"/>
    </w:rPr>
  </w:style>
  <w:style w:type="paragraph" w:styleId="Pieddepage">
    <w:name w:val="footer"/>
    <w:basedOn w:val="Normal"/>
    <w:link w:val="PieddepageCar"/>
    <w:uiPriority w:val="99"/>
    <w:unhideWhenUsed/>
    <w:rsid w:val="008324A9"/>
    <w:pPr>
      <w:tabs>
        <w:tab w:val="center" w:pos="4536"/>
        <w:tab w:val="right" w:pos="9072"/>
      </w:tabs>
    </w:pPr>
  </w:style>
  <w:style w:type="character" w:customStyle="1" w:styleId="highlight">
    <w:name w:val="highlight"/>
    <w:basedOn w:val="Policepardfaut"/>
    <w:qFormat/>
    <w:rsid w:val="009F7C91"/>
  </w:style>
  <w:style w:type="character" w:customStyle="1" w:styleId="Numrotationdelignes">
    <w:name w:val="Numérotation de lignes"/>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SNNature">
    <w:name w:val="SNNature"/>
    <w:basedOn w:val="Normal"/>
    <w:qFormat/>
    <w:rsid w:val="00976FCC"/>
    <w:pPr>
      <w:widowControl w:val="0"/>
      <w:suppressLineNumbers/>
      <w:spacing w:before="720" w:after="240"/>
      <w:jc w:val="center"/>
    </w:pPr>
    <w:rPr>
      <w:rFonts w:eastAsia="Lucida Sans Unicode"/>
      <w:b/>
    </w:rPr>
  </w:style>
  <w:style w:type="paragraph" w:customStyle="1" w:styleId="SNObjet">
    <w:name w:val="SNObjet"/>
    <w:basedOn w:val="Normal"/>
    <w:next w:val="Normal"/>
    <w:qFormat/>
    <w:rsid w:val="00976FCC"/>
    <w:pPr>
      <w:tabs>
        <w:tab w:val="left" w:pos="284"/>
      </w:tabs>
      <w:spacing w:before="240" w:after="240"/>
      <w:jc w:val="both"/>
    </w:pPr>
    <w:rPr>
      <w:b/>
      <w:sz w:val="22"/>
    </w:rPr>
  </w:style>
  <w:style w:type="paragraph" w:customStyle="1" w:styleId="SNAutorit">
    <w:name w:val="SNAutorité"/>
    <w:basedOn w:val="Normal"/>
    <w:qFormat/>
    <w:rsid w:val="00976FCC"/>
    <w:pPr>
      <w:spacing w:before="720" w:after="240"/>
      <w:ind w:firstLine="720"/>
    </w:pPr>
    <w:rPr>
      <w:b/>
    </w:rPr>
  </w:style>
  <w:style w:type="paragraph" w:customStyle="1" w:styleId="SNVisa">
    <w:name w:val="SNVisa"/>
    <w:basedOn w:val="Normal"/>
    <w:qFormat/>
    <w:rsid w:val="00976FCC"/>
    <w:pPr>
      <w:spacing w:before="120" w:after="120"/>
      <w:ind w:firstLine="720"/>
      <w:jc w:val="both"/>
    </w:pPr>
    <w:rPr>
      <w:sz w:val="22"/>
    </w:rPr>
  </w:style>
  <w:style w:type="paragraph" w:customStyle="1" w:styleId="SNSignaturePrincipale">
    <w:name w:val="SNSignaturePrincipale"/>
    <w:basedOn w:val="Normal"/>
    <w:next w:val="Normal"/>
    <w:qFormat/>
    <w:rsid w:val="00976FCC"/>
    <w:pPr>
      <w:spacing w:before="480" w:after="480"/>
      <w:ind w:firstLine="720"/>
    </w:pPr>
  </w:style>
  <w:style w:type="paragraph" w:customStyle="1" w:styleId="Contenudetableau">
    <w:name w:val="Contenu de tableau"/>
    <w:basedOn w:val="Normal"/>
    <w:qFormat/>
    <w:rsid w:val="00976FCC"/>
    <w:pPr>
      <w:suppressLineNumbers/>
    </w:pPr>
  </w:style>
  <w:style w:type="paragraph" w:styleId="Paragraphedeliste">
    <w:name w:val="List Paragraph"/>
    <w:basedOn w:val="Normal"/>
    <w:link w:val="ParagraphedelisteCar"/>
    <w:uiPriority w:val="34"/>
    <w:qFormat/>
    <w:rsid w:val="00BD11D1"/>
    <w:pPr>
      <w:ind w:left="720"/>
      <w:contextualSpacing/>
    </w:pPr>
  </w:style>
  <w:style w:type="paragraph" w:customStyle="1" w:styleId="m-BlocEmetteur">
    <w:name w:val="m-BlocEmetteur"/>
    <w:basedOn w:val="Normal"/>
    <w:qFormat/>
    <w:rsid w:val="004B00E6"/>
    <w:pPr>
      <w:jc w:val="both"/>
      <w:textAlignment w:val="auto"/>
    </w:pPr>
    <w:rPr>
      <w:rFonts w:ascii="Arial" w:hAnsi="Arial"/>
      <w:i/>
      <w:kern w:val="0"/>
      <w:sz w:val="20"/>
      <w:szCs w:val="24"/>
      <w:lang w:eastAsia="fr-FR"/>
    </w:rPr>
  </w:style>
  <w:style w:type="paragraph" w:customStyle="1" w:styleId="m-BlocEmetteur2">
    <w:name w:val="m-BlocEmetteur2"/>
    <w:basedOn w:val="m-BlocEmetteur"/>
    <w:qFormat/>
    <w:rsid w:val="004B00E6"/>
    <w:pPr>
      <w:spacing w:after="91"/>
    </w:pPr>
  </w:style>
  <w:style w:type="paragraph" w:customStyle="1" w:styleId="m-BlocReference">
    <w:name w:val="m-BlocReference"/>
    <w:basedOn w:val="Normal"/>
    <w:qFormat/>
    <w:rsid w:val="004B00E6"/>
    <w:pPr>
      <w:jc w:val="both"/>
      <w:textAlignment w:val="auto"/>
    </w:pPr>
    <w:rPr>
      <w:rFonts w:ascii="Arial" w:eastAsia="Arial Unicode MS" w:hAnsi="Arial"/>
      <w:kern w:val="0"/>
      <w:sz w:val="20"/>
      <w:szCs w:val="24"/>
      <w:lang w:eastAsia="fr-FR"/>
    </w:rPr>
  </w:style>
  <w:style w:type="paragraph" w:customStyle="1" w:styleId="m-Objet">
    <w:name w:val="m-Objet"/>
    <w:basedOn w:val="Normal"/>
    <w:next w:val="m-TextePieceJointe"/>
    <w:qFormat/>
    <w:rsid w:val="004B00E6"/>
    <w:pPr>
      <w:spacing w:before="283"/>
      <w:ind w:left="1417"/>
      <w:jc w:val="center"/>
      <w:textAlignment w:val="auto"/>
    </w:pPr>
    <w:rPr>
      <w:rFonts w:ascii="Arial" w:hAnsi="Arial"/>
      <w:kern w:val="0"/>
      <w:sz w:val="20"/>
      <w:szCs w:val="24"/>
      <w:lang w:eastAsia="fr-FR"/>
    </w:rPr>
  </w:style>
  <w:style w:type="paragraph" w:customStyle="1" w:styleId="m-TextePieceJointe">
    <w:name w:val="m-TextePieceJointe"/>
    <w:basedOn w:val="m-Objet"/>
    <w:qFormat/>
    <w:rsid w:val="004B00E6"/>
    <w:pPr>
      <w:spacing w:before="0"/>
    </w:pPr>
  </w:style>
  <w:style w:type="paragraph" w:customStyle="1" w:styleId="m-BlocDate">
    <w:name w:val="m-BlocDate"/>
    <w:basedOn w:val="Normal"/>
    <w:qFormat/>
    <w:rsid w:val="004B00E6"/>
    <w:pPr>
      <w:ind w:right="567"/>
      <w:jc w:val="right"/>
      <w:textAlignment w:val="auto"/>
    </w:pPr>
    <w:rPr>
      <w:rFonts w:ascii="Arial" w:hAnsi="Arial"/>
      <w:kern w:val="0"/>
      <w:sz w:val="20"/>
      <w:szCs w:val="24"/>
      <w:lang w:eastAsia="fr-FR"/>
    </w:rPr>
  </w:style>
  <w:style w:type="paragraph" w:customStyle="1" w:styleId="m-BlocEntete">
    <w:name w:val="m-BlocEntete"/>
    <w:basedOn w:val="Normal"/>
    <w:qFormat/>
    <w:rsid w:val="004B00E6"/>
    <w:pPr>
      <w:textAlignment w:val="auto"/>
    </w:pPr>
    <w:rPr>
      <w:rFonts w:ascii="Arial" w:hAnsi="Arial"/>
      <w:i/>
      <w:kern w:val="0"/>
      <w:sz w:val="20"/>
      <w:szCs w:val="24"/>
      <w:lang w:eastAsia="fr-FR"/>
    </w:rPr>
  </w:style>
  <w:style w:type="paragraph" w:customStyle="1" w:styleId="m-BlocDestinataire">
    <w:name w:val="m-BlocDestinataire"/>
    <w:basedOn w:val="Normal"/>
    <w:qFormat/>
    <w:rsid w:val="004B00E6"/>
    <w:pPr>
      <w:ind w:right="567"/>
      <w:jc w:val="right"/>
      <w:textAlignment w:val="auto"/>
    </w:pPr>
    <w:rPr>
      <w:rFonts w:ascii="Arial" w:hAnsi="Arial"/>
      <w:kern w:val="0"/>
      <w:sz w:val="20"/>
      <w:szCs w:val="24"/>
      <w:lang w:eastAsia="fr-FR"/>
    </w:rPr>
  </w:style>
  <w:style w:type="paragraph" w:customStyle="1" w:styleId="m-signature">
    <w:name w:val="m-signature"/>
    <w:basedOn w:val="Normal"/>
    <w:qFormat/>
    <w:rsid w:val="004B00E6"/>
    <w:pPr>
      <w:keepNext/>
      <w:keepLines/>
      <w:widowControl w:val="0"/>
      <w:spacing w:after="500"/>
      <w:ind w:right="567"/>
      <w:jc w:val="right"/>
      <w:textAlignment w:val="auto"/>
    </w:pPr>
    <w:rPr>
      <w:rFonts w:ascii="Arial" w:hAnsi="Arial"/>
      <w:kern w:val="0"/>
      <w:sz w:val="20"/>
      <w:lang w:eastAsia="fr-FR"/>
    </w:rPr>
  </w:style>
  <w:style w:type="paragraph" w:customStyle="1" w:styleId="m-CopieA2">
    <w:name w:val="m-CopieA2"/>
    <w:basedOn w:val="Normal"/>
    <w:qFormat/>
    <w:rsid w:val="004B00E6"/>
    <w:pPr>
      <w:spacing w:line="260" w:lineRule="exact"/>
      <w:ind w:left="820"/>
      <w:textAlignment w:val="auto"/>
    </w:pPr>
    <w:rPr>
      <w:rFonts w:ascii="Liberation Sans" w:hAnsi="Liberation Sans"/>
      <w:kern w:val="0"/>
      <w:sz w:val="20"/>
      <w:szCs w:val="24"/>
      <w:lang w:eastAsia="fr-FR"/>
    </w:rPr>
  </w:style>
  <w:style w:type="paragraph" w:customStyle="1" w:styleId="mBlocTitreMLET">
    <w:name w:val="m_BlocTitre_MLET"/>
    <w:basedOn w:val="Normal"/>
    <w:qFormat/>
    <w:rsid w:val="004B00E6"/>
    <w:pPr>
      <w:ind w:right="567"/>
      <w:jc w:val="right"/>
      <w:textAlignment w:val="auto"/>
    </w:pPr>
    <w:rPr>
      <w:rFonts w:ascii="Arial" w:hAnsi="Arial"/>
      <w:b/>
      <w:color w:val="4C4C4C"/>
      <w:kern w:val="0"/>
      <w:szCs w:val="24"/>
      <w:lang w:eastAsia="fr-FR"/>
    </w:rPr>
  </w:style>
  <w:style w:type="paragraph" w:customStyle="1" w:styleId="En-tteetpieddepage">
    <w:name w:val="En-tête et pied de page"/>
    <w:basedOn w:val="Normal"/>
    <w:qFormat/>
  </w:style>
  <w:style w:type="paragraph" w:styleId="Rvision">
    <w:name w:val="Revision"/>
    <w:uiPriority w:val="99"/>
    <w:semiHidden/>
    <w:qFormat/>
    <w:rsid w:val="005C71D5"/>
    <w:rPr>
      <w:rFonts w:ascii="Times New Roman" w:eastAsia="Times New Roman" w:hAnsi="Times New Roman" w:cs="Times New Roman"/>
      <w:kern w:val="2"/>
      <w:sz w:val="24"/>
      <w:szCs w:val="20"/>
      <w:lang w:eastAsia="zh-CN"/>
    </w:rPr>
  </w:style>
  <w:style w:type="paragraph" w:customStyle="1" w:styleId="Default">
    <w:name w:val="Default"/>
    <w:qFormat/>
    <w:rsid w:val="00632AAA"/>
    <w:rPr>
      <w:rFonts w:ascii="Times New Roman" w:eastAsia="Calibri" w:hAnsi="Times New Roman" w:cs="Times New Roman"/>
      <w:color w:val="000000"/>
      <w:sz w:val="24"/>
      <w:szCs w:val="24"/>
    </w:rPr>
  </w:style>
  <w:style w:type="paragraph" w:styleId="NormalWeb">
    <w:name w:val="Normal (Web)"/>
    <w:basedOn w:val="Normal"/>
    <w:uiPriority w:val="99"/>
    <w:unhideWhenUsed/>
    <w:qFormat/>
    <w:rsid w:val="001851DD"/>
    <w:pPr>
      <w:suppressAutoHyphens w:val="0"/>
      <w:spacing w:beforeAutospacing="1" w:after="142" w:line="276" w:lineRule="auto"/>
      <w:textAlignment w:val="auto"/>
    </w:pPr>
    <w:rPr>
      <w:kern w:val="0"/>
      <w:szCs w:val="24"/>
      <w:lang w:eastAsia="fr-FR"/>
    </w:rPr>
  </w:style>
  <w:style w:type="table" w:styleId="Grilledutableau">
    <w:name w:val="Table Grid"/>
    <w:basedOn w:val="TableauNormal"/>
    <w:uiPriority w:val="39"/>
    <w:rsid w:val="007C6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2901"/>
    <w:rPr>
      <w:color w:val="0563C1" w:themeColor="hyperlink"/>
      <w:u w:val="single"/>
    </w:rPr>
  </w:style>
  <w:style w:type="character" w:customStyle="1" w:styleId="UnresolvedMention">
    <w:name w:val="Unresolved Mention"/>
    <w:basedOn w:val="Policepardfaut"/>
    <w:uiPriority w:val="99"/>
    <w:semiHidden/>
    <w:unhideWhenUsed/>
    <w:rsid w:val="00772901"/>
    <w:rPr>
      <w:color w:val="605E5C"/>
      <w:shd w:val="clear" w:color="auto" w:fill="E1DFDD"/>
    </w:rPr>
  </w:style>
  <w:style w:type="character" w:customStyle="1" w:styleId="print-title-summary">
    <w:name w:val="print-title-summary"/>
    <w:basedOn w:val="Policepardfaut"/>
    <w:rsid w:val="00737722"/>
  </w:style>
  <w:style w:type="paragraph" w:styleId="Index1">
    <w:name w:val="index 1"/>
    <w:basedOn w:val="Normal"/>
    <w:next w:val="Normal"/>
    <w:autoRedefine/>
    <w:uiPriority w:val="99"/>
    <w:semiHidden/>
    <w:unhideWhenUsed/>
    <w:rsid w:val="00C24A61"/>
    <w:pPr>
      <w:ind w:left="240" w:hanging="240"/>
    </w:pPr>
  </w:style>
  <w:style w:type="paragraph" w:styleId="TM1">
    <w:name w:val="toc 1"/>
    <w:basedOn w:val="SNArticle"/>
    <w:next w:val="SNArticle"/>
    <w:autoRedefine/>
    <w:uiPriority w:val="39"/>
    <w:unhideWhenUsed/>
    <w:rsid w:val="00C24A61"/>
    <w:pPr>
      <w:spacing w:after="100"/>
    </w:pPr>
  </w:style>
  <w:style w:type="character" w:styleId="Accentuation">
    <w:name w:val="Emphasis"/>
    <w:basedOn w:val="Policepardfaut"/>
    <w:uiPriority w:val="20"/>
    <w:qFormat/>
    <w:rsid w:val="001010BE"/>
    <w:rPr>
      <w:i/>
      <w:iCs/>
    </w:rPr>
  </w:style>
  <w:style w:type="paragraph" w:styleId="Corpsdetexte2">
    <w:name w:val="Body Text 2"/>
    <w:basedOn w:val="Normal"/>
    <w:link w:val="Corpsdetexte2Car"/>
    <w:uiPriority w:val="99"/>
    <w:semiHidden/>
    <w:unhideWhenUsed/>
    <w:rsid w:val="008D482D"/>
    <w:pPr>
      <w:spacing w:after="120" w:line="480" w:lineRule="auto"/>
    </w:pPr>
  </w:style>
  <w:style w:type="character" w:customStyle="1" w:styleId="Corpsdetexte2Car">
    <w:name w:val="Corps de texte 2 Car"/>
    <w:basedOn w:val="Policepardfaut"/>
    <w:link w:val="Corpsdetexte2"/>
    <w:uiPriority w:val="99"/>
    <w:semiHidden/>
    <w:rsid w:val="008D482D"/>
    <w:rPr>
      <w:rFonts w:ascii="Times New Roman" w:eastAsia="Times New Roman" w:hAnsi="Times New Roman" w:cs="Times New Roman"/>
      <w:kern w:val="2"/>
      <w:sz w:val="24"/>
      <w:szCs w:val="20"/>
      <w:lang w:eastAsia="zh-CN"/>
    </w:rPr>
  </w:style>
  <w:style w:type="paragraph" w:customStyle="1" w:styleId="WW-BodyText2">
    <w:name w:val="WW-Body Text 2"/>
    <w:basedOn w:val="Normal"/>
    <w:qFormat/>
    <w:rsid w:val="008D482D"/>
    <w:pPr>
      <w:tabs>
        <w:tab w:val="left" w:pos="284"/>
        <w:tab w:val="left" w:pos="720"/>
        <w:tab w:val="left" w:pos="2160"/>
        <w:tab w:val="left" w:pos="3600"/>
        <w:tab w:val="left" w:pos="5040"/>
        <w:tab w:val="left" w:pos="6480"/>
        <w:tab w:val="left" w:pos="7920"/>
        <w:tab w:val="left" w:pos="9498"/>
        <w:tab w:val="left" w:pos="9639"/>
      </w:tabs>
      <w:jc w:val="both"/>
      <w:textAlignment w:val="auto"/>
    </w:pPr>
    <w:rPr>
      <w:rFonts w:ascii="Liberation Serif" w:eastAsia="NSimSun" w:hAnsi="Liberation Serif" w:cs="Lucida Sans"/>
      <w:i/>
      <w:szCs w:val="24"/>
      <w:lang w:bidi="hi-IN"/>
    </w:rPr>
  </w:style>
  <w:style w:type="paragraph" w:styleId="Corpsdetexte3">
    <w:name w:val="Body Text 3"/>
    <w:basedOn w:val="Normal"/>
    <w:link w:val="Corpsdetexte3Car"/>
    <w:uiPriority w:val="99"/>
    <w:unhideWhenUsed/>
    <w:rsid w:val="008D6CE5"/>
    <w:pPr>
      <w:suppressAutoHyphens w:val="0"/>
      <w:spacing w:after="120"/>
      <w:textAlignment w:val="auto"/>
    </w:pPr>
    <w:rPr>
      <w:rFonts w:ascii="Liberation Serif" w:eastAsia="NSimSun" w:hAnsi="Liberation Serif" w:cs="Mangal"/>
      <w:sz w:val="16"/>
      <w:szCs w:val="14"/>
      <w:lang w:bidi="hi-IN"/>
    </w:rPr>
  </w:style>
  <w:style w:type="character" w:customStyle="1" w:styleId="Corpsdetexte3Car">
    <w:name w:val="Corps de texte 3 Car"/>
    <w:basedOn w:val="Policepardfaut"/>
    <w:link w:val="Corpsdetexte3"/>
    <w:uiPriority w:val="99"/>
    <w:rsid w:val="008D6CE5"/>
    <w:rPr>
      <w:rFonts w:ascii="Liberation Serif" w:eastAsia="NSimSun" w:hAnsi="Liberation Serif" w:cs="Mangal"/>
      <w:kern w:val="2"/>
      <w:sz w:val="16"/>
      <w:szCs w:val="14"/>
      <w:lang w:eastAsia="zh-CN" w:bidi="hi-IN"/>
    </w:rPr>
  </w:style>
  <w:style w:type="character" w:customStyle="1" w:styleId="publication">
    <w:name w:val="publication"/>
    <w:basedOn w:val="Policepardfaut"/>
    <w:rsid w:val="0071731E"/>
  </w:style>
  <w:style w:type="character" w:customStyle="1" w:styleId="nor">
    <w:name w:val="nor"/>
    <w:basedOn w:val="Policepardfaut"/>
    <w:rsid w:val="0071731E"/>
  </w:style>
  <w:style w:type="paragraph" w:styleId="En-ttedetabledesmatires">
    <w:name w:val="TOC Heading"/>
    <w:basedOn w:val="Titre1"/>
    <w:next w:val="Normal"/>
    <w:uiPriority w:val="39"/>
    <w:unhideWhenUsed/>
    <w:qFormat/>
    <w:rsid w:val="00310F94"/>
    <w:pPr>
      <w:keepNext/>
      <w:keepLines/>
      <w:suppressAutoHyphens w:val="0"/>
      <w:spacing w:after="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lang w:eastAsia="fr-FR"/>
    </w:rPr>
  </w:style>
  <w:style w:type="paragraph" w:styleId="TM3">
    <w:name w:val="toc 3"/>
    <w:basedOn w:val="Normal"/>
    <w:next w:val="Normal"/>
    <w:autoRedefine/>
    <w:uiPriority w:val="39"/>
    <w:unhideWhenUsed/>
    <w:rsid w:val="00310F94"/>
    <w:pPr>
      <w:spacing w:after="100"/>
      <w:ind w:left="480"/>
    </w:pPr>
  </w:style>
  <w:style w:type="paragraph" w:styleId="TM2">
    <w:name w:val="toc 2"/>
    <w:basedOn w:val="Normal"/>
    <w:next w:val="Normal"/>
    <w:autoRedefine/>
    <w:uiPriority w:val="39"/>
    <w:unhideWhenUsed/>
    <w:rsid w:val="00310F94"/>
    <w:pPr>
      <w:spacing w:after="100"/>
      <w:ind w:left="240"/>
    </w:pPr>
  </w:style>
  <w:style w:type="character" w:customStyle="1" w:styleId="ParagraphedelisteCar">
    <w:name w:val="Paragraphe de liste Car"/>
    <w:link w:val="Paragraphedeliste"/>
    <w:uiPriority w:val="34"/>
    <w:qFormat/>
    <w:rsid w:val="007D3052"/>
    <w:rPr>
      <w:rFonts w:ascii="Times New Roman" w:eastAsia="Times New Roman" w:hAnsi="Times New Roman" w:cs="Times New Roman"/>
      <w:kern w:val="2"/>
      <w:sz w:val="24"/>
      <w:szCs w:val="20"/>
      <w:lang w:eastAsia="zh-CN"/>
    </w:rPr>
  </w:style>
  <w:style w:type="paragraph" w:customStyle="1" w:styleId="western">
    <w:name w:val="western"/>
    <w:basedOn w:val="Normal"/>
    <w:rsid w:val="00520317"/>
    <w:pPr>
      <w:suppressAutoHyphens w:val="0"/>
      <w:spacing w:before="100" w:beforeAutospacing="1" w:after="119"/>
      <w:jc w:val="both"/>
      <w:textAlignment w:val="auto"/>
    </w:pPr>
    <w:rPr>
      <w:color w:val="000000"/>
      <w:kern w:val="0"/>
      <w:szCs w:val="24"/>
      <w:lang w:eastAsia="fr-FR"/>
    </w:rPr>
  </w:style>
  <w:style w:type="character" w:styleId="Textedelespacerserv">
    <w:name w:val="Placeholder Text"/>
    <w:basedOn w:val="Policepardfaut"/>
    <w:uiPriority w:val="99"/>
    <w:semiHidden/>
    <w:rsid w:val="00905F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2240">
      <w:bodyDiv w:val="1"/>
      <w:marLeft w:val="0"/>
      <w:marRight w:val="0"/>
      <w:marTop w:val="0"/>
      <w:marBottom w:val="0"/>
      <w:divBdr>
        <w:top w:val="none" w:sz="0" w:space="0" w:color="auto"/>
        <w:left w:val="none" w:sz="0" w:space="0" w:color="auto"/>
        <w:bottom w:val="none" w:sz="0" w:space="0" w:color="auto"/>
        <w:right w:val="none" w:sz="0" w:space="0" w:color="auto"/>
      </w:divBdr>
    </w:div>
    <w:div w:id="176816625">
      <w:bodyDiv w:val="1"/>
      <w:marLeft w:val="0"/>
      <w:marRight w:val="0"/>
      <w:marTop w:val="0"/>
      <w:marBottom w:val="0"/>
      <w:divBdr>
        <w:top w:val="none" w:sz="0" w:space="0" w:color="auto"/>
        <w:left w:val="none" w:sz="0" w:space="0" w:color="auto"/>
        <w:bottom w:val="none" w:sz="0" w:space="0" w:color="auto"/>
        <w:right w:val="none" w:sz="0" w:space="0" w:color="auto"/>
      </w:divBdr>
    </w:div>
    <w:div w:id="288173605">
      <w:bodyDiv w:val="1"/>
      <w:marLeft w:val="0"/>
      <w:marRight w:val="0"/>
      <w:marTop w:val="0"/>
      <w:marBottom w:val="0"/>
      <w:divBdr>
        <w:top w:val="none" w:sz="0" w:space="0" w:color="auto"/>
        <w:left w:val="none" w:sz="0" w:space="0" w:color="auto"/>
        <w:bottom w:val="none" w:sz="0" w:space="0" w:color="auto"/>
        <w:right w:val="none" w:sz="0" w:space="0" w:color="auto"/>
      </w:divBdr>
    </w:div>
    <w:div w:id="371881951">
      <w:bodyDiv w:val="1"/>
      <w:marLeft w:val="0"/>
      <w:marRight w:val="0"/>
      <w:marTop w:val="0"/>
      <w:marBottom w:val="0"/>
      <w:divBdr>
        <w:top w:val="none" w:sz="0" w:space="0" w:color="auto"/>
        <w:left w:val="none" w:sz="0" w:space="0" w:color="auto"/>
        <w:bottom w:val="none" w:sz="0" w:space="0" w:color="auto"/>
        <w:right w:val="none" w:sz="0" w:space="0" w:color="auto"/>
      </w:divBdr>
      <w:divsChild>
        <w:div w:id="1206721592">
          <w:marLeft w:val="0"/>
          <w:marRight w:val="0"/>
          <w:marTop w:val="0"/>
          <w:marBottom w:val="0"/>
          <w:divBdr>
            <w:top w:val="none" w:sz="0" w:space="0" w:color="auto"/>
            <w:left w:val="none" w:sz="0" w:space="0" w:color="auto"/>
            <w:bottom w:val="none" w:sz="0" w:space="0" w:color="auto"/>
            <w:right w:val="none" w:sz="0" w:space="0" w:color="auto"/>
          </w:divBdr>
        </w:div>
      </w:divsChild>
    </w:div>
    <w:div w:id="497773257">
      <w:bodyDiv w:val="1"/>
      <w:marLeft w:val="0"/>
      <w:marRight w:val="0"/>
      <w:marTop w:val="0"/>
      <w:marBottom w:val="0"/>
      <w:divBdr>
        <w:top w:val="none" w:sz="0" w:space="0" w:color="auto"/>
        <w:left w:val="none" w:sz="0" w:space="0" w:color="auto"/>
        <w:bottom w:val="none" w:sz="0" w:space="0" w:color="auto"/>
        <w:right w:val="none" w:sz="0" w:space="0" w:color="auto"/>
      </w:divBdr>
    </w:div>
    <w:div w:id="500781160">
      <w:bodyDiv w:val="1"/>
      <w:marLeft w:val="0"/>
      <w:marRight w:val="0"/>
      <w:marTop w:val="0"/>
      <w:marBottom w:val="0"/>
      <w:divBdr>
        <w:top w:val="none" w:sz="0" w:space="0" w:color="auto"/>
        <w:left w:val="none" w:sz="0" w:space="0" w:color="auto"/>
        <w:bottom w:val="none" w:sz="0" w:space="0" w:color="auto"/>
        <w:right w:val="none" w:sz="0" w:space="0" w:color="auto"/>
      </w:divBdr>
    </w:div>
    <w:div w:id="600795885">
      <w:bodyDiv w:val="1"/>
      <w:marLeft w:val="0"/>
      <w:marRight w:val="0"/>
      <w:marTop w:val="0"/>
      <w:marBottom w:val="0"/>
      <w:divBdr>
        <w:top w:val="none" w:sz="0" w:space="0" w:color="auto"/>
        <w:left w:val="none" w:sz="0" w:space="0" w:color="auto"/>
        <w:bottom w:val="none" w:sz="0" w:space="0" w:color="auto"/>
        <w:right w:val="none" w:sz="0" w:space="0" w:color="auto"/>
      </w:divBdr>
    </w:div>
    <w:div w:id="608973331">
      <w:bodyDiv w:val="1"/>
      <w:marLeft w:val="0"/>
      <w:marRight w:val="0"/>
      <w:marTop w:val="0"/>
      <w:marBottom w:val="0"/>
      <w:divBdr>
        <w:top w:val="none" w:sz="0" w:space="0" w:color="auto"/>
        <w:left w:val="none" w:sz="0" w:space="0" w:color="auto"/>
        <w:bottom w:val="none" w:sz="0" w:space="0" w:color="auto"/>
        <w:right w:val="none" w:sz="0" w:space="0" w:color="auto"/>
      </w:divBdr>
    </w:div>
    <w:div w:id="615405979">
      <w:bodyDiv w:val="1"/>
      <w:marLeft w:val="0"/>
      <w:marRight w:val="0"/>
      <w:marTop w:val="0"/>
      <w:marBottom w:val="0"/>
      <w:divBdr>
        <w:top w:val="none" w:sz="0" w:space="0" w:color="auto"/>
        <w:left w:val="none" w:sz="0" w:space="0" w:color="auto"/>
        <w:bottom w:val="none" w:sz="0" w:space="0" w:color="auto"/>
        <w:right w:val="none" w:sz="0" w:space="0" w:color="auto"/>
      </w:divBdr>
    </w:div>
    <w:div w:id="665596506">
      <w:bodyDiv w:val="1"/>
      <w:marLeft w:val="0"/>
      <w:marRight w:val="0"/>
      <w:marTop w:val="0"/>
      <w:marBottom w:val="0"/>
      <w:divBdr>
        <w:top w:val="none" w:sz="0" w:space="0" w:color="auto"/>
        <w:left w:val="none" w:sz="0" w:space="0" w:color="auto"/>
        <w:bottom w:val="none" w:sz="0" w:space="0" w:color="auto"/>
        <w:right w:val="none" w:sz="0" w:space="0" w:color="auto"/>
      </w:divBdr>
    </w:div>
    <w:div w:id="677851816">
      <w:bodyDiv w:val="1"/>
      <w:marLeft w:val="0"/>
      <w:marRight w:val="0"/>
      <w:marTop w:val="0"/>
      <w:marBottom w:val="0"/>
      <w:divBdr>
        <w:top w:val="none" w:sz="0" w:space="0" w:color="auto"/>
        <w:left w:val="none" w:sz="0" w:space="0" w:color="auto"/>
        <w:bottom w:val="none" w:sz="0" w:space="0" w:color="auto"/>
        <w:right w:val="none" w:sz="0" w:space="0" w:color="auto"/>
      </w:divBdr>
    </w:div>
    <w:div w:id="677852213">
      <w:bodyDiv w:val="1"/>
      <w:marLeft w:val="0"/>
      <w:marRight w:val="0"/>
      <w:marTop w:val="0"/>
      <w:marBottom w:val="0"/>
      <w:divBdr>
        <w:top w:val="none" w:sz="0" w:space="0" w:color="auto"/>
        <w:left w:val="none" w:sz="0" w:space="0" w:color="auto"/>
        <w:bottom w:val="none" w:sz="0" w:space="0" w:color="auto"/>
        <w:right w:val="none" w:sz="0" w:space="0" w:color="auto"/>
      </w:divBdr>
    </w:div>
    <w:div w:id="715815612">
      <w:bodyDiv w:val="1"/>
      <w:marLeft w:val="0"/>
      <w:marRight w:val="0"/>
      <w:marTop w:val="0"/>
      <w:marBottom w:val="0"/>
      <w:divBdr>
        <w:top w:val="none" w:sz="0" w:space="0" w:color="auto"/>
        <w:left w:val="none" w:sz="0" w:space="0" w:color="auto"/>
        <w:bottom w:val="none" w:sz="0" w:space="0" w:color="auto"/>
        <w:right w:val="none" w:sz="0" w:space="0" w:color="auto"/>
      </w:divBdr>
    </w:div>
    <w:div w:id="799884530">
      <w:bodyDiv w:val="1"/>
      <w:marLeft w:val="0"/>
      <w:marRight w:val="0"/>
      <w:marTop w:val="0"/>
      <w:marBottom w:val="0"/>
      <w:divBdr>
        <w:top w:val="none" w:sz="0" w:space="0" w:color="auto"/>
        <w:left w:val="none" w:sz="0" w:space="0" w:color="auto"/>
        <w:bottom w:val="none" w:sz="0" w:space="0" w:color="auto"/>
        <w:right w:val="none" w:sz="0" w:space="0" w:color="auto"/>
      </w:divBdr>
      <w:divsChild>
        <w:div w:id="1533155137">
          <w:marLeft w:val="0"/>
          <w:marRight w:val="0"/>
          <w:marTop w:val="0"/>
          <w:marBottom w:val="0"/>
          <w:divBdr>
            <w:top w:val="none" w:sz="0" w:space="0" w:color="auto"/>
            <w:left w:val="none" w:sz="0" w:space="0" w:color="auto"/>
            <w:bottom w:val="none" w:sz="0" w:space="0" w:color="auto"/>
            <w:right w:val="none" w:sz="0" w:space="0" w:color="auto"/>
          </w:divBdr>
        </w:div>
      </w:divsChild>
    </w:div>
    <w:div w:id="803500882">
      <w:bodyDiv w:val="1"/>
      <w:marLeft w:val="0"/>
      <w:marRight w:val="0"/>
      <w:marTop w:val="0"/>
      <w:marBottom w:val="0"/>
      <w:divBdr>
        <w:top w:val="none" w:sz="0" w:space="0" w:color="auto"/>
        <w:left w:val="none" w:sz="0" w:space="0" w:color="auto"/>
        <w:bottom w:val="none" w:sz="0" w:space="0" w:color="auto"/>
        <w:right w:val="none" w:sz="0" w:space="0" w:color="auto"/>
      </w:divBdr>
    </w:div>
    <w:div w:id="806507519">
      <w:bodyDiv w:val="1"/>
      <w:marLeft w:val="0"/>
      <w:marRight w:val="0"/>
      <w:marTop w:val="0"/>
      <w:marBottom w:val="0"/>
      <w:divBdr>
        <w:top w:val="none" w:sz="0" w:space="0" w:color="auto"/>
        <w:left w:val="none" w:sz="0" w:space="0" w:color="auto"/>
        <w:bottom w:val="none" w:sz="0" w:space="0" w:color="auto"/>
        <w:right w:val="none" w:sz="0" w:space="0" w:color="auto"/>
      </w:divBdr>
    </w:div>
    <w:div w:id="850021906">
      <w:bodyDiv w:val="1"/>
      <w:marLeft w:val="0"/>
      <w:marRight w:val="0"/>
      <w:marTop w:val="0"/>
      <w:marBottom w:val="0"/>
      <w:divBdr>
        <w:top w:val="none" w:sz="0" w:space="0" w:color="auto"/>
        <w:left w:val="none" w:sz="0" w:space="0" w:color="auto"/>
        <w:bottom w:val="none" w:sz="0" w:space="0" w:color="auto"/>
        <w:right w:val="none" w:sz="0" w:space="0" w:color="auto"/>
      </w:divBdr>
    </w:div>
    <w:div w:id="984552240">
      <w:bodyDiv w:val="1"/>
      <w:marLeft w:val="0"/>
      <w:marRight w:val="0"/>
      <w:marTop w:val="0"/>
      <w:marBottom w:val="0"/>
      <w:divBdr>
        <w:top w:val="none" w:sz="0" w:space="0" w:color="auto"/>
        <w:left w:val="none" w:sz="0" w:space="0" w:color="auto"/>
        <w:bottom w:val="none" w:sz="0" w:space="0" w:color="auto"/>
        <w:right w:val="none" w:sz="0" w:space="0" w:color="auto"/>
      </w:divBdr>
    </w:div>
    <w:div w:id="991831287">
      <w:bodyDiv w:val="1"/>
      <w:marLeft w:val="0"/>
      <w:marRight w:val="0"/>
      <w:marTop w:val="0"/>
      <w:marBottom w:val="0"/>
      <w:divBdr>
        <w:top w:val="none" w:sz="0" w:space="0" w:color="auto"/>
        <w:left w:val="none" w:sz="0" w:space="0" w:color="auto"/>
        <w:bottom w:val="none" w:sz="0" w:space="0" w:color="auto"/>
        <w:right w:val="none" w:sz="0" w:space="0" w:color="auto"/>
      </w:divBdr>
    </w:div>
    <w:div w:id="1019893509">
      <w:bodyDiv w:val="1"/>
      <w:marLeft w:val="0"/>
      <w:marRight w:val="0"/>
      <w:marTop w:val="0"/>
      <w:marBottom w:val="0"/>
      <w:divBdr>
        <w:top w:val="none" w:sz="0" w:space="0" w:color="auto"/>
        <w:left w:val="none" w:sz="0" w:space="0" w:color="auto"/>
        <w:bottom w:val="none" w:sz="0" w:space="0" w:color="auto"/>
        <w:right w:val="none" w:sz="0" w:space="0" w:color="auto"/>
      </w:divBdr>
      <w:divsChild>
        <w:div w:id="2135904987">
          <w:marLeft w:val="0"/>
          <w:marRight w:val="0"/>
          <w:marTop w:val="0"/>
          <w:marBottom w:val="0"/>
          <w:divBdr>
            <w:top w:val="none" w:sz="0" w:space="0" w:color="auto"/>
            <w:left w:val="none" w:sz="0" w:space="0" w:color="auto"/>
            <w:bottom w:val="none" w:sz="0" w:space="0" w:color="auto"/>
            <w:right w:val="none" w:sz="0" w:space="0" w:color="auto"/>
          </w:divBdr>
        </w:div>
      </w:divsChild>
    </w:div>
    <w:div w:id="1070620127">
      <w:bodyDiv w:val="1"/>
      <w:marLeft w:val="0"/>
      <w:marRight w:val="0"/>
      <w:marTop w:val="0"/>
      <w:marBottom w:val="0"/>
      <w:divBdr>
        <w:top w:val="none" w:sz="0" w:space="0" w:color="auto"/>
        <w:left w:val="none" w:sz="0" w:space="0" w:color="auto"/>
        <w:bottom w:val="none" w:sz="0" w:space="0" w:color="auto"/>
        <w:right w:val="none" w:sz="0" w:space="0" w:color="auto"/>
      </w:divBdr>
      <w:divsChild>
        <w:div w:id="132022176">
          <w:marLeft w:val="0"/>
          <w:marRight w:val="0"/>
          <w:marTop w:val="0"/>
          <w:marBottom w:val="0"/>
          <w:divBdr>
            <w:top w:val="none" w:sz="0" w:space="0" w:color="auto"/>
            <w:left w:val="none" w:sz="0" w:space="0" w:color="auto"/>
            <w:bottom w:val="none" w:sz="0" w:space="0" w:color="auto"/>
            <w:right w:val="none" w:sz="0" w:space="0" w:color="auto"/>
          </w:divBdr>
        </w:div>
      </w:divsChild>
    </w:div>
    <w:div w:id="1151560337">
      <w:bodyDiv w:val="1"/>
      <w:marLeft w:val="0"/>
      <w:marRight w:val="0"/>
      <w:marTop w:val="0"/>
      <w:marBottom w:val="0"/>
      <w:divBdr>
        <w:top w:val="none" w:sz="0" w:space="0" w:color="auto"/>
        <w:left w:val="none" w:sz="0" w:space="0" w:color="auto"/>
        <w:bottom w:val="none" w:sz="0" w:space="0" w:color="auto"/>
        <w:right w:val="none" w:sz="0" w:space="0" w:color="auto"/>
      </w:divBdr>
    </w:div>
    <w:div w:id="1247232123">
      <w:bodyDiv w:val="1"/>
      <w:marLeft w:val="0"/>
      <w:marRight w:val="0"/>
      <w:marTop w:val="0"/>
      <w:marBottom w:val="0"/>
      <w:divBdr>
        <w:top w:val="none" w:sz="0" w:space="0" w:color="auto"/>
        <w:left w:val="none" w:sz="0" w:space="0" w:color="auto"/>
        <w:bottom w:val="none" w:sz="0" w:space="0" w:color="auto"/>
        <w:right w:val="none" w:sz="0" w:space="0" w:color="auto"/>
      </w:divBdr>
    </w:div>
    <w:div w:id="1326515640">
      <w:bodyDiv w:val="1"/>
      <w:marLeft w:val="0"/>
      <w:marRight w:val="0"/>
      <w:marTop w:val="0"/>
      <w:marBottom w:val="0"/>
      <w:divBdr>
        <w:top w:val="none" w:sz="0" w:space="0" w:color="auto"/>
        <w:left w:val="none" w:sz="0" w:space="0" w:color="auto"/>
        <w:bottom w:val="none" w:sz="0" w:space="0" w:color="auto"/>
        <w:right w:val="none" w:sz="0" w:space="0" w:color="auto"/>
      </w:divBdr>
    </w:div>
    <w:div w:id="1340542793">
      <w:bodyDiv w:val="1"/>
      <w:marLeft w:val="0"/>
      <w:marRight w:val="0"/>
      <w:marTop w:val="0"/>
      <w:marBottom w:val="0"/>
      <w:divBdr>
        <w:top w:val="none" w:sz="0" w:space="0" w:color="auto"/>
        <w:left w:val="none" w:sz="0" w:space="0" w:color="auto"/>
        <w:bottom w:val="none" w:sz="0" w:space="0" w:color="auto"/>
        <w:right w:val="none" w:sz="0" w:space="0" w:color="auto"/>
      </w:divBdr>
    </w:div>
    <w:div w:id="1344164531">
      <w:bodyDiv w:val="1"/>
      <w:marLeft w:val="0"/>
      <w:marRight w:val="0"/>
      <w:marTop w:val="0"/>
      <w:marBottom w:val="0"/>
      <w:divBdr>
        <w:top w:val="none" w:sz="0" w:space="0" w:color="auto"/>
        <w:left w:val="none" w:sz="0" w:space="0" w:color="auto"/>
        <w:bottom w:val="none" w:sz="0" w:space="0" w:color="auto"/>
        <w:right w:val="none" w:sz="0" w:space="0" w:color="auto"/>
      </w:divBdr>
    </w:div>
    <w:div w:id="1378510144">
      <w:bodyDiv w:val="1"/>
      <w:marLeft w:val="0"/>
      <w:marRight w:val="0"/>
      <w:marTop w:val="0"/>
      <w:marBottom w:val="0"/>
      <w:divBdr>
        <w:top w:val="none" w:sz="0" w:space="0" w:color="auto"/>
        <w:left w:val="none" w:sz="0" w:space="0" w:color="auto"/>
        <w:bottom w:val="none" w:sz="0" w:space="0" w:color="auto"/>
        <w:right w:val="none" w:sz="0" w:space="0" w:color="auto"/>
      </w:divBdr>
    </w:div>
    <w:div w:id="1407337431">
      <w:bodyDiv w:val="1"/>
      <w:marLeft w:val="0"/>
      <w:marRight w:val="0"/>
      <w:marTop w:val="0"/>
      <w:marBottom w:val="0"/>
      <w:divBdr>
        <w:top w:val="none" w:sz="0" w:space="0" w:color="auto"/>
        <w:left w:val="none" w:sz="0" w:space="0" w:color="auto"/>
        <w:bottom w:val="none" w:sz="0" w:space="0" w:color="auto"/>
        <w:right w:val="none" w:sz="0" w:space="0" w:color="auto"/>
      </w:divBdr>
    </w:div>
    <w:div w:id="1498307235">
      <w:bodyDiv w:val="1"/>
      <w:marLeft w:val="0"/>
      <w:marRight w:val="0"/>
      <w:marTop w:val="0"/>
      <w:marBottom w:val="0"/>
      <w:divBdr>
        <w:top w:val="none" w:sz="0" w:space="0" w:color="auto"/>
        <w:left w:val="none" w:sz="0" w:space="0" w:color="auto"/>
        <w:bottom w:val="none" w:sz="0" w:space="0" w:color="auto"/>
        <w:right w:val="none" w:sz="0" w:space="0" w:color="auto"/>
      </w:divBdr>
    </w:div>
    <w:div w:id="1509056971">
      <w:bodyDiv w:val="1"/>
      <w:marLeft w:val="0"/>
      <w:marRight w:val="0"/>
      <w:marTop w:val="0"/>
      <w:marBottom w:val="0"/>
      <w:divBdr>
        <w:top w:val="none" w:sz="0" w:space="0" w:color="auto"/>
        <w:left w:val="none" w:sz="0" w:space="0" w:color="auto"/>
        <w:bottom w:val="none" w:sz="0" w:space="0" w:color="auto"/>
        <w:right w:val="none" w:sz="0" w:space="0" w:color="auto"/>
      </w:divBdr>
    </w:div>
    <w:div w:id="1509829005">
      <w:bodyDiv w:val="1"/>
      <w:marLeft w:val="0"/>
      <w:marRight w:val="0"/>
      <w:marTop w:val="0"/>
      <w:marBottom w:val="0"/>
      <w:divBdr>
        <w:top w:val="none" w:sz="0" w:space="0" w:color="auto"/>
        <w:left w:val="none" w:sz="0" w:space="0" w:color="auto"/>
        <w:bottom w:val="none" w:sz="0" w:space="0" w:color="auto"/>
        <w:right w:val="none" w:sz="0" w:space="0" w:color="auto"/>
      </w:divBdr>
    </w:div>
    <w:div w:id="1556161206">
      <w:bodyDiv w:val="1"/>
      <w:marLeft w:val="0"/>
      <w:marRight w:val="0"/>
      <w:marTop w:val="0"/>
      <w:marBottom w:val="0"/>
      <w:divBdr>
        <w:top w:val="none" w:sz="0" w:space="0" w:color="auto"/>
        <w:left w:val="none" w:sz="0" w:space="0" w:color="auto"/>
        <w:bottom w:val="none" w:sz="0" w:space="0" w:color="auto"/>
        <w:right w:val="none" w:sz="0" w:space="0" w:color="auto"/>
      </w:divBdr>
    </w:div>
    <w:div w:id="1582711518">
      <w:bodyDiv w:val="1"/>
      <w:marLeft w:val="0"/>
      <w:marRight w:val="0"/>
      <w:marTop w:val="0"/>
      <w:marBottom w:val="0"/>
      <w:divBdr>
        <w:top w:val="none" w:sz="0" w:space="0" w:color="auto"/>
        <w:left w:val="none" w:sz="0" w:space="0" w:color="auto"/>
        <w:bottom w:val="none" w:sz="0" w:space="0" w:color="auto"/>
        <w:right w:val="none" w:sz="0" w:space="0" w:color="auto"/>
      </w:divBdr>
    </w:div>
    <w:div w:id="1612474972">
      <w:bodyDiv w:val="1"/>
      <w:marLeft w:val="0"/>
      <w:marRight w:val="0"/>
      <w:marTop w:val="0"/>
      <w:marBottom w:val="0"/>
      <w:divBdr>
        <w:top w:val="none" w:sz="0" w:space="0" w:color="auto"/>
        <w:left w:val="none" w:sz="0" w:space="0" w:color="auto"/>
        <w:bottom w:val="none" w:sz="0" w:space="0" w:color="auto"/>
        <w:right w:val="none" w:sz="0" w:space="0" w:color="auto"/>
      </w:divBdr>
    </w:div>
    <w:div w:id="1621064679">
      <w:bodyDiv w:val="1"/>
      <w:marLeft w:val="0"/>
      <w:marRight w:val="0"/>
      <w:marTop w:val="0"/>
      <w:marBottom w:val="0"/>
      <w:divBdr>
        <w:top w:val="none" w:sz="0" w:space="0" w:color="auto"/>
        <w:left w:val="none" w:sz="0" w:space="0" w:color="auto"/>
        <w:bottom w:val="none" w:sz="0" w:space="0" w:color="auto"/>
        <w:right w:val="none" w:sz="0" w:space="0" w:color="auto"/>
      </w:divBdr>
    </w:div>
    <w:div w:id="1755589831">
      <w:bodyDiv w:val="1"/>
      <w:marLeft w:val="0"/>
      <w:marRight w:val="0"/>
      <w:marTop w:val="0"/>
      <w:marBottom w:val="0"/>
      <w:divBdr>
        <w:top w:val="none" w:sz="0" w:space="0" w:color="auto"/>
        <w:left w:val="none" w:sz="0" w:space="0" w:color="auto"/>
        <w:bottom w:val="none" w:sz="0" w:space="0" w:color="auto"/>
        <w:right w:val="none" w:sz="0" w:space="0" w:color="auto"/>
      </w:divBdr>
    </w:div>
    <w:div w:id="1789275882">
      <w:bodyDiv w:val="1"/>
      <w:marLeft w:val="0"/>
      <w:marRight w:val="0"/>
      <w:marTop w:val="0"/>
      <w:marBottom w:val="0"/>
      <w:divBdr>
        <w:top w:val="none" w:sz="0" w:space="0" w:color="auto"/>
        <w:left w:val="none" w:sz="0" w:space="0" w:color="auto"/>
        <w:bottom w:val="none" w:sz="0" w:space="0" w:color="auto"/>
        <w:right w:val="none" w:sz="0" w:space="0" w:color="auto"/>
      </w:divBdr>
    </w:div>
    <w:div w:id="1813861547">
      <w:bodyDiv w:val="1"/>
      <w:marLeft w:val="0"/>
      <w:marRight w:val="0"/>
      <w:marTop w:val="0"/>
      <w:marBottom w:val="0"/>
      <w:divBdr>
        <w:top w:val="none" w:sz="0" w:space="0" w:color="auto"/>
        <w:left w:val="none" w:sz="0" w:space="0" w:color="auto"/>
        <w:bottom w:val="none" w:sz="0" w:space="0" w:color="auto"/>
        <w:right w:val="none" w:sz="0" w:space="0" w:color="auto"/>
      </w:divBdr>
    </w:div>
    <w:div w:id="1836607031">
      <w:bodyDiv w:val="1"/>
      <w:marLeft w:val="0"/>
      <w:marRight w:val="0"/>
      <w:marTop w:val="0"/>
      <w:marBottom w:val="0"/>
      <w:divBdr>
        <w:top w:val="none" w:sz="0" w:space="0" w:color="auto"/>
        <w:left w:val="none" w:sz="0" w:space="0" w:color="auto"/>
        <w:bottom w:val="none" w:sz="0" w:space="0" w:color="auto"/>
        <w:right w:val="none" w:sz="0" w:space="0" w:color="auto"/>
      </w:divBdr>
    </w:div>
    <w:div w:id="1875188656">
      <w:bodyDiv w:val="1"/>
      <w:marLeft w:val="0"/>
      <w:marRight w:val="0"/>
      <w:marTop w:val="0"/>
      <w:marBottom w:val="0"/>
      <w:divBdr>
        <w:top w:val="none" w:sz="0" w:space="0" w:color="auto"/>
        <w:left w:val="none" w:sz="0" w:space="0" w:color="auto"/>
        <w:bottom w:val="none" w:sz="0" w:space="0" w:color="auto"/>
        <w:right w:val="none" w:sz="0" w:space="0" w:color="auto"/>
      </w:divBdr>
    </w:div>
    <w:div w:id="1893616222">
      <w:bodyDiv w:val="1"/>
      <w:marLeft w:val="0"/>
      <w:marRight w:val="0"/>
      <w:marTop w:val="0"/>
      <w:marBottom w:val="0"/>
      <w:divBdr>
        <w:top w:val="none" w:sz="0" w:space="0" w:color="auto"/>
        <w:left w:val="none" w:sz="0" w:space="0" w:color="auto"/>
        <w:bottom w:val="none" w:sz="0" w:space="0" w:color="auto"/>
        <w:right w:val="none" w:sz="0" w:space="0" w:color="auto"/>
      </w:divBdr>
    </w:div>
    <w:div w:id="1955790871">
      <w:bodyDiv w:val="1"/>
      <w:marLeft w:val="0"/>
      <w:marRight w:val="0"/>
      <w:marTop w:val="0"/>
      <w:marBottom w:val="0"/>
      <w:divBdr>
        <w:top w:val="none" w:sz="0" w:space="0" w:color="auto"/>
        <w:left w:val="none" w:sz="0" w:space="0" w:color="auto"/>
        <w:bottom w:val="none" w:sz="0" w:space="0" w:color="auto"/>
        <w:right w:val="none" w:sz="0" w:space="0" w:color="auto"/>
      </w:divBdr>
    </w:div>
    <w:div w:id="1971209538">
      <w:bodyDiv w:val="1"/>
      <w:marLeft w:val="0"/>
      <w:marRight w:val="0"/>
      <w:marTop w:val="0"/>
      <w:marBottom w:val="0"/>
      <w:divBdr>
        <w:top w:val="none" w:sz="0" w:space="0" w:color="auto"/>
        <w:left w:val="none" w:sz="0" w:space="0" w:color="auto"/>
        <w:bottom w:val="none" w:sz="0" w:space="0" w:color="auto"/>
        <w:right w:val="none" w:sz="0" w:space="0" w:color="auto"/>
      </w:divBdr>
    </w:div>
    <w:div w:id="2003120667">
      <w:bodyDiv w:val="1"/>
      <w:marLeft w:val="0"/>
      <w:marRight w:val="0"/>
      <w:marTop w:val="0"/>
      <w:marBottom w:val="0"/>
      <w:divBdr>
        <w:top w:val="none" w:sz="0" w:space="0" w:color="auto"/>
        <w:left w:val="none" w:sz="0" w:space="0" w:color="auto"/>
        <w:bottom w:val="none" w:sz="0" w:space="0" w:color="auto"/>
        <w:right w:val="none" w:sz="0" w:space="0" w:color="auto"/>
      </w:divBdr>
    </w:div>
    <w:div w:id="2009282994">
      <w:bodyDiv w:val="1"/>
      <w:marLeft w:val="0"/>
      <w:marRight w:val="0"/>
      <w:marTop w:val="0"/>
      <w:marBottom w:val="0"/>
      <w:divBdr>
        <w:top w:val="none" w:sz="0" w:space="0" w:color="auto"/>
        <w:left w:val="none" w:sz="0" w:space="0" w:color="auto"/>
        <w:bottom w:val="none" w:sz="0" w:space="0" w:color="auto"/>
        <w:right w:val="none" w:sz="0" w:space="0" w:color="auto"/>
      </w:divBdr>
    </w:div>
    <w:div w:id="2115006738">
      <w:bodyDiv w:val="1"/>
      <w:marLeft w:val="0"/>
      <w:marRight w:val="0"/>
      <w:marTop w:val="0"/>
      <w:marBottom w:val="0"/>
      <w:divBdr>
        <w:top w:val="none" w:sz="0" w:space="0" w:color="auto"/>
        <w:left w:val="none" w:sz="0" w:space="0" w:color="auto"/>
        <w:bottom w:val="none" w:sz="0" w:space="0" w:color="auto"/>
        <w:right w:val="none" w:sz="0" w:space="0" w:color="auto"/>
      </w:divBdr>
      <w:divsChild>
        <w:div w:id="768965704">
          <w:marLeft w:val="0"/>
          <w:marRight w:val="0"/>
          <w:marTop w:val="0"/>
          <w:marBottom w:val="0"/>
          <w:divBdr>
            <w:top w:val="none" w:sz="0" w:space="0" w:color="auto"/>
            <w:left w:val="none" w:sz="0" w:space="0" w:color="auto"/>
            <w:bottom w:val="none" w:sz="0" w:space="0" w:color="auto"/>
            <w:right w:val="none" w:sz="0" w:space="0" w:color="auto"/>
          </w:divBdr>
          <w:divsChild>
            <w:div w:id="1519081910">
              <w:marLeft w:val="0"/>
              <w:marRight w:val="0"/>
              <w:marTop w:val="0"/>
              <w:marBottom w:val="0"/>
              <w:divBdr>
                <w:top w:val="none" w:sz="0" w:space="0" w:color="auto"/>
                <w:left w:val="none" w:sz="0" w:space="0" w:color="auto"/>
                <w:bottom w:val="none" w:sz="0" w:space="0" w:color="auto"/>
                <w:right w:val="none" w:sz="0" w:space="0" w:color="auto"/>
              </w:divBdr>
            </w:div>
          </w:divsChild>
        </w:div>
        <w:div w:id="372773996">
          <w:marLeft w:val="0"/>
          <w:marRight w:val="0"/>
          <w:marTop w:val="0"/>
          <w:marBottom w:val="0"/>
          <w:divBdr>
            <w:top w:val="none" w:sz="0" w:space="0" w:color="auto"/>
            <w:left w:val="none" w:sz="0" w:space="0" w:color="auto"/>
            <w:bottom w:val="none" w:sz="0" w:space="0" w:color="auto"/>
            <w:right w:val="none" w:sz="0" w:space="0" w:color="auto"/>
          </w:divBdr>
          <w:divsChild>
            <w:div w:id="1772626513">
              <w:marLeft w:val="0"/>
              <w:marRight w:val="0"/>
              <w:marTop w:val="0"/>
              <w:marBottom w:val="0"/>
              <w:divBdr>
                <w:top w:val="none" w:sz="0" w:space="0" w:color="auto"/>
                <w:left w:val="none" w:sz="0" w:space="0" w:color="auto"/>
                <w:bottom w:val="none" w:sz="0" w:space="0" w:color="auto"/>
                <w:right w:val="none" w:sz="0" w:space="0" w:color="auto"/>
              </w:divBdr>
              <w:divsChild>
                <w:div w:id="1156530453">
                  <w:marLeft w:val="0"/>
                  <w:marRight w:val="0"/>
                  <w:marTop w:val="0"/>
                  <w:marBottom w:val="0"/>
                  <w:divBdr>
                    <w:top w:val="none" w:sz="0" w:space="0" w:color="auto"/>
                    <w:left w:val="none" w:sz="0" w:space="0" w:color="auto"/>
                    <w:bottom w:val="none" w:sz="0" w:space="0" w:color="auto"/>
                    <w:right w:val="none" w:sz="0" w:space="0" w:color="auto"/>
                  </w:divBdr>
                  <w:divsChild>
                    <w:div w:id="2915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da.ineris.fr/reglementation/livre-v-prevention-pollutions-risques-nuisances-titre-i-installations-class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ida.ineris.fr/reglementation/livre-v-prevention-pollutions-risques-nuisances-titre-i-installations-class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98A87-71B6-49A7-B52D-25CD9DA3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39</Pages>
  <Words>17953</Words>
  <Characters>98744</Characters>
  <Application>Microsoft Office Word</Application>
  <DocSecurity>0</DocSecurity>
  <Lines>822</Lines>
  <Paragraphs>232</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116465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SERRANO-ALARCON Malcolm</dc:creator>
  <dc:description/>
  <cp:lastModifiedBy>Marie Beau</cp:lastModifiedBy>
  <cp:revision>78</cp:revision>
  <cp:lastPrinted>2024-12-18T12:03:00Z</cp:lastPrinted>
  <dcterms:created xsi:type="dcterms:W3CDTF">2024-07-26T15:26:00Z</dcterms:created>
  <dcterms:modified xsi:type="dcterms:W3CDTF">2025-01-08T15:38:00Z</dcterms:modified>
  <dc:language>fr-FR</dc:language>
</cp:coreProperties>
</file>