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F4B85" w14:paraId="0D1F4A8F" w14:textId="77777777">
        <w:trPr>
          <w:cantSplit/>
        </w:trPr>
        <w:tc>
          <w:tcPr>
            <w:tcW w:w="3982" w:type="dxa"/>
            <w:gridSpan w:val="3"/>
            <w:shd w:val="clear" w:color="auto" w:fill="auto"/>
          </w:tcPr>
          <w:p w14:paraId="48B9708A" w14:textId="77777777" w:rsidR="008F4B85" w:rsidRDefault="00B27DF9">
            <w:pPr>
              <w:pStyle w:val="SNREPUBLIQUE"/>
            </w:pPr>
            <w:r>
              <w:t>RÉPUBLIQUE FRANÇAISE</w:t>
            </w:r>
          </w:p>
        </w:tc>
      </w:tr>
      <w:tr w:rsidR="008F4B85" w14:paraId="25C6D37F" w14:textId="77777777">
        <w:trPr>
          <w:cantSplit/>
          <w:trHeight w:hRule="exact" w:val="113"/>
        </w:trPr>
        <w:tc>
          <w:tcPr>
            <w:tcW w:w="1527" w:type="dxa"/>
            <w:shd w:val="clear" w:color="auto" w:fill="auto"/>
          </w:tcPr>
          <w:p w14:paraId="047BFD0F" w14:textId="77777777" w:rsidR="008F4B85" w:rsidRDefault="008F4B85">
            <w:pPr>
              <w:snapToGrid w:val="0"/>
              <w:rPr>
                <w:rFonts w:cs="Tahoma"/>
              </w:rPr>
            </w:pPr>
          </w:p>
        </w:tc>
        <w:tc>
          <w:tcPr>
            <w:tcW w:w="968" w:type="dxa"/>
            <w:tcBorders>
              <w:bottom w:val="single" w:sz="1" w:space="0" w:color="000000"/>
            </w:tcBorders>
            <w:shd w:val="clear" w:color="auto" w:fill="auto"/>
          </w:tcPr>
          <w:p w14:paraId="23A7E944" w14:textId="77777777" w:rsidR="008F4B85" w:rsidRDefault="008F4B85">
            <w:pPr>
              <w:snapToGrid w:val="0"/>
              <w:rPr>
                <w:rFonts w:cs="Tahoma"/>
              </w:rPr>
            </w:pPr>
          </w:p>
        </w:tc>
        <w:tc>
          <w:tcPr>
            <w:tcW w:w="1487" w:type="dxa"/>
            <w:shd w:val="clear" w:color="auto" w:fill="auto"/>
          </w:tcPr>
          <w:p w14:paraId="7BAC8DBF" w14:textId="77777777" w:rsidR="008F4B85" w:rsidRDefault="008F4B85">
            <w:pPr>
              <w:snapToGrid w:val="0"/>
              <w:rPr>
                <w:rFonts w:cs="Tahoma"/>
              </w:rPr>
            </w:pPr>
          </w:p>
        </w:tc>
      </w:tr>
      <w:tr w:rsidR="008F4B85" w14:paraId="0DD3D5BE" w14:textId="77777777">
        <w:trPr>
          <w:cantSplit/>
        </w:trPr>
        <w:tc>
          <w:tcPr>
            <w:tcW w:w="3982" w:type="dxa"/>
            <w:gridSpan w:val="3"/>
            <w:shd w:val="clear" w:color="auto" w:fill="auto"/>
          </w:tcPr>
          <w:p w14:paraId="57AC7365" w14:textId="1462BE90" w:rsidR="008F4B85" w:rsidRDefault="00B27DF9">
            <w:pPr>
              <w:pStyle w:val="SNTimbre"/>
            </w:pPr>
            <w:r>
              <w:t>Ministère de la transition é</w:t>
            </w:r>
            <w:r w:rsidR="00007714">
              <w:t>nergétique</w:t>
            </w:r>
          </w:p>
        </w:tc>
      </w:tr>
      <w:tr w:rsidR="008F4B85" w14:paraId="5D8F1765" w14:textId="77777777">
        <w:trPr>
          <w:cantSplit/>
          <w:trHeight w:hRule="exact" w:val="227"/>
        </w:trPr>
        <w:tc>
          <w:tcPr>
            <w:tcW w:w="1527" w:type="dxa"/>
            <w:shd w:val="clear" w:color="auto" w:fill="auto"/>
          </w:tcPr>
          <w:p w14:paraId="12BB8AA8" w14:textId="77777777" w:rsidR="008F4B85" w:rsidRDefault="008F4B85">
            <w:pPr>
              <w:snapToGrid w:val="0"/>
            </w:pPr>
          </w:p>
        </w:tc>
        <w:tc>
          <w:tcPr>
            <w:tcW w:w="968" w:type="dxa"/>
            <w:tcBorders>
              <w:bottom w:val="single" w:sz="1" w:space="0" w:color="000000"/>
            </w:tcBorders>
            <w:shd w:val="clear" w:color="auto" w:fill="auto"/>
          </w:tcPr>
          <w:p w14:paraId="3FC2FE16" w14:textId="77777777" w:rsidR="008F4B85" w:rsidRDefault="008F4B85">
            <w:pPr>
              <w:snapToGrid w:val="0"/>
            </w:pPr>
          </w:p>
        </w:tc>
        <w:tc>
          <w:tcPr>
            <w:tcW w:w="1487" w:type="dxa"/>
            <w:shd w:val="clear" w:color="auto" w:fill="auto"/>
          </w:tcPr>
          <w:p w14:paraId="369A6E88" w14:textId="77777777" w:rsidR="008F4B85" w:rsidRDefault="008F4B85">
            <w:pPr>
              <w:snapToGrid w:val="0"/>
            </w:pPr>
          </w:p>
        </w:tc>
      </w:tr>
      <w:tr w:rsidR="008F4B85" w14:paraId="5FA99DD4" w14:textId="77777777">
        <w:trPr>
          <w:cantSplit/>
          <w:trHeight w:hRule="exact" w:val="227"/>
        </w:trPr>
        <w:tc>
          <w:tcPr>
            <w:tcW w:w="1527" w:type="dxa"/>
            <w:shd w:val="clear" w:color="auto" w:fill="auto"/>
          </w:tcPr>
          <w:p w14:paraId="55815C2D" w14:textId="77777777" w:rsidR="008F4B85" w:rsidRDefault="008F4B85">
            <w:pPr>
              <w:snapToGrid w:val="0"/>
            </w:pPr>
          </w:p>
        </w:tc>
        <w:tc>
          <w:tcPr>
            <w:tcW w:w="968" w:type="dxa"/>
            <w:shd w:val="clear" w:color="auto" w:fill="auto"/>
          </w:tcPr>
          <w:p w14:paraId="5EBA060F" w14:textId="77777777" w:rsidR="008F4B85" w:rsidRDefault="008F4B85">
            <w:pPr>
              <w:snapToGrid w:val="0"/>
            </w:pPr>
          </w:p>
        </w:tc>
        <w:tc>
          <w:tcPr>
            <w:tcW w:w="1487" w:type="dxa"/>
            <w:shd w:val="clear" w:color="auto" w:fill="auto"/>
          </w:tcPr>
          <w:p w14:paraId="218753E1" w14:textId="77777777" w:rsidR="008F4B85" w:rsidRDefault="008F4B85">
            <w:pPr>
              <w:snapToGrid w:val="0"/>
            </w:pPr>
          </w:p>
        </w:tc>
      </w:tr>
    </w:tbl>
    <w:p w14:paraId="0918A59C" w14:textId="77777777" w:rsidR="008F4B85" w:rsidRDefault="00B27DF9">
      <w:pPr>
        <w:pStyle w:val="SNNature"/>
      </w:pPr>
      <w:r>
        <w:t>Décret n°                          du</w:t>
      </w:r>
    </w:p>
    <w:p w14:paraId="1196121D" w14:textId="39E1F2D8" w:rsidR="008F4B85" w:rsidRDefault="00B10F89">
      <w:pPr>
        <w:pStyle w:val="SNtitre"/>
      </w:pPr>
      <w:r>
        <w:t>r</w:t>
      </w:r>
      <w:r w:rsidR="00B27DF9" w:rsidRPr="00BF4362">
        <w:t>elatif</w:t>
      </w:r>
      <w:r w:rsidR="00BF4362" w:rsidRPr="00BF4362">
        <w:t xml:space="preserve"> </w:t>
      </w:r>
      <w:r w:rsidR="00EA25C7">
        <w:t>au</w:t>
      </w:r>
      <w:r w:rsidR="00F61CCD">
        <w:t>x mesures d’urgence définies en application des article</w:t>
      </w:r>
      <w:r w:rsidR="00526C15">
        <w:t>s</w:t>
      </w:r>
      <w:r w:rsidR="00F61CCD">
        <w:t xml:space="preserve"> L. 321-17-1 et L. 321-17-2 du code de l’énergie</w:t>
      </w:r>
      <w:r w:rsidR="00EA25C7">
        <w:t xml:space="preserve"> </w:t>
      </w:r>
    </w:p>
    <w:p w14:paraId="45419E1A" w14:textId="6C1B567F" w:rsidR="008F4B85" w:rsidRDefault="00B27DF9">
      <w:pPr>
        <w:pStyle w:val="SNNORCentr"/>
      </w:pPr>
      <w:r>
        <w:t>NOR :</w:t>
      </w:r>
      <w:r w:rsidR="00860A37">
        <w:t xml:space="preserve"> ENER2229619D</w:t>
      </w:r>
    </w:p>
    <w:p w14:paraId="5B920C44" w14:textId="77777777" w:rsidR="00C747E9" w:rsidRDefault="00C747E9" w:rsidP="00C747E9">
      <w:pPr>
        <w:pStyle w:val="SNAutorit"/>
        <w:spacing w:before="0" w:after="0"/>
        <w:jc w:val="both"/>
        <w:rPr>
          <w:i/>
        </w:rPr>
      </w:pPr>
    </w:p>
    <w:p w14:paraId="67E13568" w14:textId="77777777" w:rsidR="00B43317" w:rsidRDefault="00C747E9" w:rsidP="00C747E9">
      <w:pPr>
        <w:pStyle w:val="SNAutorit"/>
        <w:spacing w:before="0" w:after="0"/>
        <w:jc w:val="both"/>
        <w:rPr>
          <w:b w:val="0"/>
          <w:i/>
          <w:iCs/>
        </w:rPr>
      </w:pPr>
      <w:r>
        <w:rPr>
          <w:i/>
        </w:rPr>
        <w:t xml:space="preserve">Publics concernés : </w:t>
      </w:r>
      <w:r w:rsidR="00B43317" w:rsidRPr="121FDCDB">
        <w:rPr>
          <w:b w:val="0"/>
          <w:i/>
          <w:iCs/>
        </w:rPr>
        <w:t xml:space="preserve">gestionnaire du réseau public de transport, gestionnaires du réseau public de distribution d’électricité, opérateur d’ajustement, opérateur d’effacement, </w:t>
      </w:r>
      <w:r w:rsidR="00B43317">
        <w:rPr>
          <w:b w:val="0"/>
          <w:i/>
          <w:iCs/>
        </w:rPr>
        <w:t>e</w:t>
      </w:r>
      <w:r w:rsidR="00B43317" w:rsidRPr="121FDCDB">
        <w:rPr>
          <w:b w:val="0"/>
          <w:i/>
          <w:iCs/>
        </w:rPr>
        <w:t>xploitant  d’une installation de production d’électricité de secours, exploitant d’une installation de stockage d’électricité de secours, services de l’Etat.</w:t>
      </w:r>
    </w:p>
    <w:p w14:paraId="08E9E55E" w14:textId="77777777" w:rsidR="00C747E9" w:rsidRDefault="00C747E9" w:rsidP="00C747E9">
      <w:pPr>
        <w:pStyle w:val="SNAutorit"/>
        <w:spacing w:before="0" w:after="0"/>
        <w:jc w:val="both"/>
      </w:pPr>
    </w:p>
    <w:p w14:paraId="1010FA24" w14:textId="62FBA3FD" w:rsidR="00C747E9" w:rsidRDefault="00C747E9" w:rsidP="00C747E9">
      <w:pPr>
        <w:pStyle w:val="SNAutorit"/>
        <w:spacing w:before="0" w:after="0"/>
        <w:jc w:val="both"/>
        <w:rPr>
          <w:b w:val="0"/>
          <w:i/>
        </w:rPr>
      </w:pPr>
      <w:r>
        <w:rPr>
          <w:i/>
        </w:rPr>
        <w:t>Objet :</w:t>
      </w:r>
      <w:r>
        <w:rPr>
          <w:b w:val="0"/>
          <w:i/>
        </w:rPr>
        <w:t xml:space="preserve"> </w:t>
      </w:r>
      <w:r w:rsidR="00CE48C3">
        <w:rPr>
          <w:b w:val="0"/>
          <w:i/>
        </w:rPr>
        <w:t xml:space="preserve">modalités </w:t>
      </w:r>
      <w:r w:rsidR="00467823">
        <w:rPr>
          <w:b w:val="0"/>
          <w:i/>
        </w:rPr>
        <w:t xml:space="preserve">de mise à disposition </w:t>
      </w:r>
      <w:r w:rsidR="00467823" w:rsidRPr="00467823">
        <w:rPr>
          <w:b w:val="0"/>
          <w:i/>
        </w:rPr>
        <w:t>de la puissance non utilisée e</w:t>
      </w:r>
      <w:r w:rsidR="00596885">
        <w:rPr>
          <w:b w:val="0"/>
          <w:i/>
        </w:rPr>
        <w:t>t techniquement disponible d’</w:t>
      </w:r>
      <w:r w:rsidR="00467823" w:rsidRPr="00467823">
        <w:rPr>
          <w:b w:val="0"/>
          <w:i/>
        </w:rPr>
        <w:t>installations</w:t>
      </w:r>
      <w:r w:rsidR="00596885">
        <w:rPr>
          <w:b w:val="0"/>
          <w:i/>
        </w:rPr>
        <w:t xml:space="preserve"> de production ou de stockage d’électricité en application de l’article L. 321-17-2 du code de l’énergie</w:t>
      </w:r>
      <w:r w:rsidR="002873FC">
        <w:rPr>
          <w:b w:val="0"/>
          <w:i/>
        </w:rPr>
        <w:t xml:space="preserve"> et </w:t>
      </w:r>
      <w:r w:rsidR="00C31D65">
        <w:rPr>
          <w:b w:val="0"/>
          <w:i/>
        </w:rPr>
        <w:t>de la mise à disposition des capacités mentionnées à l’article L. 321-17-1 du code de l’énergie</w:t>
      </w:r>
      <w:r w:rsidR="00596885">
        <w:rPr>
          <w:b w:val="0"/>
          <w:i/>
        </w:rPr>
        <w:t>.</w:t>
      </w:r>
    </w:p>
    <w:p w14:paraId="7658EEA2" w14:textId="77777777" w:rsidR="00C747E9" w:rsidRDefault="00C747E9" w:rsidP="00C747E9">
      <w:pPr>
        <w:pStyle w:val="SNAutorit"/>
        <w:spacing w:before="0" w:after="0"/>
        <w:jc w:val="both"/>
      </w:pPr>
    </w:p>
    <w:p w14:paraId="4CC7C436" w14:textId="77777777" w:rsidR="00C747E9" w:rsidRDefault="00C747E9" w:rsidP="00C747E9">
      <w:pPr>
        <w:pStyle w:val="SNAutorit"/>
        <w:spacing w:before="0" w:after="0"/>
        <w:jc w:val="both"/>
        <w:rPr>
          <w:b w:val="0"/>
          <w:i/>
        </w:rPr>
      </w:pPr>
      <w:r>
        <w:rPr>
          <w:i/>
        </w:rPr>
        <w:t xml:space="preserve">Entrée en vigueur : </w:t>
      </w:r>
      <w:r>
        <w:rPr>
          <w:b w:val="0"/>
          <w:i/>
        </w:rPr>
        <w:t>le texte entre en vigueur le lendemain de sa publication.</w:t>
      </w:r>
    </w:p>
    <w:p w14:paraId="26BF1785" w14:textId="77777777" w:rsidR="00C747E9" w:rsidRDefault="00C747E9" w:rsidP="00C747E9">
      <w:pPr>
        <w:pStyle w:val="SNAutorit"/>
        <w:spacing w:before="0" w:after="0"/>
        <w:jc w:val="both"/>
      </w:pPr>
    </w:p>
    <w:p w14:paraId="0BF6233C" w14:textId="3FE2AAAC" w:rsidR="00C747E9" w:rsidRDefault="00C747E9" w:rsidP="00C747E9">
      <w:pPr>
        <w:pStyle w:val="SNAutorit"/>
        <w:spacing w:before="0" w:after="0"/>
        <w:jc w:val="both"/>
        <w:rPr>
          <w:b w:val="0"/>
          <w:i/>
        </w:rPr>
      </w:pPr>
      <w:r>
        <w:rPr>
          <w:i/>
        </w:rPr>
        <w:t>Notice :</w:t>
      </w:r>
      <w:r>
        <w:rPr>
          <w:b w:val="0"/>
          <w:i/>
        </w:rPr>
        <w:t xml:space="preserve"> le texte </w:t>
      </w:r>
      <w:r w:rsidR="00221CB6">
        <w:rPr>
          <w:b w:val="0"/>
          <w:i/>
        </w:rPr>
        <w:t>définit</w:t>
      </w:r>
      <w:r w:rsidR="00221CB6" w:rsidRPr="00221CB6">
        <w:rPr>
          <w:b w:val="0"/>
          <w:i/>
        </w:rPr>
        <w:t xml:space="preserve">, </w:t>
      </w:r>
      <w:r w:rsidR="00596885">
        <w:rPr>
          <w:b w:val="0"/>
          <w:i/>
        </w:rPr>
        <w:t>les modalités</w:t>
      </w:r>
      <w:r w:rsidR="00221CB6">
        <w:rPr>
          <w:b w:val="0"/>
          <w:i/>
        </w:rPr>
        <w:t xml:space="preserve"> </w:t>
      </w:r>
      <w:r w:rsidR="00596885">
        <w:rPr>
          <w:b w:val="0"/>
          <w:i/>
        </w:rPr>
        <w:t xml:space="preserve">de mise à disposition </w:t>
      </w:r>
      <w:r w:rsidR="00596885" w:rsidRPr="00467823">
        <w:rPr>
          <w:b w:val="0"/>
          <w:i/>
        </w:rPr>
        <w:t>de la puissance non utilisée e</w:t>
      </w:r>
      <w:r w:rsidR="00596885">
        <w:rPr>
          <w:b w:val="0"/>
          <w:i/>
        </w:rPr>
        <w:t>t techniquement disponible d’</w:t>
      </w:r>
      <w:r w:rsidR="00596885" w:rsidRPr="00467823">
        <w:rPr>
          <w:b w:val="0"/>
          <w:i/>
        </w:rPr>
        <w:t>installations</w:t>
      </w:r>
      <w:r w:rsidR="00596885">
        <w:rPr>
          <w:b w:val="0"/>
          <w:i/>
        </w:rPr>
        <w:t xml:space="preserve"> de production ou de stockage d’électricité e</w:t>
      </w:r>
      <w:r w:rsidR="00596885" w:rsidRPr="00596885">
        <w:rPr>
          <w:b w:val="0"/>
          <w:i/>
        </w:rPr>
        <w:t>n cas de menace grave et imminente sur la sécurité d'approvisionnement en électricité et lorsque les analyses prévisionnelles du gestionnaire du réseau public de transport montrent que les mécanismes prévus aux articles L. 321-10 à L. 321-13 peuvent être considérés comme insuffisants pour assurer l'équilibre des flux d'électricité sur le réseau</w:t>
      </w:r>
      <w:r w:rsidR="00596885">
        <w:rPr>
          <w:b w:val="0"/>
          <w:i/>
        </w:rPr>
        <w:t>.</w:t>
      </w:r>
      <w:r w:rsidR="00C15A47">
        <w:rPr>
          <w:b w:val="0"/>
          <w:i/>
        </w:rPr>
        <w:t xml:space="preserve"> Il fixe les </w:t>
      </w:r>
      <w:r w:rsidR="000B5B54">
        <w:rPr>
          <w:b w:val="0"/>
          <w:i/>
        </w:rPr>
        <w:t>pénalités financières</w:t>
      </w:r>
      <w:r w:rsidR="00C15A47">
        <w:rPr>
          <w:b w:val="0"/>
          <w:i/>
        </w:rPr>
        <w:t xml:space="preserve"> dues </w:t>
      </w:r>
      <w:r w:rsidR="00596885">
        <w:rPr>
          <w:b w:val="0"/>
          <w:i/>
        </w:rPr>
        <w:t xml:space="preserve">et </w:t>
      </w:r>
      <w:r w:rsidR="00596885" w:rsidRPr="00596885">
        <w:rPr>
          <w:b w:val="0"/>
          <w:i/>
        </w:rPr>
        <w:t>les catégories de sites de consommation exemptées</w:t>
      </w:r>
      <w:r w:rsidR="00596885">
        <w:rPr>
          <w:b w:val="0"/>
          <w:i/>
        </w:rPr>
        <w:t xml:space="preserve"> en application de l’article L. 321-17-2.</w:t>
      </w:r>
    </w:p>
    <w:p w14:paraId="7CB26712" w14:textId="77777777" w:rsidR="00C747E9" w:rsidRDefault="00C747E9" w:rsidP="00C747E9">
      <w:pPr>
        <w:pStyle w:val="SNAutorit"/>
        <w:spacing w:before="0" w:after="0"/>
        <w:jc w:val="both"/>
      </w:pPr>
    </w:p>
    <w:p w14:paraId="6329192B" w14:textId="069CEFE2" w:rsidR="00C747E9" w:rsidRDefault="00C747E9" w:rsidP="00C747E9">
      <w:pPr>
        <w:pStyle w:val="SNAutorit"/>
        <w:spacing w:before="0" w:after="0"/>
        <w:jc w:val="both"/>
      </w:pPr>
      <w:r>
        <w:rPr>
          <w:i/>
        </w:rPr>
        <w:t xml:space="preserve">Références : </w:t>
      </w:r>
      <w:r>
        <w:rPr>
          <w:b w:val="0"/>
          <w:i/>
        </w:rPr>
        <w:t xml:space="preserve">décret pris en application </w:t>
      </w:r>
      <w:r w:rsidR="005D6F1E">
        <w:rPr>
          <w:b w:val="0"/>
          <w:i/>
        </w:rPr>
        <w:t>des articles L. 321-17-1 et</w:t>
      </w:r>
      <w:r w:rsidR="00C15A47" w:rsidRPr="007B35F8">
        <w:rPr>
          <w:b w:val="0"/>
          <w:i/>
        </w:rPr>
        <w:t xml:space="preserve"> L. </w:t>
      </w:r>
      <w:r w:rsidR="007B35F8" w:rsidRPr="007B35F8">
        <w:rPr>
          <w:b w:val="0"/>
          <w:i/>
        </w:rPr>
        <w:t>321-17-2</w:t>
      </w:r>
      <w:r w:rsidR="00C15A47" w:rsidRPr="007B35F8">
        <w:rPr>
          <w:b w:val="0"/>
          <w:i/>
        </w:rPr>
        <w:t xml:space="preserve"> </w:t>
      </w:r>
      <w:r w:rsidRPr="007B35F8">
        <w:rPr>
          <w:b w:val="0"/>
          <w:i/>
        </w:rPr>
        <w:t>du code de l’énergie. Le code de l’énergie modifié par le présent décret peut être consulté</w:t>
      </w:r>
      <w:r>
        <w:rPr>
          <w:b w:val="0"/>
          <w:i/>
        </w:rPr>
        <w:t>, dans la rédaction issue de cette modification, sur le site Légifrance (http://www.legifrance.gouv.fr).</w:t>
      </w:r>
    </w:p>
    <w:p w14:paraId="799EE26D" w14:textId="77777777" w:rsidR="00F04657" w:rsidRDefault="00C747E9" w:rsidP="00F04657">
      <w:pPr>
        <w:pStyle w:val="SNAutorit"/>
      </w:pPr>
      <w:r>
        <w:t>La Première ministre,</w:t>
      </w:r>
    </w:p>
    <w:p w14:paraId="38CDE369" w14:textId="53B696DF" w:rsidR="00B13FF6" w:rsidRPr="00F04657" w:rsidRDefault="00B13FF6" w:rsidP="00F04657">
      <w:pPr>
        <w:pStyle w:val="SNAutorit"/>
      </w:pPr>
      <w:r w:rsidRPr="00C726AD">
        <w:rPr>
          <w:b w:val="0"/>
        </w:rPr>
        <w:t xml:space="preserve">Sur le rapport de la ministre de la transition énergétique, </w:t>
      </w:r>
    </w:p>
    <w:p w14:paraId="3489694E" w14:textId="37EC75CC" w:rsidR="008F4B85" w:rsidRDefault="00B27DF9">
      <w:pPr>
        <w:pStyle w:val="SNVisa"/>
      </w:pPr>
      <w:r w:rsidRPr="0048457F">
        <w:t xml:space="preserve">Vu le code de l’énergie, notamment </w:t>
      </w:r>
      <w:r w:rsidR="001A7265">
        <w:t>s</w:t>
      </w:r>
      <w:r w:rsidR="002E749C" w:rsidRPr="0048457F">
        <w:t xml:space="preserve">es </w:t>
      </w:r>
      <w:r w:rsidRPr="0048457F">
        <w:t>article</w:t>
      </w:r>
      <w:r w:rsidR="002E749C" w:rsidRPr="0048457F">
        <w:t>s</w:t>
      </w:r>
      <w:r w:rsidR="00933546">
        <w:t xml:space="preserve"> L. 321-17-1 et</w:t>
      </w:r>
      <w:r w:rsidRPr="0048457F">
        <w:t xml:space="preserve"> </w:t>
      </w:r>
      <w:r w:rsidR="004F7B59" w:rsidRPr="008C3658">
        <w:t>L. </w:t>
      </w:r>
      <w:r w:rsidR="007B35F8">
        <w:t>321-17-2</w:t>
      </w:r>
      <w:r w:rsidR="002E749C" w:rsidRPr="0048457F">
        <w:t xml:space="preserve"> </w:t>
      </w:r>
      <w:r w:rsidRPr="0048457F">
        <w:t>;</w:t>
      </w:r>
    </w:p>
    <w:p w14:paraId="4FA9B651" w14:textId="5FB73953" w:rsidR="00F061EA" w:rsidRDefault="00F061EA">
      <w:pPr>
        <w:pStyle w:val="SNVisa"/>
      </w:pPr>
      <w:r>
        <w:t>Vu le code de l’environnement ;</w:t>
      </w:r>
    </w:p>
    <w:p w14:paraId="131F11E1" w14:textId="331386F9" w:rsidR="00F061EA" w:rsidRDefault="00F061EA">
      <w:pPr>
        <w:pStyle w:val="SNVisa"/>
      </w:pPr>
      <w:r>
        <w:t xml:space="preserve">Vu le </w:t>
      </w:r>
      <w:r w:rsidR="0016511B">
        <w:t>c</w:t>
      </w:r>
      <w:r>
        <w:t>ode de la défense ;</w:t>
      </w:r>
    </w:p>
    <w:p w14:paraId="4BF78247" w14:textId="47D3A003" w:rsidR="008F4B85" w:rsidRDefault="00B27DF9">
      <w:pPr>
        <w:pStyle w:val="SNVisa"/>
      </w:pPr>
      <w:r w:rsidRPr="0048457F">
        <w:t>Vu l’avis du Conseil supérieur de l’énergie en date du</w:t>
      </w:r>
      <w:r w:rsidR="007B35F8">
        <w:t xml:space="preserve"> </w:t>
      </w:r>
      <w:r w:rsidR="007E5F58">
        <w:t>;</w:t>
      </w:r>
    </w:p>
    <w:p w14:paraId="42DB47E6" w14:textId="0E6678D1" w:rsidR="005276CB" w:rsidRDefault="000F22C2" w:rsidP="007B35F8">
      <w:pPr>
        <w:pStyle w:val="SNVisa"/>
      </w:pPr>
      <w:r>
        <w:lastRenderedPageBreak/>
        <w:t xml:space="preserve">Vu l’avis de la Commission de régulation de l’énergie en </w:t>
      </w:r>
      <w:r w:rsidRPr="002919DB">
        <w:t>date du</w:t>
      </w:r>
      <w:r w:rsidR="00C27E32">
        <w:t> ;</w:t>
      </w:r>
    </w:p>
    <w:p w14:paraId="6A3BCF1A" w14:textId="07535638" w:rsidR="00513A3E" w:rsidRDefault="00513A3E" w:rsidP="007B35F8">
      <w:pPr>
        <w:pStyle w:val="SNVisa"/>
      </w:pPr>
      <w:r>
        <w:t xml:space="preserve">Vu l’avis </w:t>
      </w:r>
      <w:r w:rsidRPr="00513A3E">
        <w:t>du Conseil supérieur de la prévention</w:t>
      </w:r>
      <w:r w:rsidR="00C27E32">
        <w:t xml:space="preserve"> des risques technologiques du ,</w:t>
      </w:r>
    </w:p>
    <w:p w14:paraId="7444A2DE" w14:textId="08290E12" w:rsidR="006754F1" w:rsidRDefault="006754F1" w:rsidP="007B35F8">
      <w:pPr>
        <w:pStyle w:val="SNVisa"/>
      </w:pPr>
    </w:p>
    <w:p w14:paraId="2A0D7FEA" w14:textId="77777777" w:rsidR="006754F1" w:rsidRDefault="006754F1" w:rsidP="007B35F8">
      <w:pPr>
        <w:pStyle w:val="SNVisa"/>
      </w:pPr>
    </w:p>
    <w:p w14:paraId="714DC1AB" w14:textId="0D2AED38" w:rsidR="008F4B85" w:rsidRPr="005276CB" w:rsidRDefault="005276CB" w:rsidP="005276CB">
      <w:pPr>
        <w:pStyle w:val="SNVisa"/>
        <w:ind w:firstLine="0"/>
        <w:jc w:val="center"/>
        <w:rPr>
          <w:b/>
        </w:rPr>
      </w:pPr>
      <w:r w:rsidRPr="005276CB">
        <w:rPr>
          <w:b/>
        </w:rPr>
        <w:t>D</w:t>
      </w:r>
      <w:r w:rsidR="00B27DF9" w:rsidRPr="005276CB">
        <w:rPr>
          <w:b/>
        </w:rPr>
        <w:t>écrète :</w:t>
      </w:r>
    </w:p>
    <w:p w14:paraId="4F0BC231" w14:textId="77777777" w:rsidR="008F4B85" w:rsidRDefault="00B27DF9">
      <w:pPr>
        <w:pStyle w:val="SNArticle"/>
      </w:pPr>
      <w:r>
        <w:t>Article 1</w:t>
      </w:r>
      <w:r>
        <w:rPr>
          <w:vertAlign w:val="superscript"/>
        </w:rPr>
        <w:t>er</w:t>
      </w:r>
    </w:p>
    <w:p w14:paraId="37B7840D" w14:textId="77777777" w:rsidR="001030AB" w:rsidRDefault="001030AB" w:rsidP="006754F1">
      <w:pPr>
        <w:pStyle w:val="assnatloitexte"/>
        <w:jc w:val="both"/>
      </w:pPr>
      <w:r>
        <w:t>La section 4 du chapitre I du titre II du livre III de la partie réglementaire du code de l’énergie est ainsi complétée :</w:t>
      </w:r>
    </w:p>
    <w:p w14:paraId="46B5EDFC" w14:textId="051D6CFF" w:rsidR="001030AB" w:rsidRDefault="001030AB" w:rsidP="001030AB">
      <w:pPr>
        <w:pStyle w:val="assnatloitexte"/>
        <w:jc w:val="both"/>
      </w:pPr>
      <w:r w:rsidRPr="00836F6E">
        <w:t>« </w:t>
      </w:r>
      <w:r w:rsidRPr="00836F6E">
        <w:rPr>
          <w:i/>
        </w:rPr>
        <w:t xml:space="preserve">Art. D. </w:t>
      </w:r>
      <w:r>
        <w:rPr>
          <w:i/>
        </w:rPr>
        <w:t>321-25</w:t>
      </w:r>
      <w:r w:rsidRPr="00836F6E">
        <w:rPr>
          <w:i/>
        </w:rPr>
        <w:t>.</w:t>
      </w:r>
      <w:r w:rsidR="00981081">
        <w:rPr>
          <w:i/>
        </w:rPr>
        <w:t xml:space="preserve"> </w:t>
      </w:r>
      <w:r w:rsidR="00981081" w:rsidRPr="00674095">
        <w:rPr>
          <w:i/>
        </w:rPr>
        <w:t>–</w:t>
      </w:r>
      <w:r w:rsidRPr="001030AB">
        <w:t xml:space="preserve"> </w:t>
      </w:r>
      <w:r w:rsidRPr="00557CD7">
        <w:t>Le gestionnaire du réseau public de transport publie l'information selon laquelle le système</w:t>
      </w:r>
      <w:r>
        <w:t xml:space="preserve"> électrique sera dans une situation de forte tension justifiant la mise en œuvre d</w:t>
      </w:r>
      <w:r w:rsidR="00A27A61">
        <w:t>es</w:t>
      </w:r>
      <w:r>
        <w:t xml:space="preserve"> dispositif</w:t>
      </w:r>
      <w:r w:rsidR="00A27A61">
        <w:t>s</w:t>
      </w:r>
      <w:r>
        <w:t xml:space="preserve"> mentionné</w:t>
      </w:r>
      <w:r w:rsidR="00A27A61">
        <w:t>s</w:t>
      </w:r>
      <w:r>
        <w:t xml:space="preserve"> </w:t>
      </w:r>
      <w:r w:rsidR="00A27A61">
        <w:t>aux</w:t>
      </w:r>
      <w:r>
        <w:t xml:space="preserve"> article</w:t>
      </w:r>
      <w:r w:rsidR="00A27A61">
        <w:t xml:space="preserve">s </w:t>
      </w:r>
      <w:r w:rsidR="005C55EA">
        <w:t>L</w:t>
      </w:r>
      <w:r w:rsidR="00A27A61">
        <w:t>.321-17-1 et</w:t>
      </w:r>
      <w:r>
        <w:t xml:space="preserve"> L. 321-17-2 sur un site internet accessible au grand public.</w:t>
      </w:r>
    </w:p>
    <w:p w14:paraId="432BE3BB" w14:textId="1735FBF5" w:rsidR="000F1430" w:rsidRDefault="00BA41A6" w:rsidP="001030AB">
      <w:pPr>
        <w:pStyle w:val="assnatloitexte"/>
        <w:jc w:val="both"/>
      </w:pPr>
      <w:r w:rsidDel="00BA41A6">
        <w:rPr>
          <w:i/>
        </w:rPr>
        <w:t xml:space="preserve"> </w:t>
      </w:r>
      <w:r w:rsidR="00896501">
        <w:t>« </w:t>
      </w:r>
      <w:r w:rsidR="001030AB">
        <w:t>Au plus tard la veille du jour concerné, cette information précise les heures de la journée au cours desquelles le système électrique sera en forte tension.</w:t>
      </w:r>
    </w:p>
    <w:p w14:paraId="29B5315B" w14:textId="024BB264" w:rsidR="00FE73FE" w:rsidRDefault="00AD3DF3" w:rsidP="00AD3DF3">
      <w:pPr>
        <w:pStyle w:val="assnatloitexte"/>
        <w:jc w:val="both"/>
      </w:pPr>
      <w:r w:rsidRPr="00836F6E">
        <w:t>« </w:t>
      </w:r>
      <w:r w:rsidRPr="009A4881">
        <w:rPr>
          <w:i/>
        </w:rPr>
        <w:t>Art. D. 321-26</w:t>
      </w:r>
      <w:r w:rsidR="000F1430">
        <w:rPr>
          <w:i/>
        </w:rPr>
        <w:t>.</w:t>
      </w:r>
      <w:r w:rsidR="00981081">
        <w:rPr>
          <w:i/>
        </w:rPr>
        <w:t xml:space="preserve"> </w:t>
      </w:r>
      <w:r w:rsidR="00981081" w:rsidRPr="00674095">
        <w:rPr>
          <w:i/>
        </w:rPr>
        <w:t>–</w:t>
      </w:r>
      <w:r w:rsidR="000F1430">
        <w:rPr>
          <w:i/>
        </w:rPr>
        <w:t xml:space="preserve"> </w:t>
      </w:r>
      <w:r w:rsidR="00FE73FE">
        <w:t>Le montant des pénalités financières mentionnées aux articles L.321-17-1 et L. 321-17-2 ne peut</w:t>
      </w:r>
      <w:r w:rsidR="000F1430">
        <w:t xml:space="preserve"> pas</w:t>
      </w:r>
      <w:r w:rsidR="00FE73FE">
        <w:t xml:space="preserve"> excéder 3 % du chiffre d'affaires hors taxes lors du dernier exerc</w:t>
      </w:r>
      <w:r w:rsidR="000F1430">
        <w:t>ice clos, porté à 5 % en cas de</w:t>
      </w:r>
      <w:r w:rsidR="00FE73FE">
        <w:t xml:space="preserve"> manquement aux obligations prévues à ces articles</w:t>
      </w:r>
      <w:r w:rsidR="000F1430">
        <w:t xml:space="preserve"> sur deux jours ou plus</w:t>
      </w:r>
      <w:r w:rsidR="00FE73FE">
        <w:t>.</w:t>
      </w:r>
    </w:p>
    <w:p w14:paraId="591DC168" w14:textId="7A06D183" w:rsidR="00FE73FE" w:rsidRDefault="000F1430" w:rsidP="00AD3DF3">
      <w:pPr>
        <w:pStyle w:val="assnatloitexte"/>
        <w:jc w:val="both"/>
      </w:pPr>
      <w:r>
        <w:t>« </w:t>
      </w:r>
      <w:r w:rsidR="00FE73FE">
        <w:t xml:space="preserve">A défaut d'activité permettant de déterminer ce plafond, le montant de la </w:t>
      </w:r>
      <w:r>
        <w:t>pénalité</w:t>
      </w:r>
      <w:r w:rsidR="00FE73FE">
        <w:t xml:space="preserve"> ne peut </w:t>
      </w:r>
      <w:r>
        <w:t xml:space="preserve">pas </w:t>
      </w:r>
      <w:r w:rsidR="00FE73FE">
        <w:t xml:space="preserve">excéder 250 000 euros, porté à 500 000 euros en cas de </w:t>
      </w:r>
      <w:r>
        <w:t>manquement sur deux jours ou plus</w:t>
      </w:r>
      <w:r w:rsidR="00FE73FE">
        <w:t>.</w:t>
      </w:r>
    </w:p>
    <w:p w14:paraId="7DF30A00" w14:textId="210B0671" w:rsidR="00FE73FE" w:rsidRDefault="000F1430" w:rsidP="00AD3DF3">
      <w:pPr>
        <w:pStyle w:val="assnatloitexte"/>
        <w:jc w:val="both"/>
      </w:pPr>
      <w:r>
        <w:t>« </w:t>
      </w:r>
      <w:r w:rsidR="00441FA4">
        <w:t>Le</w:t>
      </w:r>
      <w:r w:rsidR="00FE73FE">
        <w:t xml:space="preserve">s modalités de calcul des pénalités financières mentionnées aux articles L.321-17-1 et L. 321-17-2 </w:t>
      </w:r>
      <w:r>
        <w:t>pour un manquement sur une journée sont proportionnées au nombre d’heures telles que publiées la veille en application de l’article D. 321-25 et au</w:t>
      </w:r>
      <w:r w:rsidR="00054366">
        <w:t>x</w:t>
      </w:r>
      <w:r>
        <w:t xml:space="preserve"> caractéristiques techniques de l</w:t>
      </w:r>
      <w:r w:rsidR="00B65B09">
        <w:t xml:space="preserve">a ou des </w:t>
      </w:r>
      <w:r>
        <w:t>installation</w:t>
      </w:r>
      <w:r w:rsidR="00B65B09">
        <w:t>s</w:t>
      </w:r>
      <w:r>
        <w:t>.</w:t>
      </w:r>
    </w:p>
    <w:p w14:paraId="5D07EDDC" w14:textId="48A4FE3E" w:rsidR="00981081" w:rsidRDefault="000F1430" w:rsidP="00AD3DF3">
      <w:pPr>
        <w:pStyle w:val="assnatloitexte"/>
        <w:jc w:val="both"/>
      </w:pPr>
      <w:r>
        <w:t>« </w:t>
      </w:r>
      <w:r w:rsidR="00FE73FE">
        <w:t>Ces modalités de calcul sont</w:t>
      </w:r>
      <w:r w:rsidR="00441FA4">
        <w:t xml:space="preserve"> </w:t>
      </w:r>
      <w:r w:rsidR="00FE73FE">
        <w:t xml:space="preserve">précisées </w:t>
      </w:r>
      <w:r w:rsidR="00441FA4">
        <w:t>par arrêté</w:t>
      </w:r>
      <w:r w:rsidR="00FE73FE">
        <w:t xml:space="preserve"> du ministre chargé de l’énergie</w:t>
      </w:r>
      <w:r w:rsidR="00441FA4">
        <w:t>.</w:t>
      </w:r>
    </w:p>
    <w:p w14:paraId="1A6D8E22" w14:textId="4D68F0CE" w:rsidR="00981081" w:rsidRPr="00F4598E" w:rsidRDefault="00981081" w:rsidP="00981081">
      <w:pPr>
        <w:pStyle w:val="assnatloitexte"/>
        <w:jc w:val="both"/>
      </w:pPr>
      <w:r w:rsidRPr="00674095">
        <w:t>« </w:t>
      </w:r>
      <w:r w:rsidRPr="00674095">
        <w:rPr>
          <w:i/>
        </w:rPr>
        <w:t>Art. D. 321-</w:t>
      </w:r>
      <w:r>
        <w:rPr>
          <w:i/>
        </w:rPr>
        <w:t>27</w:t>
      </w:r>
      <w:r w:rsidRPr="00674095">
        <w:rPr>
          <w:i/>
        </w:rPr>
        <w:t>.</w:t>
      </w:r>
      <w:r>
        <w:rPr>
          <w:i/>
        </w:rPr>
        <w:t xml:space="preserve"> </w:t>
      </w:r>
      <w:r w:rsidRPr="00674095">
        <w:rPr>
          <w:i/>
        </w:rPr>
        <w:t>–</w:t>
      </w:r>
      <w:r w:rsidRPr="00674095">
        <w:t xml:space="preserve"> Sauf </w:t>
      </w:r>
      <w:r>
        <w:t>incapacité</w:t>
      </w:r>
      <w:r w:rsidRPr="00674095">
        <w:t xml:space="preserve"> technique devant pouvoir être justifiée, les conditions d’utilisation des offres déposées en application des article L. 321-17-1 et L. 321-17-2</w:t>
      </w:r>
      <w:r>
        <w:t xml:space="preserve"> </w:t>
      </w:r>
      <w:r w:rsidRPr="00674095">
        <w:t>sur le mécanisme d’ajustement mentionné à l’article L.321-10 doivent être compatibles avec une activation par le gestionnaire de réseau de transport sur les périodes de tension publiées sur le site mentionné à l’article D.321-25.</w:t>
      </w:r>
    </w:p>
    <w:p w14:paraId="77F25E87" w14:textId="361E59E3" w:rsidR="00981081" w:rsidRPr="00246970" w:rsidRDefault="00981081" w:rsidP="00981081">
      <w:pPr>
        <w:pStyle w:val="assnatloitexte"/>
        <w:jc w:val="both"/>
      </w:pPr>
      <w:r w:rsidRPr="00674095">
        <w:t>« </w:t>
      </w:r>
      <w:r w:rsidRPr="00674095">
        <w:rPr>
          <w:i/>
        </w:rPr>
        <w:t>Art. D. 321-</w:t>
      </w:r>
      <w:r>
        <w:rPr>
          <w:i/>
        </w:rPr>
        <w:t>28</w:t>
      </w:r>
      <w:r w:rsidRPr="00674095">
        <w:rPr>
          <w:i/>
        </w:rPr>
        <w:t>. –</w:t>
      </w:r>
      <w:r>
        <w:rPr>
          <w:i/>
        </w:rPr>
        <w:t xml:space="preserve"> </w:t>
      </w:r>
      <w:r w:rsidRPr="00246970">
        <w:t>En application de l’article L. 321-17-1, sont redevables des pénalités financières décrites à l’article D. 321-26 :</w:t>
      </w:r>
    </w:p>
    <w:p w14:paraId="28215961" w14:textId="77777777" w:rsidR="00981081" w:rsidRPr="00674095" w:rsidRDefault="00981081" w:rsidP="00981081">
      <w:pPr>
        <w:pStyle w:val="assnatloitexte"/>
        <w:jc w:val="both"/>
      </w:pPr>
      <w:r w:rsidRPr="00246970">
        <w:t xml:space="preserve">« 1° Les </w:t>
      </w:r>
      <w:r w:rsidRPr="00674095">
        <w:t>opérateur</w:t>
      </w:r>
      <w:r>
        <w:t>s</w:t>
      </w:r>
      <w:r w:rsidRPr="00674095">
        <w:t xml:space="preserve"> d’ajustement qui ne mettent pas à disposition du gestionnaire du réseau public de transport la totalité des capacités techniquement disponibles d’effacement de consommation, de production et de stockage qu’ils valorisent sur le mécanisme d’ajustement mentionné à l’article L.321-10</w:t>
      </w:r>
      <w:r>
        <w:t> ;</w:t>
      </w:r>
    </w:p>
    <w:p w14:paraId="54340CBA" w14:textId="5698A7A3" w:rsidR="00F765AD" w:rsidRDefault="00981081" w:rsidP="00AD3DF3">
      <w:pPr>
        <w:pStyle w:val="assnatloitexte"/>
        <w:jc w:val="both"/>
      </w:pPr>
      <w:r>
        <w:t>« 2° Les</w:t>
      </w:r>
      <w:r w:rsidRPr="00BC423E">
        <w:t xml:space="preserve"> opérateur</w:t>
      </w:r>
      <w:r>
        <w:t>s</w:t>
      </w:r>
      <w:r w:rsidRPr="00BC423E">
        <w:t xml:space="preserve"> d’effacement qui n’ont pas offert sur les marchés la totalité des capacités d’effacement de consommation techniquement disponibles et non utilisées.</w:t>
      </w:r>
    </w:p>
    <w:p w14:paraId="28CF5BE3" w14:textId="09193F19" w:rsidR="00C21403" w:rsidRDefault="00C21403" w:rsidP="00C21403">
      <w:pPr>
        <w:pStyle w:val="assnatloitexte"/>
        <w:jc w:val="both"/>
      </w:pPr>
      <w:r w:rsidRPr="00836F6E">
        <w:lastRenderedPageBreak/>
        <w:t>« </w:t>
      </w:r>
      <w:r w:rsidRPr="00F765AD">
        <w:rPr>
          <w:i/>
        </w:rPr>
        <w:t>Art. D. 321-</w:t>
      </w:r>
      <w:r>
        <w:rPr>
          <w:i/>
        </w:rPr>
        <w:t xml:space="preserve">29. </w:t>
      </w:r>
      <w:r w:rsidRPr="00674095">
        <w:rPr>
          <w:i/>
        </w:rPr>
        <w:t>–</w:t>
      </w:r>
      <w:r>
        <w:t> L’obligation de mise à disposition en appl</w:t>
      </w:r>
      <w:r w:rsidR="00D44D36">
        <w:t>ication de l’article L. 321-17-2</w:t>
      </w:r>
      <w:r>
        <w:t xml:space="preserve"> ne porte que sur les heures indiquées par le gestionnaire de réseau de transport en application de l’article D. 321-25</w:t>
      </w:r>
      <w:r w:rsidR="00B7584A">
        <w:t xml:space="preserve"> et ne peut pas excéder 300 heures</w:t>
      </w:r>
      <w:r w:rsidR="00B478D0">
        <w:t>.</w:t>
      </w:r>
    </w:p>
    <w:p w14:paraId="58F5C7A3" w14:textId="328CAF27" w:rsidR="00C21403" w:rsidRDefault="00C21403" w:rsidP="00AD3DF3">
      <w:pPr>
        <w:pStyle w:val="assnatloitexte"/>
        <w:jc w:val="both"/>
      </w:pPr>
      <w:r>
        <w:t>Le fonctionnement d’une installation de production ou de stockage en application de l’article L. 321-17-2 se fait dans le respect des dispositions techniques en vigueur.</w:t>
      </w:r>
    </w:p>
    <w:p w14:paraId="49AB284D" w14:textId="79216ED7" w:rsidR="00AD3DF3" w:rsidRDefault="009A3F1A" w:rsidP="00AD3DF3">
      <w:pPr>
        <w:pStyle w:val="assnatloitexte"/>
        <w:jc w:val="both"/>
      </w:pPr>
      <w:r w:rsidRPr="00836F6E">
        <w:t>« </w:t>
      </w:r>
      <w:r w:rsidRPr="00A1618B">
        <w:rPr>
          <w:i/>
        </w:rPr>
        <w:t>Art. D. 321-</w:t>
      </w:r>
      <w:r w:rsidR="00C21403">
        <w:rPr>
          <w:i/>
        </w:rPr>
        <w:t>30</w:t>
      </w:r>
      <w:r w:rsidR="000F1430">
        <w:t>.</w:t>
      </w:r>
      <w:r w:rsidR="00981081">
        <w:t xml:space="preserve"> </w:t>
      </w:r>
      <w:r w:rsidR="00981081" w:rsidRPr="00674095">
        <w:rPr>
          <w:i/>
        </w:rPr>
        <w:t>–</w:t>
      </w:r>
      <w:r w:rsidR="000F1430">
        <w:t xml:space="preserve"> </w:t>
      </w:r>
      <w:r w:rsidR="00AD3DF3">
        <w:t>Les catégories de sites de consommation exemptées de l’application de l’article L. 321-17-2 du code de l’énergie sont :</w:t>
      </w:r>
    </w:p>
    <w:p w14:paraId="6129BC3B" w14:textId="6D3CC534" w:rsidR="009C106F" w:rsidRDefault="009C106F" w:rsidP="00AD3DF3">
      <w:pPr>
        <w:pStyle w:val="assnatloitexte"/>
        <w:numPr>
          <w:ilvl w:val="0"/>
          <w:numId w:val="13"/>
        </w:numPr>
        <w:jc w:val="both"/>
      </w:pPr>
      <w:r>
        <w:t xml:space="preserve">Les installations désignées </w:t>
      </w:r>
      <w:r w:rsidR="00FE6CA1">
        <w:t xml:space="preserve">comme prioritaires </w:t>
      </w:r>
      <w:r>
        <w:t>en application de l’article R. 323-36 du code de l’énergie,</w:t>
      </w:r>
    </w:p>
    <w:p w14:paraId="41CBC9BC" w14:textId="25FE1C95" w:rsidR="00360414" w:rsidRDefault="00360414" w:rsidP="00AD3DF3">
      <w:pPr>
        <w:pStyle w:val="assnatloitexte"/>
        <w:numPr>
          <w:ilvl w:val="0"/>
          <w:numId w:val="13"/>
        </w:numPr>
        <w:jc w:val="both"/>
      </w:pPr>
      <w:r>
        <w:t xml:space="preserve">Les installations </w:t>
      </w:r>
      <w:r w:rsidR="00111402">
        <w:t>dont l’activité est restreinte ou suspendue en application de l’article L.</w:t>
      </w:r>
      <w:r w:rsidR="006860C5">
        <w:t> </w:t>
      </w:r>
      <w:r w:rsidR="00111402" w:rsidRPr="00674095">
        <w:t>143-6-1 du code de l’énergie</w:t>
      </w:r>
      <w:r w:rsidR="00852E6C" w:rsidRPr="00674095">
        <w:t>,</w:t>
      </w:r>
    </w:p>
    <w:p w14:paraId="0855F022" w14:textId="34576A75" w:rsidR="00F75516" w:rsidRDefault="00F75516" w:rsidP="00AD3DF3">
      <w:pPr>
        <w:pStyle w:val="assnatloitexte"/>
        <w:numPr>
          <w:ilvl w:val="0"/>
          <w:numId w:val="13"/>
        </w:numPr>
        <w:jc w:val="both"/>
      </w:pPr>
      <w:r>
        <w:t xml:space="preserve">Les </w:t>
      </w:r>
      <w:r w:rsidR="00F37FC4">
        <w:t xml:space="preserve">consommateurs finals </w:t>
      </w:r>
      <w:r w:rsidR="006860C5">
        <w:t>contribu</w:t>
      </w:r>
      <w:r w:rsidR="00BC1675">
        <w:t>ant au service</w:t>
      </w:r>
      <w:r w:rsidR="00AB6A6F">
        <w:t xml:space="preserve"> </w:t>
      </w:r>
      <w:r w:rsidR="00407F20">
        <w:t xml:space="preserve">de défense </w:t>
      </w:r>
      <w:r w:rsidR="006754F1">
        <w:t>de participation active de la demande</w:t>
      </w:r>
      <w:r w:rsidR="00F37FC4">
        <w:t>,</w:t>
      </w:r>
    </w:p>
    <w:p w14:paraId="50C4CF99" w14:textId="6D89F4DA" w:rsidR="00F37FC4" w:rsidRDefault="003209EA" w:rsidP="00F37FC4">
      <w:pPr>
        <w:pStyle w:val="assnatloitexte"/>
        <w:numPr>
          <w:ilvl w:val="0"/>
          <w:numId w:val="13"/>
        </w:numPr>
        <w:jc w:val="both"/>
      </w:pPr>
      <w:r>
        <w:t>L</w:t>
      </w:r>
      <w:r w:rsidRPr="00F25161">
        <w:t>es établissements de santé publics, privés d’intérêt collectif et privés tel que définis à l’article L.611-1 du code de la santé publique ainsi que les établissements de santé et médico-sociaux</w:t>
      </w:r>
      <w:r w:rsidR="006F4DF0">
        <w:t xml:space="preserve"> dont la cessation brutale d’activité menace gravement des </w:t>
      </w:r>
      <w:r w:rsidR="006F4DF0" w:rsidRPr="006F4DF0">
        <w:rPr>
          <w:bCs/>
        </w:rPr>
        <w:t>vies</w:t>
      </w:r>
      <w:r w:rsidR="006F4DF0" w:rsidRPr="006F4DF0">
        <w:t xml:space="preserve"> </w:t>
      </w:r>
      <w:r w:rsidR="006F4DF0" w:rsidRPr="006F4DF0">
        <w:rPr>
          <w:bCs/>
        </w:rPr>
        <w:t>humaines</w:t>
      </w:r>
      <w:r w:rsidR="00AD3DF3">
        <w:t>,</w:t>
      </w:r>
    </w:p>
    <w:p w14:paraId="08B3DE01" w14:textId="2EE3D972" w:rsidR="003209EA" w:rsidRDefault="003209EA" w:rsidP="00F37FC4">
      <w:pPr>
        <w:pStyle w:val="assnatloitexte"/>
        <w:numPr>
          <w:ilvl w:val="0"/>
          <w:numId w:val="13"/>
        </w:numPr>
        <w:jc w:val="both"/>
      </w:pPr>
      <w:r>
        <w:t>Les centres de réception des appels d’urgence,</w:t>
      </w:r>
    </w:p>
    <w:p w14:paraId="1BCEF65A" w14:textId="20CB4E3B" w:rsidR="00AD3DF3" w:rsidRDefault="00AD3DF3" w:rsidP="00AD3DF3">
      <w:pPr>
        <w:pStyle w:val="assnatloitexte"/>
        <w:numPr>
          <w:ilvl w:val="0"/>
          <w:numId w:val="13"/>
        </w:numPr>
        <w:jc w:val="both"/>
      </w:pPr>
      <w:r>
        <w:t>Les</w:t>
      </w:r>
      <w:r w:rsidR="001A7265">
        <w:t xml:space="preserve"> installations mentionnées à l’article L. 515-32 du c</w:t>
      </w:r>
      <w:r w:rsidR="0094097E">
        <w:t>ode de l’environnement</w:t>
      </w:r>
      <w:r>
        <w:t>,</w:t>
      </w:r>
    </w:p>
    <w:p w14:paraId="4D6BD06D" w14:textId="378F6EBD" w:rsidR="006754F1" w:rsidRDefault="00AD3DF3" w:rsidP="00BC1675">
      <w:pPr>
        <w:pStyle w:val="assnatloitexte"/>
        <w:numPr>
          <w:ilvl w:val="0"/>
          <w:numId w:val="13"/>
        </w:numPr>
        <w:jc w:val="both"/>
      </w:pPr>
      <w:r>
        <w:t xml:space="preserve">Les </w:t>
      </w:r>
      <w:r w:rsidR="00B7584A">
        <w:t xml:space="preserve">installations des </w:t>
      </w:r>
      <w:r w:rsidR="006754F1" w:rsidRPr="00981081">
        <w:t>opérateurs désignés opérateurs d'importance vitale en application de l'article R. 1332-1 du code de la défense,</w:t>
      </w:r>
    </w:p>
    <w:p w14:paraId="52DFD5BA" w14:textId="254C58CB" w:rsidR="00705A7B" w:rsidRDefault="001A7265" w:rsidP="00705A7B">
      <w:pPr>
        <w:pStyle w:val="assnatloitexte"/>
        <w:numPr>
          <w:ilvl w:val="0"/>
          <w:numId w:val="13"/>
        </w:numPr>
        <w:jc w:val="both"/>
      </w:pPr>
      <w:r>
        <w:t xml:space="preserve">Les installations </w:t>
      </w:r>
      <w:r w:rsidR="006F4DF0">
        <w:t>soumises à autorisation en application de</w:t>
      </w:r>
      <w:r>
        <w:t xml:space="preserve"> l’article L. 512-1 du code de l’environnement</w:t>
      </w:r>
      <w:r w:rsidR="0019388B">
        <w:t>,</w:t>
      </w:r>
      <w:r>
        <w:t xml:space="preserve"> lorsque les arrêtés ministériels prévus à l’article L. 512-5 de ce même code, ou les arrêtés préfectoraux concernant cette installation, prévoient la mise en place de dis</w:t>
      </w:r>
      <w:r w:rsidR="00705A7B">
        <w:t>positifs de secours électriques,</w:t>
      </w:r>
    </w:p>
    <w:p w14:paraId="2A4BC01B" w14:textId="7126343F" w:rsidR="00705A7B" w:rsidRPr="00981081" w:rsidRDefault="001A7265" w:rsidP="00705A7B">
      <w:pPr>
        <w:pStyle w:val="assnatloitexte"/>
        <w:numPr>
          <w:ilvl w:val="0"/>
          <w:numId w:val="13"/>
        </w:numPr>
        <w:jc w:val="both"/>
        <w:rPr>
          <w:rStyle w:val="Marquedecommentaire"/>
          <w:sz w:val="24"/>
          <w:szCs w:val="24"/>
        </w:rPr>
      </w:pPr>
      <w:r>
        <w:t xml:space="preserve"> </w:t>
      </w:r>
      <w:r w:rsidR="00705A7B">
        <w:t xml:space="preserve">Les sites relevant du ministère </w:t>
      </w:r>
      <w:r w:rsidR="00705A7B">
        <w:t>de la D</w:t>
      </w:r>
      <w:bookmarkStart w:id="0" w:name="_GoBack"/>
      <w:bookmarkEnd w:id="0"/>
      <w:r w:rsidR="00705A7B">
        <w:t>éfense.</w:t>
      </w:r>
    </w:p>
    <w:p w14:paraId="6DCD95E3" w14:textId="424DA62A" w:rsidR="00AD3DF3" w:rsidRDefault="00AD3DF3" w:rsidP="00705A7B">
      <w:pPr>
        <w:pStyle w:val="assnatloitexte"/>
        <w:ind w:left="360"/>
        <w:jc w:val="both"/>
      </w:pPr>
    </w:p>
    <w:p w14:paraId="7722DA3E" w14:textId="49FB02C4" w:rsidR="006860C5" w:rsidRDefault="00C77401" w:rsidP="00BC423E">
      <w:pPr>
        <w:pStyle w:val="assnatloitexte"/>
        <w:jc w:val="both"/>
      </w:pPr>
      <w:r>
        <w:t>« </w:t>
      </w:r>
      <w:r w:rsidR="00DC7B21">
        <w:t>L</w:t>
      </w:r>
      <w:r w:rsidR="0094097E">
        <w:t xml:space="preserve">’exploitant </w:t>
      </w:r>
      <w:r w:rsidR="00AD3DF3">
        <w:t xml:space="preserve">d’une installation de production ou de stockage d’électricité </w:t>
      </w:r>
      <w:r w:rsidR="00E968FE">
        <w:t>n’est pas tenu de mettre</w:t>
      </w:r>
      <w:r w:rsidR="00AD3DF3">
        <w:t xml:space="preserve"> à disposition la puissance nécessaire au secours de ses dispositifs de sécurité incendie ou d’évacuation des personnes.</w:t>
      </w:r>
    </w:p>
    <w:p w14:paraId="48206155" w14:textId="6C6748F9" w:rsidR="00F765AD" w:rsidRDefault="00246970" w:rsidP="00BC423E">
      <w:pPr>
        <w:pStyle w:val="assnatloitexte"/>
        <w:jc w:val="both"/>
      </w:pPr>
      <w:r w:rsidRPr="00D036C0">
        <w:rPr>
          <w:i/>
          <w:iCs/>
        </w:rPr>
        <w:t>« Art. D.321-</w:t>
      </w:r>
      <w:r w:rsidR="00981081">
        <w:rPr>
          <w:i/>
          <w:iCs/>
        </w:rPr>
        <w:t>31</w:t>
      </w:r>
      <w:r>
        <w:t xml:space="preserve">. – En application de l’article L. 321-17-2, les exploitants d’une installation de production ou de stockage d'électricité de plus d'un mégawatt qui ne mettent pas à la disposition du gestionnaire du réseau public de transport la totalité de la puissance non utilisée et techniquement disponible de cette installation sont redevables des pénalités financières décrites à l’article D.321-26. </w:t>
      </w:r>
    </w:p>
    <w:p w14:paraId="28A18A87" w14:textId="77777777" w:rsidR="006860C5" w:rsidRDefault="006860C5" w:rsidP="00BC423E">
      <w:pPr>
        <w:pStyle w:val="assnatloitexte"/>
        <w:jc w:val="both"/>
      </w:pPr>
    </w:p>
    <w:p w14:paraId="5C2EB8E5" w14:textId="07251E36" w:rsidR="005D3E41" w:rsidRDefault="004A75C6">
      <w:pPr>
        <w:pStyle w:val="assnatloitexte"/>
        <w:jc w:val="both"/>
      </w:pPr>
      <w:r w:rsidRPr="0094097E">
        <w:rPr>
          <w:i/>
        </w:rPr>
        <w:t>« Art. D.321-3</w:t>
      </w:r>
      <w:r w:rsidR="00864032" w:rsidRPr="0094097E">
        <w:rPr>
          <w:i/>
        </w:rPr>
        <w:t>2</w:t>
      </w:r>
      <w:r w:rsidR="0094097E" w:rsidRPr="0094097E">
        <w:rPr>
          <w:i/>
        </w:rPr>
        <w:t>.</w:t>
      </w:r>
      <w:r w:rsidR="00981081">
        <w:rPr>
          <w:i/>
        </w:rPr>
        <w:t xml:space="preserve"> </w:t>
      </w:r>
      <w:r w:rsidR="00981081" w:rsidRPr="00674095">
        <w:rPr>
          <w:i/>
        </w:rPr>
        <w:t>–</w:t>
      </w:r>
      <w:r>
        <w:t> Pour l’application d</w:t>
      </w:r>
      <w:r w:rsidR="00E45A17">
        <w:t>u seuil d’un mégawatt mentionné à</w:t>
      </w:r>
      <w:r>
        <w:t xml:space="preserve"> l’article L. 321-17-2, </w:t>
      </w:r>
      <w:r w:rsidR="00320C0F">
        <w:t xml:space="preserve">la puissance </w:t>
      </w:r>
      <w:r w:rsidR="00A761F6">
        <w:t xml:space="preserve">prise en compte est la puissance </w:t>
      </w:r>
      <w:r w:rsidR="00320C0F">
        <w:t xml:space="preserve">installée de l’installation de production </w:t>
      </w:r>
      <w:r w:rsidR="004C7ECC">
        <w:t>d’électricité o</w:t>
      </w:r>
      <w:r w:rsidR="00320C0F">
        <w:t>u de stockage</w:t>
      </w:r>
      <w:r w:rsidR="0039571C">
        <w:t xml:space="preserve">. La puissance installée </w:t>
      </w:r>
      <w:r w:rsidR="00434E36">
        <w:t>s’entend comme</w:t>
      </w:r>
      <w:r w:rsidR="005D3E41">
        <w:t xml:space="preserve"> la somme des </w:t>
      </w:r>
      <w:r w:rsidR="00246970">
        <w:t xml:space="preserve">puissances unitaires maximales des installations de production ou de stockage situées </w:t>
      </w:r>
      <w:r w:rsidR="005D3E41">
        <w:t xml:space="preserve">sur un même site </w:t>
      </w:r>
      <w:r w:rsidR="00246970">
        <w:t xml:space="preserve">et </w:t>
      </w:r>
      <w:r w:rsidR="005D3E41">
        <w:t>capable</w:t>
      </w:r>
      <w:r w:rsidR="00246970">
        <w:t>s</w:t>
      </w:r>
      <w:r w:rsidR="005D3E41">
        <w:t xml:space="preserve"> de fonctionner simultanément</w:t>
      </w:r>
      <w:r w:rsidR="00246970">
        <w:t>,</w:t>
      </w:r>
      <w:r w:rsidR="007A6E90">
        <w:t xml:space="preserve"> tel</w:t>
      </w:r>
      <w:r w:rsidR="00494C2F">
        <w:t>le</w:t>
      </w:r>
      <w:r w:rsidR="007A6E90">
        <w:t xml:space="preserve"> que</w:t>
      </w:r>
      <w:r w:rsidR="0022757B">
        <w:t xml:space="preserve"> </w:t>
      </w:r>
      <w:r w:rsidR="005D3E41">
        <w:t>défini</w:t>
      </w:r>
      <w:r w:rsidR="00494C2F">
        <w:t>e</w:t>
      </w:r>
      <w:r w:rsidR="005D3E41">
        <w:t xml:space="preserve"> à l’article R.311-4 du code de l’énergie.</w:t>
      </w:r>
    </w:p>
    <w:p w14:paraId="64071F5B" w14:textId="77777777" w:rsidR="00F765AD" w:rsidRDefault="00F765AD">
      <w:pPr>
        <w:pStyle w:val="assnatloitexte"/>
        <w:jc w:val="both"/>
      </w:pPr>
    </w:p>
    <w:p w14:paraId="22B6A400" w14:textId="3FA7408E" w:rsidR="00A5715A" w:rsidRDefault="0094097E">
      <w:pPr>
        <w:pStyle w:val="assnatloitexte"/>
        <w:jc w:val="both"/>
      </w:pPr>
      <w:r>
        <w:rPr>
          <w:i/>
        </w:rPr>
        <w:lastRenderedPageBreak/>
        <w:t xml:space="preserve">« Art. </w:t>
      </w:r>
      <w:r w:rsidR="00DA1D8F" w:rsidRPr="0094097E">
        <w:rPr>
          <w:i/>
        </w:rPr>
        <w:t>D. 32</w:t>
      </w:r>
      <w:r w:rsidR="00676F6C">
        <w:rPr>
          <w:i/>
        </w:rPr>
        <w:t>1</w:t>
      </w:r>
      <w:r w:rsidR="00DA1D8F" w:rsidRPr="0094097E">
        <w:rPr>
          <w:i/>
        </w:rPr>
        <w:t>-33</w:t>
      </w:r>
      <w:r w:rsidRPr="0094097E">
        <w:rPr>
          <w:i/>
        </w:rPr>
        <w:t>.</w:t>
      </w:r>
      <w:r w:rsidR="00981081">
        <w:rPr>
          <w:i/>
        </w:rPr>
        <w:t xml:space="preserve"> </w:t>
      </w:r>
      <w:r w:rsidR="00981081" w:rsidRPr="00674095">
        <w:rPr>
          <w:i/>
        </w:rPr>
        <w:t>–</w:t>
      </w:r>
      <w:r>
        <w:t xml:space="preserve"> </w:t>
      </w:r>
      <w:r w:rsidR="001E6F4F">
        <w:t>L’application des</w:t>
      </w:r>
      <w:r w:rsidR="00DA1D8F">
        <w:t xml:space="preserve"> articles D. 32</w:t>
      </w:r>
      <w:r w:rsidR="00A761F6">
        <w:t>1</w:t>
      </w:r>
      <w:r w:rsidR="00DA1D8F">
        <w:t>-25 à D</w:t>
      </w:r>
      <w:r w:rsidR="001E6F4F">
        <w:t>.32</w:t>
      </w:r>
      <w:r w:rsidR="0041059A">
        <w:t>1</w:t>
      </w:r>
      <w:r w:rsidR="001E6F4F">
        <w:t>-32 est limitée à la France métropolitaine continentale.</w:t>
      </w:r>
    </w:p>
    <w:p w14:paraId="28E7CA42" w14:textId="3A7375DC" w:rsidR="00DA1D8F" w:rsidRDefault="00A5715A">
      <w:pPr>
        <w:pStyle w:val="assnatloitexte"/>
        <w:jc w:val="both"/>
      </w:pPr>
      <w:r>
        <w:t xml:space="preserve">«  Pour les installations de combustion classées au titre des </w:t>
      </w:r>
      <w:r w:rsidRPr="00043128">
        <w:t>rubriques 2910 ou 3110</w:t>
      </w:r>
      <w:r>
        <w:t xml:space="preserve"> de la nomenclature des </w:t>
      </w:r>
      <w:r w:rsidRPr="00043128">
        <w:t xml:space="preserve">installations classées pour la protection de l’environnement, </w:t>
      </w:r>
      <w:r>
        <w:t>possédant des moteurs destinés uniquement à alimenter des systèmes de sécurité ou à prendre le relais de l’alimentation principale du site en cas de défaillance accidentelle de celle-ci</w:t>
      </w:r>
      <w:r w:rsidR="00043AC3">
        <w:t xml:space="preserve"> et</w:t>
      </w:r>
      <w:r>
        <w:t xml:space="preserve"> qui ne sont pas exemptées en application de l’article D. 321-30, l</w:t>
      </w:r>
      <w:r w:rsidR="000D3BAA">
        <w:t xml:space="preserve">es dispositions </w:t>
      </w:r>
      <w:r>
        <w:t xml:space="preserve">des articles D. 321-25 à D. 321-32 </w:t>
      </w:r>
      <w:r w:rsidR="000D3BAA">
        <w:t>prévalent sur</w:t>
      </w:r>
      <w:r w:rsidR="004227A2">
        <w:t xml:space="preserve"> les prescriptions </w:t>
      </w:r>
      <w:r w:rsidR="00E42E8C">
        <w:t xml:space="preserve">contenues dans les </w:t>
      </w:r>
      <w:r w:rsidR="004227A2" w:rsidRPr="00043128">
        <w:t>arrêtés ministériels de prescriptions générales</w:t>
      </w:r>
      <w:r w:rsidR="00E42E8C">
        <w:t xml:space="preserve"> applicables,</w:t>
      </w:r>
      <w:r w:rsidR="00043AC3">
        <w:t xml:space="preserve"> sur</w:t>
      </w:r>
      <w:r w:rsidR="00E42E8C">
        <w:t xml:space="preserve"> les arrêtés préfectoraux des installations suscitées et </w:t>
      </w:r>
      <w:r w:rsidR="00043AC3">
        <w:t xml:space="preserve">sur </w:t>
      </w:r>
      <w:r w:rsidR="00E42E8C">
        <w:t xml:space="preserve">les arrêtés préfectoraux pris en application de </w:t>
      </w:r>
      <w:r w:rsidR="00E42E8C" w:rsidRPr="00E42E8C">
        <w:t>l'article R. 222-13 du code de l'environnement</w:t>
      </w:r>
      <w:r w:rsidR="00E42E8C">
        <w:t xml:space="preserve"> </w:t>
      </w:r>
      <w:r w:rsidR="000D3BAA">
        <w:t xml:space="preserve">relatifs aux </w:t>
      </w:r>
      <w:r w:rsidR="000D3BAA" w:rsidRPr="00E42E8C">
        <w:t>plan</w:t>
      </w:r>
      <w:r w:rsidR="000D3BAA">
        <w:t>s</w:t>
      </w:r>
      <w:r w:rsidR="000D3BAA" w:rsidRPr="00E42E8C">
        <w:t xml:space="preserve"> de protection de l'atmosphère</w:t>
      </w:r>
      <w:r>
        <w:t>.</w:t>
      </w:r>
      <w:r w:rsidR="004227A2">
        <w:t> »</w:t>
      </w:r>
    </w:p>
    <w:p w14:paraId="5A674D47" w14:textId="09943B1E" w:rsidR="008F4B85" w:rsidRDefault="00B27DF9" w:rsidP="006860C5">
      <w:pPr>
        <w:pStyle w:val="SNArticle"/>
        <w:rPr>
          <w:bCs/>
        </w:rPr>
      </w:pPr>
      <w:r w:rsidRPr="00836F6E">
        <w:rPr>
          <w:bCs/>
        </w:rPr>
        <w:t xml:space="preserve">Article </w:t>
      </w:r>
      <w:r w:rsidR="002E2FEA">
        <w:rPr>
          <w:bCs/>
        </w:rPr>
        <w:t>2</w:t>
      </w:r>
    </w:p>
    <w:p w14:paraId="16ACA426" w14:textId="5DD45E99" w:rsidR="00C821A1" w:rsidRDefault="002345F4" w:rsidP="00D44D36">
      <w:pPr>
        <w:pStyle w:val="Corpsdetexte"/>
      </w:pPr>
      <w:r>
        <w:t xml:space="preserve">Les dispositions des articles D. 331-29 à D. 331-32 sont applicables pour une durée </w:t>
      </w:r>
      <w:r w:rsidR="00D44D36">
        <w:t>d’</w:t>
      </w:r>
      <w:r>
        <w:t xml:space="preserve">un an à compter de la date de publication du présent décret. </w:t>
      </w:r>
    </w:p>
    <w:p w14:paraId="373DFDAF" w14:textId="77777777" w:rsidR="00A5715A" w:rsidRPr="00C821A1" w:rsidRDefault="00A5715A" w:rsidP="00D44D36">
      <w:pPr>
        <w:pStyle w:val="Corpsdetexte"/>
      </w:pPr>
    </w:p>
    <w:p w14:paraId="2C5429FE" w14:textId="77777777" w:rsidR="00B478D0" w:rsidRDefault="00C821A1" w:rsidP="00B478D0">
      <w:pPr>
        <w:pStyle w:val="SNArticle"/>
        <w:rPr>
          <w:bCs/>
        </w:rPr>
      </w:pPr>
      <w:r w:rsidRPr="00836F6E">
        <w:rPr>
          <w:bCs/>
        </w:rPr>
        <w:t xml:space="preserve">Article </w:t>
      </w:r>
      <w:r>
        <w:rPr>
          <w:bCs/>
        </w:rPr>
        <w:t>3</w:t>
      </w:r>
    </w:p>
    <w:p w14:paraId="69E502BC" w14:textId="289662AC" w:rsidR="00FE3FC3" w:rsidRDefault="00FC70AD" w:rsidP="00BC423E">
      <w:pPr>
        <w:pStyle w:val="Corpsdetexte"/>
      </w:pPr>
      <w:r>
        <w:t>L</w:t>
      </w:r>
      <w:r w:rsidRPr="00836F6E">
        <w:t>a ministre de la transition é</w:t>
      </w:r>
      <w:r>
        <w:t xml:space="preserve">nergétique </w:t>
      </w:r>
      <w:r w:rsidR="00A31277">
        <w:t>est chargée</w:t>
      </w:r>
      <w:r w:rsidR="00FE3FC3">
        <w:t xml:space="preserve"> </w:t>
      </w:r>
      <w:r w:rsidR="00B27DF9" w:rsidRPr="00836F6E">
        <w:t xml:space="preserve">de l’exécution du présent décret, qui sera publié au </w:t>
      </w:r>
      <w:r w:rsidR="00B27DF9" w:rsidRPr="00836F6E">
        <w:rPr>
          <w:i/>
        </w:rPr>
        <w:t>Journal officiel</w:t>
      </w:r>
      <w:r w:rsidR="00B27DF9" w:rsidRPr="00836F6E">
        <w:t xml:space="preserve"> de la République française.</w:t>
      </w:r>
    </w:p>
    <w:p w14:paraId="5E7BDB50" w14:textId="77777777" w:rsidR="00FE3FC3" w:rsidRDefault="00FE3FC3" w:rsidP="00C86340">
      <w:pPr>
        <w:pStyle w:val="Corpsdetexte"/>
      </w:pPr>
    </w:p>
    <w:p w14:paraId="0BF78CCA" w14:textId="77777777" w:rsidR="00EC2F0C" w:rsidRDefault="00FE3FC3" w:rsidP="00C86340">
      <w:pPr>
        <w:pStyle w:val="SNDate"/>
        <w:suppressAutoHyphens w:val="0"/>
        <w:spacing w:after="2280"/>
        <w:jc w:val="both"/>
        <w:rPr>
          <w:lang w:eastAsia="fr-FR"/>
        </w:rPr>
      </w:pPr>
      <w:r>
        <w:rPr>
          <w:lang w:eastAsia="fr-FR"/>
        </w:rPr>
        <w:t>Fait le</w:t>
      </w:r>
    </w:p>
    <w:p w14:paraId="6B1BDEEC" w14:textId="489AD72B" w:rsidR="00FE3FC3" w:rsidRPr="00EC5B99" w:rsidRDefault="00FC682A" w:rsidP="00C86340">
      <w:pPr>
        <w:pStyle w:val="SNDate"/>
        <w:suppressAutoHyphens w:val="0"/>
        <w:spacing w:after="2280"/>
        <w:jc w:val="both"/>
        <w:rPr>
          <w:lang w:eastAsia="fr-FR"/>
        </w:rPr>
      </w:pPr>
      <w:r>
        <w:rPr>
          <w:color w:val="00000A"/>
          <w:lang w:eastAsia="fr-FR"/>
        </w:rPr>
        <w:t>Par la Premiè</w:t>
      </w:r>
      <w:r w:rsidR="00FE3FC3">
        <w:rPr>
          <w:color w:val="00000A"/>
          <w:lang w:eastAsia="fr-FR"/>
        </w:rPr>
        <w:t>r</w:t>
      </w:r>
      <w:r>
        <w:rPr>
          <w:color w:val="00000A"/>
          <w:lang w:eastAsia="fr-FR"/>
        </w:rPr>
        <w:t>e</w:t>
      </w:r>
      <w:r w:rsidR="00FE3FC3">
        <w:rPr>
          <w:color w:val="00000A"/>
          <w:lang w:eastAsia="fr-FR"/>
        </w:rPr>
        <w:t xml:space="preserve"> ministre :</w:t>
      </w:r>
    </w:p>
    <w:p w14:paraId="2743E3B8" w14:textId="01472076" w:rsidR="00FE3FC3" w:rsidRDefault="00D350C7" w:rsidP="00C86340">
      <w:pPr>
        <w:pStyle w:val="SNSignatureGauche"/>
        <w:suppressAutoHyphens w:val="0"/>
        <w:jc w:val="both"/>
        <w:rPr>
          <w:color w:val="00000A"/>
          <w:lang w:eastAsia="fr-FR"/>
        </w:rPr>
      </w:pPr>
      <w:r w:rsidRPr="00D350C7">
        <w:rPr>
          <w:color w:val="00000A"/>
          <w:lang w:eastAsia="fr-FR"/>
        </w:rPr>
        <w:t>La ministre de la transition énergétique,</w:t>
      </w:r>
    </w:p>
    <w:p w14:paraId="2F7F876B" w14:textId="6F07E474" w:rsidR="000D4B0A" w:rsidRPr="000D4B0A" w:rsidRDefault="00D350C7" w:rsidP="00C86340">
      <w:pPr>
        <w:pStyle w:val="SNSignatureprnomnomGauche"/>
        <w:suppressAutoHyphens w:val="0"/>
        <w:jc w:val="both"/>
        <w:rPr>
          <w:lang w:eastAsia="fr-FR"/>
        </w:rPr>
      </w:pPr>
      <w:r w:rsidRPr="00D350C7">
        <w:rPr>
          <w:lang w:eastAsia="fr-FR"/>
        </w:rPr>
        <w:lastRenderedPageBreak/>
        <w:t>Agnès PANNIER-RUNACHER</w:t>
      </w:r>
    </w:p>
    <w:sectPr w:rsidR="000D4B0A" w:rsidRPr="000D4B0A">
      <w:pgSz w:w="11906" w:h="16838"/>
      <w:pgMar w:top="1134" w:right="1418" w:bottom="1418"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8E9C" w16cex:dateUtc="2022-09-27T13:00:00Z"/>
  <w16cex:commentExtensible w16cex:durableId="26DD8AF3" w16cex:dateUtc="2022-09-12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82E75" w16cid:durableId="26DD8E9C"/>
  <w16cid:commentId w16cid:paraId="462D0620" w16cid:durableId="26DD8A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279A" w14:textId="77777777" w:rsidR="00AE46B4" w:rsidRDefault="00AE46B4" w:rsidP="00F355AF">
      <w:r>
        <w:separator/>
      </w:r>
    </w:p>
  </w:endnote>
  <w:endnote w:type="continuationSeparator" w:id="0">
    <w:p w14:paraId="52A404E2" w14:textId="77777777" w:rsidR="00AE46B4" w:rsidRDefault="00AE46B4" w:rsidP="00F3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E47B" w14:textId="77777777" w:rsidR="00AE46B4" w:rsidRDefault="00AE46B4" w:rsidP="00F355AF">
      <w:r>
        <w:separator/>
      </w:r>
    </w:p>
  </w:footnote>
  <w:footnote w:type="continuationSeparator" w:id="0">
    <w:p w14:paraId="3CBAC9D1" w14:textId="77777777" w:rsidR="00AE46B4" w:rsidRDefault="00AE46B4" w:rsidP="00F35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sz w:val="24"/>
        <w:szCs w:val="24"/>
      </w:rPr>
    </w:lvl>
  </w:abstractNum>
  <w:abstractNum w:abstractNumId="2" w15:restartNumberingAfterBreak="0">
    <w:nsid w:val="0894579D"/>
    <w:multiLevelType w:val="multilevel"/>
    <w:tmpl w:val="D43C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834F9"/>
    <w:multiLevelType w:val="hybridMultilevel"/>
    <w:tmpl w:val="A3F691BE"/>
    <w:lvl w:ilvl="0" w:tplc="BFDCE018">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606D6"/>
    <w:multiLevelType w:val="hybridMultilevel"/>
    <w:tmpl w:val="00C28C6E"/>
    <w:lvl w:ilvl="0" w:tplc="C1127D7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FA87839"/>
    <w:multiLevelType w:val="hybridMultilevel"/>
    <w:tmpl w:val="77627AF0"/>
    <w:lvl w:ilvl="0" w:tplc="3BE421B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EA72C6"/>
    <w:multiLevelType w:val="hybridMultilevel"/>
    <w:tmpl w:val="26085E94"/>
    <w:lvl w:ilvl="0" w:tplc="81CACA86">
      <w:start w:val="19"/>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5706F80"/>
    <w:multiLevelType w:val="multilevel"/>
    <w:tmpl w:val="7F545D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16117B"/>
    <w:multiLevelType w:val="hybridMultilevel"/>
    <w:tmpl w:val="D01C4174"/>
    <w:lvl w:ilvl="0" w:tplc="AFAE40E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14841A0"/>
    <w:multiLevelType w:val="hybridMultilevel"/>
    <w:tmpl w:val="C298E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5E37ED"/>
    <w:multiLevelType w:val="hybridMultilevel"/>
    <w:tmpl w:val="66A06A2C"/>
    <w:lvl w:ilvl="0" w:tplc="040C000F">
      <w:start w:val="1"/>
      <w:numFmt w:val="decimal"/>
      <w:lvlText w:val="%1."/>
      <w:lvlJc w:val="left"/>
      <w:pPr>
        <w:ind w:left="1428" w:hanging="360"/>
      </w:pPr>
      <w:rPr>
        <w:rFont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6C320653"/>
    <w:multiLevelType w:val="hybridMultilevel"/>
    <w:tmpl w:val="F4D424C6"/>
    <w:lvl w:ilvl="0" w:tplc="343C50F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222EEC"/>
    <w:multiLevelType w:val="hybridMultilevel"/>
    <w:tmpl w:val="03D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7C3E69"/>
    <w:multiLevelType w:val="hybridMultilevel"/>
    <w:tmpl w:val="07B06786"/>
    <w:lvl w:ilvl="0" w:tplc="438815B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D9E5E89"/>
    <w:multiLevelType w:val="hybridMultilevel"/>
    <w:tmpl w:val="D1006678"/>
    <w:lvl w:ilvl="0" w:tplc="AAE005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4"/>
  </w:num>
  <w:num w:numId="5">
    <w:abstractNumId w:val="8"/>
  </w:num>
  <w:num w:numId="6">
    <w:abstractNumId w:val="6"/>
  </w:num>
  <w:num w:numId="7">
    <w:abstractNumId w:val="10"/>
  </w:num>
  <w:num w:numId="8">
    <w:abstractNumId w:val="4"/>
  </w:num>
  <w:num w:numId="9">
    <w:abstractNumId w:val="11"/>
  </w:num>
  <w:num w:numId="10">
    <w:abstractNumId w:val="12"/>
  </w:num>
  <w:num w:numId="11">
    <w:abstractNumId w:val="5"/>
  </w:num>
  <w:num w:numId="12">
    <w:abstractNumId w:val="13"/>
  </w:num>
  <w:num w:numId="13">
    <w:abstractNumId w:val="9"/>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BF"/>
    <w:rsid w:val="00002B63"/>
    <w:rsid w:val="00004D1E"/>
    <w:rsid w:val="00007714"/>
    <w:rsid w:val="0002522A"/>
    <w:rsid w:val="00027B19"/>
    <w:rsid w:val="00030BC8"/>
    <w:rsid w:val="00037AC6"/>
    <w:rsid w:val="00042007"/>
    <w:rsid w:val="00042891"/>
    <w:rsid w:val="00042F17"/>
    <w:rsid w:val="00043128"/>
    <w:rsid w:val="00043AC3"/>
    <w:rsid w:val="0004499B"/>
    <w:rsid w:val="000477C2"/>
    <w:rsid w:val="00054366"/>
    <w:rsid w:val="000552BF"/>
    <w:rsid w:val="00056306"/>
    <w:rsid w:val="00056594"/>
    <w:rsid w:val="00056781"/>
    <w:rsid w:val="00062236"/>
    <w:rsid w:val="00073316"/>
    <w:rsid w:val="00073E99"/>
    <w:rsid w:val="000748AF"/>
    <w:rsid w:val="000748E3"/>
    <w:rsid w:val="0008654B"/>
    <w:rsid w:val="00090056"/>
    <w:rsid w:val="00090B72"/>
    <w:rsid w:val="00097EF2"/>
    <w:rsid w:val="000B0DBD"/>
    <w:rsid w:val="000B25A0"/>
    <w:rsid w:val="000B4BF5"/>
    <w:rsid w:val="000B528D"/>
    <w:rsid w:val="000B5B54"/>
    <w:rsid w:val="000B6721"/>
    <w:rsid w:val="000C268D"/>
    <w:rsid w:val="000C700A"/>
    <w:rsid w:val="000D0581"/>
    <w:rsid w:val="000D0DCA"/>
    <w:rsid w:val="000D0DE9"/>
    <w:rsid w:val="000D22ED"/>
    <w:rsid w:val="000D2543"/>
    <w:rsid w:val="000D26B7"/>
    <w:rsid w:val="000D3BAA"/>
    <w:rsid w:val="000D47D2"/>
    <w:rsid w:val="000D4B0A"/>
    <w:rsid w:val="000E0E5A"/>
    <w:rsid w:val="000E3020"/>
    <w:rsid w:val="000E4A29"/>
    <w:rsid w:val="000E6557"/>
    <w:rsid w:val="000E6E55"/>
    <w:rsid w:val="000E7347"/>
    <w:rsid w:val="000E7C58"/>
    <w:rsid w:val="000F08C0"/>
    <w:rsid w:val="000F10A5"/>
    <w:rsid w:val="000F1430"/>
    <w:rsid w:val="000F22C2"/>
    <w:rsid w:val="000F3F13"/>
    <w:rsid w:val="000F5389"/>
    <w:rsid w:val="000F704E"/>
    <w:rsid w:val="00101B66"/>
    <w:rsid w:val="001030AB"/>
    <w:rsid w:val="00111402"/>
    <w:rsid w:val="00112E4A"/>
    <w:rsid w:val="00113BA9"/>
    <w:rsid w:val="001251FA"/>
    <w:rsid w:val="00126A2B"/>
    <w:rsid w:val="00131909"/>
    <w:rsid w:val="00131C1E"/>
    <w:rsid w:val="00141F23"/>
    <w:rsid w:val="00145371"/>
    <w:rsid w:val="001460C2"/>
    <w:rsid w:val="001532B6"/>
    <w:rsid w:val="00161085"/>
    <w:rsid w:val="00163223"/>
    <w:rsid w:val="00163AFC"/>
    <w:rsid w:val="0016511B"/>
    <w:rsid w:val="00165E35"/>
    <w:rsid w:val="00177473"/>
    <w:rsid w:val="00180227"/>
    <w:rsid w:val="001809A5"/>
    <w:rsid w:val="001901FA"/>
    <w:rsid w:val="001937DD"/>
    <w:rsid w:val="0019388B"/>
    <w:rsid w:val="001A0711"/>
    <w:rsid w:val="001A2BCA"/>
    <w:rsid w:val="001A569D"/>
    <w:rsid w:val="001A7265"/>
    <w:rsid w:val="001A79A5"/>
    <w:rsid w:val="001B2C91"/>
    <w:rsid w:val="001B2DA8"/>
    <w:rsid w:val="001B56D1"/>
    <w:rsid w:val="001B5847"/>
    <w:rsid w:val="001C0A17"/>
    <w:rsid w:val="001D5FB6"/>
    <w:rsid w:val="001E47F4"/>
    <w:rsid w:val="001E5206"/>
    <w:rsid w:val="001E56EC"/>
    <w:rsid w:val="001E615C"/>
    <w:rsid w:val="001E666F"/>
    <w:rsid w:val="001E6F4F"/>
    <w:rsid w:val="001F3C82"/>
    <w:rsid w:val="001F43C0"/>
    <w:rsid w:val="002018FF"/>
    <w:rsid w:val="002057C2"/>
    <w:rsid w:val="002138C5"/>
    <w:rsid w:val="002203EB"/>
    <w:rsid w:val="00221C60"/>
    <w:rsid w:val="00221CB6"/>
    <w:rsid w:val="00222990"/>
    <w:rsid w:val="0022757B"/>
    <w:rsid w:val="0022760C"/>
    <w:rsid w:val="002345F4"/>
    <w:rsid w:val="0023484F"/>
    <w:rsid w:val="002419E7"/>
    <w:rsid w:val="002431CE"/>
    <w:rsid w:val="00246970"/>
    <w:rsid w:val="00247AD7"/>
    <w:rsid w:val="002502D2"/>
    <w:rsid w:val="00252533"/>
    <w:rsid w:val="00254C95"/>
    <w:rsid w:val="0026038A"/>
    <w:rsid w:val="0027382C"/>
    <w:rsid w:val="00273E94"/>
    <w:rsid w:val="00276451"/>
    <w:rsid w:val="00277340"/>
    <w:rsid w:val="002816F1"/>
    <w:rsid w:val="00282388"/>
    <w:rsid w:val="00283FF3"/>
    <w:rsid w:val="00285070"/>
    <w:rsid w:val="00285770"/>
    <w:rsid w:val="002873FC"/>
    <w:rsid w:val="002879E8"/>
    <w:rsid w:val="002919DB"/>
    <w:rsid w:val="00292DEF"/>
    <w:rsid w:val="00293105"/>
    <w:rsid w:val="002959D3"/>
    <w:rsid w:val="00297A8B"/>
    <w:rsid w:val="002A3B91"/>
    <w:rsid w:val="002A456F"/>
    <w:rsid w:val="002A7436"/>
    <w:rsid w:val="002B25E5"/>
    <w:rsid w:val="002B528C"/>
    <w:rsid w:val="002B53D3"/>
    <w:rsid w:val="002C57AA"/>
    <w:rsid w:val="002C5E47"/>
    <w:rsid w:val="002D4A4F"/>
    <w:rsid w:val="002D4D9B"/>
    <w:rsid w:val="002D6249"/>
    <w:rsid w:val="002E2FEA"/>
    <w:rsid w:val="002E439E"/>
    <w:rsid w:val="002E749C"/>
    <w:rsid w:val="002F4E76"/>
    <w:rsid w:val="002F7AD4"/>
    <w:rsid w:val="00306DBD"/>
    <w:rsid w:val="003110ED"/>
    <w:rsid w:val="0031397F"/>
    <w:rsid w:val="003209EA"/>
    <w:rsid w:val="00320C0F"/>
    <w:rsid w:val="00323000"/>
    <w:rsid w:val="0033007C"/>
    <w:rsid w:val="00333D27"/>
    <w:rsid w:val="0034040A"/>
    <w:rsid w:val="00341A7E"/>
    <w:rsid w:val="00350014"/>
    <w:rsid w:val="00353B99"/>
    <w:rsid w:val="00355FDC"/>
    <w:rsid w:val="00356FE7"/>
    <w:rsid w:val="00360414"/>
    <w:rsid w:val="003605CD"/>
    <w:rsid w:val="00363030"/>
    <w:rsid w:val="00363644"/>
    <w:rsid w:val="00364355"/>
    <w:rsid w:val="003658E6"/>
    <w:rsid w:val="003667C8"/>
    <w:rsid w:val="0036696D"/>
    <w:rsid w:val="00371830"/>
    <w:rsid w:val="00376EDC"/>
    <w:rsid w:val="00377E49"/>
    <w:rsid w:val="00385C45"/>
    <w:rsid w:val="0039214B"/>
    <w:rsid w:val="0039253B"/>
    <w:rsid w:val="00393260"/>
    <w:rsid w:val="003937B1"/>
    <w:rsid w:val="0039571C"/>
    <w:rsid w:val="003964FF"/>
    <w:rsid w:val="003A6DFF"/>
    <w:rsid w:val="003A7BAC"/>
    <w:rsid w:val="003B1ABB"/>
    <w:rsid w:val="003C49EC"/>
    <w:rsid w:val="003C7F39"/>
    <w:rsid w:val="003D468D"/>
    <w:rsid w:val="003D515E"/>
    <w:rsid w:val="003D5317"/>
    <w:rsid w:val="003E0F72"/>
    <w:rsid w:val="003E4A53"/>
    <w:rsid w:val="003F19F2"/>
    <w:rsid w:val="003F1D28"/>
    <w:rsid w:val="003F5281"/>
    <w:rsid w:val="004007DA"/>
    <w:rsid w:val="00403631"/>
    <w:rsid w:val="00404439"/>
    <w:rsid w:val="00407F20"/>
    <w:rsid w:val="0041059A"/>
    <w:rsid w:val="004227A2"/>
    <w:rsid w:val="00434E36"/>
    <w:rsid w:val="00435624"/>
    <w:rsid w:val="0043735E"/>
    <w:rsid w:val="00440144"/>
    <w:rsid w:val="00441FA4"/>
    <w:rsid w:val="00442980"/>
    <w:rsid w:val="00442F9C"/>
    <w:rsid w:val="004473BF"/>
    <w:rsid w:val="0045046C"/>
    <w:rsid w:val="00452C52"/>
    <w:rsid w:val="004547E0"/>
    <w:rsid w:val="00464608"/>
    <w:rsid w:val="00465A5F"/>
    <w:rsid w:val="00466CF1"/>
    <w:rsid w:val="00467823"/>
    <w:rsid w:val="00471640"/>
    <w:rsid w:val="0047590D"/>
    <w:rsid w:val="0048457F"/>
    <w:rsid w:val="00486BE7"/>
    <w:rsid w:val="004947E1"/>
    <w:rsid w:val="00494C2F"/>
    <w:rsid w:val="00497949"/>
    <w:rsid w:val="004A2103"/>
    <w:rsid w:val="004A3802"/>
    <w:rsid w:val="004A43F2"/>
    <w:rsid w:val="004A7554"/>
    <w:rsid w:val="004A75C6"/>
    <w:rsid w:val="004A7605"/>
    <w:rsid w:val="004B0B59"/>
    <w:rsid w:val="004B17EC"/>
    <w:rsid w:val="004B3515"/>
    <w:rsid w:val="004B36A0"/>
    <w:rsid w:val="004C0897"/>
    <w:rsid w:val="004C5489"/>
    <w:rsid w:val="004C677F"/>
    <w:rsid w:val="004C7ECC"/>
    <w:rsid w:val="004D43FA"/>
    <w:rsid w:val="004D578D"/>
    <w:rsid w:val="004D5BD3"/>
    <w:rsid w:val="004D600B"/>
    <w:rsid w:val="004F4B99"/>
    <w:rsid w:val="004F657B"/>
    <w:rsid w:val="004F7B59"/>
    <w:rsid w:val="005000B1"/>
    <w:rsid w:val="00503F9A"/>
    <w:rsid w:val="0050609D"/>
    <w:rsid w:val="00507004"/>
    <w:rsid w:val="005075EB"/>
    <w:rsid w:val="00513A3E"/>
    <w:rsid w:val="00514136"/>
    <w:rsid w:val="00517055"/>
    <w:rsid w:val="00517A6F"/>
    <w:rsid w:val="00524593"/>
    <w:rsid w:val="00526C15"/>
    <w:rsid w:val="005276CB"/>
    <w:rsid w:val="00532EF3"/>
    <w:rsid w:val="005420D6"/>
    <w:rsid w:val="00546E9B"/>
    <w:rsid w:val="005565C9"/>
    <w:rsid w:val="00557CD7"/>
    <w:rsid w:val="00560AC0"/>
    <w:rsid w:val="005623FF"/>
    <w:rsid w:val="00566C65"/>
    <w:rsid w:val="00571F3B"/>
    <w:rsid w:val="0057393A"/>
    <w:rsid w:val="00573FCD"/>
    <w:rsid w:val="00574304"/>
    <w:rsid w:val="00577CAB"/>
    <w:rsid w:val="00582B0C"/>
    <w:rsid w:val="005830AF"/>
    <w:rsid w:val="00583269"/>
    <w:rsid w:val="0058555F"/>
    <w:rsid w:val="00594118"/>
    <w:rsid w:val="0059587B"/>
    <w:rsid w:val="005964A3"/>
    <w:rsid w:val="00596885"/>
    <w:rsid w:val="00596A68"/>
    <w:rsid w:val="00596D8A"/>
    <w:rsid w:val="005A1A78"/>
    <w:rsid w:val="005A7563"/>
    <w:rsid w:val="005B0CDA"/>
    <w:rsid w:val="005B5A96"/>
    <w:rsid w:val="005B7309"/>
    <w:rsid w:val="005C27D2"/>
    <w:rsid w:val="005C55EA"/>
    <w:rsid w:val="005C5C40"/>
    <w:rsid w:val="005C68AA"/>
    <w:rsid w:val="005D0D7D"/>
    <w:rsid w:val="005D13F3"/>
    <w:rsid w:val="005D21FE"/>
    <w:rsid w:val="005D29BA"/>
    <w:rsid w:val="005D3E41"/>
    <w:rsid w:val="005D6F1E"/>
    <w:rsid w:val="005D7F71"/>
    <w:rsid w:val="005E65C4"/>
    <w:rsid w:val="005F3910"/>
    <w:rsid w:val="00610660"/>
    <w:rsid w:val="0061141D"/>
    <w:rsid w:val="0061632B"/>
    <w:rsid w:val="006169CC"/>
    <w:rsid w:val="0062091A"/>
    <w:rsid w:val="00622BEA"/>
    <w:rsid w:val="00622E31"/>
    <w:rsid w:val="006323C6"/>
    <w:rsid w:val="00647FDE"/>
    <w:rsid w:val="00650D3C"/>
    <w:rsid w:val="00652FD6"/>
    <w:rsid w:val="00653E45"/>
    <w:rsid w:val="00654C02"/>
    <w:rsid w:val="006553A6"/>
    <w:rsid w:val="00655D7D"/>
    <w:rsid w:val="00656EEB"/>
    <w:rsid w:val="00662603"/>
    <w:rsid w:val="00662B3E"/>
    <w:rsid w:val="006656B8"/>
    <w:rsid w:val="00674095"/>
    <w:rsid w:val="006754F1"/>
    <w:rsid w:val="00676F6C"/>
    <w:rsid w:val="006770EA"/>
    <w:rsid w:val="0068553A"/>
    <w:rsid w:val="006860C5"/>
    <w:rsid w:val="006925C4"/>
    <w:rsid w:val="006927C2"/>
    <w:rsid w:val="00693AB0"/>
    <w:rsid w:val="006A1475"/>
    <w:rsid w:val="006A5AD0"/>
    <w:rsid w:val="006A5DF7"/>
    <w:rsid w:val="006A6967"/>
    <w:rsid w:val="006B1F21"/>
    <w:rsid w:val="006B41E3"/>
    <w:rsid w:val="006C5D34"/>
    <w:rsid w:val="006D007C"/>
    <w:rsid w:val="006D7710"/>
    <w:rsid w:val="006E0F08"/>
    <w:rsid w:val="006E145A"/>
    <w:rsid w:val="006E4556"/>
    <w:rsid w:val="006E5B72"/>
    <w:rsid w:val="006E7EE0"/>
    <w:rsid w:val="006F4DF0"/>
    <w:rsid w:val="006F65EB"/>
    <w:rsid w:val="007005FD"/>
    <w:rsid w:val="00704BB0"/>
    <w:rsid w:val="00705A7B"/>
    <w:rsid w:val="007074BB"/>
    <w:rsid w:val="00715CB6"/>
    <w:rsid w:val="007276B3"/>
    <w:rsid w:val="00731288"/>
    <w:rsid w:val="00731467"/>
    <w:rsid w:val="0073184C"/>
    <w:rsid w:val="00732CDA"/>
    <w:rsid w:val="00733A68"/>
    <w:rsid w:val="00743AD4"/>
    <w:rsid w:val="00747242"/>
    <w:rsid w:val="0075308F"/>
    <w:rsid w:val="00753BCB"/>
    <w:rsid w:val="007573F2"/>
    <w:rsid w:val="00765353"/>
    <w:rsid w:val="00767305"/>
    <w:rsid w:val="0077311A"/>
    <w:rsid w:val="00782A92"/>
    <w:rsid w:val="00783CAE"/>
    <w:rsid w:val="00787104"/>
    <w:rsid w:val="007909CE"/>
    <w:rsid w:val="007A6E90"/>
    <w:rsid w:val="007B14C1"/>
    <w:rsid w:val="007B35F8"/>
    <w:rsid w:val="007B4CB4"/>
    <w:rsid w:val="007C0302"/>
    <w:rsid w:val="007C08B4"/>
    <w:rsid w:val="007C342D"/>
    <w:rsid w:val="007C7763"/>
    <w:rsid w:val="007D72E0"/>
    <w:rsid w:val="007D7B56"/>
    <w:rsid w:val="007E3A7F"/>
    <w:rsid w:val="007E4187"/>
    <w:rsid w:val="007E5F58"/>
    <w:rsid w:val="007F1D61"/>
    <w:rsid w:val="007F3F9C"/>
    <w:rsid w:val="007F65FE"/>
    <w:rsid w:val="00801749"/>
    <w:rsid w:val="00802E33"/>
    <w:rsid w:val="00805D36"/>
    <w:rsid w:val="008061F9"/>
    <w:rsid w:val="00814BE3"/>
    <w:rsid w:val="00816349"/>
    <w:rsid w:val="00817464"/>
    <w:rsid w:val="00823885"/>
    <w:rsid w:val="00823E1A"/>
    <w:rsid w:val="00825586"/>
    <w:rsid w:val="00832280"/>
    <w:rsid w:val="00833DB2"/>
    <w:rsid w:val="008350F2"/>
    <w:rsid w:val="00836384"/>
    <w:rsid w:val="00836F6E"/>
    <w:rsid w:val="00844B73"/>
    <w:rsid w:val="008464B7"/>
    <w:rsid w:val="00852E6C"/>
    <w:rsid w:val="008572FE"/>
    <w:rsid w:val="00860A37"/>
    <w:rsid w:val="00864032"/>
    <w:rsid w:val="00871904"/>
    <w:rsid w:val="00890FF0"/>
    <w:rsid w:val="008916E9"/>
    <w:rsid w:val="00891801"/>
    <w:rsid w:val="00896501"/>
    <w:rsid w:val="00897090"/>
    <w:rsid w:val="008A2CA4"/>
    <w:rsid w:val="008A3287"/>
    <w:rsid w:val="008A3763"/>
    <w:rsid w:val="008B008A"/>
    <w:rsid w:val="008B664E"/>
    <w:rsid w:val="008C56A4"/>
    <w:rsid w:val="008C63FE"/>
    <w:rsid w:val="008D00C7"/>
    <w:rsid w:val="008D56A8"/>
    <w:rsid w:val="008F4B85"/>
    <w:rsid w:val="009027B6"/>
    <w:rsid w:val="009047E8"/>
    <w:rsid w:val="00905C94"/>
    <w:rsid w:val="009079B9"/>
    <w:rsid w:val="00913A97"/>
    <w:rsid w:val="00913BDE"/>
    <w:rsid w:val="00933546"/>
    <w:rsid w:val="00935429"/>
    <w:rsid w:val="00935EC7"/>
    <w:rsid w:val="0094097E"/>
    <w:rsid w:val="00946A8F"/>
    <w:rsid w:val="00952936"/>
    <w:rsid w:val="00956E1A"/>
    <w:rsid w:val="00957C1E"/>
    <w:rsid w:val="00966FE4"/>
    <w:rsid w:val="00973088"/>
    <w:rsid w:val="00981081"/>
    <w:rsid w:val="00981AED"/>
    <w:rsid w:val="009838C1"/>
    <w:rsid w:val="009A1AAA"/>
    <w:rsid w:val="009A3D09"/>
    <w:rsid w:val="009A3F1A"/>
    <w:rsid w:val="009A4881"/>
    <w:rsid w:val="009B26CD"/>
    <w:rsid w:val="009B2D0C"/>
    <w:rsid w:val="009B43F2"/>
    <w:rsid w:val="009B587D"/>
    <w:rsid w:val="009C0CAC"/>
    <w:rsid w:val="009C106F"/>
    <w:rsid w:val="009C3A75"/>
    <w:rsid w:val="009C483A"/>
    <w:rsid w:val="009C51B8"/>
    <w:rsid w:val="009D3B62"/>
    <w:rsid w:val="009D7471"/>
    <w:rsid w:val="009E50CB"/>
    <w:rsid w:val="00A06980"/>
    <w:rsid w:val="00A073A9"/>
    <w:rsid w:val="00A076E9"/>
    <w:rsid w:val="00A12BE0"/>
    <w:rsid w:val="00A14AAE"/>
    <w:rsid w:val="00A1618B"/>
    <w:rsid w:val="00A21DB8"/>
    <w:rsid w:val="00A21F9B"/>
    <w:rsid w:val="00A23751"/>
    <w:rsid w:val="00A239AD"/>
    <w:rsid w:val="00A23C3B"/>
    <w:rsid w:val="00A23F21"/>
    <w:rsid w:val="00A27A61"/>
    <w:rsid w:val="00A31277"/>
    <w:rsid w:val="00A3227A"/>
    <w:rsid w:val="00A32A29"/>
    <w:rsid w:val="00A357DB"/>
    <w:rsid w:val="00A361D0"/>
    <w:rsid w:val="00A3762E"/>
    <w:rsid w:val="00A41286"/>
    <w:rsid w:val="00A51E67"/>
    <w:rsid w:val="00A5715A"/>
    <w:rsid w:val="00A60759"/>
    <w:rsid w:val="00A628F4"/>
    <w:rsid w:val="00A636E8"/>
    <w:rsid w:val="00A642EF"/>
    <w:rsid w:val="00A73012"/>
    <w:rsid w:val="00A75EC8"/>
    <w:rsid w:val="00A761F6"/>
    <w:rsid w:val="00A769D4"/>
    <w:rsid w:val="00A80806"/>
    <w:rsid w:val="00A8254F"/>
    <w:rsid w:val="00A82E92"/>
    <w:rsid w:val="00A83C90"/>
    <w:rsid w:val="00A9524F"/>
    <w:rsid w:val="00A95E8A"/>
    <w:rsid w:val="00AB4694"/>
    <w:rsid w:val="00AB5992"/>
    <w:rsid w:val="00AB6A6F"/>
    <w:rsid w:val="00AC070F"/>
    <w:rsid w:val="00AC2D15"/>
    <w:rsid w:val="00AC3D8A"/>
    <w:rsid w:val="00AC5851"/>
    <w:rsid w:val="00AD0690"/>
    <w:rsid w:val="00AD16CD"/>
    <w:rsid w:val="00AD3917"/>
    <w:rsid w:val="00AD3DF3"/>
    <w:rsid w:val="00AD42C3"/>
    <w:rsid w:val="00AD5086"/>
    <w:rsid w:val="00AD7FC0"/>
    <w:rsid w:val="00AE46B4"/>
    <w:rsid w:val="00AE6702"/>
    <w:rsid w:val="00AE6A62"/>
    <w:rsid w:val="00AF6ED0"/>
    <w:rsid w:val="00AF784E"/>
    <w:rsid w:val="00B0041A"/>
    <w:rsid w:val="00B01351"/>
    <w:rsid w:val="00B03420"/>
    <w:rsid w:val="00B04AB7"/>
    <w:rsid w:val="00B05406"/>
    <w:rsid w:val="00B10F89"/>
    <w:rsid w:val="00B13FF6"/>
    <w:rsid w:val="00B17A30"/>
    <w:rsid w:val="00B27DF9"/>
    <w:rsid w:val="00B35C30"/>
    <w:rsid w:val="00B35E06"/>
    <w:rsid w:val="00B3798C"/>
    <w:rsid w:val="00B43317"/>
    <w:rsid w:val="00B4761B"/>
    <w:rsid w:val="00B478D0"/>
    <w:rsid w:val="00B5773E"/>
    <w:rsid w:val="00B6221B"/>
    <w:rsid w:val="00B64835"/>
    <w:rsid w:val="00B65B09"/>
    <w:rsid w:val="00B7584A"/>
    <w:rsid w:val="00B9034D"/>
    <w:rsid w:val="00B93456"/>
    <w:rsid w:val="00B946CE"/>
    <w:rsid w:val="00B97221"/>
    <w:rsid w:val="00BA3066"/>
    <w:rsid w:val="00BA34D0"/>
    <w:rsid w:val="00BA41A6"/>
    <w:rsid w:val="00BA5A97"/>
    <w:rsid w:val="00BB4351"/>
    <w:rsid w:val="00BB6C66"/>
    <w:rsid w:val="00BC0A39"/>
    <w:rsid w:val="00BC1675"/>
    <w:rsid w:val="00BC1764"/>
    <w:rsid w:val="00BC423E"/>
    <w:rsid w:val="00BD32C4"/>
    <w:rsid w:val="00BE1FD2"/>
    <w:rsid w:val="00BE4043"/>
    <w:rsid w:val="00BF1365"/>
    <w:rsid w:val="00BF1CB0"/>
    <w:rsid w:val="00BF41AC"/>
    <w:rsid w:val="00BF4362"/>
    <w:rsid w:val="00C00D8A"/>
    <w:rsid w:val="00C00F72"/>
    <w:rsid w:val="00C05F7B"/>
    <w:rsid w:val="00C1249A"/>
    <w:rsid w:val="00C154B3"/>
    <w:rsid w:val="00C15888"/>
    <w:rsid w:val="00C15A47"/>
    <w:rsid w:val="00C1788A"/>
    <w:rsid w:val="00C17D0F"/>
    <w:rsid w:val="00C21403"/>
    <w:rsid w:val="00C27D51"/>
    <w:rsid w:val="00C27E32"/>
    <w:rsid w:val="00C31D65"/>
    <w:rsid w:val="00C34D5C"/>
    <w:rsid w:val="00C36AD4"/>
    <w:rsid w:val="00C41FAC"/>
    <w:rsid w:val="00C431F4"/>
    <w:rsid w:val="00C473FB"/>
    <w:rsid w:val="00C569E7"/>
    <w:rsid w:val="00C6071F"/>
    <w:rsid w:val="00C6245B"/>
    <w:rsid w:val="00C631F7"/>
    <w:rsid w:val="00C70B1C"/>
    <w:rsid w:val="00C715A5"/>
    <w:rsid w:val="00C726AD"/>
    <w:rsid w:val="00C747E9"/>
    <w:rsid w:val="00C75BF0"/>
    <w:rsid w:val="00C769F4"/>
    <w:rsid w:val="00C77401"/>
    <w:rsid w:val="00C801CB"/>
    <w:rsid w:val="00C821A1"/>
    <w:rsid w:val="00C86340"/>
    <w:rsid w:val="00CB204E"/>
    <w:rsid w:val="00CC66A5"/>
    <w:rsid w:val="00CD2847"/>
    <w:rsid w:val="00CD3E97"/>
    <w:rsid w:val="00CD5AC3"/>
    <w:rsid w:val="00CE48C3"/>
    <w:rsid w:val="00CE5F52"/>
    <w:rsid w:val="00CE7F59"/>
    <w:rsid w:val="00CF1684"/>
    <w:rsid w:val="00D0018B"/>
    <w:rsid w:val="00D02F86"/>
    <w:rsid w:val="00D1090C"/>
    <w:rsid w:val="00D14716"/>
    <w:rsid w:val="00D17C37"/>
    <w:rsid w:val="00D24678"/>
    <w:rsid w:val="00D25EEC"/>
    <w:rsid w:val="00D31BD3"/>
    <w:rsid w:val="00D34F45"/>
    <w:rsid w:val="00D350C7"/>
    <w:rsid w:val="00D44D36"/>
    <w:rsid w:val="00D5022F"/>
    <w:rsid w:val="00D52C55"/>
    <w:rsid w:val="00D60901"/>
    <w:rsid w:val="00D66A9D"/>
    <w:rsid w:val="00D673AF"/>
    <w:rsid w:val="00D67DE6"/>
    <w:rsid w:val="00D7115B"/>
    <w:rsid w:val="00D72A4C"/>
    <w:rsid w:val="00D77477"/>
    <w:rsid w:val="00D80D11"/>
    <w:rsid w:val="00D81D40"/>
    <w:rsid w:val="00D8415A"/>
    <w:rsid w:val="00D9497C"/>
    <w:rsid w:val="00D961EC"/>
    <w:rsid w:val="00DA0446"/>
    <w:rsid w:val="00DA1D8F"/>
    <w:rsid w:val="00DA7533"/>
    <w:rsid w:val="00DB1305"/>
    <w:rsid w:val="00DB1B1E"/>
    <w:rsid w:val="00DB4675"/>
    <w:rsid w:val="00DB66DC"/>
    <w:rsid w:val="00DB6BEC"/>
    <w:rsid w:val="00DC7B21"/>
    <w:rsid w:val="00DD5401"/>
    <w:rsid w:val="00DE1421"/>
    <w:rsid w:val="00DE7C52"/>
    <w:rsid w:val="00DF1554"/>
    <w:rsid w:val="00DF1640"/>
    <w:rsid w:val="00E04256"/>
    <w:rsid w:val="00E10AD3"/>
    <w:rsid w:val="00E13F6E"/>
    <w:rsid w:val="00E1765F"/>
    <w:rsid w:val="00E17D0A"/>
    <w:rsid w:val="00E249CD"/>
    <w:rsid w:val="00E3124B"/>
    <w:rsid w:val="00E42E8C"/>
    <w:rsid w:val="00E45A17"/>
    <w:rsid w:val="00E552D8"/>
    <w:rsid w:val="00E552F7"/>
    <w:rsid w:val="00E55FEF"/>
    <w:rsid w:val="00E56139"/>
    <w:rsid w:val="00E56503"/>
    <w:rsid w:val="00E67F1D"/>
    <w:rsid w:val="00E73070"/>
    <w:rsid w:val="00E76193"/>
    <w:rsid w:val="00E770BD"/>
    <w:rsid w:val="00E81F84"/>
    <w:rsid w:val="00E82715"/>
    <w:rsid w:val="00E83379"/>
    <w:rsid w:val="00E84DFD"/>
    <w:rsid w:val="00E968FE"/>
    <w:rsid w:val="00E96DEF"/>
    <w:rsid w:val="00EA25C7"/>
    <w:rsid w:val="00EB100F"/>
    <w:rsid w:val="00EB69A0"/>
    <w:rsid w:val="00EC0BB1"/>
    <w:rsid w:val="00EC2B64"/>
    <w:rsid w:val="00EC2F0C"/>
    <w:rsid w:val="00EC4554"/>
    <w:rsid w:val="00EC5B99"/>
    <w:rsid w:val="00ED27B1"/>
    <w:rsid w:val="00ED4662"/>
    <w:rsid w:val="00ED4B8F"/>
    <w:rsid w:val="00EE354A"/>
    <w:rsid w:val="00EE76F7"/>
    <w:rsid w:val="00EF18EF"/>
    <w:rsid w:val="00EF385F"/>
    <w:rsid w:val="00EF4BD5"/>
    <w:rsid w:val="00F02B9D"/>
    <w:rsid w:val="00F02D76"/>
    <w:rsid w:val="00F031A6"/>
    <w:rsid w:val="00F04657"/>
    <w:rsid w:val="00F061EA"/>
    <w:rsid w:val="00F109EC"/>
    <w:rsid w:val="00F155FC"/>
    <w:rsid w:val="00F25161"/>
    <w:rsid w:val="00F27BF8"/>
    <w:rsid w:val="00F34B21"/>
    <w:rsid w:val="00F355AF"/>
    <w:rsid w:val="00F36113"/>
    <w:rsid w:val="00F37FC4"/>
    <w:rsid w:val="00F403F6"/>
    <w:rsid w:val="00F40804"/>
    <w:rsid w:val="00F4143E"/>
    <w:rsid w:val="00F44EB3"/>
    <w:rsid w:val="00F4598E"/>
    <w:rsid w:val="00F504E1"/>
    <w:rsid w:val="00F5126F"/>
    <w:rsid w:val="00F55442"/>
    <w:rsid w:val="00F61CCD"/>
    <w:rsid w:val="00F62E23"/>
    <w:rsid w:val="00F66F88"/>
    <w:rsid w:val="00F703DC"/>
    <w:rsid w:val="00F75516"/>
    <w:rsid w:val="00F765AD"/>
    <w:rsid w:val="00F76C5C"/>
    <w:rsid w:val="00F83F71"/>
    <w:rsid w:val="00F9504D"/>
    <w:rsid w:val="00FA7FC7"/>
    <w:rsid w:val="00FB2E96"/>
    <w:rsid w:val="00FB2F76"/>
    <w:rsid w:val="00FC1E73"/>
    <w:rsid w:val="00FC682A"/>
    <w:rsid w:val="00FC70AD"/>
    <w:rsid w:val="00FC7DDE"/>
    <w:rsid w:val="00FD0075"/>
    <w:rsid w:val="00FD0C7A"/>
    <w:rsid w:val="00FD67B8"/>
    <w:rsid w:val="00FE16AB"/>
    <w:rsid w:val="00FE3FC3"/>
    <w:rsid w:val="00FE61D6"/>
    <w:rsid w:val="00FE6CA1"/>
    <w:rsid w:val="00FE73FE"/>
    <w:rsid w:val="00FF1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39756D3"/>
  <w15:chartTrackingRefBased/>
  <w15:docId w15:val="{AFBF028E-A436-4783-8E9B-4FA148C4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jc w:val="center"/>
      <w:outlineLvl w:val="0"/>
    </w:pPr>
    <w:rPr>
      <w:rFonts w:cs="Arial"/>
      <w:bCs/>
      <w:caps/>
      <w:kern w:val="1"/>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paragraph" w:styleId="Titre4">
    <w:name w:val="heading 4"/>
    <w:basedOn w:val="Normal"/>
    <w:next w:val="Normal"/>
    <w:link w:val="Titre4Car"/>
    <w:uiPriority w:val="9"/>
    <w:unhideWhenUsed/>
    <w:qFormat/>
    <w:rsid w:val="00F62E2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Policepardfaut3">
    <w:name w:val="Police par défaut3"/>
  </w:style>
  <w:style w:type="character" w:customStyle="1" w:styleId="Policepardfaut2">
    <w:name w:val="Police par défaut2"/>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Policepardfaut1">
    <w:name w:val="Police par défaut1"/>
  </w:style>
  <w:style w:type="character" w:customStyle="1" w:styleId="SNTimbreCar">
    <w:name w:val="SNTimbre Car"/>
    <w:rPr>
      <w:rFonts w:eastAsia="Lucida Sans Unicode"/>
      <w:sz w:val="24"/>
      <w:szCs w:val="24"/>
      <w:lang w:val="fr-FR" w:bidi="ar-SA"/>
    </w:rPr>
  </w:style>
  <w:style w:type="character" w:customStyle="1" w:styleId="SNDateCar">
    <w:name w:val="SNDate Car"/>
    <w:rPr>
      <w:sz w:val="24"/>
      <w:szCs w:val="24"/>
      <w:lang w:val="fr-FR" w:bidi="ar-SA"/>
    </w:rPr>
  </w:style>
  <w:style w:type="character" w:customStyle="1" w:styleId="SNArticleCar">
    <w:name w:val="SNArticle Car"/>
    <w:rPr>
      <w:b/>
      <w:sz w:val="24"/>
      <w:szCs w:val="24"/>
      <w:lang w:val="fr-FR" w:bidi="ar-SA"/>
    </w:rPr>
  </w:style>
  <w:style w:type="character" w:customStyle="1" w:styleId="SNenProjet">
    <w:name w:val="SNenProjet"/>
    <w:basedOn w:val="Policepardfaut1"/>
  </w:style>
  <w:style w:type="character" w:customStyle="1" w:styleId="Marquedecommentaire1">
    <w:name w:val="Marque de commentaire1"/>
    <w:rPr>
      <w:sz w:val="16"/>
      <w:szCs w:val="16"/>
    </w:rPr>
  </w:style>
  <w:style w:type="character" w:customStyle="1" w:styleId="CommentaireCar">
    <w:name w:val="Commentaire Car"/>
    <w:uiPriority w:val="99"/>
    <w:rPr>
      <w:rFonts w:ascii="Calibri" w:eastAsia="Calibri" w:hAnsi="Calibri" w:cs="Calibri"/>
    </w:rPr>
  </w:style>
  <w:style w:type="character" w:customStyle="1" w:styleId="ObjetducommentaireCar">
    <w:name w:val="Objet du commentaire Car"/>
    <w:rPr>
      <w:rFonts w:ascii="Calibri" w:eastAsia="Calibri" w:hAnsi="Calibri" w:cs="Calibri"/>
      <w:b/>
      <w:bCs/>
      <w:lang w:eastAsia="zh-CN"/>
    </w:rPr>
  </w:style>
  <w:style w:type="paragraph" w:customStyle="1" w:styleId="Titre30">
    <w:name w:val="Titre3"/>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jc w:val="both"/>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pPr>
      <w:jc w:val="center"/>
    </w:pPr>
    <w:rPr>
      <w:b/>
      <w:bCs/>
      <w:szCs w:val="20"/>
    </w:r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SignatureDroite">
    <w:name w:val="SNSignatureDroite"/>
    <w:basedOn w:val="Normal"/>
    <w:next w:val="SNSignatureprnomnomDroite"/>
    <w:pPr>
      <w:spacing w:before="120" w:after="1680"/>
      <w:ind w:left="5040"/>
      <w:jc w:val="right"/>
    </w:pPr>
    <w:rPr>
      <w:color w:val="000000"/>
    </w:rPr>
  </w:style>
  <w:style w:type="paragraph" w:customStyle="1" w:styleId="SNSignatureprnomnomDroite">
    <w:name w:val="SNSignature prénom+nom Droite"/>
    <w:basedOn w:val="SNSignatureDroite"/>
    <w:next w:val="SNSignatureGauche"/>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pPr>
      <w:spacing w:after="120"/>
    </w:pPr>
    <w:rPr>
      <w:color w:val="000000"/>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
    <w:name w:val="SNDate"/>
    <w:basedOn w:val="Normal"/>
    <w:next w:val="SNContreseing"/>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ListePrincipale">
    <w:name w:val="SNListePrincipale"/>
    <w:basedOn w:val="Normal"/>
  </w:style>
  <w:style w:type="paragraph" w:customStyle="1" w:styleId="SNIntitul">
    <w:name w:val="SNIntitulé"/>
    <w:basedOn w:val="Normal"/>
    <w:pPr>
      <w:jc w:val="center"/>
    </w:pPr>
  </w:style>
  <w:style w:type="paragraph" w:customStyle="1" w:styleId="SNTitreRapport">
    <w:name w:val="SNTitreRapport"/>
    <w:basedOn w:val="SNActe"/>
  </w:style>
  <w:style w:type="paragraph" w:customStyle="1" w:styleId="SNExcution">
    <w:name w:val="SNExécution"/>
    <w:basedOn w:val="Normal"/>
  </w:style>
  <w:style w:type="paragraph" w:customStyle="1" w:styleId="SNAdoption">
    <w:name w:val="SNAdoption"/>
    <w:basedOn w:val="Normal"/>
  </w:style>
  <w:style w:type="paragraph" w:customStyle="1" w:styleId="SNLibell">
    <w:name w:val="SNLibellé"/>
    <w:basedOn w:val="Normal"/>
  </w:style>
  <w:style w:type="paragraph" w:styleId="Textedebulles">
    <w:name w:val="Balloon Text"/>
    <w:basedOn w:val="Normal"/>
    <w:rPr>
      <w:rFonts w:ascii="Tahoma" w:hAnsi="Tahoma" w:cs="Tahoma"/>
      <w:sz w:val="16"/>
      <w:szCs w:val="16"/>
    </w:rPr>
  </w:style>
  <w:style w:type="paragraph" w:customStyle="1" w:styleId="Titre1objet">
    <w:name w:val="Titre 1 objet"/>
    <w:basedOn w:val="Titre1"/>
    <w:pPr>
      <w:numPr>
        <w:numId w:val="0"/>
      </w:numPr>
      <w:spacing w:before="0" w:after="120"/>
    </w:pPr>
    <w:rPr>
      <w:b/>
    </w:rPr>
  </w:style>
  <w:style w:type="paragraph" w:customStyle="1" w:styleId="Titre2objet">
    <w:name w:val="Titre 2 objet"/>
    <w:basedOn w:val="Titre2"/>
    <w:next w:val="Normal"/>
    <w:pPr>
      <w:numPr>
        <w:ilvl w:val="0"/>
        <w:numId w:val="0"/>
      </w:numPr>
      <w:spacing w:before="0" w:after="120"/>
    </w:pPr>
    <w:rPr>
      <w:b/>
    </w:rPr>
  </w:style>
  <w:style w:type="paragraph" w:customStyle="1" w:styleId="titre3objet">
    <w:name w:val="titre 3 objet"/>
    <w:basedOn w:val="Titre3"/>
    <w:next w:val="Normal"/>
    <w:pPr>
      <w:numPr>
        <w:ilvl w:val="0"/>
        <w:numId w:val="0"/>
      </w:numPr>
      <w:spacing w:before="0" w:after="120"/>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pPr>
      <w:suppressAutoHyphens w:val="0"/>
      <w:spacing w:after="160" w:line="254" w:lineRule="auto"/>
      <w:ind w:left="720"/>
      <w:contextualSpacing/>
    </w:pPr>
    <w:rPr>
      <w:rFonts w:ascii="Calibri" w:eastAsia="Calibri" w:hAnsi="Calibri"/>
      <w:sz w:val="22"/>
      <w:szCs w:val="22"/>
    </w:rPr>
  </w:style>
  <w:style w:type="paragraph" w:customStyle="1" w:styleId="Commentaire1">
    <w:name w:val="Commentaire1"/>
    <w:basedOn w:val="Normal"/>
    <w:pPr>
      <w:suppressAutoHyphens w:val="0"/>
      <w:spacing w:after="160"/>
    </w:pPr>
    <w:rPr>
      <w:rFonts w:ascii="Calibri" w:eastAsia="Calibri" w:hAnsi="Calibri"/>
      <w:sz w:val="20"/>
      <w:szCs w:val="20"/>
    </w:rPr>
  </w:style>
  <w:style w:type="paragraph" w:styleId="Objetducommentaire">
    <w:name w:val="annotation subject"/>
    <w:basedOn w:val="Commentaire1"/>
    <w:next w:val="Commentaire1"/>
    <w:pPr>
      <w:suppressAutoHyphens/>
      <w:spacing w:after="0"/>
    </w:pPr>
    <w:rPr>
      <w:rFonts w:ascii="Times New Roman" w:eastAsia="Times New Roman" w:hAnsi="Times New Roman"/>
      <w:b/>
      <w:bCs/>
    </w:rPr>
  </w:style>
  <w:style w:type="character" w:styleId="Marquedecommentaire">
    <w:name w:val="annotation reference"/>
    <w:basedOn w:val="Policepardfaut"/>
    <w:uiPriority w:val="99"/>
    <w:unhideWhenUsed/>
    <w:rsid w:val="002F4E76"/>
    <w:rPr>
      <w:sz w:val="16"/>
      <w:szCs w:val="16"/>
    </w:rPr>
  </w:style>
  <w:style w:type="paragraph" w:styleId="Commentaire">
    <w:name w:val="annotation text"/>
    <w:basedOn w:val="Normal"/>
    <w:link w:val="CommentaireCar1"/>
    <w:uiPriority w:val="99"/>
    <w:unhideWhenUsed/>
    <w:rsid w:val="002F4E76"/>
    <w:rPr>
      <w:sz w:val="20"/>
      <w:szCs w:val="20"/>
    </w:rPr>
  </w:style>
  <w:style w:type="character" w:customStyle="1" w:styleId="CommentaireCar1">
    <w:name w:val="Commentaire Car1"/>
    <w:basedOn w:val="Policepardfaut"/>
    <w:link w:val="Commentaire"/>
    <w:uiPriority w:val="99"/>
    <w:rsid w:val="002F4E76"/>
    <w:rPr>
      <w:lang w:eastAsia="zh-CN"/>
    </w:rPr>
  </w:style>
  <w:style w:type="character" w:styleId="Lienhypertexte">
    <w:name w:val="Hyperlink"/>
    <w:uiPriority w:val="99"/>
    <w:unhideWhenUsed/>
    <w:rsid w:val="002C5E47"/>
    <w:rPr>
      <w:color w:val="0000FF"/>
      <w:u w:val="single"/>
    </w:rPr>
  </w:style>
  <w:style w:type="paragraph" w:customStyle="1" w:styleId="Date1">
    <w:name w:val="Date1"/>
    <w:basedOn w:val="Normal"/>
    <w:rsid w:val="002C5E47"/>
    <w:pPr>
      <w:suppressAutoHyphens w:val="0"/>
      <w:spacing w:before="100" w:beforeAutospacing="1" w:after="100" w:afterAutospacing="1"/>
    </w:pPr>
    <w:rPr>
      <w:lang w:eastAsia="fr-FR"/>
    </w:rPr>
  </w:style>
  <w:style w:type="paragraph" w:customStyle="1" w:styleId="Standard">
    <w:name w:val="Standard"/>
    <w:rsid w:val="001B2C91"/>
    <w:pPr>
      <w:suppressAutoHyphens/>
    </w:pPr>
    <w:rPr>
      <w:rFonts w:ascii="Liberation Serif" w:eastAsia="SimSun" w:hAnsi="Liberation Serif" w:cs="Mangal"/>
      <w:color w:val="00000A"/>
      <w:sz w:val="24"/>
      <w:szCs w:val="24"/>
      <w:lang w:eastAsia="zh-CN" w:bidi="hi-IN"/>
    </w:rPr>
  </w:style>
  <w:style w:type="paragraph" w:customStyle="1" w:styleId="assnat6sectionintit0">
    <w:name w:val="assnat6sectionintit0"/>
    <w:basedOn w:val="Normal"/>
    <w:rsid w:val="00E04256"/>
    <w:pPr>
      <w:suppressAutoHyphens w:val="0"/>
      <w:spacing w:before="100" w:beforeAutospacing="1" w:after="100" w:afterAutospacing="1"/>
    </w:pPr>
    <w:rPr>
      <w:lang w:eastAsia="fr-FR"/>
    </w:rPr>
  </w:style>
  <w:style w:type="paragraph" w:customStyle="1" w:styleId="assnatloitexte">
    <w:name w:val="assnatloitexte"/>
    <w:basedOn w:val="Normal"/>
    <w:rsid w:val="00E04256"/>
    <w:pPr>
      <w:suppressAutoHyphens w:val="0"/>
      <w:spacing w:before="100" w:beforeAutospacing="1" w:after="100" w:afterAutospacing="1"/>
    </w:pPr>
    <w:rPr>
      <w:lang w:eastAsia="fr-FR"/>
    </w:rPr>
  </w:style>
  <w:style w:type="paragraph" w:styleId="Rvision">
    <w:name w:val="Revision"/>
    <w:hidden/>
    <w:uiPriority w:val="99"/>
    <w:semiHidden/>
    <w:rsid w:val="002E749C"/>
    <w:rPr>
      <w:sz w:val="24"/>
      <w:szCs w:val="24"/>
      <w:lang w:eastAsia="zh-CN"/>
    </w:rPr>
  </w:style>
  <w:style w:type="character" w:styleId="Lienhypertextesuivivisit">
    <w:name w:val="FollowedHyperlink"/>
    <w:basedOn w:val="Policepardfaut"/>
    <w:uiPriority w:val="99"/>
    <w:semiHidden/>
    <w:unhideWhenUsed/>
    <w:rsid w:val="00594118"/>
    <w:rPr>
      <w:color w:val="954F72" w:themeColor="followedHyperlink"/>
      <w:u w:val="single"/>
    </w:rPr>
  </w:style>
  <w:style w:type="paragraph" w:styleId="En-tte">
    <w:name w:val="header"/>
    <w:basedOn w:val="Normal"/>
    <w:link w:val="En-tteCar"/>
    <w:uiPriority w:val="99"/>
    <w:unhideWhenUsed/>
    <w:rsid w:val="00F355AF"/>
    <w:pPr>
      <w:tabs>
        <w:tab w:val="center" w:pos="4536"/>
        <w:tab w:val="right" w:pos="9072"/>
      </w:tabs>
    </w:pPr>
  </w:style>
  <w:style w:type="character" w:customStyle="1" w:styleId="En-tteCar">
    <w:name w:val="En-tête Car"/>
    <w:basedOn w:val="Policepardfaut"/>
    <w:link w:val="En-tte"/>
    <w:uiPriority w:val="99"/>
    <w:rsid w:val="00F355AF"/>
    <w:rPr>
      <w:sz w:val="24"/>
      <w:szCs w:val="24"/>
      <w:lang w:eastAsia="zh-CN"/>
    </w:rPr>
  </w:style>
  <w:style w:type="paragraph" w:styleId="Pieddepage">
    <w:name w:val="footer"/>
    <w:basedOn w:val="Normal"/>
    <w:link w:val="PieddepageCar"/>
    <w:uiPriority w:val="99"/>
    <w:unhideWhenUsed/>
    <w:rsid w:val="00F355AF"/>
    <w:pPr>
      <w:tabs>
        <w:tab w:val="center" w:pos="4536"/>
        <w:tab w:val="right" w:pos="9072"/>
      </w:tabs>
    </w:pPr>
  </w:style>
  <w:style w:type="character" w:customStyle="1" w:styleId="PieddepageCar">
    <w:name w:val="Pied de page Car"/>
    <w:basedOn w:val="Policepardfaut"/>
    <w:link w:val="Pieddepage"/>
    <w:uiPriority w:val="99"/>
    <w:rsid w:val="00F355AF"/>
    <w:rPr>
      <w:sz w:val="24"/>
      <w:szCs w:val="24"/>
      <w:lang w:eastAsia="zh-CN"/>
    </w:rPr>
  </w:style>
  <w:style w:type="character" w:customStyle="1" w:styleId="Titre4Car">
    <w:name w:val="Titre 4 Car"/>
    <w:basedOn w:val="Policepardfaut"/>
    <w:link w:val="Titre4"/>
    <w:uiPriority w:val="9"/>
    <w:rsid w:val="00F62E23"/>
    <w:rPr>
      <w:rFonts w:asciiTheme="majorHAnsi" w:eastAsiaTheme="majorEastAsia" w:hAnsiTheme="majorHAnsi" w:cstheme="majorBidi"/>
      <w:i/>
      <w:iCs/>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5234">
      <w:bodyDiv w:val="1"/>
      <w:marLeft w:val="0"/>
      <w:marRight w:val="0"/>
      <w:marTop w:val="0"/>
      <w:marBottom w:val="0"/>
      <w:divBdr>
        <w:top w:val="none" w:sz="0" w:space="0" w:color="auto"/>
        <w:left w:val="none" w:sz="0" w:space="0" w:color="auto"/>
        <w:bottom w:val="none" w:sz="0" w:space="0" w:color="auto"/>
        <w:right w:val="none" w:sz="0" w:space="0" w:color="auto"/>
      </w:divBdr>
    </w:div>
    <w:div w:id="117841240">
      <w:bodyDiv w:val="1"/>
      <w:marLeft w:val="0"/>
      <w:marRight w:val="0"/>
      <w:marTop w:val="0"/>
      <w:marBottom w:val="0"/>
      <w:divBdr>
        <w:top w:val="none" w:sz="0" w:space="0" w:color="auto"/>
        <w:left w:val="none" w:sz="0" w:space="0" w:color="auto"/>
        <w:bottom w:val="none" w:sz="0" w:space="0" w:color="auto"/>
        <w:right w:val="none" w:sz="0" w:space="0" w:color="auto"/>
      </w:divBdr>
    </w:div>
    <w:div w:id="156041370">
      <w:bodyDiv w:val="1"/>
      <w:marLeft w:val="0"/>
      <w:marRight w:val="0"/>
      <w:marTop w:val="0"/>
      <w:marBottom w:val="0"/>
      <w:divBdr>
        <w:top w:val="none" w:sz="0" w:space="0" w:color="auto"/>
        <w:left w:val="none" w:sz="0" w:space="0" w:color="auto"/>
        <w:bottom w:val="none" w:sz="0" w:space="0" w:color="auto"/>
        <w:right w:val="none" w:sz="0" w:space="0" w:color="auto"/>
      </w:divBdr>
    </w:div>
    <w:div w:id="189145120">
      <w:bodyDiv w:val="1"/>
      <w:marLeft w:val="0"/>
      <w:marRight w:val="0"/>
      <w:marTop w:val="0"/>
      <w:marBottom w:val="0"/>
      <w:divBdr>
        <w:top w:val="none" w:sz="0" w:space="0" w:color="auto"/>
        <w:left w:val="none" w:sz="0" w:space="0" w:color="auto"/>
        <w:bottom w:val="none" w:sz="0" w:space="0" w:color="auto"/>
        <w:right w:val="none" w:sz="0" w:space="0" w:color="auto"/>
      </w:divBdr>
    </w:div>
    <w:div w:id="205412585">
      <w:bodyDiv w:val="1"/>
      <w:marLeft w:val="0"/>
      <w:marRight w:val="0"/>
      <w:marTop w:val="0"/>
      <w:marBottom w:val="0"/>
      <w:divBdr>
        <w:top w:val="none" w:sz="0" w:space="0" w:color="auto"/>
        <w:left w:val="none" w:sz="0" w:space="0" w:color="auto"/>
        <w:bottom w:val="none" w:sz="0" w:space="0" w:color="auto"/>
        <w:right w:val="none" w:sz="0" w:space="0" w:color="auto"/>
      </w:divBdr>
    </w:div>
    <w:div w:id="369458914">
      <w:bodyDiv w:val="1"/>
      <w:marLeft w:val="0"/>
      <w:marRight w:val="0"/>
      <w:marTop w:val="0"/>
      <w:marBottom w:val="0"/>
      <w:divBdr>
        <w:top w:val="none" w:sz="0" w:space="0" w:color="auto"/>
        <w:left w:val="none" w:sz="0" w:space="0" w:color="auto"/>
        <w:bottom w:val="none" w:sz="0" w:space="0" w:color="auto"/>
        <w:right w:val="none" w:sz="0" w:space="0" w:color="auto"/>
      </w:divBdr>
    </w:div>
    <w:div w:id="371072905">
      <w:bodyDiv w:val="1"/>
      <w:marLeft w:val="0"/>
      <w:marRight w:val="0"/>
      <w:marTop w:val="0"/>
      <w:marBottom w:val="0"/>
      <w:divBdr>
        <w:top w:val="none" w:sz="0" w:space="0" w:color="auto"/>
        <w:left w:val="none" w:sz="0" w:space="0" w:color="auto"/>
        <w:bottom w:val="none" w:sz="0" w:space="0" w:color="auto"/>
        <w:right w:val="none" w:sz="0" w:space="0" w:color="auto"/>
      </w:divBdr>
    </w:div>
    <w:div w:id="386808086">
      <w:bodyDiv w:val="1"/>
      <w:marLeft w:val="0"/>
      <w:marRight w:val="0"/>
      <w:marTop w:val="0"/>
      <w:marBottom w:val="0"/>
      <w:divBdr>
        <w:top w:val="none" w:sz="0" w:space="0" w:color="auto"/>
        <w:left w:val="none" w:sz="0" w:space="0" w:color="auto"/>
        <w:bottom w:val="none" w:sz="0" w:space="0" w:color="auto"/>
        <w:right w:val="none" w:sz="0" w:space="0" w:color="auto"/>
      </w:divBdr>
    </w:div>
    <w:div w:id="688415626">
      <w:bodyDiv w:val="1"/>
      <w:marLeft w:val="0"/>
      <w:marRight w:val="0"/>
      <w:marTop w:val="0"/>
      <w:marBottom w:val="0"/>
      <w:divBdr>
        <w:top w:val="none" w:sz="0" w:space="0" w:color="auto"/>
        <w:left w:val="none" w:sz="0" w:space="0" w:color="auto"/>
        <w:bottom w:val="none" w:sz="0" w:space="0" w:color="auto"/>
        <w:right w:val="none" w:sz="0" w:space="0" w:color="auto"/>
      </w:divBdr>
    </w:div>
    <w:div w:id="721295975">
      <w:bodyDiv w:val="1"/>
      <w:marLeft w:val="0"/>
      <w:marRight w:val="0"/>
      <w:marTop w:val="0"/>
      <w:marBottom w:val="0"/>
      <w:divBdr>
        <w:top w:val="none" w:sz="0" w:space="0" w:color="auto"/>
        <w:left w:val="none" w:sz="0" w:space="0" w:color="auto"/>
        <w:bottom w:val="none" w:sz="0" w:space="0" w:color="auto"/>
        <w:right w:val="none" w:sz="0" w:space="0" w:color="auto"/>
      </w:divBdr>
    </w:div>
    <w:div w:id="930160104">
      <w:bodyDiv w:val="1"/>
      <w:marLeft w:val="0"/>
      <w:marRight w:val="0"/>
      <w:marTop w:val="0"/>
      <w:marBottom w:val="0"/>
      <w:divBdr>
        <w:top w:val="none" w:sz="0" w:space="0" w:color="auto"/>
        <w:left w:val="none" w:sz="0" w:space="0" w:color="auto"/>
        <w:bottom w:val="none" w:sz="0" w:space="0" w:color="auto"/>
        <w:right w:val="none" w:sz="0" w:space="0" w:color="auto"/>
      </w:divBdr>
    </w:div>
    <w:div w:id="1188058653">
      <w:bodyDiv w:val="1"/>
      <w:marLeft w:val="0"/>
      <w:marRight w:val="0"/>
      <w:marTop w:val="0"/>
      <w:marBottom w:val="0"/>
      <w:divBdr>
        <w:top w:val="none" w:sz="0" w:space="0" w:color="auto"/>
        <w:left w:val="none" w:sz="0" w:space="0" w:color="auto"/>
        <w:bottom w:val="none" w:sz="0" w:space="0" w:color="auto"/>
        <w:right w:val="none" w:sz="0" w:space="0" w:color="auto"/>
      </w:divBdr>
    </w:div>
    <w:div w:id="1236741089">
      <w:bodyDiv w:val="1"/>
      <w:marLeft w:val="0"/>
      <w:marRight w:val="0"/>
      <w:marTop w:val="0"/>
      <w:marBottom w:val="0"/>
      <w:divBdr>
        <w:top w:val="none" w:sz="0" w:space="0" w:color="auto"/>
        <w:left w:val="none" w:sz="0" w:space="0" w:color="auto"/>
        <w:bottom w:val="none" w:sz="0" w:space="0" w:color="auto"/>
        <w:right w:val="none" w:sz="0" w:space="0" w:color="auto"/>
      </w:divBdr>
    </w:div>
    <w:div w:id="1366103341">
      <w:bodyDiv w:val="1"/>
      <w:marLeft w:val="0"/>
      <w:marRight w:val="0"/>
      <w:marTop w:val="0"/>
      <w:marBottom w:val="0"/>
      <w:divBdr>
        <w:top w:val="none" w:sz="0" w:space="0" w:color="auto"/>
        <w:left w:val="none" w:sz="0" w:space="0" w:color="auto"/>
        <w:bottom w:val="none" w:sz="0" w:space="0" w:color="auto"/>
        <w:right w:val="none" w:sz="0" w:space="0" w:color="auto"/>
      </w:divBdr>
    </w:div>
    <w:div w:id="1387798088">
      <w:bodyDiv w:val="1"/>
      <w:marLeft w:val="0"/>
      <w:marRight w:val="0"/>
      <w:marTop w:val="0"/>
      <w:marBottom w:val="0"/>
      <w:divBdr>
        <w:top w:val="none" w:sz="0" w:space="0" w:color="auto"/>
        <w:left w:val="none" w:sz="0" w:space="0" w:color="auto"/>
        <w:bottom w:val="none" w:sz="0" w:space="0" w:color="auto"/>
        <w:right w:val="none" w:sz="0" w:space="0" w:color="auto"/>
      </w:divBdr>
    </w:div>
    <w:div w:id="1720931254">
      <w:bodyDiv w:val="1"/>
      <w:marLeft w:val="0"/>
      <w:marRight w:val="0"/>
      <w:marTop w:val="0"/>
      <w:marBottom w:val="0"/>
      <w:divBdr>
        <w:top w:val="none" w:sz="0" w:space="0" w:color="auto"/>
        <w:left w:val="none" w:sz="0" w:space="0" w:color="auto"/>
        <w:bottom w:val="none" w:sz="0" w:space="0" w:color="auto"/>
        <w:right w:val="none" w:sz="0" w:space="0" w:color="auto"/>
      </w:divBdr>
    </w:div>
    <w:div w:id="1785611067">
      <w:bodyDiv w:val="1"/>
      <w:marLeft w:val="0"/>
      <w:marRight w:val="0"/>
      <w:marTop w:val="0"/>
      <w:marBottom w:val="0"/>
      <w:divBdr>
        <w:top w:val="none" w:sz="0" w:space="0" w:color="auto"/>
        <w:left w:val="none" w:sz="0" w:space="0" w:color="auto"/>
        <w:bottom w:val="none" w:sz="0" w:space="0" w:color="auto"/>
        <w:right w:val="none" w:sz="0" w:space="0" w:color="auto"/>
      </w:divBdr>
    </w:div>
    <w:div w:id="2079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782E2598FB042AC0B15DEDC2894CC" ma:contentTypeVersion="12" ma:contentTypeDescription="Crée un document." ma:contentTypeScope="" ma:versionID="6e462106e2329e93f6d2964158a8b007">
  <xsd:schema xmlns:xsd="http://www.w3.org/2001/XMLSchema" xmlns:xs="http://www.w3.org/2001/XMLSchema" xmlns:p="http://schemas.microsoft.com/office/2006/metadata/properties" xmlns:ns2="711f2699-f9a2-42e6-9366-8388bf7488a1" xmlns:ns3="88c83b6a-ed77-40a5-85b5-6eb00660dec9" targetNamespace="http://schemas.microsoft.com/office/2006/metadata/properties" ma:root="true" ma:fieldsID="c4d58d003258111ab6e8c71de39b70cf" ns2:_="" ns3:_="">
    <xsd:import namespace="711f2699-f9a2-42e6-9366-8388bf7488a1"/>
    <xsd:import namespace="88c83b6a-ed77-40a5-85b5-6eb00660de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f2699-f9a2-42e6-9366-8388bf748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98e9ab0-fafa-442d-a8b4-a7f3d9cdd5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83b6a-ed77-40a5-85b5-6eb00660dec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940a1ff-f3be-4fbd-bcac-ceef0d1927f8}" ma:internalName="TaxCatchAll" ma:showField="CatchAllData" ma:web="88c83b6a-ed77-40a5-85b5-6eb00660d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17B8-E735-4BF6-AFB9-2F0BAB5E6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f2699-f9a2-42e6-9366-8388bf7488a1"/>
    <ds:schemaRef ds:uri="88c83b6a-ed77-40a5-85b5-6eb00660d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34A8C-4345-4BA8-B933-97E497FAA1E9}">
  <ds:schemaRefs>
    <ds:schemaRef ds:uri="http://schemas.microsoft.com/sharepoint/v3/contenttype/forms"/>
  </ds:schemaRefs>
</ds:datastoreItem>
</file>

<file path=customXml/itemProps3.xml><?xml version="1.0" encoding="utf-8"?>
<ds:datastoreItem xmlns:ds="http://schemas.openxmlformats.org/officeDocument/2006/customXml" ds:itemID="{40599D50-B070-4FF8-87D6-265F471E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1394</Words>
  <Characters>7668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BARRETEAU Julien</dc:creator>
  <cp:keywords/>
  <cp:lastModifiedBy>LEDUC Florian</cp:lastModifiedBy>
  <cp:revision>6</cp:revision>
  <cp:lastPrinted>2022-10-14T15:11:00Z</cp:lastPrinted>
  <dcterms:created xsi:type="dcterms:W3CDTF">2022-10-14T12:31:00Z</dcterms:created>
  <dcterms:modified xsi:type="dcterms:W3CDTF">2022-10-14T17:09:00Z</dcterms:modified>
</cp:coreProperties>
</file>