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5F30E2" w14:paraId="2C25A1D5" w14:textId="77777777">
        <w:trPr>
          <w:cantSplit/>
        </w:trPr>
        <w:tc>
          <w:tcPr>
            <w:tcW w:w="3982" w:type="dxa"/>
            <w:gridSpan w:val="3"/>
            <w:shd w:val="clear" w:color="auto" w:fill="auto"/>
          </w:tcPr>
          <w:p w14:paraId="006E8D0B" w14:textId="224EACEC" w:rsidR="005F30E2" w:rsidRDefault="00C0013C" w:rsidP="005A72D1">
            <w:pPr>
              <w:pStyle w:val="SNREPUBLIQUE"/>
            </w:pPr>
            <w:bookmarkStart w:id="0" w:name="_GoBack"/>
            <w:bookmarkEnd w:id="0"/>
            <w:r>
              <w:t>RÉPUBLIQUE FRANÇAISE</w:t>
            </w:r>
          </w:p>
        </w:tc>
      </w:tr>
      <w:tr w:rsidR="005F30E2" w14:paraId="1A931769" w14:textId="77777777">
        <w:trPr>
          <w:cantSplit/>
          <w:trHeight w:hRule="exact" w:val="113"/>
        </w:trPr>
        <w:tc>
          <w:tcPr>
            <w:tcW w:w="1527" w:type="dxa"/>
            <w:shd w:val="clear" w:color="auto" w:fill="auto"/>
          </w:tcPr>
          <w:p w14:paraId="3ABE431E" w14:textId="77777777" w:rsidR="005F30E2" w:rsidRDefault="005F30E2">
            <w:pPr>
              <w:snapToGrid w:val="0"/>
              <w:rPr>
                <w:rFonts w:cs="Tahoma"/>
              </w:rPr>
            </w:pPr>
          </w:p>
        </w:tc>
        <w:tc>
          <w:tcPr>
            <w:tcW w:w="968" w:type="dxa"/>
            <w:tcBorders>
              <w:bottom w:val="single" w:sz="2" w:space="0" w:color="000000"/>
            </w:tcBorders>
            <w:shd w:val="clear" w:color="auto" w:fill="auto"/>
          </w:tcPr>
          <w:p w14:paraId="3021B9F7" w14:textId="77777777" w:rsidR="005F30E2" w:rsidRDefault="005F30E2">
            <w:pPr>
              <w:snapToGrid w:val="0"/>
              <w:rPr>
                <w:rFonts w:cs="Tahoma"/>
              </w:rPr>
            </w:pPr>
          </w:p>
        </w:tc>
        <w:tc>
          <w:tcPr>
            <w:tcW w:w="1487" w:type="dxa"/>
            <w:shd w:val="clear" w:color="auto" w:fill="auto"/>
          </w:tcPr>
          <w:p w14:paraId="18E815A5" w14:textId="77777777" w:rsidR="005F30E2" w:rsidRDefault="005F30E2">
            <w:pPr>
              <w:snapToGrid w:val="0"/>
              <w:rPr>
                <w:rFonts w:cs="Tahoma"/>
              </w:rPr>
            </w:pPr>
          </w:p>
        </w:tc>
      </w:tr>
      <w:tr w:rsidR="005F30E2" w14:paraId="4EC680C4" w14:textId="77777777">
        <w:trPr>
          <w:cantSplit/>
        </w:trPr>
        <w:tc>
          <w:tcPr>
            <w:tcW w:w="3982" w:type="dxa"/>
            <w:gridSpan w:val="3"/>
            <w:shd w:val="clear" w:color="auto" w:fill="auto"/>
          </w:tcPr>
          <w:p w14:paraId="2D73B823" w14:textId="54B74605" w:rsidR="005F30E2" w:rsidRDefault="007F1669" w:rsidP="007F1669">
            <w:pPr>
              <w:pStyle w:val="SNTimbre"/>
            </w:pPr>
            <w:r w:rsidRPr="00714BB1">
              <w:t>Ministère de l’Economie, des Finances et de la Souveraineté Industrielle et Numérique</w:t>
            </w:r>
          </w:p>
          <w:p w14:paraId="17F5E107" w14:textId="3289AF44" w:rsidR="00490CA8" w:rsidRDefault="00490CA8" w:rsidP="00490CA8">
            <w:pPr>
              <w:pStyle w:val="SNTimbre"/>
            </w:pPr>
            <w:r w:rsidRPr="00714BB1">
              <w:t>Ministère de la Transition Energétique</w:t>
            </w:r>
          </w:p>
        </w:tc>
      </w:tr>
      <w:tr w:rsidR="005F30E2" w14:paraId="3337733B" w14:textId="77777777">
        <w:trPr>
          <w:cantSplit/>
          <w:trHeight w:hRule="exact" w:val="227"/>
        </w:trPr>
        <w:tc>
          <w:tcPr>
            <w:tcW w:w="1527" w:type="dxa"/>
            <w:shd w:val="clear" w:color="auto" w:fill="auto"/>
          </w:tcPr>
          <w:p w14:paraId="3046B406" w14:textId="77777777" w:rsidR="005F30E2" w:rsidRDefault="005F30E2">
            <w:pPr>
              <w:snapToGrid w:val="0"/>
            </w:pPr>
          </w:p>
        </w:tc>
        <w:tc>
          <w:tcPr>
            <w:tcW w:w="968" w:type="dxa"/>
            <w:tcBorders>
              <w:bottom w:val="single" w:sz="2" w:space="0" w:color="000000"/>
            </w:tcBorders>
            <w:shd w:val="clear" w:color="auto" w:fill="auto"/>
          </w:tcPr>
          <w:p w14:paraId="23751556" w14:textId="77777777" w:rsidR="005F30E2" w:rsidRDefault="005F30E2">
            <w:pPr>
              <w:snapToGrid w:val="0"/>
            </w:pPr>
          </w:p>
        </w:tc>
        <w:tc>
          <w:tcPr>
            <w:tcW w:w="1487" w:type="dxa"/>
            <w:shd w:val="clear" w:color="auto" w:fill="auto"/>
          </w:tcPr>
          <w:p w14:paraId="5DC03ED6" w14:textId="77777777" w:rsidR="005F30E2" w:rsidRDefault="005F30E2">
            <w:pPr>
              <w:snapToGrid w:val="0"/>
            </w:pPr>
          </w:p>
        </w:tc>
      </w:tr>
      <w:tr w:rsidR="005F30E2" w14:paraId="46405E55" w14:textId="77777777">
        <w:trPr>
          <w:cantSplit/>
          <w:trHeight w:hRule="exact" w:val="227"/>
        </w:trPr>
        <w:tc>
          <w:tcPr>
            <w:tcW w:w="1527" w:type="dxa"/>
            <w:shd w:val="clear" w:color="auto" w:fill="auto"/>
          </w:tcPr>
          <w:p w14:paraId="714C6FF4" w14:textId="77777777" w:rsidR="005F30E2" w:rsidRDefault="005F30E2">
            <w:pPr>
              <w:snapToGrid w:val="0"/>
            </w:pPr>
          </w:p>
        </w:tc>
        <w:tc>
          <w:tcPr>
            <w:tcW w:w="968" w:type="dxa"/>
            <w:shd w:val="clear" w:color="auto" w:fill="auto"/>
          </w:tcPr>
          <w:p w14:paraId="1C6FD576" w14:textId="77777777" w:rsidR="005F30E2" w:rsidRDefault="005F30E2">
            <w:pPr>
              <w:snapToGrid w:val="0"/>
            </w:pPr>
          </w:p>
        </w:tc>
        <w:tc>
          <w:tcPr>
            <w:tcW w:w="1487" w:type="dxa"/>
            <w:shd w:val="clear" w:color="auto" w:fill="auto"/>
          </w:tcPr>
          <w:p w14:paraId="095CC00D" w14:textId="77777777" w:rsidR="005F30E2" w:rsidRDefault="005F30E2">
            <w:pPr>
              <w:snapToGrid w:val="0"/>
            </w:pPr>
          </w:p>
        </w:tc>
      </w:tr>
    </w:tbl>
    <w:p w14:paraId="2E6FB1C8" w14:textId="1EFADC9E" w:rsidR="005F30E2" w:rsidRDefault="0094148E" w:rsidP="00A26B93">
      <w:pPr>
        <w:pStyle w:val="SNNature"/>
        <w:spacing w:before="0" w:after="0"/>
      </w:pPr>
      <w:r>
        <w:t xml:space="preserve">Projet de </w:t>
      </w:r>
      <w:r w:rsidRPr="00BE6200">
        <w:t>d</w:t>
      </w:r>
      <w:r w:rsidR="00C0013C" w:rsidRPr="00BE6200">
        <w:t>écret n°</w:t>
      </w:r>
      <w:r w:rsidR="009F4658" w:rsidRPr="00BE6200">
        <w:t xml:space="preserve"> </w:t>
      </w:r>
      <w:r w:rsidR="00B415B2" w:rsidRPr="00BE6200">
        <w:t>202</w:t>
      </w:r>
      <w:r w:rsidR="00241933" w:rsidRPr="00BE6200">
        <w:t>3</w:t>
      </w:r>
      <w:r w:rsidR="00B415B2" w:rsidRPr="00BE6200">
        <w:t>-xxxx du</w:t>
      </w:r>
      <w:r w:rsidR="00B415B2">
        <w:t xml:space="preserve"> </w:t>
      </w:r>
    </w:p>
    <w:p w14:paraId="74F818A2" w14:textId="77777777" w:rsidR="00A26B93" w:rsidRPr="00A26B93" w:rsidRDefault="00A26B93" w:rsidP="00A26B93">
      <w:pPr>
        <w:pStyle w:val="SNtitre"/>
        <w:spacing w:after="0"/>
      </w:pPr>
    </w:p>
    <w:p w14:paraId="3A015E8A" w14:textId="5B275E9E" w:rsidR="00B415B2" w:rsidRPr="00B415B2" w:rsidRDefault="009E35D7" w:rsidP="00A26B93">
      <w:pPr>
        <w:pStyle w:val="SNtitre"/>
        <w:numPr>
          <w:ilvl w:val="0"/>
          <w:numId w:val="1"/>
        </w:numPr>
        <w:spacing w:after="0"/>
        <w:rPr>
          <w:bCs/>
        </w:rPr>
      </w:pPr>
      <w:r w:rsidRPr="009E35D7">
        <w:t xml:space="preserve"> </w:t>
      </w:r>
      <w:r>
        <w:t>portant diverses dispositions en matière de géothermie de minime importance</w:t>
      </w:r>
    </w:p>
    <w:p w14:paraId="34E43876" w14:textId="77777777" w:rsidR="00A26B93" w:rsidRDefault="00A26B93">
      <w:pPr>
        <w:pStyle w:val="SNNORCentr"/>
        <w:rPr>
          <w:highlight w:val="yellow"/>
        </w:rPr>
      </w:pPr>
    </w:p>
    <w:p w14:paraId="4B032D4E" w14:textId="0F5CEB7E" w:rsidR="005F30E2" w:rsidRPr="0096724E" w:rsidRDefault="00C0013C">
      <w:pPr>
        <w:pStyle w:val="SNNORCentr"/>
      </w:pPr>
      <w:r w:rsidRPr="00FE1F2E">
        <w:t>NOR :</w:t>
      </w:r>
      <w:r w:rsidR="0096724E" w:rsidRPr="00FE1F2E">
        <w:rPr>
          <w:rFonts w:eastAsia="NSimSun"/>
          <w:sz w:val="25"/>
          <w:szCs w:val="25"/>
        </w:rPr>
        <w:t xml:space="preserve"> TREP2302165D</w:t>
      </w:r>
    </w:p>
    <w:p w14:paraId="0F22DB02" w14:textId="77777777" w:rsidR="00D41B50" w:rsidRPr="00D41B50" w:rsidRDefault="00D41B50" w:rsidP="00D41B50">
      <w:pPr>
        <w:pStyle w:val="SNAutorit"/>
      </w:pPr>
    </w:p>
    <w:p w14:paraId="53EDED97" w14:textId="532D4D24" w:rsidR="005F30E2" w:rsidRPr="007F1669" w:rsidRDefault="00C0013C" w:rsidP="00343831">
      <w:pPr>
        <w:rPr>
          <w:i/>
        </w:rPr>
      </w:pPr>
      <w:r w:rsidRPr="007F1669">
        <w:rPr>
          <w:b/>
          <w:i/>
        </w:rPr>
        <w:t>Publics concernés :</w:t>
      </w:r>
      <w:r w:rsidRPr="007F1669">
        <w:rPr>
          <w:i/>
        </w:rPr>
        <w:t xml:space="preserve"> </w:t>
      </w:r>
      <w:r w:rsidR="00B415B2" w:rsidRPr="007F1669">
        <w:rPr>
          <w:i/>
        </w:rPr>
        <w:t xml:space="preserve">tout public, entreprises recherchant et </w:t>
      </w:r>
      <w:r w:rsidR="006A75CB" w:rsidRPr="007F1669">
        <w:rPr>
          <w:i/>
        </w:rPr>
        <w:t>exploitant des activités de géothermie de minime importance,</w:t>
      </w:r>
      <w:r w:rsidR="00B415B2" w:rsidRPr="007F1669">
        <w:rPr>
          <w:i/>
        </w:rPr>
        <w:t xml:space="preserve"> services déconcentrés de l’Etat.</w:t>
      </w:r>
    </w:p>
    <w:p w14:paraId="5D1FCA87" w14:textId="77777777" w:rsidR="00D41B50" w:rsidRPr="007F1669" w:rsidRDefault="00D41B50" w:rsidP="00343831">
      <w:pPr>
        <w:rPr>
          <w:i/>
        </w:rPr>
      </w:pPr>
    </w:p>
    <w:p w14:paraId="1C22A303" w14:textId="5E9AE9FB" w:rsidR="005F30E2" w:rsidRPr="007F1669" w:rsidRDefault="00C0013C" w:rsidP="00343831">
      <w:pPr>
        <w:rPr>
          <w:i/>
        </w:rPr>
      </w:pPr>
      <w:r w:rsidRPr="007F1669">
        <w:rPr>
          <w:b/>
          <w:i/>
        </w:rPr>
        <w:t>Objet :</w:t>
      </w:r>
      <w:r w:rsidR="00D41B50" w:rsidRPr="007F1669">
        <w:rPr>
          <w:i/>
        </w:rPr>
        <w:t xml:space="preserve"> </w:t>
      </w:r>
      <w:r w:rsidR="00B415B2" w:rsidRPr="007F1669">
        <w:rPr>
          <w:i/>
        </w:rPr>
        <w:t>projet de décret visant à transformer le dispositif actuel de qualification</w:t>
      </w:r>
      <w:r w:rsidR="00CD114B" w:rsidRPr="007F1669">
        <w:rPr>
          <w:i/>
        </w:rPr>
        <w:t xml:space="preserve"> des entreprises de forage</w:t>
      </w:r>
      <w:r w:rsidR="00B415B2" w:rsidRPr="007F1669">
        <w:rPr>
          <w:i/>
        </w:rPr>
        <w:t xml:space="preserve"> en un dispositif de certification a</w:t>
      </w:r>
      <w:r w:rsidR="007953C9" w:rsidRPr="007F1669">
        <w:rPr>
          <w:i/>
        </w:rPr>
        <w:t xml:space="preserve">ccrédité selon la norme ISO/IEC </w:t>
      </w:r>
      <w:r w:rsidR="00B415B2" w:rsidRPr="007F1669">
        <w:rPr>
          <w:i/>
        </w:rPr>
        <w:t>17065 relative aux organismes des certifications de produits, processus et services.</w:t>
      </w:r>
    </w:p>
    <w:p w14:paraId="6AD29DE2" w14:textId="77777777" w:rsidR="00B415B2" w:rsidRPr="007F1669" w:rsidRDefault="00B415B2" w:rsidP="00343831">
      <w:pPr>
        <w:rPr>
          <w:i/>
        </w:rPr>
      </w:pPr>
    </w:p>
    <w:p w14:paraId="40D27F20" w14:textId="3BA1B471" w:rsidR="00EE1763" w:rsidRPr="00777672" w:rsidRDefault="00C0013C" w:rsidP="009E35D7">
      <w:pPr>
        <w:pStyle w:val="Default"/>
        <w:jc w:val="both"/>
        <w:rPr>
          <w:rFonts w:ascii="Times New Roman" w:hAnsi="Times New Roman" w:cs="Times New Roman"/>
          <w:i/>
        </w:rPr>
      </w:pPr>
      <w:r w:rsidRPr="00777672">
        <w:rPr>
          <w:rFonts w:ascii="Times New Roman" w:hAnsi="Times New Roman" w:cs="Times New Roman"/>
          <w:b/>
          <w:bCs/>
          <w:i/>
        </w:rPr>
        <w:t>Entrée en vigueur :</w:t>
      </w:r>
      <w:r w:rsidRPr="00777672">
        <w:rPr>
          <w:rFonts w:ascii="Times New Roman" w:hAnsi="Times New Roman" w:cs="Times New Roman"/>
          <w:i/>
        </w:rPr>
        <w:t xml:space="preserve"> </w:t>
      </w:r>
      <w:r w:rsidR="003A0B9B" w:rsidRPr="00777672">
        <w:rPr>
          <w:rFonts w:ascii="Times New Roman" w:hAnsi="Times New Roman" w:cs="Times New Roman"/>
          <w:i/>
        </w:rPr>
        <w:t xml:space="preserve">le texte entre en vigueur </w:t>
      </w:r>
      <w:r w:rsidR="00947014" w:rsidRPr="00777672">
        <w:rPr>
          <w:rFonts w:ascii="Times New Roman" w:hAnsi="Times New Roman" w:cs="Times New Roman"/>
          <w:i/>
        </w:rPr>
        <w:t>à compter du lendemain de sa publication</w:t>
      </w:r>
      <w:r w:rsidR="00BE6200" w:rsidRPr="00BE6200">
        <w:rPr>
          <w:rFonts w:ascii="Times New Roman" w:hAnsi="Times New Roman" w:cs="Times New Roman"/>
          <w:i/>
        </w:rPr>
        <w:t>, dans les conditions et sous les réserves énoncées à l’article 2</w:t>
      </w:r>
      <w:r w:rsidR="008007FE">
        <w:rPr>
          <w:rFonts w:ascii="Times New Roman" w:hAnsi="Times New Roman" w:cs="Times New Roman"/>
          <w:i/>
        </w:rPr>
        <w:t>.</w:t>
      </w:r>
      <w:r w:rsidR="00BE6200" w:rsidRPr="00777672" w:rsidDel="00BE6200">
        <w:rPr>
          <w:rFonts w:ascii="Times New Roman" w:hAnsi="Times New Roman" w:cs="Times New Roman"/>
          <w:i/>
        </w:rPr>
        <w:t xml:space="preserve"> </w:t>
      </w:r>
    </w:p>
    <w:p w14:paraId="1C39987A" w14:textId="77777777" w:rsidR="00EE1763" w:rsidRPr="009C4997" w:rsidRDefault="00EE1763" w:rsidP="00343831">
      <w:pPr>
        <w:rPr>
          <w:i/>
        </w:rPr>
      </w:pPr>
    </w:p>
    <w:p w14:paraId="0594E1A8" w14:textId="56AD1C8B" w:rsidR="005D2FBD" w:rsidRPr="005D2FBD" w:rsidRDefault="00C0013C" w:rsidP="005D2FBD">
      <w:pPr>
        <w:rPr>
          <w:i/>
        </w:rPr>
      </w:pPr>
      <w:r w:rsidRPr="007F1669">
        <w:rPr>
          <w:b/>
          <w:i/>
        </w:rPr>
        <w:t>Notice :</w:t>
      </w:r>
      <w:r w:rsidRPr="007F1669">
        <w:rPr>
          <w:i/>
        </w:rPr>
        <w:t xml:space="preserve"> </w:t>
      </w:r>
      <w:r w:rsidR="006A75CB" w:rsidRPr="007F1669">
        <w:rPr>
          <w:i/>
        </w:rPr>
        <w:t xml:space="preserve">le </w:t>
      </w:r>
      <w:r w:rsidR="007953C9" w:rsidRPr="007F1669">
        <w:rPr>
          <w:i/>
        </w:rPr>
        <w:t xml:space="preserve">présent </w:t>
      </w:r>
      <w:r w:rsidR="006A75CB" w:rsidRPr="007F1669">
        <w:rPr>
          <w:i/>
        </w:rPr>
        <w:t xml:space="preserve">décret </w:t>
      </w:r>
      <w:r w:rsidR="007953C9" w:rsidRPr="007F1669">
        <w:rPr>
          <w:i/>
        </w:rPr>
        <w:t xml:space="preserve">instaure l’obligation pour les exploitants de faire attester par une entreprise </w:t>
      </w:r>
      <w:r w:rsidR="00181298" w:rsidRPr="007F1669">
        <w:rPr>
          <w:i/>
        </w:rPr>
        <w:t>certifiée</w:t>
      </w:r>
      <w:r w:rsidR="007953C9" w:rsidRPr="007F1669">
        <w:rPr>
          <w:i/>
        </w:rPr>
        <w:t xml:space="preserve"> les prestations </w:t>
      </w:r>
      <w:r w:rsidR="00381B1F" w:rsidRPr="007F1669">
        <w:rPr>
          <w:i/>
        </w:rPr>
        <w:t>de</w:t>
      </w:r>
      <w:r w:rsidR="008C66CD" w:rsidRPr="007F1669">
        <w:rPr>
          <w:i/>
        </w:rPr>
        <w:t xml:space="preserve"> </w:t>
      </w:r>
      <w:r w:rsidR="00381B1F" w:rsidRPr="007F1669">
        <w:rPr>
          <w:i/>
        </w:rPr>
        <w:t xml:space="preserve">réalisation de forages </w:t>
      </w:r>
      <w:r w:rsidR="00E62133">
        <w:rPr>
          <w:i/>
        </w:rPr>
        <w:t xml:space="preserve">de </w:t>
      </w:r>
      <w:r w:rsidR="008C66CD" w:rsidRPr="007F1669">
        <w:rPr>
          <w:i/>
        </w:rPr>
        <w:t>géothermie de minime importance</w:t>
      </w:r>
      <w:r w:rsidR="00A02730">
        <w:rPr>
          <w:i/>
        </w:rPr>
        <w:t>, clarifie la procédure de fin de forage et d’arrêt des travaux</w:t>
      </w:r>
      <w:r w:rsidR="00895C47">
        <w:rPr>
          <w:i/>
        </w:rPr>
        <w:t>,</w:t>
      </w:r>
      <w:r w:rsidR="005A4342">
        <w:rPr>
          <w:i/>
        </w:rPr>
        <w:t xml:space="preserve"> précise les modalités </w:t>
      </w:r>
      <w:r w:rsidR="00A02730">
        <w:rPr>
          <w:i/>
        </w:rPr>
        <w:t>de modification de ces installations</w:t>
      </w:r>
      <w:r w:rsidR="005D2FBD">
        <w:rPr>
          <w:i/>
        </w:rPr>
        <w:t xml:space="preserve"> et instaure la possibilité donnée au Préfet de soumettre</w:t>
      </w:r>
      <w:r w:rsidR="005D2FBD" w:rsidRPr="005D2FBD">
        <w:t xml:space="preserve"> </w:t>
      </w:r>
      <w:r w:rsidR="005D2FBD" w:rsidRPr="005D2FBD">
        <w:rPr>
          <w:i/>
        </w:rPr>
        <w:t>l’installation à un examen au cas par cas en application des disposi</w:t>
      </w:r>
      <w:r w:rsidR="005D2FBD">
        <w:rPr>
          <w:i/>
        </w:rPr>
        <w:t>tions de l’article R. 122-2-</w:t>
      </w:r>
      <w:r w:rsidR="003E3440">
        <w:rPr>
          <w:i/>
        </w:rPr>
        <w:t>1 du code de l’environnement.</w:t>
      </w:r>
    </w:p>
    <w:p w14:paraId="2966D1BA" w14:textId="69F64FB9" w:rsidR="005F30E2" w:rsidRPr="007F1669" w:rsidRDefault="005D2FBD" w:rsidP="00343831">
      <w:pPr>
        <w:rPr>
          <w:i/>
        </w:rPr>
      </w:pPr>
      <w:r>
        <w:rPr>
          <w:i/>
        </w:rPr>
        <w:t xml:space="preserve"> </w:t>
      </w:r>
    </w:p>
    <w:p w14:paraId="1D030208" w14:textId="77777777" w:rsidR="005F30E2" w:rsidRPr="007F1669" w:rsidRDefault="005F30E2" w:rsidP="00343831">
      <w:pPr>
        <w:rPr>
          <w:i/>
        </w:rPr>
      </w:pPr>
    </w:p>
    <w:p w14:paraId="1771AE79" w14:textId="0500E354" w:rsidR="005F30E2" w:rsidRPr="007F1669" w:rsidRDefault="00C0013C" w:rsidP="00343831">
      <w:pPr>
        <w:rPr>
          <w:i/>
        </w:rPr>
      </w:pPr>
      <w:r w:rsidRPr="007F1669">
        <w:rPr>
          <w:b/>
          <w:bCs/>
          <w:i/>
        </w:rPr>
        <w:t>Références :</w:t>
      </w:r>
      <w:r w:rsidRPr="007F1669">
        <w:rPr>
          <w:i/>
        </w:rPr>
        <w:t> </w:t>
      </w:r>
      <w:r w:rsidR="00CD114B" w:rsidRPr="007F1669">
        <w:rPr>
          <w:i/>
        </w:rPr>
        <w:t>le</w:t>
      </w:r>
      <w:r w:rsidR="006B1D70" w:rsidRPr="007F1669">
        <w:rPr>
          <w:i/>
        </w:rPr>
        <w:t xml:space="preserve"> texte</w:t>
      </w:r>
      <w:r w:rsidR="00CD114B" w:rsidRPr="007F1669">
        <w:rPr>
          <w:i/>
        </w:rPr>
        <w:t xml:space="preserve"> modifié par le présent décret peut être consulté</w:t>
      </w:r>
      <w:r w:rsidR="00DC18C1" w:rsidRPr="007F1669">
        <w:rPr>
          <w:i/>
        </w:rPr>
        <w:t>,</w:t>
      </w:r>
      <w:r w:rsidRPr="007F1669">
        <w:rPr>
          <w:i/>
        </w:rPr>
        <w:t xml:space="preserve"> dans </w:t>
      </w:r>
      <w:r w:rsidR="00CD114B" w:rsidRPr="007F1669">
        <w:rPr>
          <w:i/>
        </w:rPr>
        <w:t>sa</w:t>
      </w:r>
      <w:r w:rsidRPr="007F1669">
        <w:rPr>
          <w:i/>
        </w:rPr>
        <w:t xml:space="preserve"> rédaction issue de cette modification</w:t>
      </w:r>
      <w:r w:rsidR="00DC18C1" w:rsidRPr="007F1669">
        <w:rPr>
          <w:i/>
        </w:rPr>
        <w:t>,</w:t>
      </w:r>
      <w:r w:rsidRPr="007F1669">
        <w:rPr>
          <w:i/>
        </w:rPr>
        <w:t xml:space="preserve"> sur le site de Légifran</w:t>
      </w:r>
      <w:r w:rsidR="0096584A" w:rsidRPr="007F1669">
        <w:rPr>
          <w:i/>
        </w:rPr>
        <w:t>ce [http://legifrance.gouv.fr].</w:t>
      </w:r>
    </w:p>
    <w:p w14:paraId="4B28108D" w14:textId="77777777" w:rsidR="00037EE5" w:rsidRDefault="00037EE5" w:rsidP="00343831"/>
    <w:p w14:paraId="7F3F08F5" w14:textId="489E7866" w:rsidR="005F30E2" w:rsidRPr="00A26B93" w:rsidRDefault="00C0013C" w:rsidP="00A26B93">
      <w:pPr>
        <w:ind w:firstLine="709"/>
        <w:rPr>
          <w:b/>
        </w:rPr>
      </w:pPr>
      <w:r w:rsidRPr="00A26B93">
        <w:rPr>
          <w:b/>
        </w:rPr>
        <w:t>L</w:t>
      </w:r>
      <w:r w:rsidR="00FA3445" w:rsidRPr="00A26B93">
        <w:rPr>
          <w:b/>
        </w:rPr>
        <w:t xml:space="preserve">a </w:t>
      </w:r>
      <w:r w:rsidR="004D4B78" w:rsidRPr="00A26B93">
        <w:rPr>
          <w:b/>
        </w:rPr>
        <w:t>Première</w:t>
      </w:r>
      <w:r w:rsidRPr="00A26B93">
        <w:rPr>
          <w:b/>
        </w:rPr>
        <w:t xml:space="preserve"> ministre,</w:t>
      </w:r>
    </w:p>
    <w:p w14:paraId="231E1EAF" w14:textId="29D50A84" w:rsidR="00FA3445" w:rsidRDefault="00FA3445" w:rsidP="00A26B93">
      <w:pPr>
        <w:pStyle w:val="SNVisa"/>
        <w:ind w:firstLine="709"/>
      </w:pPr>
      <w:r w:rsidRPr="00777672">
        <w:t xml:space="preserve">Sur le rapport </w:t>
      </w:r>
      <w:r w:rsidR="008C66CD" w:rsidRPr="00777672">
        <w:t xml:space="preserve">du </w:t>
      </w:r>
      <w:r w:rsidRPr="00777672">
        <w:t xml:space="preserve">ministre </w:t>
      </w:r>
      <w:r w:rsidR="007F1669" w:rsidRPr="00777672">
        <w:t>l’économie, des finances et de la souveraineté industrielle et numérique</w:t>
      </w:r>
      <w:r w:rsidRPr="00777672">
        <w:t xml:space="preserve"> et de la ministre de la </w:t>
      </w:r>
      <w:r w:rsidR="00DC18C1" w:rsidRPr="00777672">
        <w:t>t</w:t>
      </w:r>
      <w:r w:rsidRPr="00777672">
        <w:t>ransition énergétique ;</w:t>
      </w:r>
    </w:p>
    <w:p w14:paraId="13A3EDAE" w14:textId="77777777" w:rsidR="000B2499" w:rsidRDefault="000B2499" w:rsidP="00A26B93">
      <w:pPr>
        <w:pStyle w:val="SNVisa"/>
        <w:ind w:firstLine="709"/>
      </w:pPr>
      <w:r>
        <w:t>Vu le code de l'environnement ;</w:t>
      </w:r>
    </w:p>
    <w:p w14:paraId="7CEDA483" w14:textId="77777777" w:rsidR="000B2499" w:rsidRDefault="000B2499" w:rsidP="00A26B93">
      <w:pPr>
        <w:pStyle w:val="SNVisa"/>
        <w:ind w:firstLine="709"/>
      </w:pPr>
      <w:r>
        <w:t>Vu le code minier ;</w:t>
      </w:r>
    </w:p>
    <w:p w14:paraId="28772462" w14:textId="4594264C" w:rsidR="000B2499" w:rsidRDefault="000B2499" w:rsidP="00A26B93">
      <w:pPr>
        <w:pStyle w:val="SNVisa"/>
        <w:ind w:firstLine="709"/>
      </w:pPr>
      <w:r>
        <w:t xml:space="preserve">Vu le décret n° 2006-649 </w:t>
      </w:r>
      <w:r w:rsidR="006D1217">
        <w:t xml:space="preserve">du 2 juin 2006 </w:t>
      </w:r>
      <w:r>
        <w:t>relatif aux travaux miniers, aux travaux de stockage souterrain et à la police des min</w:t>
      </w:r>
      <w:r w:rsidR="00CD0A6F">
        <w:t>es et des stockages souterrains ;</w:t>
      </w:r>
    </w:p>
    <w:p w14:paraId="1FA16263" w14:textId="035AD506" w:rsidR="000B2499" w:rsidRPr="00777672" w:rsidRDefault="00381B1F" w:rsidP="00A26B93">
      <w:pPr>
        <w:pStyle w:val="SNVisa"/>
        <w:ind w:firstLine="709"/>
      </w:pPr>
      <w:r w:rsidRPr="00777672">
        <w:t>V</w:t>
      </w:r>
      <w:r w:rsidR="000B2499" w:rsidRPr="00777672">
        <w:t xml:space="preserve">u l'avis de la mission interministérielle de l'eau en date du </w:t>
      </w:r>
      <w:r w:rsidR="006071B1">
        <w:t>13 avril</w:t>
      </w:r>
      <w:r w:rsidR="006A3F96" w:rsidRPr="00777672">
        <w:t xml:space="preserve"> </w:t>
      </w:r>
      <w:r w:rsidR="00241933" w:rsidRPr="00777672">
        <w:t xml:space="preserve">2023 </w:t>
      </w:r>
      <w:r w:rsidR="000B2499" w:rsidRPr="00777672">
        <w:t>;</w:t>
      </w:r>
    </w:p>
    <w:p w14:paraId="23453A92" w14:textId="241A7A9A" w:rsidR="000B2499" w:rsidRPr="00777672" w:rsidRDefault="000B2499" w:rsidP="00A26B93">
      <w:pPr>
        <w:pStyle w:val="SNVisa"/>
        <w:ind w:firstLine="709"/>
      </w:pPr>
      <w:r w:rsidRPr="00777672">
        <w:lastRenderedPageBreak/>
        <w:t xml:space="preserve">Vu l'avis du Conseil supérieur de l’énergie en date du </w:t>
      </w:r>
      <w:r w:rsidR="00BB0361">
        <w:t>18 avril</w:t>
      </w:r>
      <w:r w:rsidR="00BB0361" w:rsidRPr="00777672">
        <w:t xml:space="preserve"> </w:t>
      </w:r>
      <w:r w:rsidR="00241933" w:rsidRPr="00777672">
        <w:t>2023 </w:t>
      </w:r>
      <w:r w:rsidR="006A3F96" w:rsidRPr="00777672">
        <w:t xml:space="preserve">; </w:t>
      </w:r>
      <w:r w:rsidRPr="00777672">
        <w:t xml:space="preserve"> </w:t>
      </w:r>
    </w:p>
    <w:p w14:paraId="56418EEA" w14:textId="5D98A707" w:rsidR="00562E84" w:rsidRDefault="00562E84" w:rsidP="00A26B93">
      <w:pPr>
        <w:pStyle w:val="SNVisa"/>
        <w:ind w:firstLine="709"/>
      </w:pPr>
      <w:r w:rsidRPr="00777672">
        <w:t xml:space="preserve">Vu les observations formulées lors de la consultation du public réalisée du </w:t>
      </w:r>
      <w:r w:rsidR="00381B1F" w:rsidRPr="00777672">
        <w:t xml:space="preserve">xx au xx </w:t>
      </w:r>
      <w:r w:rsidR="00241933" w:rsidRPr="00777672">
        <w:t xml:space="preserve">2023 </w:t>
      </w:r>
      <w:r w:rsidRPr="00777672">
        <w:t>en application de l'article L. 123-19-1, du code de l'environnement ;</w:t>
      </w:r>
    </w:p>
    <w:p w14:paraId="3E3ABFC5" w14:textId="3A5E0476" w:rsidR="005F30E2" w:rsidRDefault="000B2499" w:rsidP="00F6573F">
      <w:pPr>
        <w:pStyle w:val="SNVisa"/>
        <w:ind w:firstLine="709"/>
      </w:pPr>
      <w:r>
        <w:t>Le Conseil d'</w:t>
      </w:r>
      <w:r w:rsidR="007A3C78">
        <w:t>É</w:t>
      </w:r>
      <w:r>
        <w:t>tat (section des travaux publics) entendu</w:t>
      </w:r>
      <w:r w:rsidR="00DF3960">
        <w:t>,</w:t>
      </w:r>
    </w:p>
    <w:p w14:paraId="1665E3A5" w14:textId="20A210DC" w:rsidR="00197FCF" w:rsidRDefault="00C0013C" w:rsidP="00315125">
      <w:pPr>
        <w:pStyle w:val="SNActe"/>
      </w:pPr>
      <w:r>
        <w:t>Décrète :</w:t>
      </w:r>
    </w:p>
    <w:p w14:paraId="67946553" w14:textId="0D58CBF1" w:rsidR="0076410A" w:rsidRPr="0076410A" w:rsidRDefault="008404A7" w:rsidP="008404A7">
      <w:pPr>
        <w:pStyle w:val="SNActe"/>
      </w:pPr>
      <w:r>
        <w:t>Article 1</w:t>
      </w:r>
      <w:r w:rsidRPr="008404A7">
        <w:rPr>
          <w:vertAlign w:val="superscript"/>
        </w:rPr>
        <w:t>er</w:t>
      </w:r>
      <w:r>
        <w:t xml:space="preserve"> </w:t>
      </w:r>
    </w:p>
    <w:p w14:paraId="43EF02B2" w14:textId="77777777" w:rsidR="003503F6" w:rsidRDefault="003503F6" w:rsidP="003503F6">
      <w:pPr>
        <w:ind w:firstLine="709"/>
      </w:pPr>
      <w:r>
        <w:t>Le 15° de l’article D. 181-15-3 bis du code de l’environnement est rédigé comme suit :</w:t>
      </w:r>
    </w:p>
    <w:p w14:paraId="43474693" w14:textId="77777777" w:rsidR="003503F6" w:rsidRDefault="003503F6" w:rsidP="003503F6">
      <w:pPr>
        <w:ind w:firstLine="709"/>
      </w:pPr>
    </w:p>
    <w:p w14:paraId="206B3C10" w14:textId="77777777" w:rsidR="003503F6" w:rsidRPr="00BB0361" w:rsidRDefault="003503F6" w:rsidP="003503F6">
      <w:pPr>
        <w:ind w:firstLine="709"/>
      </w:pPr>
      <w:r>
        <w:t>« </w:t>
      </w:r>
      <w:r w:rsidRPr="00BB0361">
        <w:t xml:space="preserve">15° Pour les travaux mentionnés au 3° de l'article 3 du décret n° 2006-649 du 2 juin 2006 : </w:t>
      </w:r>
    </w:p>
    <w:p w14:paraId="4CEBF04D" w14:textId="77777777" w:rsidR="003503F6" w:rsidRDefault="003503F6" w:rsidP="003503F6">
      <w:pPr>
        <w:ind w:firstLine="709"/>
      </w:pPr>
    </w:p>
    <w:p w14:paraId="126EA68C" w14:textId="77777777" w:rsidR="003503F6" w:rsidRPr="00BB0361" w:rsidRDefault="003503F6" w:rsidP="003503F6">
      <w:pPr>
        <w:ind w:firstLine="709"/>
      </w:pPr>
      <w:r>
        <w:t>« </w:t>
      </w:r>
      <w:r w:rsidRPr="00BB0361">
        <w:t xml:space="preserve">a) Le mémoire relatif aux méthodes de recherches ou d'exploitation envisagées, tel que prévu à l'article L. 164-1-2 du code minier, précisant les mesures mises en œuvre et celles envisagées pour connaître la géologie du sous-sol impacté par les travaux et comprendre les phénomènes naturels, notamment sismiques, susceptibles d'être activés par les travaux ; </w:t>
      </w:r>
    </w:p>
    <w:p w14:paraId="39F803E7" w14:textId="77777777" w:rsidR="003503F6" w:rsidRDefault="003503F6" w:rsidP="003503F6">
      <w:pPr>
        <w:ind w:firstLine="709"/>
      </w:pPr>
    </w:p>
    <w:p w14:paraId="7ABA93D9" w14:textId="3C592341" w:rsidR="003503F6" w:rsidRDefault="003503F6" w:rsidP="003503F6">
      <w:pPr>
        <w:ind w:firstLine="709"/>
      </w:pPr>
      <w:r>
        <w:t>« </w:t>
      </w:r>
      <w:r w:rsidRPr="00BB0361">
        <w:t>b) Le cas échéant la liste et la localisation des forages exploités sous le régime de la géothermie de minime importance destinés à un nouvel usage au titre desdits travaux ; »</w:t>
      </w:r>
      <w:r>
        <w:t>.</w:t>
      </w:r>
      <w:r w:rsidRPr="00BB0361">
        <w:t xml:space="preserve"> </w:t>
      </w:r>
    </w:p>
    <w:p w14:paraId="5AA5DA2F" w14:textId="77777777" w:rsidR="003503F6" w:rsidRDefault="003503F6" w:rsidP="00F6573F">
      <w:pPr>
        <w:ind w:firstLine="709"/>
      </w:pPr>
    </w:p>
    <w:p w14:paraId="4F864171" w14:textId="77777777" w:rsidR="003503F6" w:rsidRDefault="003503F6" w:rsidP="003503F6">
      <w:pPr>
        <w:pStyle w:val="Titre1"/>
      </w:pPr>
      <w:r>
        <w:t>Article 2</w:t>
      </w:r>
    </w:p>
    <w:p w14:paraId="65415469" w14:textId="77777777" w:rsidR="003503F6" w:rsidRDefault="003503F6" w:rsidP="00F6573F">
      <w:pPr>
        <w:ind w:firstLine="709"/>
      </w:pPr>
    </w:p>
    <w:p w14:paraId="07AB21C5" w14:textId="07DDDBAE" w:rsidR="008404A7" w:rsidRDefault="008404A7" w:rsidP="00F6573F">
      <w:pPr>
        <w:ind w:firstLine="709"/>
      </w:pPr>
      <w:r w:rsidRPr="00ED6D8F">
        <w:t>Le décret n°</w:t>
      </w:r>
      <w:r>
        <w:t xml:space="preserve"> </w:t>
      </w:r>
      <w:r w:rsidRPr="00ED6D8F">
        <w:t xml:space="preserve">2006-649 du 2 juin 2006 susvisé est </w:t>
      </w:r>
      <w:r w:rsidR="0094148E">
        <w:t xml:space="preserve">ainsi </w:t>
      </w:r>
      <w:r w:rsidRPr="00ED6D8F">
        <w:t xml:space="preserve">modifié </w:t>
      </w:r>
      <w:r w:rsidR="0094148E">
        <w:t>:</w:t>
      </w:r>
    </w:p>
    <w:p w14:paraId="25C5F34E" w14:textId="6A3C54D0" w:rsidR="00D5661F" w:rsidRDefault="00D5661F" w:rsidP="00F6573F">
      <w:pPr>
        <w:ind w:firstLine="709"/>
      </w:pPr>
    </w:p>
    <w:p w14:paraId="278E9518" w14:textId="3775F3AE" w:rsidR="00D5661F" w:rsidRDefault="00D5661F" w:rsidP="00F6573F">
      <w:pPr>
        <w:ind w:firstLine="709"/>
      </w:pPr>
      <w:r>
        <w:t xml:space="preserve">1° L’article 22-1 est </w:t>
      </w:r>
      <w:r w:rsidR="00241933">
        <w:t>complété par des alinéas ainsi rédigés</w:t>
      </w:r>
      <w:r>
        <w:t> :</w:t>
      </w:r>
    </w:p>
    <w:p w14:paraId="2E33E981" w14:textId="6878C64D" w:rsidR="00D5661F" w:rsidRDefault="00D5661F" w:rsidP="00F6573F">
      <w:pPr>
        <w:ind w:firstLine="709"/>
      </w:pPr>
    </w:p>
    <w:p w14:paraId="354D1CA5" w14:textId="77777777" w:rsidR="00BB0361" w:rsidRDefault="00BB0361" w:rsidP="00BB0361">
      <w:pPr>
        <w:ind w:firstLine="709"/>
      </w:pPr>
      <w:r>
        <w:t>« Le déclarant est tenu de faire connaître au préfet, avant leur réalisation, les</w:t>
      </w:r>
      <w:r w:rsidRPr="00C87272">
        <w:t xml:space="preserve"> modification</w:t>
      </w:r>
      <w:r>
        <w:t>s</w:t>
      </w:r>
      <w:r w:rsidRPr="00C87272">
        <w:t xml:space="preserve"> </w:t>
      </w:r>
      <w:r>
        <w:t>qu’il envisage d’</w:t>
      </w:r>
      <w:r w:rsidRPr="00C87272">
        <w:t>apport</w:t>
      </w:r>
      <w:r>
        <w:t>er</w:t>
      </w:r>
      <w:r w:rsidRPr="00C87272">
        <w:t xml:space="preserve"> </w:t>
      </w:r>
      <w:r>
        <w:t>à ses travaux, à son</w:t>
      </w:r>
      <w:r w:rsidRPr="00C87272">
        <w:t xml:space="preserve"> installation</w:t>
      </w:r>
      <w:r>
        <w:t xml:space="preserve"> et</w:t>
      </w:r>
      <w:r w:rsidRPr="00C87272">
        <w:t xml:space="preserve"> à son mode d'utilisation</w:t>
      </w:r>
      <w:r w:rsidRPr="000841C4">
        <w:t>, ou à l'aménagement en résultant ou à l'exercice de l'activité ou à leur voisinage</w:t>
      </w:r>
      <w:r>
        <w:t xml:space="preserve"> lorsqu’elles sont de</w:t>
      </w:r>
      <w:r w:rsidRPr="00C87272">
        <w:t xml:space="preserve"> nature à entraîner un changement notable des éléments du dossier de déclaration d'ouverture de travaux d'exploitation d'un gîte géo</w:t>
      </w:r>
      <w:r>
        <w:t xml:space="preserve">thermique de minime importance </w:t>
      </w:r>
      <w:r w:rsidRPr="00C87272">
        <w:t>initiale</w:t>
      </w:r>
      <w:r>
        <w:t>. Ce complément est transmis par le téléservice dédié à l’accomplissement des procédures relatives à la géothermie de minime importance prévu à l’article 22-2. Après avoir consulté, si nécessaire, les services intéressés</w:t>
      </w:r>
      <w:r w:rsidRPr="00C87272">
        <w:t>,</w:t>
      </w:r>
      <w:r>
        <w:t xml:space="preserve"> le préfet, dans un délai d’un mois, </w:t>
      </w:r>
      <w:r w:rsidRPr="00C87272">
        <w:t>peut exiger</w:t>
      </w:r>
      <w:r>
        <w:t xml:space="preserve"> une nouvelle déclaration ».</w:t>
      </w:r>
    </w:p>
    <w:p w14:paraId="2DF6260F" w14:textId="77777777" w:rsidR="007022FE" w:rsidRDefault="007022FE" w:rsidP="007022FE">
      <w:pPr>
        <w:ind w:firstLine="709"/>
      </w:pPr>
      <w:r>
        <w:t xml:space="preserve"> </w:t>
      </w:r>
    </w:p>
    <w:p w14:paraId="43C556BE" w14:textId="627AA231" w:rsidR="00F6573F" w:rsidRDefault="00777672" w:rsidP="00F6573F">
      <w:pPr>
        <w:ind w:firstLine="709"/>
      </w:pPr>
      <w:r>
        <w:t>« </w:t>
      </w:r>
      <w:r w:rsidR="00D03B62">
        <w:t>T</w:t>
      </w:r>
      <w:r w:rsidR="00FE1F2E" w:rsidRPr="00D934E4">
        <w:t>oute</w:t>
      </w:r>
      <w:r w:rsidR="00DD0324">
        <w:t>s</w:t>
      </w:r>
      <w:r w:rsidR="00FE1F2E" w:rsidRPr="00D934E4">
        <w:t xml:space="preserve"> modification</w:t>
      </w:r>
      <w:r w:rsidR="006253DA">
        <w:t>s</w:t>
      </w:r>
      <w:r w:rsidR="00FE1F2E" w:rsidRPr="00D934E4">
        <w:t xml:space="preserve"> </w:t>
      </w:r>
      <w:r w:rsidR="000841C4">
        <w:t>apportées aux</w:t>
      </w:r>
      <w:r w:rsidR="00DD0324">
        <w:t xml:space="preserve"> travaux, à </w:t>
      </w:r>
      <w:r w:rsidR="000841C4">
        <w:t>l’</w:t>
      </w:r>
      <w:r w:rsidR="00DD0324" w:rsidRPr="00C87272">
        <w:t>installation</w:t>
      </w:r>
      <w:r w:rsidR="00DD0324">
        <w:t xml:space="preserve"> et</w:t>
      </w:r>
      <w:r w:rsidR="00DD0324" w:rsidRPr="00C87272">
        <w:t xml:space="preserve"> </w:t>
      </w:r>
      <w:r w:rsidR="000841C4">
        <w:t>au</w:t>
      </w:r>
      <w:r w:rsidR="00DD0324" w:rsidRPr="00C87272">
        <w:t xml:space="preserve"> mode d'utilisation</w:t>
      </w:r>
      <w:r w:rsidR="00DD0324" w:rsidRPr="00D934E4">
        <w:t xml:space="preserve"> </w:t>
      </w:r>
      <w:r w:rsidR="00FE1F2E" w:rsidRPr="00D934E4">
        <w:t>d’un gite géothermique de minime importance</w:t>
      </w:r>
      <w:r w:rsidR="00FE1F2E">
        <w:t xml:space="preserve"> </w:t>
      </w:r>
      <w:r w:rsidR="00D03B62">
        <w:t>de nature à faire</w:t>
      </w:r>
      <w:r w:rsidR="000841C4">
        <w:t xml:space="preserve"> </w:t>
      </w:r>
      <w:r w:rsidR="00DD0324">
        <w:t>relever</w:t>
      </w:r>
      <w:r w:rsidR="00FE1F2E" w:rsidRPr="00D934E4">
        <w:t xml:space="preserve"> </w:t>
      </w:r>
      <w:r w:rsidR="000841C4">
        <w:t>ladite installation au</w:t>
      </w:r>
      <w:r w:rsidR="00FE1F2E" w:rsidRPr="00D934E4">
        <w:t xml:space="preserve"> régime de l’autorisation tel</w:t>
      </w:r>
      <w:r w:rsidR="000841C4">
        <w:t xml:space="preserve"> que défini</w:t>
      </w:r>
      <w:r w:rsidR="00FE1F2E" w:rsidRPr="00D934E4">
        <w:t xml:space="preserve"> </w:t>
      </w:r>
      <w:r w:rsidR="00FE1F2E">
        <w:t>à l’article 3 du présent décret</w:t>
      </w:r>
      <w:r w:rsidR="00D03B62">
        <w:t xml:space="preserve"> sont interdites sauf à bénéficier d’un titre minier tel que prévu aux articles L. 124-1-1 ou L. 134-1-1 du code minier et de l’autorisation de travaux prévue au 3° de l’article L. 181-1 du code de l’environnement.</w:t>
      </w:r>
      <w:r w:rsidR="00FE1F2E">
        <w:t> »</w:t>
      </w:r>
      <w:r w:rsidR="000841C4">
        <w:t>.</w:t>
      </w:r>
    </w:p>
    <w:p w14:paraId="37361778" w14:textId="77777777" w:rsidR="006253DA" w:rsidRPr="00360F53" w:rsidRDefault="006253DA" w:rsidP="00F6573F">
      <w:pPr>
        <w:ind w:firstLine="709"/>
      </w:pPr>
    </w:p>
    <w:p w14:paraId="5A200C63" w14:textId="77777777" w:rsidR="00D03B62" w:rsidRDefault="00625C95" w:rsidP="00F6573F">
      <w:pPr>
        <w:ind w:firstLine="709"/>
      </w:pPr>
      <w:r>
        <w:t>2</w:t>
      </w:r>
      <w:r w:rsidR="0094148E">
        <w:t xml:space="preserve">° </w:t>
      </w:r>
      <w:r w:rsidR="00D03B62">
        <w:t>L’article 22-2 est modifié comme suit :</w:t>
      </w:r>
    </w:p>
    <w:p w14:paraId="7B9DD8F7" w14:textId="77777777" w:rsidR="00D03B62" w:rsidRDefault="00D03B62" w:rsidP="00F6573F">
      <w:pPr>
        <w:ind w:firstLine="709"/>
      </w:pPr>
    </w:p>
    <w:p w14:paraId="10B77FEA" w14:textId="3DC373AD" w:rsidR="00161FE3" w:rsidRDefault="00D63FDC" w:rsidP="00D03B62">
      <w:pPr>
        <w:pStyle w:val="Paragraphedeliste"/>
        <w:numPr>
          <w:ilvl w:val="0"/>
          <w:numId w:val="14"/>
        </w:numPr>
      </w:pPr>
      <w:r w:rsidRPr="00E661A9">
        <w:t>A</w:t>
      </w:r>
      <w:r w:rsidR="00161FE3">
        <w:t>u 1°</w:t>
      </w:r>
      <w:r w:rsidR="00D03B62">
        <w:t>,</w:t>
      </w:r>
      <w:r w:rsidR="00161FE3">
        <w:t xml:space="preserve"> </w:t>
      </w:r>
      <w:r w:rsidRPr="00E661A9">
        <w:t xml:space="preserve">le mot : « </w:t>
      </w:r>
      <w:r w:rsidRPr="00D03B62">
        <w:rPr>
          <w:rFonts w:cstheme="minorHAnsi"/>
        </w:rPr>
        <w:t xml:space="preserve">qualifié </w:t>
      </w:r>
      <w:r w:rsidRPr="00E661A9">
        <w:t xml:space="preserve">» est remplacé par les mots : « certifiée </w:t>
      </w:r>
      <w:r w:rsidRPr="00D03B62">
        <w:rPr>
          <w:rFonts w:cstheme="minorHAnsi"/>
        </w:rPr>
        <w:t xml:space="preserve">pour ses prestations de travaux de forage </w:t>
      </w:r>
      <w:r w:rsidRPr="00E661A9">
        <w:t>»</w:t>
      </w:r>
      <w:r w:rsidR="0094148E">
        <w:t> ;</w:t>
      </w:r>
    </w:p>
    <w:p w14:paraId="250F9704" w14:textId="77777777" w:rsidR="00BB0361" w:rsidRDefault="00BB0361" w:rsidP="00BB0361">
      <w:pPr>
        <w:pStyle w:val="Paragraphedeliste"/>
        <w:ind w:left="1069"/>
      </w:pPr>
    </w:p>
    <w:p w14:paraId="138B4948" w14:textId="3AB25E54" w:rsidR="00BB0361" w:rsidRDefault="00BB0361" w:rsidP="00BB0361">
      <w:pPr>
        <w:pStyle w:val="Paragraphedeliste"/>
        <w:numPr>
          <w:ilvl w:val="0"/>
          <w:numId w:val="14"/>
        </w:numPr>
      </w:pPr>
      <w:r>
        <w:lastRenderedPageBreak/>
        <w:t>Au 4°, après les mots « système de localisation WGS84 » sont ajoutés les mots : « pour les échangeurs géothermiques fermés [hybrides], le télédéclarant précise également l’inclinaison, l’azimut et la longueur forée théoriques ; »</w:t>
      </w:r>
    </w:p>
    <w:p w14:paraId="67D99108" w14:textId="77777777" w:rsidR="00BB0361" w:rsidRDefault="00BB0361" w:rsidP="00BB0361">
      <w:pPr>
        <w:pStyle w:val="Paragraphedeliste"/>
        <w:ind w:left="1069"/>
      </w:pPr>
    </w:p>
    <w:p w14:paraId="36B28E0F" w14:textId="5F5AE8EB" w:rsidR="00D03B62" w:rsidRDefault="00D03B62" w:rsidP="00D03B62">
      <w:pPr>
        <w:pStyle w:val="Paragraphedeliste"/>
        <w:numPr>
          <w:ilvl w:val="0"/>
          <w:numId w:val="14"/>
        </w:numPr>
      </w:pPr>
      <w:r>
        <w:t xml:space="preserve">Avant le dernier alinéa, est inséré un alinéa ainsi rédigé : </w:t>
      </w:r>
    </w:p>
    <w:p w14:paraId="22D11578" w14:textId="77777777" w:rsidR="00D03B62" w:rsidRDefault="00D03B62" w:rsidP="00D03B62">
      <w:pPr>
        <w:ind w:firstLine="709"/>
      </w:pPr>
    </w:p>
    <w:p w14:paraId="3956FFF3" w14:textId="0DFC4ADF" w:rsidR="00D03B62" w:rsidRDefault="00D03B62" w:rsidP="00D03B62">
      <w:pPr>
        <w:ind w:firstLine="709"/>
      </w:pPr>
      <w:r>
        <w:t>« </w:t>
      </w:r>
      <w:r w:rsidRPr="00D03B62">
        <w:t>Le déclarant reconnaît avoir pris connaissance de l'ensemble des prescriptions applicables aux travaux d'exploitation mentionnées à l'article 22-5, le cas échéant des périmètres de protection prévus à l'article L. 1321-2 du code de la santé publique concernés par l'implantation du projet et de l'interdiction d'utiliser ces travaux d'exploitation à des fins de recherche ou d'exploitation sans être bénéficiaire d'un titre miner prévu aux articles L. 124-1-1 ou L. 134-1-1 du code minier et d'une autorisation de travaux prévue au point 3° de l'article L. 181-1 du code de l'environnement.</w:t>
      </w:r>
      <w:r>
        <w:t> »</w:t>
      </w:r>
      <w:r w:rsidRPr="00D03B62">
        <w:t xml:space="preserve"> </w:t>
      </w:r>
    </w:p>
    <w:p w14:paraId="03DFA0F2" w14:textId="77777777" w:rsidR="00D03B62" w:rsidRDefault="00D03B62" w:rsidP="00D03B62">
      <w:pPr>
        <w:ind w:left="709"/>
      </w:pPr>
    </w:p>
    <w:p w14:paraId="70A91812" w14:textId="614DAAFD" w:rsidR="00E63BB9" w:rsidRDefault="00E63BB9" w:rsidP="00E63BB9"/>
    <w:p w14:paraId="0D45EF1D" w14:textId="77777777" w:rsidR="00BB0361" w:rsidRDefault="00BB0361" w:rsidP="00BB0361">
      <w:pPr>
        <w:ind w:firstLine="709"/>
      </w:pPr>
      <w:r>
        <w:t>3° L’article 22-4 est ainsi modifié :</w:t>
      </w:r>
    </w:p>
    <w:p w14:paraId="4EF2D558" w14:textId="77777777" w:rsidR="00BB0361" w:rsidRDefault="00BB0361" w:rsidP="00BB0361"/>
    <w:p w14:paraId="54EF7872" w14:textId="77777777" w:rsidR="00BB0361" w:rsidRDefault="00BB0361" w:rsidP="00BB0361">
      <w:pPr>
        <w:pStyle w:val="Paragraphedeliste"/>
        <w:numPr>
          <w:ilvl w:val="0"/>
          <w:numId w:val="11"/>
        </w:numPr>
      </w:pPr>
      <w:r>
        <w:t>Au premier alinéa, après les mots : « le téléservice délivre », sont insérés les mots : « immédiatement par voie électronique » ;</w:t>
      </w:r>
    </w:p>
    <w:p w14:paraId="01EC8156" w14:textId="77777777" w:rsidR="00BB0361" w:rsidRDefault="00BB0361" w:rsidP="00BB0361"/>
    <w:p w14:paraId="692A8480" w14:textId="77777777" w:rsidR="00BB0361" w:rsidRDefault="00BB0361" w:rsidP="00BB0361">
      <w:pPr>
        <w:ind w:firstLine="709"/>
      </w:pPr>
      <w:r>
        <w:rPr>
          <w:i/>
        </w:rPr>
        <w:t>b)</w:t>
      </w:r>
      <w:r>
        <w:t xml:space="preserve"> Le deuxième alinéa est remplacé par la disposition suivante :</w:t>
      </w:r>
    </w:p>
    <w:p w14:paraId="1F2A0E8D" w14:textId="77777777" w:rsidR="00BB0361" w:rsidRDefault="00BB0361" w:rsidP="00BB0361"/>
    <w:p w14:paraId="2B7CFEDB" w14:textId="77777777" w:rsidR="00BB0361" w:rsidRDefault="00BB0361" w:rsidP="00BB0361">
      <w:pPr>
        <w:ind w:firstLine="708"/>
      </w:pPr>
      <w:r w:rsidRPr="00D642B9">
        <w:t>« Sous réserve des dispositions prévues à la section 1 du chapitre IV du titre 1</w:t>
      </w:r>
      <w:r w:rsidRPr="001E6F63">
        <w:rPr>
          <w:vertAlign w:val="superscript"/>
        </w:rPr>
        <w:t>er</w:t>
      </w:r>
      <w:r w:rsidRPr="00D642B9">
        <w:t xml:space="preserve"> du livre IV du code de l'environnement, l'exploitant peut engager les travaux quinze jours après la délivrance de la preuve de dépôt de la déclaration d'ouverture de travaux, sauf si le préfet soumet l’installation à un examen au cas par cas en application des dispositions de l’article R. 122-2-1 du même code. </w:t>
      </w:r>
    </w:p>
    <w:p w14:paraId="7549E3E8" w14:textId="77777777" w:rsidR="00BB0361" w:rsidRDefault="00BB0361" w:rsidP="00BB0361">
      <w:pPr>
        <w:ind w:firstLine="708"/>
      </w:pPr>
    </w:p>
    <w:p w14:paraId="2EB93F02" w14:textId="77777777" w:rsidR="00BB0361" w:rsidRDefault="00BB0361" w:rsidP="00BB0361">
      <w:pPr>
        <w:ind w:firstLine="708"/>
      </w:pPr>
      <w:r w:rsidRPr="00D642B9">
        <w:t>« Dans ce cas, les travaux ne peuvent intervenir qu’après soit une décision de ne pas prescrire d’évaluation environnementale prise en application du IV de l’article R. 122-3-1 du code de l’environnement, soit une autorisation lorsque la décision prise en application de ces mêmes dispositions prescrit la réalisation d’une évaluation environnementale. </w:t>
      </w:r>
    </w:p>
    <w:p w14:paraId="13B2EFCB" w14:textId="77777777" w:rsidR="00BB0361" w:rsidRDefault="00BB0361" w:rsidP="00BB0361">
      <w:pPr>
        <w:ind w:firstLine="708"/>
      </w:pPr>
    </w:p>
    <w:p w14:paraId="52A5FDD6" w14:textId="77777777" w:rsidR="00BB0361" w:rsidRDefault="00BB0361" w:rsidP="00BB0361">
      <w:pPr>
        <w:ind w:firstLine="708"/>
      </w:pPr>
      <w:r>
        <w:t>« Dans tous les cas, le déclarant transmet au Préfet la décision rendue par l’autorité chargée de l’examen au cas par cas. » ;</w:t>
      </w:r>
    </w:p>
    <w:p w14:paraId="4507D255" w14:textId="77777777" w:rsidR="00BB0361" w:rsidRDefault="00BB0361" w:rsidP="00BB0361"/>
    <w:p w14:paraId="581CEDAE" w14:textId="77777777" w:rsidR="00BB0361" w:rsidRDefault="00BB0361" w:rsidP="00BB0361">
      <w:pPr>
        <w:ind w:firstLine="709"/>
      </w:pPr>
      <w:r>
        <w:t>4° L'article 22-7 est ainsi modifié :</w:t>
      </w:r>
    </w:p>
    <w:p w14:paraId="68D70E24" w14:textId="77777777" w:rsidR="00BB0361" w:rsidRDefault="00BB0361" w:rsidP="00BB0361"/>
    <w:p w14:paraId="1D46646E" w14:textId="77777777" w:rsidR="00BB0361" w:rsidRDefault="00BB0361" w:rsidP="00BB0361">
      <w:pPr>
        <w:ind w:firstLine="709"/>
      </w:pPr>
      <w:r w:rsidRPr="00C541EF">
        <w:rPr>
          <w:i/>
        </w:rPr>
        <w:t>a)</w:t>
      </w:r>
      <w:r>
        <w:t xml:space="preserve"> Au I, les mots : « La personne », sont remplacés par les mots : « L’entreprise » et les mots : « d’une attestation de qualification », sont remplacés par les mots : « d’une certification » ;</w:t>
      </w:r>
    </w:p>
    <w:p w14:paraId="30879246" w14:textId="77777777" w:rsidR="00BB0361" w:rsidRDefault="00BB0361" w:rsidP="00BB0361"/>
    <w:p w14:paraId="5C0357C0" w14:textId="77777777" w:rsidR="00BB0361" w:rsidRDefault="00BB0361" w:rsidP="00BB0361">
      <w:pPr>
        <w:ind w:firstLine="709"/>
      </w:pPr>
      <w:r w:rsidRPr="00C541EF">
        <w:rPr>
          <w:i/>
        </w:rPr>
        <w:t>b)</w:t>
      </w:r>
      <w:r>
        <w:t xml:space="preserve"> Au II, le mot : « qualifications », est remplacé par le mot : « certifications » ;</w:t>
      </w:r>
    </w:p>
    <w:p w14:paraId="074A562B" w14:textId="77777777" w:rsidR="00BB0361" w:rsidRDefault="00BB0361" w:rsidP="00BB0361"/>
    <w:p w14:paraId="49D854EF" w14:textId="77777777" w:rsidR="00BB0361" w:rsidRDefault="00BB0361" w:rsidP="00BB0361">
      <w:pPr>
        <w:ind w:firstLine="709"/>
      </w:pPr>
      <w:r w:rsidRPr="00C541EF">
        <w:rPr>
          <w:i/>
        </w:rPr>
        <w:t>c)</w:t>
      </w:r>
      <w:r>
        <w:t xml:space="preserve"> Au II, après les mots : « de l'organisation interne de l'organisme », sont insérés les mots : « en charge d’octroyer la certification des entreprises pour les prestations de travaux de forage d’un gîte géothermique » ;</w:t>
      </w:r>
    </w:p>
    <w:p w14:paraId="0B3F4033" w14:textId="77777777" w:rsidR="00BB0361" w:rsidRDefault="00BB0361" w:rsidP="00BB0361"/>
    <w:p w14:paraId="148EA32C" w14:textId="77777777" w:rsidR="00BB0361" w:rsidRDefault="00BB0361" w:rsidP="00BB0361">
      <w:pPr>
        <w:ind w:firstLine="709"/>
      </w:pPr>
      <w:r w:rsidRPr="00C541EF">
        <w:rPr>
          <w:i/>
        </w:rPr>
        <w:t>d)</w:t>
      </w:r>
      <w:r>
        <w:t xml:space="preserve"> Au II, les mots : « d’examinateur », sont remplacés par les mots : « d’auditeur » ;</w:t>
      </w:r>
    </w:p>
    <w:p w14:paraId="3F167CC4" w14:textId="77777777" w:rsidR="00BB0361" w:rsidRDefault="00BB0361" w:rsidP="00BB0361"/>
    <w:p w14:paraId="5CBD445E" w14:textId="77777777" w:rsidR="00BB0361" w:rsidRDefault="00BB0361" w:rsidP="00BB0361">
      <w:pPr>
        <w:ind w:firstLine="709"/>
      </w:pPr>
      <w:r>
        <w:rPr>
          <w:i/>
        </w:rPr>
        <w:t>e)</w:t>
      </w:r>
      <w:r>
        <w:t xml:space="preserve"> Au II, le mot : « qualifiées », est remplacé par le mot : « certifiées » ;</w:t>
      </w:r>
    </w:p>
    <w:p w14:paraId="63F4A9D4" w14:textId="77777777" w:rsidR="00BB0361" w:rsidRDefault="00BB0361" w:rsidP="00BB0361">
      <w:pPr>
        <w:ind w:firstLine="709"/>
      </w:pPr>
    </w:p>
    <w:p w14:paraId="3C24287F" w14:textId="77777777" w:rsidR="00BB0361" w:rsidRDefault="00BB0361" w:rsidP="00BB0361">
      <w:pPr>
        <w:ind w:firstLine="708"/>
      </w:pPr>
      <w:r>
        <w:lastRenderedPageBreak/>
        <w:t>5° Après l’article 22-8 est inséré un article 22-9 ainsi rédigé :</w:t>
      </w:r>
    </w:p>
    <w:p w14:paraId="52325AFD" w14:textId="77777777" w:rsidR="00BB0361" w:rsidRDefault="00BB0361" w:rsidP="00BB0361">
      <w:pPr>
        <w:tabs>
          <w:tab w:val="left" w:pos="5954"/>
        </w:tabs>
        <w:suppressAutoHyphens w:val="0"/>
        <w:ind w:left="709"/>
        <w:rPr>
          <w:lang w:eastAsia="fr-FR"/>
        </w:rPr>
      </w:pPr>
    </w:p>
    <w:p w14:paraId="70D9875B" w14:textId="77777777" w:rsidR="00BB0361" w:rsidRPr="005A4342" w:rsidRDefault="00BB0361" w:rsidP="00BB0361">
      <w:pPr>
        <w:ind w:firstLine="709"/>
        <w:rPr>
          <w:lang w:eastAsia="fr-FR"/>
        </w:rPr>
      </w:pPr>
      <w:r w:rsidRPr="005A4342">
        <w:rPr>
          <w:lang w:eastAsia="fr-FR"/>
        </w:rPr>
        <w:t>« </w:t>
      </w:r>
      <w:r w:rsidRPr="005A4342">
        <w:rPr>
          <w:i/>
          <w:lang w:eastAsia="fr-FR"/>
        </w:rPr>
        <w:t xml:space="preserve">Art. 22-9. - </w:t>
      </w:r>
      <w:r w:rsidRPr="005A4342">
        <w:rPr>
          <w:lang w:eastAsia="fr-FR"/>
        </w:rPr>
        <w:t xml:space="preserve">Dans un délai de deux mois maximum suivant la fin des travaux, l'entreprise de forage certifiée </w:t>
      </w:r>
      <w:r w:rsidRPr="005A4342">
        <w:t>pour ses prestations de travaux de forage</w:t>
      </w:r>
      <w:r w:rsidRPr="005A4342">
        <w:rPr>
          <w:sz w:val="22"/>
          <w:szCs w:val="22"/>
        </w:rPr>
        <w:t xml:space="preserve"> </w:t>
      </w:r>
      <w:r w:rsidRPr="005A4342">
        <w:rPr>
          <w:lang w:eastAsia="fr-FR"/>
        </w:rPr>
        <w:t>remet à l'exploitant</w:t>
      </w:r>
      <w:r>
        <w:rPr>
          <w:lang w:eastAsia="fr-FR"/>
        </w:rPr>
        <w:t>,</w:t>
      </w:r>
      <w:r w:rsidRPr="005A4342">
        <w:rPr>
          <w:lang w:eastAsia="fr-FR"/>
        </w:rPr>
        <w:t xml:space="preserve"> et dépose également sur le téléservice dédié à l'accomplissement des procédures relatives à la géothermie de minime importance défini à l’article 22-2 du présent décret, le rapport de fin </w:t>
      </w:r>
      <w:r>
        <w:rPr>
          <w:lang w:eastAsia="fr-FR"/>
        </w:rPr>
        <w:t>de forage</w:t>
      </w:r>
      <w:r w:rsidRPr="005A4342">
        <w:rPr>
          <w:lang w:eastAsia="fr-FR"/>
        </w:rPr>
        <w:t xml:space="preserve"> dont le contenu est précisé par un arrêté conjoint des ministres chargés des mines et de l’environnement. »</w:t>
      </w:r>
      <w:r>
        <w:rPr>
          <w:lang w:eastAsia="fr-FR"/>
        </w:rPr>
        <w:t> ;</w:t>
      </w:r>
      <w:r w:rsidRPr="005A4342">
        <w:rPr>
          <w:lang w:eastAsia="fr-FR"/>
        </w:rPr>
        <w:t xml:space="preserve">  </w:t>
      </w:r>
    </w:p>
    <w:p w14:paraId="642A9A07" w14:textId="77777777" w:rsidR="00BB0361" w:rsidRDefault="00BB0361" w:rsidP="00BB0361">
      <w:pPr>
        <w:ind w:firstLine="709"/>
      </w:pPr>
    </w:p>
    <w:p w14:paraId="5163F501" w14:textId="77777777" w:rsidR="00BB0361" w:rsidRDefault="00BB0361" w:rsidP="00BB0361">
      <w:pPr>
        <w:ind w:firstLine="709"/>
      </w:pPr>
      <w:r>
        <w:t>6° Au 6° de l’article 34-1, les mots : « l’attestation de qualification », sont remplacés par les mots : « la certification » ;</w:t>
      </w:r>
    </w:p>
    <w:p w14:paraId="02BB07E0" w14:textId="77777777" w:rsidR="00BB0361" w:rsidRDefault="00BB0361" w:rsidP="00BB0361">
      <w:r>
        <w:t xml:space="preserve"> </w:t>
      </w:r>
    </w:p>
    <w:p w14:paraId="5C29CE0D" w14:textId="77777777" w:rsidR="00BB0361" w:rsidRDefault="00BB0361" w:rsidP="00BB0361">
      <w:pPr>
        <w:ind w:firstLine="709"/>
      </w:pPr>
      <w:r>
        <w:t>7° L’article 51-1 est ainsi modifié :</w:t>
      </w:r>
    </w:p>
    <w:p w14:paraId="4AD2B2F9" w14:textId="77777777" w:rsidR="00BB0361" w:rsidRDefault="00BB0361" w:rsidP="00BB0361">
      <w:pPr>
        <w:ind w:firstLine="709"/>
        <w:rPr>
          <w:i/>
        </w:rPr>
      </w:pPr>
    </w:p>
    <w:p w14:paraId="1028DAAB" w14:textId="77777777" w:rsidR="00BB0361" w:rsidRDefault="00BB0361" w:rsidP="00BB0361">
      <w:pPr>
        <w:ind w:firstLine="709"/>
      </w:pPr>
      <w:r w:rsidRPr="00AB55A8">
        <w:rPr>
          <w:i/>
        </w:rPr>
        <w:t>a)</w:t>
      </w:r>
      <w:r>
        <w:t xml:space="preserve"> Le dernier alinéa du I est ainsi rédigé : </w:t>
      </w:r>
    </w:p>
    <w:p w14:paraId="0A598E4B" w14:textId="77777777" w:rsidR="00BB0361" w:rsidRDefault="00BB0361" w:rsidP="00BB0361">
      <w:pPr>
        <w:ind w:firstLine="709"/>
      </w:pPr>
    </w:p>
    <w:p w14:paraId="28B48141" w14:textId="77777777" w:rsidR="00BB0361" w:rsidRDefault="00BB0361" w:rsidP="00BB0361">
      <w:pPr>
        <w:ind w:firstLine="709"/>
      </w:pPr>
      <w:r>
        <w:t xml:space="preserve">« Le téléservice prévu à l’article 22-2 permet également l'accomplissement des procédures relatives à l’arrêt des travaux d’exploitation. » ; </w:t>
      </w:r>
    </w:p>
    <w:p w14:paraId="2FCF6252" w14:textId="77777777" w:rsidR="00BB0361" w:rsidRDefault="00BB0361" w:rsidP="00BB0361"/>
    <w:p w14:paraId="41FBB71C" w14:textId="77777777" w:rsidR="00BB0361" w:rsidRDefault="00BB0361" w:rsidP="00BB0361">
      <w:pPr>
        <w:ind w:firstLine="709"/>
      </w:pPr>
      <w:r>
        <w:rPr>
          <w:i/>
        </w:rPr>
        <w:t xml:space="preserve">b) </w:t>
      </w:r>
      <w:r w:rsidRPr="00E9189E">
        <w:t>Après le troisième alinéa</w:t>
      </w:r>
      <w:r>
        <w:t xml:space="preserve"> du II est inséré l’alinéa suivant :</w:t>
      </w:r>
    </w:p>
    <w:p w14:paraId="70AC8669" w14:textId="77777777" w:rsidR="00BB0361" w:rsidRDefault="00BB0361" w:rsidP="00BB0361">
      <w:pPr>
        <w:ind w:firstLine="709"/>
      </w:pPr>
    </w:p>
    <w:p w14:paraId="25AD50CC" w14:textId="77777777" w:rsidR="00BB0361" w:rsidRDefault="00BB0361" w:rsidP="00BB0361">
      <w:pPr>
        <w:ind w:firstLine="709"/>
      </w:pPr>
      <w:r w:rsidRPr="0051772B">
        <w:t xml:space="preserve">« Lorsque la </w:t>
      </w:r>
      <w:r>
        <w:t>déclaration d'arrêt des travaux</w:t>
      </w:r>
      <w:r w:rsidRPr="0051772B">
        <w:t xml:space="preserve"> d'un gîte géothermique de minime importance est établie conformément au présent article, le téléservice délivre immédiatement</w:t>
      </w:r>
      <w:r>
        <w:t>,</w:t>
      </w:r>
      <w:r w:rsidRPr="0051772B">
        <w:t xml:space="preserve"> par voie électronique</w:t>
      </w:r>
      <w:r>
        <w:t>,</w:t>
      </w:r>
      <w:r w:rsidRPr="0051772B">
        <w:t xml:space="preserve"> une preuve de dépôt de la déclaration. »</w:t>
      </w:r>
      <w:r>
        <w:t> ;</w:t>
      </w:r>
    </w:p>
    <w:p w14:paraId="05017642" w14:textId="77777777" w:rsidR="00BB0361" w:rsidRDefault="00BB0361" w:rsidP="00BB0361">
      <w:pPr>
        <w:ind w:firstLine="709"/>
        <w:rPr>
          <w:i/>
        </w:rPr>
      </w:pPr>
    </w:p>
    <w:p w14:paraId="242274C8" w14:textId="77777777" w:rsidR="00BB0361" w:rsidRDefault="00BB0361" w:rsidP="00BB0361">
      <w:pPr>
        <w:ind w:firstLine="709"/>
      </w:pPr>
      <w:r>
        <w:rPr>
          <w:i/>
        </w:rPr>
        <w:t xml:space="preserve">c) </w:t>
      </w:r>
      <w:r>
        <w:t>Le dernier alinéa du II est ainsi rédigé :</w:t>
      </w:r>
    </w:p>
    <w:p w14:paraId="58E6D5FA" w14:textId="77777777" w:rsidR="00BB0361" w:rsidRDefault="00BB0361" w:rsidP="00BB0361">
      <w:pPr>
        <w:ind w:firstLine="709"/>
      </w:pPr>
    </w:p>
    <w:p w14:paraId="2AABAFF0" w14:textId="77777777" w:rsidR="00BB0361" w:rsidRDefault="00BB0361" w:rsidP="00BB0361">
      <w:pPr>
        <w:ind w:firstLine="709"/>
      </w:pPr>
      <w:r w:rsidRPr="00AB55A8">
        <w:t xml:space="preserve">« S'il n'est constaté aucun danger ou inconvénient grave au regard des intérêts mentionnés à l'article L. 161-1 du code minier, </w:t>
      </w:r>
      <w:r>
        <w:t xml:space="preserve">et si les travaux ont été effectués conformément aux prescriptions techniques rendues applicables par l’arrêté ministériel prévu à l’article 22-, </w:t>
      </w:r>
      <w:r w:rsidRPr="00AB55A8">
        <w:t>il est mis fin à la police des mines à compter d'un an après la date de la preuve de dépôt de la déclaration</w:t>
      </w:r>
      <w:r>
        <w:t xml:space="preserve">. ».  </w:t>
      </w:r>
      <w:r w:rsidRPr="00AB55A8" w:rsidDel="00DF0B3C">
        <w:t xml:space="preserve"> </w:t>
      </w:r>
    </w:p>
    <w:p w14:paraId="5C270188" w14:textId="5C8B65EA" w:rsidR="007D53EB" w:rsidRDefault="007D53EB" w:rsidP="00392FF6">
      <w:pPr>
        <w:ind w:firstLine="709"/>
      </w:pPr>
    </w:p>
    <w:p w14:paraId="4C2D1B84" w14:textId="3302DC59" w:rsidR="00E63BB9" w:rsidRPr="004F61DA" w:rsidRDefault="00E63BB9" w:rsidP="004F61DA">
      <w:pPr>
        <w:pStyle w:val="Titre1"/>
        <w:rPr>
          <w:b w:val="0"/>
        </w:rPr>
      </w:pPr>
      <w:r w:rsidRPr="004F61DA">
        <w:t>Article</w:t>
      </w:r>
      <w:r w:rsidRPr="004F61DA">
        <w:rPr>
          <w:b w:val="0"/>
        </w:rPr>
        <w:t xml:space="preserve"> </w:t>
      </w:r>
      <w:r w:rsidR="00D03B62" w:rsidRPr="004F61DA">
        <w:t>3</w:t>
      </w:r>
    </w:p>
    <w:p w14:paraId="1E72395F" w14:textId="77777777" w:rsidR="004F61DA" w:rsidRDefault="004F61DA" w:rsidP="00BB0361">
      <w:pPr>
        <w:ind w:firstLine="709"/>
      </w:pPr>
    </w:p>
    <w:p w14:paraId="469DCF8B" w14:textId="606504B3" w:rsidR="00BB0361" w:rsidRDefault="00BB0361" w:rsidP="00BB0361">
      <w:pPr>
        <w:ind w:firstLine="709"/>
      </w:pPr>
      <w:r>
        <w:t>Les dispositions du présent décret entrent en vigueur le lendemain de sa publication,</w:t>
      </w:r>
      <w:r w:rsidRPr="00C9336E">
        <w:t xml:space="preserve"> </w:t>
      </w:r>
      <w:r>
        <w:t xml:space="preserve">dans les conditions et sous les réserves énoncées au présent article </w:t>
      </w:r>
      <w:r w:rsidRPr="00C9336E">
        <w:t>:</w:t>
      </w:r>
    </w:p>
    <w:p w14:paraId="2F2FF21F" w14:textId="77777777" w:rsidR="00BB0361" w:rsidRDefault="00BB0361" w:rsidP="00BB0361"/>
    <w:p w14:paraId="5D6854F2" w14:textId="77777777" w:rsidR="00BB0361" w:rsidRDefault="00BB0361" w:rsidP="00BB0361">
      <w:pPr>
        <w:ind w:firstLine="708"/>
      </w:pPr>
      <w:r>
        <w:t>1° Les dispositions des 2°, 4° et 6° de l’article 1</w:t>
      </w:r>
      <w:r w:rsidRPr="00B8181C">
        <w:rPr>
          <w:vertAlign w:val="superscript"/>
        </w:rPr>
        <w:t>er</w:t>
      </w:r>
      <w:r>
        <w:t xml:space="preserve"> du présent décret, entrent en vigueur à la date d’entrée en vigueur de l'arrêté des ministres chargés, respectivement, des mines, de l'environnement et de l'énergie pris en application de l’article 22-7 dans sa nouvelle rédaction et au plus tard le 1</w:t>
      </w:r>
      <w:r w:rsidRPr="005B5E66">
        <w:rPr>
          <w:vertAlign w:val="superscript"/>
        </w:rPr>
        <w:t>er</w:t>
      </w:r>
      <w:r>
        <w:t xml:space="preserve"> juillet 2025. L’arrêté précise les conditions dans lesquelles les qualifications régulièrement délivrées peuvent valoir certification à titre transitoire.</w:t>
      </w:r>
    </w:p>
    <w:p w14:paraId="068F9EE9" w14:textId="77777777" w:rsidR="00BB0361" w:rsidRDefault="00BB0361" w:rsidP="00BB0361">
      <w:pPr>
        <w:ind w:firstLine="708"/>
      </w:pPr>
    </w:p>
    <w:p w14:paraId="4ECFFFB3" w14:textId="77777777" w:rsidR="00BB0361" w:rsidRPr="00452FEC" w:rsidRDefault="00BB0361" w:rsidP="00BB0361">
      <w:pPr>
        <w:ind w:firstLine="708"/>
        <w:rPr>
          <w:rFonts w:cstheme="minorHAnsi"/>
        </w:rPr>
      </w:pPr>
      <w:r>
        <w:rPr>
          <w:rFonts w:cstheme="minorHAnsi"/>
        </w:rPr>
        <w:t>2° Les dispositions du 3° de l’article 1</w:t>
      </w:r>
      <w:r w:rsidRPr="00687271">
        <w:rPr>
          <w:rFonts w:cstheme="minorHAnsi"/>
          <w:vertAlign w:val="superscript"/>
        </w:rPr>
        <w:t>er</w:t>
      </w:r>
      <w:r>
        <w:rPr>
          <w:rFonts w:cstheme="minorHAnsi"/>
        </w:rPr>
        <w:t xml:space="preserve"> sont applicables aux premières demandes d’autorisations et déclarations d’un projet déposées à compter de sa date d’entrée en vigueur.</w:t>
      </w:r>
    </w:p>
    <w:p w14:paraId="41E7AC0D" w14:textId="77777777" w:rsidR="00B8181C" w:rsidRDefault="00B8181C" w:rsidP="00F6573F">
      <w:pPr>
        <w:ind w:firstLine="709"/>
      </w:pPr>
    </w:p>
    <w:p w14:paraId="6285B390" w14:textId="3FBA045F" w:rsidR="008426DA" w:rsidRDefault="00C267E4" w:rsidP="007C358F">
      <w:pPr>
        <w:pStyle w:val="Titre1"/>
      </w:pPr>
      <w:r>
        <w:t xml:space="preserve">Article </w:t>
      </w:r>
      <w:r w:rsidR="004F61DA">
        <w:t>4</w:t>
      </w:r>
    </w:p>
    <w:p w14:paraId="40E1C780" w14:textId="77777777" w:rsidR="00ED6D8F" w:rsidRDefault="00ED6D8F" w:rsidP="00343831">
      <w:pPr>
        <w:rPr>
          <w:lang w:eastAsia="fr-FR"/>
        </w:rPr>
      </w:pPr>
    </w:p>
    <w:p w14:paraId="00345B7D" w14:textId="704649DC" w:rsidR="00D006C4" w:rsidRPr="00AB30E2" w:rsidRDefault="006071B1" w:rsidP="0085095E">
      <w:pPr>
        <w:ind w:firstLine="709"/>
      </w:pPr>
      <w:r>
        <w:lastRenderedPageBreak/>
        <w:t xml:space="preserve">Le ministre de </w:t>
      </w:r>
      <w:r w:rsidRPr="00714BB1">
        <w:t>l’</w:t>
      </w:r>
      <w:r>
        <w:t>é</w:t>
      </w:r>
      <w:r w:rsidRPr="00714BB1">
        <w:t xml:space="preserve">conomie, des </w:t>
      </w:r>
      <w:r>
        <w:t>f</w:t>
      </w:r>
      <w:r w:rsidRPr="00714BB1">
        <w:t xml:space="preserve">inances et de la </w:t>
      </w:r>
      <w:r>
        <w:t>s</w:t>
      </w:r>
      <w:r w:rsidRPr="00714BB1">
        <w:t xml:space="preserve">ouveraineté </w:t>
      </w:r>
      <w:r>
        <w:t>i</w:t>
      </w:r>
      <w:r w:rsidRPr="00714BB1">
        <w:t xml:space="preserve">ndustrielle et </w:t>
      </w:r>
      <w:r>
        <w:t>n</w:t>
      </w:r>
      <w:r w:rsidRPr="00714BB1">
        <w:t>umériqu</w:t>
      </w:r>
      <w:r>
        <w:t xml:space="preserve">e, la ministre de la transition énergétique et le ministre chargé de l’environnement, sont chargés, chacun en ce qui le concerne, de l'exécution du présent décret, qui sera publié au </w:t>
      </w:r>
      <w:r w:rsidRPr="00092DC6">
        <w:rPr>
          <w:i/>
        </w:rPr>
        <w:t>Journal officiel</w:t>
      </w:r>
      <w:r>
        <w:t xml:space="preserve"> de la République française.</w:t>
      </w:r>
    </w:p>
    <w:p w14:paraId="0340997C" w14:textId="77777777" w:rsidR="00E661A9" w:rsidRDefault="00C0013C" w:rsidP="008404A7">
      <w:pPr>
        <w:pStyle w:val="SNDate"/>
      </w:pPr>
      <w:r>
        <w:t xml:space="preserve">Fait le </w:t>
      </w:r>
    </w:p>
    <w:p w14:paraId="0905B1AC" w14:textId="478638DF" w:rsidR="008404A7" w:rsidRDefault="00C0013C" w:rsidP="008404A7">
      <w:pPr>
        <w:pStyle w:val="SNDate"/>
      </w:pPr>
      <w:r>
        <w:t>Par l</w:t>
      </w:r>
      <w:r w:rsidR="0040511C">
        <w:t>a</w:t>
      </w:r>
      <w:r>
        <w:t xml:space="preserve"> </w:t>
      </w:r>
      <w:r w:rsidR="008B5A31">
        <w:t>Première</w:t>
      </w:r>
      <w:r>
        <w:t xml:space="preserve"> ministre :</w:t>
      </w:r>
    </w:p>
    <w:p w14:paraId="38D5911A" w14:textId="7692F098" w:rsidR="008404A7" w:rsidRDefault="00244134" w:rsidP="008404A7">
      <w:pPr>
        <w:pStyle w:val="SNDate"/>
      </w:pPr>
      <w:r>
        <w:t xml:space="preserve">Le </w:t>
      </w:r>
      <w:r w:rsidR="00FA45BB">
        <w:t xml:space="preserve">ministre </w:t>
      </w:r>
      <w:r w:rsidR="00315125">
        <w:t xml:space="preserve">de la </w:t>
      </w:r>
      <w:r w:rsidR="00490CA8" w:rsidRPr="00714BB1">
        <w:t>l’Economie, des Finances et de la Souveraineté Industrielle et Numérique</w:t>
      </w:r>
    </w:p>
    <w:p w14:paraId="3EF6C699" w14:textId="41A806D0" w:rsidR="00FA45BB" w:rsidRDefault="00490CA8" w:rsidP="008404A7">
      <w:pPr>
        <w:pStyle w:val="SNDate"/>
      </w:pPr>
      <w:r>
        <w:t>Bruno LE MAIRE</w:t>
      </w:r>
    </w:p>
    <w:p w14:paraId="1C2DC1F0" w14:textId="134D2975" w:rsidR="00FA45BB" w:rsidRDefault="00FA45BB" w:rsidP="00FA45BB">
      <w:pPr>
        <w:pStyle w:val="SNSignatureDroite"/>
      </w:pPr>
      <w:r>
        <w:t xml:space="preserve">La </w:t>
      </w:r>
      <w:r w:rsidRPr="00FA45BB">
        <w:t xml:space="preserve">ministre de la Transition </w:t>
      </w:r>
      <w:r w:rsidR="00490CA8">
        <w:t>E</w:t>
      </w:r>
      <w:r w:rsidR="00490CA8" w:rsidRPr="00FA45BB">
        <w:t>nergétique</w:t>
      </w:r>
      <w:r w:rsidR="00490CA8">
        <w:t xml:space="preserve">  </w:t>
      </w:r>
    </w:p>
    <w:p w14:paraId="3198EB60" w14:textId="002D0DF9" w:rsidR="00244134" w:rsidRPr="00244134" w:rsidRDefault="00FA45BB" w:rsidP="00244134">
      <w:pPr>
        <w:pStyle w:val="SNSignatureDroite"/>
      </w:pPr>
      <w:r>
        <w:lastRenderedPageBreak/>
        <w:t>Agnès PANNIER-RUNACHER</w:t>
      </w:r>
    </w:p>
    <w:p w14:paraId="36D0AC07" w14:textId="139ADF96" w:rsidR="005F30E2" w:rsidRDefault="005F30E2">
      <w:pPr>
        <w:pStyle w:val="SNSignatureDroite"/>
      </w:pPr>
    </w:p>
    <w:sectPr w:rsidR="005F30E2" w:rsidSect="00633847">
      <w:headerReference w:type="default" r:id="rId8"/>
      <w:pgSz w:w="11906" w:h="16838"/>
      <w:pgMar w:top="1134" w:right="1418" w:bottom="1418"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2B91F" w14:textId="77777777" w:rsidR="008E3AA1" w:rsidRDefault="008E3AA1" w:rsidP="00DC6C3D">
      <w:r>
        <w:separator/>
      </w:r>
    </w:p>
  </w:endnote>
  <w:endnote w:type="continuationSeparator" w:id="0">
    <w:p w14:paraId="356B2BA5" w14:textId="77777777" w:rsidR="008E3AA1" w:rsidRDefault="008E3AA1" w:rsidP="00DC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LT Std">
    <w:altName w:val="Times LT St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F89FC" w14:textId="77777777" w:rsidR="008E3AA1" w:rsidRDefault="008E3AA1" w:rsidP="00DC6C3D">
      <w:r>
        <w:separator/>
      </w:r>
    </w:p>
  </w:footnote>
  <w:footnote w:type="continuationSeparator" w:id="0">
    <w:p w14:paraId="05BC2AB6" w14:textId="77777777" w:rsidR="008E3AA1" w:rsidRDefault="008E3AA1" w:rsidP="00DC6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877030"/>
      <w:docPartObj>
        <w:docPartGallery w:val="Page Numbers (Top of Page)"/>
        <w:docPartUnique/>
      </w:docPartObj>
    </w:sdtPr>
    <w:sdtEndPr/>
    <w:sdtContent>
      <w:p w14:paraId="5CCFCE11" w14:textId="77777777" w:rsidR="00092DC6" w:rsidRDefault="00092DC6" w:rsidP="00835416">
        <w:pPr>
          <w:pStyle w:val="En-tte"/>
          <w:jc w:val="right"/>
        </w:pPr>
      </w:p>
      <w:p w14:paraId="6E0EC287" w14:textId="77777777" w:rsidR="00092DC6" w:rsidRDefault="00092DC6" w:rsidP="00835416">
        <w:pPr>
          <w:pStyle w:val="En-tte"/>
          <w:jc w:val="right"/>
        </w:pPr>
      </w:p>
      <w:p w14:paraId="45C011C2" w14:textId="77777777" w:rsidR="00092DC6" w:rsidRDefault="00092DC6" w:rsidP="00835416">
        <w:pPr>
          <w:pStyle w:val="En-tte"/>
          <w:jc w:val="right"/>
        </w:pPr>
      </w:p>
      <w:p w14:paraId="09E245C5" w14:textId="755E9FFA" w:rsidR="00092DC6" w:rsidRDefault="00092DC6" w:rsidP="00835416">
        <w:pPr>
          <w:pStyle w:val="En-tte"/>
          <w:jc w:val="right"/>
        </w:pPr>
        <w:r>
          <w:t xml:space="preserve">Page </w:t>
        </w:r>
        <w:r>
          <w:rPr>
            <w:b/>
            <w:bCs/>
          </w:rPr>
          <w:fldChar w:fldCharType="begin"/>
        </w:r>
        <w:r>
          <w:rPr>
            <w:b/>
            <w:bCs/>
          </w:rPr>
          <w:instrText>PAGE  \* Arabic  \* MERGEFORMAT</w:instrText>
        </w:r>
        <w:r>
          <w:rPr>
            <w:b/>
            <w:bCs/>
          </w:rPr>
          <w:fldChar w:fldCharType="separate"/>
        </w:r>
        <w:r w:rsidR="0030325B">
          <w:rPr>
            <w:b/>
            <w:bCs/>
            <w:noProof/>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sidR="0030325B">
          <w:rPr>
            <w:b/>
            <w:bCs/>
            <w:noProof/>
          </w:rPr>
          <w:t>6</w:t>
        </w:r>
        <w:r>
          <w:rPr>
            <w:b/>
            <w:bCs/>
          </w:rPr>
          <w:fldChar w:fldCharType="end"/>
        </w:r>
      </w:p>
    </w:sdtContent>
  </w:sdt>
  <w:p w14:paraId="578E9FC4" w14:textId="77777777" w:rsidR="00092DC6" w:rsidRDefault="00092DC6" w:rsidP="00835416">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D78"/>
    <w:multiLevelType w:val="multilevel"/>
    <w:tmpl w:val="5A106BF0"/>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pStyle w:val="Titre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1032560"/>
    <w:multiLevelType w:val="hybridMultilevel"/>
    <w:tmpl w:val="78DAD2DE"/>
    <w:lvl w:ilvl="0" w:tplc="87C6392A">
      <w:start w:val="1"/>
      <w:numFmt w:val="lowerLetter"/>
      <w:lvlText w:val="%1)"/>
      <w:lvlJc w:val="left"/>
      <w:pPr>
        <w:ind w:left="1069" w:hanging="36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2333050A"/>
    <w:multiLevelType w:val="hybridMultilevel"/>
    <w:tmpl w:val="A768AF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6A23E4"/>
    <w:multiLevelType w:val="hybridMultilevel"/>
    <w:tmpl w:val="22C4134E"/>
    <w:lvl w:ilvl="0" w:tplc="735888B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572222"/>
    <w:multiLevelType w:val="hybridMultilevel"/>
    <w:tmpl w:val="3E8838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AC38F5"/>
    <w:multiLevelType w:val="hybridMultilevel"/>
    <w:tmpl w:val="B7CA614E"/>
    <w:lvl w:ilvl="0" w:tplc="B858BC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46230E"/>
    <w:multiLevelType w:val="hybridMultilevel"/>
    <w:tmpl w:val="FD683A66"/>
    <w:lvl w:ilvl="0" w:tplc="9F8C6C3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26D3A9B"/>
    <w:multiLevelType w:val="hybridMultilevel"/>
    <w:tmpl w:val="52E46CA4"/>
    <w:lvl w:ilvl="0" w:tplc="15024AA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1915D7"/>
    <w:multiLevelType w:val="hybridMultilevel"/>
    <w:tmpl w:val="10282562"/>
    <w:lvl w:ilvl="0" w:tplc="67127AB6">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468F104B"/>
    <w:multiLevelType w:val="hybridMultilevel"/>
    <w:tmpl w:val="BCA8330C"/>
    <w:lvl w:ilvl="0" w:tplc="B434D5CA">
      <w:start w:val="1"/>
      <w:numFmt w:val="lowerLetter"/>
      <w:lvlText w:val="%1)"/>
      <w:lvlJc w:val="left"/>
      <w:pPr>
        <w:ind w:left="644" w:hanging="360"/>
      </w:pPr>
      <w:rPr>
        <w:rFonts w:hint="default"/>
        <w:i/>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4F041C9E"/>
    <w:multiLevelType w:val="hybridMultilevel"/>
    <w:tmpl w:val="CF125D26"/>
    <w:lvl w:ilvl="0" w:tplc="B896F05E">
      <w:start w:val="1"/>
      <w:numFmt w:val="lowerLetter"/>
      <w:lvlText w:val="%1)"/>
      <w:lvlJc w:val="left"/>
      <w:pPr>
        <w:ind w:left="1069" w:hanging="36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15:restartNumberingAfterBreak="0">
    <w:nsid w:val="51F43E3F"/>
    <w:multiLevelType w:val="hybridMultilevel"/>
    <w:tmpl w:val="1D08169A"/>
    <w:lvl w:ilvl="0" w:tplc="8264BD28">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21223D"/>
    <w:multiLevelType w:val="hybridMultilevel"/>
    <w:tmpl w:val="09F418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E73356A"/>
    <w:multiLevelType w:val="hybridMultilevel"/>
    <w:tmpl w:val="1264C4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1D55E3"/>
    <w:multiLevelType w:val="hybridMultilevel"/>
    <w:tmpl w:val="A66C0E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12"/>
  </w:num>
  <w:num w:numId="5">
    <w:abstractNumId w:val="2"/>
  </w:num>
  <w:num w:numId="6">
    <w:abstractNumId w:val="9"/>
  </w:num>
  <w:num w:numId="7">
    <w:abstractNumId w:val="7"/>
  </w:num>
  <w:num w:numId="8">
    <w:abstractNumId w:val="14"/>
  </w:num>
  <w:num w:numId="9">
    <w:abstractNumId w:val="3"/>
  </w:num>
  <w:num w:numId="10">
    <w:abstractNumId w:val="5"/>
  </w:num>
  <w:num w:numId="11">
    <w:abstractNumId w:val="10"/>
  </w:num>
  <w:num w:numId="12">
    <w:abstractNumId w:val="4"/>
  </w:num>
  <w:num w:numId="13">
    <w:abstractNumId w:val="13"/>
  </w:num>
  <w:num w:numId="14">
    <w:abstractNumId w:val="1"/>
  </w:num>
  <w:num w:numId="15">
    <w:abstractNumId w:val="0"/>
  </w:num>
  <w:num w:numId="16">
    <w:abstractNumId w:val="8"/>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E2"/>
    <w:rsid w:val="00022668"/>
    <w:rsid w:val="00027537"/>
    <w:rsid w:val="000275F6"/>
    <w:rsid w:val="00034DDC"/>
    <w:rsid w:val="00037EE5"/>
    <w:rsid w:val="0005373A"/>
    <w:rsid w:val="00054923"/>
    <w:rsid w:val="00056B23"/>
    <w:rsid w:val="00061DBD"/>
    <w:rsid w:val="00080688"/>
    <w:rsid w:val="000841C4"/>
    <w:rsid w:val="0008735D"/>
    <w:rsid w:val="000875E4"/>
    <w:rsid w:val="00092DC6"/>
    <w:rsid w:val="00094B74"/>
    <w:rsid w:val="000B2499"/>
    <w:rsid w:val="000B5D63"/>
    <w:rsid w:val="000C5163"/>
    <w:rsid w:val="000C7D33"/>
    <w:rsid w:val="000E1AF4"/>
    <w:rsid w:val="000E58DB"/>
    <w:rsid w:val="000E6054"/>
    <w:rsid w:val="000F34F9"/>
    <w:rsid w:val="000F6AD1"/>
    <w:rsid w:val="00101E49"/>
    <w:rsid w:val="00103C47"/>
    <w:rsid w:val="0011414A"/>
    <w:rsid w:val="00127180"/>
    <w:rsid w:val="00137102"/>
    <w:rsid w:val="00137DF2"/>
    <w:rsid w:val="001452B6"/>
    <w:rsid w:val="00145381"/>
    <w:rsid w:val="00151BA4"/>
    <w:rsid w:val="00153FAA"/>
    <w:rsid w:val="0016126F"/>
    <w:rsid w:val="00161FE3"/>
    <w:rsid w:val="001626F3"/>
    <w:rsid w:val="00166F1E"/>
    <w:rsid w:val="00175BDA"/>
    <w:rsid w:val="00176015"/>
    <w:rsid w:val="00181176"/>
    <w:rsid w:val="00181298"/>
    <w:rsid w:val="001873F9"/>
    <w:rsid w:val="00190C26"/>
    <w:rsid w:val="00192802"/>
    <w:rsid w:val="001928F7"/>
    <w:rsid w:val="00197FCF"/>
    <w:rsid w:val="001B7587"/>
    <w:rsid w:val="001C6A54"/>
    <w:rsid w:val="001D3B2D"/>
    <w:rsid w:val="001E6F63"/>
    <w:rsid w:val="001F1440"/>
    <w:rsid w:val="001F792F"/>
    <w:rsid w:val="002219AA"/>
    <w:rsid w:val="00236276"/>
    <w:rsid w:val="00236653"/>
    <w:rsid w:val="00236E88"/>
    <w:rsid w:val="00241933"/>
    <w:rsid w:val="00244134"/>
    <w:rsid w:val="002558CE"/>
    <w:rsid w:val="00255BB4"/>
    <w:rsid w:val="00256EA3"/>
    <w:rsid w:val="002701B5"/>
    <w:rsid w:val="0027253A"/>
    <w:rsid w:val="00272A41"/>
    <w:rsid w:val="002814E4"/>
    <w:rsid w:val="002820EC"/>
    <w:rsid w:val="00282845"/>
    <w:rsid w:val="002940C6"/>
    <w:rsid w:val="002979E9"/>
    <w:rsid w:val="002A08E2"/>
    <w:rsid w:val="002A4AB8"/>
    <w:rsid w:val="002C0730"/>
    <w:rsid w:val="002C557B"/>
    <w:rsid w:val="002D2F81"/>
    <w:rsid w:val="002D315E"/>
    <w:rsid w:val="002E7321"/>
    <w:rsid w:val="00301F60"/>
    <w:rsid w:val="0030325B"/>
    <w:rsid w:val="00303B85"/>
    <w:rsid w:val="0030590F"/>
    <w:rsid w:val="00307EE2"/>
    <w:rsid w:val="00310767"/>
    <w:rsid w:val="003107D7"/>
    <w:rsid w:val="00315125"/>
    <w:rsid w:val="003229D0"/>
    <w:rsid w:val="003323D6"/>
    <w:rsid w:val="00336859"/>
    <w:rsid w:val="00342725"/>
    <w:rsid w:val="00343831"/>
    <w:rsid w:val="003455FB"/>
    <w:rsid w:val="003458FF"/>
    <w:rsid w:val="003503F6"/>
    <w:rsid w:val="00351A93"/>
    <w:rsid w:val="00355BB3"/>
    <w:rsid w:val="00360F53"/>
    <w:rsid w:val="00374118"/>
    <w:rsid w:val="00376AA0"/>
    <w:rsid w:val="003818AA"/>
    <w:rsid w:val="00381B1F"/>
    <w:rsid w:val="00383B6E"/>
    <w:rsid w:val="00387656"/>
    <w:rsid w:val="00392FF6"/>
    <w:rsid w:val="003A0B9B"/>
    <w:rsid w:val="003A1AC7"/>
    <w:rsid w:val="003A3CDF"/>
    <w:rsid w:val="003B10B2"/>
    <w:rsid w:val="003B390C"/>
    <w:rsid w:val="003C3A0A"/>
    <w:rsid w:val="003D71CF"/>
    <w:rsid w:val="003E3440"/>
    <w:rsid w:val="003E6D4A"/>
    <w:rsid w:val="003F2D5D"/>
    <w:rsid w:val="003F368F"/>
    <w:rsid w:val="003F65AB"/>
    <w:rsid w:val="004001F0"/>
    <w:rsid w:val="00403826"/>
    <w:rsid w:val="0040511C"/>
    <w:rsid w:val="00405A53"/>
    <w:rsid w:val="0040644B"/>
    <w:rsid w:val="00410D95"/>
    <w:rsid w:val="0042166C"/>
    <w:rsid w:val="00423FDE"/>
    <w:rsid w:val="004254C3"/>
    <w:rsid w:val="0042657E"/>
    <w:rsid w:val="00437592"/>
    <w:rsid w:val="00440649"/>
    <w:rsid w:val="00442524"/>
    <w:rsid w:val="0044608E"/>
    <w:rsid w:val="00451EF5"/>
    <w:rsid w:val="0045793E"/>
    <w:rsid w:val="00463076"/>
    <w:rsid w:val="004638E3"/>
    <w:rsid w:val="00463AAF"/>
    <w:rsid w:val="00466F3C"/>
    <w:rsid w:val="00473B51"/>
    <w:rsid w:val="00474EBD"/>
    <w:rsid w:val="00475113"/>
    <w:rsid w:val="004751A0"/>
    <w:rsid w:val="00480727"/>
    <w:rsid w:val="00484284"/>
    <w:rsid w:val="0048624D"/>
    <w:rsid w:val="0048668D"/>
    <w:rsid w:val="00490CA8"/>
    <w:rsid w:val="0049167F"/>
    <w:rsid w:val="00491B28"/>
    <w:rsid w:val="004A71D6"/>
    <w:rsid w:val="004B2F2B"/>
    <w:rsid w:val="004B3CA8"/>
    <w:rsid w:val="004B5F9C"/>
    <w:rsid w:val="004C0AD4"/>
    <w:rsid w:val="004C0B47"/>
    <w:rsid w:val="004C2B0B"/>
    <w:rsid w:val="004C2EF2"/>
    <w:rsid w:val="004C5897"/>
    <w:rsid w:val="004D1110"/>
    <w:rsid w:val="004D4B78"/>
    <w:rsid w:val="004D5AE0"/>
    <w:rsid w:val="004E62C4"/>
    <w:rsid w:val="004F2B47"/>
    <w:rsid w:val="004F61DA"/>
    <w:rsid w:val="0051230E"/>
    <w:rsid w:val="0051567D"/>
    <w:rsid w:val="005167B2"/>
    <w:rsid w:val="0051772B"/>
    <w:rsid w:val="0053117F"/>
    <w:rsid w:val="00536EF9"/>
    <w:rsid w:val="00537945"/>
    <w:rsid w:val="005512A3"/>
    <w:rsid w:val="00562C5D"/>
    <w:rsid w:val="00562E84"/>
    <w:rsid w:val="00570E81"/>
    <w:rsid w:val="005753B7"/>
    <w:rsid w:val="0057707D"/>
    <w:rsid w:val="00590A1D"/>
    <w:rsid w:val="00590E19"/>
    <w:rsid w:val="00593229"/>
    <w:rsid w:val="005A3F42"/>
    <w:rsid w:val="005A4342"/>
    <w:rsid w:val="005A5020"/>
    <w:rsid w:val="005A72D1"/>
    <w:rsid w:val="005B05BF"/>
    <w:rsid w:val="005B149D"/>
    <w:rsid w:val="005B5E66"/>
    <w:rsid w:val="005B7602"/>
    <w:rsid w:val="005C23F0"/>
    <w:rsid w:val="005D2FBD"/>
    <w:rsid w:val="005E6110"/>
    <w:rsid w:val="005F256E"/>
    <w:rsid w:val="005F30E2"/>
    <w:rsid w:val="00600AFB"/>
    <w:rsid w:val="006037F0"/>
    <w:rsid w:val="006071B1"/>
    <w:rsid w:val="006112CA"/>
    <w:rsid w:val="00612E05"/>
    <w:rsid w:val="006253DA"/>
    <w:rsid w:val="00625C95"/>
    <w:rsid w:val="00632D30"/>
    <w:rsid w:val="00633847"/>
    <w:rsid w:val="00636E1D"/>
    <w:rsid w:val="00645353"/>
    <w:rsid w:val="00657959"/>
    <w:rsid w:val="006650EB"/>
    <w:rsid w:val="006679C6"/>
    <w:rsid w:val="0068048C"/>
    <w:rsid w:val="0068082F"/>
    <w:rsid w:val="00691BDA"/>
    <w:rsid w:val="00696616"/>
    <w:rsid w:val="006A3F96"/>
    <w:rsid w:val="006A52EF"/>
    <w:rsid w:val="006A59BD"/>
    <w:rsid w:val="006A75CB"/>
    <w:rsid w:val="006B1D70"/>
    <w:rsid w:val="006C5785"/>
    <w:rsid w:val="006C6C6D"/>
    <w:rsid w:val="006C765E"/>
    <w:rsid w:val="006C7902"/>
    <w:rsid w:val="006D1217"/>
    <w:rsid w:val="006D409C"/>
    <w:rsid w:val="006D5B5C"/>
    <w:rsid w:val="006D6CE4"/>
    <w:rsid w:val="006E08F7"/>
    <w:rsid w:val="006E3211"/>
    <w:rsid w:val="006E6DC7"/>
    <w:rsid w:val="006F2086"/>
    <w:rsid w:val="006F65B5"/>
    <w:rsid w:val="00701C32"/>
    <w:rsid w:val="007022FE"/>
    <w:rsid w:val="00707351"/>
    <w:rsid w:val="0070783D"/>
    <w:rsid w:val="007154A6"/>
    <w:rsid w:val="00720B09"/>
    <w:rsid w:val="0073483F"/>
    <w:rsid w:val="0075113F"/>
    <w:rsid w:val="007521BB"/>
    <w:rsid w:val="007540D7"/>
    <w:rsid w:val="0075431C"/>
    <w:rsid w:val="00763A58"/>
    <w:rsid w:val="00764024"/>
    <w:rsid w:val="0076410A"/>
    <w:rsid w:val="0077410B"/>
    <w:rsid w:val="00777672"/>
    <w:rsid w:val="00785981"/>
    <w:rsid w:val="0079232E"/>
    <w:rsid w:val="007936D1"/>
    <w:rsid w:val="007953C9"/>
    <w:rsid w:val="007A3C78"/>
    <w:rsid w:val="007B306D"/>
    <w:rsid w:val="007B491D"/>
    <w:rsid w:val="007C358F"/>
    <w:rsid w:val="007C6D87"/>
    <w:rsid w:val="007D0094"/>
    <w:rsid w:val="007D0722"/>
    <w:rsid w:val="007D53EB"/>
    <w:rsid w:val="007E71BB"/>
    <w:rsid w:val="007E7E8D"/>
    <w:rsid w:val="007F1669"/>
    <w:rsid w:val="007F29D0"/>
    <w:rsid w:val="008007FE"/>
    <w:rsid w:val="00800BC1"/>
    <w:rsid w:val="00804D6A"/>
    <w:rsid w:val="00811843"/>
    <w:rsid w:val="008233D1"/>
    <w:rsid w:val="00835416"/>
    <w:rsid w:val="008404A7"/>
    <w:rsid w:val="00841081"/>
    <w:rsid w:val="008426DA"/>
    <w:rsid w:val="0084677B"/>
    <w:rsid w:val="0085095E"/>
    <w:rsid w:val="00851F12"/>
    <w:rsid w:val="0085293D"/>
    <w:rsid w:val="00864C50"/>
    <w:rsid w:val="008718F5"/>
    <w:rsid w:val="0087418E"/>
    <w:rsid w:val="008768BD"/>
    <w:rsid w:val="0088194B"/>
    <w:rsid w:val="00887C08"/>
    <w:rsid w:val="00892D03"/>
    <w:rsid w:val="00892D43"/>
    <w:rsid w:val="0089351B"/>
    <w:rsid w:val="0089429B"/>
    <w:rsid w:val="00895C47"/>
    <w:rsid w:val="008A4D64"/>
    <w:rsid w:val="008A70AA"/>
    <w:rsid w:val="008B5A31"/>
    <w:rsid w:val="008B7DAD"/>
    <w:rsid w:val="008C0DF2"/>
    <w:rsid w:val="008C622B"/>
    <w:rsid w:val="008C66CD"/>
    <w:rsid w:val="008D58F6"/>
    <w:rsid w:val="008E1D99"/>
    <w:rsid w:val="008E2401"/>
    <w:rsid w:val="008E3AA1"/>
    <w:rsid w:val="008E7E42"/>
    <w:rsid w:val="00903B51"/>
    <w:rsid w:val="009071A6"/>
    <w:rsid w:val="009075BF"/>
    <w:rsid w:val="00911666"/>
    <w:rsid w:val="00920D91"/>
    <w:rsid w:val="00925FE2"/>
    <w:rsid w:val="00932BA3"/>
    <w:rsid w:val="0094148E"/>
    <w:rsid w:val="00947014"/>
    <w:rsid w:val="00953AC5"/>
    <w:rsid w:val="00955814"/>
    <w:rsid w:val="0096584A"/>
    <w:rsid w:val="00965EA1"/>
    <w:rsid w:val="0096724E"/>
    <w:rsid w:val="00970BA9"/>
    <w:rsid w:val="0097655E"/>
    <w:rsid w:val="009843E0"/>
    <w:rsid w:val="00986CBC"/>
    <w:rsid w:val="0099070D"/>
    <w:rsid w:val="0099745D"/>
    <w:rsid w:val="009974DA"/>
    <w:rsid w:val="009B3CDC"/>
    <w:rsid w:val="009B77A2"/>
    <w:rsid w:val="009C3F76"/>
    <w:rsid w:val="009C4997"/>
    <w:rsid w:val="009E35D7"/>
    <w:rsid w:val="009F4658"/>
    <w:rsid w:val="009F64D9"/>
    <w:rsid w:val="009F67B9"/>
    <w:rsid w:val="00A02730"/>
    <w:rsid w:val="00A0482A"/>
    <w:rsid w:val="00A075CD"/>
    <w:rsid w:val="00A12238"/>
    <w:rsid w:val="00A22CBE"/>
    <w:rsid w:val="00A25BB8"/>
    <w:rsid w:val="00A26B93"/>
    <w:rsid w:val="00A43569"/>
    <w:rsid w:val="00A47379"/>
    <w:rsid w:val="00A577AA"/>
    <w:rsid w:val="00A57A5E"/>
    <w:rsid w:val="00A629DA"/>
    <w:rsid w:val="00A62AEA"/>
    <w:rsid w:val="00A6465A"/>
    <w:rsid w:val="00A67065"/>
    <w:rsid w:val="00A7391D"/>
    <w:rsid w:val="00A81962"/>
    <w:rsid w:val="00A83DBC"/>
    <w:rsid w:val="00A86215"/>
    <w:rsid w:val="00AA51F2"/>
    <w:rsid w:val="00AA5BDE"/>
    <w:rsid w:val="00AA7C22"/>
    <w:rsid w:val="00AB55A8"/>
    <w:rsid w:val="00AB7CF5"/>
    <w:rsid w:val="00AC17E7"/>
    <w:rsid w:val="00AC1E21"/>
    <w:rsid w:val="00AC2CC7"/>
    <w:rsid w:val="00AD037F"/>
    <w:rsid w:val="00AD711A"/>
    <w:rsid w:val="00AE7225"/>
    <w:rsid w:val="00AF4D0E"/>
    <w:rsid w:val="00AF58B4"/>
    <w:rsid w:val="00B0085A"/>
    <w:rsid w:val="00B02192"/>
    <w:rsid w:val="00B136AB"/>
    <w:rsid w:val="00B22C93"/>
    <w:rsid w:val="00B415B2"/>
    <w:rsid w:val="00B41A55"/>
    <w:rsid w:val="00B47419"/>
    <w:rsid w:val="00B54EF8"/>
    <w:rsid w:val="00B60A4C"/>
    <w:rsid w:val="00B62DE8"/>
    <w:rsid w:val="00B63588"/>
    <w:rsid w:val="00B66749"/>
    <w:rsid w:val="00B67281"/>
    <w:rsid w:val="00B74AE4"/>
    <w:rsid w:val="00B750B1"/>
    <w:rsid w:val="00B77B7D"/>
    <w:rsid w:val="00B805F4"/>
    <w:rsid w:val="00B8181C"/>
    <w:rsid w:val="00B84592"/>
    <w:rsid w:val="00B867F3"/>
    <w:rsid w:val="00B96A31"/>
    <w:rsid w:val="00BA2D46"/>
    <w:rsid w:val="00BA497B"/>
    <w:rsid w:val="00BA5814"/>
    <w:rsid w:val="00BA5B20"/>
    <w:rsid w:val="00BB0361"/>
    <w:rsid w:val="00BB23C6"/>
    <w:rsid w:val="00BC41B7"/>
    <w:rsid w:val="00BC684A"/>
    <w:rsid w:val="00BD0112"/>
    <w:rsid w:val="00BE198E"/>
    <w:rsid w:val="00BE4CE6"/>
    <w:rsid w:val="00BE6200"/>
    <w:rsid w:val="00BF39F6"/>
    <w:rsid w:val="00BF5045"/>
    <w:rsid w:val="00C0013C"/>
    <w:rsid w:val="00C018D4"/>
    <w:rsid w:val="00C10794"/>
    <w:rsid w:val="00C13382"/>
    <w:rsid w:val="00C1375D"/>
    <w:rsid w:val="00C17A9F"/>
    <w:rsid w:val="00C200EF"/>
    <w:rsid w:val="00C25D33"/>
    <w:rsid w:val="00C267E4"/>
    <w:rsid w:val="00C32ECC"/>
    <w:rsid w:val="00C352FE"/>
    <w:rsid w:val="00C3711B"/>
    <w:rsid w:val="00C417F7"/>
    <w:rsid w:val="00C4678C"/>
    <w:rsid w:val="00C535E8"/>
    <w:rsid w:val="00C53E43"/>
    <w:rsid w:val="00C541EF"/>
    <w:rsid w:val="00C5477B"/>
    <w:rsid w:val="00C63350"/>
    <w:rsid w:val="00C64322"/>
    <w:rsid w:val="00C64A7C"/>
    <w:rsid w:val="00C6525A"/>
    <w:rsid w:val="00C812AB"/>
    <w:rsid w:val="00C81643"/>
    <w:rsid w:val="00C852AF"/>
    <w:rsid w:val="00C853A9"/>
    <w:rsid w:val="00C87272"/>
    <w:rsid w:val="00C87A6E"/>
    <w:rsid w:val="00C90906"/>
    <w:rsid w:val="00C91F9A"/>
    <w:rsid w:val="00C92D73"/>
    <w:rsid w:val="00C9336E"/>
    <w:rsid w:val="00C97860"/>
    <w:rsid w:val="00CC25EA"/>
    <w:rsid w:val="00CD0A6F"/>
    <w:rsid w:val="00CD114B"/>
    <w:rsid w:val="00CD34D7"/>
    <w:rsid w:val="00CD59A7"/>
    <w:rsid w:val="00CD5AC7"/>
    <w:rsid w:val="00CE4A6A"/>
    <w:rsid w:val="00CE7132"/>
    <w:rsid w:val="00CE7BF9"/>
    <w:rsid w:val="00CF7040"/>
    <w:rsid w:val="00CF7A49"/>
    <w:rsid w:val="00CF7B28"/>
    <w:rsid w:val="00D006C4"/>
    <w:rsid w:val="00D014D7"/>
    <w:rsid w:val="00D02D4D"/>
    <w:rsid w:val="00D03B62"/>
    <w:rsid w:val="00D075C8"/>
    <w:rsid w:val="00D23899"/>
    <w:rsid w:val="00D27E0D"/>
    <w:rsid w:val="00D31309"/>
    <w:rsid w:val="00D3182D"/>
    <w:rsid w:val="00D35662"/>
    <w:rsid w:val="00D41B20"/>
    <w:rsid w:val="00D41B50"/>
    <w:rsid w:val="00D526EF"/>
    <w:rsid w:val="00D52737"/>
    <w:rsid w:val="00D55141"/>
    <w:rsid w:val="00D5661F"/>
    <w:rsid w:val="00D63FDC"/>
    <w:rsid w:val="00D642B9"/>
    <w:rsid w:val="00D715B5"/>
    <w:rsid w:val="00D7190F"/>
    <w:rsid w:val="00D735C3"/>
    <w:rsid w:val="00D76176"/>
    <w:rsid w:val="00D771A6"/>
    <w:rsid w:val="00D846E3"/>
    <w:rsid w:val="00D86018"/>
    <w:rsid w:val="00D87FCC"/>
    <w:rsid w:val="00D934E4"/>
    <w:rsid w:val="00DA31BF"/>
    <w:rsid w:val="00DC18C1"/>
    <w:rsid w:val="00DC6C3D"/>
    <w:rsid w:val="00DD0324"/>
    <w:rsid w:val="00DD047C"/>
    <w:rsid w:val="00DD3536"/>
    <w:rsid w:val="00DD51E9"/>
    <w:rsid w:val="00DD5651"/>
    <w:rsid w:val="00DD614D"/>
    <w:rsid w:val="00DD76F4"/>
    <w:rsid w:val="00DE7440"/>
    <w:rsid w:val="00DF0B3C"/>
    <w:rsid w:val="00DF2C51"/>
    <w:rsid w:val="00DF3960"/>
    <w:rsid w:val="00E03304"/>
    <w:rsid w:val="00E16E3B"/>
    <w:rsid w:val="00E2279E"/>
    <w:rsid w:val="00E3189B"/>
    <w:rsid w:val="00E352F8"/>
    <w:rsid w:val="00E410EB"/>
    <w:rsid w:val="00E41D38"/>
    <w:rsid w:val="00E4444D"/>
    <w:rsid w:val="00E448CC"/>
    <w:rsid w:val="00E45C2B"/>
    <w:rsid w:val="00E57521"/>
    <w:rsid w:val="00E615FA"/>
    <w:rsid w:val="00E62133"/>
    <w:rsid w:val="00E63BB9"/>
    <w:rsid w:val="00E661A9"/>
    <w:rsid w:val="00E67A65"/>
    <w:rsid w:val="00E77DF9"/>
    <w:rsid w:val="00E81E58"/>
    <w:rsid w:val="00E850BD"/>
    <w:rsid w:val="00E9189E"/>
    <w:rsid w:val="00E970EB"/>
    <w:rsid w:val="00EA0024"/>
    <w:rsid w:val="00EA0C25"/>
    <w:rsid w:val="00EA20BB"/>
    <w:rsid w:val="00EA236F"/>
    <w:rsid w:val="00EB1957"/>
    <w:rsid w:val="00EB2C5D"/>
    <w:rsid w:val="00EC0F29"/>
    <w:rsid w:val="00ED41DD"/>
    <w:rsid w:val="00ED6D8F"/>
    <w:rsid w:val="00EE1763"/>
    <w:rsid w:val="00EF33FF"/>
    <w:rsid w:val="00F16D19"/>
    <w:rsid w:val="00F44A3D"/>
    <w:rsid w:val="00F4641C"/>
    <w:rsid w:val="00F5239B"/>
    <w:rsid w:val="00F52EAA"/>
    <w:rsid w:val="00F6573F"/>
    <w:rsid w:val="00F67A13"/>
    <w:rsid w:val="00F72527"/>
    <w:rsid w:val="00F7257F"/>
    <w:rsid w:val="00F758F5"/>
    <w:rsid w:val="00F80C43"/>
    <w:rsid w:val="00F86AD1"/>
    <w:rsid w:val="00FA3445"/>
    <w:rsid w:val="00FA45BB"/>
    <w:rsid w:val="00FA7F10"/>
    <w:rsid w:val="00FC2976"/>
    <w:rsid w:val="00FD0CCA"/>
    <w:rsid w:val="00FE1F2E"/>
    <w:rsid w:val="00FE57F2"/>
    <w:rsid w:val="00FF1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B75C67B"/>
  <w15:docId w15:val="{8A33F07E-CCD8-44BB-BA78-236357EE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831"/>
    <w:pPr>
      <w:suppressAutoHyphens/>
      <w:jc w:val="both"/>
    </w:pPr>
    <w:rPr>
      <w:rFonts w:ascii="Times New Roman" w:eastAsia="Times New Roman" w:hAnsi="Times New Roman" w:cs="Times New Roman"/>
      <w:sz w:val="24"/>
      <w:lang w:bidi="ar-SA"/>
    </w:rPr>
  </w:style>
  <w:style w:type="paragraph" w:styleId="Titre1">
    <w:name w:val="heading 1"/>
    <w:basedOn w:val="Normal"/>
    <w:next w:val="Normal"/>
    <w:link w:val="Titre1Car"/>
    <w:qFormat/>
    <w:rsid w:val="007C358F"/>
    <w:pPr>
      <w:keepNext/>
      <w:numPr>
        <w:numId w:val="1"/>
      </w:numPr>
      <w:spacing w:before="240"/>
      <w:jc w:val="center"/>
      <w:outlineLvl w:val="0"/>
    </w:pPr>
    <w:rPr>
      <w:rFonts w:cs="Arial"/>
      <w:b/>
      <w:bCs/>
      <w:kern w:val="2"/>
    </w:rPr>
  </w:style>
  <w:style w:type="paragraph" w:styleId="Titre2">
    <w:name w:val="heading 2"/>
    <w:basedOn w:val="Normal"/>
    <w:next w:val="Normal"/>
    <w:qFormat/>
    <w:pPr>
      <w:keepNext/>
      <w:numPr>
        <w:ilvl w:val="1"/>
        <w:numId w:val="1"/>
      </w:numPr>
      <w:spacing w:before="240"/>
      <w:jc w:val="center"/>
      <w:outlineLvl w:val="1"/>
    </w:pPr>
    <w:rPr>
      <w:bCs/>
      <w:iCs/>
      <w:smallCaps/>
    </w:rPr>
  </w:style>
  <w:style w:type="paragraph" w:styleId="Titre3">
    <w:name w:val="heading 3"/>
    <w:basedOn w:val="Normal"/>
    <w:next w:val="Normal"/>
    <w:qFormat/>
    <w:pPr>
      <w:keepNext/>
      <w:numPr>
        <w:ilvl w:val="2"/>
        <w:numId w:val="1"/>
      </w:numPr>
      <w:spacing w:before="120"/>
      <w:jc w:val="center"/>
      <w:outlineLvl w:val="2"/>
    </w:pPr>
    <w:rPr>
      <w:rFonts w:cs="Arial"/>
      <w:bCs/>
      <w:szCs w:val="26"/>
    </w:rPr>
  </w:style>
  <w:style w:type="paragraph" w:styleId="Titre4">
    <w:name w:val="heading 4"/>
    <w:basedOn w:val="Normal"/>
    <w:next w:val="Normal"/>
    <w:link w:val="Titre4Car"/>
    <w:uiPriority w:val="9"/>
    <w:semiHidden/>
    <w:unhideWhenUsed/>
    <w:qFormat/>
    <w:rsid w:val="00800BC1"/>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Titre"/>
    <w:next w:val="Corpsdetexte"/>
    <w:qFormat/>
    <w:pPr>
      <w:numPr>
        <w:ilvl w:val="4"/>
        <w:numId w:val="1"/>
      </w:numPr>
      <w:spacing w:before="120" w:after="60"/>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SNTimbreCar">
    <w:name w:val="SNTimbre Car"/>
    <w:basedOn w:val="Policepardfaut"/>
    <w:qFormat/>
    <w:rPr>
      <w:rFonts w:eastAsia="Lucida Sans Unicode"/>
      <w:sz w:val="24"/>
      <w:szCs w:val="24"/>
      <w:lang w:val="fr-FR" w:bidi="ar-SA"/>
    </w:rPr>
  </w:style>
  <w:style w:type="character" w:customStyle="1" w:styleId="SNDateCar">
    <w:name w:val="SNDate Car"/>
    <w:basedOn w:val="Policepardfaut"/>
    <w:qFormat/>
    <w:rPr>
      <w:sz w:val="24"/>
      <w:szCs w:val="24"/>
      <w:lang w:val="fr-FR" w:bidi="ar-SA"/>
    </w:rPr>
  </w:style>
  <w:style w:type="character" w:customStyle="1" w:styleId="SNArticleCar">
    <w:name w:val="SNArticle Car"/>
    <w:basedOn w:val="Policepardfaut"/>
    <w:qFormat/>
    <w:rPr>
      <w:b/>
      <w:sz w:val="24"/>
      <w:szCs w:val="24"/>
      <w:lang w:val="fr-FR" w:bidi="ar-SA"/>
    </w:rPr>
  </w:style>
  <w:style w:type="character" w:customStyle="1" w:styleId="SNenProjet">
    <w:name w:val="SNenProjet"/>
    <w:basedOn w:val="Policepardfaut"/>
    <w:qFormat/>
  </w:style>
  <w:style w:type="character" w:customStyle="1" w:styleId="LienInternet">
    <w:name w:val="Lien Internet"/>
    <w:basedOn w:val="Policepardfaut"/>
    <w:rPr>
      <w:color w:val="0000FF"/>
      <w:u w:val="single"/>
    </w:rPr>
  </w:style>
  <w:style w:type="character" w:styleId="Marquedecommentaire">
    <w:name w:val="annotation reference"/>
    <w:basedOn w:val="Policepardfaut"/>
    <w:uiPriority w:val="99"/>
    <w:qFormat/>
    <w:rPr>
      <w:rFonts w:cs="Times New Roman"/>
      <w:sz w:val="16"/>
      <w:szCs w:val="16"/>
    </w:rPr>
  </w:style>
  <w:style w:type="character" w:customStyle="1" w:styleId="CommentaireCar">
    <w:name w:val="Commentaire Car"/>
    <w:basedOn w:val="Policepardfaut"/>
    <w:uiPriority w:val="99"/>
    <w:qFormat/>
    <w:rPr>
      <w:rFonts w:cs="Times New Roman"/>
      <w:sz w:val="20"/>
      <w:szCs w:val="20"/>
    </w:rPr>
  </w:style>
  <w:style w:type="paragraph" w:styleId="Titre">
    <w:name w:val="Title"/>
    <w:basedOn w:val="Normal"/>
    <w:next w:val="Corpsdetexte"/>
    <w:qFormat/>
    <w:pPr>
      <w:keepNext/>
      <w:spacing w:before="240" w:after="120"/>
    </w:pPr>
    <w:rPr>
      <w:rFonts w:ascii="Liberation Sans;Arial" w:eastAsia="Microsoft YaHei" w:hAnsi="Liberation Sans;Arial"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pPr>
    <w:rPr>
      <w:rFonts w:eastAsia="Lucida Sans Unicode"/>
      <w:color w:val="0000FF"/>
    </w:r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rFonts w:ascii="Times New Roman" w:eastAsia="Times New Roman" w:hAnsi="Times New Roman" w:cs="Times New Roman"/>
      <w:bCs/>
      <w:sz w:val="24"/>
      <w:szCs w:val="20"/>
      <w:lang w:bidi="ar-SA"/>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next w:val="SNSignatureprnomnomDroite"/>
    <w:qFormat/>
    <w:pPr>
      <w:spacing w:before="120" w:after="1680"/>
      <w:ind w:left="720"/>
      <w:jc w:val="right"/>
    </w:pPr>
    <w:rPr>
      <w:color w:val="000000"/>
    </w:rPr>
  </w:style>
  <w:style w:type="paragraph" w:customStyle="1" w:styleId="SNSignatureprnomnomDroite">
    <w:name w:val="SNSignature prénom+nom Droite"/>
    <w:basedOn w:val="SNSignatureDroite"/>
    <w:next w:val="SNSignatureGauche"/>
    <w:qFormat/>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Corpsdetexte"/>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Textedebulles">
    <w:name w:val="Balloon Text"/>
    <w:basedOn w:val="Normal"/>
    <w:qFormat/>
    <w:rPr>
      <w:rFonts w:ascii="Tahoma" w:hAnsi="Tahoma" w:cs="Tahoma"/>
      <w:sz w:val="16"/>
      <w:szCs w:val="16"/>
    </w:rPr>
  </w:style>
  <w:style w:type="paragraph" w:customStyle="1" w:styleId="Titre1objet">
    <w:name w:val="Titre 1 objet"/>
    <w:basedOn w:val="Titre1"/>
    <w:qFormat/>
    <w:pPr>
      <w:numPr>
        <w:numId w:val="0"/>
      </w:numPr>
      <w:spacing w:before="0" w:after="120"/>
    </w:pPr>
    <w:rPr>
      <w:b w:val="0"/>
    </w:rPr>
  </w:style>
  <w:style w:type="paragraph" w:customStyle="1" w:styleId="Titre2objet">
    <w:name w:val="Titre 2 objet"/>
    <w:basedOn w:val="Titre2"/>
    <w:next w:val="Normal"/>
    <w:qFormat/>
    <w:pPr>
      <w:numPr>
        <w:ilvl w:val="0"/>
        <w:numId w:val="0"/>
      </w:numPr>
      <w:spacing w:before="0" w:after="120"/>
    </w:pPr>
    <w:rPr>
      <w:b/>
    </w:rPr>
  </w:style>
  <w:style w:type="paragraph" w:customStyle="1" w:styleId="titre3objet">
    <w:name w:val="titre 3 objet"/>
    <w:basedOn w:val="Titre3"/>
    <w:next w:val="Normal"/>
    <w:qFormat/>
    <w:pPr>
      <w:numPr>
        <w:ilvl w:val="0"/>
        <w:numId w:val="0"/>
      </w:numPr>
      <w:spacing w:before="0" w:after="120"/>
    </w:pPr>
    <w:rPr>
      <w:b/>
    </w:rPr>
  </w:style>
  <w:style w:type="paragraph" w:customStyle="1" w:styleId="Nature">
    <w:name w:val="Nature"/>
    <w:basedOn w:val="Normal"/>
    <w:qFormat/>
    <w:pPr>
      <w:widowControl w:val="0"/>
      <w:suppressLineNumbers/>
      <w:spacing w:before="720" w:after="240"/>
      <w:jc w:val="center"/>
    </w:pPr>
    <w:rPr>
      <w:rFonts w:eastAsia="Lucida Sans Unicode"/>
      <w:b/>
      <w:bCs/>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DocumentMap">
    <w:name w:val="DocumentMap"/>
    <w:qFormat/>
    <w:pPr>
      <w:suppressAutoHyphens/>
      <w:spacing w:after="160" w:line="252" w:lineRule="auto"/>
    </w:pPr>
    <w:rPr>
      <w:rFonts w:ascii="Calibri" w:eastAsia="Times New Roman" w:hAnsi="Calibri" w:cs="Times New Roman"/>
      <w:sz w:val="22"/>
      <w:szCs w:val="22"/>
      <w:lang w:eastAsia="en-US" w:bidi="ar-SA"/>
    </w:rPr>
  </w:style>
  <w:style w:type="paragraph" w:styleId="Commentaire">
    <w:name w:val="annotation text"/>
    <w:basedOn w:val="Normal"/>
    <w:link w:val="CommentaireCar1"/>
    <w:uiPriority w:val="99"/>
    <w:qFormat/>
    <w:pPr>
      <w:spacing w:after="160"/>
    </w:pPr>
    <w:rPr>
      <w:rFonts w:ascii="Calibri" w:hAnsi="Calibri"/>
      <w:sz w:val="20"/>
      <w:szCs w:val="20"/>
      <w:lang w:eastAsia="en-US"/>
    </w:rPr>
  </w:style>
  <w:style w:type="numbering" w:customStyle="1" w:styleId="WW8Num1">
    <w:name w:val="WW8Num1"/>
    <w:qFormat/>
  </w:style>
  <w:style w:type="paragraph" w:styleId="Objetducommentaire">
    <w:name w:val="annotation subject"/>
    <w:basedOn w:val="Commentaire"/>
    <w:next w:val="Commentaire"/>
    <w:link w:val="ObjetducommentaireCar"/>
    <w:uiPriority w:val="99"/>
    <w:semiHidden/>
    <w:unhideWhenUsed/>
    <w:rsid w:val="008A70AA"/>
    <w:pPr>
      <w:spacing w:after="0"/>
    </w:pPr>
    <w:rPr>
      <w:rFonts w:ascii="Times New Roman" w:hAnsi="Times New Roman"/>
      <w:b/>
      <w:bCs/>
      <w:lang w:eastAsia="zh-CN"/>
    </w:rPr>
  </w:style>
  <w:style w:type="character" w:customStyle="1" w:styleId="CommentaireCar1">
    <w:name w:val="Commentaire Car1"/>
    <w:basedOn w:val="Policepardfaut"/>
    <w:link w:val="Commentaire"/>
    <w:rsid w:val="008A70AA"/>
    <w:rPr>
      <w:rFonts w:ascii="Calibri" w:eastAsia="Times New Roman" w:hAnsi="Calibri" w:cs="Times New Roman"/>
      <w:szCs w:val="20"/>
      <w:lang w:eastAsia="en-US" w:bidi="ar-SA"/>
    </w:rPr>
  </w:style>
  <w:style w:type="character" w:customStyle="1" w:styleId="ObjetducommentaireCar">
    <w:name w:val="Objet du commentaire Car"/>
    <w:basedOn w:val="CommentaireCar1"/>
    <w:link w:val="Objetducommentaire"/>
    <w:uiPriority w:val="99"/>
    <w:semiHidden/>
    <w:rsid w:val="008A70AA"/>
    <w:rPr>
      <w:rFonts w:ascii="Times New Roman" w:eastAsia="Times New Roman" w:hAnsi="Times New Roman" w:cs="Times New Roman"/>
      <w:b/>
      <w:bCs/>
      <w:szCs w:val="20"/>
      <w:lang w:eastAsia="en-US" w:bidi="ar-SA"/>
    </w:rPr>
  </w:style>
  <w:style w:type="character" w:styleId="Lienhypertexte">
    <w:name w:val="Hyperlink"/>
    <w:basedOn w:val="Policepardfaut"/>
    <w:uiPriority w:val="99"/>
    <w:unhideWhenUsed/>
    <w:rsid w:val="00800BC1"/>
    <w:rPr>
      <w:color w:val="0000FF"/>
      <w:u w:val="single"/>
    </w:rPr>
  </w:style>
  <w:style w:type="character" w:customStyle="1" w:styleId="Titre4Car">
    <w:name w:val="Titre 4 Car"/>
    <w:basedOn w:val="Policepardfaut"/>
    <w:link w:val="Titre4"/>
    <w:uiPriority w:val="9"/>
    <w:semiHidden/>
    <w:rsid w:val="00800BC1"/>
    <w:rPr>
      <w:rFonts w:asciiTheme="majorHAnsi" w:eastAsiaTheme="majorEastAsia" w:hAnsiTheme="majorHAnsi" w:cstheme="majorBidi"/>
      <w:i/>
      <w:iCs/>
      <w:color w:val="2E74B5" w:themeColor="accent1" w:themeShade="BF"/>
      <w:sz w:val="24"/>
      <w:lang w:bidi="ar-SA"/>
    </w:rPr>
  </w:style>
  <w:style w:type="table" w:styleId="Grilledutableau">
    <w:name w:val="Table Grid"/>
    <w:basedOn w:val="TableauNormal"/>
    <w:uiPriority w:val="39"/>
    <w:rsid w:val="006A52EF"/>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52EF"/>
    <w:pPr>
      <w:suppressAutoHyphens w:val="0"/>
      <w:spacing w:before="100" w:beforeAutospacing="1" w:after="100" w:afterAutospacing="1"/>
    </w:pPr>
    <w:rPr>
      <w:lang w:eastAsia="fr-FR"/>
    </w:rPr>
  </w:style>
  <w:style w:type="paragraph" w:styleId="Rvision">
    <w:name w:val="Revision"/>
    <w:hidden/>
    <w:uiPriority w:val="99"/>
    <w:semiHidden/>
    <w:rsid w:val="00176015"/>
    <w:rPr>
      <w:rFonts w:ascii="Times New Roman" w:eastAsia="Times New Roman" w:hAnsi="Times New Roman" w:cs="Times New Roman"/>
      <w:sz w:val="24"/>
      <w:lang w:bidi="ar-SA"/>
    </w:rPr>
  </w:style>
  <w:style w:type="paragraph" w:customStyle="1" w:styleId="TableContents">
    <w:name w:val="Table Contents"/>
    <w:basedOn w:val="Normal"/>
    <w:rsid w:val="00932BA3"/>
    <w:pPr>
      <w:suppressLineNumbers/>
      <w:autoSpaceDN w:val="0"/>
      <w:textAlignment w:val="baseline"/>
    </w:pPr>
    <w:rPr>
      <w:rFonts w:ascii="Liberation Serif" w:eastAsia="NSimSun" w:hAnsi="Liberation Serif" w:cs="Arial"/>
      <w:kern w:val="3"/>
      <w:lang w:bidi="hi-IN"/>
    </w:rPr>
  </w:style>
  <w:style w:type="paragraph" w:styleId="Paragraphedeliste">
    <w:name w:val="List Paragraph"/>
    <w:basedOn w:val="Normal"/>
    <w:uiPriority w:val="34"/>
    <w:qFormat/>
    <w:rsid w:val="003A0B9B"/>
    <w:pPr>
      <w:ind w:left="720"/>
      <w:contextualSpacing/>
    </w:pPr>
  </w:style>
  <w:style w:type="character" w:styleId="Accentuation">
    <w:name w:val="Emphasis"/>
    <w:basedOn w:val="Policepardfaut"/>
    <w:uiPriority w:val="20"/>
    <w:qFormat/>
    <w:rsid w:val="009F4658"/>
    <w:rPr>
      <w:i/>
      <w:iCs/>
    </w:rPr>
  </w:style>
  <w:style w:type="paragraph" w:styleId="En-tte">
    <w:name w:val="header"/>
    <w:basedOn w:val="Normal"/>
    <w:link w:val="En-tteCar"/>
    <w:uiPriority w:val="99"/>
    <w:unhideWhenUsed/>
    <w:rsid w:val="00DC6C3D"/>
    <w:pPr>
      <w:tabs>
        <w:tab w:val="center" w:pos="4536"/>
        <w:tab w:val="right" w:pos="9072"/>
      </w:tabs>
    </w:pPr>
  </w:style>
  <w:style w:type="character" w:customStyle="1" w:styleId="En-tteCar">
    <w:name w:val="En-tête Car"/>
    <w:basedOn w:val="Policepardfaut"/>
    <w:link w:val="En-tte"/>
    <w:uiPriority w:val="99"/>
    <w:rsid w:val="00DC6C3D"/>
    <w:rPr>
      <w:rFonts w:ascii="Times New Roman" w:eastAsia="Times New Roman" w:hAnsi="Times New Roman" w:cs="Times New Roman"/>
      <w:sz w:val="24"/>
      <w:lang w:bidi="ar-SA"/>
    </w:rPr>
  </w:style>
  <w:style w:type="paragraph" w:styleId="Pieddepage">
    <w:name w:val="footer"/>
    <w:basedOn w:val="Normal"/>
    <w:link w:val="PieddepageCar"/>
    <w:uiPriority w:val="99"/>
    <w:unhideWhenUsed/>
    <w:rsid w:val="00DC6C3D"/>
    <w:pPr>
      <w:tabs>
        <w:tab w:val="center" w:pos="4536"/>
        <w:tab w:val="right" w:pos="9072"/>
      </w:tabs>
    </w:pPr>
  </w:style>
  <w:style w:type="character" w:customStyle="1" w:styleId="PieddepageCar">
    <w:name w:val="Pied de page Car"/>
    <w:basedOn w:val="Policepardfaut"/>
    <w:link w:val="Pieddepage"/>
    <w:uiPriority w:val="99"/>
    <w:rsid w:val="00DC6C3D"/>
    <w:rPr>
      <w:rFonts w:ascii="Times New Roman" w:eastAsia="Times New Roman" w:hAnsi="Times New Roman" w:cs="Times New Roman"/>
      <w:sz w:val="24"/>
      <w:lang w:bidi="ar-SA"/>
    </w:rPr>
  </w:style>
  <w:style w:type="character" w:customStyle="1" w:styleId="Titre1Car">
    <w:name w:val="Titre 1 Car"/>
    <w:basedOn w:val="Policepardfaut"/>
    <w:link w:val="Titre1"/>
    <w:rsid w:val="00E63BB9"/>
    <w:rPr>
      <w:rFonts w:ascii="Times New Roman" w:eastAsia="Times New Roman" w:hAnsi="Times New Roman" w:cs="Arial"/>
      <w:b/>
      <w:bCs/>
      <w:kern w:val="2"/>
      <w:sz w:val="24"/>
      <w:lang w:bidi="ar-SA"/>
    </w:rPr>
  </w:style>
  <w:style w:type="character" w:customStyle="1" w:styleId="WW8Num24z0">
    <w:name w:val="WW8Num24z0"/>
    <w:qFormat/>
    <w:rsid w:val="007F1669"/>
    <w:rPr>
      <w:rFonts w:ascii="Times New Roman" w:eastAsia="Times New Roman" w:hAnsi="Times New Roman" w:cs="Times New Roman"/>
    </w:rPr>
  </w:style>
  <w:style w:type="paragraph" w:customStyle="1" w:styleId="Default">
    <w:name w:val="Default"/>
    <w:rsid w:val="009E35D7"/>
    <w:pPr>
      <w:autoSpaceDE w:val="0"/>
      <w:autoSpaceDN w:val="0"/>
      <w:adjustRightInd w:val="0"/>
    </w:pPr>
    <w:rPr>
      <w:rFonts w:ascii="Times LT Std" w:hAnsi="Times LT Std" w:cs="Times LT Std"/>
      <w:color w:val="00000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2817">
      <w:bodyDiv w:val="1"/>
      <w:marLeft w:val="0"/>
      <w:marRight w:val="0"/>
      <w:marTop w:val="0"/>
      <w:marBottom w:val="0"/>
      <w:divBdr>
        <w:top w:val="none" w:sz="0" w:space="0" w:color="auto"/>
        <w:left w:val="none" w:sz="0" w:space="0" w:color="auto"/>
        <w:bottom w:val="none" w:sz="0" w:space="0" w:color="auto"/>
        <w:right w:val="none" w:sz="0" w:space="0" w:color="auto"/>
      </w:divBdr>
    </w:div>
    <w:div w:id="417413271">
      <w:bodyDiv w:val="1"/>
      <w:marLeft w:val="0"/>
      <w:marRight w:val="0"/>
      <w:marTop w:val="0"/>
      <w:marBottom w:val="0"/>
      <w:divBdr>
        <w:top w:val="none" w:sz="0" w:space="0" w:color="auto"/>
        <w:left w:val="none" w:sz="0" w:space="0" w:color="auto"/>
        <w:bottom w:val="none" w:sz="0" w:space="0" w:color="auto"/>
        <w:right w:val="none" w:sz="0" w:space="0" w:color="auto"/>
      </w:divBdr>
    </w:div>
    <w:div w:id="515927545">
      <w:bodyDiv w:val="1"/>
      <w:marLeft w:val="0"/>
      <w:marRight w:val="0"/>
      <w:marTop w:val="0"/>
      <w:marBottom w:val="0"/>
      <w:divBdr>
        <w:top w:val="none" w:sz="0" w:space="0" w:color="auto"/>
        <w:left w:val="none" w:sz="0" w:space="0" w:color="auto"/>
        <w:bottom w:val="none" w:sz="0" w:space="0" w:color="auto"/>
        <w:right w:val="none" w:sz="0" w:space="0" w:color="auto"/>
      </w:divBdr>
    </w:div>
    <w:div w:id="531386778">
      <w:bodyDiv w:val="1"/>
      <w:marLeft w:val="0"/>
      <w:marRight w:val="0"/>
      <w:marTop w:val="0"/>
      <w:marBottom w:val="0"/>
      <w:divBdr>
        <w:top w:val="none" w:sz="0" w:space="0" w:color="auto"/>
        <w:left w:val="none" w:sz="0" w:space="0" w:color="auto"/>
        <w:bottom w:val="none" w:sz="0" w:space="0" w:color="auto"/>
        <w:right w:val="none" w:sz="0" w:space="0" w:color="auto"/>
      </w:divBdr>
    </w:div>
    <w:div w:id="532495797">
      <w:bodyDiv w:val="1"/>
      <w:marLeft w:val="0"/>
      <w:marRight w:val="0"/>
      <w:marTop w:val="0"/>
      <w:marBottom w:val="0"/>
      <w:divBdr>
        <w:top w:val="none" w:sz="0" w:space="0" w:color="auto"/>
        <w:left w:val="none" w:sz="0" w:space="0" w:color="auto"/>
        <w:bottom w:val="none" w:sz="0" w:space="0" w:color="auto"/>
        <w:right w:val="none" w:sz="0" w:space="0" w:color="auto"/>
      </w:divBdr>
    </w:div>
    <w:div w:id="553545145">
      <w:bodyDiv w:val="1"/>
      <w:marLeft w:val="0"/>
      <w:marRight w:val="0"/>
      <w:marTop w:val="0"/>
      <w:marBottom w:val="0"/>
      <w:divBdr>
        <w:top w:val="none" w:sz="0" w:space="0" w:color="auto"/>
        <w:left w:val="none" w:sz="0" w:space="0" w:color="auto"/>
        <w:bottom w:val="none" w:sz="0" w:space="0" w:color="auto"/>
        <w:right w:val="none" w:sz="0" w:space="0" w:color="auto"/>
      </w:divBdr>
    </w:div>
    <w:div w:id="567351158">
      <w:bodyDiv w:val="1"/>
      <w:marLeft w:val="0"/>
      <w:marRight w:val="0"/>
      <w:marTop w:val="0"/>
      <w:marBottom w:val="0"/>
      <w:divBdr>
        <w:top w:val="none" w:sz="0" w:space="0" w:color="auto"/>
        <w:left w:val="none" w:sz="0" w:space="0" w:color="auto"/>
        <w:bottom w:val="none" w:sz="0" w:space="0" w:color="auto"/>
        <w:right w:val="none" w:sz="0" w:space="0" w:color="auto"/>
      </w:divBdr>
    </w:div>
    <w:div w:id="992946186">
      <w:bodyDiv w:val="1"/>
      <w:marLeft w:val="0"/>
      <w:marRight w:val="0"/>
      <w:marTop w:val="0"/>
      <w:marBottom w:val="0"/>
      <w:divBdr>
        <w:top w:val="none" w:sz="0" w:space="0" w:color="auto"/>
        <w:left w:val="none" w:sz="0" w:space="0" w:color="auto"/>
        <w:bottom w:val="none" w:sz="0" w:space="0" w:color="auto"/>
        <w:right w:val="none" w:sz="0" w:space="0" w:color="auto"/>
      </w:divBdr>
    </w:div>
    <w:div w:id="1115054054">
      <w:bodyDiv w:val="1"/>
      <w:marLeft w:val="0"/>
      <w:marRight w:val="0"/>
      <w:marTop w:val="0"/>
      <w:marBottom w:val="0"/>
      <w:divBdr>
        <w:top w:val="none" w:sz="0" w:space="0" w:color="auto"/>
        <w:left w:val="none" w:sz="0" w:space="0" w:color="auto"/>
        <w:bottom w:val="none" w:sz="0" w:space="0" w:color="auto"/>
        <w:right w:val="none" w:sz="0" w:space="0" w:color="auto"/>
      </w:divBdr>
    </w:div>
    <w:div w:id="1448624472">
      <w:bodyDiv w:val="1"/>
      <w:marLeft w:val="0"/>
      <w:marRight w:val="0"/>
      <w:marTop w:val="0"/>
      <w:marBottom w:val="0"/>
      <w:divBdr>
        <w:top w:val="none" w:sz="0" w:space="0" w:color="auto"/>
        <w:left w:val="none" w:sz="0" w:space="0" w:color="auto"/>
        <w:bottom w:val="none" w:sz="0" w:space="0" w:color="auto"/>
        <w:right w:val="none" w:sz="0" w:space="0" w:color="auto"/>
      </w:divBdr>
    </w:div>
    <w:div w:id="1536039116">
      <w:bodyDiv w:val="1"/>
      <w:marLeft w:val="0"/>
      <w:marRight w:val="0"/>
      <w:marTop w:val="0"/>
      <w:marBottom w:val="0"/>
      <w:divBdr>
        <w:top w:val="none" w:sz="0" w:space="0" w:color="auto"/>
        <w:left w:val="none" w:sz="0" w:space="0" w:color="auto"/>
        <w:bottom w:val="none" w:sz="0" w:space="0" w:color="auto"/>
        <w:right w:val="none" w:sz="0" w:space="0" w:color="auto"/>
      </w:divBdr>
    </w:div>
    <w:div w:id="1549872195">
      <w:bodyDiv w:val="1"/>
      <w:marLeft w:val="0"/>
      <w:marRight w:val="0"/>
      <w:marTop w:val="0"/>
      <w:marBottom w:val="0"/>
      <w:divBdr>
        <w:top w:val="none" w:sz="0" w:space="0" w:color="auto"/>
        <w:left w:val="none" w:sz="0" w:space="0" w:color="auto"/>
        <w:bottom w:val="none" w:sz="0" w:space="0" w:color="auto"/>
        <w:right w:val="none" w:sz="0" w:space="0" w:color="auto"/>
      </w:divBdr>
    </w:div>
    <w:div w:id="1625849323">
      <w:bodyDiv w:val="1"/>
      <w:marLeft w:val="0"/>
      <w:marRight w:val="0"/>
      <w:marTop w:val="0"/>
      <w:marBottom w:val="0"/>
      <w:divBdr>
        <w:top w:val="none" w:sz="0" w:space="0" w:color="auto"/>
        <w:left w:val="none" w:sz="0" w:space="0" w:color="auto"/>
        <w:bottom w:val="none" w:sz="0" w:space="0" w:color="auto"/>
        <w:right w:val="none" w:sz="0" w:space="0" w:color="auto"/>
      </w:divBdr>
    </w:div>
    <w:div w:id="1694723972">
      <w:bodyDiv w:val="1"/>
      <w:marLeft w:val="0"/>
      <w:marRight w:val="0"/>
      <w:marTop w:val="0"/>
      <w:marBottom w:val="0"/>
      <w:divBdr>
        <w:top w:val="none" w:sz="0" w:space="0" w:color="auto"/>
        <w:left w:val="none" w:sz="0" w:space="0" w:color="auto"/>
        <w:bottom w:val="none" w:sz="0" w:space="0" w:color="auto"/>
        <w:right w:val="none" w:sz="0" w:space="0" w:color="auto"/>
      </w:divBdr>
    </w:div>
    <w:div w:id="1789159005">
      <w:bodyDiv w:val="1"/>
      <w:marLeft w:val="0"/>
      <w:marRight w:val="0"/>
      <w:marTop w:val="0"/>
      <w:marBottom w:val="0"/>
      <w:divBdr>
        <w:top w:val="none" w:sz="0" w:space="0" w:color="auto"/>
        <w:left w:val="none" w:sz="0" w:space="0" w:color="auto"/>
        <w:bottom w:val="none" w:sz="0" w:space="0" w:color="auto"/>
        <w:right w:val="none" w:sz="0" w:space="0" w:color="auto"/>
      </w:divBdr>
    </w:div>
    <w:div w:id="1843817160">
      <w:bodyDiv w:val="1"/>
      <w:marLeft w:val="0"/>
      <w:marRight w:val="0"/>
      <w:marTop w:val="0"/>
      <w:marBottom w:val="0"/>
      <w:divBdr>
        <w:top w:val="none" w:sz="0" w:space="0" w:color="auto"/>
        <w:left w:val="none" w:sz="0" w:space="0" w:color="auto"/>
        <w:bottom w:val="none" w:sz="0" w:space="0" w:color="auto"/>
        <w:right w:val="none" w:sz="0" w:space="0" w:color="auto"/>
      </w:divBdr>
    </w:div>
    <w:div w:id="1917276669">
      <w:bodyDiv w:val="1"/>
      <w:marLeft w:val="0"/>
      <w:marRight w:val="0"/>
      <w:marTop w:val="0"/>
      <w:marBottom w:val="0"/>
      <w:divBdr>
        <w:top w:val="none" w:sz="0" w:space="0" w:color="auto"/>
        <w:left w:val="none" w:sz="0" w:space="0" w:color="auto"/>
        <w:bottom w:val="none" w:sz="0" w:space="0" w:color="auto"/>
        <w:right w:val="none" w:sz="0" w:space="0" w:color="auto"/>
      </w:divBdr>
    </w:div>
    <w:div w:id="2064525151">
      <w:bodyDiv w:val="1"/>
      <w:marLeft w:val="0"/>
      <w:marRight w:val="0"/>
      <w:marTop w:val="0"/>
      <w:marBottom w:val="0"/>
      <w:divBdr>
        <w:top w:val="none" w:sz="0" w:space="0" w:color="auto"/>
        <w:left w:val="none" w:sz="0" w:space="0" w:color="auto"/>
        <w:bottom w:val="none" w:sz="0" w:space="0" w:color="auto"/>
        <w:right w:val="none" w:sz="0" w:space="0" w:color="auto"/>
      </w:divBdr>
    </w:div>
    <w:div w:id="2099056814">
      <w:bodyDiv w:val="1"/>
      <w:marLeft w:val="0"/>
      <w:marRight w:val="0"/>
      <w:marTop w:val="0"/>
      <w:marBottom w:val="0"/>
      <w:divBdr>
        <w:top w:val="none" w:sz="0" w:space="0" w:color="auto"/>
        <w:left w:val="none" w:sz="0" w:space="0" w:color="auto"/>
        <w:bottom w:val="none" w:sz="0" w:space="0" w:color="auto"/>
        <w:right w:val="none" w:sz="0" w:space="0" w:color="auto"/>
      </w:divBdr>
    </w:div>
    <w:div w:id="212673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F856E-E9FA-4A8D-BE66-82B501CE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1584</Words>
  <Characters>8714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MTES</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Marie DELLISE</dc:creator>
  <dc:description/>
  <cp:lastModifiedBy>Emilie FOTI</cp:lastModifiedBy>
  <cp:revision>2</cp:revision>
  <cp:lastPrinted>2023-02-10T09:02:00Z</cp:lastPrinted>
  <dcterms:created xsi:type="dcterms:W3CDTF">2023-05-22T15:39:00Z</dcterms:created>
  <dcterms:modified xsi:type="dcterms:W3CDTF">2023-05-22T15:39:00Z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-368239911</vt:i4>
  </property>
  <property fmtid="{D5CDD505-2E9C-101B-9397-08002B2CF9AE}" pid="3" name="_AuthorEmail">
    <vt:lpwstr>stephane.bouchard@sgg.pm.gouv.fr</vt:lpwstr>
  </property>
  <property fmtid="{D5CDD505-2E9C-101B-9397-08002B2CF9AE}" pid="4" name="_AuthorEmailDisplayName">
    <vt:lpwstr>BOUCHARD Stephane</vt:lpwstr>
  </property>
  <property fmtid="{D5CDD505-2E9C-101B-9397-08002B2CF9AE}" pid="5" name="_EmailSubject">
    <vt:lpwstr>Feuilles de style définitives</vt:lpwstr>
  </property>
  <property fmtid="{D5CDD505-2E9C-101B-9397-08002B2CF9AE}" pid="6" name="_ReviewingToolsShownOnce">
    <vt:lpwstr/>
  </property>
</Properties>
</file>