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FF47" w14:textId="77777777" w:rsidR="00F57851" w:rsidRPr="00F57851" w:rsidRDefault="00F57851" w:rsidP="00F57851">
      <w:pPr>
        <w:spacing w:before="100" w:beforeAutospacing="1" w:after="240" w:line="240" w:lineRule="auto"/>
        <w:jc w:val="both"/>
        <w:rPr>
          <w:rFonts w:ascii="Marianne" w:eastAsia="Times New Roman" w:hAnsi="Marianne" w:cs="Times New Roman"/>
          <w:color w:val="000000"/>
          <w:sz w:val="24"/>
          <w:szCs w:val="24"/>
          <w:lang w:val="fr-FR" w:eastAsia="fr-FR"/>
        </w:rPr>
      </w:pPr>
    </w:p>
    <w:tbl>
      <w:tblPr>
        <w:tblW w:w="4536" w:type="dxa"/>
        <w:tblCellSpacing w:w="0" w:type="dxa"/>
        <w:tblCellMar>
          <w:top w:w="60" w:type="dxa"/>
          <w:left w:w="60" w:type="dxa"/>
          <w:bottom w:w="60" w:type="dxa"/>
          <w:right w:w="60" w:type="dxa"/>
        </w:tblCellMar>
        <w:tblLook w:val="04A0" w:firstRow="1" w:lastRow="0" w:firstColumn="1" w:lastColumn="0" w:noHBand="0" w:noVBand="1"/>
      </w:tblPr>
      <w:tblGrid>
        <w:gridCol w:w="1702"/>
        <w:gridCol w:w="1007"/>
        <w:gridCol w:w="1827"/>
      </w:tblGrid>
      <w:tr w:rsidR="00F57851" w:rsidRPr="00F57851" w14:paraId="0BFA9BA1" w14:textId="77777777" w:rsidTr="00F57851">
        <w:trPr>
          <w:tblCellSpacing w:w="0" w:type="dxa"/>
        </w:trPr>
        <w:tc>
          <w:tcPr>
            <w:tcW w:w="5790" w:type="dxa"/>
            <w:gridSpan w:val="3"/>
            <w:tcBorders>
              <w:top w:val="nil"/>
              <w:left w:val="nil"/>
              <w:bottom w:val="nil"/>
              <w:right w:val="nil"/>
            </w:tcBorders>
            <w:tcMar>
              <w:top w:w="0" w:type="dxa"/>
              <w:left w:w="0" w:type="dxa"/>
              <w:bottom w:w="0" w:type="dxa"/>
              <w:right w:w="0" w:type="dxa"/>
            </w:tcMar>
            <w:hideMark/>
          </w:tcPr>
          <w:p w14:paraId="35760716" w14:textId="77777777" w:rsidR="00F57851" w:rsidRPr="00F57851" w:rsidRDefault="00F57851" w:rsidP="009837EF">
            <w:pPr>
              <w:spacing w:before="100" w:beforeAutospacing="1" w:after="119" w:line="240" w:lineRule="auto"/>
              <w:jc w:val="center"/>
              <w:rPr>
                <w:rFonts w:ascii="Times New Roman" w:eastAsia="Times New Roman" w:hAnsi="Times New Roman" w:cs="Times New Roman"/>
                <w:color w:val="000000"/>
                <w:sz w:val="24"/>
                <w:szCs w:val="24"/>
                <w:lang w:val="fr-FR" w:eastAsia="fr-FR"/>
              </w:rPr>
            </w:pPr>
            <w:r w:rsidRPr="00F57851">
              <w:rPr>
                <w:rFonts w:ascii="Times New Roman" w:eastAsia="Times New Roman" w:hAnsi="Times New Roman" w:cs="Times New Roman"/>
                <w:b/>
                <w:bCs/>
                <w:color w:val="000000"/>
                <w:sz w:val="24"/>
                <w:szCs w:val="24"/>
                <w:lang w:val="fr-FR" w:eastAsia="fr-FR"/>
              </w:rPr>
              <w:t>RÉPUBLIQUE FRANÇAISE</w:t>
            </w:r>
          </w:p>
        </w:tc>
      </w:tr>
      <w:tr w:rsidR="00F57851" w:rsidRPr="00F57851" w14:paraId="6E764A2B" w14:textId="77777777" w:rsidTr="00F57851">
        <w:trPr>
          <w:tblCellSpacing w:w="0" w:type="dxa"/>
        </w:trPr>
        <w:tc>
          <w:tcPr>
            <w:tcW w:w="2115" w:type="dxa"/>
            <w:tcBorders>
              <w:top w:val="nil"/>
              <w:left w:val="nil"/>
              <w:bottom w:val="nil"/>
              <w:right w:val="nil"/>
            </w:tcBorders>
            <w:tcMar>
              <w:top w:w="0" w:type="dxa"/>
              <w:left w:w="0" w:type="dxa"/>
              <w:bottom w:w="0" w:type="dxa"/>
              <w:right w:w="0" w:type="dxa"/>
            </w:tcMar>
            <w:hideMark/>
          </w:tcPr>
          <w:p w14:paraId="283131A7" w14:textId="77777777" w:rsidR="00F57851" w:rsidRPr="00F57851" w:rsidRDefault="00F57851" w:rsidP="00F57851">
            <w:pPr>
              <w:spacing w:before="100" w:beforeAutospacing="1" w:after="119" w:line="240" w:lineRule="auto"/>
              <w:jc w:val="both"/>
              <w:rPr>
                <w:rFonts w:ascii="Times New Roman" w:eastAsia="Times New Roman" w:hAnsi="Times New Roman" w:cs="Times New Roman"/>
                <w:color w:val="000000"/>
                <w:sz w:val="24"/>
                <w:szCs w:val="24"/>
                <w:lang w:val="fr-FR" w:eastAsia="fr-FR"/>
              </w:rPr>
            </w:pPr>
          </w:p>
        </w:tc>
        <w:tc>
          <w:tcPr>
            <w:tcW w:w="1275" w:type="dxa"/>
            <w:tcBorders>
              <w:top w:val="nil"/>
              <w:left w:val="nil"/>
              <w:bottom w:val="single" w:sz="6" w:space="0" w:color="000000"/>
              <w:right w:val="nil"/>
            </w:tcBorders>
            <w:tcMar>
              <w:top w:w="0" w:type="dxa"/>
              <w:left w:w="0" w:type="dxa"/>
              <w:bottom w:w="57" w:type="dxa"/>
              <w:right w:w="0" w:type="dxa"/>
            </w:tcMar>
            <w:hideMark/>
          </w:tcPr>
          <w:p w14:paraId="024A960F" w14:textId="77777777" w:rsidR="00F57851" w:rsidRPr="00F57851" w:rsidRDefault="00F57851" w:rsidP="00F57851">
            <w:pPr>
              <w:spacing w:before="100" w:beforeAutospacing="1" w:after="119" w:line="240" w:lineRule="auto"/>
              <w:jc w:val="both"/>
              <w:rPr>
                <w:rFonts w:ascii="Times New Roman" w:eastAsia="Times New Roman" w:hAnsi="Times New Roman" w:cs="Times New Roman"/>
                <w:color w:val="000000"/>
                <w:sz w:val="24"/>
                <w:szCs w:val="24"/>
                <w:lang w:val="fr-FR" w:eastAsia="fr-FR"/>
              </w:rPr>
            </w:pPr>
          </w:p>
        </w:tc>
        <w:tc>
          <w:tcPr>
            <w:tcW w:w="2055" w:type="dxa"/>
            <w:tcBorders>
              <w:top w:val="nil"/>
              <w:left w:val="nil"/>
              <w:bottom w:val="nil"/>
              <w:right w:val="nil"/>
            </w:tcBorders>
            <w:tcMar>
              <w:top w:w="0" w:type="dxa"/>
              <w:left w:w="0" w:type="dxa"/>
              <w:bottom w:w="0" w:type="dxa"/>
              <w:right w:w="0" w:type="dxa"/>
            </w:tcMar>
            <w:hideMark/>
          </w:tcPr>
          <w:p w14:paraId="026B6E62" w14:textId="77777777" w:rsidR="00F57851" w:rsidRPr="00F57851" w:rsidRDefault="00F57851" w:rsidP="00F57851">
            <w:pPr>
              <w:spacing w:before="100" w:beforeAutospacing="1" w:after="119" w:line="240" w:lineRule="auto"/>
              <w:jc w:val="both"/>
              <w:rPr>
                <w:rFonts w:ascii="Times New Roman" w:eastAsia="Times New Roman" w:hAnsi="Times New Roman" w:cs="Times New Roman"/>
                <w:color w:val="000000"/>
                <w:sz w:val="24"/>
                <w:szCs w:val="24"/>
                <w:lang w:val="fr-FR" w:eastAsia="fr-FR"/>
              </w:rPr>
            </w:pPr>
          </w:p>
        </w:tc>
      </w:tr>
      <w:tr w:rsidR="00F57851" w:rsidRPr="009837EF" w14:paraId="15263BC7" w14:textId="77777777" w:rsidTr="00F57851">
        <w:trPr>
          <w:tblCellSpacing w:w="0" w:type="dxa"/>
        </w:trPr>
        <w:tc>
          <w:tcPr>
            <w:tcW w:w="5790" w:type="dxa"/>
            <w:gridSpan w:val="3"/>
            <w:tcBorders>
              <w:top w:val="nil"/>
              <w:left w:val="nil"/>
              <w:bottom w:val="nil"/>
              <w:right w:val="nil"/>
            </w:tcBorders>
            <w:tcMar>
              <w:top w:w="0" w:type="dxa"/>
              <w:left w:w="0" w:type="dxa"/>
              <w:bottom w:w="0" w:type="dxa"/>
              <w:right w:w="0" w:type="dxa"/>
            </w:tcMar>
            <w:hideMark/>
          </w:tcPr>
          <w:p w14:paraId="4B0836AC" w14:textId="51A28AD2" w:rsidR="00F57851" w:rsidRPr="00F57851" w:rsidRDefault="00F57851" w:rsidP="009837EF">
            <w:pPr>
              <w:spacing w:before="119" w:after="119" w:line="240" w:lineRule="auto"/>
              <w:jc w:val="center"/>
              <w:rPr>
                <w:rFonts w:ascii="Times New Roman" w:eastAsia="Times New Roman" w:hAnsi="Times New Roman" w:cs="Times New Roman"/>
                <w:color w:val="000000"/>
                <w:sz w:val="24"/>
                <w:szCs w:val="24"/>
                <w:lang w:val="fr-FR" w:eastAsia="fr-FR"/>
              </w:rPr>
            </w:pPr>
            <w:r w:rsidRPr="00F57851">
              <w:rPr>
                <w:rFonts w:ascii="Times New Roman" w:eastAsia="Times New Roman" w:hAnsi="Times New Roman" w:cs="Times New Roman"/>
                <w:color w:val="000000"/>
                <w:sz w:val="24"/>
                <w:szCs w:val="24"/>
                <w:lang w:val="fr-FR" w:eastAsia="fr-FR"/>
              </w:rPr>
              <w:t>Ministère de la transition écologique, de la biodiversité et des négociations internationales sur le climat et la nature</w:t>
            </w:r>
          </w:p>
        </w:tc>
      </w:tr>
      <w:tr w:rsidR="00F57851" w:rsidRPr="009837EF" w14:paraId="2226DAC9" w14:textId="77777777" w:rsidTr="00F57851">
        <w:trPr>
          <w:trHeight w:val="110"/>
          <w:tblCellSpacing w:w="0" w:type="dxa"/>
        </w:trPr>
        <w:tc>
          <w:tcPr>
            <w:tcW w:w="2115" w:type="dxa"/>
            <w:tcBorders>
              <w:top w:val="nil"/>
              <w:left w:val="nil"/>
              <w:bottom w:val="nil"/>
              <w:right w:val="nil"/>
            </w:tcBorders>
            <w:tcMar>
              <w:top w:w="0" w:type="dxa"/>
              <w:left w:w="0" w:type="dxa"/>
              <w:bottom w:w="0" w:type="dxa"/>
              <w:right w:w="0" w:type="dxa"/>
            </w:tcMar>
            <w:hideMark/>
          </w:tcPr>
          <w:p w14:paraId="76D00C38" w14:textId="77777777" w:rsidR="00F57851" w:rsidRPr="00F57851" w:rsidRDefault="00F57851" w:rsidP="00F57851">
            <w:pPr>
              <w:spacing w:before="100" w:beforeAutospacing="1" w:after="119" w:line="240" w:lineRule="auto"/>
              <w:jc w:val="both"/>
              <w:rPr>
                <w:rFonts w:ascii="Marianne" w:eastAsia="Times New Roman" w:hAnsi="Marianne" w:cs="Times New Roman"/>
                <w:color w:val="000000"/>
                <w:sz w:val="24"/>
                <w:szCs w:val="24"/>
                <w:lang w:val="fr-FR" w:eastAsia="fr-FR"/>
              </w:rPr>
            </w:pPr>
          </w:p>
        </w:tc>
        <w:tc>
          <w:tcPr>
            <w:tcW w:w="1275" w:type="dxa"/>
            <w:tcBorders>
              <w:top w:val="nil"/>
              <w:left w:val="nil"/>
              <w:bottom w:val="single" w:sz="6" w:space="0" w:color="000000"/>
              <w:right w:val="nil"/>
            </w:tcBorders>
            <w:tcMar>
              <w:top w:w="0" w:type="dxa"/>
              <w:left w:w="0" w:type="dxa"/>
              <w:bottom w:w="57" w:type="dxa"/>
              <w:right w:w="0" w:type="dxa"/>
            </w:tcMar>
            <w:hideMark/>
          </w:tcPr>
          <w:p w14:paraId="2671B2C3" w14:textId="77777777" w:rsidR="00F57851" w:rsidRPr="00F57851" w:rsidRDefault="00F57851" w:rsidP="00F57851">
            <w:pPr>
              <w:spacing w:before="100" w:beforeAutospacing="1" w:after="119" w:line="240" w:lineRule="auto"/>
              <w:jc w:val="both"/>
              <w:rPr>
                <w:rFonts w:ascii="Marianne" w:eastAsia="Times New Roman" w:hAnsi="Marianne" w:cs="Times New Roman"/>
                <w:color w:val="000000"/>
                <w:sz w:val="24"/>
                <w:szCs w:val="24"/>
                <w:lang w:val="fr-FR" w:eastAsia="fr-FR"/>
              </w:rPr>
            </w:pPr>
          </w:p>
        </w:tc>
        <w:tc>
          <w:tcPr>
            <w:tcW w:w="2055" w:type="dxa"/>
            <w:tcBorders>
              <w:top w:val="nil"/>
              <w:left w:val="nil"/>
              <w:bottom w:val="nil"/>
              <w:right w:val="nil"/>
            </w:tcBorders>
            <w:tcMar>
              <w:top w:w="0" w:type="dxa"/>
              <w:left w:w="0" w:type="dxa"/>
              <w:bottom w:w="0" w:type="dxa"/>
              <w:right w:w="0" w:type="dxa"/>
            </w:tcMar>
            <w:hideMark/>
          </w:tcPr>
          <w:p w14:paraId="72E3A466" w14:textId="77777777" w:rsidR="00F57851" w:rsidRPr="00F57851" w:rsidRDefault="00F57851" w:rsidP="00F57851">
            <w:pPr>
              <w:spacing w:before="100" w:beforeAutospacing="1" w:after="119" w:line="240" w:lineRule="auto"/>
              <w:jc w:val="both"/>
              <w:rPr>
                <w:rFonts w:ascii="Marianne" w:eastAsia="Times New Roman" w:hAnsi="Marianne" w:cs="Times New Roman"/>
                <w:color w:val="000000"/>
                <w:sz w:val="24"/>
                <w:szCs w:val="24"/>
                <w:lang w:val="fr-FR" w:eastAsia="fr-FR"/>
              </w:rPr>
            </w:pPr>
          </w:p>
        </w:tc>
      </w:tr>
      <w:tr w:rsidR="00F57851" w:rsidRPr="009837EF" w14:paraId="4A315CE2" w14:textId="77777777" w:rsidTr="00F57851">
        <w:trPr>
          <w:trHeight w:val="110"/>
          <w:tblCellSpacing w:w="0" w:type="dxa"/>
        </w:trPr>
        <w:tc>
          <w:tcPr>
            <w:tcW w:w="2115" w:type="dxa"/>
            <w:tcBorders>
              <w:top w:val="nil"/>
              <w:left w:val="nil"/>
              <w:bottom w:val="nil"/>
              <w:right w:val="nil"/>
            </w:tcBorders>
            <w:tcMar>
              <w:top w:w="0" w:type="dxa"/>
              <w:left w:w="0" w:type="dxa"/>
              <w:bottom w:w="0" w:type="dxa"/>
              <w:right w:w="0" w:type="dxa"/>
            </w:tcMar>
            <w:hideMark/>
          </w:tcPr>
          <w:p w14:paraId="47A42311" w14:textId="77777777" w:rsidR="00F57851" w:rsidRPr="00F57851" w:rsidRDefault="00F57851" w:rsidP="00F57851">
            <w:pPr>
              <w:spacing w:before="100" w:beforeAutospacing="1" w:after="119" w:line="240" w:lineRule="auto"/>
              <w:jc w:val="both"/>
              <w:rPr>
                <w:rFonts w:ascii="Marianne" w:eastAsia="Times New Roman" w:hAnsi="Marianne" w:cs="Times New Roman"/>
                <w:color w:val="000000"/>
                <w:sz w:val="24"/>
                <w:szCs w:val="24"/>
                <w:lang w:val="fr-FR" w:eastAsia="fr-FR"/>
              </w:rPr>
            </w:pPr>
          </w:p>
        </w:tc>
        <w:tc>
          <w:tcPr>
            <w:tcW w:w="1275" w:type="dxa"/>
            <w:tcBorders>
              <w:top w:val="nil"/>
              <w:left w:val="nil"/>
              <w:bottom w:val="nil"/>
              <w:right w:val="nil"/>
            </w:tcBorders>
            <w:tcMar>
              <w:top w:w="0" w:type="dxa"/>
              <w:left w:w="0" w:type="dxa"/>
              <w:bottom w:w="0" w:type="dxa"/>
              <w:right w:w="0" w:type="dxa"/>
            </w:tcMar>
            <w:hideMark/>
          </w:tcPr>
          <w:p w14:paraId="7EE2190A" w14:textId="77777777" w:rsidR="00F57851" w:rsidRPr="00F57851" w:rsidRDefault="00F57851" w:rsidP="00F57851">
            <w:pPr>
              <w:spacing w:before="100" w:beforeAutospacing="1" w:after="119" w:line="240" w:lineRule="auto"/>
              <w:jc w:val="both"/>
              <w:rPr>
                <w:rFonts w:ascii="Marianne" w:eastAsia="Times New Roman" w:hAnsi="Marianne" w:cs="Times New Roman"/>
                <w:color w:val="000000"/>
                <w:sz w:val="24"/>
                <w:szCs w:val="24"/>
                <w:lang w:val="fr-FR" w:eastAsia="fr-FR"/>
              </w:rPr>
            </w:pPr>
          </w:p>
        </w:tc>
        <w:tc>
          <w:tcPr>
            <w:tcW w:w="2055" w:type="dxa"/>
            <w:tcBorders>
              <w:top w:val="nil"/>
              <w:left w:val="nil"/>
              <w:bottom w:val="nil"/>
              <w:right w:val="nil"/>
            </w:tcBorders>
            <w:tcMar>
              <w:top w:w="0" w:type="dxa"/>
              <w:left w:w="0" w:type="dxa"/>
              <w:bottom w:w="0" w:type="dxa"/>
              <w:right w:w="0" w:type="dxa"/>
            </w:tcMar>
            <w:hideMark/>
          </w:tcPr>
          <w:p w14:paraId="42E79AFB" w14:textId="77777777" w:rsidR="00F57851" w:rsidRPr="00F57851" w:rsidRDefault="00F57851" w:rsidP="00F57851">
            <w:pPr>
              <w:spacing w:before="100" w:beforeAutospacing="1" w:after="119" w:line="240" w:lineRule="auto"/>
              <w:jc w:val="both"/>
              <w:rPr>
                <w:rFonts w:ascii="Marianne" w:eastAsia="Times New Roman" w:hAnsi="Marianne" w:cs="Times New Roman"/>
                <w:color w:val="000000"/>
                <w:sz w:val="24"/>
                <w:szCs w:val="24"/>
                <w:lang w:val="fr-FR" w:eastAsia="fr-FR"/>
              </w:rPr>
            </w:pPr>
          </w:p>
        </w:tc>
      </w:tr>
    </w:tbl>
    <w:p w14:paraId="4CDCBA4C" w14:textId="4AE3D5AB" w:rsidR="001650B1" w:rsidRPr="009837EF" w:rsidRDefault="001650B1" w:rsidP="009837EF">
      <w:pPr>
        <w:pStyle w:val="SNNORCentr"/>
        <w:rPr>
          <w:b/>
        </w:rPr>
      </w:pPr>
    </w:p>
    <w:p w14:paraId="2188D5B8" w14:textId="77777777" w:rsidR="001650B1" w:rsidRPr="009837EF" w:rsidRDefault="001650B1" w:rsidP="009837EF">
      <w:pPr>
        <w:pStyle w:val="SNNORCentr"/>
        <w:rPr>
          <w:b/>
        </w:rPr>
      </w:pPr>
    </w:p>
    <w:p w14:paraId="34B94251" w14:textId="0C23C4D9" w:rsidR="001650B1" w:rsidRPr="009837EF" w:rsidRDefault="001650B1" w:rsidP="009837EF">
      <w:pPr>
        <w:pStyle w:val="SNNORCentr"/>
        <w:rPr>
          <w:b/>
        </w:rPr>
      </w:pPr>
      <w:r w:rsidRPr="009837EF">
        <w:rPr>
          <w:b/>
        </w:rPr>
        <w:t>Décret n° 202</w:t>
      </w:r>
      <w:r w:rsidR="008A77C6" w:rsidRPr="009837EF">
        <w:rPr>
          <w:b/>
        </w:rPr>
        <w:t>6</w:t>
      </w:r>
      <w:r w:rsidRPr="009837EF">
        <w:rPr>
          <w:b/>
        </w:rPr>
        <w:t>-XXX du XX xxx 202</w:t>
      </w:r>
      <w:r w:rsidR="008A77C6" w:rsidRPr="009837EF">
        <w:rPr>
          <w:b/>
        </w:rPr>
        <w:t>6</w:t>
      </w:r>
    </w:p>
    <w:p w14:paraId="1A5B6138" w14:textId="77777777" w:rsidR="00F57851" w:rsidRPr="009837EF" w:rsidRDefault="00E73FE3" w:rsidP="009837EF">
      <w:pPr>
        <w:pStyle w:val="SNNORCentr"/>
        <w:rPr>
          <w:b/>
        </w:rPr>
      </w:pPr>
      <w:r w:rsidRPr="009837EF">
        <w:rPr>
          <w:b/>
        </w:rPr>
        <w:t xml:space="preserve">relatif à la conversion de canalisations de transport de gaz naturel ou assimilé en canalisations de transport d’hydrogène et à la mise sur le marché de produits et équipements à risques en cas de situation d’urgence dans le marché intérieur </w:t>
      </w:r>
    </w:p>
    <w:p w14:paraId="05FE6D25" w14:textId="7EA72308" w:rsidR="00525DED" w:rsidRPr="009837EF" w:rsidRDefault="0047408F" w:rsidP="009837EF">
      <w:pPr>
        <w:pStyle w:val="SNNORCentr"/>
      </w:pPr>
      <w:r w:rsidRPr="009837EF">
        <w:t>N</w:t>
      </w:r>
      <w:r w:rsidR="00F57851" w:rsidRPr="009837EF">
        <w:t>OR</w:t>
      </w:r>
      <w:r w:rsidRPr="009837EF">
        <w:t xml:space="preserve"> : TECP2605451D</w:t>
      </w:r>
    </w:p>
    <w:p w14:paraId="6CF7DAD3" w14:textId="77777777" w:rsidR="00354704" w:rsidRPr="00F57851" w:rsidRDefault="00354704" w:rsidP="001650B1">
      <w:pPr>
        <w:ind w:firstLine="567"/>
        <w:jc w:val="center"/>
        <w:rPr>
          <w:rFonts w:ascii="Marianne" w:eastAsiaTheme="minorHAnsi" w:hAnsi="Marianne" w:cs="TimesNewRomanPS-BoldMT"/>
          <w:b/>
          <w:bCs/>
          <w:sz w:val="24"/>
          <w:szCs w:val="24"/>
          <w:lang w:val="fr-FR"/>
        </w:rPr>
      </w:pPr>
    </w:p>
    <w:p w14:paraId="41BC1EE5" w14:textId="09DEF14E" w:rsidR="00CE7275" w:rsidRPr="00F57851" w:rsidRDefault="00CE7275" w:rsidP="001650B1">
      <w:pPr>
        <w:jc w:val="both"/>
        <w:rPr>
          <w:rFonts w:ascii="Marianne" w:hAnsi="Marianne"/>
          <w:lang w:val="fr-FR"/>
        </w:rPr>
      </w:pPr>
      <w:r w:rsidRPr="009837EF">
        <w:rPr>
          <w:rFonts w:ascii="Times New Roman" w:eastAsia="Times New Roman" w:hAnsi="Times New Roman" w:cs="Times New Roman"/>
          <w:b/>
          <w:i/>
          <w:sz w:val="24"/>
          <w:szCs w:val="24"/>
          <w:lang w:val="fr-FR" w:eastAsia="fr-FR"/>
        </w:rPr>
        <w:t>Public</w:t>
      </w:r>
      <w:r w:rsidR="00A737AF" w:rsidRPr="009837EF">
        <w:rPr>
          <w:rFonts w:ascii="Times New Roman" w:eastAsia="Times New Roman" w:hAnsi="Times New Roman" w:cs="Times New Roman"/>
          <w:b/>
          <w:i/>
          <w:sz w:val="24"/>
          <w:szCs w:val="24"/>
          <w:lang w:val="fr-FR" w:eastAsia="fr-FR"/>
        </w:rPr>
        <w:t>s concernés</w:t>
      </w:r>
      <w:r w:rsidRPr="009837EF">
        <w:rPr>
          <w:rFonts w:ascii="Times New Roman" w:eastAsia="Times New Roman" w:hAnsi="Times New Roman" w:cs="Times New Roman"/>
          <w:b/>
          <w:i/>
          <w:sz w:val="24"/>
          <w:szCs w:val="24"/>
          <w:lang w:val="fr-FR" w:eastAsia="fr-FR"/>
        </w:rPr>
        <w:t xml:space="preserve"> :</w:t>
      </w:r>
      <w:r w:rsidRPr="00F57851">
        <w:rPr>
          <w:rFonts w:ascii="Marianne" w:hAnsi="Marianne"/>
          <w:lang w:val="fr-FR"/>
        </w:rPr>
        <w:t xml:space="preserve"> </w:t>
      </w:r>
      <w:r w:rsidR="008A77C6" w:rsidRPr="009837EF">
        <w:rPr>
          <w:rFonts w:ascii="Times New Roman" w:eastAsia="Times New Roman" w:hAnsi="Times New Roman" w:cs="Times New Roman"/>
          <w:i/>
          <w:sz w:val="24"/>
          <w:szCs w:val="24"/>
          <w:lang w:val="fr-FR" w:eastAsia="fr-FR"/>
        </w:rPr>
        <w:t xml:space="preserve">exploitants de canalisations de transport d’hydrogène, organismes notifiés, </w:t>
      </w:r>
      <w:r w:rsidR="00762688" w:rsidRPr="009837EF">
        <w:rPr>
          <w:rFonts w:ascii="Times New Roman" w:eastAsia="Times New Roman" w:hAnsi="Times New Roman" w:cs="Times New Roman"/>
          <w:i/>
          <w:sz w:val="24"/>
          <w:szCs w:val="24"/>
          <w:lang w:val="fr-FR" w:eastAsia="fr-FR"/>
        </w:rPr>
        <w:t>utilisateurs, opérateurs économiques intervenant dans le domaine des produits et équipements à risques</w:t>
      </w:r>
      <w:r w:rsidR="005C0BD6" w:rsidRPr="009837EF">
        <w:rPr>
          <w:rFonts w:ascii="Times New Roman" w:eastAsia="Times New Roman" w:hAnsi="Times New Roman" w:cs="Times New Roman"/>
          <w:i/>
          <w:sz w:val="24"/>
          <w:szCs w:val="24"/>
          <w:lang w:val="fr-FR" w:eastAsia="fr-FR"/>
        </w:rPr>
        <w:t xml:space="preserve"> mentionnés</w:t>
      </w:r>
      <w:r w:rsidR="00762688" w:rsidRPr="009837EF">
        <w:rPr>
          <w:rFonts w:ascii="Times New Roman" w:eastAsia="Times New Roman" w:hAnsi="Times New Roman" w:cs="Times New Roman"/>
          <w:i/>
          <w:sz w:val="24"/>
          <w:szCs w:val="24"/>
          <w:lang w:val="fr-FR" w:eastAsia="fr-FR"/>
        </w:rPr>
        <w:t xml:space="preserve"> à l’article L.</w:t>
      </w:r>
      <w:r w:rsidR="00A64DBB" w:rsidRPr="009837EF">
        <w:rPr>
          <w:rFonts w:ascii="Times New Roman" w:eastAsia="Times New Roman" w:hAnsi="Times New Roman" w:cs="Times New Roman"/>
          <w:i/>
          <w:sz w:val="24"/>
          <w:szCs w:val="24"/>
          <w:lang w:val="fr-FR" w:eastAsia="fr-FR"/>
        </w:rPr>
        <w:t> </w:t>
      </w:r>
      <w:r w:rsidR="00762688" w:rsidRPr="009837EF">
        <w:rPr>
          <w:rFonts w:ascii="Times New Roman" w:eastAsia="Times New Roman" w:hAnsi="Times New Roman" w:cs="Times New Roman"/>
          <w:i/>
          <w:sz w:val="24"/>
          <w:szCs w:val="24"/>
          <w:lang w:val="fr-FR" w:eastAsia="fr-FR"/>
        </w:rPr>
        <w:t>557-1 du code de l’environnement.</w:t>
      </w:r>
    </w:p>
    <w:p w14:paraId="17C75C0B" w14:textId="4EAE64C0" w:rsidR="008A77C6" w:rsidRPr="00F57851" w:rsidRDefault="00CE7275" w:rsidP="000D722B">
      <w:pPr>
        <w:jc w:val="both"/>
        <w:rPr>
          <w:rFonts w:ascii="Marianne" w:hAnsi="Marianne"/>
          <w:lang w:val="fr-FR"/>
        </w:rPr>
      </w:pPr>
      <w:r w:rsidRPr="009837EF">
        <w:rPr>
          <w:rFonts w:ascii="Times New Roman" w:eastAsia="Times New Roman" w:hAnsi="Times New Roman" w:cs="Times New Roman"/>
          <w:b/>
          <w:i/>
          <w:sz w:val="24"/>
          <w:szCs w:val="24"/>
          <w:lang w:val="fr-FR" w:eastAsia="fr-FR"/>
        </w:rPr>
        <w:t>Objet :</w:t>
      </w:r>
      <w:r w:rsidRPr="00F57851">
        <w:rPr>
          <w:rFonts w:ascii="Marianne" w:hAnsi="Marianne"/>
          <w:lang w:val="fr-FR"/>
        </w:rPr>
        <w:t xml:space="preserve"> </w:t>
      </w:r>
      <w:r w:rsidR="008A77C6" w:rsidRPr="009837EF">
        <w:rPr>
          <w:rFonts w:ascii="Times New Roman" w:eastAsia="Times New Roman" w:hAnsi="Times New Roman" w:cs="Times New Roman"/>
          <w:i/>
          <w:sz w:val="24"/>
          <w:szCs w:val="24"/>
          <w:lang w:val="fr-FR" w:eastAsia="fr-FR"/>
        </w:rPr>
        <w:t>le présent décret transpose l’article 8 de la directive</w:t>
      </w:r>
      <w:r w:rsidR="008E3225" w:rsidRPr="009837EF">
        <w:rPr>
          <w:rFonts w:ascii="Times New Roman" w:eastAsia="Times New Roman" w:hAnsi="Times New Roman" w:cs="Times New Roman"/>
          <w:i/>
          <w:sz w:val="24"/>
          <w:szCs w:val="24"/>
          <w:lang w:val="fr-FR" w:eastAsia="fr-FR"/>
        </w:rPr>
        <w:t> </w:t>
      </w:r>
      <w:r w:rsidR="008A77C6" w:rsidRPr="009837EF">
        <w:rPr>
          <w:rFonts w:ascii="Times New Roman" w:eastAsia="Times New Roman" w:hAnsi="Times New Roman" w:cs="Times New Roman"/>
          <w:i/>
          <w:sz w:val="24"/>
          <w:szCs w:val="24"/>
          <w:lang w:val="fr-FR" w:eastAsia="fr-FR"/>
        </w:rPr>
        <w:t>(UE)</w:t>
      </w:r>
      <w:r w:rsidR="00A64DBB" w:rsidRPr="009837EF">
        <w:rPr>
          <w:rFonts w:ascii="Times New Roman" w:eastAsia="Times New Roman" w:hAnsi="Times New Roman" w:cs="Times New Roman"/>
          <w:i/>
          <w:sz w:val="24"/>
          <w:szCs w:val="24"/>
          <w:lang w:val="fr-FR" w:eastAsia="fr-FR"/>
        </w:rPr>
        <w:t> </w:t>
      </w:r>
      <w:r w:rsidR="008A77C6" w:rsidRPr="009837EF">
        <w:rPr>
          <w:rFonts w:ascii="Times New Roman" w:eastAsia="Times New Roman" w:hAnsi="Times New Roman" w:cs="Times New Roman"/>
          <w:i/>
          <w:sz w:val="24"/>
          <w:szCs w:val="24"/>
          <w:lang w:val="fr-FR" w:eastAsia="fr-FR"/>
        </w:rPr>
        <w:t>2024/1788 du Parlement européen et du Conseil du 13 juin 2024 concernant des règles communes pour les marchés intérieurs du gaz renouvelable, du gaz naturel et de l’hydrogène, modifiant la directive</w:t>
      </w:r>
      <w:r w:rsidR="00526EDE" w:rsidRPr="009837EF">
        <w:rPr>
          <w:rFonts w:ascii="Times New Roman" w:eastAsia="Times New Roman" w:hAnsi="Times New Roman" w:cs="Times New Roman"/>
          <w:i/>
          <w:sz w:val="24"/>
          <w:szCs w:val="24"/>
          <w:lang w:val="fr-FR" w:eastAsia="fr-FR"/>
        </w:rPr>
        <w:t> </w:t>
      </w:r>
      <w:r w:rsidR="008A77C6" w:rsidRPr="009837EF">
        <w:rPr>
          <w:rFonts w:ascii="Times New Roman" w:eastAsia="Times New Roman" w:hAnsi="Times New Roman" w:cs="Times New Roman"/>
          <w:i/>
          <w:sz w:val="24"/>
          <w:szCs w:val="24"/>
          <w:lang w:val="fr-FR" w:eastAsia="fr-FR"/>
        </w:rPr>
        <w:t>(UE)</w:t>
      </w:r>
      <w:r w:rsidR="00A64DBB" w:rsidRPr="009837EF">
        <w:rPr>
          <w:rFonts w:ascii="Times New Roman" w:eastAsia="Times New Roman" w:hAnsi="Times New Roman" w:cs="Times New Roman"/>
          <w:i/>
          <w:sz w:val="24"/>
          <w:szCs w:val="24"/>
          <w:lang w:val="fr-FR" w:eastAsia="fr-FR"/>
        </w:rPr>
        <w:t> </w:t>
      </w:r>
      <w:r w:rsidR="008A77C6" w:rsidRPr="009837EF">
        <w:rPr>
          <w:rFonts w:ascii="Times New Roman" w:eastAsia="Times New Roman" w:hAnsi="Times New Roman" w:cs="Times New Roman"/>
          <w:i/>
          <w:sz w:val="24"/>
          <w:szCs w:val="24"/>
          <w:lang w:val="fr-FR" w:eastAsia="fr-FR"/>
        </w:rPr>
        <w:t>2023/1791 et abrogeant la directive 2009/73/CE en adaptant la procédure à mettre en œuvre en cas de conversion d’une canalisation de transport de gaz naturel en canalisation de transport d’hydrogène</w:t>
      </w:r>
      <w:r w:rsidR="008A77C6" w:rsidRPr="00F57851">
        <w:rPr>
          <w:rFonts w:ascii="Marianne" w:hAnsi="Marianne"/>
          <w:lang w:val="fr-FR"/>
        </w:rPr>
        <w:t xml:space="preserve">. </w:t>
      </w:r>
    </w:p>
    <w:p w14:paraId="68FA1539" w14:textId="7A2ABC79" w:rsidR="00CE7275" w:rsidRPr="009837EF" w:rsidRDefault="008A77C6" w:rsidP="000D722B">
      <w:pPr>
        <w:jc w:val="both"/>
        <w:rPr>
          <w:rFonts w:ascii="Times New Roman" w:eastAsia="Times New Roman" w:hAnsi="Times New Roman" w:cs="Times New Roman"/>
          <w:i/>
          <w:sz w:val="24"/>
          <w:szCs w:val="24"/>
          <w:lang w:val="fr-FR" w:eastAsia="fr-FR"/>
        </w:rPr>
      </w:pPr>
      <w:r w:rsidRPr="009837EF">
        <w:rPr>
          <w:rFonts w:ascii="Times New Roman" w:eastAsia="Times New Roman" w:hAnsi="Times New Roman" w:cs="Times New Roman"/>
          <w:i/>
          <w:sz w:val="24"/>
          <w:szCs w:val="24"/>
          <w:lang w:val="fr-FR" w:eastAsia="fr-FR"/>
        </w:rPr>
        <w:t>L</w:t>
      </w:r>
      <w:r w:rsidR="00CE7275" w:rsidRPr="009837EF">
        <w:rPr>
          <w:rFonts w:ascii="Times New Roman" w:eastAsia="Times New Roman" w:hAnsi="Times New Roman" w:cs="Times New Roman"/>
          <w:i/>
          <w:sz w:val="24"/>
          <w:szCs w:val="24"/>
          <w:lang w:val="fr-FR" w:eastAsia="fr-FR"/>
        </w:rPr>
        <w:t xml:space="preserve">e présent décret encadre </w:t>
      </w:r>
      <w:r w:rsidRPr="009837EF">
        <w:rPr>
          <w:rFonts w:ascii="Times New Roman" w:eastAsia="Times New Roman" w:hAnsi="Times New Roman" w:cs="Times New Roman"/>
          <w:i/>
          <w:sz w:val="24"/>
          <w:szCs w:val="24"/>
          <w:lang w:val="fr-FR" w:eastAsia="fr-FR"/>
        </w:rPr>
        <w:t xml:space="preserve">également </w:t>
      </w:r>
      <w:r w:rsidR="00CE7275" w:rsidRPr="009837EF">
        <w:rPr>
          <w:rFonts w:ascii="Times New Roman" w:eastAsia="Times New Roman" w:hAnsi="Times New Roman" w:cs="Times New Roman"/>
          <w:i/>
          <w:sz w:val="24"/>
          <w:szCs w:val="24"/>
          <w:lang w:val="fr-FR" w:eastAsia="fr-FR"/>
        </w:rPr>
        <w:t>les conditions de délivrance des autorisations de mise sur le marché de produits qualifiés de biens nécessaires en cas de crise, en application des dispositions de l’article L.</w:t>
      </w:r>
      <w:r w:rsidR="00A64DBB" w:rsidRPr="009837EF">
        <w:rPr>
          <w:rFonts w:ascii="Times New Roman" w:eastAsia="Times New Roman" w:hAnsi="Times New Roman" w:cs="Times New Roman"/>
          <w:i/>
          <w:sz w:val="24"/>
          <w:szCs w:val="24"/>
          <w:lang w:val="fr-FR" w:eastAsia="fr-FR"/>
        </w:rPr>
        <w:t> </w:t>
      </w:r>
      <w:r w:rsidR="00CE7275" w:rsidRPr="009837EF">
        <w:rPr>
          <w:rFonts w:ascii="Times New Roman" w:eastAsia="Times New Roman" w:hAnsi="Times New Roman" w:cs="Times New Roman"/>
          <w:i/>
          <w:sz w:val="24"/>
          <w:szCs w:val="24"/>
          <w:lang w:val="fr-FR" w:eastAsia="fr-FR"/>
        </w:rPr>
        <w:t xml:space="preserve">557-6-1 du </w:t>
      </w:r>
      <w:r w:rsidR="004E5EC2" w:rsidRPr="009837EF">
        <w:rPr>
          <w:rFonts w:ascii="Times New Roman" w:eastAsia="Times New Roman" w:hAnsi="Times New Roman" w:cs="Times New Roman"/>
          <w:i/>
          <w:sz w:val="24"/>
          <w:szCs w:val="24"/>
          <w:lang w:val="fr-FR" w:eastAsia="fr-FR"/>
        </w:rPr>
        <w:t>c</w:t>
      </w:r>
      <w:r w:rsidR="00CE7275" w:rsidRPr="009837EF">
        <w:rPr>
          <w:rFonts w:ascii="Times New Roman" w:eastAsia="Times New Roman" w:hAnsi="Times New Roman" w:cs="Times New Roman"/>
          <w:i/>
          <w:sz w:val="24"/>
          <w:szCs w:val="24"/>
          <w:lang w:val="fr-FR" w:eastAsia="fr-FR"/>
        </w:rPr>
        <w:t>ode de l’environnement.</w:t>
      </w:r>
      <w:r w:rsidR="004E5EC2" w:rsidRPr="009837EF">
        <w:rPr>
          <w:rFonts w:ascii="Times New Roman" w:eastAsia="Times New Roman" w:hAnsi="Times New Roman" w:cs="Times New Roman"/>
          <w:i/>
          <w:sz w:val="24"/>
          <w:szCs w:val="24"/>
          <w:lang w:val="fr-FR" w:eastAsia="fr-FR"/>
        </w:rPr>
        <w:t xml:space="preserve"> Il transpose les dispositions du règlement</w:t>
      </w:r>
      <w:r w:rsidR="008E3225" w:rsidRPr="009837EF">
        <w:rPr>
          <w:rFonts w:ascii="Times New Roman" w:eastAsia="Times New Roman" w:hAnsi="Times New Roman" w:cs="Times New Roman"/>
          <w:i/>
          <w:sz w:val="24"/>
          <w:szCs w:val="24"/>
          <w:lang w:val="fr-FR" w:eastAsia="fr-FR"/>
        </w:rPr>
        <w:t> </w:t>
      </w:r>
      <w:r w:rsidR="004E5EC2" w:rsidRPr="009837EF">
        <w:rPr>
          <w:rFonts w:ascii="Times New Roman" w:eastAsia="Times New Roman" w:hAnsi="Times New Roman" w:cs="Times New Roman"/>
          <w:i/>
          <w:sz w:val="24"/>
          <w:szCs w:val="24"/>
          <w:lang w:val="fr-FR" w:eastAsia="fr-FR"/>
        </w:rPr>
        <w:t>(UE)</w:t>
      </w:r>
      <w:r w:rsidR="008E3225" w:rsidRPr="009837EF">
        <w:rPr>
          <w:rFonts w:ascii="Times New Roman" w:eastAsia="Times New Roman" w:hAnsi="Times New Roman" w:cs="Times New Roman"/>
          <w:i/>
          <w:sz w:val="24"/>
          <w:szCs w:val="24"/>
          <w:lang w:val="fr-FR" w:eastAsia="fr-FR"/>
        </w:rPr>
        <w:t> </w:t>
      </w:r>
      <w:r w:rsidR="004E5EC2" w:rsidRPr="009837EF">
        <w:rPr>
          <w:rFonts w:ascii="Times New Roman" w:eastAsia="Times New Roman" w:hAnsi="Times New Roman" w:cs="Times New Roman"/>
          <w:i/>
          <w:sz w:val="24"/>
          <w:szCs w:val="24"/>
          <w:lang w:val="fr-FR" w:eastAsia="fr-FR"/>
        </w:rPr>
        <w:t>2024/2748 du Parlement européen et du Conseil du 9 octobre 2024 et de la directive</w:t>
      </w:r>
      <w:r w:rsidR="008E3225" w:rsidRPr="009837EF">
        <w:rPr>
          <w:rFonts w:ascii="Times New Roman" w:eastAsia="Times New Roman" w:hAnsi="Times New Roman" w:cs="Times New Roman"/>
          <w:i/>
          <w:sz w:val="24"/>
          <w:szCs w:val="24"/>
          <w:lang w:val="fr-FR" w:eastAsia="fr-FR"/>
        </w:rPr>
        <w:t> </w:t>
      </w:r>
      <w:r w:rsidR="004E5EC2" w:rsidRPr="009837EF">
        <w:rPr>
          <w:rFonts w:ascii="Times New Roman" w:eastAsia="Times New Roman" w:hAnsi="Times New Roman" w:cs="Times New Roman"/>
          <w:i/>
          <w:sz w:val="24"/>
          <w:szCs w:val="24"/>
          <w:lang w:val="fr-FR" w:eastAsia="fr-FR"/>
        </w:rPr>
        <w:t>(UE)</w:t>
      </w:r>
      <w:r w:rsidR="008E3225" w:rsidRPr="009837EF">
        <w:rPr>
          <w:rFonts w:ascii="Times New Roman" w:eastAsia="Times New Roman" w:hAnsi="Times New Roman" w:cs="Times New Roman"/>
          <w:i/>
          <w:sz w:val="24"/>
          <w:szCs w:val="24"/>
          <w:lang w:val="fr-FR" w:eastAsia="fr-FR"/>
        </w:rPr>
        <w:t> </w:t>
      </w:r>
      <w:r w:rsidR="004E5EC2" w:rsidRPr="009837EF">
        <w:rPr>
          <w:rFonts w:ascii="Times New Roman" w:eastAsia="Times New Roman" w:hAnsi="Times New Roman" w:cs="Times New Roman"/>
          <w:i/>
          <w:sz w:val="24"/>
          <w:szCs w:val="24"/>
          <w:lang w:val="fr-FR" w:eastAsia="fr-FR"/>
        </w:rPr>
        <w:t>2024/2749 du Parlement européen et du Conseil du 9 octobre 2024. Il précise le contenu des demandes et des décisions d’autorisation de mise sur le marché de produits qualifiés de biens nécessaires en cas de crise, notamment en ce qui concerne la documentation technique, la traçabilité, la durée de validité.</w:t>
      </w:r>
      <w:r w:rsidR="000D722B" w:rsidRPr="009837EF">
        <w:rPr>
          <w:rFonts w:ascii="Times New Roman" w:eastAsia="Times New Roman" w:hAnsi="Times New Roman" w:cs="Times New Roman"/>
          <w:i/>
          <w:sz w:val="24"/>
          <w:szCs w:val="24"/>
          <w:lang w:val="fr-FR" w:eastAsia="fr-FR"/>
        </w:rPr>
        <w:t xml:space="preserve"> </w:t>
      </w:r>
    </w:p>
    <w:p w14:paraId="5D0D2A56" w14:textId="147198E9" w:rsidR="00CE7275" w:rsidRPr="009837EF" w:rsidRDefault="00CE7275" w:rsidP="001650B1">
      <w:pPr>
        <w:jc w:val="both"/>
        <w:rPr>
          <w:rFonts w:ascii="Times New Roman" w:eastAsia="Times New Roman" w:hAnsi="Times New Roman" w:cs="Times New Roman"/>
          <w:i/>
          <w:sz w:val="24"/>
          <w:szCs w:val="24"/>
          <w:lang w:val="fr-FR" w:eastAsia="fr-FR"/>
        </w:rPr>
      </w:pPr>
      <w:r w:rsidRPr="009837EF">
        <w:rPr>
          <w:rFonts w:ascii="Times New Roman" w:eastAsia="Times New Roman" w:hAnsi="Times New Roman" w:cs="Times New Roman"/>
          <w:b/>
          <w:i/>
          <w:sz w:val="24"/>
          <w:szCs w:val="24"/>
          <w:lang w:val="fr-FR" w:eastAsia="fr-FR"/>
        </w:rPr>
        <w:t>Entrée en vigueur :</w:t>
      </w:r>
      <w:r w:rsidRPr="00F57851">
        <w:rPr>
          <w:rFonts w:ascii="Marianne" w:hAnsi="Marianne"/>
          <w:lang w:val="fr-FR"/>
        </w:rPr>
        <w:t xml:space="preserve"> </w:t>
      </w:r>
      <w:r w:rsidR="008E3225" w:rsidRPr="009837EF">
        <w:rPr>
          <w:rFonts w:ascii="Times New Roman" w:eastAsia="Times New Roman" w:hAnsi="Times New Roman" w:cs="Times New Roman"/>
          <w:i/>
          <w:sz w:val="24"/>
          <w:szCs w:val="24"/>
          <w:lang w:val="fr-FR" w:eastAsia="fr-FR"/>
        </w:rPr>
        <w:t>le</w:t>
      </w:r>
      <w:r w:rsidR="00F57851" w:rsidRPr="009837EF">
        <w:rPr>
          <w:rFonts w:ascii="Times New Roman" w:eastAsia="Times New Roman" w:hAnsi="Times New Roman" w:cs="Times New Roman"/>
          <w:i/>
          <w:sz w:val="24"/>
          <w:szCs w:val="24"/>
          <w:lang w:val="fr-FR" w:eastAsia="fr-FR"/>
        </w:rPr>
        <w:t xml:space="preserve"> </w:t>
      </w:r>
      <w:r w:rsidR="009837EF">
        <w:rPr>
          <w:rFonts w:ascii="Times New Roman" w:eastAsia="Times New Roman" w:hAnsi="Times New Roman" w:cs="Times New Roman"/>
          <w:i/>
          <w:sz w:val="24"/>
          <w:szCs w:val="24"/>
          <w:lang w:val="fr-FR" w:eastAsia="fr-FR"/>
        </w:rPr>
        <w:t>texte</w:t>
      </w:r>
      <w:r w:rsidR="00F57851" w:rsidRPr="009837EF">
        <w:rPr>
          <w:rFonts w:ascii="Times New Roman" w:eastAsia="Times New Roman" w:hAnsi="Times New Roman" w:cs="Times New Roman"/>
          <w:i/>
          <w:sz w:val="24"/>
          <w:szCs w:val="24"/>
          <w:lang w:val="fr-FR" w:eastAsia="fr-FR"/>
        </w:rPr>
        <w:t xml:space="preserve"> entre en vigueur le lendemain de sa publicatio</w:t>
      </w:r>
      <w:r w:rsidR="009837EF">
        <w:rPr>
          <w:rFonts w:ascii="Times New Roman" w:eastAsia="Times New Roman" w:hAnsi="Times New Roman" w:cs="Times New Roman"/>
          <w:i/>
          <w:sz w:val="24"/>
          <w:szCs w:val="24"/>
          <w:lang w:val="fr-FR" w:eastAsia="fr-FR"/>
        </w:rPr>
        <w:t>n</w:t>
      </w:r>
      <w:r w:rsidR="00127685" w:rsidRPr="009837EF">
        <w:rPr>
          <w:rFonts w:ascii="Times New Roman" w:eastAsia="Times New Roman" w:hAnsi="Times New Roman" w:cs="Times New Roman"/>
          <w:i/>
          <w:sz w:val="24"/>
          <w:szCs w:val="24"/>
          <w:lang w:val="fr-FR" w:eastAsia="fr-FR"/>
        </w:rPr>
        <w:t>.</w:t>
      </w:r>
    </w:p>
    <w:p w14:paraId="62A75C1C" w14:textId="1B04C0E0" w:rsidR="00CE7275" w:rsidRPr="009837EF" w:rsidRDefault="004E5EC2" w:rsidP="00CE7275">
      <w:pPr>
        <w:jc w:val="both"/>
        <w:rPr>
          <w:rFonts w:ascii="Times New Roman" w:eastAsia="Times New Roman" w:hAnsi="Times New Roman" w:cs="Times New Roman"/>
          <w:i/>
          <w:sz w:val="24"/>
          <w:szCs w:val="24"/>
          <w:lang w:val="fr-FR" w:eastAsia="fr-FR"/>
        </w:rPr>
      </w:pPr>
      <w:r w:rsidRPr="009837EF">
        <w:rPr>
          <w:rFonts w:ascii="Times New Roman" w:eastAsia="Times New Roman" w:hAnsi="Times New Roman" w:cs="Times New Roman"/>
          <w:b/>
          <w:i/>
          <w:sz w:val="24"/>
          <w:szCs w:val="24"/>
          <w:lang w:val="fr-FR" w:eastAsia="fr-FR"/>
        </w:rPr>
        <w:t xml:space="preserve">Application </w:t>
      </w:r>
      <w:r w:rsidR="00CE7275" w:rsidRPr="009837EF">
        <w:rPr>
          <w:rFonts w:ascii="Times New Roman" w:eastAsia="Times New Roman" w:hAnsi="Times New Roman" w:cs="Times New Roman"/>
          <w:b/>
          <w:i/>
          <w:sz w:val="24"/>
          <w:szCs w:val="24"/>
          <w:lang w:val="fr-FR" w:eastAsia="fr-FR"/>
        </w:rPr>
        <w:t>:</w:t>
      </w:r>
      <w:r w:rsidR="00CE7275" w:rsidRPr="00F57851">
        <w:rPr>
          <w:rFonts w:ascii="Marianne" w:hAnsi="Marianne"/>
          <w:lang w:val="fr-FR"/>
        </w:rPr>
        <w:t xml:space="preserve"> </w:t>
      </w:r>
      <w:r w:rsidR="00CE7275" w:rsidRPr="009837EF">
        <w:rPr>
          <w:rFonts w:ascii="Times New Roman" w:eastAsia="Times New Roman" w:hAnsi="Times New Roman" w:cs="Times New Roman"/>
          <w:i/>
          <w:sz w:val="24"/>
          <w:szCs w:val="24"/>
          <w:lang w:val="fr-FR" w:eastAsia="fr-FR"/>
        </w:rPr>
        <w:t xml:space="preserve">le </w:t>
      </w:r>
      <w:r w:rsidR="0040417A" w:rsidRPr="009837EF">
        <w:rPr>
          <w:rFonts w:ascii="Times New Roman" w:eastAsia="Times New Roman" w:hAnsi="Times New Roman" w:cs="Times New Roman"/>
          <w:i/>
          <w:sz w:val="24"/>
          <w:szCs w:val="24"/>
          <w:lang w:val="fr-FR" w:eastAsia="fr-FR"/>
        </w:rPr>
        <w:t xml:space="preserve">présent </w:t>
      </w:r>
      <w:r w:rsidR="00CE7275" w:rsidRPr="009837EF">
        <w:rPr>
          <w:rFonts w:ascii="Times New Roman" w:eastAsia="Times New Roman" w:hAnsi="Times New Roman" w:cs="Times New Roman"/>
          <w:i/>
          <w:sz w:val="24"/>
          <w:szCs w:val="24"/>
          <w:lang w:val="fr-FR" w:eastAsia="fr-FR"/>
        </w:rPr>
        <w:t>décret est pris pour l’application de</w:t>
      </w:r>
      <w:r w:rsidR="000D722B" w:rsidRPr="009837EF">
        <w:rPr>
          <w:rFonts w:ascii="Times New Roman" w:eastAsia="Times New Roman" w:hAnsi="Times New Roman" w:cs="Times New Roman"/>
          <w:i/>
          <w:sz w:val="24"/>
          <w:szCs w:val="24"/>
          <w:lang w:val="fr-FR" w:eastAsia="fr-FR"/>
        </w:rPr>
        <w:t>s</w:t>
      </w:r>
      <w:r w:rsidR="00CE7275" w:rsidRPr="009837EF">
        <w:rPr>
          <w:rFonts w:ascii="Times New Roman" w:eastAsia="Times New Roman" w:hAnsi="Times New Roman" w:cs="Times New Roman"/>
          <w:i/>
          <w:sz w:val="24"/>
          <w:szCs w:val="24"/>
          <w:lang w:val="fr-FR" w:eastAsia="fr-FR"/>
        </w:rPr>
        <w:t xml:space="preserve"> article</w:t>
      </w:r>
      <w:r w:rsidR="000D722B" w:rsidRPr="009837EF">
        <w:rPr>
          <w:rFonts w:ascii="Times New Roman" w:eastAsia="Times New Roman" w:hAnsi="Times New Roman" w:cs="Times New Roman"/>
          <w:i/>
          <w:sz w:val="24"/>
          <w:szCs w:val="24"/>
          <w:lang w:val="fr-FR" w:eastAsia="fr-FR"/>
        </w:rPr>
        <w:t>s</w:t>
      </w:r>
      <w:r w:rsidR="00CE7275" w:rsidRPr="009837EF">
        <w:rPr>
          <w:rFonts w:ascii="Times New Roman" w:eastAsia="Times New Roman" w:hAnsi="Times New Roman" w:cs="Times New Roman"/>
          <w:i/>
          <w:sz w:val="24"/>
          <w:szCs w:val="24"/>
          <w:lang w:val="fr-FR" w:eastAsia="fr-FR"/>
        </w:rPr>
        <w:t xml:space="preserve"> L.</w:t>
      </w:r>
      <w:r w:rsidR="00A737AF" w:rsidRPr="009837EF">
        <w:rPr>
          <w:rFonts w:ascii="Times New Roman" w:eastAsia="Times New Roman" w:hAnsi="Times New Roman" w:cs="Times New Roman"/>
          <w:i/>
          <w:sz w:val="24"/>
          <w:szCs w:val="24"/>
          <w:lang w:val="fr-FR" w:eastAsia="fr-FR"/>
        </w:rPr>
        <w:t xml:space="preserve"> </w:t>
      </w:r>
      <w:r w:rsidR="00CE7275" w:rsidRPr="009837EF">
        <w:rPr>
          <w:rFonts w:ascii="Times New Roman" w:eastAsia="Times New Roman" w:hAnsi="Times New Roman" w:cs="Times New Roman"/>
          <w:i/>
          <w:sz w:val="24"/>
          <w:szCs w:val="24"/>
          <w:lang w:val="fr-FR" w:eastAsia="fr-FR"/>
        </w:rPr>
        <w:t>557-</w:t>
      </w:r>
      <w:r w:rsidR="000D722B" w:rsidRPr="009837EF">
        <w:rPr>
          <w:rFonts w:ascii="Times New Roman" w:eastAsia="Times New Roman" w:hAnsi="Times New Roman" w:cs="Times New Roman"/>
          <w:i/>
          <w:sz w:val="24"/>
          <w:szCs w:val="24"/>
          <w:lang w:val="fr-FR" w:eastAsia="fr-FR"/>
        </w:rPr>
        <w:t>8</w:t>
      </w:r>
      <w:r w:rsidR="00CE7275" w:rsidRPr="009837EF">
        <w:rPr>
          <w:rFonts w:ascii="Times New Roman" w:eastAsia="Times New Roman" w:hAnsi="Times New Roman" w:cs="Times New Roman"/>
          <w:i/>
          <w:sz w:val="24"/>
          <w:szCs w:val="24"/>
          <w:lang w:val="fr-FR" w:eastAsia="fr-FR"/>
        </w:rPr>
        <w:t>-</w:t>
      </w:r>
      <w:r w:rsidR="000D722B" w:rsidRPr="009837EF">
        <w:rPr>
          <w:rFonts w:ascii="Times New Roman" w:eastAsia="Times New Roman" w:hAnsi="Times New Roman" w:cs="Times New Roman"/>
          <w:i/>
          <w:sz w:val="24"/>
          <w:szCs w:val="24"/>
          <w:lang w:val="fr-FR" w:eastAsia="fr-FR"/>
        </w:rPr>
        <w:t>4</w:t>
      </w:r>
      <w:r w:rsidR="00CE7275" w:rsidRPr="009837EF">
        <w:rPr>
          <w:rFonts w:ascii="Times New Roman" w:eastAsia="Times New Roman" w:hAnsi="Times New Roman" w:cs="Times New Roman"/>
          <w:i/>
          <w:sz w:val="24"/>
          <w:szCs w:val="24"/>
          <w:lang w:val="fr-FR" w:eastAsia="fr-FR"/>
        </w:rPr>
        <w:t xml:space="preserve"> </w:t>
      </w:r>
      <w:r w:rsidR="000D722B" w:rsidRPr="009837EF">
        <w:rPr>
          <w:rFonts w:ascii="Times New Roman" w:eastAsia="Times New Roman" w:hAnsi="Times New Roman" w:cs="Times New Roman"/>
          <w:i/>
          <w:sz w:val="24"/>
          <w:szCs w:val="24"/>
          <w:lang w:val="fr-FR" w:eastAsia="fr-FR"/>
        </w:rPr>
        <w:t xml:space="preserve">et L.555-15-1 </w:t>
      </w:r>
      <w:r w:rsidR="002B2DC5" w:rsidRPr="009837EF">
        <w:rPr>
          <w:rFonts w:ascii="Times New Roman" w:eastAsia="Times New Roman" w:hAnsi="Times New Roman" w:cs="Times New Roman"/>
          <w:i/>
          <w:sz w:val="24"/>
          <w:szCs w:val="24"/>
          <w:lang w:val="fr-FR" w:eastAsia="fr-FR"/>
        </w:rPr>
        <w:t xml:space="preserve">[nouveaux] </w:t>
      </w:r>
      <w:r w:rsidR="00CE7275" w:rsidRPr="009837EF">
        <w:rPr>
          <w:rFonts w:ascii="Times New Roman" w:eastAsia="Times New Roman" w:hAnsi="Times New Roman" w:cs="Times New Roman"/>
          <w:i/>
          <w:sz w:val="24"/>
          <w:szCs w:val="24"/>
          <w:lang w:val="fr-FR" w:eastAsia="fr-FR"/>
        </w:rPr>
        <w:t xml:space="preserve">du </w:t>
      </w:r>
      <w:r w:rsidR="00A737AF" w:rsidRPr="009837EF">
        <w:rPr>
          <w:rFonts w:ascii="Times New Roman" w:eastAsia="Times New Roman" w:hAnsi="Times New Roman" w:cs="Times New Roman"/>
          <w:i/>
          <w:sz w:val="24"/>
          <w:szCs w:val="24"/>
          <w:lang w:val="fr-FR" w:eastAsia="fr-FR"/>
        </w:rPr>
        <w:t>c</w:t>
      </w:r>
      <w:r w:rsidR="00CE7275" w:rsidRPr="009837EF">
        <w:rPr>
          <w:rFonts w:ascii="Times New Roman" w:eastAsia="Times New Roman" w:hAnsi="Times New Roman" w:cs="Times New Roman"/>
          <w:i/>
          <w:sz w:val="24"/>
          <w:szCs w:val="24"/>
          <w:lang w:val="fr-FR" w:eastAsia="fr-FR"/>
        </w:rPr>
        <w:t>ode de l’environnement</w:t>
      </w:r>
      <w:r w:rsidR="00AE40C8" w:rsidRPr="009837EF">
        <w:rPr>
          <w:rFonts w:ascii="Times New Roman" w:eastAsia="Times New Roman" w:hAnsi="Times New Roman" w:cs="Times New Roman"/>
          <w:i/>
          <w:sz w:val="24"/>
          <w:szCs w:val="24"/>
          <w:lang w:val="fr-FR" w:eastAsia="fr-FR"/>
        </w:rPr>
        <w:t>.</w:t>
      </w:r>
    </w:p>
    <w:p w14:paraId="49858AE4" w14:textId="77777777" w:rsidR="00CE7275" w:rsidRPr="00F57851" w:rsidRDefault="00CE7275" w:rsidP="009837EF">
      <w:pPr>
        <w:pStyle w:val="SNAutorit"/>
        <w:spacing w:before="0" w:after="0"/>
        <w:ind w:firstLine="709"/>
        <w:rPr>
          <w:rFonts w:ascii="Marianne" w:hAnsi="Marianne"/>
          <w:b w:val="0"/>
          <w:bCs/>
        </w:rPr>
      </w:pPr>
      <w:r w:rsidRPr="009837EF">
        <w:t>Le Premier ministre,</w:t>
      </w:r>
    </w:p>
    <w:p w14:paraId="232E3C2C" w14:textId="3CD4887B" w:rsidR="00CE7275" w:rsidRDefault="00CE7275" w:rsidP="009837EF">
      <w:pPr>
        <w:pStyle w:val="SNVisa"/>
        <w:spacing w:before="0" w:after="0"/>
        <w:ind w:firstLine="709"/>
      </w:pPr>
      <w:r w:rsidRPr="009837EF">
        <w:t>Sur le rapport d</w:t>
      </w:r>
      <w:r w:rsidR="004E5EC2" w:rsidRPr="009837EF">
        <w:t>e la</w:t>
      </w:r>
      <w:r w:rsidRPr="009837EF">
        <w:t xml:space="preserve"> </w:t>
      </w:r>
      <w:r w:rsidR="00A44563" w:rsidRPr="009837EF">
        <w:t xml:space="preserve">ministre de la transition </w:t>
      </w:r>
      <w:r w:rsidR="00AE40C8" w:rsidRPr="009837EF">
        <w:t>écologique, de la biodiversité et des</w:t>
      </w:r>
      <w:r w:rsidR="00AE40C8" w:rsidRPr="00F57851">
        <w:rPr>
          <w:rFonts w:ascii="Marianne" w:hAnsi="Marianne"/>
        </w:rPr>
        <w:t xml:space="preserve"> </w:t>
      </w:r>
      <w:r w:rsidR="00AE40C8" w:rsidRPr="009837EF">
        <w:t>négociations internationales sur le climat et la nature</w:t>
      </w:r>
      <w:r w:rsidR="00934699" w:rsidRPr="009837EF">
        <w:t>,</w:t>
      </w:r>
    </w:p>
    <w:p w14:paraId="4084B432" w14:textId="77777777" w:rsidR="009837EF" w:rsidRPr="009837EF" w:rsidRDefault="009837EF" w:rsidP="009837EF">
      <w:pPr>
        <w:pStyle w:val="SNVisa"/>
        <w:spacing w:before="0" w:after="0"/>
        <w:ind w:firstLine="709"/>
      </w:pPr>
    </w:p>
    <w:p w14:paraId="4693C1B3" w14:textId="3E01B004" w:rsidR="006E5878" w:rsidRDefault="006E5878" w:rsidP="009837EF">
      <w:pPr>
        <w:pStyle w:val="SNVisa"/>
        <w:spacing w:before="0" w:after="0"/>
        <w:ind w:firstLine="709"/>
      </w:pPr>
      <w:r w:rsidRPr="009837EF">
        <w:lastRenderedPageBreak/>
        <w:t>Vu le règlement (UE) 2016/426 du Parlement européen et du Conseil du 9 mars 2016 concernant les appareils brûlant des combustibles gazeux et abrogeant la directive</w:t>
      </w:r>
      <w:r w:rsidR="00413090" w:rsidRPr="009837EF">
        <w:t> </w:t>
      </w:r>
      <w:r w:rsidRPr="009837EF">
        <w:t>2009/142/CE ;</w:t>
      </w:r>
    </w:p>
    <w:p w14:paraId="61CA58BA" w14:textId="77777777" w:rsidR="009837EF" w:rsidRPr="009837EF" w:rsidRDefault="009837EF" w:rsidP="009837EF">
      <w:pPr>
        <w:pStyle w:val="SNVisa"/>
        <w:spacing w:before="0" w:after="0"/>
        <w:ind w:firstLine="709"/>
      </w:pPr>
    </w:p>
    <w:p w14:paraId="2D7ADB8D" w14:textId="2ABAB828" w:rsidR="006E5878" w:rsidRDefault="006E5878" w:rsidP="009837EF">
      <w:pPr>
        <w:pStyle w:val="SNVisa"/>
        <w:spacing w:before="0" w:after="0"/>
        <w:ind w:firstLine="709"/>
      </w:pPr>
      <w:r w:rsidRPr="009837EF">
        <w:t>Vu le règlement (UE) 2024/2747 du Parlement européen et du Conseil du 9 octobre 2024 établissant un cadre de mesures relatives à une situation d’urgence dans le marché intérieur et à la résilience du marché intérieur et modifiant le règlement (CE) n°</w:t>
      </w:r>
      <w:r w:rsidR="003769BB" w:rsidRPr="009837EF">
        <w:t> </w:t>
      </w:r>
      <w:r w:rsidRPr="009837EF">
        <w:t>2679/98 du Conseil ;</w:t>
      </w:r>
    </w:p>
    <w:p w14:paraId="58378F2D" w14:textId="77777777" w:rsidR="009837EF" w:rsidRPr="009837EF" w:rsidRDefault="009837EF" w:rsidP="009837EF">
      <w:pPr>
        <w:pStyle w:val="SNVisa"/>
        <w:spacing w:before="0" w:after="0"/>
        <w:ind w:firstLine="709"/>
      </w:pPr>
    </w:p>
    <w:p w14:paraId="5D457CCC" w14:textId="667C9779" w:rsidR="006E5878" w:rsidRDefault="006E5878" w:rsidP="009837EF">
      <w:pPr>
        <w:pStyle w:val="SNVisa"/>
        <w:spacing w:before="0" w:after="0"/>
        <w:ind w:firstLine="709"/>
      </w:pPr>
      <w:r w:rsidRPr="009837EF">
        <w:t>Vu le règlement (UE) 2024/2748 du Parlement européen et du Conseil du 9 octobre 2024 modifiant les règlements (UE)</w:t>
      </w:r>
      <w:r w:rsidR="00413090" w:rsidRPr="009837EF">
        <w:t> </w:t>
      </w:r>
      <w:r w:rsidRPr="009837EF">
        <w:t>305/2011, (UE) 2016/424, (UE) 2016/425, (UE) 2016/426, (UE)</w:t>
      </w:r>
      <w:r w:rsidR="00413090" w:rsidRPr="009837EF">
        <w:t> </w:t>
      </w:r>
      <w:r w:rsidRPr="009837EF">
        <w:t>2023/988 et (UE) 2023/1230 en ce qui concerne des procédures d’urgence pour l’évaluation de la conformité, une présomption de conformité, l’adoption de spécifications communes et la surveillance du marché en raison d’une situation d’urgence dans le marché intérieur ;</w:t>
      </w:r>
    </w:p>
    <w:p w14:paraId="54CBECE6" w14:textId="77777777" w:rsidR="009837EF" w:rsidRPr="009837EF" w:rsidRDefault="009837EF" w:rsidP="009837EF">
      <w:pPr>
        <w:pStyle w:val="SNVisa"/>
        <w:spacing w:before="0" w:after="0"/>
        <w:ind w:firstLine="709"/>
      </w:pPr>
    </w:p>
    <w:p w14:paraId="59BF74E2" w14:textId="2E4C1BA2" w:rsidR="005C0BD6" w:rsidRDefault="005C0BD6" w:rsidP="009837EF">
      <w:pPr>
        <w:pStyle w:val="SNVisa"/>
        <w:spacing w:before="0" w:after="0"/>
        <w:ind w:firstLine="709"/>
      </w:pPr>
      <w:r w:rsidRPr="009837EF">
        <w:t>Vu la directive 2010/35/UE du Parlement européen et du Conseil du 16 juin 2010 relative aux équipements sous pression transportables et abrogeant les directives du Conseil 76/767/CEE, 84/525/CEE, 84/526/CEE, 84/527/CEE et 1999/36/CE ;</w:t>
      </w:r>
    </w:p>
    <w:p w14:paraId="38CCD4CB" w14:textId="77777777" w:rsidR="009837EF" w:rsidRPr="009837EF" w:rsidRDefault="009837EF" w:rsidP="009837EF">
      <w:pPr>
        <w:pStyle w:val="SNVisa"/>
        <w:spacing w:before="0" w:after="0"/>
        <w:ind w:firstLine="709"/>
      </w:pPr>
    </w:p>
    <w:p w14:paraId="22592A38" w14:textId="250C3967" w:rsidR="005C0BD6" w:rsidRDefault="005C0BD6" w:rsidP="009837EF">
      <w:pPr>
        <w:pStyle w:val="SNVisa"/>
        <w:spacing w:before="0" w:after="0"/>
        <w:ind w:firstLine="709"/>
      </w:pPr>
      <w:r w:rsidRPr="009837EF">
        <w:t>Vu la directive 2014/29/UE du Parlement européen et du Conseil du 26 février 2014 relative à l’harmonisation des législations des États membres relatives à la mise à disposition sur le marché de récipients à pression simples ;</w:t>
      </w:r>
    </w:p>
    <w:p w14:paraId="6102ED19" w14:textId="77777777" w:rsidR="009837EF" w:rsidRPr="009837EF" w:rsidRDefault="009837EF" w:rsidP="009837EF">
      <w:pPr>
        <w:pStyle w:val="SNVisa"/>
        <w:spacing w:before="0" w:after="0"/>
        <w:ind w:firstLine="709"/>
      </w:pPr>
    </w:p>
    <w:p w14:paraId="012FE475" w14:textId="484EB944" w:rsidR="005C0BD6" w:rsidRDefault="005C0BD6" w:rsidP="009837EF">
      <w:pPr>
        <w:pStyle w:val="SNVisa"/>
        <w:spacing w:before="0" w:after="0"/>
        <w:ind w:firstLine="709"/>
      </w:pPr>
      <w:r w:rsidRPr="009837EF">
        <w:t>Vu la directive 2014/34/UE du Parlement européen et du Conseil du 26 février 2014 relative à l’harmonisation des législations des États membres concernant les appareils et les systèmes de protection destinés à être utilisés en atmosphères explosibles ;</w:t>
      </w:r>
    </w:p>
    <w:p w14:paraId="0F262FBC" w14:textId="77777777" w:rsidR="009837EF" w:rsidRPr="009837EF" w:rsidRDefault="009837EF" w:rsidP="009837EF">
      <w:pPr>
        <w:pStyle w:val="SNVisa"/>
        <w:spacing w:before="0" w:after="0"/>
        <w:ind w:firstLine="709"/>
      </w:pPr>
    </w:p>
    <w:p w14:paraId="47E2EDF6" w14:textId="47020475" w:rsidR="005C0BD6" w:rsidRDefault="005C0BD6" w:rsidP="009837EF">
      <w:pPr>
        <w:pStyle w:val="SNVisa"/>
        <w:spacing w:before="0" w:after="0"/>
        <w:ind w:firstLine="709"/>
      </w:pPr>
      <w:r w:rsidRPr="009837EF">
        <w:t>Vu la directive 2014/68/UE du Parlement européen et du Conseil du 15 mai 2014 relative à l’harmonisation des législations des États membres concernant la mise à disposition sur le marché des équipements sous pression ;</w:t>
      </w:r>
    </w:p>
    <w:p w14:paraId="3371C915" w14:textId="77777777" w:rsidR="009837EF" w:rsidRPr="009837EF" w:rsidRDefault="009837EF" w:rsidP="009837EF">
      <w:pPr>
        <w:pStyle w:val="SNVisa"/>
        <w:spacing w:before="0" w:after="0"/>
        <w:ind w:firstLine="709"/>
      </w:pPr>
    </w:p>
    <w:p w14:paraId="7359157C" w14:textId="2F3BF688" w:rsidR="00B772C7" w:rsidRDefault="00B772C7" w:rsidP="009837EF">
      <w:pPr>
        <w:pStyle w:val="SNVisa"/>
        <w:spacing w:before="0" w:after="0"/>
        <w:ind w:firstLine="709"/>
      </w:pPr>
      <w:r w:rsidRPr="009837EF">
        <w:t>Vu la directive (UE) 2024/1788 du Parlement européen et du Conseil du 13 juin 2024 concernant des règles communes pour les marchés intérieurs du gaz renouvelable, du gaz naturel et de l’hydrogène, modifiant la directive (UE) 2023/1791 et abrogeant la directive 2009/73/CE ;</w:t>
      </w:r>
    </w:p>
    <w:p w14:paraId="2A6D9952" w14:textId="77777777" w:rsidR="009837EF" w:rsidRPr="009837EF" w:rsidRDefault="009837EF" w:rsidP="009837EF">
      <w:pPr>
        <w:pStyle w:val="SNVisa"/>
        <w:spacing w:before="0" w:after="0"/>
        <w:ind w:firstLine="709"/>
      </w:pPr>
    </w:p>
    <w:p w14:paraId="2DB5FD0D" w14:textId="499FB76E" w:rsidR="005C0BD6" w:rsidRDefault="005C0BD6" w:rsidP="009837EF">
      <w:pPr>
        <w:pStyle w:val="SNVisa"/>
        <w:spacing w:before="0" w:after="0"/>
        <w:ind w:firstLine="709"/>
      </w:pPr>
      <w:r w:rsidRPr="009837EF">
        <w:t>Vu la directive (UE) 2024/2749 du Parlement européen et du Conseil du 9 octobre 2024 modifiant les directives 2000/14/CE, 2006/42/CE, 2010/35/UE, 2014/29/UE, 2014/30/UE, 2014/33/UE, 2014/34/UE, 2014/35/UE, 2014/53/UE et 2014/68/UE en ce qui concerne des procédures d’urgence pour l’évaluation de la conformité, une présomption de conformité, l’adoption de spécifications communes et la surveillance du marché en raison d’une situation d’urgence dans le marché intérieur ;</w:t>
      </w:r>
    </w:p>
    <w:p w14:paraId="0F4CCC3C" w14:textId="77777777" w:rsidR="009837EF" w:rsidRPr="009837EF" w:rsidRDefault="009837EF" w:rsidP="009837EF">
      <w:pPr>
        <w:pStyle w:val="SNVisa"/>
        <w:spacing w:before="0" w:after="0"/>
        <w:ind w:firstLine="709"/>
      </w:pPr>
    </w:p>
    <w:p w14:paraId="77551678" w14:textId="1043C209" w:rsidR="00181D0F" w:rsidRDefault="00181D0F" w:rsidP="009837EF">
      <w:pPr>
        <w:pStyle w:val="SNVisa"/>
        <w:spacing w:before="0" w:after="0"/>
        <w:ind w:firstLine="709"/>
      </w:pPr>
      <w:r w:rsidRPr="009837EF">
        <w:t>Vu le code de l’environnement, notamment ses articles L.</w:t>
      </w:r>
      <w:r w:rsidR="00484469" w:rsidRPr="009837EF">
        <w:t> </w:t>
      </w:r>
      <w:r w:rsidRPr="009837EF">
        <w:t>557-</w:t>
      </w:r>
      <w:r w:rsidR="0055691A" w:rsidRPr="009837EF">
        <w:t>8-2 à</w:t>
      </w:r>
      <w:r w:rsidR="006138D7" w:rsidRPr="009837EF">
        <w:t xml:space="preserve"> </w:t>
      </w:r>
      <w:r w:rsidRPr="009837EF">
        <w:t>L.</w:t>
      </w:r>
      <w:r w:rsidR="00484469" w:rsidRPr="009837EF">
        <w:t> </w:t>
      </w:r>
      <w:r w:rsidRPr="009837EF">
        <w:t>557-</w:t>
      </w:r>
      <w:r w:rsidR="0055691A" w:rsidRPr="009837EF">
        <w:t>8</w:t>
      </w:r>
      <w:r w:rsidRPr="009837EF">
        <w:t>-</w:t>
      </w:r>
      <w:r w:rsidR="0055691A" w:rsidRPr="009837EF">
        <w:t>5</w:t>
      </w:r>
      <w:r w:rsidR="002B2DC5" w:rsidRPr="009837EF">
        <w:t xml:space="preserve"> [nouveaux]</w:t>
      </w:r>
      <w:r w:rsidR="00B772C7" w:rsidRPr="009837EF">
        <w:t>, L.</w:t>
      </w:r>
      <w:r w:rsidR="008A77C6" w:rsidRPr="009837EF">
        <w:t> </w:t>
      </w:r>
      <w:r w:rsidR="00B772C7" w:rsidRPr="009837EF">
        <w:t>555-15-1</w:t>
      </w:r>
      <w:r w:rsidR="002B2DC5" w:rsidRPr="009837EF">
        <w:t xml:space="preserve"> [nouveau]</w:t>
      </w:r>
      <w:r w:rsidR="006403CC" w:rsidRPr="009837EF">
        <w:t>,</w:t>
      </w:r>
      <w:r w:rsidR="00B772C7" w:rsidRPr="009837EF">
        <w:t xml:space="preserve"> L.</w:t>
      </w:r>
      <w:r w:rsidR="008A77C6" w:rsidRPr="009837EF">
        <w:t> </w:t>
      </w:r>
      <w:r w:rsidR="00B772C7" w:rsidRPr="009837EF">
        <w:t>555-25</w:t>
      </w:r>
      <w:r w:rsidR="006403CC" w:rsidRPr="009837EF">
        <w:t xml:space="preserve"> et L. 557-31 </w:t>
      </w:r>
      <w:r w:rsidRPr="009837EF">
        <w:t>;</w:t>
      </w:r>
    </w:p>
    <w:p w14:paraId="12779B81" w14:textId="77777777" w:rsidR="009837EF" w:rsidRPr="009837EF" w:rsidRDefault="009837EF" w:rsidP="009837EF">
      <w:pPr>
        <w:pStyle w:val="SNVisa"/>
        <w:spacing w:before="0" w:after="0"/>
        <w:ind w:firstLine="709"/>
      </w:pPr>
    </w:p>
    <w:p w14:paraId="5BA5BECA" w14:textId="11955B3D" w:rsidR="008F69C8" w:rsidRDefault="008F69C8" w:rsidP="009837EF">
      <w:pPr>
        <w:pStyle w:val="SNVisa"/>
        <w:spacing w:before="0" w:after="0"/>
        <w:ind w:firstLine="709"/>
      </w:pPr>
      <w:r w:rsidRPr="009837EF">
        <w:t>Vu le code des relations entre le public et l’administration et notamment son article L.242</w:t>
      </w:r>
      <w:r w:rsidRPr="009837EF">
        <w:softHyphen/>
      </w:r>
      <w:r w:rsidRPr="009837EF">
        <w:noBreakHyphen/>
        <w:t>1 ;</w:t>
      </w:r>
    </w:p>
    <w:p w14:paraId="29D9EF8E" w14:textId="77777777" w:rsidR="009837EF" w:rsidRPr="009837EF" w:rsidRDefault="009837EF" w:rsidP="009837EF">
      <w:pPr>
        <w:pStyle w:val="SNVisa"/>
        <w:spacing w:before="0" w:after="0"/>
        <w:ind w:firstLine="709"/>
      </w:pPr>
    </w:p>
    <w:p w14:paraId="32A2DA7D" w14:textId="28C7DD80" w:rsidR="00CE7275" w:rsidRDefault="00CE7275" w:rsidP="009837EF">
      <w:pPr>
        <w:pStyle w:val="SNVisa"/>
        <w:spacing w:before="0" w:after="0"/>
        <w:ind w:firstLine="709"/>
      </w:pPr>
      <w:r w:rsidRPr="009837EF">
        <w:t>Vu l’avis du Conseil supérieur de la prévention des risques technologiques en date du [à compléter] ;</w:t>
      </w:r>
    </w:p>
    <w:p w14:paraId="168932D9" w14:textId="77777777" w:rsidR="009837EF" w:rsidRPr="009837EF" w:rsidRDefault="009837EF" w:rsidP="009837EF">
      <w:pPr>
        <w:pStyle w:val="SNVisa"/>
        <w:spacing w:before="0" w:after="0"/>
        <w:ind w:firstLine="709"/>
      </w:pPr>
    </w:p>
    <w:p w14:paraId="7A11122F" w14:textId="3678DD0F" w:rsidR="00383BEB" w:rsidRDefault="00383BEB" w:rsidP="009837EF">
      <w:pPr>
        <w:pStyle w:val="SNVisa"/>
        <w:spacing w:before="0" w:after="0"/>
        <w:ind w:firstLine="709"/>
      </w:pPr>
      <w:r w:rsidRPr="009837EF">
        <w:lastRenderedPageBreak/>
        <w:t xml:space="preserve">Vu les observations formulées lors de la consultation publique réalisée du </w:t>
      </w:r>
      <w:r w:rsidR="00BD074C" w:rsidRPr="009837EF">
        <w:t>18</w:t>
      </w:r>
      <w:r w:rsidRPr="009837EF">
        <w:t>/</w:t>
      </w:r>
      <w:r w:rsidR="00BD074C" w:rsidRPr="009837EF">
        <w:t>05</w:t>
      </w:r>
      <w:r w:rsidRPr="009837EF">
        <w:t>/202</w:t>
      </w:r>
      <w:r w:rsidR="0055691A" w:rsidRPr="009837EF">
        <w:t>6</w:t>
      </w:r>
      <w:r w:rsidRPr="009837EF">
        <w:t xml:space="preserve"> au </w:t>
      </w:r>
      <w:r w:rsidR="00BD074C" w:rsidRPr="009837EF">
        <w:t>07</w:t>
      </w:r>
      <w:r w:rsidRPr="009837EF">
        <w:t>/</w:t>
      </w:r>
      <w:r w:rsidR="00BD074C" w:rsidRPr="009837EF">
        <w:t>06</w:t>
      </w:r>
      <w:r w:rsidRPr="009837EF">
        <w:t>/202</w:t>
      </w:r>
      <w:r w:rsidR="0055691A" w:rsidRPr="009837EF">
        <w:t>6</w:t>
      </w:r>
      <w:r w:rsidRPr="009837EF">
        <w:t xml:space="preserve">, en application de l’article </w:t>
      </w:r>
      <w:r w:rsidR="00350A06" w:rsidRPr="009837EF">
        <w:t>L.</w:t>
      </w:r>
      <w:r w:rsidR="00350A06">
        <w:t> </w:t>
      </w:r>
      <w:r w:rsidR="00350A06" w:rsidRPr="009837EF">
        <w:t>12</w:t>
      </w:r>
      <w:r w:rsidR="00350A06">
        <w:t>3-19</w:t>
      </w:r>
      <w:r w:rsidR="00350A06" w:rsidRPr="009837EF">
        <w:t xml:space="preserve">-1 </w:t>
      </w:r>
      <w:r w:rsidRPr="009837EF">
        <w:t>du code de l’environnement</w:t>
      </w:r>
      <w:r w:rsidR="006403CC" w:rsidRPr="009837EF">
        <w:t> ;</w:t>
      </w:r>
    </w:p>
    <w:p w14:paraId="79A94BAE" w14:textId="77777777" w:rsidR="009837EF" w:rsidRPr="009837EF" w:rsidRDefault="009837EF" w:rsidP="009837EF">
      <w:pPr>
        <w:pStyle w:val="SNVisa"/>
        <w:spacing w:before="0" w:after="0"/>
        <w:ind w:firstLine="709"/>
      </w:pPr>
    </w:p>
    <w:p w14:paraId="01DCDF35" w14:textId="6EC947C5" w:rsidR="006403CC" w:rsidRDefault="006403CC" w:rsidP="009837EF">
      <w:pPr>
        <w:pStyle w:val="SNVisa"/>
        <w:spacing w:before="0" w:after="0"/>
        <w:ind w:firstLine="709"/>
      </w:pPr>
      <w:r w:rsidRPr="009837EF">
        <w:t>Le Conseil d’État (section des travaux publics) entendu,</w:t>
      </w:r>
    </w:p>
    <w:p w14:paraId="3AD3509F" w14:textId="77777777" w:rsidR="009837EF" w:rsidRPr="009837EF" w:rsidRDefault="009837EF" w:rsidP="009837EF">
      <w:pPr>
        <w:pStyle w:val="SNVisa"/>
        <w:spacing w:before="0" w:after="0"/>
        <w:ind w:firstLine="709"/>
      </w:pPr>
    </w:p>
    <w:p w14:paraId="2CA4AAC7" w14:textId="37A7FEE0" w:rsidR="00CE7275" w:rsidRDefault="00CE7275" w:rsidP="009837EF">
      <w:pPr>
        <w:pStyle w:val="SNActe"/>
        <w:spacing w:before="0" w:after="0"/>
      </w:pPr>
      <w:r w:rsidRPr="009837EF">
        <w:t>Décrète :</w:t>
      </w:r>
    </w:p>
    <w:p w14:paraId="42E9A9A5" w14:textId="77777777" w:rsidR="009837EF" w:rsidRPr="009837EF" w:rsidRDefault="009837EF" w:rsidP="009837EF">
      <w:pPr>
        <w:pStyle w:val="SNActe"/>
        <w:spacing w:before="0" w:after="0"/>
      </w:pPr>
    </w:p>
    <w:p w14:paraId="61725E27" w14:textId="57C8A792" w:rsidR="005C0BD6" w:rsidRDefault="00CE7275" w:rsidP="009837EF">
      <w:pPr>
        <w:pStyle w:val="SNArticle"/>
        <w:spacing w:before="0" w:after="0"/>
      </w:pPr>
      <w:r w:rsidRPr="009837EF">
        <w:t>Article 1</w:t>
      </w:r>
      <w:r w:rsidRPr="009837EF">
        <w:rPr>
          <w:vertAlign w:val="superscript"/>
        </w:rPr>
        <w:t>er</w:t>
      </w:r>
    </w:p>
    <w:p w14:paraId="47D174A4" w14:textId="77777777" w:rsidR="009837EF" w:rsidRPr="009837EF" w:rsidRDefault="009837EF" w:rsidP="00BE5FC1">
      <w:pPr>
        <w:pStyle w:val="Corpsdetexte"/>
        <w:jc w:val="both"/>
        <w:rPr>
          <w:lang w:val="fr-FR" w:eastAsia="fr-FR"/>
        </w:rPr>
      </w:pPr>
    </w:p>
    <w:p w14:paraId="2486301D" w14:textId="0EB8730C" w:rsidR="00AB3086" w:rsidRPr="00BE5FC1" w:rsidRDefault="00F57851" w:rsidP="00BE5FC1">
      <w:pPr>
        <w:pStyle w:val="SNConsidrant"/>
        <w:ind w:firstLine="0"/>
        <w:jc w:val="both"/>
      </w:pPr>
      <w:r w:rsidRPr="00BE5FC1">
        <w:t>I.</w:t>
      </w:r>
      <w:r w:rsidR="004617AC" w:rsidRPr="00BE5FC1">
        <w:t xml:space="preserve"> </w:t>
      </w:r>
      <w:r w:rsidR="00051A3A" w:rsidRPr="00BE5FC1">
        <w:t>-</w:t>
      </w:r>
      <w:r w:rsidR="004617AC" w:rsidRPr="00BE5FC1">
        <w:t xml:space="preserve"> </w:t>
      </w:r>
      <w:r w:rsidR="000F1C45" w:rsidRPr="00BE5FC1">
        <w:t>À</w:t>
      </w:r>
      <w:r w:rsidR="006E5878" w:rsidRPr="00BE5FC1">
        <w:t xml:space="preserve"> l’article R. 555-24 du code de l’environnement, </w:t>
      </w:r>
      <w:r w:rsidR="00AB3086" w:rsidRPr="00BE5FC1">
        <w:t>après le I est inséré un I</w:t>
      </w:r>
      <w:r w:rsidR="00A9474D" w:rsidRPr="00BE5FC1">
        <w:t xml:space="preserve"> bis</w:t>
      </w:r>
      <w:r w:rsidR="00AB3086" w:rsidRPr="00BE5FC1">
        <w:t xml:space="preserve"> ainsi rédigé :</w:t>
      </w:r>
    </w:p>
    <w:p w14:paraId="546E4C3F" w14:textId="6B4E287E" w:rsidR="00AB3086" w:rsidRPr="00BE5FC1" w:rsidRDefault="00AB3086" w:rsidP="00BE5FC1">
      <w:pPr>
        <w:pStyle w:val="SNConsidrant"/>
        <w:ind w:firstLine="0"/>
        <w:jc w:val="both"/>
      </w:pPr>
      <w:r w:rsidRPr="00BE5FC1">
        <w:t>« I</w:t>
      </w:r>
      <w:r w:rsidR="00051A3A" w:rsidRPr="00BE5FC1">
        <w:t> </w:t>
      </w:r>
      <w:r w:rsidR="00A9474D" w:rsidRPr="00BE5FC1">
        <w:t>bis.</w:t>
      </w:r>
      <w:r w:rsidR="00051A3A" w:rsidRPr="00BE5FC1">
        <w:t> </w:t>
      </w:r>
      <w:r w:rsidR="00A9474D" w:rsidRPr="00BE5FC1">
        <w:t>-</w:t>
      </w:r>
      <w:r w:rsidR="004617AC" w:rsidRPr="00BE5FC1">
        <w:t> </w:t>
      </w:r>
      <w:r w:rsidRPr="00BE5FC1">
        <w:t>Toute conversion d’une canalisation de transport de gaz naturel ou assimilé bénéficiant de l’autorisation requise en canalisation de transport d’hydrogène</w:t>
      </w:r>
      <w:r w:rsidR="00E73FE3" w:rsidRPr="00BE5FC1">
        <w:t xml:space="preserve"> dans les conditions de l’article L. 555-15-1 </w:t>
      </w:r>
      <w:r w:rsidRPr="00BE5FC1">
        <w:t>est portée</w:t>
      </w:r>
      <w:r w:rsidR="006403CC" w:rsidRPr="00BE5FC1">
        <w:t>,</w:t>
      </w:r>
      <w:r w:rsidRPr="00BE5FC1">
        <w:t xml:space="preserve"> avant sa réalisation</w:t>
      </w:r>
      <w:r w:rsidR="006403CC" w:rsidRPr="00BE5FC1">
        <w:t>,</w:t>
      </w:r>
      <w:r w:rsidRPr="00BE5FC1">
        <w:t xml:space="preserve"> à la connaissance de l'autorité compétente pour délivrer l'autorisation de la canalisation ou du tronçon de canalisation concerné, avec tous les éléments utiles d'appréciation</w:t>
      </w:r>
      <w:r w:rsidR="006403CC" w:rsidRPr="00BE5FC1">
        <w:t>,</w:t>
      </w:r>
      <w:r w:rsidR="00A9474D" w:rsidRPr="00BE5FC1">
        <w:t xml:space="preserve"> notamment :</w:t>
      </w:r>
    </w:p>
    <w:p w14:paraId="1CBEA913" w14:textId="1E1588D9" w:rsidR="00A9474D" w:rsidRPr="00BE5FC1" w:rsidRDefault="00A9474D" w:rsidP="00BE5FC1">
      <w:pPr>
        <w:pStyle w:val="SNConsidrant"/>
        <w:ind w:firstLine="0"/>
        <w:jc w:val="both"/>
      </w:pPr>
      <w:r w:rsidRPr="00BE5FC1">
        <w:t xml:space="preserve">« - la mise à jour </w:t>
      </w:r>
      <w:r w:rsidR="00E73FE3" w:rsidRPr="00BE5FC1">
        <w:t xml:space="preserve">des éléments </w:t>
      </w:r>
      <w:r w:rsidRPr="00BE5FC1">
        <w:t>du dossier prévu à l’article R. 555-8</w:t>
      </w:r>
      <w:r w:rsidR="00E73FE3" w:rsidRPr="00BE5FC1">
        <w:t xml:space="preserve"> </w:t>
      </w:r>
      <w:r w:rsidR="00FB3E54" w:rsidRPr="00BE5FC1">
        <w:t>concerné</w:t>
      </w:r>
      <w:r w:rsidR="00E73FE3" w:rsidRPr="00BE5FC1">
        <w:t>s par le changement de produit</w:t>
      </w:r>
      <w:r w:rsidRPr="00BE5FC1">
        <w:t> ;</w:t>
      </w:r>
    </w:p>
    <w:p w14:paraId="45AE028B" w14:textId="7853FE9B" w:rsidR="00A9474D" w:rsidRPr="00BE5FC1" w:rsidRDefault="00A9474D" w:rsidP="00BE5FC1">
      <w:pPr>
        <w:pStyle w:val="SNConsidrant"/>
        <w:ind w:firstLine="0"/>
        <w:jc w:val="both"/>
      </w:pPr>
      <w:r w:rsidRPr="00BE5FC1">
        <w:t>« - une note d’intégrité détaillant les études, contrôles, essais réalisés ou prévus pour justifier de la compatibilité du nouveau produit avec l’ouvrage existant, compte tenu notamment de son état et de la pression maximale en service envisagée.</w:t>
      </w:r>
    </w:p>
    <w:p w14:paraId="495B7C9D" w14:textId="320C6691" w:rsidR="00C24B02" w:rsidRPr="00BE5FC1" w:rsidRDefault="00C24B02" w:rsidP="00BE5FC1">
      <w:pPr>
        <w:pStyle w:val="SNConsidrant"/>
        <w:ind w:firstLine="0"/>
        <w:jc w:val="both"/>
      </w:pPr>
      <w:r w:rsidRPr="00BE5FC1">
        <w:t>« L’autorité compétente peut exiger la production, aux frais de l’exploitant, d'une analyse critique de la mise à jour de l'étude de dangers mentionnée au 5° de l'article R. 555-8</w:t>
      </w:r>
      <w:r w:rsidR="00FB3E54" w:rsidRPr="00BE5FC1">
        <w:t xml:space="preserve">, </w:t>
      </w:r>
      <w:r w:rsidRPr="00BE5FC1">
        <w:t>de la note d‘intégrité</w:t>
      </w:r>
      <w:r w:rsidR="00FB3E54" w:rsidRPr="00BE5FC1">
        <w:t xml:space="preserve"> ou de tout autre élément du dossier justifiant de vérifications particulières</w:t>
      </w:r>
      <w:r w:rsidRPr="00BE5FC1">
        <w:t>.</w:t>
      </w:r>
    </w:p>
    <w:p w14:paraId="15C13E0C" w14:textId="1CAC458D" w:rsidR="00AB3086" w:rsidRPr="00BE5FC1" w:rsidRDefault="00A9474D" w:rsidP="00BE5FC1">
      <w:pPr>
        <w:pStyle w:val="SNConsidrant"/>
        <w:ind w:firstLine="0"/>
        <w:jc w:val="both"/>
      </w:pPr>
      <w:r w:rsidRPr="00BE5FC1">
        <w:t>« </w:t>
      </w:r>
      <w:r w:rsidR="00AB3086" w:rsidRPr="00BE5FC1">
        <w:t xml:space="preserve">L’autorité compétente peut, si la canalisation de transport ne respecte </w:t>
      </w:r>
      <w:r w:rsidR="00C7146E" w:rsidRPr="00BE5FC1">
        <w:t xml:space="preserve">pas </w:t>
      </w:r>
      <w:r w:rsidR="00AB3086" w:rsidRPr="00BE5FC1">
        <w:t>les prescriptions techniques prévues à l’article R.</w:t>
      </w:r>
      <w:r w:rsidR="008153D5" w:rsidRPr="00BE5FC1">
        <w:t> </w:t>
      </w:r>
      <w:r w:rsidR="00AB3086" w:rsidRPr="00BE5FC1">
        <w:t>554-43</w:t>
      </w:r>
      <w:r w:rsidRPr="00BE5FC1">
        <w:t>,</w:t>
      </w:r>
      <w:r w:rsidR="00AB3086" w:rsidRPr="00BE5FC1">
        <w:t xml:space="preserve"> retirer l’autorisation de transporter de l’hydrogène</w:t>
      </w:r>
      <w:r w:rsidR="008F69C8" w:rsidRPr="00BE5FC1">
        <w:t xml:space="preserve"> dans les conditions prévues à l’article L.</w:t>
      </w:r>
      <w:r w:rsidR="00774631" w:rsidRPr="00BE5FC1">
        <w:t> </w:t>
      </w:r>
      <w:r w:rsidR="008F69C8" w:rsidRPr="00BE5FC1">
        <w:t>242-1 du code des relations entre le public et l’administration, le délai commençant à compter de la date d</w:t>
      </w:r>
      <w:r w:rsidR="00774631" w:rsidRPr="00BE5FC1">
        <w:t>e</w:t>
      </w:r>
      <w:r w:rsidR="008F69C8" w:rsidRPr="00BE5FC1">
        <w:t xml:space="preserve"> dépôt </w:t>
      </w:r>
      <w:r w:rsidR="00774631" w:rsidRPr="00BE5FC1">
        <w:t>des éléments mentionnés aux alinéas 1 à 3 du présent article</w:t>
      </w:r>
      <w:r w:rsidR="008F69C8" w:rsidRPr="00BE5FC1">
        <w:t xml:space="preserve"> </w:t>
      </w:r>
      <w:r w:rsidR="00774631" w:rsidRPr="00BE5FC1">
        <w:t>ou, le cas échéant, de l’analyse critique mentionnée à l’alinéa 4 du présent article ou des derniers compléments demandés par l’autorité compétente</w:t>
      </w:r>
      <w:r w:rsidR="008F69C8" w:rsidRPr="00BE5FC1">
        <w:t xml:space="preserve">. </w:t>
      </w:r>
    </w:p>
    <w:p w14:paraId="5C05EBD9" w14:textId="2D4465DA" w:rsidR="005F3FF1" w:rsidRPr="00BE5FC1" w:rsidRDefault="00A9474D" w:rsidP="00BE5FC1">
      <w:pPr>
        <w:pStyle w:val="SNConsidrant"/>
        <w:ind w:firstLine="0"/>
        <w:jc w:val="both"/>
      </w:pPr>
      <w:r w:rsidRPr="00BE5FC1">
        <w:t>« Elle peut également</w:t>
      </w:r>
      <w:r w:rsidR="006403CC" w:rsidRPr="00BE5FC1">
        <w:t>,</w:t>
      </w:r>
      <w:r w:rsidRPr="00BE5FC1">
        <w:t xml:space="preserve"> s'il y a lieu, </w:t>
      </w:r>
      <w:r w:rsidR="00AB3086" w:rsidRPr="00BE5FC1">
        <w:t>fixe</w:t>
      </w:r>
      <w:r w:rsidRPr="00BE5FC1">
        <w:t>r</w:t>
      </w:r>
      <w:r w:rsidR="00AB3086" w:rsidRPr="00BE5FC1">
        <w:t xml:space="preserve"> des prescriptions complémentaires</w:t>
      </w:r>
      <w:r w:rsidR="006403CC" w:rsidRPr="00BE5FC1">
        <w:t>,</w:t>
      </w:r>
      <w:r w:rsidR="00AB3086" w:rsidRPr="00BE5FC1">
        <w:t xml:space="preserve"> dans les formes prévues par l'article R.</w:t>
      </w:r>
      <w:r w:rsidR="006403CC" w:rsidRPr="00BE5FC1">
        <w:t> </w:t>
      </w:r>
      <w:r w:rsidR="00AB3086" w:rsidRPr="00BE5FC1">
        <w:t>555-22</w:t>
      </w:r>
      <w:r w:rsidR="006403CC" w:rsidRPr="00BE5FC1">
        <w:t>,</w:t>
      </w:r>
      <w:r w:rsidR="00AB3086" w:rsidRPr="00BE5FC1">
        <w:t xml:space="preserve"> visant à protéger les intérêts mentionnés aux articles L.</w:t>
      </w:r>
      <w:r w:rsidR="008153D5" w:rsidRPr="00BE5FC1">
        <w:t> </w:t>
      </w:r>
      <w:r w:rsidR="00AB3086" w:rsidRPr="00BE5FC1">
        <w:t>554-5 et L. 211-1.</w:t>
      </w:r>
      <w:r w:rsidRPr="00BE5FC1">
        <w:t> </w:t>
      </w:r>
    </w:p>
    <w:p w14:paraId="31AF0854" w14:textId="7E11883C" w:rsidR="00AB3086" w:rsidRPr="00BE5FC1" w:rsidRDefault="005F3FF1" w:rsidP="00BE5FC1">
      <w:pPr>
        <w:pStyle w:val="SNConsidrant"/>
        <w:ind w:firstLine="0"/>
        <w:jc w:val="both"/>
      </w:pPr>
      <w:r w:rsidRPr="00BE5FC1">
        <w:t xml:space="preserve">« Le plan de sécurité et d’intervention, </w:t>
      </w:r>
      <w:r w:rsidR="00FB3E54" w:rsidRPr="00BE5FC1">
        <w:t xml:space="preserve">le programme de surveillance et de maintenance et </w:t>
      </w:r>
      <w:r w:rsidRPr="00BE5FC1">
        <w:t>le système de gestion de la sécurité mentionnés aux articles R. 554-47 et R. 554-48 sont mis à jour avant la réalisation de la conversion. »</w:t>
      </w:r>
    </w:p>
    <w:p w14:paraId="42178597" w14:textId="1C0D5145" w:rsidR="00F57851" w:rsidRDefault="00F57851" w:rsidP="00BE5FC1">
      <w:pPr>
        <w:pStyle w:val="SNConsidrant"/>
        <w:ind w:firstLine="0"/>
        <w:jc w:val="both"/>
      </w:pPr>
      <w:r w:rsidRPr="00BE5FC1">
        <w:t>II.</w:t>
      </w:r>
      <w:r w:rsidR="00051A3A" w:rsidRPr="00BE5FC1">
        <w:t> - </w:t>
      </w:r>
      <w:r w:rsidRPr="00BE5FC1">
        <w:t xml:space="preserve">Les dossiers déposés en application de l’article </w:t>
      </w:r>
      <w:r w:rsidR="00E6597A" w:rsidRPr="00BE5FC1">
        <w:t>R. 555-25 du code de l’environnement,</w:t>
      </w:r>
      <w:r w:rsidRPr="00BE5FC1">
        <w:t xml:space="preserve"> avant l’entrée en vigueur du présent décret</w:t>
      </w:r>
      <w:r w:rsidR="008F69C8" w:rsidRPr="00BE5FC1">
        <w:t>,</w:t>
      </w:r>
      <w:r w:rsidRPr="00BE5FC1">
        <w:t xml:space="preserve"> et </w:t>
      </w:r>
      <w:r w:rsidR="006411CC" w:rsidRPr="00BE5FC1">
        <w:t>pour lesquels la décision de l’autorité compétente n’a pas encore été prise</w:t>
      </w:r>
      <w:r w:rsidRPr="00BE5FC1">
        <w:t xml:space="preserve"> à cette date</w:t>
      </w:r>
      <w:r w:rsidR="00E6597A" w:rsidRPr="00BE5FC1">
        <w:t>,</w:t>
      </w:r>
      <w:r w:rsidRPr="00BE5FC1">
        <w:t xml:space="preserve"> sont soumis aux dispositions </w:t>
      </w:r>
      <w:r w:rsidR="006411CC" w:rsidRPr="00BE5FC1">
        <w:t>du I bis de l’article R. 555</w:t>
      </w:r>
      <w:r w:rsidR="008F69C8" w:rsidRPr="00BE5FC1">
        <w:noBreakHyphen/>
      </w:r>
      <w:r w:rsidR="006411CC" w:rsidRPr="00BE5FC1">
        <w:t>24</w:t>
      </w:r>
      <w:r w:rsidR="00774631" w:rsidRPr="00BE5FC1">
        <w:t xml:space="preserve"> du même code</w:t>
      </w:r>
      <w:r w:rsidR="006411CC" w:rsidRPr="00BE5FC1">
        <w:t>. Ces dossiers sont réputés satisfaire</w:t>
      </w:r>
      <w:r w:rsidR="008F69C8" w:rsidRPr="00BE5FC1">
        <w:t xml:space="preserve"> </w:t>
      </w:r>
      <w:r w:rsidR="006411CC" w:rsidRPr="00BE5FC1">
        <w:t>aux exigences de ce même article.</w:t>
      </w:r>
    </w:p>
    <w:p w14:paraId="45F385A1" w14:textId="77777777" w:rsidR="00BE5FC1" w:rsidRPr="00F57851" w:rsidRDefault="00BE5FC1" w:rsidP="00BE5FC1">
      <w:pPr>
        <w:pStyle w:val="SNConsidrant"/>
        <w:ind w:firstLine="0"/>
        <w:jc w:val="both"/>
        <w:rPr>
          <w:rFonts w:ascii="Marianne" w:hAnsi="Marianne"/>
        </w:rPr>
      </w:pPr>
    </w:p>
    <w:p w14:paraId="71266B00" w14:textId="32F3E962" w:rsidR="00077363" w:rsidRDefault="00077363" w:rsidP="00BE5FC1">
      <w:pPr>
        <w:pStyle w:val="SNArticle"/>
        <w:spacing w:before="0" w:after="0"/>
      </w:pPr>
      <w:r w:rsidRPr="00BE5FC1">
        <w:t>Article 2</w:t>
      </w:r>
    </w:p>
    <w:p w14:paraId="524D109E" w14:textId="77777777" w:rsidR="00BE5FC1" w:rsidRPr="00BE5FC1" w:rsidRDefault="00BE5FC1" w:rsidP="00BE5FC1">
      <w:pPr>
        <w:pStyle w:val="Corpsdetexte"/>
        <w:rPr>
          <w:lang w:val="fr-FR" w:eastAsia="fr-FR"/>
        </w:rPr>
      </w:pPr>
    </w:p>
    <w:p w14:paraId="50F0B13E" w14:textId="2085927D" w:rsidR="006E5878" w:rsidRPr="00BE5FC1" w:rsidRDefault="00077363" w:rsidP="00BE5FC1">
      <w:pPr>
        <w:pStyle w:val="SNConsidrant"/>
        <w:ind w:firstLine="0"/>
        <w:jc w:val="both"/>
      </w:pPr>
      <w:r w:rsidRPr="00BE5FC1">
        <w:t>Au</w:t>
      </w:r>
      <w:r w:rsidR="006403CC" w:rsidRPr="00BE5FC1">
        <w:t xml:space="preserve"> début du</w:t>
      </w:r>
      <w:r w:rsidRPr="00BE5FC1">
        <w:t xml:space="preserve"> premier alinéa de l’article R.</w:t>
      </w:r>
      <w:r w:rsidR="006403CC" w:rsidRPr="00BE5FC1">
        <w:t> </w:t>
      </w:r>
      <w:r w:rsidRPr="00BE5FC1">
        <w:t>555-25 du code de l’environnement,</w:t>
      </w:r>
      <w:r w:rsidR="006403CC" w:rsidRPr="00BE5FC1">
        <w:t xml:space="preserve"> </w:t>
      </w:r>
      <w:r w:rsidRPr="00BE5FC1">
        <w:t>sont insérés les mots</w:t>
      </w:r>
      <w:r w:rsidR="006403CC" w:rsidRPr="00BE5FC1">
        <w:t xml:space="preserve"> : </w:t>
      </w:r>
      <w:r w:rsidRPr="00BE5FC1">
        <w:t>« </w:t>
      </w:r>
      <w:r w:rsidR="006403CC" w:rsidRPr="00BE5FC1">
        <w:t xml:space="preserve">À </w:t>
      </w:r>
      <w:r w:rsidRPr="00BE5FC1">
        <w:t xml:space="preserve">l’exception des cas mentionnés </w:t>
      </w:r>
      <w:r w:rsidR="00B772C7" w:rsidRPr="00BE5FC1">
        <w:t>à</w:t>
      </w:r>
      <w:r w:rsidRPr="00BE5FC1">
        <w:t xml:space="preserve"> l’article L. 555-15</w:t>
      </w:r>
      <w:r w:rsidR="00B772C7" w:rsidRPr="00BE5FC1">
        <w:t>-1</w:t>
      </w:r>
      <w:r w:rsidRPr="00BE5FC1">
        <w:t>, »</w:t>
      </w:r>
      <w:r w:rsidR="00B772C7" w:rsidRPr="00BE5FC1">
        <w:t>.</w:t>
      </w:r>
    </w:p>
    <w:p w14:paraId="3F518E77" w14:textId="77777777" w:rsidR="00D06DEF" w:rsidRPr="00BE5FC1" w:rsidRDefault="00D06DEF" w:rsidP="00BE5FC1">
      <w:pPr>
        <w:pStyle w:val="SNConsidrant"/>
        <w:ind w:firstLine="0"/>
        <w:jc w:val="both"/>
      </w:pPr>
    </w:p>
    <w:p w14:paraId="3AE3974C" w14:textId="6F0F6634" w:rsidR="00B772C7" w:rsidRPr="00BE5FC1" w:rsidRDefault="00B772C7" w:rsidP="00BE5FC1">
      <w:pPr>
        <w:pStyle w:val="SNArticle"/>
        <w:spacing w:before="0" w:after="0"/>
      </w:pPr>
      <w:r w:rsidRPr="00BE5FC1">
        <w:t>Article 3</w:t>
      </w:r>
    </w:p>
    <w:p w14:paraId="22D6383E" w14:textId="7427BFC4" w:rsidR="00A9474D" w:rsidRPr="00BE5FC1" w:rsidRDefault="006403CC" w:rsidP="00BE5FC1">
      <w:pPr>
        <w:pStyle w:val="SNConsidrant"/>
        <w:ind w:firstLine="0"/>
        <w:jc w:val="both"/>
      </w:pPr>
      <w:bookmarkStart w:id="0" w:name="_Hlk222931688"/>
      <w:r w:rsidRPr="00BE5FC1">
        <w:lastRenderedPageBreak/>
        <w:t>À</w:t>
      </w:r>
      <w:r w:rsidR="00B772C7" w:rsidRPr="00BE5FC1">
        <w:t xml:space="preserve"> l’article R.</w:t>
      </w:r>
      <w:r w:rsidRPr="00BE5FC1">
        <w:t> </w:t>
      </w:r>
      <w:r w:rsidR="00B772C7" w:rsidRPr="00BE5FC1">
        <w:t xml:space="preserve">555-36 du code de l’environnement, après les mots « </w:t>
      </w:r>
      <w:r w:rsidR="009A7D17" w:rsidRPr="00BE5FC1">
        <w:t>service public de l’énergie</w:t>
      </w:r>
      <w:r w:rsidR="00CC11A0" w:rsidRPr="00BE5FC1">
        <w:t> »</w:t>
      </w:r>
      <w:r w:rsidR="00B772C7" w:rsidRPr="00BE5FC1">
        <w:t>, sont insérés les mots : « et les canalisations d’hydrogène mentionnées à l’article L. 831-3 du code de l’énergie</w:t>
      </w:r>
      <w:r w:rsidR="00BE5FC1">
        <w:t> </w:t>
      </w:r>
      <w:r w:rsidR="00B772C7" w:rsidRPr="00BE5FC1">
        <w:t>».</w:t>
      </w:r>
      <w:bookmarkEnd w:id="0"/>
    </w:p>
    <w:p w14:paraId="468C1F89" w14:textId="77777777" w:rsidR="00354704" w:rsidRPr="00BE5FC1" w:rsidRDefault="00354704" w:rsidP="00BE5FC1">
      <w:pPr>
        <w:pStyle w:val="SNConsidrant"/>
        <w:ind w:firstLine="0"/>
        <w:jc w:val="both"/>
      </w:pPr>
    </w:p>
    <w:p w14:paraId="0DA7EE1E" w14:textId="154A5BE0" w:rsidR="006E5878" w:rsidRDefault="006E5878" w:rsidP="00BE5FC1">
      <w:pPr>
        <w:pStyle w:val="SNArticle"/>
        <w:spacing w:before="0" w:after="0"/>
      </w:pPr>
      <w:r w:rsidRPr="00BE5FC1">
        <w:t xml:space="preserve">Article </w:t>
      </w:r>
      <w:r w:rsidR="00B772C7" w:rsidRPr="00BE5FC1">
        <w:t>4</w:t>
      </w:r>
    </w:p>
    <w:p w14:paraId="60B356FF" w14:textId="77777777" w:rsidR="00BE5FC1" w:rsidRPr="00BE5FC1" w:rsidRDefault="00BE5FC1" w:rsidP="00BE5FC1">
      <w:pPr>
        <w:pStyle w:val="Corpsdetexte"/>
        <w:rPr>
          <w:lang w:val="fr-FR" w:eastAsia="fr-FR"/>
        </w:rPr>
      </w:pPr>
    </w:p>
    <w:p w14:paraId="44386511" w14:textId="7380AFC3" w:rsidR="00CE7275" w:rsidRDefault="00484469" w:rsidP="00BE5FC1">
      <w:pPr>
        <w:pStyle w:val="SNConsidrant"/>
        <w:ind w:firstLine="0"/>
        <w:jc w:val="both"/>
      </w:pPr>
      <w:r w:rsidRPr="00BE5FC1">
        <w:t xml:space="preserve">Après l’article R. 557-1-3 </w:t>
      </w:r>
      <w:r w:rsidR="005C0BD6" w:rsidRPr="00BE5FC1">
        <w:t xml:space="preserve">du code de l’environnement, </w:t>
      </w:r>
      <w:r w:rsidR="006403CC" w:rsidRPr="00BE5FC1">
        <w:t xml:space="preserve">il </w:t>
      </w:r>
      <w:r w:rsidRPr="00BE5FC1">
        <w:t xml:space="preserve">est </w:t>
      </w:r>
      <w:r w:rsidR="006403CC" w:rsidRPr="00BE5FC1">
        <w:t>ajouté</w:t>
      </w:r>
      <w:r w:rsidRPr="00BE5FC1">
        <w:t xml:space="preserve"> une</w:t>
      </w:r>
      <w:r w:rsidR="00CE7275" w:rsidRPr="00BE5FC1">
        <w:t xml:space="preserve"> section </w:t>
      </w:r>
      <w:r w:rsidRPr="00BE5FC1">
        <w:t>1</w:t>
      </w:r>
      <w:r w:rsidR="006403CC" w:rsidRPr="00BE5FC1">
        <w:t xml:space="preserve"> bis</w:t>
      </w:r>
      <w:r w:rsidR="00CE7275" w:rsidRPr="00BE5FC1">
        <w:t xml:space="preserve"> ainsi rédigé</w:t>
      </w:r>
      <w:r w:rsidR="00EA60E6" w:rsidRPr="00BE5FC1">
        <w:t>e</w:t>
      </w:r>
      <w:r w:rsidR="00CE7275" w:rsidRPr="00BE5FC1">
        <w:t xml:space="preserve"> :</w:t>
      </w:r>
    </w:p>
    <w:p w14:paraId="2AE3CD3E" w14:textId="77777777" w:rsidR="00BE5FC1" w:rsidRPr="00BE5FC1" w:rsidRDefault="00BE5FC1" w:rsidP="00BE5FC1">
      <w:pPr>
        <w:pStyle w:val="SNConsidrant"/>
        <w:ind w:firstLine="0"/>
        <w:jc w:val="both"/>
      </w:pPr>
    </w:p>
    <w:p w14:paraId="15D4CE1C" w14:textId="46BA69EB" w:rsidR="00EA60E6" w:rsidRDefault="00CE7275" w:rsidP="00BE5FC1">
      <w:pPr>
        <w:pStyle w:val="SNConsidrant"/>
        <w:ind w:firstLine="0"/>
        <w:jc w:val="center"/>
      </w:pPr>
      <w:r w:rsidRPr="00BE5FC1">
        <w:t xml:space="preserve">« </w:t>
      </w:r>
      <w:r w:rsidR="00EA60E6" w:rsidRPr="00BE5FC1">
        <w:t>S</w:t>
      </w:r>
      <w:r w:rsidR="005C0BD6" w:rsidRPr="00BE5FC1">
        <w:t xml:space="preserve">ection 1 </w:t>
      </w:r>
      <w:r w:rsidR="00EA60E6" w:rsidRPr="00BE5FC1">
        <w:t>bis</w:t>
      </w:r>
    </w:p>
    <w:p w14:paraId="787E36A8" w14:textId="77777777" w:rsidR="00BE5FC1" w:rsidRPr="00BE5FC1" w:rsidRDefault="00BE5FC1" w:rsidP="00BE5FC1">
      <w:pPr>
        <w:pStyle w:val="SNConsidrant"/>
        <w:ind w:firstLine="0"/>
        <w:jc w:val="center"/>
      </w:pPr>
    </w:p>
    <w:p w14:paraId="731C026E" w14:textId="1D03C684" w:rsidR="00EA60E6" w:rsidRDefault="00EA60E6" w:rsidP="00BE5FC1">
      <w:pPr>
        <w:pStyle w:val="SNConsidrant"/>
        <w:ind w:firstLine="0"/>
        <w:jc w:val="center"/>
      </w:pPr>
      <w:r w:rsidRPr="00BE5FC1">
        <w:t>« </w:t>
      </w:r>
      <w:r w:rsidR="005C0BD6" w:rsidRPr="00BE5FC1">
        <w:t>Procédure d’autorisation de mise sur le marché d’un bien nécessaire en cas de crise</w:t>
      </w:r>
    </w:p>
    <w:p w14:paraId="34E3769E" w14:textId="77777777" w:rsidR="00BE5FC1" w:rsidRPr="00BE5FC1" w:rsidRDefault="00BE5FC1" w:rsidP="00BE5FC1">
      <w:pPr>
        <w:pStyle w:val="SNConsidrant"/>
        <w:ind w:firstLine="0"/>
        <w:jc w:val="center"/>
      </w:pPr>
    </w:p>
    <w:p w14:paraId="6469FDD5" w14:textId="05995BBA" w:rsidR="004E5EC2" w:rsidRPr="00BE5FC1" w:rsidRDefault="005C0BD6" w:rsidP="00BE5FC1">
      <w:pPr>
        <w:pStyle w:val="SNConsidrant"/>
        <w:ind w:firstLine="0"/>
        <w:jc w:val="both"/>
      </w:pPr>
      <w:r w:rsidRPr="00BE5FC1">
        <w:t>« </w:t>
      </w:r>
      <w:r w:rsidR="00CE7275" w:rsidRPr="00BE5FC1">
        <w:t>Art. R.</w:t>
      </w:r>
      <w:r w:rsidR="00EA60E6" w:rsidRPr="00BE5FC1">
        <w:t> </w:t>
      </w:r>
      <w:r w:rsidR="00CE7275" w:rsidRPr="00BE5FC1">
        <w:t>557-1-</w:t>
      </w:r>
      <w:r w:rsidR="00484469" w:rsidRPr="00BE5FC1">
        <w:t>4</w:t>
      </w:r>
      <w:r w:rsidR="00CE7275" w:rsidRPr="00BE5FC1">
        <w:t xml:space="preserve">. </w:t>
      </w:r>
      <w:r w:rsidRPr="00BE5FC1">
        <w:t xml:space="preserve"> - </w:t>
      </w:r>
      <w:r w:rsidR="00CE7275" w:rsidRPr="00BE5FC1">
        <w:t xml:space="preserve">I. </w:t>
      </w:r>
      <w:r w:rsidRPr="00BE5FC1">
        <w:t xml:space="preserve"> - </w:t>
      </w:r>
      <w:r w:rsidR="00CE7275" w:rsidRPr="00BE5FC1">
        <w:t>La demande</w:t>
      </w:r>
      <w:r w:rsidR="004E5EC2" w:rsidRPr="00BE5FC1">
        <w:t xml:space="preserve"> </w:t>
      </w:r>
      <w:r w:rsidR="00CE7275" w:rsidRPr="00BE5FC1">
        <w:t>mentionnée au I de l’article L.</w:t>
      </w:r>
      <w:r w:rsidR="006138D7" w:rsidRPr="00BE5FC1">
        <w:t> </w:t>
      </w:r>
      <w:r w:rsidR="00CE7275" w:rsidRPr="00BE5FC1">
        <w:t>557-</w:t>
      </w:r>
      <w:r w:rsidR="0055691A" w:rsidRPr="00BE5FC1">
        <w:t>8</w:t>
      </w:r>
      <w:r w:rsidR="00CE7275" w:rsidRPr="00BE5FC1">
        <w:t>-</w:t>
      </w:r>
      <w:r w:rsidR="0055691A" w:rsidRPr="00BE5FC1">
        <w:t>4</w:t>
      </w:r>
      <w:r w:rsidR="00CE7275" w:rsidRPr="00BE5FC1">
        <w:t xml:space="preserve"> est adressée à l’autorité administrative compétente mentionnée à l’article R.</w:t>
      </w:r>
      <w:r w:rsidR="006138D7" w:rsidRPr="00BE5FC1">
        <w:t> </w:t>
      </w:r>
      <w:r w:rsidR="00CE7275" w:rsidRPr="00BE5FC1">
        <w:t xml:space="preserve">557-1-2. </w:t>
      </w:r>
    </w:p>
    <w:p w14:paraId="104609BC" w14:textId="785FEB77" w:rsidR="00CE7275" w:rsidRPr="00BE5FC1" w:rsidRDefault="00484469" w:rsidP="00BE5FC1">
      <w:pPr>
        <w:pStyle w:val="SNConsidrant"/>
        <w:ind w:firstLine="0"/>
        <w:jc w:val="both"/>
      </w:pPr>
      <w:r w:rsidRPr="00BE5FC1">
        <w:t>« </w:t>
      </w:r>
      <w:r w:rsidR="00CE7275" w:rsidRPr="00BE5FC1">
        <w:t xml:space="preserve">II. </w:t>
      </w:r>
      <w:r w:rsidR="005C0BD6" w:rsidRPr="00BE5FC1">
        <w:t xml:space="preserve">- </w:t>
      </w:r>
      <w:r w:rsidR="006138D7" w:rsidRPr="00BE5FC1">
        <w:t>Cette</w:t>
      </w:r>
      <w:r w:rsidR="00CE7275" w:rsidRPr="00BE5FC1">
        <w:t xml:space="preserve"> demande comporte, au minimum :</w:t>
      </w:r>
    </w:p>
    <w:p w14:paraId="3B4142CD" w14:textId="5636A95A" w:rsidR="00CE7275" w:rsidRPr="00BE5FC1" w:rsidRDefault="004E5EC2" w:rsidP="00BE5FC1">
      <w:pPr>
        <w:pStyle w:val="SNConsidrant"/>
        <w:ind w:firstLine="0"/>
        <w:jc w:val="both"/>
      </w:pPr>
      <w:r w:rsidRPr="00BE5FC1">
        <w:t>« </w:t>
      </w:r>
      <w:r w:rsidR="00214ECF" w:rsidRPr="00BE5FC1">
        <w:t xml:space="preserve">1° </w:t>
      </w:r>
      <w:r w:rsidR="00CE7275" w:rsidRPr="00BE5FC1">
        <w:t>le nom, l’adresse</w:t>
      </w:r>
      <w:r w:rsidR="000B41D3" w:rsidRPr="00BE5FC1">
        <w:t xml:space="preserve"> et les coordonnées </w:t>
      </w:r>
      <w:r w:rsidR="00A62194" w:rsidRPr="00BE5FC1">
        <w:t>de</w:t>
      </w:r>
      <w:r w:rsidR="000B41D3" w:rsidRPr="00BE5FC1">
        <w:t xml:space="preserve"> l’opérateur économique</w:t>
      </w:r>
      <w:r w:rsidR="002B2DC5" w:rsidRPr="00BE5FC1">
        <w:t>,</w:t>
      </w:r>
      <w:r w:rsidR="000B41D3" w:rsidRPr="00BE5FC1">
        <w:t xml:space="preserve"> </w:t>
      </w:r>
      <w:r w:rsidR="006138D7" w:rsidRPr="00BE5FC1">
        <w:t xml:space="preserve">et du fabricant </w:t>
      </w:r>
      <w:r w:rsidR="000B41D3" w:rsidRPr="00BE5FC1">
        <w:t xml:space="preserve">si la demande n’est pas introduite par </w:t>
      </w:r>
      <w:r w:rsidR="006138D7" w:rsidRPr="00BE5FC1">
        <w:t>ce dernier</w:t>
      </w:r>
      <w:r w:rsidR="000B41D3" w:rsidRPr="00BE5FC1">
        <w:t xml:space="preserve"> </w:t>
      </w:r>
      <w:r w:rsidR="00CE7275" w:rsidRPr="00BE5FC1">
        <w:t>;</w:t>
      </w:r>
    </w:p>
    <w:p w14:paraId="51AC96E0" w14:textId="18A716CC" w:rsidR="00CE7275" w:rsidRPr="00BE5FC1" w:rsidRDefault="004E5EC2" w:rsidP="00BE5FC1">
      <w:pPr>
        <w:pStyle w:val="SNConsidrant"/>
        <w:ind w:firstLine="0"/>
        <w:jc w:val="both"/>
      </w:pPr>
      <w:r w:rsidRPr="00BE5FC1">
        <w:t>« </w:t>
      </w:r>
      <w:r w:rsidR="00214ECF" w:rsidRPr="00BE5FC1">
        <w:t xml:space="preserve">2° </w:t>
      </w:r>
      <w:r w:rsidR="00CE7275" w:rsidRPr="00BE5FC1">
        <w:t>les références du produit (désignation</w:t>
      </w:r>
      <w:r w:rsidR="006138D7" w:rsidRPr="00BE5FC1">
        <w:t xml:space="preserve"> commerciale</w:t>
      </w:r>
      <w:r w:rsidR="00CE7275" w:rsidRPr="00BE5FC1">
        <w:t>, type, code article, usage prévu)</w:t>
      </w:r>
      <w:r w:rsidR="00CC11A0" w:rsidRPr="00BE5FC1">
        <w:t> ;</w:t>
      </w:r>
    </w:p>
    <w:p w14:paraId="6524F87F" w14:textId="5CF6629D" w:rsidR="00CE7275" w:rsidRPr="00BE5FC1" w:rsidRDefault="004E5EC2" w:rsidP="00BE5FC1">
      <w:pPr>
        <w:pStyle w:val="SNConsidrant"/>
        <w:ind w:firstLine="0"/>
        <w:jc w:val="both"/>
      </w:pPr>
      <w:r w:rsidRPr="00BE5FC1">
        <w:t>« </w:t>
      </w:r>
      <w:r w:rsidR="00214ECF" w:rsidRPr="00BE5FC1">
        <w:t>3°</w:t>
      </w:r>
      <w:r w:rsidRPr="00BE5FC1">
        <w:t xml:space="preserve"> </w:t>
      </w:r>
      <w:r w:rsidR="00CE7275" w:rsidRPr="00BE5FC1">
        <w:t>une documentation technique incluant :</w:t>
      </w:r>
    </w:p>
    <w:p w14:paraId="2C934AD0" w14:textId="622ADFB8" w:rsidR="000050AE" w:rsidRPr="00BE5FC1" w:rsidRDefault="004E5EC2" w:rsidP="00BE5FC1">
      <w:pPr>
        <w:pStyle w:val="SNConsidrant"/>
        <w:ind w:firstLine="0"/>
        <w:jc w:val="both"/>
      </w:pPr>
      <w:r w:rsidRPr="00BE5FC1">
        <w:t>« </w:t>
      </w:r>
      <w:r w:rsidR="00214ECF" w:rsidRPr="00BE5FC1">
        <w:t xml:space="preserve">a) </w:t>
      </w:r>
      <w:r w:rsidR="00A87E87" w:rsidRPr="00BE5FC1">
        <w:t>u</w:t>
      </w:r>
      <w:r w:rsidR="000050AE" w:rsidRPr="00BE5FC1">
        <w:t>ne description détaillée des mesures mises en œuvre pour garantir la conformité du produit aux exigences essentielles de sécurité mentionnées à l’article L. 557-4, comprenant la présentation de ses caractéristiques techniques essentielles, de sa conception, de son mode de fonctionnement ainsi que de ses usages prévus</w:t>
      </w:r>
      <w:r w:rsidR="006138D7" w:rsidRPr="00BE5FC1">
        <w:t> ;</w:t>
      </w:r>
    </w:p>
    <w:p w14:paraId="133DAB0B" w14:textId="37B1095A" w:rsidR="00CE7275" w:rsidRPr="00BE5FC1" w:rsidRDefault="004E5EC2" w:rsidP="00BE5FC1">
      <w:pPr>
        <w:pStyle w:val="SNConsidrant"/>
        <w:ind w:firstLine="0"/>
        <w:jc w:val="both"/>
      </w:pPr>
      <w:r w:rsidRPr="00BE5FC1">
        <w:t>« </w:t>
      </w:r>
      <w:r w:rsidR="00214ECF" w:rsidRPr="00BE5FC1">
        <w:t xml:space="preserve">b) </w:t>
      </w:r>
      <w:r w:rsidR="00A87E87" w:rsidRPr="00BE5FC1">
        <w:t>l</w:t>
      </w:r>
      <w:r w:rsidR="00CE7275" w:rsidRPr="00BE5FC1">
        <w:t>es résultats de</w:t>
      </w:r>
      <w:r w:rsidR="00EA60E6" w:rsidRPr="00BE5FC1">
        <w:t>s</w:t>
      </w:r>
      <w:r w:rsidR="00CE7275" w:rsidRPr="00BE5FC1">
        <w:t xml:space="preserve"> calculs de conception</w:t>
      </w:r>
      <w:r w:rsidR="00A87E87" w:rsidRPr="00BE5FC1">
        <w:t>, l</w:t>
      </w:r>
      <w:r w:rsidR="00CE7275" w:rsidRPr="00BE5FC1">
        <w:t xml:space="preserve">es rapports d’essais pertinents (internes ou externes) </w:t>
      </w:r>
      <w:r w:rsidR="000050AE" w:rsidRPr="00BE5FC1">
        <w:t>démontrant</w:t>
      </w:r>
      <w:r w:rsidR="00CE7275" w:rsidRPr="00BE5FC1">
        <w:t xml:space="preserve"> la conformité aux exigences </w:t>
      </w:r>
      <w:r w:rsidR="00EA60E6" w:rsidRPr="00BE5FC1">
        <w:t xml:space="preserve">essentielles </w:t>
      </w:r>
      <w:r w:rsidR="00CE7275" w:rsidRPr="00BE5FC1">
        <w:t>de sécurité</w:t>
      </w:r>
      <w:r w:rsidR="006138D7" w:rsidRPr="00BE5FC1">
        <w:t> ;</w:t>
      </w:r>
    </w:p>
    <w:p w14:paraId="3FD774E0" w14:textId="1DC0A354" w:rsidR="00CE7275" w:rsidRPr="00BE5FC1" w:rsidRDefault="004E5EC2" w:rsidP="00BE5FC1">
      <w:pPr>
        <w:pStyle w:val="SNConsidrant"/>
        <w:ind w:firstLine="0"/>
        <w:jc w:val="both"/>
      </w:pPr>
      <w:r w:rsidRPr="00BE5FC1">
        <w:t>« </w:t>
      </w:r>
      <w:r w:rsidR="00214ECF" w:rsidRPr="00BE5FC1">
        <w:t>c)</w:t>
      </w:r>
      <w:r w:rsidRPr="00BE5FC1">
        <w:t xml:space="preserve"> </w:t>
      </w:r>
      <w:r w:rsidR="00A87E87" w:rsidRPr="00BE5FC1">
        <w:t>u</w:t>
      </w:r>
      <w:r w:rsidR="00CE7275" w:rsidRPr="00BE5FC1">
        <w:t>ne description des procédés de fabrication utilisés ;</w:t>
      </w:r>
    </w:p>
    <w:p w14:paraId="47AB91D6" w14:textId="56BFF4B9" w:rsidR="00CE7275" w:rsidRPr="00BE5FC1" w:rsidRDefault="00214ECF" w:rsidP="00BE5FC1">
      <w:pPr>
        <w:pStyle w:val="SNConsidrant"/>
        <w:ind w:firstLine="0"/>
        <w:jc w:val="both"/>
      </w:pPr>
      <w:r w:rsidRPr="00BE5FC1">
        <w:t xml:space="preserve">« d) </w:t>
      </w:r>
      <w:r w:rsidR="00A87E87" w:rsidRPr="00BE5FC1">
        <w:t>l</w:t>
      </w:r>
      <w:r w:rsidR="00CE7275" w:rsidRPr="00BE5FC1">
        <w:t>es procédures de contrôle qualité appliquées au cours de la fabrication ;</w:t>
      </w:r>
    </w:p>
    <w:p w14:paraId="1C069E21" w14:textId="2BE4025B" w:rsidR="00CE7275" w:rsidRPr="00BE5FC1" w:rsidRDefault="00214ECF" w:rsidP="00BE5FC1">
      <w:pPr>
        <w:pStyle w:val="SNConsidrant"/>
        <w:ind w:firstLine="0"/>
        <w:jc w:val="both"/>
      </w:pPr>
      <w:r w:rsidRPr="00BE5FC1">
        <w:t xml:space="preserve">« e) </w:t>
      </w:r>
      <w:r w:rsidR="00A87E87" w:rsidRPr="00BE5FC1">
        <w:t>l</w:t>
      </w:r>
      <w:r w:rsidR="00CE7275" w:rsidRPr="00BE5FC1">
        <w:t>es procédures de contrôle final (essais de réception, contrôles visuels, etc.)</w:t>
      </w:r>
      <w:r w:rsidR="006138D7" w:rsidRPr="00BE5FC1">
        <w:t> ;</w:t>
      </w:r>
    </w:p>
    <w:p w14:paraId="3F5ADD04" w14:textId="171E5C3C" w:rsidR="00A87E87" w:rsidRPr="00BE5FC1" w:rsidRDefault="00214ECF" w:rsidP="00BE5FC1">
      <w:pPr>
        <w:pStyle w:val="SNConsidrant"/>
        <w:ind w:firstLine="0"/>
        <w:jc w:val="both"/>
      </w:pPr>
      <w:r w:rsidRPr="00BE5FC1">
        <w:t xml:space="preserve">« f) </w:t>
      </w:r>
      <w:r w:rsidR="00A87E87" w:rsidRPr="00BE5FC1">
        <w:t>l</w:t>
      </w:r>
      <w:r w:rsidR="00CE7275" w:rsidRPr="00BE5FC1">
        <w:t>es procédures de traçabilité, notamment le système d’identification des lots, numéros de série</w:t>
      </w:r>
      <w:r w:rsidR="006F1DA1" w:rsidRPr="00BE5FC1">
        <w:t> </w:t>
      </w:r>
      <w:r w:rsidR="00CE7275" w:rsidRPr="00BE5FC1">
        <w:t>;</w:t>
      </w:r>
    </w:p>
    <w:p w14:paraId="193DDB4C" w14:textId="2B281FE5" w:rsidR="002E3B18" w:rsidRPr="00BE5FC1" w:rsidRDefault="00214ECF" w:rsidP="00BE5FC1">
      <w:pPr>
        <w:pStyle w:val="SNConsidrant"/>
        <w:ind w:firstLine="0"/>
        <w:jc w:val="both"/>
      </w:pPr>
      <w:r w:rsidRPr="00BE5FC1">
        <w:t xml:space="preserve">« 4° </w:t>
      </w:r>
      <w:r w:rsidR="006138D7" w:rsidRPr="00BE5FC1">
        <w:t>les instructions et informations de sécurité mentionnées à l’article L. 557-15</w:t>
      </w:r>
      <w:r w:rsidR="005C0BD6" w:rsidRPr="00BE5FC1">
        <w:t xml:space="preserve">, rédigées en langue française de manière claire, compréhensible et intelligible </w:t>
      </w:r>
      <w:r w:rsidR="006138D7" w:rsidRPr="00BE5FC1">
        <w:t>;</w:t>
      </w:r>
    </w:p>
    <w:p w14:paraId="0998A8F1" w14:textId="48347F2C" w:rsidR="00CE7275" w:rsidRPr="00BE5FC1" w:rsidRDefault="00214ECF" w:rsidP="00BE5FC1">
      <w:pPr>
        <w:pStyle w:val="SNConsidrant"/>
        <w:ind w:firstLine="0"/>
        <w:jc w:val="both"/>
      </w:pPr>
      <w:r w:rsidRPr="00BE5FC1">
        <w:t xml:space="preserve">« 5° </w:t>
      </w:r>
      <w:r w:rsidR="006138D7" w:rsidRPr="00BE5FC1">
        <w:t xml:space="preserve">un engagement sur l’exactitude et la sincérité des informations transmises et sur la </w:t>
      </w:r>
      <w:r w:rsidR="00CE7275" w:rsidRPr="00BE5FC1">
        <w:t>conform</w:t>
      </w:r>
      <w:r w:rsidR="006138D7" w:rsidRPr="00BE5FC1">
        <w:t>ité des produits</w:t>
      </w:r>
      <w:r w:rsidR="00CE7275" w:rsidRPr="00BE5FC1">
        <w:t xml:space="preserve"> aux exigences essentielles de sécurité mentionnées à l’article L.</w:t>
      </w:r>
      <w:r w:rsidR="00B50BD2" w:rsidRPr="00BE5FC1">
        <w:t> </w:t>
      </w:r>
      <w:r w:rsidR="00CE7275" w:rsidRPr="00BE5FC1">
        <w:t>557</w:t>
      </w:r>
      <w:r w:rsidR="00CC11A0" w:rsidRPr="00BE5FC1">
        <w:noBreakHyphen/>
      </w:r>
      <w:r w:rsidR="004E5EC2" w:rsidRPr="00BE5FC1">
        <w:t>4</w:t>
      </w:r>
      <w:r w:rsidR="006138D7" w:rsidRPr="00BE5FC1">
        <w:t>.</w:t>
      </w:r>
      <w:r w:rsidR="00CE7275" w:rsidRPr="00BE5FC1">
        <w:t xml:space="preserve"> </w:t>
      </w:r>
    </w:p>
    <w:p w14:paraId="36127220" w14:textId="0AA97393" w:rsidR="00AC0D3A" w:rsidRPr="00BE5FC1" w:rsidRDefault="00AC0D3A" w:rsidP="00BE5FC1">
      <w:pPr>
        <w:pStyle w:val="SNConsidrant"/>
        <w:ind w:firstLine="0"/>
        <w:jc w:val="both"/>
      </w:pPr>
      <w:r w:rsidRPr="00BE5FC1">
        <w:t xml:space="preserve">« Dans le cas où la mise sur le marché du produit a été autorisée par un autre </w:t>
      </w:r>
      <w:r w:rsidR="00EA60E6" w:rsidRPr="00BE5FC1">
        <w:t>É</w:t>
      </w:r>
      <w:r w:rsidRPr="00BE5FC1">
        <w:t xml:space="preserve">tat membre en tant que bien nécessaire en cas de crise, les éléments mentionnés aux 3° et 4° sont remplacés par </w:t>
      </w:r>
      <w:r w:rsidR="00CC11A0" w:rsidRPr="00BE5FC1">
        <w:t>ladite</w:t>
      </w:r>
      <w:r w:rsidRPr="00BE5FC1">
        <w:t xml:space="preserve"> autorisation.</w:t>
      </w:r>
    </w:p>
    <w:p w14:paraId="509F689C" w14:textId="6AF0FD9E" w:rsidR="00CE7275" w:rsidRPr="00BE5FC1" w:rsidRDefault="00484469" w:rsidP="00BE5FC1">
      <w:pPr>
        <w:pStyle w:val="SNConsidrant"/>
        <w:ind w:firstLine="0"/>
        <w:jc w:val="both"/>
      </w:pPr>
      <w:r w:rsidRPr="00BE5FC1">
        <w:t>« </w:t>
      </w:r>
      <w:r w:rsidR="00964724" w:rsidRPr="00BE5FC1">
        <w:t>III</w:t>
      </w:r>
      <w:r w:rsidR="00CE7275" w:rsidRPr="00BE5FC1">
        <w:t>. - L'autorisation délivrée par l'autorité administrative compétente</w:t>
      </w:r>
      <w:r w:rsidR="00C4738D" w:rsidRPr="00BE5FC1">
        <w:t xml:space="preserve">, mentionnée au I, </w:t>
      </w:r>
      <w:r w:rsidR="00CE7275" w:rsidRPr="00BE5FC1">
        <w:t>précise :</w:t>
      </w:r>
    </w:p>
    <w:p w14:paraId="0E7D0968" w14:textId="59C64CC4" w:rsidR="00CE7275" w:rsidRPr="00BE5FC1" w:rsidRDefault="00214ECF" w:rsidP="00BE5FC1">
      <w:pPr>
        <w:pStyle w:val="SNConsidrant"/>
        <w:ind w:firstLine="0"/>
        <w:jc w:val="both"/>
      </w:pPr>
      <w:r w:rsidRPr="00BE5FC1">
        <w:t xml:space="preserve">« 1° </w:t>
      </w:r>
      <w:r w:rsidR="00645864" w:rsidRPr="00BE5FC1">
        <w:t xml:space="preserve">le nom, l’adresse et les coordonnées </w:t>
      </w:r>
      <w:r w:rsidR="006138D7" w:rsidRPr="00BE5FC1">
        <w:t>de l’opérateur économique</w:t>
      </w:r>
      <w:r w:rsidR="00896235" w:rsidRPr="00BE5FC1">
        <w:t>,</w:t>
      </w:r>
      <w:r w:rsidR="006138D7" w:rsidRPr="00BE5FC1">
        <w:t xml:space="preserve"> et du fabricant si la demande n’est pas introduite par ce dernier </w:t>
      </w:r>
      <w:r w:rsidR="00645864" w:rsidRPr="00BE5FC1">
        <w:t>;</w:t>
      </w:r>
    </w:p>
    <w:p w14:paraId="10E14AAC" w14:textId="5DD1B266" w:rsidR="00CE7275" w:rsidRPr="00BE5FC1" w:rsidRDefault="00214ECF" w:rsidP="00BE5FC1">
      <w:pPr>
        <w:pStyle w:val="SNConsidrant"/>
        <w:ind w:firstLine="0"/>
        <w:jc w:val="both"/>
      </w:pPr>
      <w:r w:rsidRPr="00BE5FC1">
        <w:t xml:space="preserve">« 2° </w:t>
      </w:r>
      <w:r w:rsidR="00964724" w:rsidRPr="00BE5FC1">
        <w:t>l</w:t>
      </w:r>
      <w:r w:rsidR="00CE7275" w:rsidRPr="00BE5FC1">
        <w:t>a désignation des produits concernés, leurs caractéristiques techniques</w:t>
      </w:r>
      <w:r w:rsidR="00645864" w:rsidRPr="00BE5FC1">
        <w:t xml:space="preserve"> principales et </w:t>
      </w:r>
      <w:r w:rsidR="00CE7275" w:rsidRPr="00BE5FC1">
        <w:t>les éventuelles restrictions d'utilisation ;</w:t>
      </w:r>
    </w:p>
    <w:p w14:paraId="2C3654B7" w14:textId="772A1AFE" w:rsidR="00645864" w:rsidRPr="00BE5FC1" w:rsidRDefault="00214ECF" w:rsidP="00BE5FC1">
      <w:pPr>
        <w:pStyle w:val="SNConsidrant"/>
        <w:ind w:firstLine="0"/>
        <w:jc w:val="both"/>
      </w:pPr>
      <w:r w:rsidRPr="00BE5FC1">
        <w:t xml:space="preserve">« 3° </w:t>
      </w:r>
      <w:r w:rsidR="00645864" w:rsidRPr="00BE5FC1">
        <w:t>l</w:t>
      </w:r>
      <w:r w:rsidR="006F590F" w:rsidRPr="00BE5FC1">
        <w:t xml:space="preserve">es marquages et inscriptions devant être apposés sur les produits, ainsi que, le cas échéant, les informations devant les accompagner. Ces inscriptions et informations sont </w:t>
      </w:r>
      <w:r w:rsidR="007951E7" w:rsidRPr="00BE5FC1">
        <w:t xml:space="preserve">rédigées en langue française de manière </w:t>
      </w:r>
      <w:r w:rsidR="006F590F" w:rsidRPr="00BE5FC1">
        <w:t>claire, compréhensible et intelligible</w:t>
      </w:r>
      <w:r w:rsidR="007951E7" w:rsidRPr="00BE5FC1">
        <w:t xml:space="preserve"> </w:t>
      </w:r>
      <w:r w:rsidR="006F590F" w:rsidRPr="00BE5FC1">
        <w:t>;</w:t>
      </w:r>
    </w:p>
    <w:p w14:paraId="02E101CC" w14:textId="720B3723" w:rsidR="00165C6E" w:rsidRPr="00BE5FC1" w:rsidRDefault="006A45B4" w:rsidP="00BE5FC1">
      <w:pPr>
        <w:pStyle w:val="SNConsidrant"/>
        <w:ind w:firstLine="0"/>
        <w:jc w:val="both"/>
      </w:pPr>
      <w:r w:rsidRPr="00BE5FC1">
        <w:t xml:space="preserve">« 4° </w:t>
      </w:r>
      <w:r w:rsidR="00165C6E" w:rsidRPr="00BE5FC1">
        <w:t>la description des procédures ayant permis de démontrer la conformité du produit aux exigences essentielles de sécurité mentionnées à l’article L. 557-4</w:t>
      </w:r>
      <w:r w:rsidR="004E5EC2" w:rsidRPr="00BE5FC1">
        <w:t> ;</w:t>
      </w:r>
    </w:p>
    <w:p w14:paraId="26049C26" w14:textId="127FB6CC" w:rsidR="006138D7" w:rsidRPr="00BE5FC1" w:rsidRDefault="006A45B4" w:rsidP="00BE5FC1">
      <w:pPr>
        <w:pStyle w:val="SNConsidrant"/>
        <w:ind w:firstLine="0"/>
        <w:jc w:val="both"/>
      </w:pPr>
      <w:r w:rsidRPr="00BE5FC1">
        <w:t xml:space="preserve">« 5° </w:t>
      </w:r>
      <w:r w:rsidR="006138D7" w:rsidRPr="00BE5FC1">
        <w:t xml:space="preserve">le cas échéant, </w:t>
      </w:r>
      <w:bookmarkStart w:id="1" w:name="_Hlk227924345"/>
      <w:r w:rsidR="006138D7" w:rsidRPr="00BE5FC1">
        <w:t xml:space="preserve">les exigences spécifiques permettant d’assurer une évaluation continue de la conformité pendant la durée de validité de l’autorisation </w:t>
      </w:r>
      <w:bookmarkEnd w:id="1"/>
      <w:r w:rsidR="006138D7" w:rsidRPr="00BE5FC1">
        <w:t>;</w:t>
      </w:r>
    </w:p>
    <w:p w14:paraId="27F6BD39" w14:textId="2E099E80" w:rsidR="00165C6E" w:rsidRPr="00BE5FC1" w:rsidRDefault="00214ECF" w:rsidP="00BE5FC1">
      <w:pPr>
        <w:pStyle w:val="SNConsidrant"/>
        <w:ind w:firstLine="0"/>
        <w:jc w:val="both"/>
      </w:pPr>
      <w:r w:rsidRPr="00BE5FC1">
        <w:lastRenderedPageBreak/>
        <w:t>« </w:t>
      </w:r>
      <w:r w:rsidR="006A45B4" w:rsidRPr="00BE5FC1">
        <w:t>6</w:t>
      </w:r>
      <w:r w:rsidRPr="00BE5FC1">
        <w:t>°</w:t>
      </w:r>
      <w:r w:rsidR="006A45B4" w:rsidRPr="00BE5FC1">
        <w:t xml:space="preserve"> </w:t>
      </w:r>
      <w:r w:rsidR="00165C6E" w:rsidRPr="00BE5FC1">
        <w:t>les exigences spécifiques relatives à la traçabilité du produit concerné ;</w:t>
      </w:r>
    </w:p>
    <w:p w14:paraId="1803CFA4" w14:textId="631EA4E5" w:rsidR="00C4738D" w:rsidRPr="00BE5FC1" w:rsidRDefault="00214ECF" w:rsidP="00BE5FC1">
      <w:pPr>
        <w:pStyle w:val="SNConsidrant"/>
        <w:ind w:firstLine="0"/>
        <w:jc w:val="both"/>
      </w:pPr>
      <w:r w:rsidRPr="00BE5FC1">
        <w:t>« </w:t>
      </w:r>
      <w:r w:rsidR="006A45B4" w:rsidRPr="00BE5FC1">
        <w:t>7</w:t>
      </w:r>
      <w:r w:rsidRPr="00BE5FC1">
        <w:t xml:space="preserve">° </w:t>
      </w:r>
      <w:r w:rsidR="005F5F7F" w:rsidRPr="00BE5FC1">
        <w:t xml:space="preserve">la </w:t>
      </w:r>
      <w:r w:rsidR="006A45B4" w:rsidRPr="00BE5FC1">
        <w:t>date d’expiration de la validité de l’autorisation, qui ne peut être postérieure au dernier jour de la période d’activation pendant laquelle le mode d’urgence dans le marché intérieur a été activé conformément à l’article 18 du règlement (UE) 2024/2747</w:t>
      </w:r>
      <w:r w:rsidR="00C4738D" w:rsidRPr="00BE5FC1">
        <w:t xml:space="preserve"> </w:t>
      </w:r>
      <w:r w:rsidR="00EA60E6" w:rsidRPr="00BE5FC1">
        <w:t xml:space="preserve">du Parlement européen et du Conseil du 9 octobre 2024 établissant un cadre de mesures relatives à une situation d’urgence dans le marché intérieur et à la résilience du marché intérieur et modifiant le règlement (CE) n° 2679/98 du Conseil </w:t>
      </w:r>
      <w:r w:rsidR="00C4738D" w:rsidRPr="00BE5FC1">
        <w:t xml:space="preserve">;  </w:t>
      </w:r>
    </w:p>
    <w:p w14:paraId="5826C990" w14:textId="5054387A" w:rsidR="00165C6E" w:rsidRPr="00BE5FC1" w:rsidRDefault="00214ECF" w:rsidP="00BE5FC1">
      <w:pPr>
        <w:pStyle w:val="SNConsidrant"/>
        <w:ind w:firstLine="0"/>
        <w:jc w:val="both"/>
      </w:pPr>
      <w:r w:rsidRPr="00BE5FC1">
        <w:t>« </w:t>
      </w:r>
      <w:r w:rsidR="006A45B4" w:rsidRPr="00BE5FC1">
        <w:t>8</w:t>
      </w:r>
      <w:r w:rsidRPr="00BE5FC1">
        <w:t xml:space="preserve">° </w:t>
      </w:r>
      <w:r w:rsidR="006138D7" w:rsidRPr="00BE5FC1">
        <w:t xml:space="preserve">le cas échéant, </w:t>
      </w:r>
      <w:r w:rsidR="006A45B4" w:rsidRPr="00BE5FC1">
        <w:t>les mesures à prendre dès l’expiration ou la désactivation du mode d’urgence dans le marché intérieur</w:t>
      </w:r>
      <w:r w:rsidR="00165C6E" w:rsidRPr="00BE5FC1">
        <w:t>.</w:t>
      </w:r>
      <w:r w:rsidR="006138D7" w:rsidRPr="00BE5FC1">
        <w:t> </w:t>
      </w:r>
    </w:p>
    <w:p w14:paraId="7089AD62" w14:textId="20A9A448" w:rsidR="006C7AB0" w:rsidRPr="00BE5FC1" w:rsidRDefault="00436286" w:rsidP="00BE5FC1">
      <w:pPr>
        <w:pStyle w:val="SNConsidrant"/>
        <w:ind w:firstLine="0"/>
        <w:jc w:val="both"/>
      </w:pPr>
      <w:r w:rsidRPr="00BE5FC1">
        <w:t xml:space="preserve">« Les exigences mentionnées au 5° peuvent </w:t>
      </w:r>
      <w:r w:rsidR="008806CA" w:rsidRPr="00BE5FC1">
        <w:t>comprendre</w:t>
      </w:r>
      <w:r w:rsidR="00F706C0" w:rsidRPr="00BE5FC1">
        <w:t>, en fonction du type de produit et du niveau de risque associé</w:t>
      </w:r>
      <w:r w:rsidR="006C7AB0" w:rsidRPr="00BE5FC1">
        <w:t>,</w:t>
      </w:r>
      <w:r w:rsidR="008806CA" w:rsidRPr="00BE5FC1">
        <w:t> </w:t>
      </w:r>
      <w:r w:rsidR="006C7AB0" w:rsidRPr="00BE5FC1">
        <w:t xml:space="preserve">la </w:t>
      </w:r>
      <w:r w:rsidR="00CC11A0" w:rsidRPr="00BE5FC1">
        <w:t>réalisation</w:t>
      </w:r>
      <w:r w:rsidR="006C7AB0" w:rsidRPr="00BE5FC1">
        <w:t xml:space="preserve"> de contrôles par le fabricant ou </w:t>
      </w:r>
      <w:r w:rsidR="00CC11A0" w:rsidRPr="00BE5FC1">
        <w:t>un</w:t>
      </w:r>
      <w:r w:rsidR="006C7AB0" w:rsidRPr="00BE5FC1">
        <w:t xml:space="preserve"> </w:t>
      </w:r>
      <w:bookmarkStart w:id="2" w:name="_Hlk227931474"/>
      <w:r w:rsidR="008806CA" w:rsidRPr="00BE5FC1">
        <w:t>organisme tiers</w:t>
      </w:r>
      <w:r w:rsidR="00CC11A0" w:rsidRPr="00BE5FC1">
        <w:t>,</w:t>
      </w:r>
      <w:r w:rsidR="008806CA" w:rsidRPr="00BE5FC1">
        <w:t xml:space="preserve"> </w:t>
      </w:r>
      <w:r w:rsidR="00F706C0" w:rsidRPr="00BE5FC1">
        <w:t>choisi en accord avec l’autorité compétente</w:t>
      </w:r>
      <w:bookmarkEnd w:id="2"/>
      <w:r w:rsidR="006C7AB0" w:rsidRPr="00BE5FC1">
        <w:t xml:space="preserve">, </w:t>
      </w:r>
      <w:r w:rsidR="00CC11A0" w:rsidRPr="00BE5FC1">
        <w:t>portant</w:t>
      </w:r>
      <w:r w:rsidR="006C7AB0" w:rsidRPr="00BE5FC1">
        <w:t xml:space="preserve"> sur les produits</w:t>
      </w:r>
      <w:r w:rsidR="00CC11A0" w:rsidRPr="00BE5FC1">
        <w:t xml:space="preserve"> ou</w:t>
      </w:r>
      <w:r w:rsidR="006C7AB0" w:rsidRPr="00BE5FC1">
        <w:t xml:space="preserve"> le procédé de </w:t>
      </w:r>
      <w:r w:rsidR="00F706C0" w:rsidRPr="00BE5FC1">
        <w:t>fabrication</w:t>
      </w:r>
      <w:r w:rsidR="006C7AB0" w:rsidRPr="00BE5FC1">
        <w:t>.</w:t>
      </w:r>
    </w:p>
    <w:p w14:paraId="37990D79" w14:textId="3C03C8C6" w:rsidR="00077363" w:rsidRPr="00BE5FC1" w:rsidRDefault="00BD3256" w:rsidP="00BE5FC1">
      <w:pPr>
        <w:pStyle w:val="SNConsidrant"/>
        <w:ind w:firstLine="0"/>
        <w:jc w:val="both"/>
      </w:pPr>
      <w:r w:rsidRPr="00BE5FC1">
        <w:t xml:space="preserve">« IV. - </w:t>
      </w:r>
      <w:r w:rsidR="006A45B4" w:rsidRPr="00BE5FC1">
        <w:t>En application du III de l’article L. 557-</w:t>
      </w:r>
      <w:r w:rsidR="0055691A" w:rsidRPr="00BE5FC1">
        <w:t>8</w:t>
      </w:r>
      <w:r w:rsidR="006A45B4" w:rsidRPr="00BE5FC1">
        <w:t>-</w:t>
      </w:r>
      <w:r w:rsidR="0055691A" w:rsidRPr="00BE5FC1">
        <w:t>4</w:t>
      </w:r>
      <w:r w:rsidR="006A45B4" w:rsidRPr="00BE5FC1">
        <w:t>, les importateurs des équipements</w:t>
      </w:r>
      <w:r w:rsidR="006F1DA1" w:rsidRPr="00BE5FC1">
        <w:t xml:space="preserve"> </w:t>
      </w:r>
      <w:r w:rsidR="006A45B4" w:rsidRPr="00BE5FC1">
        <w:t>sous pression transportables déclarent la conformité aux exigences essentielles de sécurité mentionnées à l’article L. 557-4.</w:t>
      </w:r>
      <w:r w:rsidR="0095581D" w:rsidRPr="00BE5FC1">
        <w:t> »</w:t>
      </w:r>
    </w:p>
    <w:p w14:paraId="17081283" w14:textId="6CB6A724" w:rsidR="006E5878" w:rsidRDefault="006E5878" w:rsidP="00BE5FC1">
      <w:pPr>
        <w:pStyle w:val="SNArticle"/>
        <w:spacing w:before="0" w:after="0"/>
      </w:pPr>
      <w:r w:rsidRPr="00BE5FC1">
        <w:t xml:space="preserve">Article </w:t>
      </w:r>
      <w:r w:rsidR="00B772C7" w:rsidRPr="00BE5FC1">
        <w:t>5</w:t>
      </w:r>
    </w:p>
    <w:p w14:paraId="3636F0BD" w14:textId="77777777" w:rsidR="00BE5FC1" w:rsidRPr="00BE5FC1" w:rsidRDefault="00BE5FC1" w:rsidP="00BE5FC1">
      <w:pPr>
        <w:pStyle w:val="Corpsdetexte"/>
        <w:rPr>
          <w:lang w:val="fr-FR" w:eastAsia="fr-FR"/>
        </w:rPr>
      </w:pPr>
    </w:p>
    <w:p w14:paraId="15F268A1" w14:textId="364772E6" w:rsidR="00D06DEF" w:rsidRDefault="0096229B" w:rsidP="00BE5FC1">
      <w:pPr>
        <w:pStyle w:val="SNConsidrant"/>
        <w:ind w:firstLine="0"/>
        <w:jc w:val="both"/>
        <w:rPr>
          <w:rFonts w:ascii="Marianne" w:hAnsi="Marianne"/>
        </w:rPr>
      </w:pPr>
      <w:r w:rsidRPr="00BE5FC1">
        <w:t>A</w:t>
      </w:r>
      <w:r w:rsidR="00EA60E6" w:rsidRPr="00BE5FC1">
        <w:t>u b) du 11 de</w:t>
      </w:r>
      <w:r w:rsidRPr="00BE5FC1">
        <w:t xml:space="preserve"> l’article R. 557-4-2 du code de l’environnement, les mots « de type B » sont remplacés par les mots : « non de type A ».</w:t>
      </w:r>
    </w:p>
    <w:p w14:paraId="6E0FAEE1" w14:textId="77777777" w:rsidR="00D06DEF" w:rsidRPr="00F57851" w:rsidRDefault="00D06DEF" w:rsidP="0096229B">
      <w:pPr>
        <w:jc w:val="both"/>
        <w:rPr>
          <w:rFonts w:ascii="Marianne" w:hAnsi="Marianne"/>
          <w:lang w:val="fr-FR"/>
        </w:rPr>
      </w:pPr>
    </w:p>
    <w:p w14:paraId="2CE9CA33" w14:textId="7A9CA342" w:rsidR="005C0BD6" w:rsidRDefault="00CE7275" w:rsidP="009111B3">
      <w:pPr>
        <w:pStyle w:val="SNArticle"/>
        <w:spacing w:before="0" w:after="0"/>
      </w:pPr>
      <w:r w:rsidRPr="009111B3">
        <w:t xml:space="preserve">Article </w:t>
      </w:r>
      <w:r w:rsidR="00F57851" w:rsidRPr="009111B3">
        <w:t>6</w:t>
      </w:r>
    </w:p>
    <w:p w14:paraId="6630219F" w14:textId="77777777" w:rsidR="009111B3" w:rsidRPr="009111B3" w:rsidRDefault="009111B3" w:rsidP="009111B3">
      <w:pPr>
        <w:pStyle w:val="Corpsdetexte"/>
        <w:rPr>
          <w:lang w:val="fr-FR" w:eastAsia="fr-FR"/>
        </w:rPr>
      </w:pPr>
    </w:p>
    <w:p w14:paraId="39538096" w14:textId="271028B6" w:rsidR="0045445C" w:rsidRPr="009111B3" w:rsidRDefault="00CE7275" w:rsidP="009111B3">
      <w:pPr>
        <w:pStyle w:val="SNConsidrant"/>
        <w:ind w:firstLine="0"/>
        <w:jc w:val="both"/>
      </w:pPr>
      <w:r w:rsidRPr="009111B3">
        <w:t>L</w:t>
      </w:r>
      <w:r w:rsidR="004E5EC2" w:rsidRPr="009111B3">
        <w:t>a</w:t>
      </w:r>
      <w:r w:rsidRPr="009111B3">
        <w:t xml:space="preserve"> </w:t>
      </w:r>
      <w:r w:rsidR="00934699" w:rsidRPr="009111B3">
        <w:t xml:space="preserve">ministre de la transition écologique, </w:t>
      </w:r>
      <w:r w:rsidR="00077363" w:rsidRPr="009111B3">
        <w:t xml:space="preserve">de la </w:t>
      </w:r>
      <w:r w:rsidR="00AE40C8" w:rsidRPr="009111B3">
        <w:t>b</w:t>
      </w:r>
      <w:r w:rsidR="00077363" w:rsidRPr="009111B3">
        <w:t xml:space="preserve">iodiversité et des </w:t>
      </w:r>
      <w:r w:rsidR="00AE40C8" w:rsidRPr="009111B3">
        <w:t>n</w:t>
      </w:r>
      <w:r w:rsidR="00077363" w:rsidRPr="009111B3">
        <w:t xml:space="preserve">égociations internationales sur le climat et la nature </w:t>
      </w:r>
      <w:r w:rsidRPr="009111B3">
        <w:t>est chargé</w:t>
      </w:r>
      <w:r w:rsidR="004E5EC2" w:rsidRPr="009111B3">
        <w:t>e</w:t>
      </w:r>
      <w:r w:rsidRPr="009111B3">
        <w:t xml:space="preserve"> de l’exécution du présent décret, qui sera publié au </w:t>
      </w:r>
      <w:r w:rsidRPr="009111B3">
        <w:rPr>
          <w:i/>
          <w:iCs/>
        </w:rPr>
        <w:t>Journal officiel</w:t>
      </w:r>
      <w:r w:rsidRPr="009111B3">
        <w:t xml:space="preserve"> de la République française.</w:t>
      </w:r>
    </w:p>
    <w:sectPr w:rsidR="0045445C" w:rsidRPr="009111B3" w:rsidSect="000300DC">
      <w:headerReference w:type="even" r:id="rId8"/>
      <w:headerReference w:type="default" r:id="rId9"/>
      <w:footerReference w:type="even" r:id="rId10"/>
      <w:footerReference w:type="default" r:id="rId11"/>
      <w:headerReference w:type="first" r:id="rId12"/>
      <w:footerReference w:type="first" r:id="rId13"/>
      <w:pgSz w:w="12240" w:h="15840"/>
      <w:pgMar w:top="851" w:right="1041"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4B677" w14:textId="77777777" w:rsidR="00660D16" w:rsidRDefault="00660D16" w:rsidP="005C0775">
      <w:pPr>
        <w:spacing w:after="0" w:line="240" w:lineRule="auto"/>
      </w:pPr>
      <w:r>
        <w:separator/>
      </w:r>
    </w:p>
  </w:endnote>
  <w:endnote w:type="continuationSeparator" w:id="0">
    <w:p w14:paraId="6D353004" w14:textId="77777777" w:rsidR="00660D16" w:rsidRDefault="00660D16" w:rsidP="005C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E721" w14:textId="77777777" w:rsidR="005E61A8" w:rsidRDefault="005E61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541643"/>
      <w:docPartObj>
        <w:docPartGallery w:val="Page Numbers (Bottom of Page)"/>
        <w:docPartUnique/>
      </w:docPartObj>
    </w:sdtPr>
    <w:sdtEndPr/>
    <w:sdtContent>
      <w:p w14:paraId="1AFA00EF" w14:textId="69094F35" w:rsidR="005C0775" w:rsidRDefault="005C0775">
        <w:pPr>
          <w:pStyle w:val="Pieddepage"/>
          <w:jc w:val="right"/>
        </w:pPr>
        <w:r>
          <w:fldChar w:fldCharType="begin"/>
        </w:r>
        <w:r>
          <w:instrText>PAGE   \* MERGEFORMAT</w:instrText>
        </w:r>
        <w:r>
          <w:fldChar w:fldCharType="separate"/>
        </w:r>
        <w:r w:rsidR="00204852" w:rsidRPr="00204852">
          <w:rPr>
            <w:noProof/>
            <w:lang w:val="fr-FR"/>
          </w:rPr>
          <w:t>3</w:t>
        </w:r>
        <w:r>
          <w:fldChar w:fldCharType="end"/>
        </w:r>
      </w:p>
    </w:sdtContent>
  </w:sdt>
  <w:p w14:paraId="137F1CDC" w14:textId="77777777" w:rsidR="005C0775" w:rsidRDefault="005C07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BEC6" w14:textId="77777777" w:rsidR="005E61A8" w:rsidRDefault="005E61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AF11" w14:textId="77777777" w:rsidR="00660D16" w:rsidRDefault="00660D16" w:rsidP="005C0775">
      <w:pPr>
        <w:spacing w:after="0" w:line="240" w:lineRule="auto"/>
      </w:pPr>
      <w:r>
        <w:separator/>
      </w:r>
    </w:p>
  </w:footnote>
  <w:footnote w:type="continuationSeparator" w:id="0">
    <w:p w14:paraId="0531E013" w14:textId="77777777" w:rsidR="00660D16" w:rsidRDefault="00660D16" w:rsidP="005C0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3937" w14:textId="6A6022C1" w:rsidR="005E61A8" w:rsidRDefault="00350A06">
    <w:pPr>
      <w:pStyle w:val="En-tte"/>
    </w:pPr>
    <w:r>
      <w:rPr>
        <w:noProof/>
      </w:rPr>
      <w:pict w14:anchorId="37343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6610" o:spid="_x0000_s2050" type="#_x0000_t136" style="position:absolute;margin-left:0;margin-top:0;width:466.35pt;height:23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A61C" w14:textId="2922BC88" w:rsidR="005E61A8" w:rsidRDefault="00350A06">
    <w:pPr>
      <w:pStyle w:val="En-tte"/>
    </w:pPr>
    <w:r>
      <w:rPr>
        <w:noProof/>
      </w:rPr>
      <w:pict w14:anchorId="3A27E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6611" o:spid="_x0000_s2051" type="#_x0000_t136" style="position:absolute;margin-left:0;margin-top:0;width:466.35pt;height:23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29D3" w14:textId="178BD489" w:rsidR="005E61A8" w:rsidRDefault="00350A06">
    <w:pPr>
      <w:pStyle w:val="En-tte"/>
    </w:pPr>
    <w:r>
      <w:rPr>
        <w:noProof/>
      </w:rPr>
      <w:pict w14:anchorId="1F659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56609" o:spid="_x0000_s2049" type="#_x0000_t136" style="position:absolute;margin-left:0;margin-top:0;width:466.35pt;height:23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5AA"/>
    <w:multiLevelType w:val="hybridMultilevel"/>
    <w:tmpl w:val="81B0A218"/>
    <w:lvl w:ilvl="0" w:tplc="3A6EF99C">
      <w:numFmt w:val="bullet"/>
      <w:lvlText w:val="-"/>
      <w:lvlJc w:val="left"/>
      <w:pPr>
        <w:ind w:left="1080" w:hanging="360"/>
      </w:pPr>
      <w:rPr>
        <w:rFonts w:ascii="Cambria" w:eastAsiaTheme="minorEastAsia"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E9C0BC3"/>
    <w:multiLevelType w:val="hybridMultilevel"/>
    <w:tmpl w:val="BEC89F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41A0C64"/>
    <w:multiLevelType w:val="hybridMultilevel"/>
    <w:tmpl w:val="4858BC3E"/>
    <w:lvl w:ilvl="0" w:tplc="D3A85F88">
      <w:start w:val="1"/>
      <w:numFmt w:val="upperRoman"/>
      <w:lvlText w:val="%1."/>
      <w:lvlJc w:val="left"/>
      <w:pPr>
        <w:ind w:left="1080" w:hanging="720"/>
      </w:pPr>
      <w:rPr>
        <w:rFonts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75"/>
    <w:rsid w:val="000050AE"/>
    <w:rsid w:val="0003589C"/>
    <w:rsid w:val="00041B80"/>
    <w:rsid w:val="00051A3A"/>
    <w:rsid w:val="00077363"/>
    <w:rsid w:val="000B41D3"/>
    <w:rsid w:val="000C3D79"/>
    <w:rsid w:val="000C3E30"/>
    <w:rsid w:val="000D722B"/>
    <w:rsid w:val="000F1C45"/>
    <w:rsid w:val="00127685"/>
    <w:rsid w:val="001650B1"/>
    <w:rsid w:val="00165C6E"/>
    <w:rsid w:val="00181D0F"/>
    <w:rsid w:val="0020201A"/>
    <w:rsid w:val="00204852"/>
    <w:rsid w:val="00214ECF"/>
    <w:rsid w:val="00242F52"/>
    <w:rsid w:val="002B2DC5"/>
    <w:rsid w:val="002B3AB0"/>
    <w:rsid w:val="002E3B18"/>
    <w:rsid w:val="00350A06"/>
    <w:rsid w:val="00354704"/>
    <w:rsid w:val="003769BB"/>
    <w:rsid w:val="00383BEB"/>
    <w:rsid w:val="00383DB8"/>
    <w:rsid w:val="0040417A"/>
    <w:rsid w:val="00413090"/>
    <w:rsid w:val="00436286"/>
    <w:rsid w:val="0045445C"/>
    <w:rsid w:val="004617AC"/>
    <w:rsid w:val="0047408F"/>
    <w:rsid w:val="00476A1F"/>
    <w:rsid w:val="00484469"/>
    <w:rsid w:val="004A5136"/>
    <w:rsid w:val="004E5EC2"/>
    <w:rsid w:val="00525DED"/>
    <w:rsid w:val="00526EDE"/>
    <w:rsid w:val="0053054D"/>
    <w:rsid w:val="0055691A"/>
    <w:rsid w:val="005C0775"/>
    <w:rsid w:val="005C0BD6"/>
    <w:rsid w:val="005E61A8"/>
    <w:rsid w:val="005F3FF1"/>
    <w:rsid w:val="005F5F7F"/>
    <w:rsid w:val="00605EE3"/>
    <w:rsid w:val="006138D7"/>
    <w:rsid w:val="006403CC"/>
    <w:rsid w:val="006411CC"/>
    <w:rsid w:val="00645864"/>
    <w:rsid w:val="00647E87"/>
    <w:rsid w:val="00660D16"/>
    <w:rsid w:val="006A45B4"/>
    <w:rsid w:val="006A4F25"/>
    <w:rsid w:val="006C7AB0"/>
    <w:rsid w:val="006E5878"/>
    <w:rsid w:val="006F1DA1"/>
    <w:rsid w:val="006F590F"/>
    <w:rsid w:val="00741894"/>
    <w:rsid w:val="00762688"/>
    <w:rsid w:val="00774631"/>
    <w:rsid w:val="007951E7"/>
    <w:rsid w:val="00797919"/>
    <w:rsid w:val="007C38A8"/>
    <w:rsid w:val="007E3913"/>
    <w:rsid w:val="007F1371"/>
    <w:rsid w:val="008153D5"/>
    <w:rsid w:val="008806CA"/>
    <w:rsid w:val="00896235"/>
    <w:rsid w:val="008A77C6"/>
    <w:rsid w:val="008E3225"/>
    <w:rsid w:val="008F69C8"/>
    <w:rsid w:val="009111B3"/>
    <w:rsid w:val="00934699"/>
    <w:rsid w:val="00940602"/>
    <w:rsid w:val="0095581D"/>
    <w:rsid w:val="0096229B"/>
    <w:rsid w:val="00964724"/>
    <w:rsid w:val="009837EF"/>
    <w:rsid w:val="009A7D17"/>
    <w:rsid w:val="009F7587"/>
    <w:rsid w:val="00A10E3F"/>
    <w:rsid w:val="00A44563"/>
    <w:rsid w:val="00A62194"/>
    <w:rsid w:val="00A64DBB"/>
    <w:rsid w:val="00A737AF"/>
    <w:rsid w:val="00A74884"/>
    <w:rsid w:val="00A82DE0"/>
    <w:rsid w:val="00A87E87"/>
    <w:rsid w:val="00A9474D"/>
    <w:rsid w:val="00AB3086"/>
    <w:rsid w:val="00AC0D3A"/>
    <w:rsid w:val="00AE40C8"/>
    <w:rsid w:val="00AF4098"/>
    <w:rsid w:val="00B50BD2"/>
    <w:rsid w:val="00B772C7"/>
    <w:rsid w:val="00BA4F54"/>
    <w:rsid w:val="00BD074C"/>
    <w:rsid w:val="00BD3256"/>
    <w:rsid w:val="00BD6159"/>
    <w:rsid w:val="00BE5FC1"/>
    <w:rsid w:val="00C24B02"/>
    <w:rsid w:val="00C3694D"/>
    <w:rsid w:val="00C4738D"/>
    <w:rsid w:val="00C673FE"/>
    <w:rsid w:val="00C7146E"/>
    <w:rsid w:val="00CC11A0"/>
    <w:rsid w:val="00CE7275"/>
    <w:rsid w:val="00D06DEF"/>
    <w:rsid w:val="00D60349"/>
    <w:rsid w:val="00D622C9"/>
    <w:rsid w:val="00DE7354"/>
    <w:rsid w:val="00DF1A33"/>
    <w:rsid w:val="00E37463"/>
    <w:rsid w:val="00E6597A"/>
    <w:rsid w:val="00E73FE3"/>
    <w:rsid w:val="00E92C1C"/>
    <w:rsid w:val="00EA60E6"/>
    <w:rsid w:val="00F0780A"/>
    <w:rsid w:val="00F17EA2"/>
    <w:rsid w:val="00F369B4"/>
    <w:rsid w:val="00F56873"/>
    <w:rsid w:val="00F57851"/>
    <w:rsid w:val="00F706C0"/>
    <w:rsid w:val="00FB3E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3729E2"/>
  <w15:chartTrackingRefBased/>
  <w15:docId w15:val="{96F3FD87-61F5-4376-8F89-BDD4E3A0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275"/>
    <w:pPr>
      <w:spacing w:after="200" w:line="276" w:lineRule="auto"/>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7275"/>
    <w:pPr>
      <w:ind w:left="720"/>
      <w:contextualSpacing/>
    </w:pPr>
  </w:style>
  <w:style w:type="character" w:styleId="lev">
    <w:name w:val="Strong"/>
    <w:basedOn w:val="Policepardfaut"/>
    <w:uiPriority w:val="22"/>
    <w:qFormat/>
    <w:rsid w:val="00CE7275"/>
    <w:rPr>
      <w:b/>
      <w:bCs/>
    </w:rPr>
  </w:style>
  <w:style w:type="character" w:styleId="Marquedecommentaire">
    <w:name w:val="annotation reference"/>
    <w:basedOn w:val="Policepardfaut"/>
    <w:uiPriority w:val="99"/>
    <w:semiHidden/>
    <w:unhideWhenUsed/>
    <w:rsid w:val="00CE7275"/>
    <w:rPr>
      <w:sz w:val="16"/>
      <w:szCs w:val="16"/>
    </w:rPr>
  </w:style>
  <w:style w:type="paragraph" w:styleId="Commentaire">
    <w:name w:val="annotation text"/>
    <w:basedOn w:val="Normal"/>
    <w:link w:val="CommentaireCar"/>
    <w:uiPriority w:val="99"/>
    <w:semiHidden/>
    <w:unhideWhenUsed/>
    <w:rsid w:val="00CE7275"/>
    <w:pPr>
      <w:spacing w:line="240" w:lineRule="auto"/>
    </w:pPr>
    <w:rPr>
      <w:sz w:val="20"/>
      <w:szCs w:val="20"/>
    </w:rPr>
  </w:style>
  <w:style w:type="character" w:customStyle="1" w:styleId="CommentaireCar">
    <w:name w:val="Commentaire Car"/>
    <w:basedOn w:val="Policepardfaut"/>
    <w:link w:val="Commentaire"/>
    <w:uiPriority w:val="99"/>
    <w:semiHidden/>
    <w:rsid w:val="00CE7275"/>
    <w:rPr>
      <w:rFonts w:eastAsiaTheme="minorEastAsia"/>
      <w:sz w:val="20"/>
      <w:szCs w:val="20"/>
      <w:lang w:val="en-US"/>
    </w:rPr>
  </w:style>
  <w:style w:type="paragraph" w:styleId="En-tte">
    <w:name w:val="header"/>
    <w:basedOn w:val="Normal"/>
    <w:link w:val="En-tteCar"/>
    <w:uiPriority w:val="99"/>
    <w:unhideWhenUsed/>
    <w:rsid w:val="005C0775"/>
    <w:pPr>
      <w:tabs>
        <w:tab w:val="center" w:pos="4536"/>
        <w:tab w:val="right" w:pos="9072"/>
      </w:tabs>
      <w:spacing w:after="0" w:line="240" w:lineRule="auto"/>
    </w:pPr>
  </w:style>
  <w:style w:type="character" w:customStyle="1" w:styleId="En-tteCar">
    <w:name w:val="En-tête Car"/>
    <w:basedOn w:val="Policepardfaut"/>
    <w:link w:val="En-tte"/>
    <w:uiPriority w:val="99"/>
    <w:rsid w:val="005C0775"/>
    <w:rPr>
      <w:rFonts w:eastAsiaTheme="minorEastAsia"/>
      <w:lang w:val="en-US"/>
    </w:rPr>
  </w:style>
  <w:style w:type="paragraph" w:styleId="Pieddepage">
    <w:name w:val="footer"/>
    <w:basedOn w:val="Normal"/>
    <w:link w:val="PieddepageCar"/>
    <w:uiPriority w:val="99"/>
    <w:unhideWhenUsed/>
    <w:rsid w:val="005C07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0775"/>
    <w:rPr>
      <w:rFonts w:eastAsiaTheme="minorEastAsia"/>
      <w:lang w:val="en-US"/>
    </w:rPr>
  </w:style>
  <w:style w:type="paragraph" w:styleId="NormalWeb">
    <w:name w:val="Normal (Web)"/>
    <w:basedOn w:val="Normal"/>
    <w:uiPriority w:val="99"/>
    <w:semiHidden/>
    <w:unhideWhenUsed/>
    <w:rsid w:val="00165C6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2048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4852"/>
    <w:rPr>
      <w:rFonts w:ascii="Segoe UI" w:eastAsiaTheme="minorEastAsia"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4E5EC2"/>
    <w:rPr>
      <w:b/>
      <w:bCs/>
    </w:rPr>
  </w:style>
  <w:style w:type="character" w:customStyle="1" w:styleId="ObjetducommentaireCar">
    <w:name w:val="Objet du commentaire Car"/>
    <w:basedOn w:val="CommentaireCar"/>
    <w:link w:val="Objetducommentaire"/>
    <w:uiPriority w:val="99"/>
    <w:semiHidden/>
    <w:rsid w:val="004E5EC2"/>
    <w:rPr>
      <w:rFonts w:eastAsiaTheme="minorEastAsia"/>
      <w:b/>
      <w:bCs/>
      <w:sz w:val="20"/>
      <w:szCs w:val="20"/>
      <w:lang w:val="en-US"/>
    </w:rPr>
  </w:style>
  <w:style w:type="paragraph" w:customStyle="1" w:styleId="western">
    <w:name w:val="western"/>
    <w:basedOn w:val="Normal"/>
    <w:rsid w:val="00C24B02"/>
    <w:pPr>
      <w:spacing w:before="100" w:beforeAutospacing="1" w:after="119" w:line="240" w:lineRule="auto"/>
    </w:pPr>
    <w:rPr>
      <w:rFonts w:ascii="Arial" w:eastAsia="Times New Roman" w:hAnsi="Arial" w:cs="Arial"/>
      <w:color w:val="000000"/>
      <w:sz w:val="20"/>
      <w:szCs w:val="20"/>
      <w:lang w:val="fr-FR" w:eastAsia="fr-FR"/>
    </w:rPr>
  </w:style>
  <w:style w:type="paragraph" w:customStyle="1" w:styleId="SNNORCentr">
    <w:name w:val="SNNOR+Centré"/>
    <w:next w:val="Normal"/>
    <w:rsid w:val="009837EF"/>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9837EF"/>
    <w:pPr>
      <w:spacing w:before="720" w:after="240" w:line="240" w:lineRule="auto"/>
      <w:ind w:firstLine="720"/>
    </w:pPr>
    <w:rPr>
      <w:rFonts w:ascii="Times New Roman" w:eastAsia="Times New Roman" w:hAnsi="Times New Roman" w:cs="Times New Roman"/>
      <w:b/>
      <w:sz w:val="24"/>
      <w:szCs w:val="24"/>
      <w:lang w:val="fr-FR" w:eastAsia="fr-FR"/>
    </w:rPr>
  </w:style>
  <w:style w:type="paragraph" w:customStyle="1" w:styleId="SNVisa">
    <w:name w:val="SNVisa"/>
    <w:basedOn w:val="Normal"/>
    <w:autoRedefine/>
    <w:rsid w:val="009837EF"/>
    <w:pPr>
      <w:spacing w:before="120" w:after="120" w:line="240" w:lineRule="auto"/>
      <w:ind w:firstLine="720"/>
    </w:pPr>
    <w:rPr>
      <w:rFonts w:ascii="Times New Roman" w:eastAsia="Times New Roman" w:hAnsi="Times New Roman" w:cs="Times New Roman"/>
      <w:sz w:val="24"/>
      <w:szCs w:val="24"/>
      <w:lang w:val="fr-FR" w:eastAsia="fr-FR"/>
    </w:rPr>
  </w:style>
  <w:style w:type="paragraph" w:customStyle="1" w:styleId="SNActe">
    <w:name w:val="SNActe"/>
    <w:basedOn w:val="Normal"/>
    <w:autoRedefine/>
    <w:rsid w:val="009837EF"/>
    <w:pPr>
      <w:spacing w:before="480" w:after="360" w:line="240" w:lineRule="auto"/>
      <w:jc w:val="center"/>
    </w:pPr>
    <w:rPr>
      <w:rFonts w:ascii="Times New Roman" w:eastAsia="Times New Roman" w:hAnsi="Times New Roman" w:cs="Times New Roman"/>
      <w:b/>
      <w:sz w:val="24"/>
      <w:szCs w:val="24"/>
      <w:lang w:val="fr-FR" w:eastAsia="fr-FR"/>
    </w:rPr>
  </w:style>
  <w:style w:type="paragraph" w:customStyle="1" w:styleId="SNArticle">
    <w:name w:val="SNArticle"/>
    <w:basedOn w:val="Normal"/>
    <w:next w:val="Corpsdetexte"/>
    <w:link w:val="SNArticleCar"/>
    <w:autoRedefine/>
    <w:rsid w:val="009837EF"/>
    <w:pPr>
      <w:spacing w:before="240" w:after="240" w:line="240" w:lineRule="auto"/>
      <w:jc w:val="center"/>
    </w:pPr>
    <w:rPr>
      <w:rFonts w:ascii="Times New Roman" w:eastAsia="Times New Roman" w:hAnsi="Times New Roman" w:cs="Times New Roman"/>
      <w:b/>
      <w:sz w:val="24"/>
      <w:szCs w:val="24"/>
      <w:lang w:val="fr-FR" w:eastAsia="fr-FR"/>
    </w:rPr>
  </w:style>
  <w:style w:type="character" w:customStyle="1" w:styleId="SNArticleCar">
    <w:name w:val="SNArticle Car"/>
    <w:link w:val="SNArticle"/>
    <w:rsid w:val="009837EF"/>
    <w:rPr>
      <w:rFonts w:ascii="Times New Roman" w:eastAsia="Times New Roman" w:hAnsi="Times New Roman" w:cs="Times New Roman"/>
      <w:b/>
      <w:sz w:val="24"/>
      <w:szCs w:val="24"/>
      <w:lang w:eastAsia="fr-FR"/>
    </w:rPr>
  </w:style>
  <w:style w:type="paragraph" w:styleId="Corpsdetexte">
    <w:name w:val="Body Text"/>
    <w:basedOn w:val="Normal"/>
    <w:link w:val="CorpsdetexteCar"/>
    <w:uiPriority w:val="99"/>
    <w:semiHidden/>
    <w:unhideWhenUsed/>
    <w:rsid w:val="009837EF"/>
    <w:pPr>
      <w:spacing w:after="120"/>
    </w:pPr>
  </w:style>
  <w:style w:type="character" w:customStyle="1" w:styleId="CorpsdetexteCar">
    <w:name w:val="Corps de texte Car"/>
    <w:basedOn w:val="Policepardfaut"/>
    <w:link w:val="Corpsdetexte"/>
    <w:uiPriority w:val="99"/>
    <w:semiHidden/>
    <w:rsid w:val="009837EF"/>
    <w:rPr>
      <w:rFonts w:eastAsiaTheme="minorEastAsia"/>
      <w:lang w:val="en-US"/>
    </w:rPr>
  </w:style>
  <w:style w:type="paragraph" w:customStyle="1" w:styleId="SNConsidrant">
    <w:name w:val="SNConsidérant"/>
    <w:basedOn w:val="Normal"/>
    <w:autoRedefine/>
    <w:rsid w:val="00BE5FC1"/>
    <w:pPr>
      <w:spacing w:after="0" w:line="240" w:lineRule="auto"/>
      <w:ind w:firstLine="720"/>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58342">
      <w:bodyDiv w:val="1"/>
      <w:marLeft w:val="0"/>
      <w:marRight w:val="0"/>
      <w:marTop w:val="0"/>
      <w:marBottom w:val="0"/>
      <w:divBdr>
        <w:top w:val="none" w:sz="0" w:space="0" w:color="auto"/>
        <w:left w:val="none" w:sz="0" w:space="0" w:color="auto"/>
        <w:bottom w:val="none" w:sz="0" w:space="0" w:color="auto"/>
        <w:right w:val="none" w:sz="0" w:space="0" w:color="auto"/>
      </w:divBdr>
    </w:div>
    <w:div w:id="1203009295">
      <w:bodyDiv w:val="1"/>
      <w:marLeft w:val="0"/>
      <w:marRight w:val="0"/>
      <w:marTop w:val="0"/>
      <w:marBottom w:val="0"/>
      <w:divBdr>
        <w:top w:val="none" w:sz="0" w:space="0" w:color="auto"/>
        <w:left w:val="none" w:sz="0" w:space="0" w:color="auto"/>
        <w:bottom w:val="none" w:sz="0" w:space="0" w:color="auto"/>
        <w:right w:val="none" w:sz="0" w:space="0" w:color="auto"/>
      </w:divBdr>
    </w:div>
    <w:div w:id="1430929236">
      <w:bodyDiv w:val="1"/>
      <w:marLeft w:val="0"/>
      <w:marRight w:val="0"/>
      <w:marTop w:val="0"/>
      <w:marBottom w:val="0"/>
      <w:divBdr>
        <w:top w:val="none" w:sz="0" w:space="0" w:color="auto"/>
        <w:left w:val="none" w:sz="0" w:space="0" w:color="auto"/>
        <w:bottom w:val="none" w:sz="0" w:space="0" w:color="auto"/>
        <w:right w:val="none" w:sz="0" w:space="0" w:color="auto"/>
      </w:divBdr>
    </w:div>
    <w:div w:id="172865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D9143-73A1-4729-936A-16C93D6D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2006</Words>
  <Characters>11039</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HAMLAT Smail</dc:creator>
  <cp:keywords/>
  <dc:description/>
  <cp:lastModifiedBy>GUICHAOUA Sabine</cp:lastModifiedBy>
  <cp:revision>22</cp:revision>
  <cp:lastPrinted>2026-01-29T16:54:00Z</cp:lastPrinted>
  <dcterms:created xsi:type="dcterms:W3CDTF">2026-05-05T13:21:00Z</dcterms:created>
  <dcterms:modified xsi:type="dcterms:W3CDTF">2026-05-18T07:25:00Z</dcterms:modified>
</cp:coreProperties>
</file>