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87389" w14:paraId="22497B3A" w14:textId="77777777">
        <w:trPr>
          <w:cantSplit/>
        </w:trPr>
        <w:tc>
          <w:tcPr>
            <w:tcW w:w="3982" w:type="dxa"/>
            <w:gridSpan w:val="3"/>
            <w:shd w:val="clear" w:color="auto" w:fill="auto"/>
          </w:tcPr>
          <w:p w14:paraId="51902788" w14:textId="1139DF85" w:rsidR="00687389" w:rsidRDefault="00687389">
            <w:pPr>
              <w:pStyle w:val="SNREPUBLIQUE"/>
            </w:pPr>
            <w:r>
              <w:t>RÉPUBLIQUE FRANÇAISE</w:t>
            </w:r>
          </w:p>
        </w:tc>
      </w:tr>
      <w:tr w:rsidR="00687389" w14:paraId="35B29052" w14:textId="77777777">
        <w:trPr>
          <w:cantSplit/>
          <w:trHeight w:hRule="exact" w:val="113"/>
        </w:trPr>
        <w:tc>
          <w:tcPr>
            <w:tcW w:w="1527" w:type="dxa"/>
            <w:shd w:val="clear" w:color="auto" w:fill="auto"/>
          </w:tcPr>
          <w:p w14:paraId="78092C58" w14:textId="77777777" w:rsidR="00687389" w:rsidRDefault="00687389">
            <w:pPr>
              <w:snapToGrid w:val="0"/>
              <w:rPr>
                <w:rFonts w:cs="Tahoma"/>
              </w:rPr>
            </w:pPr>
          </w:p>
        </w:tc>
        <w:tc>
          <w:tcPr>
            <w:tcW w:w="968" w:type="dxa"/>
            <w:tcBorders>
              <w:bottom w:val="single" w:sz="1" w:space="0" w:color="000000"/>
            </w:tcBorders>
            <w:shd w:val="clear" w:color="auto" w:fill="auto"/>
          </w:tcPr>
          <w:p w14:paraId="12F728BA" w14:textId="77777777" w:rsidR="00687389" w:rsidRDefault="00687389">
            <w:pPr>
              <w:snapToGrid w:val="0"/>
              <w:rPr>
                <w:rFonts w:cs="Tahoma"/>
              </w:rPr>
            </w:pPr>
          </w:p>
        </w:tc>
        <w:tc>
          <w:tcPr>
            <w:tcW w:w="1487" w:type="dxa"/>
            <w:shd w:val="clear" w:color="auto" w:fill="auto"/>
          </w:tcPr>
          <w:p w14:paraId="2EE22BAE" w14:textId="77777777" w:rsidR="00687389" w:rsidRDefault="00687389">
            <w:pPr>
              <w:snapToGrid w:val="0"/>
              <w:rPr>
                <w:rFonts w:cs="Tahoma"/>
              </w:rPr>
            </w:pPr>
          </w:p>
        </w:tc>
      </w:tr>
      <w:tr w:rsidR="00687389" w14:paraId="1CCAAFDA" w14:textId="77777777">
        <w:trPr>
          <w:cantSplit/>
        </w:trPr>
        <w:tc>
          <w:tcPr>
            <w:tcW w:w="3982" w:type="dxa"/>
            <w:gridSpan w:val="3"/>
            <w:shd w:val="clear" w:color="auto" w:fill="auto"/>
          </w:tcPr>
          <w:p w14:paraId="1E577906" w14:textId="3A8FBD69" w:rsidR="00687389" w:rsidRPr="00532F09" w:rsidRDefault="00A37917">
            <w:pPr>
              <w:pStyle w:val="SNTimbre"/>
              <w:rPr>
                <w:highlight w:val="yellow"/>
              </w:rPr>
            </w:pPr>
            <w:r>
              <w:t xml:space="preserve">Ministère </w:t>
            </w:r>
            <w:r w:rsidRPr="00A37917">
              <w:t xml:space="preserve">de la </w:t>
            </w:r>
            <w:r>
              <w:t>t</w:t>
            </w:r>
            <w:r w:rsidRPr="00A37917">
              <w:t xml:space="preserve">ransition écologique, de la </w:t>
            </w:r>
            <w:r>
              <w:t>b</w:t>
            </w:r>
            <w:r w:rsidRPr="00A37917">
              <w:t>iodiversité</w:t>
            </w:r>
            <w:r w:rsidR="00581FD0">
              <w:t xml:space="preserve"> et des négociations internationales sur le climat et la nature </w:t>
            </w:r>
          </w:p>
        </w:tc>
      </w:tr>
      <w:tr w:rsidR="00687389" w14:paraId="026D0E53" w14:textId="77777777">
        <w:trPr>
          <w:cantSplit/>
          <w:trHeight w:hRule="exact" w:val="227"/>
        </w:trPr>
        <w:tc>
          <w:tcPr>
            <w:tcW w:w="1527" w:type="dxa"/>
            <w:shd w:val="clear" w:color="auto" w:fill="auto"/>
          </w:tcPr>
          <w:p w14:paraId="26C8FB6A" w14:textId="77777777" w:rsidR="00687389" w:rsidRDefault="00687389">
            <w:pPr>
              <w:snapToGrid w:val="0"/>
            </w:pPr>
          </w:p>
        </w:tc>
        <w:tc>
          <w:tcPr>
            <w:tcW w:w="968" w:type="dxa"/>
            <w:tcBorders>
              <w:bottom w:val="single" w:sz="1" w:space="0" w:color="000000"/>
            </w:tcBorders>
            <w:shd w:val="clear" w:color="auto" w:fill="auto"/>
          </w:tcPr>
          <w:p w14:paraId="0761D459" w14:textId="77777777" w:rsidR="00687389" w:rsidRDefault="00687389">
            <w:pPr>
              <w:snapToGrid w:val="0"/>
            </w:pPr>
          </w:p>
        </w:tc>
        <w:tc>
          <w:tcPr>
            <w:tcW w:w="1487" w:type="dxa"/>
            <w:shd w:val="clear" w:color="auto" w:fill="auto"/>
          </w:tcPr>
          <w:p w14:paraId="4F1C0EB5" w14:textId="77777777" w:rsidR="00687389" w:rsidRDefault="00687389">
            <w:pPr>
              <w:snapToGrid w:val="0"/>
            </w:pPr>
          </w:p>
        </w:tc>
      </w:tr>
      <w:tr w:rsidR="00687389" w14:paraId="0E685CD2" w14:textId="77777777">
        <w:trPr>
          <w:cantSplit/>
          <w:trHeight w:hRule="exact" w:val="227"/>
        </w:trPr>
        <w:tc>
          <w:tcPr>
            <w:tcW w:w="1527" w:type="dxa"/>
            <w:shd w:val="clear" w:color="auto" w:fill="auto"/>
          </w:tcPr>
          <w:p w14:paraId="2CCB2E17" w14:textId="77777777" w:rsidR="00687389" w:rsidRDefault="00687389">
            <w:pPr>
              <w:snapToGrid w:val="0"/>
            </w:pPr>
          </w:p>
        </w:tc>
        <w:tc>
          <w:tcPr>
            <w:tcW w:w="968" w:type="dxa"/>
            <w:shd w:val="clear" w:color="auto" w:fill="auto"/>
          </w:tcPr>
          <w:p w14:paraId="09B3FB15" w14:textId="77777777" w:rsidR="00687389" w:rsidRDefault="00687389">
            <w:pPr>
              <w:snapToGrid w:val="0"/>
            </w:pPr>
          </w:p>
        </w:tc>
        <w:tc>
          <w:tcPr>
            <w:tcW w:w="1487" w:type="dxa"/>
            <w:shd w:val="clear" w:color="auto" w:fill="auto"/>
          </w:tcPr>
          <w:p w14:paraId="58B40D20" w14:textId="77777777" w:rsidR="00687389" w:rsidRDefault="00687389">
            <w:pPr>
              <w:snapToGrid w:val="0"/>
            </w:pPr>
          </w:p>
        </w:tc>
      </w:tr>
    </w:tbl>
    <w:p w14:paraId="54BD8FBF" w14:textId="77777777" w:rsidR="00687389" w:rsidRDefault="00687389">
      <w:pPr>
        <w:pStyle w:val="SNNature"/>
      </w:pPr>
      <w:r>
        <w:t>Décret n°                          du</w:t>
      </w:r>
    </w:p>
    <w:p w14:paraId="5F85F01B" w14:textId="77777777" w:rsidR="00532F09" w:rsidRDefault="00532F09">
      <w:pPr>
        <w:pStyle w:val="SNNORCentr"/>
        <w:rPr>
          <w:rFonts w:eastAsia="Lucida Sans Unicode"/>
          <w:b/>
          <w:bCs w:val="0"/>
          <w:szCs w:val="24"/>
        </w:rPr>
      </w:pPr>
      <w:proofErr w:type="gramStart"/>
      <w:r w:rsidRPr="00532F09">
        <w:t>modifiant</w:t>
      </w:r>
      <w:proofErr w:type="gramEnd"/>
      <w:r w:rsidRPr="00532F09">
        <w:t xml:space="preserve"> la nomenclature des installations classées pour la protection de l'environnement</w:t>
      </w:r>
    </w:p>
    <w:p w14:paraId="4F8A2776" w14:textId="4449D53A" w:rsidR="00687389" w:rsidRDefault="00687389">
      <w:pPr>
        <w:pStyle w:val="SNNORCentr"/>
      </w:pPr>
      <w:r>
        <w:t>NOR : […]</w:t>
      </w:r>
    </w:p>
    <w:p w14:paraId="545EF079" w14:textId="0FCCC743" w:rsidR="00532F09" w:rsidRDefault="00687389" w:rsidP="00532F09">
      <w:pPr>
        <w:pStyle w:val="SNAutorit"/>
        <w:jc w:val="both"/>
        <w:rPr>
          <w:b w:val="0"/>
          <w:i/>
        </w:rPr>
      </w:pPr>
      <w:r>
        <w:rPr>
          <w:i/>
        </w:rPr>
        <w:t xml:space="preserve">Publics concernés : </w:t>
      </w:r>
      <w:r w:rsidR="00532F09" w:rsidRPr="00532F09">
        <w:rPr>
          <w:b w:val="0"/>
          <w:i/>
        </w:rPr>
        <w:t>exploitants d'installations classées pour la protection de l'environnement (ICPE) relevant de</w:t>
      </w:r>
      <w:r w:rsidR="00532F09">
        <w:rPr>
          <w:b w:val="0"/>
          <w:i/>
        </w:rPr>
        <w:t xml:space="preserve"> la</w:t>
      </w:r>
      <w:r w:rsidR="00532F09" w:rsidRPr="00532F09">
        <w:rPr>
          <w:b w:val="0"/>
          <w:i/>
        </w:rPr>
        <w:t xml:space="preserve"> rubrique </w:t>
      </w:r>
      <w:r w:rsidR="00532F09">
        <w:rPr>
          <w:b w:val="0"/>
          <w:i/>
        </w:rPr>
        <w:t>2910</w:t>
      </w:r>
      <w:r w:rsidR="00482A8B">
        <w:rPr>
          <w:b w:val="0"/>
          <w:i/>
        </w:rPr>
        <w:t xml:space="preserve"> « combustion</w:t>
      </w:r>
      <w:r w:rsidR="000D16BF">
        <w:rPr>
          <w:b w:val="0"/>
          <w:i/>
        </w:rPr>
        <w:t xml:space="preserve"> de combustible</w:t>
      </w:r>
      <w:r w:rsidR="00BF5D96">
        <w:rPr>
          <w:b w:val="0"/>
          <w:i/>
        </w:rPr>
        <w:t>,</w:t>
      </w:r>
      <w:r w:rsidR="00482A8B">
        <w:rPr>
          <w:b w:val="0"/>
          <w:i/>
        </w:rPr>
        <w:t xml:space="preserve"> à l’exclusion des installations visées par les rubriques 2770, 2771, 2971 ou 2931 »</w:t>
      </w:r>
      <w:r w:rsidR="00532F09" w:rsidRPr="00532F09">
        <w:rPr>
          <w:b w:val="0"/>
          <w:i/>
        </w:rPr>
        <w:t xml:space="preserve"> de la nomenclature des ICPE.</w:t>
      </w:r>
    </w:p>
    <w:p w14:paraId="20801A38" w14:textId="4A3C2178" w:rsidR="000D16BF" w:rsidRDefault="00687389" w:rsidP="000D16BF">
      <w:pPr>
        <w:pStyle w:val="SNAutorit"/>
        <w:spacing w:before="120"/>
        <w:jc w:val="both"/>
        <w:rPr>
          <w:b w:val="0"/>
          <w:i/>
        </w:rPr>
      </w:pPr>
      <w:r>
        <w:rPr>
          <w:i/>
        </w:rPr>
        <w:t xml:space="preserve">Objet : </w:t>
      </w:r>
      <w:r w:rsidR="000D16BF">
        <w:rPr>
          <w:b w:val="0"/>
          <w:i/>
        </w:rPr>
        <w:t>L</w:t>
      </w:r>
      <w:r w:rsidR="000D16BF" w:rsidRPr="004F20D1">
        <w:rPr>
          <w:b w:val="0"/>
          <w:i/>
        </w:rPr>
        <w:t xml:space="preserve">e décret modifie </w:t>
      </w:r>
      <w:r w:rsidR="000D16BF">
        <w:rPr>
          <w:b w:val="0"/>
          <w:i/>
        </w:rPr>
        <w:t>le libellé</w:t>
      </w:r>
      <w:r w:rsidR="000D16BF" w:rsidRPr="004F20D1">
        <w:rPr>
          <w:b w:val="0"/>
          <w:i/>
        </w:rPr>
        <w:t xml:space="preserve"> de la rubrique 2910 de la nomenclature des installations classées pour la protection de l'environnement,</w:t>
      </w:r>
      <w:r w:rsidR="000D16BF">
        <w:rPr>
          <w:b w:val="0"/>
          <w:i/>
        </w:rPr>
        <w:t xml:space="preserve"> relative à l’activité de </w:t>
      </w:r>
      <w:r w:rsidR="000D16BF" w:rsidRPr="004F20D1">
        <w:rPr>
          <w:b w:val="0"/>
          <w:i/>
        </w:rPr>
        <w:t xml:space="preserve">combustion </w:t>
      </w:r>
      <w:r w:rsidR="000D16BF" w:rsidRPr="00E603AF">
        <w:rPr>
          <w:b w:val="0"/>
          <w:i/>
        </w:rPr>
        <w:t xml:space="preserve">pour y intégrer </w:t>
      </w:r>
      <w:proofErr w:type="gramStart"/>
      <w:r w:rsidR="000D16BF" w:rsidRPr="00E603AF">
        <w:rPr>
          <w:b w:val="0"/>
          <w:i/>
        </w:rPr>
        <w:t>l’utilisation</w:t>
      </w:r>
      <w:proofErr w:type="gramEnd"/>
      <w:r w:rsidR="000D16BF" w:rsidRPr="00E603AF">
        <w:rPr>
          <w:b w:val="0"/>
          <w:i/>
        </w:rPr>
        <w:t xml:space="preserve"> de certains bioliquides</w:t>
      </w:r>
      <w:r w:rsidR="000D16BF">
        <w:rPr>
          <w:b w:val="0"/>
          <w:i/>
        </w:rPr>
        <w:t xml:space="preserve">. </w:t>
      </w:r>
    </w:p>
    <w:p w14:paraId="0C730D3C" w14:textId="22F1BAB5" w:rsidR="00687389" w:rsidRDefault="000D16BF" w:rsidP="000D16BF">
      <w:pPr>
        <w:pStyle w:val="SNAutorit"/>
        <w:spacing w:before="240"/>
        <w:jc w:val="both"/>
      </w:pPr>
      <w:r>
        <w:rPr>
          <w:b w:val="0"/>
          <w:i/>
        </w:rPr>
        <w:t xml:space="preserve">La rubrique 2910 exclut les </w:t>
      </w:r>
      <w:r w:rsidRPr="004F20D1">
        <w:rPr>
          <w:b w:val="0"/>
          <w:i/>
        </w:rPr>
        <w:t>activités visées par les rubriques 2770</w:t>
      </w:r>
      <w:r>
        <w:rPr>
          <w:b w:val="0"/>
          <w:i/>
        </w:rPr>
        <w:t xml:space="preserve"> (</w:t>
      </w:r>
      <w:r w:rsidR="00AE67F8">
        <w:rPr>
          <w:b w:val="0"/>
          <w:i/>
        </w:rPr>
        <w:t>i</w:t>
      </w:r>
      <w:r w:rsidRPr="007D22EC">
        <w:rPr>
          <w:b w:val="0"/>
          <w:i/>
        </w:rPr>
        <w:t>nstallation de traitement thermique de déchets dangereux</w:t>
      </w:r>
      <w:r>
        <w:rPr>
          <w:b w:val="0"/>
          <w:i/>
        </w:rPr>
        <w:t>)</w:t>
      </w:r>
      <w:r w:rsidRPr="004F20D1">
        <w:rPr>
          <w:b w:val="0"/>
          <w:i/>
        </w:rPr>
        <w:t>, 2771</w:t>
      </w:r>
      <w:r>
        <w:rPr>
          <w:b w:val="0"/>
          <w:i/>
        </w:rPr>
        <w:t xml:space="preserve"> (</w:t>
      </w:r>
      <w:r w:rsidR="00AE67F8">
        <w:rPr>
          <w:b w:val="0"/>
          <w:i/>
        </w:rPr>
        <w:t>i</w:t>
      </w:r>
      <w:r w:rsidRPr="007D22EC">
        <w:rPr>
          <w:b w:val="0"/>
          <w:i/>
        </w:rPr>
        <w:t>nstallation de traitement thermique de déchets non dangereux</w:t>
      </w:r>
      <w:r>
        <w:rPr>
          <w:b w:val="0"/>
          <w:i/>
        </w:rPr>
        <w:t>)</w:t>
      </w:r>
      <w:r w:rsidRPr="004F20D1">
        <w:rPr>
          <w:b w:val="0"/>
          <w:i/>
        </w:rPr>
        <w:t>, 2971</w:t>
      </w:r>
      <w:r>
        <w:rPr>
          <w:b w:val="0"/>
          <w:i/>
        </w:rPr>
        <w:t xml:space="preserve"> (</w:t>
      </w:r>
      <w:r w:rsidR="00AE67F8">
        <w:rPr>
          <w:b w:val="0"/>
          <w:i/>
        </w:rPr>
        <w:t>i</w:t>
      </w:r>
      <w:r w:rsidRPr="00E603AF">
        <w:rPr>
          <w:b w:val="0"/>
          <w:i/>
        </w:rPr>
        <w:t xml:space="preserve">nstallation de production de chaleur ou d'électricité à partir de déchets non dangereux </w:t>
      </w:r>
      <w:r>
        <w:rPr>
          <w:b w:val="0"/>
          <w:i/>
        </w:rPr>
        <w:t>)</w:t>
      </w:r>
      <w:r w:rsidRPr="004F20D1">
        <w:rPr>
          <w:b w:val="0"/>
          <w:i/>
        </w:rPr>
        <w:t xml:space="preserve"> ou 2931</w:t>
      </w:r>
      <w:r>
        <w:rPr>
          <w:b w:val="0"/>
          <w:i/>
        </w:rPr>
        <w:t xml:space="preserve"> (</w:t>
      </w:r>
      <w:r w:rsidR="00AE67F8">
        <w:rPr>
          <w:b w:val="0"/>
          <w:i/>
        </w:rPr>
        <w:t>m</w:t>
      </w:r>
      <w:r w:rsidRPr="00E603AF">
        <w:rPr>
          <w:b w:val="0"/>
          <w:i/>
        </w:rPr>
        <w:t>oteurs à combustion interne ou à réaction, turbines à combustion</w:t>
      </w:r>
      <w:r>
        <w:rPr>
          <w:b w:val="0"/>
          <w:i/>
        </w:rPr>
        <w:t>)</w:t>
      </w:r>
      <w:r w:rsidRPr="004F20D1">
        <w:rPr>
          <w:b w:val="0"/>
          <w:i/>
        </w:rPr>
        <w:t xml:space="preserve"> et </w:t>
      </w:r>
      <w:r w:rsidR="00AE67F8">
        <w:rPr>
          <w:b w:val="0"/>
          <w:i/>
        </w:rPr>
        <w:t>l</w:t>
      </w:r>
      <w:r w:rsidRPr="004F20D1">
        <w:rPr>
          <w:b w:val="0"/>
          <w:i/>
        </w:rPr>
        <w:t>es installations classées au titre de la rubrique 3110</w:t>
      </w:r>
      <w:r>
        <w:rPr>
          <w:b w:val="0"/>
          <w:i/>
        </w:rPr>
        <w:t xml:space="preserve"> (</w:t>
      </w:r>
      <w:r w:rsidR="00AE67F8">
        <w:rPr>
          <w:b w:val="0"/>
          <w:i/>
        </w:rPr>
        <w:t>c</w:t>
      </w:r>
      <w:r w:rsidRPr="00E603AF">
        <w:rPr>
          <w:b w:val="0"/>
          <w:i/>
        </w:rPr>
        <w:t>ombustion de combustibles dans des installations d'une puissance thermique nominale totale égale ou supérieure à 50 MW</w:t>
      </w:r>
      <w:r>
        <w:rPr>
          <w:b w:val="0"/>
          <w:i/>
        </w:rPr>
        <w:t>)</w:t>
      </w:r>
      <w:r w:rsidRPr="004F20D1">
        <w:rPr>
          <w:b w:val="0"/>
          <w:i/>
        </w:rPr>
        <w:t xml:space="preserve"> ou au titre d'autres rubriques de la nomenclature pour lesquelles la combustion participe à la fusion, la cuisson ou au traitement, en mélange avec les gaz de combustion, des matières entrantes.</w:t>
      </w:r>
    </w:p>
    <w:p w14:paraId="34CF6E79" w14:textId="77777777" w:rsidR="00687389" w:rsidRDefault="00687389" w:rsidP="001D4162">
      <w:pPr>
        <w:pStyle w:val="SNAutorit"/>
        <w:spacing w:before="120"/>
        <w:jc w:val="both"/>
      </w:pPr>
      <w:r>
        <w:rPr>
          <w:i/>
        </w:rPr>
        <w:t xml:space="preserve">Entrée en vigueur : </w:t>
      </w:r>
      <w:r w:rsidR="007F2EB3" w:rsidRPr="007F2EB3">
        <w:rPr>
          <w:b w:val="0"/>
          <w:i/>
        </w:rPr>
        <w:t>le décret entre en vigueur le lendemain de sa publication</w:t>
      </w:r>
      <w:r w:rsidR="007F2EB3">
        <w:rPr>
          <w:b w:val="0"/>
          <w:i/>
        </w:rPr>
        <w:t>.</w:t>
      </w:r>
    </w:p>
    <w:p w14:paraId="0E453DF0" w14:textId="517CCFE0" w:rsidR="00532F09" w:rsidRDefault="00687389" w:rsidP="00AE67F8">
      <w:pPr>
        <w:pStyle w:val="SNAutorit"/>
        <w:spacing w:before="120"/>
        <w:jc w:val="both"/>
        <w:rPr>
          <w:b w:val="0"/>
          <w:i/>
        </w:rPr>
      </w:pPr>
      <w:r w:rsidRPr="004F20D1">
        <w:rPr>
          <w:i/>
        </w:rPr>
        <w:t xml:space="preserve">Application : </w:t>
      </w:r>
      <w:r w:rsidR="005D028B" w:rsidRPr="00AE67F8">
        <w:rPr>
          <w:b w:val="0"/>
          <w:bCs/>
          <w:i/>
        </w:rPr>
        <w:t>le présent décret est pris en application de l’article L. 511-2 du code de l’environnement</w:t>
      </w:r>
      <w:r w:rsidR="005D028B" w:rsidRPr="005D028B" w:rsidDel="000D16BF">
        <w:rPr>
          <w:i/>
        </w:rPr>
        <w:t xml:space="preserve"> </w:t>
      </w:r>
    </w:p>
    <w:p w14:paraId="3937F209" w14:textId="58B7625C" w:rsidR="00687389" w:rsidRPr="006B555F" w:rsidRDefault="00687389" w:rsidP="00AE67F8">
      <w:pPr>
        <w:pStyle w:val="SNAutorit"/>
        <w:spacing w:before="120"/>
        <w:jc w:val="both"/>
      </w:pPr>
      <w:r w:rsidRPr="006B555F">
        <w:t>Le Premier ministre,</w:t>
      </w:r>
    </w:p>
    <w:p w14:paraId="324D1581" w14:textId="22C01161" w:rsidR="00687389" w:rsidRDefault="00687389" w:rsidP="00AE67F8">
      <w:pPr>
        <w:pStyle w:val="SNRapport"/>
        <w:jc w:val="both"/>
      </w:pPr>
      <w:r>
        <w:t>Sur le rapport d</w:t>
      </w:r>
      <w:r w:rsidR="005E4BF5">
        <w:t>e la</w:t>
      </w:r>
      <w:r>
        <w:t xml:space="preserve"> ministre </w:t>
      </w:r>
      <w:r w:rsidR="00A37917" w:rsidRPr="00A37917">
        <w:t xml:space="preserve">de la </w:t>
      </w:r>
      <w:r w:rsidR="00A37917">
        <w:t>t</w:t>
      </w:r>
      <w:r w:rsidR="00A37917" w:rsidRPr="00A37917">
        <w:t xml:space="preserve">ransition écologique, de la </w:t>
      </w:r>
      <w:r w:rsidR="00A37917">
        <w:t>b</w:t>
      </w:r>
      <w:r w:rsidR="00A37917" w:rsidRPr="00A37917">
        <w:t>iodiversité</w:t>
      </w:r>
      <w:r w:rsidR="00581FD0">
        <w:t xml:space="preserve"> et des négociations internationales sur le climat et la nature, </w:t>
      </w:r>
    </w:p>
    <w:p w14:paraId="1C66FCBE" w14:textId="77777777" w:rsidR="00532F09" w:rsidRDefault="00532F09" w:rsidP="00AE67F8">
      <w:pPr>
        <w:pStyle w:val="SNConsultation"/>
        <w:rPr>
          <w:rFonts w:eastAsia="Times New Roman"/>
        </w:rPr>
      </w:pPr>
      <w:r w:rsidRPr="00532F09">
        <w:rPr>
          <w:rFonts w:eastAsia="Times New Roman"/>
        </w:rPr>
        <w:t>Vu le code de l'environnement, notamment ses articles L. 511-2 et R. 511-9 ;</w:t>
      </w:r>
    </w:p>
    <w:p w14:paraId="2713CA81" w14:textId="248B9456" w:rsidR="00687389" w:rsidRDefault="0081511F" w:rsidP="009F3EDD">
      <w:pPr>
        <w:pStyle w:val="SNConsultation"/>
      </w:pPr>
      <w:r w:rsidRPr="0081511F">
        <w:rPr>
          <w:rFonts w:eastAsia="Times New Roman"/>
        </w:rPr>
        <w:t xml:space="preserve">Vu les observations formulées lors de la consultation du public réalisée du </w:t>
      </w:r>
      <w:r w:rsidR="0009574B">
        <w:rPr>
          <w:rFonts w:eastAsia="Times New Roman"/>
        </w:rPr>
        <w:t xml:space="preserve">17 novembre </w:t>
      </w:r>
      <w:r w:rsidRPr="0081511F">
        <w:rPr>
          <w:rFonts w:eastAsia="Times New Roman"/>
        </w:rPr>
        <w:t>au</w:t>
      </w:r>
      <w:r w:rsidR="0009574B">
        <w:rPr>
          <w:rFonts w:eastAsia="Times New Roman"/>
        </w:rPr>
        <w:t xml:space="preserve"> 7 décembre 2025</w:t>
      </w:r>
      <w:r w:rsidRPr="0081511F">
        <w:rPr>
          <w:rFonts w:eastAsia="Times New Roman"/>
        </w:rPr>
        <w:t>,</w:t>
      </w:r>
      <w:r>
        <w:rPr>
          <w:rFonts w:eastAsia="Times New Roman"/>
        </w:rPr>
        <w:t xml:space="preserve"> en application de l'article L. </w:t>
      </w:r>
      <w:r w:rsidRPr="0081511F">
        <w:rPr>
          <w:rFonts w:eastAsia="Times New Roman"/>
        </w:rPr>
        <w:t>123-1</w:t>
      </w:r>
      <w:r w:rsidR="006B5A57">
        <w:rPr>
          <w:rFonts w:eastAsia="Times New Roman"/>
        </w:rPr>
        <w:t>9-1 du code de l'environnement ;</w:t>
      </w:r>
    </w:p>
    <w:p w14:paraId="3D4C853D" w14:textId="77777777" w:rsidR="00687389" w:rsidRDefault="00687389" w:rsidP="009F3EDD">
      <w:pPr>
        <w:pStyle w:val="SNConsultation"/>
      </w:pPr>
      <w:r>
        <w:t>Le Con</w:t>
      </w:r>
      <w:r w:rsidR="0081511F">
        <w:t>seil d’Etat (section des travaux publics) entendu</w:t>
      </w:r>
      <w:r>
        <w:t>,</w:t>
      </w:r>
    </w:p>
    <w:p w14:paraId="3BA04EDA" w14:textId="77777777" w:rsidR="00687389" w:rsidRDefault="00687389">
      <w:pPr>
        <w:pStyle w:val="SNActe"/>
      </w:pPr>
      <w:r>
        <w:t>Décrète :</w:t>
      </w:r>
    </w:p>
    <w:p w14:paraId="0FFDC4EF" w14:textId="77777777" w:rsidR="00687389" w:rsidRDefault="00687389">
      <w:pPr>
        <w:pStyle w:val="SNArticle"/>
      </w:pPr>
      <w:r>
        <w:lastRenderedPageBreak/>
        <w:t>Article 1</w:t>
      </w:r>
      <w:r>
        <w:rPr>
          <w:vertAlign w:val="superscript"/>
        </w:rPr>
        <w:t>er</w:t>
      </w:r>
    </w:p>
    <w:p w14:paraId="49FFE34D" w14:textId="0BCAEA2A" w:rsidR="00C32D3F" w:rsidRDefault="00532F09" w:rsidP="008729AE">
      <w:pPr>
        <w:pStyle w:val="Corpsdetexte"/>
      </w:pPr>
      <w:r w:rsidRPr="00532F09">
        <w:t>La colonne A de l'annexe à l'article R. 511-9 du code de l'environnement est modifiée conformément au tableau annexé au présent décret.</w:t>
      </w:r>
    </w:p>
    <w:p w14:paraId="2A554EA7" w14:textId="77777777" w:rsidR="00AA4CDE" w:rsidRDefault="00AA4CDE" w:rsidP="008729AE">
      <w:pPr>
        <w:pStyle w:val="Corpsdetexte"/>
      </w:pPr>
    </w:p>
    <w:p w14:paraId="78BFD7A9" w14:textId="77777777" w:rsidR="00687389" w:rsidRDefault="00856473">
      <w:pPr>
        <w:pStyle w:val="SNArticle"/>
      </w:pPr>
      <w:r>
        <w:t>Article 2</w:t>
      </w:r>
    </w:p>
    <w:p w14:paraId="07E0EBD3" w14:textId="0456EE17" w:rsidR="00532F09" w:rsidRDefault="00532F09" w:rsidP="00532F09">
      <w:pPr>
        <w:pStyle w:val="SNArticle"/>
        <w:jc w:val="both"/>
        <w:rPr>
          <w:b w:val="0"/>
        </w:rPr>
      </w:pPr>
      <w:r w:rsidRPr="00532F09">
        <w:rPr>
          <w:b w:val="0"/>
        </w:rPr>
        <w:t xml:space="preserve">Le présent décret entre en vigueur le </w:t>
      </w:r>
      <w:proofErr w:type="spellStart"/>
      <w:r w:rsidR="005E4BF5" w:rsidRPr="005E4BF5">
        <w:rPr>
          <w:b w:val="0"/>
          <w:highlight w:val="yellow"/>
        </w:rPr>
        <w:t>xxxxxxxx</w:t>
      </w:r>
      <w:proofErr w:type="spellEnd"/>
    </w:p>
    <w:p w14:paraId="02A58AC8" w14:textId="7E0E5BB3" w:rsidR="00687389" w:rsidRDefault="00212A05">
      <w:pPr>
        <w:pStyle w:val="SNArticle"/>
      </w:pPr>
      <w:r>
        <w:rPr>
          <w:bCs/>
        </w:rPr>
        <w:t xml:space="preserve">Article </w:t>
      </w:r>
      <w:r w:rsidR="00BF5FE0">
        <w:rPr>
          <w:bCs/>
        </w:rPr>
        <w:t>3</w:t>
      </w:r>
    </w:p>
    <w:p w14:paraId="23C9D939" w14:textId="4784A470" w:rsidR="00687389" w:rsidRDefault="00687389">
      <w:pPr>
        <w:pStyle w:val="Corpsdetexte"/>
      </w:pPr>
      <w:r>
        <w:t>L</w:t>
      </w:r>
      <w:r w:rsidR="005E4BF5">
        <w:t>a</w:t>
      </w:r>
      <w:r>
        <w:t xml:space="preserve"> ministre </w:t>
      </w:r>
      <w:r w:rsidR="005E4BF5" w:rsidRPr="005E4BF5">
        <w:t>de la transition écologique, de la biodiversité</w:t>
      </w:r>
      <w:r w:rsidR="00C364BB">
        <w:t xml:space="preserve"> et des négociations internationales sur le climat et la nature</w:t>
      </w:r>
      <w:r w:rsidR="00D219EA">
        <w:t xml:space="preserve"> </w:t>
      </w:r>
      <w:r w:rsidR="00212A05">
        <w:t>est chargé</w:t>
      </w:r>
      <w:r w:rsidR="005E4BF5">
        <w:t>e</w:t>
      </w:r>
      <w:r w:rsidR="00212A05">
        <w:t xml:space="preserve"> </w:t>
      </w:r>
      <w:r>
        <w:t xml:space="preserve">de l’exécution du présent décret, qui sera publié au </w:t>
      </w:r>
      <w:r>
        <w:rPr>
          <w:i/>
        </w:rPr>
        <w:t>Journal officiel</w:t>
      </w:r>
      <w:r>
        <w:t xml:space="preserve"> de la République française.</w:t>
      </w:r>
    </w:p>
    <w:p w14:paraId="119F2CE4" w14:textId="77777777" w:rsidR="00687389" w:rsidRDefault="00687389">
      <w:pPr>
        <w:pStyle w:val="SNDate"/>
      </w:pPr>
      <w:r>
        <w:t xml:space="preserve">Fait </w:t>
      </w:r>
      <w:proofErr w:type="gramStart"/>
      <w:r>
        <w:t>le .</w:t>
      </w:r>
      <w:proofErr w:type="gramEnd"/>
    </w:p>
    <w:p w14:paraId="2289CE64" w14:textId="77777777" w:rsidR="00687389" w:rsidRDefault="00CF14AB">
      <w:pPr>
        <w:pStyle w:val="SNContreseing"/>
      </w:pPr>
      <w:r>
        <w:t>Par le Premier ministre :</w:t>
      </w:r>
    </w:p>
    <w:p w14:paraId="1BBFA893" w14:textId="71799046" w:rsidR="00687389" w:rsidRPr="005E4BF5" w:rsidRDefault="00687389">
      <w:pPr>
        <w:pStyle w:val="SNSignatureGauche"/>
      </w:pPr>
      <w:r w:rsidRPr="005E4BF5">
        <w:t>L</w:t>
      </w:r>
      <w:r w:rsidR="005E4BF5" w:rsidRPr="005E4BF5">
        <w:t>a</w:t>
      </w:r>
      <w:r w:rsidRPr="005E4BF5">
        <w:t xml:space="preserve"> ministre </w:t>
      </w:r>
      <w:bookmarkStart w:id="0" w:name="_Hlk198644304"/>
      <w:r w:rsidR="005E4BF5" w:rsidRPr="005E4BF5">
        <w:t xml:space="preserve">de la </w:t>
      </w:r>
      <w:r w:rsidR="005E4BF5">
        <w:t>t</w:t>
      </w:r>
      <w:r w:rsidR="005E4BF5" w:rsidRPr="005E4BF5">
        <w:t xml:space="preserve">ransition écologique, de la </w:t>
      </w:r>
      <w:r w:rsidR="005E4BF5">
        <w:t>b</w:t>
      </w:r>
      <w:r w:rsidR="005E4BF5" w:rsidRPr="005E4BF5">
        <w:t>iodiversité,</w:t>
      </w:r>
      <w:bookmarkEnd w:id="0"/>
      <w:r w:rsidR="00344145">
        <w:t xml:space="preserve"> et des négociations sur le climat et la nature,</w:t>
      </w:r>
    </w:p>
    <w:p w14:paraId="3C09FB69" w14:textId="63F3574B" w:rsidR="005E4BF5" w:rsidRDefault="006F47D5" w:rsidP="005E4BF5">
      <w:pPr>
        <w:suppressAutoHyphens w:val="0"/>
        <w:ind w:left="12" w:firstLine="708"/>
        <w:rPr>
          <w:color w:val="000000"/>
        </w:rPr>
      </w:pPr>
      <w:r>
        <w:rPr>
          <w:color w:val="000000"/>
        </w:rPr>
        <w:t xml:space="preserve"> Monique Barbut</w:t>
      </w:r>
    </w:p>
    <w:p w14:paraId="767C4FE2" w14:textId="77777777" w:rsidR="005E4BF5" w:rsidRDefault="005E4BF5" w:rsidP="005E4BF5">
      <w:pPr>
        <w:suppressAutoHyphens w:val="0"/>
        <w:ind w:left="12" w:firstLine="708"/>
        <w:rPr>
          <w:color w:val="000000"/>
        </w:rPr>
      </w:pPr>
    </w:p>
    <w:p w14:paraId="2F9E480C" w14:textId="77777777" w:rsidR="005E4BF5" w:rsidRDefault="005E4BF5" w:rsidP="005E4BF5">
      <w:pPr>
        <w:suppressAutoHyphens w:val="0"/>
        <w:ind w:left="12" w:firstLine="708"/>
        <w:rPr>
          <w:color w:val="000000"/>
        </w:rPr>
      </w:pPr>
    </w:p>
    <w:p w14:paraId="0F46110F" w14:textId="77777777" w:rsidR="005E4BF5" w:rsidRDefault="005E4BF5">
      <w:pPr>
        <w:suppressAutoHyphens w:val="0"/>
        <w:rPr>
          <w:color w:val="000000"/>
        </w:rPr>
      </w:pPr>
      <w:r>
        <w:rPr>
          <w:color w:val="000000"/>
        </w:rPr>
        <w:br w:type="page"/>
      </w:r>
    </w:p>
    <w:p w14:paraId="56F887F5" w14:textId="0550F524" w:rsidR="005E4BF5" w:rsidRDefault="005E4BF5" w:rsidP="00BD05B7">
      <w:pPr>
        <w:suppressAutoHyphens w:val="0"/>
        <w:ind w:left="12" w:firstLine="708"/>
        <w:jc w:val="center"/>
      </w:pPr>
      <w:r>
        <w:lastRenderedPageBreak/>
        <w:t>ANNEXE</w:t>
      </w:r>
    </w:p>
    <w:p w14:paraId="0DD91729" w14:textId="0023C272" w:rsidR="00BD05B7" w:rsidRDefault="00BD05B7" w:rsidP="00BD05B7">
      <w:pPr>
        <w:suppressAutoHyphens w:val="0"/>
        <w:ind w:left="12" w:firstLine="708"/>
        <w:jc w:val="center"/>
      </w:pPr>
      <w:r>
        <w:t>Rubrique modifiée</w:t>
      </w:r>
    </w:p>
    <w:p w14:paraId="5516823E" w14:textId="77777777" w:rsidR="005E4BF5" w:rsidRDefault="005E4BF5" w:rsidP="005E4BF5">
      <w:pPr>
        <w:suppressAutoHyphens w:val="0"/>
        <w:ind w:left="12" w:firstLine="708"/>
      </w:pPr>
    </w:p>
    <w:p w14:paraId="296581F4" w14:textId="77777777" w:rsidR="005E4BF5" w:rsidRDefault="005E4BF5" w:rsidP="005E4BF5">
      <w:pPr>
        <w:suppressAutoHyphens w:val="0"/>
        <w:ind w:left="12" w:firstLine="708"/>
      </w:pPr>
    </w:p>
    <w:tbl>
      <w:tblPr>
        <w:tblW w:w="0" w:type="auto"/>
        <w:tblBorders>
          <w:top w:val="single" w:sz="6" w:space="0" w:color="3E3E3F"/>
          <w:left w:val="single" w:sz="6" w:space="0" w:color="3E3E3F"/>
          <w:bottom w:val="single" w:sz="6" w:space="0" w:color="3E3E3F"/>
          <w:right w:val="single" w:sz="6" w:space="0" w:color="3E3E3F"/>
        </w:tblBorders>
        <w:tblCellMar>
          <w:top w:w="15" w:type="dxa"/>
          <w:left w:w="15" w:type="dxa"/>
          <w:bottom w:w="15" w:type="dxa"/>
          <w:right w:w="15" w:type="dxa"/>
        </w:tblCellMar>
        <w:tblLook w:val="04A0" w:firstRow="1" w:lastRow="0" w:firstColumn="1" w:lastColumn="0" w:noHBand="0" w:noVBand="1"/>
      </w:tblPr>
      <w:tblGrid>
        <w:gridCol w:w="701"/>
        <w:gridCol w:w="7376"/>
        <w:gridCol w:w="484"/>
        <w:gridCol w:w="777"/>
      </w:tblGrid>
      <w:tr w:rsidR="00BD05B7" w:rsidRPr="005E4BF5" w14:paraId="28DDFEF9" w14:textId="77777777" w:rsidTr="00FA094B">
        <w:trPr>
          <w:trHeight w:val="420"/>
        </w:trPr>
        <w:tc>
          <w:tcPr>
            <w:tcW w:w="9338" w:type="dxa"/>
            <w:gridSpan w:val="4"/>
            <w:tcBorders>
              <w:top w:val="single" w:sz="6" w:space="0" w:color="3E3E3F"/>
              <w:left w:val="single" w:sz="6" w:space="0" w:color="3E3E3F"/>
              <w:bottom w:val="single" w:sz="6" w:space="0" w:color="3E3E3F"/>
              <w:right w:val="single" w:sz="6" w:space="0" w:color="3E3E3F"/>
            </w:tcBorders>
            <w:shd w:val="clear" w:color="auto" w:fill="auto"/>
          </w:tcPr>
          <w:p w14:paraId="0E4930B3" w14:textId="2918D7C6" w:rsidR="00BD05B7" w:rsidRPr="005E4BF5" w:rsidRDefault="00BD05B7" w:rsidP="00BD05B7">
            <w:pPr>
              <w:suppressAutoHyphens w:val="0"/>
              <w:rPr>
                <w:b/>
                <w:bCs/>
                <w:lang w:eastAsia="fr-FR"/>
              </w:rPr>
            </w:pPr>
            <w:r w:rsidRPr="005E4BF5">
              <w:rPr>
                <w:b/>
                <w:bCs/>
                <w:lang w:eastAsia="fr-FR"/>
              </w:rPr>
              <w:t>A-Nomenclature des installations classées</w:t>
            </w:r>
          </w:p>
        </w:tc>
      </w:tr>
      <w:tr w:rsidR="00BD05B7" w:rsidRPr="005E4BF5" w14:paraId="75B16EDB" w14:textId="77777777" w:rsidTr="00FA094B">
        <w:tc>
          <w:tcPr>
            <w:tcW w:w="701" w:type="dxa"/>
            <w:tcBorders>
              <w:top w:val="single" w:sz="6" w:space="0" w:color="3E3E3F"/>
              <w:left w:val="single" w:sz="6" w:space="0" w:color="3E3E3F"/>
              <w:bottom w:val="single" w:sz="4" w:space="0" w:color="auto"/>
              <w:right w:val="single" w:sz="6" w:space="0" w:color="3E3E3F"/>
            </w:tcBorders>
            <w:shd w:val="clear" w:color="auto" w:fill="auto"/>
            <w:vAlign w:val="center"/>
          </w:tcPr>
          <w:p w14:paraId="5E2A73FD" w14:textId="686B0F99" w:rsidR="00BD05B7" w:rsidRPr="005E4BF5" w:rsidRDefault="00BD05B7" w:rsidP="00BD05B7">
            <w:pPr>
              <w:suppressAutoHyphens w:val="0"/>
              <w:rPr>
                <w:lang w:eastAsia="fr-FR"/>
              </w:rPr>
            </w:pPr>
            <w:r>
              <w:rPr>
                <w:lang w:eastAsia="fr-FR"/>
              </w:rPr>
              <w:t>N°</w:t>
            </w:r>
          </w:p>
        </w:tc>
        <w:tc>
          <w:tcPr>
            <w:tcW w:w="7376" w:type="dxa"/>
            <w:tcBorders>
              <w:top w:val="single" w:sz="6" w:space="0" w:color="3E3E3F"/>
              <w:left w:val="single" w:sz="6" w:space="0" w:color="3E3E3F"/>
              <w:bottom w:val="single" w:sz="4" w:space="0" w:color="auto"/>
              <w:right w:val="single" w:sz="6" w:space="0" w:color="3E3E3F"/>
            </w:tcBorders>
            <w:shd w:val="clear" w:color="auto" w:fill="auto"/>
            <w:tcMar>
              <w:top w:w="75" w:type="dxa"/>
              <w:left w:w="75" w:type="dxa"/>
              <w:bottom w:w="75" w:type="dxa"/>
              <w:right w:w="75" w:type="dxa"/>
            </w:tcMar>
            <w:vAlign w:val="center"/>
            <w:hideMark/>
          </w:tcPr>
          <w:p w14:paraId="676C12CD" w14:textId="49550841" w:rsidR="00BD05B7" w:rsidRPr="005E4BF5" w:rsidRDefault="00BD05B7" w:rsidP="00BD05B7">
            <w:pPr>
              <w:suppressAutoHyphens w:val="0"/>
              <w:rPr>
                <w:lang w:eastAsia="fr-FR"/>
              </w:rPr>
            </w:pPr>
            <w:r w:rsidRPr="005E4BF5">
              <w:rPr>
                <w:lang w:eastAsia="fr-FR"/>
              </w:rPr>
              <w:t>Désignation de la rubrique</w:t>
            </w:r>
          </w:p>
        </w:tc>
        <w:tc>
          <w:tcPr>
            <w:tcW w:w="484" w:type="dxa"/>
            <w:tcBorders>
              <w:top w:val="single" w:sz="6" w:space="0" w:color="3E3E3F"/>
              <w:left w:val="single" w:sz="6" w:space="0" w:color="3E3E3F"/>
              <w:bottom w:val="single" w:sz="4" w:space="0" w:color="auto"/>
              <w:right w:val="single" w:sz="6" w:space="0" w:color="3E3E3F"/>
            </w:tcBorders>
            <w:shd w:val="clear" w:color="auto" w:fill="auto"/>
            <w:tcMar>
              <w:top w:w="75" w:type="dxa"/>
              <w:left w:w="75" w:type="dxa"/>
              <w:bottom w:w="75" w:type="dxa"/>
              <w:right w:w="75" w:type="dxa"/>
            </w:tcMar>
            <w:vAlign w:val="center"/>
            <w:hideMark/>
          </w:tcPr>
          <w:p w14:paraId="381A3B08" w14:textId="77777777" w:rsidR="00BD05B7" w:rsidRPr="005E4BF5" w:rsidRDefault="00BD05B7" w:rsidP="00BD05B7">
            <w:pPr>
              <w:suppressAutoHyphens w:val="0"/>
              <w:rPr>
                <w:lang w:eastAsia="fr-FR"/>
              </w:rPr>
            </w:pPr>
            <w:r w:rsidRPr="005E4BF5">
              <w:rPr>
                <w:lang w:eastAsia="fr-FR"/>
              </w:rPr>
              <w:t>A, E, D, C</w:t>
            </w:r>
            <w:r w:rsidRPr="005E4BF5">
              <w:rPr>
                <w:lang w:eastAsia="fr-FR"/>
              </w:rPr>
              <w:br/>
            </w:r>
            <w:r w:rsidRPr="005E4BF5">
              <w:rPr>
                <w:i/>
                <w:iCs/>
                <w:lang w:eastAsia="fr-FR"/>
              </w:rPr>
              <w:t>(1)</w:t>
            </w:r>
          </w:p>
        </w:tc>
        <w:tc>
          <w:tcPr>
            <w:tcW w:w="777" w:type="dxa"/>
            <w:tcBorders>
              <w:top w:val="single" w:sz="6" w:space="0" w:color="3E3E3F"/>
              <w:left w:val="single" w:sz="6" w:space="0" w:color="3E3E3F"/>
              <w:bottom w:val="single" w:sz="4" w:space="0" w:color="auto"/>
              <w:right w:val="single" w:sz="6" w:space="0" w:color="3E3E3F"/>
            </w:tcBorders>
            <w:shd w:val="clear" w:color="auto" w:fill="auto"/>
            <w:tcMar>
              <w:top w:w="75" w:type="dxa"/>
              <w:left w:w="75" w:type="dxa"/>
              <w:bottom w:w="75" w:type="dxa"/>
              <w:right w:w="75" w:type="dxa"/>
            </w:tcMar>
            <w:vAlign w:val="center"/>
            <w:hideMark/>
          </w:tcPr>
          <w:p w14:paraId="615785B6" w14:textId="77777777" w:rsidR="00BD05B7" w:rsidRPr="005E4BF5" w:rsidRDefault="00BD05B7" w:rsidP="00BD05B7">
            <w:pPr>
              <w:suppressAutoHyphens w:val="0"/>
              <w:rPr>
                <w:lang w:eastAsia="fr-FR"/>
              </w:rPr>
            </w:pPr>
            <w:r w:rsidRPr="005E4BF5">
              <w:rPr>
                <w:lang w:eastAsia="fr-FR"/>
              </w:rPr>
              <w:t>Rayon</w:t>
            </w:r>
            <w:r w:rsidRPr="005E4BF5">
              <w:rPr>
                <w:lang w:eastAsia="fr-FR"/>
              </w:rPr>
              <w:br/>
            </w:r>
            <w:r w:rsidRPr="005E4BF5">
              <w:rPr>
                <w:i/>
                <w:iCs/>
                <w:lang w:eastAsia="fr-FR"/>
              </w:rPr>
              <w:t>(2)</w:t>
            </w:r>
          </w:p>
        </w:tc>
      </w:tr>
      <w:tr w:rsidR="00804C35" w:rsidRPr="00DB0FFC" w14:paraId="3884C2EC" w14:textId="77777777" w:rsidTr="00FA094B">
        <w:tc>
          <w:tcPr>
            <w:tcW w:w="701" w:type="dxa"/>
            <w:tcBorders>
              <w:top w:val="single" w:sz="4" w:space="0" w:color="auto"/>
              <w:left w:val="single" w:sz="4" w:space="0" w:color="auto"/>
              <w:bottom w:val="nil"/>
              <w:right w:val="single" w:sz="4" w:space="0" w:color="auto"/>
            </w:tcBorders>
            <w:shd w:val="clear" w:color="auto" w:fill="auto"/>
            <w:vAlign w:val="center"/>
          </w:tcPr>
          <w:p w14:paraId="18C1F9AF" w14:textId="79CE9744" w:rsidR="00BD05B7" w:rsidRPr="005E4BF5" w:rsidRDefault="00BD05B7" w:rsidP="00BD05B7">
            <w:pPr>
              <w:suppressAutoHyphens w:val="0"/>
              <w:jc w:val="both"/>
              <w:rPr>
                <w:lang w:eastAsia="fr-FR"/>
              </w:rPr>
            </w:pPr>
            <w:r>
              <w:rPr>
                <w:lang w:eastAsia="fr-FR"/>
              </w:rPr>
              <w:t>2910</w:t>
            </w:r>
          </w:p>
        </w:tc>
        <w:tc>
          <w:tcPr>
            <w:tcW w:w="7376" w:type="dxa"/>
            <w:tcBorders>
              <w:top w:val="single" w:sz="4" w:space="0" w:color="auto"/>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3EA28973" w14:textId="1DB08A9A" w:rsidR="00BD05B7" w:rsidRPr="005E4BF5" w:rsidRDefault="00BD05B7" w:rsidP="00BD05B7">
            <w:pPr>
              <w:suppressAutoHyphens w:val="0"/>
              <w:jc w:val="both"/>
              <w:rPr>
                <w:lang w:eastAsia="fr-FR"/>
              </w:rPr>
            </w:pPr>
            <w:r w:rsidRPr="005E4BF5">
              <w:rPr>
                <w:lang w:eastAsia="fr-FR"/>
              </w:rPr>
              <w:t>Combustion à l'exclusion des activités visées par les rubriques 2770, </w:t>
            </w:r>
            <w:hyperlink r:id="rId7" w:tooltip="2771. Installation de traitement thermique de déchets non dangereux, à l'exclusion des installations visées à la rubrique 2971 et des installations consommant comme déchets uniquement des déchets répondant à la définition de biomasse au sens de la rubrique 291" w:history="1">
              <w:r w:rsidRPr="005E4BF5">
                <w:rPr>
                  <w:lang w:eastAsia="fr-FR"/>
                </w:rPr>
                <w:t>2771</w:t>
              </w:r>
            </w:hyperlink>
            <w:r w:rsidRPr="005E4BF5">
              <w:rPr>
                <w:lang w:eastAsia="fr-FR"/>
              </w:rPr>
              <w:t>, </w:t>
            </w:r>
            <w:hyperlink r:id="rId8" w:tooltip="2971. Installation de production de chaleur ou d'électricité à partir de déchets non dangereux préparés sous forme de combustibles solides de récupération dans une installation prévue à cet effet, associés ou non à un autre combustible" w:history="1">
              <w:r w:rsidRPr="005E4BF5">
                <w:rPr>
                  <w:lang w:eastAsia="fr-FR"/>
                </w:rPr>
                <w:t>2971</w:t>
              </w:r>
            </w:hyperlink>
            <w:r w:rsidRPr="005E4BF5">
              <w:rPr>
                <w:lang w:eastAsia="fr-FR"/>
              </w:rPr>
              <w:t> ou </w:t>
            </w:r>
            <w:hyperlink r:id="rId9" w:tooltip="2931. Ateliers d'essais sur banc de moteurs à explosion, à combustion interne ou à réaction, turbines à combustion" w:history="1">
              <w:r w:rsidRPr="005E4BF5">
                <w:rPr>
                  <w:lang w:eastAsia="fr-FR"/>
                </w:rPr>
                <w:t>2931</w:t>
              </w:r>
            </w:hyperlink>
            <w:r w:rsidRPr="005E4BF5">
              <w:rPr>
                <w:lang w:eastAsia="fr-FR"/>
              </w:rPr>
              <w:t> et des installations classées au titre de </w:t>
            </w:r>
            <w:hyperlink r:id="rId10" w:tooltip="3110. Combustion" w:history="1">
              <w:r w:rsidRPr="005E4BF5">
                <w:rPr>
                  <w:lang w:eastAsia="fr-FR"/>
                </w:rPr>
                <w:t>la rubrique 3110</w:t>
              </w:r>
            </w:hyperlink>
            <w:r w:rsidRPr="005E4BF5">
              <w:rPr>
                <w:lang w:eastAsia="fr-FR"/>
              </w:rPr>
              <w:t> ou au titre d'autres rubriques de la nomenclature pour lesquelles la combustion participe à la fusion, la cuisson ou au traitement, en mélange avec les gaz de combustion, des matières entrantes</w:t>
            </w:r>
          </w:p>
        </w:tc>
        <w:tc>
          <w:tcPr>
            <w:tcW w:w="484" w:type="dxa"/>
            <w:tcBorders>
              <w:top w:val="single" w:sz="4" w:space="0" w:color="auto"/>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7C7FD272" w14:textId="77777777" w:rsidR="00BD05B7" w:rsidRPr="005E4BF5" w:rsidRDefault="00BD05B7" w:rsidP="00BD05B7">
            <w:pPr>
              <w:suppressAutoHyphens w:val="0"/>
              <w:rPr>
                <w:lang w:eastAsia="fr-FR"/>
              </w:rPr>
            </w:pPr>
            <w:r w:rsidRPr="005E4BF5">
              <w:rPr>
                <w:lang w:eastAsia="fr-FR"/>
              </w:rPr>
              <w:t> </w:t>
            </w:r>
          </w:p>
        </w:tc>
        <w:tc>
          <w:tcPr>
            <w:tcW w:w="777" w:type="dxa"/>
            <w:tcBorders>
              <w:top w:val="single" w:sz="4" w:space="0" w:color="auto"/>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4EB95F2B" w14:textId="77777777" w:rsidR="00BD05B7" w:rsidRPr="005E4BF5" w:rsidRDefault="00BD05B7" w:rsidP="00BD05B7">
            <w:pPr>
              <w:suppressAutoHyphens w:val="0"/>
              <w:rPr>
                <w:lang w:eastAsia="fr-FR"/>
              </w:rPr>
            </w:pPr>
            <w:r w:rsidRPr="005E4BF5">
              <w:rPr>
                <w:lang w:eastAsia="fr-FR"/>
              </w:rPr>
              <w:t> </w:t>
            </w:r>
          </w:p>
        </w:tc>
      </w:tr>
      <w:tr w:rsidR="00804C35" w:rsidRPr="00DB0FFC" w14:paraId="749D80A7" w14:textId="77777777" w:rsidTr="00FA094B">
        <w:tc>
          <w:tcPr>
            <w:tcW w:w="701" w:type="dxa"/>
            <w:tcBorders>
              <w:top w:val="nil"/>
              <w:left w:val="single" w:sz="4" w:space="0" w:color="auto"/>
              <w:bottom w:val="nil"/>
              <w:right w:val="single" w:sz="4" w:space="0" w:color="auto"/>
            </w:tcBorders>
            <w:shd w:val="clear" w:color="auto" w:fill="auto"/>
          </w:tcPr>
          <w:p w14:paraId="2CAD50F2" w14:textId="77777777" w:rsidR="00BD05B7" w:rsidRPr="005E4BF5" w:rsidRDefault="00BD05B7" w:rsidP="00BD05B7">
            <w:pPr>
              <w:suppressAutoHyphens w:val="0"/>
              <w:jc w:val="both"/>
              <w:rPr>
                <w:lang w:eastAsia="fr-FR"/>
              </w:rPr>
            </w:pPr>
          </w:p>
        </w:tc>
        <w:tc>
          <w:tcPr>
            <w:tcW w:w="7376"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4436125C" w14:textId="57C7AC0C" w:rsidR="00BD05B7" w:rsidRPr="005E4BF5" w:rsidRDefault="00BD05B7" w:rsidP="00BD05B7">
            <w:pPr>
              <w:suppressAutoHyphens w:val="0"/>
              <w:jc w:val="both"/>
              <w:rPr>
                <w:lang w:eastAsia="fr-FR"/>
              </w:rPr>
            </w:pPr>
            <w:r w:rsidRPr="005E4BF5">
              <w:rPr>
                <w:lang w:eastAsia="fr-FR"/>
              </w:rPr>
              <w:t>A. Lorsque sont consommés exclusivement, seuls ou en mélange, du gaz naturel, des gaz de pétrole liquéfiés, du biométhane, du fioul domestique, du charbon, des fiouls lourds, de la biomasse telle que définie au a) ou au b) i) ou au b) iv) de la définition de la biomasse, des produits connexes de scierie et des chutes du travail mécanique de bois brut relevant du b) v) de la définition de la biomasse, de la biomasse issue de déchets au sens de </w:t>
            </w:r>
            <w:hyperlink r:id="rId11" w:anchor="Article_L._541-4-3" w:tooltip="Livre V : Prévention des pollutions, des risques et des nuisances (Partie législative)" w:history="1">
              <w:r w:rsidRPr="005E4BF5">
                <w:rPr>
                  <w:lang w:eastAsia="fr-FR"/>
                </w:rPr>
                <w:t>l'article L. 541-4-3 du code de l'environnement</w:t>
              </w:r>
            </w:hyperlink>
            <w:r w:rsidRPr="005E4BF5">
              <w:rPr>
                <w:lang w:eastAsia="fr-FR"/>
              </w:rPr>
              <w:t>, du biogaz provenant d'installations classées sous </w:t>
            </w:r>
            <w:hyperlink r:id="rId12" w:tooltip="2781. Installation de méthanisation de déchets non dangereux ou de matière végétale brute, à l'exclusion des installations de méthanisation d'eaux usées ou de boues d'épuration urbaines lorsqu'elles sont méthanisées sur leur site de production" w:history="1">
              <w:r w:rsidRPr="005E4BF5">
                <w:rPr>
                  <w:lang w:eastAsia="fr-FR"/>
                </w:rPr>
                <w:t>la rubrique 2781-1</w:t>
              </w:r>
            </w:hyperlink>
            <w:r w:rsidRPr="005E4BF5">
              <w:rPr>
                <w:lang w:eastAsia="fr-FR"/>
              </w:rPr>
              <w:t xml:space="preserve">, </w:t>
            </w:r>
            <w:r w:rsidRPr="00DB0FFC">
              <w:rPr>
                <w:lang w:eastAsia="fr-FR"/>
              </w:rPr>
              <w:t xml:space="preserve">des esters méthyliques d’acides gras fabriqués à partir d’huiles végétales, ou des alcanes obtenus par hydrotraitement d’huiles végétales, d’huiles </w:t>
            </w:r>
            <w:r w:rsidR="006F1996">
              <w:rPr>
                <w:lang w:eastAsia="fr-FR"/>
              </w:rPr>
              <w:t>alimentaires usagées</w:t>
            </w:r>
            <w:r w:rsidRPr="00DB0FFC">
              <w:rPr>
                <w:lang w:eastAsia="fr-FR"/>
              </w:rPr>
              <w:t xml:space="preserve"> ou de graisses animales, </w:t>
            </w:r>
            <w:r w:rsidRPr="005E4BF5">
              <w:rPr>
                <w:lang w:eastAsia="fr-FR"/>
              </w:rPr>
              <w:t>si la puissance thermique nominale totale de l'installation de combustion (*) est :</w:t>
            </w:r>
          </w:p>
        </w:tc>
        <w:tc>
          <w:tcPr>
            <w:tcW w:w="484"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696B34AD" w14:textId="77777777" w:rsidR="00BD05B7" w:rsidRPr="005E4BF5" w:rsidRDefault="00BD05B7" w:rsidP="00BD05B7">
            <w:pPr>
              <w:suppressAutoHyphens w:val="0"/>
              <w:rPr>
                <w:lang w:eastAsia="fr-FR"/>
              </w:rPr>
            </w:pPr>
            <w:r w:rsidRPr="005E4BF5">
              <w:rPr>
                <w:lang w:eastAsia="fr-FR"/>
              </w:rPr>
              <w:t> </w:t>
            </w:r>
          </w:p>
        </w:tc>
        <w:tc>
          <w:tcPr>
            <w:tcW w:w="777"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50D0C835" w14:textId="77777777" w:rsidR="00BD05B7" w:rsidRPr="005E4BF5" w:rsidRDefault="00BD05B7" w:rsidP="00BD05B7">
            <w:pPr>
              <w:suppressAutoHyphens w:val="0"/>
              <w:rPr>
                <w:lang w:eastAsia="fr-FR"/>
              </w:rPr>
            </w:pPr>
            <w:r w:rsidRPr="005E4BF5">
              <w:rPr>
                <w:lang w:eastAsia="fr-FR"/>
              </w:rPr>
              <w:t> </w:t>
            </w:r>
          </w:p>
        </w:tc>
      </w:tr>
      <w:tr w:rsidR="00804C35" w:rsidRPr="00DB0FFC" w14:paraId="7994804E" w14:textId="77777777" w:rsidTr="00FA094B">
        <w:tc>
          <w:tcPr>
            <w:tcW w:w="701" w:type="dxa"/>
            <w:tcBorders>
              <w:top w:val="nil"/>
              <w:left w:val="single" w:sz="4" w:space="0" w:color="auto"/>
              <w:bottom w:val="nil"/>
              <w:right w:val="single" w:sz="4" w:space="0" w:color="auto"/>
            </w:tcBorders>
            <w:shd w:val="clear" w:color="auto" w:fill="auto"/>
          </w:tcPr>
          <w:p w14:paraId="7D64E2F0" w14:textId="77777777" w:rsidR="00BD05B7" w:rsidRPr="005E4BF5" w:rsidRDefault="00BD05B7" w:rsidP="00BD05B7">
            <w:pPr>
              <w:suppressAutoHyphens w:val="0"/>
              <w:jc w:val="both"/>
              <w:rPr>
                <w:lang w:eastAsia="fr-FR"/>
              </w:rPr>
            </w:pPr>
          </w:p>
        </w:tc>
        <w:tc>
          <w:tcPr>
            <w:tcW w:w="7376"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721D8100" w14:textId="100726B7" w:rsidR="00BD05B7" w:rsidRPr="005E4BF5" w:rsidRDefault="00BD05B7" w:rsidP="00BD05B7">
            <w:pPr>
              <w:suppressAutoHyphens w:val="0"/>
              <w:jc w:val="both"/>
              <w:rPr>
                <w:lang w:eastAsia="fr-FR"/>
              </w:rPr>
            </w:pPr>
            <w:r w:rsidRPr="005E4BF5">
              <w:rPr>
                <w:lang w:eastAsia="fr-FR"/>
              </w:rPr>
              <w:t>1. Supérieure ou égale à 20 MW, mais inférieure à 50 MW</w:t>
            </w:r>
          </w:p>
        </w:tc>
        <w:tc>
          <w:tcPr>
            <w:tcW w:w="484"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70EACFA3" w14:textId="77777777" w:rsidR="00BD05B7" w:rsidRPr="005E4BF5" w:rsidRDefault="00BD05B7" w:rsidP="00BD05B7">
            <w:pPr>
              <w:suppressAutoHyphens w:val="0"/>
              <w:rPr>
                <w:lang w:eastAsia="fr-FR"/>
              </w:rPr>
            </w:pPr>
            <w:r w:rsidRPr="005E4BF5">
              <w:rPr>
                <w:lang w:eastAsia="fr-FR"/>
              </w:rPr>
              <w:t>E</w:t>
            </w:r>
          </w:p>
        </w:tc>
        <w:tc>
          <w:tcPr>
            <w:tcW w:w="777"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7B2C9D1E" w14:textId="77777777" w:rsidR="00BD05B7" w:rsidRPr="005E4BF5" w:rsidRDefault="00BD05B7" w:rsidP="00BD05B7">
            <w:pPr>
              <w:suppressAutoHyphens w:val="0"/>
              <w:rPr>
                <w:lang w:eastAsia="fr-FR"/>
              </w:rPr>
            </w:pPr>
            <w:r w:rsidRPr="005E4BF5">
              <w:rPr>
                <w:lang w:eastAsia="fr-FR"/>
              </w:rPr>
              <w:t>-</w:t>
            </w:r>
          </w:p>
        </w:tc>
      </w:tr>
      <w:tr w:rsidR="00804C35" w:rsidRPr="00DB0FFC" w14:paraId="3BDF0661" w14:textId="77777777" w:rsidTr="00FA094B">
        <w:tc>
          <w:tcPr>
            <w:tcW w:w="701" w:type="dxa"/>
            <w:tcBorders>
              <w:top w:val="nil"/>
              <w:left w:val="single" w:sz="4" w:space="0" w:color="auto"/>
              <w:bottom w:val="nil"/>
              <w:right w:val="single" w:sz="4" w:space="0" w:color="auto"/>
            </w:tcBorders>
            <w:shd w:val="clear" w:color="auto" w:fill="auto"/>
          </w:tcPr>
          <w:p w14:paraId="4E1D7562" w14:textId="77777777" w:rsidR="00BD05B7" w:rsidRPr="005E4BF5" w:rsidRDefault="00BD05B7" w:rsidP="00BD05B7">
            <w:pPr>
              <w:suppressAutoHyphens w:val="0"/>
              <w:jc w:val="both"/>
              <w:rPr>
                <w:lang w:eastAsia="fr-FR"/>
              </w:rPr>
            </w:pPr>
          </w:p>
        </w:tc>
        <w:tc>
          <w:tcPr>
            <w:tcW w:w="7376"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34BC769B" w14:textId="226314B0" w:rsidR="00BD05B7" w:rsidRPr="005E4BF5" w:rsidRDefault="00BD05B7" w:rsidP="00BD05B7">
            <w:pPr>
              <w:suppressAutoHyphens w:val="0"/>
              <w:jc w:val="both"/>
              <w:rPr>
                <w:lang w:eastAsia="fr-FR"/>
              </w:rPr>
            </w:pPr>
            <w:r w:rsidRPr="005E4BF5">
              <w:rPr>
                <w:lang w:eastAsia="fr-FR"/>
              </w:rPr>
              <w:t>2. Supérieure ou égale à 1 MW, mais inférieure à 20 MW</w:t>
            </w:r>
          </w:p>
        </w:tc>
        <w:tc>
          <w:tcPr>
            <w:tcW w:w="484"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3D1EE8C8" w14:textId="77777777" w:rsidR="00BD05B7" w:rsidRPr="005E4BF5" w:rsidRDefault="00BD05B7" w:rsidP="00BD05B7">
            <w:pPr>
              <w:suppressAutoHyphens w:val="0"/>
              <w:rPr>
                <w:lang w:eastAsia="fr-FR"/>
              </w:rPr>
            </w:pPr>
            <w:r w:rsidRPr="005E4BF5">
              <w:rPr>
                <w:lang w:eastAsia="fr-FR"/>
              </w:rPr>
              <w:t>DC</w:t>
            </w:r>
          </w:p>
        </w:tc>
        <w:tc>
          <w:tcPr>
            <w:tcW w:w="777"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65D51DA4" w14:textId="77777777" w:rsidR="00BD05B7" w:rsidRPr="005E4BF5" w:rsidRDefault="00BD05B7" w:rsidP="00BD05B7">
            <w:pPr>
              <w:suppressAutoHyphens w:val="0"/>
              <w:rPr>
                <w:lang w:eastAsia="fr-FR"/>
              </w:rPr>
            </w:pPr>
            <w:r w:rsidRPr="005E4BF5">
              <w:rPr>
                <w:lang w:eastAsia="fr-FR"/>
              </w:rPr>
              <w:t>-</w:t>
            </w:r>
          </w:p>
        </w:tc>
      </w:tr>
      <w:tr w:rsidR="00804C35" w:rsidRPr="00DB0FFC" w14:paraId="491928EB" w14:textId="77777777" w:rsidTr="00FA094B">
        <w:tc>
          <w:tcPr>
            <w:tcW w:w="701" w:type="dxa"/>
            <w:tcBorders>
              <w:top w:val="nil"/>
              <w:left w:val="single" w:sz="4" w:space="0" w:color="auto"/>
              <w:bottom w:val="nil"/>
              <w:right w:val="single" w:sz="4" w:space="0" w:color="auto"/>
            </w:tcBorders>
            <w:shd w:val="clear" w:color="auto" w:fill="auto"/>
          </w:tcPr>
          <w:p w14:paraId="6C82E55D" w14:textId="77777777" w:rsidR="00BD05B7" w:rsidRPr="005E4BF5" w:rsidRDefault="00BD05B7" w:rsidP="00BD05B7">
            <w:pPr>
              <w:suppressAutoHyphens w:val="0"/>
              <w:jc w:val="both"/>
              <w:rPr>
                <w:lang w:eastAsia="fr-FR"/>
              </w:rPr>
            </w:pPr>
          </w:p>
        </w:tc>
        <w:tc>
          <w:tcPr>
            <w:tcW w:w="7376"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253C2099" w14:textId="5B2D1B73" w:rsidR="00BD05B7" w:rsidRPr="005E4BF5" w:rsidRDefault="00BD05B7" w:rsidP="00BD05B7">
            <w:pPr>
              <w:suppressAutoHyphens w:val="0"/>
              <w:jc w:val="both"/>
              <w:rPr>
                <w:lang w:eastAsia="fr-FR"/>
              </w:rPr>
            </w:pPr>
            <w:r w:rsidRPr="005E4BF5">
              <w:rPr>
                <w:lang w:eastAsia="fr-FR"/>
              </w:rPr>
              <w:t>B. Lorsque sont consommés seuls ou en mélange des produits différents de ceux visés en A, ou de la biomasse telle que définie au b) ii) ou au b) iii) ou au b) v) de la définition de la biomasse :</w:t>
            </w:r>
          </w:p>
        </w:tc>
        <w:tc>
          <w:tcPr>
            <w:tcW w:w="484"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0EBB5F08" w14:textId="77777777" w:rsidR="00BD05B7" w:rsidRPr="005E4BF5" w:rsidRDefault="00BD05B7" w:rsidP="00BD05B7">
            <w:pPr>
              <w:suppressAutoHyphens w:val="0"/>
              <w:rPr>
                <w:lang w:eastAsia="fr-FR"/>
              </w:rPr>
            </w:pPr>
            <w:r w:rsidRPr="005E4BF5">
              <w:rPr>
                <w:lang w:eastAsia="fr-FR"/>
              </w:rPr>
              <w:t> </w:t>
            </w:r>
          </w:p>
        </w:tc>
        <w:tc>
          <w:tcPr>
            <w:tcW w:w="777"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45397A64" w14:textId="77777777" w:rsidR="00BD05B7" w:rsidRPr="005E4BF5" w:rsidRDefault="00BD05B7" w:rsidP="00BD05B7">
            <w:pPr>
              <w:suppressAutoHyphens w:val="0"/>
              <w:rPr>
                <w:lang w:eastAsia="fr-FR"/>
              </w:rPr>
            </w:pPr>
            <w:r w:rsidRPr="005E4BF5">
              <w:rPr>
                <w:lang w:eastAsia="fr-FR"/>
              </w:rPr>
              <w:t> </w:t>
            </w:r>
          </w:p>
        </w:tc>
      </w:tr>
      <w:tr w:rsidR="00804C35" w:rsidRPr="00DB0FFC" w14:paraId="0F64159F" w14:textId="77777777" w:rsidTr="00FA094B">
        <w:tc>
          <w:tcPr>
            <w:tcW w:w="701" w:type="dxa"/>
            <w:tcBorders>
              <w:top w:val="nil"/>
              <w:left w:val="single" w:sz="4" w:space="0" w:color="auto"/>
              <w:bottom w:val="nil"/>
              <w:right w:val="single" w:sz="4" w:space="0" w:color="auto"/>
            </w:tcBorders>
            <w:shd w:val="clear" w:color="auto" w:fill="auto"/>
          </w:tcPr>
          <w:p w14:paraId="2204D5D6" w14:textId="77777777" w:rsidR="00BD05B7" w:rsidRPr="005E4BF5" w:rsidRDefault="00BD05B7" w:rsidP="00BD05B7">
            <w:pPr>
              <w:suppressAutoHyphens w:val="0"/>
              <w:jc w:val="both"/>
              <w:rPr>
                <w:lang w:eastAsia="fr-FR"/>
              </w:rPr>
            </w:pPr>
          </w:p>
        </w:tc>
        <w:tc>
          <w:tcPr>
            <w:tcW w:w="7376"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6B11F88A" w14:textId="74A611C6" w:rsidR="00BD05B7" w:rsidRPr="005E4BF5" w:rsidRDefault="00BD05B7" w:rsidP="00BD05B7">
            <w:pPr>
              <w:suppressAutoHyphens w:val="0"/>
              <w:jc w:val="both"/>
              <w:rPr>
                <w:lang w:eastAsia="fr-FR"/>
              </w:rPr>
            </w:pPr>
            <w:r w:rsidRPr="005E4BF5">
              <w:rPr>
                <w:lang w:eastAsia="fr-FR"/>
              </w:rPr>
              <w:t>1. Uniquement de la biomasse telle que définie au b) ii) ou au b) iii) ou au b) v) de la définition de la biomasse, le biogaz autre que celui visé en 2910-A, ou un produit autre que la biomasse issu de déchets au sens de </w:t>
            </w:r>
            <w:hyperlink r:id="rId13" w:anchor="Article_L._541-4-3" w:tooltip="Livre V : Prévention des pollutions, des risques et des nuisances (Partie législative)" w:history="1">
              <w:r w:rsidRPr="005E4BF5">
                <w:rPr>
                  <w:lang w:eastAsia="fr-FR"/>
                </w:rPr>
                <w:t>l'article L. 541-4-3 du code de l'environnement</w:t>
              </w:r>
            </w:hyperlink>
            <w:r w:rsidRPr="005E4BF5">
              <w:rPr>
                <w:lang w:eastAsia="fr-FR"/>
              </w:rPr>
              <w:t xml:space="preserve">, avec une puissance thermique nominale </w:t>
            </w:r>
            <w:r>
              <w:rPr>
                <w:lang w:eastAsia="fr-FR"/>
              </w:rPr>
              <w:t xml:space="preserve">totale de l’installation de combustion </w:t>
            </w:r>
            <w:r w:rsidRPr="005E4BF5">
              <w:rPr>
                <w:lang w:eastAsia="fr-FR"/>
              </w:rPr>
              <w:t>supérieure ou égale à 1 MW, mais inférieure à 50 MW</w:t>
            </w:r>
          </w:p>
        </w:tc>
        <w:tc>
          <w:tcPr>
            <w:tcW w:w="484"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2B78BE78" w14:textId="77777777" w:rsidR="00BD05B7" w:rsidRPr="005E4BF5" w:rsidRDefault="00BD05B7" w:rsidP="00BD05B7">
            <w:pPr>
              <w:suppressAutoHyphens w:val="0"/>
              <w:rPr>
                <w:lang w:eastAsia="fr-FR"/>
              </w:rPr>
            </w:pPr>
            <w:r w:rsidRPr="005E4BF5">
              <w:rPr>
                <w:lang w:eastAsia="fr-FR"/>
              </w:rPr>
              <w:t>E</w:t>
            </w:r>
          </w:p>
        </w:tc>
        <w:tc>
          <w:tcPr>
            <w:tcW w:w="777"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522FD0A4" w14:textId="77777777" w:rsidR="00BD05B7" w:rsidRPr="005E4BF5" w:rsidRDefault="00BD05B7" w:rsidP="00BD05B7">
            <w:pPr>
              <w:suppressAutoHyphens w:val="0"/>
              <w:rPr>
                <w:lang w:eastAsia="fr-FR"/>
              </w:rPr>
            </w:pPr>
            <w:r w:rsidRPr="005E4BF5">
              <w:rPr>
                <w:lang w:eastAsia="fr-FR"/>
              </w:rPr>
              <w:t>-</w:t>
            </w:r>
          </w:p>
        </w:tc>
      </w:tr>
      <w:tr w:rsidR="00804C35" w:rsidRPr="00DB0FFC" w14:paraId="4DC88FD8" w14:textId="77777777" w:rsidTr="00FA094B">
        <w:tc>
          <w:tcPr>
            <w:tcW w:w="701" w:type="dxa"/>
            <w:tcBorders>
              <w:top w:val="nil"/>
              <w:left w:val="single" w:sz="4" w:space="0" w:color="auto"/>
              <w:bottom w:val="nil"/>
              <w:right w:val="single" w:sz="4" w:space="0" w:color="auto"/>
            </w:tcBorders>
            <w:shd w:val="clear" w:color="auto" w:fill="auto"/>
          </w:tcPr>
          <w:p w14:paraId="5637CF40" w14:textId="77777777" w:rsidR="00BD05B7" w:rsidRPr="005E4BF5" w:rsidRDefault="00BD05B7" w:rsidP="00BD05B7">
            <w:pPr>
              <w:suppressAutoHyphens w:val="0"/>
              <w:jc w:val="both"/>
              <w:rPr>
                <w:lang w:eastAsia="fr-FR"/>
              </w:rPr>
            </w:pPr>
          </w:p>
        </w:tc>
        <w:tc>
          <w:tcPr>
            <w:tcW w:w="7376"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0A1B1F93" w14:textId="2E8C44CA" w:rsidR="00BD05B7" w:rsidRPr="005E4BF5" w:rsidRDefault="00BD05B7" w:rsidP="00BD05B7">
            <w:pPr>
              <w:suppressAutoHyphens w:val="0"/>
              <w:jc w:val="both"/>
              <w:rPr>
                <w:lang w:eastAsia="fr-FR"/>
              </w:rPr>
            </w:pPr>
            <w:r w:rsidRPr="005E4BF5">
              <w:rPr>
                <w:lang w:eastAsia="fr-FR"/>
              </w:rPr>
              <w:t xml:space="preserve">2. Des combustibles différents de ceux visés au point 1 ci-dessus, avec une puissance thermique nominale </w:t>
            </w:r>
            <w:r>
              <w:rPr>
                <w:lang w:eastAsia="fr-FR"/>
              </w:rPr>
              <w:t xml:space="preserve">totale de l’installation de combustion </w:t>
            </w:r>
            <w:r w:rsidRPr="005E4BF5">
              <w:rPr>
                <w:lang w:eastAsia="fr-FR"/>
              </w:rPr>
              <w:t>supérieure ou égale à 0,1 MW, mais inférieure à 50 MW</w:t>
            </w:r>
          </w:p>
        </w:tc>
        <w:tc>
          <w:tcPr>
            <w:tcW w:w="484"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4D96F82F" w14:textId="77777777" w:rsidR="00BD05B7" w:rsidRPr="005E4BF5" w:rsidRDefault="00BD05B7" w:rsidP="00BD05B7">
            <w:pPr>
              <w:suppressAutoHyphens w:val="0"/>
              <w:rPr>
                <w:lang w:eastAsia="fr-FR"/>
              </w:rPr>
            </w:pPr>
            <w:r w:rsidRPr="005E4BF5">
              <w:rPr>
                <w:lang w:eastAsia="fr-FR"/>
              </w:rPr>
              <w:t>A</w:t>
            </w:r>
          </w:p>
        </w:tc>
        <w:tc>
          <w:tcPr>
            <w:tcW w:w="777"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33BBFC3D" w14:textId="77777777" w:rsidR="00BD05B7" w:rsidRPr="005E4BF5" w:rsidRDefault="00BD05B7" w:rsidP="00BD05B7">
            <w:pPr>
              <w:suppressAutoHyphens w:val="0"/>
              <w:rPr>
                <w:lang w:eastAsia="fr-FR"/>
              </w:rPr>
            </w:pPr>
            <w:r w:rsidRPr="005E4BF5">
              <w:rPr>
                <w:lang w:eastAsia="fr-FR"/>
              </w:rPr>
              <w:t>3</w:t>
            </w:r>
          </w:p>
        </w:tc>
      </w:tr>
      <w:tr w:rsidR="00804C35" w:rsidRPr="00DB0FFC" w14:paraId="008419B6" w14:textId="77777777" w:rsidTr="00FA094B">
        <w:tc>
          <w:tcPr>
            <w:tcW w:w="701" w:type="dxa"/>
            <w:tcBorders>
              <w:top w:val="nil"/>
              <w:left w:val="single" w:sz="4" w:space="0" w:color="auto"/>
              <w:bottom w:val="nil"/>
              <w:right w:val="single" w:sz="4" w:space="0" w:color="auto"/>
            </w:tcBorders>
            <w:shd w:val="clear" w:color="auto" w:fill="auto"/>
          </w:tcPr>
          <w:p w14:paraId="1E8D8D6D" w14:textId="77777777" w:rsidR="00BD05B7" w:rsidRPr="005E4BF5" w:rsidRDefault="00BD05B7" w:rsidP="00BD05B7">
            <w:pPr>
              <w:suppressAutoHyphens w:val="0"/>
              <w:jc w:val="both"/>
              <w:rPr>
                <w:lang w:eastAsia="fr-FR"/>
              </w:rPr>
            </w:pPr>
          </w:p>
        </w:tc>
        <w:tc>
          <w:tcPr>
            <w:tcW w:w="7376"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059F2A59" w14:textId="3616AA3C" w:rsidR="00BD05B7" w:rsidRPr="005E4BF5" w:rsidRDefault="00BD05B7" w:rsidP="00BD05B7">
            <w:pPr>
              <w:suppressAutoHyphens w:val="0"/>
              <w:jc w:val="both"/>
              <w:rPr>
                <w:lang w:eastAsia="fr-FR"/>
              </w:rPr>
            </w:pPr>
            <w:r w:rsidRPr="005E4BF5">
              <w:rPr>
                <w:lang w:eastAsia="fr-FR"/>
              </w:rPr>
              <w:t>La puissance thermique nominale totale correspond à la somme des puissances thermiques des appareils de combustion pouvant fonctionner simultanément. Ces puissances sont fixées et garanties par le constructeur, exprimées en pouvoir calorifique inférieur et susceptibles d'être consommées en marche continue.</w:t>
            </w:r>
          </w:p>
        </w:tc>
        <w:tc>
          <w:tcPr>
            <w:tcW w:w="484"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46285D6A" w14:textId="77777777" w:rsidR="00BD05B7" w:rsidRPr="005E4BF5" w:rsidRDefault="00BD05B7" w:rsidP="00BD05B7">
            <w:pPr>
              <w:suppressAutoHyphens w:val="0"/>
              <w:rPr>
                <w:lang w:eastAsia="fr-FR"/>
              </w:rPr>
            </w:pPr>
            <w:r w:rsidRPr="005E4BF5">
              <w:rPr>
                <w:lang w:eastAsia="fr-FR"/>
              </w:rPr>
              <w:t> </w:t>
            </w:r>
          </w:p>
        </w:tc>
        <w:tc>
          <w:tcPr>
            <w:tcW w:w="777"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1594977B" w14:textId="77777777" w:rsidR="00BD05B7" w:rsidRPr="005E4BF5" w:rsidRDefault="00BD05B7" w:rsidP="00BD05B7">
            <w:pPr>
              <w:suppressAutoHyphens w:val="0"/>
              <w:rPr>
                <w:lang w:eastAsia="fr-FR"/>
              </w:rPr>
            </w:pPr>
            <w:r w:rsidRPr="005E4BF5">
              <w:rPr>
                <w:lang w:eastAsia="fr-FR"/>
              </w:rPr>
              <w:t> </w:t>
            </w:r>
          </w:p>
        </w:tc>
      </w:tr>
      <w:tr w:rsidR="00804C35" w:rsidRPr="00DB0FFC" w14:paraId="68A20C67" w14:textId="77777777" w:rsidTr="00FA094B">
        <w:tc>
          <w:tcPr>
            <w:tcW w:w="701" w:type="dxa"/>
            <w:tcBorders>
              <w:top w:val="nil"/>
              <w:left w:val="single" w:sz="4" w:space="0" w:color="auto"/>
              <w:bottom w:val="nil"/>
              <w:right w:val="single" w:sz="4" w:space="0" w:color="auto"/>
            </w:tcBorders>
            <w:shd w:val="clear" w:color="auto" w:fill="auto"/>
          </w:tcPr>
          <w:p w14:paraId="763718AC" w14:textId="77777777" w:rsidR="00BD05B7" w:rsidRPr="005E4BF5" w:rsidRDefault="00BD05B7" w:rsidP="00BD05B7">
            <w:pPr>
              <w:suppressAutoHyphens w:val="0"/>
              <w:jc w:val="both"/>
              <w:rPr>
                <w:lang w:eastAsia="fr-FR"/>
              </w:rPr>
            </w:pPr>
          </w:p>
        </w:tc>
        <w:tc>
          <w:tcPr>
            <w:tcW w:w="7376"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7CC02F68" w14:textId="377748F8" w:rsidR="00BD05B7" w:rsidRPr="005E4BF5" w:rsidRDefault="00BD05B7" w:rsidP="00BD05B7">
            <w:pPr>
              <w:suppressAutoHyphens w:val="0"/>
              <w:jc w:val="both"/>
              <w:rPr>
                <w:lang w:eastAsia="fr-FR"/>
              </w:rPr>
            </w:pPr>
            <w:r w:rsidRPr="005E4BF5">
              <w:rPr>
                <w:lang w:eastAsia="fr-FR"/>
              </w:rPr>
              <w:t>On entend par « biomasse », au sens de </w:t>
            </w:r>
            <w:hyperlink r:id="rId14" w:tooltip="2910. Combustion, à l'exclusion des installations visées par les rubriques 2770, 2771, 2971 ou 2931" w:history="1">
              <w:r w:rsidRPr="005E4BF5">
                <w:rPr>
                  <w:u w:val="single"/>
                  <w:lang w:eastAsia="fr-FR"/>
                </w:rPr>
                <w:t>la rubrique 2910</w:t>
              </w:r>
            </w:hyperlink>
            <w:r w:rsidRPr="005E4BF5">
              <w:rPr>
                <w:lang w:eastAsia="fr-FR"/>
              </w:rPr>
              <w:t> :</w:t>
            </w:r>
          </w:p>
        </w:tc>
        <w:tc>
          <w:tcPr>
            <w:tcW w:w="484"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73E79E1E" w14:textId="77777777" w:rsidR="00BD05B7" w:rsidRPr="005E4BF5" w:rsidRDefault="00BD05B7" w:rsidP="00BD05B7">
            <w:pPr>
              <w:suppressAutoHyphens w:val="0"/>
              <w:rPr>
                <w:lang w:eastAsia="fr-FR"/>
              </w:rPr>
            </w:pPr>
            <w:r w:rsidRPr="005E4BF5">
              <w:rPr>
                <w:lang w:eastAsia="fr-FR"/>
              </w:rPr>
              <w:t> </w:t>
            </w:r>
          </w:p>
        </w:tc>
        <w:tc>
          <w:tcPr>
            <w:tcW w:w="777"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17A9D020" w14:textId="77777777" w:rsidR="00BD05B7" w:rsidRPr="005E4BF5" w:rsidRDefault="00BD05B7" w:rsidP="00BD05B7">
            <w:pPr>
              <w:suppressAutoHyphens w:val="0"/>
              <w:rPr>
                <w:lang w:eastAsia="fr-FR"/>
              </w:rPr>
            </w:pPr>
            <w:r w:rsidRPr="005E4BF5">
              <w:rPr>
                <w:lang w:eastAsia="fr-FR"/>
              </w:rPr>
              <w:t> </w:t>
            </w:r>
          </w:p>
        </w:tc>
      </w:tr>
      <w:tr w:rsidR="00804C35" w:rsidRPr="00DB0FFC" w14:paraId="6DC59F71" w14:textId="77777777" w:rsidTr="00FA094B">
        <w:tc>
          <w:tcPr>
            <w:tcW w:w="701" w:type="dxa"/>
            <w:tcBorders>
              <w:top w:val="nil"/>
              <w:left w:val="single" w:sz="4" w:space="0" w:color="auto"/>
              <w:bottom w:val="nil"/>
              <w:right w:val="single" w:sz="4" w:space="0" w:color="auto"/>
            </w:tcBorders>
            <w:shd w:val="clear" w:color="auto" w:fill="auto"/>
          </w:tcPr>
          <w:p w14:paraId="203630B4" w14:textId="77777777" w:rsidR="00BD05B7" w:rsidRPr="005E4BF5" w:rsidRDefault="00BD05B7" w:rsidP="00BD05B7">
            <w:pPr>
              <w:suppressAutoHyphens w:val="0"/>
              <w:jc w:val="both"/>
              <w:rPr>
                <w:lang w:eastAsia="fr-FR"/>
              </w:rPr>
            </w:pPr>
          </w:p>
        </w:tc>
        <w:tc>
          <w:tcPr>
            <w:tcW w:w="7376"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66B7B639" w14:textId="3ABA82BC" w:rsidR="00BD05B7" w:rsidRPr="005E4BF5" w:rsidRDefault="00BD05B7" w:rsidP="00BD05B7">
            <w:pPr>
              <w:suppressAutoHyphens w:val="0"/>
              <w:jc w:val="both"/>
              <w:rPr>
                <w:lang w:eastAsia="fr-FR"/>
              </w:rPr>
            </w:pPr>
            <w:r w:rsidRPr="005E4BF5">
              <w:rPr>
                <w:lang w:eastAsia="fr-FR"/>
              </w:rPr>
              <w:t>a) Les produits composés d'une matière végétale agricole ou forestière susceptible d'être employée comme combustible en vue d'utiliser son contenu énergétique ;</w:t>
            </w:r>
          </w:p>
        </w:tc>
        <w:tc>
          <w:tcPr>
            <w:tcW w:w="484"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30D68FCF" w14:textId="77777777" w:rsidR="00BD05B7" w:rsidRPr="005E4BF5" w:rsidRDefault="00BD05B7" w:rsidP="00BD05B7">
            <w:pPr>
              <w:suppressAutoHyphens w:val="0"/>
              <w:rPr>
                <w:lang w:eastAsia="fr-FR"/>
              </w:rPr>
            </w:pPr>
            <w:r w:rsidRPr="005E4BF5">
              <w:rPr>
                <w:lang w:eastAsia="fr-FR"/>
              </w:rPr>
              <w:t> </w:t>
            </w:r>
          </w:p>
        </w:tc>
        <w:tc>
          <w:tcPr>
            <w:tcW w:w="777"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3257CFA4" w14:textId="77777777" w:rsidR="00BD05B7" w:rsidRPr="005E4BF5" w:rsidRDefault="00BD05B7" w:rsidP="00BD05B7">
            <w:pPr>
              <w:suppressAutoHyphens w:val="0"/>
              <w:rPr>
                <w:lang w:eastAsia="fr-FR"/>
              </w:rPr>
            </w:pPr>
            <w:r w:rsidRPr="005E4BF5">
              <w:rPr>
                <w:lang w:eastAsia="fr-FR"/>
              </w:rPr>
              <w:t> </w:t>
            </w:r>
          </w:p>
        </w:tc>
      </w:tr>
      <w:tr w:rsidR="00804C35" w:rsidRPr="00DB0FFC" w14:paraId="28F4F68F" w14:textId="77777777" w:rsidTr="00FA094B">
        <w:tc>
          <w:tcPr>
            <w:tcW w:w="701" w:type="dxa"/>
            <w:tcBorders>
              <w:top w:val="nil"/>
              <w:left w:val="single" w:sz="4" w:space="0" w:color="auto"/>
              <w:bottom w:val="nil"/>
              <w:right w:val="single" w:sz="4" w:space="0" w:color="auto"/>
            </w:tcBorders>
            <w:shd w:val="clear" w:color="auto" w:fill="auto"/>
          </w:tcPr>
          <w:p w14:paraId="7A3A89E0" w14:textId="77777777" w:rsidR="00BD05B7" w:rsidRPr="005E4BF5" w:rsidRDefault="00BD05B7" w:rsidP="00BD05B7">
            <w:pPr>
              <w:suppressAutoHyphens w:val="0"/>
              <w:jc w:val="both"/>
              <w:rPr>
                <w:lang w:eastAsia="fr-FR"/>
              </w:rPr>
            </w:pPr>
          </w:p>
        </w:tc>
        <w:tc>
          <w:tcPr>
            <w:tcW w:w="7376"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1AB01F62" w14:textId="59F72B07" w:rsidR="00BD05B7" w:rsidRPr="005E4BF5" w:rsidRDefault="00BD05B7" w:rsidP="00BD05B7">
            <w:pPr>
              <w:suppressAutoHyphens w:val="0"/>
              <w:jc w:val="both"/>
              <w:rPr>
                <w:lang w:eastAsia="fr-FR"/>
              </w:rPr>
            </w:pPr>
            <w:r w:rsidRPr="005E4BF5">
              <w:rPr>
                <w:lang w:eastAsia="fr-FR"/>
              </w:rPr>
              <w:t>b) Les déchets ci-après :</w:t>
            </w:r>
          </w:p>
        </w:tc>
        <w:tc>
          <w:tcPr>
            <w:tcW w:w="484"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71B0C2EC" w14:textId="77777777" w:rsidR="00BD05B7" w:rsidRPr="005E4BF5" w:rsidRDefault="00BD05B7" w:rsidP="00BD05B7">
            <w:pPr>
              <w:suppressAutoHyphens w:val="0"/>
              <w:rPr>
                <w:lang w:eastAsia="fr-FR"/>
              </w:rPr>
            </w:pPr>
            <w:r w:rsidRPr="005E4BF5">
              <w:rPr>
                <w:lang w:eastAsia="fr-FR"/>
              </w:rPr>
              <w:t> </w:t>
            </w:r>
          </w:p>
        </w:tc>
        <w:tc>
          <w:tcPr>
            <w:tcW w:w="777"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2532CD26" w14:textId="77777777" w:rsidR="00BD05B7" w:rsidRPr="005E4BF5" w:rsidRDefault="00BD05B7" w:rsidP="00BD05B7">
            <w:pPr>
              <w:suppressAutoHyphens w:val="0"/>
              <w:rPr>
                <w:lang w:eastAsia="fr-FR"/>
              </w:rPr>
            </w:pPr>
            <w:r w:rsidRPr="005E4BF5">
              <w:rPr>
                <w:lang w:eastAsia="fr-FR"/>
              </w:rPr>
              <w:t> </w:t>
            </w:r>
          </w:p>
        </w:tc>
      </w:tr>
      <w:tr w:rsidR="00804C35" w:rsidRPr="00DB0FFC" w14:paraId="19A74B5A" w14:textId="77777777" w:rsidTr="00FA094B">
        <w:tc>
          <w:tcPr>
            <w:tcW w:w="701" w:type="dxa"/>
            <w:tcBorders>
              <w:top w:val="nil"/>
              <w:left w:val="single" w:sz="4" w:space="0" w:color="auto"/>
              <w:bottom w:val="nil"/>
              <w:right w:val="single" w:sz="4" w:space="0" w:color="auto"/>
            </w:tcBorders>
            <w:shd w:val="clear" w:color="auto" w:fill="auto"/>
          </w:tcPr>
          <w:p w14:paraId="48DF7269" w14:textId="77777777" w:rsidR="00BD05B7" w:rsidRPr="005E4BF5" w:rsidRDefault="00BD05B7" w:rsidP="00BD05B7">
            <w:pPr>
              <w:suppressAutoHyphens w:val="0"/>
              <w:jc w:val="both"/>
              <w:rPr>
                <w:lang w:eastAsia="fr-FR"/>
              </w:rPr>
            </w:pPr>
          </w:p>
        </w:tc>
        <w:tc>
          <w:tcPr>
            <w:tcW w:w="7376"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17083FFC" w14:textId="32C84A84" w:rsidR="00BD05B7" w:rsidRPr="005E4BF5" w:rsidRDefault="00BD05B7" w:rsidP="00BD05B7">
            <w:pPr>
              <w:suppressAutoHyphens w:val="0"/>
              <w:jc w:val="both"/>
              <w:rPr>
                <w:lang w:eastAsia="fr-FR"/>
              </w:rPr>
            </w:pPr>
            <w:r w:rsidRPr="005E4BF5">
              <w:rPr>
                <w:lang w:eastAsia="fr-FR"/>
              </w:rPr>
              <w:t>i) Déchets végétaux agricoles et forestiers ;</w:t>
            </w:r>
          </w:p>
        </w:tc>
        <w:tc>
          <w:tcPr>
            <w:tcW w:w="484"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328B54B4" w14:textId="77777777" w:rsidR="00BD05B7" w:rsidRPr="005E4BF5" w:rsidRDefault="00BD05B7" w:rsidP="00BD05B7">
            <w:pPr>
              <w:suppressAutoHyphens w:val="0"/>
              <w:rPr>
                <w:lang w:eastAsia="fr-FR"/>
              </w:rPr>
            </w:pPr>
            <w:r w:rsidRPr="005E4BF5">
              <w:rPr>
                <w:lang w:eastAsia="fr-FR"/>
              </w:rPr>
              <w:t> </w:t>
            </w:r>
          </w:p>
        </w:tc>
        <w:tc>
          <w:tcPr>
            <w:tcW w:w="777"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263D5309" w14:textId="77777777" w:rsidR="00BD05B7" w:rsidRPr="005E4BF5" w:rsidRDefault="00BD05B7" w:rsidP="00BD05B7">
            <w:pPr>
              <w:suppressAutoHyphens w:val="0"/>
              <w:rPr>
                <w:lang w:eastAsia="fr-FR"/>
              </w:rPr>
            </w:pPr>
            <w:r w:rsidRPr="005E4BF5">
              <w:rPr>
                <w:lang w:eastAsia="fr-FR"/>
              </w:rPr>
              <w:t> </w:t>
            </w:r>
          </w:p>
        </w:tc>
      </w:tr>
      <w:tr w:rsidR="00804C35" w:rsidRPr="00DB0FFC" w14:paraId="27D0543B" w14:textId="77777777" w:rsidTr="00FA094B">
        <w:tc>
          <w:tcPr>
            <w:tcW w:w="701" w:type="dxa"/>
            <w:tcBorders>
              <w:top w:val="nil"/>
              <w:left w:val="single" w:sz="4" w:space="0" w:color="auto"/>
              <w:bottom w:val="nil"/>
              <w:right w:val="single" w:sz="4" w:space="0" w:color="auto"/>
            </w:tcBorders>
            <w:shd w:val="clear" w:color="auto" w:fill="auto"/>
          </w:tcPr>
          <w:p w14:paraId="6D44EFA0" w14:textId="77777777" w:rsidR="00BD05B7" w:rsidRPr="005E4BF5" w:rsidRDefault="00BD05B7" w:rsidP="00BD05B7">
            <w:pPr>
              <w:suppressAutoHyphens w:val="0"/>
              <w:jc w:val="both"/>
              <w:rPr>
                <w:lang w:eastAsia="fr-FR"/>
              </w:rPr>
            </w:pPr>
          </w:p>
        </w:tc>
        <w:tc>
          <w:tcPr>
            <w:tcW w:w="7376"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72757C65" w14:textId="3F34F26C" w:rsidR="00BD05B7" w:rsidRPr="005E4BF5" w:rsidRDefault="00BD05B7" w:rsidP="00BD05B7">
            <w:pPr>
              <w:suppressAutoHyphens w:val="0"/>
              <w:jc w:val="both"/>
              <w:rPr>
                <w:lang w:eastAsia="fr-FR"/>
              </w:rPr>
            </w:pPr>
            <w:r w:rsidRPr="005E4BF5">
              <w:rPr>
                <w:lang w:eastAsia="fr-FR"/>
              </w:rPr>
              <w:t>ii) Déchets végétaux provenant du secteur industriel de la transformation alimentaire, si la chaleur produite est valorisée ;</w:t>
            </w:r>
          </w:p>
        </w:tc>
        <w:tc>
          <w:tcPr>
            <w:tcW w:w="484"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20322634" w14:textId="77777777" w:rsidR="00BD05B7" w:rsidRPr="005E4BF5" w:rsidRDefault="00BD05B7" w:rsidP="00BD05B7">
            <w:pPr>
              <w:suppressAutoHyphens w:val="0"/>
              <w:rPr>
                <w:lang w:eastAsia="fr-FR"/>
              </w:rPr>
            </w:pPr>
            <w:r w:rsidRPr="005E4BF5">
              <w:rPr>
                <w:lang w:eastAsia="fr-FR"/>
              </w:rPr>
              <w:t> </w:t>
            </w:r>
          </w:p>
        </w:tc>
        <w:tc>
          <w:tcPr>
            <w:tcW w:w="777"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3EF067F1" w14:textId="77777777" w:rsidR="00BD05B7" w:rsidRPr="005E4BF5" w:rsidRDefault="00BD05B7" w:rsidP="00BD05B7">
            <w:pPr>
              <w:suppressAutoHyphens w:val="0"/>
              <w:rPr>
                <w:lang w:eastAsia="fr-FR"/>
              </w:rPr>
            </w:pPr>
            <w:r w:rsidRPr="005E4BF5">
              <w:rPr>
                <w:lang w:eastAsia="fr-FR"/>
              </w:rPr>
              <w:t> </w:t>
            </w:r>
          </w:p>
        </w:tc>
      </w:tr>
      <w:tr w:rsidR="00804C35" w:rsidRPr="00DB0FFC" w14:paraId="12011645" w14:textId="77777777" w:rsidTr="00FA094B">
        <w:tc>
          <w:tcPr>
            <w:tcW w:w="701" w:type="dxa"/>
            <w:tcBorders>
              <w:top w:val="nil"/>
              <w:left w:val="single" w:sz="4" w:space="0" w:color="auto"/>
              <w:bottom w:val="nil"/>
              <w:right w:val="single" w:sz="4" w:space="0" w:color="auto"/>
            </w:tcBorders>
            <w:shd w:val="clear" w:color="auto" w:fill="auto"/>
          </w:tcPr>
          <w:p w14:paraId="71F266D2" w14:textId="77777777" w:rsidR="00BD05B7" w:rsidRPr="005E4BF5" w:rsidRDefault="00BD05B7" w:rsidP="00BD05B7">
            <w:pPr>
              <w:suppressAutoHyphens w:val="0"/>
              <w:jc w:val="both"/>
              <w:rPr>
                <w:lang w:eastAsia="fr-FR"/>
              </w:rPr>
            </w:pPr>
          </w:p>
        </w:tc>
        <w:tc>
          <w:tcPr>
            <w:tcW w:w="7376"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63B5740D" w14:textId="08A9B787" w:rsidR="00BD05B7" w:rsidRPr="005E4BF5" w:rsidRDefault="00BD05B7" w:rsidP="00BD05B7">
            <w:pPr>
              <w:suppressAutoHyphens w:val="0"/>
              <w:jc w:val="both"/>
              <w:rPr>
                <w:lang w:eastAsia="fr-FR"/>
              </w:rPr>
            </w:pPr>
            <w:r w:rsidRPr="005E4BF5">
              <w:rPr>
                <w:lang w:eastAsia="fr-FR"/>
              </w:rPr>
              <w:t>iii) Déchets végétaux fibreux issus de la production de pâte vierge et de la production de papier à partir de pâte, s'ils sont coincinérés sur le lieu de production et si la chaleur produite est valorisée ;</w:t>
            </w:r>
          </w:p>
        </w:tc>
        <w:tc>
          <w:tcPr>
            <w:tcW w:w="484"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4332113B" w14:textId="77777777" w:rsidR="00BD05B7" w:rsidRPr="005E4BF5" w:rsidRDefault="00BD05B7" w:rsidP="00BD05B7">
            <w:pPr>
              <w:suppressAutoHyphens w:val="0"/>
              <w:rPr>
                <w:lang w:eastAsia="fr-FR"/>
              </w:rPr>
            </w:pPr>
            <w:r w:rsidRPr="005E4BF5">
              <w:rPr>
                <w:lang w:eastAsia="fr-FR"/>
              </w:rPr>
              <w:t> </w:t>
            </w:r>
          </w:p>
        </w:tc>
        <w:tc>
          <w:tcPr>
            <w:tcW w:w="777"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72CBDD98" w14:textId="77777777" w:rsidR="00BD05B7" w:rsidRPr="005E4BF5" w:rsidRDefault="00BD05B7" w:rsidP="00BD05B7">
            <w:pPr>
              <w:suppressAutoHyphens w:val="0"/>
              <w:rPr>
                <w:lang w:eastAsia="fr-FR"/>
              </w:rPr>
            </w:pPr>
            <w:r w:rsidRPr="005E4BF5">
              <w:rPr>
                <w:lang w:eastAsia="fr-FR"/>
              </w:rPr>
              <w:t> </w:t>
            </w:r>
          </w:p>
        </w:tc>
      </w:tr>
      <w:tr w:rsidR="00804C35" w:rsidRPr="00DB0FFC" w14:paraId="7B98B30F" w14:textId="77777777" w:rsidTr="00FA094B">
        <w:tc>
          <w:tcPr>
            <w:tcW w:w="701" w:type="dxa"/>
            <w:tcBorders>
              <w:top w:val="nil"/>
              <w:left w:val="single" w:sz="4" w:space="0" w:color="auto"/>
              <w:bottom w:val="nil"/>
              <w:right w:val="single" w:sz="4" w:space="0" w:color="auto"/>
            </w:tcBorders>
            <w:shd w:val="clear" w:color="auto" w:fill="auto"/>
          </w:tcPr>
          <w:p w14:paraId="1664B363" w14:textId="77777777" w:rsidR="00BD05B7" w:rsidRPr="005E4BF5" w:rsidRDefault="00BD05B7" w:rsidP="00BD05B7">
            <w:pPr>
              <w:suppressAutoHyphens w:val="0"/>
              <w:jc w:val="both"/>
              <w:rPr>
                <w:lang w:eastAsia="fr-FR"/>
              </w:rPr>
            </w:pPr>
          </w:p>
        </w:tc>
        <w:tc>
          <w:tcPr>
            <w:tcW w:w="7376"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37D55104" w14:textId="7B5F69A4" w:rsidR="00BD05B7" w:rsidRPr="005E4BF5" w:rsidRDefault="00BD05B7" w:rsidP="00BD05B7">
            <w:pPr>
              <w:suppressAutoHyphens w:val="0"/>
              <w:jc w:val="both"/>
              <w:rPr>
                <w:lang w:eastAsia="fr-FR"/>
              </w:rPr>
            </w:pPr>
            <w:r w:rsidRPr="005E4BF5">
              <w:rPr>
                <w:lang w:eastAsia="fr-FR"/>
              </w:rPr>
              <w:t>iv) Déchets de liège ;</w:t>
            </w:r>
          </w:p>
        </w:tc>
        <w:tc>
          <w:tcPr>
            <w:tcW w:w="484"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0D91C76B" w14:textId="77777777" w:rsidR="00BD05B7" w:rsidRPr="005E4BF5" w:rsidRDefault="00BD05B7" w:rsidP="00BD05B7">
            <w:pPr>
              <w:suppressAutoHyphens w:val="0"/>
              <w:rPr>
                <w:lang w:eastAsia="fr-FR"/>
              </w:rPr>
            </w:pPr>
            <w:r w:rsidRPr="005E4BF5">
              <w:rPr>
                <w:lang w:eastAsia="fr-FR"/>
              </w:rPr>
              <w:t> </w:t>
            </w:r>
          </w:p>
        </w:tc>
        <w:tc>
          <w:tcPr>
            <w:tcW w:w="777"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2C9C19DB" w14:textId="77777777" w:rsidR="00BD05B7" w:rsidRPr="005E4BF5" w:rsidRDefault="00BD05B7" w:rsidP="00BD05B7">
            <w:pPr>
              <w:suppressAutoHyphens w:val="0"/>
              <w:rPr>
                <w:lang w:eastAsia="fr-FR"/>
              </w:rPr>
            </w:pPr>
            <w:r w:rsidRPr="005E4BF5">
              <w:rPr>
                <w:lang w:eastAsia="fr-FR"/>
              </w:rPr>
              <w:t> </w:t>
            </w:r>
          </w:p>
        </w:tc>
      </w:tr>
      <w:tr w:rsidR="00804C35" w:rsidRPr="00DB0FFC" w14:paraId="4B4A7616" w14:textId="77777777" w:rsidTr="00FA094B">
        <w:tc>
          <w:tcPr>
            <w:tcW w:w="701" w:type="dxa"/>
            <w:tcBorders>
              <w:top w:val="nil"/>
              <w:left w:val="single" w:sz="4" w:space="0" w:color="auto"/>
              <w:bottom w:val="nil"/>
              <w:right w:val="single" w:sz="4" w:space="0" w:color="auto"/>
            </w:tcBorders>
            <w:shd w:val="clear" w:color="auto" w:fill="auto"/>
          </w:tcPr>
          <w:p w14:paraId="08C261A7" w14:textId="77777777" w:rsidR="00BD05B7" w:rsidRPr="005E4BF5" w:rsidRDefault="00BD05B7" w:rsidP="00BD05B7">
            <w:pPr>
              <w:suppressAutoHyphens w:val="0"/>
              <w:jc w:val="both"/>
              <w:rPr>
                <w:lang w:eastAsia="fr-FR"/>
              </w:rPr>
            </w:pPr>
          </w:p>
        </w:tc>
        <w:tc>
          <w:tcPr>
            <w:tcW w:w="7376"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03F34A6D" w14:textId="3042ABB7" w:rsidR="00BD05B7" w:rsidRPr="005E4BF5" w:rsidRDefault="00BD05B7" w:rsidP="00BD05B7">
            <w:pPr>
              <w:suppressAutoHyphens w:val="0"/>
              <w:jc w:val="both"/>
              <w:rPr>
                <w:lang w:eastAsia="fr-FR"/>
              </w:rPr>
            </w:pPr>
            <w:r w:rsidRPr="005E4BF5">
              <w:rPr>
                <w:lang w:eastAsia="fr-FR"/>
              </w:rPr>
              <w:t>v) Déchets de bois, à l'exception des déchets de bois susceptibles de contenir des composés organiques halogénés ou des métaux lourds à la suite d'un traitement avec des conservateurs du bois ou du placement d'un revêtement tels que les déchets de bois de ce type provenant de déchets de construction ou de démolition.</w:t>
            </w:r>
          </w:p>
        </w:tc>
        <w:tc>
          <w:tcPr>
            <w:tcW w:w="484"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277AE980" w14:textId="77777777" w:rsidR="00BD05B7" w:rsidRPr="005E4BF5" w:rsidRDefault="00BD05B7" w:rsidP="00BD05B7">
            <w:pPr>
              <w:suppressAutoHyphens w:val="0"/>
              <w:rPr>
                <w:lang w:eastAsia="fr-FR"/>
              </w:rPr>
            </w:pPr>
            <w:r w:rsidRPr="005E4BF5">
              <w:rPr>
                <w:lang w:eastAsia="fr-FR"/>
              </w:rPr>
              <w:t> </w:t>
            </w:r>
          </w:p>
        </w:tc>
        <w:tc>
          <w:tcPr>
            <w:tcW w:w="777" w:type="dxa"/>
            <w:tcBorders>
              <w:top w:val="nil"/>
              <w:left w:val="single" w:sz="4" w:space="0" w:color="auto"/>
              <w:bottom w:val="nil"/>
              <w:right w:val="single" w:sz="4" w:space="0" w:color="auto"/>
            </w:tcBorders>
            <w:shd w:val="clear" w:color="auto" w:fill="auto"/>
            <w:tcMar>
              <w:top w:w="75" w:type="dxa"/>
              <w:left w:w="75" w:type="dxa"/>
              <w:bottom w:w="75" w:type="dxa"/>
              <w:right w:w="75" w:type="dxa"/>
            </w:tcMar>
            <w:vAlign w:val="center"/>
            <w:hideMark/>
          </w:tcPr>
          <w:p w14:paraId="315CAC4B" w14:textId="77777777" w:rsidR="00BD05B7" w:rsidRPr="005E4BF5" w:rsidRDefault="00BD05B7" w:rsidP="00BD05B7">
            <w:pPr>
              <w:suppressAutoHyphens w:val="0"/>
              <w:rPr>
                <w:lang w:eastAsia="fr-FR"/>
              </w:rPr>
            </w:pPr>
            <w:r w:rsidRPr="005E4BF5">
              <w:rPr>
                <w:lang w:eastAsia="fr-FR"/>
              </w:rPr>
              <w:t> </w:t>
            </w:r>
          </w:p>
        </w:tc>
      </w:tr>
      <w:tr w:rsidR="00804C35" w:rsidRPr="00DB0FFC" w14:paraId="75399BE0" w14:textId="77777777" w:rsidTr="00FA094B">
        <w:tc>
          <w:tcPr>
            <w:tcW w:w="701" w:type="dxa"/>
            <w:tcBorders>
              <w:top w:val="nil"/>
              <w:left w:val="single" w:sz="4" w:space="0" w:color="auto"/>
              <w:bottom w:val="single" w:sz="4" w:space="0" w:color="auto"/>
              <w:right w:val="single" w:sz="4" w:space="0" w:color="auto"/>
            </w:tcBorders>
            <w:shd w:val="clear" w:color="auto" w:fill="auto"/>
          </w:tcPr>
          <w:p w14:paraId="51F75F9D" w14:textId="77777777" w:rsidR="00BD05B7" w:rsidRPr="005E4BF5" w:rsidRDefault="00BD05B7" w:rsidP="00BD05B7">
            <w:pPr>
              <w:suppressAutoHyphens w:val="0"/>
              <w:jc w:val="both"/>
              <w:rPr>
                <w:lang w:eastAsia="fr-FR"/>
              </w:rPr>
            </w:pPr>
          </w:p>
        </w:tc>
        <w:tc>
          <w:tcPr>
            <w:tcW w:w="7376" w:type="dxa"/>
            <w:tcBorders>
              <w:top w:val="nil"/>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78F13375" w14:textId="2428F2CD" w:rsidR="00BD05B7" w:rsidRPr="005E4BF5" w:rsidRDefault="00BD05B7" w:rsidP="00BD05B7">
            <w:pPr>
              <w:suppressAutoHyphens w:val="0"/>
              <w:jc w:val="both"/>
              <w:rPr>
                <w:lang w:eastAsia="fr-FR"/>
              </w:rPr>
            </w:pPr>
            <w:r w:rsidRPr="005E4BF5">
              <w:rPr>
                <w:lang w:eastAsia="fr-FR"/>
              </w:rPr>
              <w:t>(*) Au sens de </w:t>
            </w:r>
            <w:hyperlink r:id="rId15" w:tooltip="Directive (UE) n° 2015/2193 du 25/11/15 relative à la limitation des émissions de certains polluants dans l'atmosphère en provenance des installations de combustion moyennes" w:history="1">
              <w:r w:rsidRPr="005E4BF5">
                <w:rPr>
                  <w:lang w:eastAsia="fr-FR"/>
                </w:rPr>
                <w:t>la directive (UE) 2015/2193 du Parlement européen et du Conseil, du 25 novembre 2015</w:t>
              </w:r>
            </w:hyperlink>
            <w:r w:rsidRPr="005E4BF5">
              <w:rPr>
                <w:lang w:eastAsia="fr-FR"/>
              </w:rPr>
              <w:t>, relative à la limitation des émissions de certains polluants dans l'atmosphère en provenance des installations de combustion moyennes.</w:t>
            </w:r>
          </w:p>
        </w:tc>
        <w:tc>
          <w:tcPr>
            <w:tcW w:w="484" w:type="dxa"/>
            <w:tcBorders>
              <w:top w:val="nil"/>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58500C8F" w14:textId="77777777" w:rsidR="00BD05B7" w:rsidRPr="005E4BF5" w:rsidRDefault="00BD05B7" w:rsidP="00BD05B7">
            <w:pPr>
              <w:suppressAutoHyphens w:val="0"/>
              <w:rPr>
                <w:lang w:eastAsia="fr-FR"/>
              </w:rPr>
            </w:pPr>
            <w:r w:rsidRPr="005E4BF5">
              <w:rPr>
                <w:lang w:eastAsia="fr-FR"/>
              </w:rPr>
              <w:t> </w:t>
            </w:r>
          </w:p>
        </w:tc>
        <w:tc>
          <w:tcPr>
            <w:tcW w:w="777" w:type="dxa"/>
            <w:tcBorders>
              <w:top w:val="nil"/>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11FEC0DD" w14:textId="77777777" w:rsidR="00BD05B7" w:rsidRPr="005E4BF5" w:rsidRDefault="00BD05B7" w:rsidP="00BD05B7">
            <w:pPr>
              <w:suppressAutoHyphens w:val="0"/>
              <w:rPr>
                <w:lang w:eastAsia="fr-FR"/>
              </w:rPr>
            </w:pPr>
            <w:r w:rsidRPr="005E4BF5">
              <w:rPr>
                <w:lang w:eastAsia="fr-FR"/>
              </w:rPr>
              <w:t> </w:t>
            </w:r>
          </w:p>
        </w:tc>
      </w:tr>
    </w:tbl>
    <w:p w14:paraId="4A8ABD4D" w14:textId="1D3B5109" w:rsidR="00532F09" w:rsidRPr="00532F09" w:rsidRDefault="00532F09" w:rsidP="00FA094B">
      <w:pPr>
        <w:suppressAutoHyphens w:val="0"/>
      </w:pPr>
    </w:p>
    <w:sectPr w:rsidR="00532F09" w:rsidRPr="00532F09">
      <w:headerReference w:type="default" r:id="rId16"/>
      <w:pgSz w:w="11906" w:h="16838"/>
      <w:pgMar w:top="1134" w:right="1418"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B22B0" w14:textId="77777777" w:rsidR="00FA094B" w:rsidRDefault="00FA094B" w:rsidP="00FA094B">
      <w:r>
        <w:separator/>
      </w:r>
    </w:p>
  </w:endnote>
  <w:endnote w:type="continuationSeparator" w:id="0">
    <w:p w14:paraId="2E2A599A" w14:textId="77777777" w:rsidR="00FA094B" w:rsidRDefault="00FA094B" w:rsidP="00FA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5D4D4" w14:textId="77777777" w:rsidR="00FA094B" w:rsidRDefault="00FA094B" w:rsidP="00FA094B">
      <w:r>
        <w:separator/>
      </w:r>
    </w:p>
  </w:footnote>
  <w:footnote w:type="continuationSeparator" w:id="0">
    <w:p w14:paraId="36B6589B" w14:textId="77777777" w:rsidR="00FA094B" w:rsidRDefault="00FA094B" w:rsidP="00FA0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913908"/>
      <w:docPartObj>
        <w:docPartGallery w:val="Watermarks"/>
        <w:docPartUnique/>
      </w:docPartObj>
    </w:sdtPr>
    <w:sdtEndPr/>
    <w:sdtContent>
      <w:p w14:paraId="38AAFA06" w14:textId="76CA59D3" w:rsidR="00FA094B" w:rsidRDefault="00B64D27">
        <w:pPr>
          <w:pStyle w:val="En-tte"/>
        </w:pPr>
        <w:r>
          <w:pict w14:anchorId="6A2A2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7845" o:spid="_x0000_s2049" type="#_x0000_t136" style="position:absolute;margin-left:0;margin-top:0;width:461.55pt;height:197.8pt;rotation:315;z-index:-251658752;mso-position-horizontal:center;mso-position-horizontal-relative:margin;mso-position-vertical:center;mso-position-vertical-relative:margin" o:allowincell="f" fillcolor="silver" stroked="f">
              <v:fill opacity=".5"/>
              <v:textpath style="font-family:&quot;Marianne&quot;;font-size:1pt" string="PROJE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970529"/>
    <w:multiLevelType w:val="hybridMultilevel"/>
    <w:tmpl w:val="2F20459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E3"/>
    <w:rsid w:val="00017078"/>
    <w:rsid w:val="00053D08"/>
    <w:rsid w:val="0006166B"/>
    <w:rsid w:val="0009574B"/>
    <w:rsid w:val="0009577F"/>
    <w:rsid w:val="000A64AB"/>
    <w:rsid w:val="000D16BF"/>
    <w:rsid w:val="000D46D2"/>
    <w:rsid w:val="000F2510"/>
    <w:rsid w:val="00115050"/>
    <w:rsid w:val="001217C4"/>
    <w:rsid w:val="001358D0"/>
    <w:rsid w:val="00145AE3"/>
    <w:rsid w:val="00151977"/>
    <w:rsid w:val="00196BF4"/>
    <w:rsid w:val="001B3320"/>
    <w:rsid w:val="001B5D32"/>
    <w:rsid w:val="001D4162"/>
    <w:rsid w:val="001F2DEE"/>
    <w:rsid w:val="00204086"/>
    <w:rsid w:val="00212A05"/>
    <w:rsid w:val="00231D97"/>
    <w:rsid w:val="0025770E"/>
    <w:rsid w:val="002871ED"/>
    <w:rsid w:val="002A48D1"/>
    <w:rsid w:val="002A6F1B"/>
    <w:rsid w:val="002C4E46"/>
    <w:rsid w:val="002D1EA3"/>
    <w:rsid w:val="00303244"/>
    <w:rsid w:val="0032153D"/>
    <w:rsid w:val="00344145"/>
    <w:rsid w:val="00372AFB"/>
    <w:rsid w:val="00376269"/>
    <w:rsid w:val="0038432D"/>
    <w:rsid w:val="00385D52"/>
    <w:rsid w:val="00395E89"/>
    <w:rsid w:val="00397126"/>
    <w:rsid w:val="003E08B4"/>
    <w:rsid w:val="004043B9"/>
    <w:rsid w:val="0041179E"/>
    <w:rsid w:val="00417623"/>
    <w:rsid w:val="0045678C"/>
    <w:rsid w:val="00474161"/>
    <w:rsid w:val="00480DE3"/>
    <w:rsid w:val="00481735"/>
    <w:rsid w:val="00482A8B"/>
    <w:rsid w:val="004A1358"/>
    <w:rsid w:val="004B4C2D"/>
    <w:rsid w:val="004F20D1"/>
    <w:rsid w:val="00516703"/>
    <w:rsid w:val="00523970"/>
    <w:rsid w:val="00532F09"/>
    <w:rsid w:val="00581FD0"/>
    <w:rsid w:val="005921C9"/>
    <w:rsid w:val="005A7D1A"/>
    <w:rsid w:val="005D028B"/>
    <w:rsid w:val="005D139A"/>
    <w:rsid w:val="005D37BE"/>
    <w:rsid w:val="005D6446"/>
    <w:rsid w:val="005E4BF5"/>
    <w:rsid w:val="005F16ED"/>
    <w:rsid w:val="00601550"/>
    <w:rsid w:val="00601FD6"/>
    <w:rsid w:val="00602A47"/>
    <w:rsid w:val="00602E3D"/>
    <w:rsid w:val="00625B3E"/>
    <w:rsid w:val="006313FD"/>
    <w:rsid w:val="00644B0E"/>
    <w:rsid w:val="00650B42"/>
    <w:rsid w:val="00653FED"/>
    <w:rsid w:val="00687389"/>
    <w:rsid w:val="006B555F"/>
    <w:rsid w:val="006B5A57"/>
    <w:rsid w:val="006C46E7"/>
    <w:rsid w:val="006F1996"/>
    <w:rsid w:val="006F2967"/>
    <w:rsid w:val="006F47D5"/>
    <w:rsid w:val="00700F44"/>
    <w:rsid w:val="007226DB"/>
    <w:rsid w:val="007260AA"/>
    <w:rsid w:val="00745CAD"/>
    <w:rsid w:val="0076513A"/>
    <w:rsid w:val="00767E99"/>
    <w:rsid w:val="007851BA"/>
    <w:rsid w:val="0079014E"/>
    <w:rsid w:val="007A0700"/>
    <w:rsid w:val="007B0C03"/>
    <w:rsid w:val="007C1AF1"/>
    <w:rsid w:val="007C44B1"/>
    <w:rsid w:val="007D22EC"/>
    <w:rsid w:val="007D534F"/>
    <w:rsid w:val="007F2EB3"/>
    <w:rsid w:val="00804C35"/>
    <w:rsid w:val="0081511F"/>
    <w:rsid w:val="0081636E"/>
    <w:rsid w:val="0082412E"/>
    <w:rsid w:val="008362D0"/>
    <w:rsid w:val="00856473"/>
    <w:rsid w:val="00862F11"/>
    <w:rsid w:val="008646AA"/>
    <w:rsid w:val="008712BB"/>
    <w:rsid w:val="008729AE"/>
    <w:rsid w:val="008D1B07"/>
    <w:rsid w:val="008E02D7"/>
    <w:rsid w:val="00902CEE"/>
    <w:rsid w:val="009140A2"/>
    <w:rsid w:val="00920BB5"/>
    <w:rsid w:val="009416EE"/>
    <w:rsid w:val="00964869"/>
    <w:rsid w:val="009813D4"/>
    <w:rsid w:val="00981B1F"/>
    <w:rsid w:val="009849A8"/>
    <w:rsid w:val="00987090"/>
    <w:rsid w:val="009B00F1"/>
    <w:rsid w:val="009D1F82"/>
    <w:rsid w:val="009F0C55"/>
    <w:rsid w:val="009F3EDD"/>
    <w:rsid w:val="00A11931"/>
    <w:rsid w:val="00A329B4"/>
    <w:rsid w:val="00A3599D"/>
    <w:rsid w:val="00A37917"/>
    <w:rsid w:val="00A46FE5"/>
    <w:rsid w:val="00A47296"/>
    <w:rsid w:val="00A70468"/>
    <w:rsid w:val="00AA4CDE"/>
    <w:rsid w:val="00AB3A97"/>
    <w:rsid w:val="00AC5F26"/>
    <w:rsid w:val="00AE67F8"/>
    <w:rsid w:val="00AE6C50"/>
    <w:rsid w:val="00AF32ED"/>
    <w:rsid w:val="00B541B8"/>
    <w:rsid w:val="00B64D27"/>
    <w:rsid w:val="00BD05B7"/>
    <w:rsid w:val="00BF5D96"/>
    <w:rsid w:val="00BF5FE0"/>
    <w:rsid w:val="00C317B3"/>
    <w:rsid w:val="00C317EC"/>
    <w:rsid w:val="00C32D3F"/>
    <w:rsid w:val="00C364BB"/>
    <w:rsid w:val="00C5629A"/>
    <w:rsid w:val="00C62C1A"/>
    <w:rsid w:val="00C66296"/>
    <w:rsid w:val="00C74121"/>
    <w:rsid w:val="00C83349"/>
    <w:rsid w:val="00C9780B"/>
    <w:rsid w:val="00CB5AF3"/>
    <w:rsid w:val="00CC329C"/>
    <w:rsid w:val="00CD44BB"/>
    <w:rsid w:val="00CD45F4"/>
    <w:rsid w:val="00CF14AB"/>
    <w:rsid w:val="00CF551C"/>
    <w:rsid w:val="00D02F52"/>
    <w:rsid w:val="00D03FA2"/>
    <w:rsid w:val="00D219EA"/>
    <w:rsid w:val="00D261D8"/>
    <w:rsid w:val="00D766A2"/>
    <w:rsid w:val="00D93E22"/>
    <w:rsid w:val="00DB0FFC"/>
    <w:rsid w:val="00DB5D4B"/>
    <w:rsid w:val="00E168E1"/>
    <w:rsid w:val="00E21D58"/>
    <w:rsid w:val="00E260C9"/>
    <w:rsid w:val="00E3675F"/>
    <w:rsid w:val="00E463F6"/>
    <w:rsid w:val="00E520CD"/>
    <w:rsid w:val="00E603AF"/>
    <w:rsid w:val="00E821C6"/>
    <w:rsid w:val="00E94009"/>
    <w:rsid w:val="00EA109D"/>
    <w:rsid w:val="00EA3167"/>
    <w:rsid w:val="00EF0D46"/>
    <w:rsid w:val="00EF3AA8"/>
    <w:rsid w:val="00F0528D"/>
    <w:rsid w:val="00F14417"/>
    <w:rsid w:val="00F77A0C"/>
    <w:rsid w:val="00F90C84"/>
    <w:rsid w:val="00FA094B"/>
    <w:rsid w:val="00FB19FB"/>
    <w:rsid w:val="00FC4D8D"/>
    <w:rsid w:val="00FF50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216DF9D"/>
  <w15:chartTrackingRefBased/>
  <w15:docId w15:val="{113AB735-C55B-4860-969B-8A7E7E9B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spacing w:before="240"/>
      <w:jc w:val="center"/>
      <w:outlineLvl w:val="0"/>
    </w:pPr>
    <w:rPr>
      <w:rFonts w:cs="Arial"/>
      <w:bCs/>
      <w:caps/>
      <w:kern w:val="2"/>
    </w:rPr>
  </w:style>
  <w:style w:type="paragraph" w:styleId="Titre2">
    <w:name w:val="heading 2"/>
    <w:basedOn w:val="Normal"/>
    <w:next w:val="Normal"/>
    <w:qFormat/>
    <w:pPr>
      <w:keepNext/>
      <w:numPr>
        <w:ilvl w:val="1"/>
        <w:numId w:val="1"/>
      </w:numPr>
      <w:spacing w:before="240"/>
      <w:jc w:val="center"/>
      <w:outlineLvl w:val="1"/>
    </w:pPr>
    <w:rPr>
      <w:bCs/>
      <w:iCs/>
      <w:smallCaps/>
    </w:rPr>
  </w:style>
  <w:style w:type="paragraph" w:styleId="Titre3">
    <w:name w:val="heading 3"/>
    <w:basedOn w:val="Normal"/>
    <w:next w:val="Normal"/>
    <w:qFormat/>
    <w:pPr>
      <w:keepNext/>
      <w:numPr>
        <w:ilvl w:val="2"/>
        <w:numId w:val="1"/>
      </w:numPr>
      <w:spacing w:before="120"/>
      <w:jc w:val="center"/>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4">
    <w:name w:val="Police par défaut4"/>
  </w:style>
  <w:style w:type="character" w:customStyle="1" w:styleId="Policepardfaut3">
    <w:name w:val="Police par défaut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olicepardfaut2">
    <w:name w:val="Police par défaut2"/>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Policepardfaut1">
    <w:name w:val="Police par défaut1"/>
  </w:style>
  <w:style w:type="character" w:customStyle="1" w:styleId="SNTimbreCar">
    <w:name w:val="SNTimbre Car"/>
    <w:rPr>
      <w:rFonts w:eastAsia="Lucida Sans Unicode"/>
      <w:sz w:val="24"/>
      <w:szCs w:val="24"/>
      <w:lang w:val="fr-FR" w:bidi="ar-SA"/>
    </w:rPr>
  </w:style>
  <w:style w:type="character" w:customStyle="1" w:styleId="SNDateCar">
    <w:name w:val="SNDate Car"/>
    <w:rPr>
      <w:sz w:val="24"/>
      <w:szCs w:val="24"/>
      <w:lang w:val="fr-FR" w:bidi="ar-SA"/>
    </w:rPr>
  </w:style>
  <w:style w:type="character" w:customStyle="1" w:styleId="SNArticleCar">
    <w:name w:val="SNArticle Car"/>
    <w:rPr>
      <w:b/>
      <w:sz w:val="24"/>
      <w:szCs w:val="24"/>
      <w:lang w:val="fr-FR" w:bidi="ar-SA"/>
    </w:rPr>
  </w:style>
  <w:style w:type="character" w:customStyle="1" w:styleId="SNenProjet">
    <w:name w:val="SNenProjet"/>
    <w:basedOn w:val="Policepardfaut1"/>
  </w:style>
  <w:style w:type="paragraph" w:customStyle="1" w:styleId="Titre4">
    <w:name w:val="Titre4"/>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20"/>
      <w:jc w:val="both"/>
    </w:p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pPr>
      <w:suppressLineNumbers/>
    </w:pPr>
    <w:rPr>
      <w:rFonts w:ascii="Liberation Sans" w:hAnsi="Liberation Sans" w:cs="Mangal"/>
    </w:rPr>
  </w:style>
  <w:style w:type="paragraph" w:customStyle="1" w:styleId="Titre30">
    <w:name w:val="Titre3"/>
    <w:basedOn w:val="Normal"/>
    <w:next w:val="Corpsdetexte"/>
    <w:pPr>
      <w:keepNext/>
      <w:spacing w:before="240" w:after="120"/>
    </w:pPr>
    <w:rPr>
      <w:rFonts w:ascii="Liberation Sans" w:eastAsia="Microsoft YaHei" w:hAnsi="Liberation Sans" w:cs="Lucida Sans"/>
      <w:sz w:val="28"/>
      <w:szCs w:val="28"/>
    </w:rPr>
  </w:style>
  <w:style w:type="paragraph" w:customStyle="1" w:styleId="Titre20">
    <w:name w:val="Titre2"/>
    <w:basedOn w:val="Normal"/>
    <w:next w:val="Corpsdetexte"/>
    <w:pPr>
      <w:keepNext/>
      <w:spacing w:before="240" w:after="120"/>
    </w:pPr>
    <w:rPr>
      <w:rFonts w:ascii="Liberation Sans" w:eastAsia="Microsoft YaHei" w:hAnsi="Liberation Sans" w:cs="Mangal"/>
      <w:sz w:val="28"/>
      <w:szCs w:val="28"/>
    </w:rPr>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pPr>
      <w:jc w:val="center"/>
    </w:pPr>
    <w:rPr>
      <w:b/>
      <w:bCs/>
      <w:szCs w:val="20"/>
    </w:rPr>
  </w:style>
  <w:style w:type="paragraph" w:customStyle="1" w:styleId="puce1">
    <w:name w:val="puce1"/>
    <w:basedOn w:val="Normal"/>
    <w:pPr>
      <w:widowControl w:val="0"/>
      <w:tabs>
        <w:tab w:val="left" w:pos="1429"/>
      </w:tabs>
      <w:spacing w:before="240"/>
      <w:ind w:left="1429" w:hanging="360"/>
    </w:pPr>
    <w:rPr>
      <w:rFonts w:eastAsia="Lucida Sans Unicode"/>
    </w:rPr>
  </w:style>
  <w:style w:type="paragraph" w:customStyle="1" w:styleId="puce2">
    <w:name w:val="puce2"/>
    <w:basedOn w:val="Normal"/>
    <w:pPr>
      <w:widowControl w:val="0"/>
      <w:tabs>
        <w:tab w:val="left" w:pos="2149"/>
      </w:tabs>
      <w:spacing w:before="240"/>
      <w:ind w:left="2149" w:hanging="360"/>
    </w:pPr>
    <w:rPr>
      <w:rFonts w:eastAsia="Lucida Sans Unicode"/>
    </w:rPr>
  </w:style>
  <w:style w:type="paragraph" w:customStyle="1" w:styleId="puce3">
    <w:name w:val="puce3"/>
    <w:basedOn w:val="Normal"/>
    <w:pPr>
      <w:widowControl w:val="0"/>
      <w:tabs>
        <w:tab w:val="left" w:pos="2869"/>
      </w:tabs>
      <w:spacing w:before="240"/>
      <w:ind w:left="2869" w:hanging="360"/>
    </w:pPr>
    <w:rPr>
      <w:rFonts w:eastAsia="Lucida Sans Unicode"/>
    </w:rPr>
  </w:style>
  <w:style w:type="paragraph" w:customStyle="1" w:styleId="num1">
    <w:name w:val="num1"/>
    <w:basedOn w:val="Normal"/>
    <w:pPr>
      <w:widowControl w:val="0"/>
      <w:tabs>
        <w:tab w:val="left" w:pos="1429"/>
      </w:tabs>
      <w:spacing w:before="240"/>
      <w:ind w:left="1429" w:hanging="360"/>
    </w:pPr>
    <w:rPr>
      <w:rFonts w:eastAsia="Lucida Sans Unicode"/>
    </w:rPr>
  </w:style>
  <w:style w:type="paragraph" w:customStyle="1" w:styleId="num2">
    <w:name w:val="num2"/>
    <w:basedOn w:val="Normal"/>
    <w:pPr>
      <w:widowControl w:val="0"/>
      <w:tabs>
        <w:tab w:val="left" w:pos="2149"/>
      </w:tabs>
      <w:spacing w:before="240"/>
      <w:ind w:left="2149" w:hanging="360"/>
    </w:pPr>
    <w:rPr>
      <w:rFonts w:eastAsia="Lucida Sans Unicode"/>
    </w:rPr>
  </w:style>
  <w:style w:type="paragraph" w:customStyle="1" w:styleId="num3">
    <w:name w:val="num3"/>
    <w:basedOn w:val="Normal"/>
    <w:pPr>
      <w:widowControl w:val="0"/>
      <w:tabs>
        <w:tab w:val="left" w:pos="2869"/>
      </w:tabs>
      <w:spacing w:before="240"/>
      <w:ind w:left="2869" w:hanging="180"/>
    </w:pPr>
    <w:rPr>
      <w:rFonts w:eastAsia="Lucida Sans Unicode"/>
    </w:rPr>
  </w:style>
  <w:style w:type="paragraph" w:customStyle="1" w:styleId="SNConsultation">
    <w:name w:val="SNConsultation"/>
    <w:basedOn w:val="Normal"/>
    <w:pPr>
      <w:widowControl w:val="0"/>
      <w:spacing w:before="120" w:after="120"/>
      <w:ind w:firstLine="709"/>
      <w:jc w:val="both"/>
    </w:pPr>
    <w:rPr>
      <w:rFonts w:eastAsia="Lucida Sans Unicode"/>
    </w:rPr>
  </w:style>
  <w:style w:type="paragraph" w:customStyle="1" w:styleId="SNNature">
    <w:name w:val="SNNature"/>
    <w:basedOn w:val="Normal"/>
    <w:next w:val="SNtitre"/>
    <w:pPr>
      <w:widowControl w:val="0"/>
      <w:suppressLineNumbers/>
      <w:spacing w:before="720" w:after="120"/>
      <w:jc w:val="center"/>
    </w:pPr>
    <w:rPr>
      <w:rFonts w:eastAsia="Lucida Sans Unicode"/>
      <w:b/>
      <w:bCs/>
    </w:rPr>
  </w:style>
  <w:style w:type="paragraph" w:customStyle="1" w:styleId="SNtitre">
    <w:name w:val="SNtitre"/>
    <w:basedOn w:val="Normal"/>
    <w:next w:val="SNNORCentr"/>
    <w:pPr>
      <w:widowControl w:val="0"/>
      <w:suppressLineNumbers/>
      <w:spacing w:after="360"/>
      <w:jc w:val="center"/>
    </w:pPr>
    <w:rPr>
      <w:rFonts w:eastAsia="Lucida Sans Unicode"/>
      <w:b/>
    </w:rPr>
  </w:style>
  <w:style w:type="paragraph" w:customStyle="1" w:styleId="SNNORCentr">
    <w:name w:val="SNNOR+Centré"/>
    <w:next w:val="SNAutorit"/>
    <w:pPr>
      <w:suppressAutoHyphens/>
      <w:jc w:val="center"/>
    </w:pPr>
    <w:rPr>
      <w:bCs/>
      <w:sz w:val="24"/>
      <w:lang w:eastAsia="zh-CN"/>
    </w:rPr>
  </w:style>
  <w:style w:type="paragraph" w:customStyle="1" w:styleId="SNAutorit">
    <w:name w:val="SNAutorité"/>
    <w:basedOn w:val="Normal"/>
    <w:pPr>
      <w:spacing w:before="720" w:after="240"/>
      <w:ind w:firstLine="720"/>
    </w:pPr>
    <w:rPr>
      <w:b/>
    </w:rPr>
  </w:style>
  <w:style w:type="paragraph" w:customStyle="1" w:styleId="SNSignatureDroite">
    <w:name w:val="SNSignatureDroite"/>
    <w:basedOn w:val="Normal"/>
    <w:next w:val="SNSignatureprnomnomDroite"/>
    <w:pPr>
      <w:spacing w:before="120" w:after="1680"/>
      <w:ind w:left="5040"/>
      <w:jc w:val="right"/>
    </w:pPr>
    <w:rPr>
      <w:color w:val="000000"/>
    </w:rPr>
  </w:style>
  <w:style w:type="paragraph" w:customStyle="1" w:styleId="SNSignatureprnomnomDroite">
    <w:name w:val="SNSignature prénom+nom Droite"/>
    <w:basedOn w:val="SNSignatureDroite"/>
    <w:next w:val="SNSignatureGauche"/>
    <w:pPr>
      <w:spacing w:after="120"/>
      <w:ind w:left="5041"/>
    </w:pPr>
  </w:style>
  <w:style w:type="paragraph" w:customStyle="1" w:styleId="SNSignatureGauche">
    <w:name w:val="SNSignatureGauche"/>
    <w:basedOn w:val="Normal"/>
    <w:next w:val="SNSignatureprnomnomGauche"/>
    <w:pPr>
      <w:spacing w:before="120" w:after="1680"/>
      <w:ind w:left="720" w:right="4494"/>
    </w:pPr>
  </w:style>
  <w:style w:type="paragraph" w:customStyle="1" w:styleId="SNSignatureprnomnomGauche">
    <w:name w:val="SNSignature prénom+nom Gauche"/>
    <w:basedOn w:val="SNSignatureGauche"/>
    <w:next w:val="SNSignatureDroite"/>
    <w:pPr>
      <w:spacing w:after="120"/>
    </w:pPr>
    <w:rPr>
      <w:color w:val="000000"/>
    </w:rPr>
  </w:style>
  <w:style w:type="paragraph" w:customStyle="1" w:styleId="SNTimbre">
    <w:name w:val="SNTimbre"/>
    <w:basedOn w:val="Normal"/>
    <w:pPr>
      <w:widowControl w:val="0"/>
      <w:snapToGrid w:val="0"/>
      <w:spacing w:before="120"/>
      <w:jc w:val="center"/>
    </w:pPr>
    <w:rPr>
      <w:rFonts w:eastAsia="Lucida Sans Unicode"/>
    </w:rPr>
  </w:style>
  <w:style w:type="paragraph" w:customStyle="1" w:styleId="SNRapport">
    <w:name w:val="SNRapport"/>
    <w:basedOn w:val="Normal"/>
    <w:pPr>
      <w:spacing w:before="240" w:after="120"/>
      <w:ind w:firstLine="720"/>
    </w:pPr>
  </w:style>
  <w:style w:type="paragraph" w:customStyle="1" w:styleId="SNVisa">
    <w:name w:val="SNVisa"/>
    <w:basedOn w:val="Normal"/>
    <w:pPr>
      <w:spacing w:before="120" w:after="120"/>
      <w:ind w:firstLine="720"/>
    </w:pPr>
  </w:style>
  <w:style w:type="paragraph" w:customStyle="1" w:styleId="SNDate">
    <w:name w:val="SNDate"/>
    <w:basedOn w:val="Normal"/>
    <w:next w:val="SNContreseing"/>
    <w:pPr>
      <w:spacing w:before="480" w:after="2760"/>
      <w:ind w:firstLine="720"/>
    </w:pPr>
  </w:style>
  <w:style w:type="paragraph" w:customStyle="1" w:styleId="SNContreseing">
    <w:name w:val="SNContreseing"/>
    <w:basedOn w:val="Normal"/>
    <w:next w:val="SNSignatureGauche"/>
    <w:pPr>
      <w:spacing w:before="480"/>
      <w:ind w:firstLine="720"/>
    </w:pPr>
  </w:style>
  <w:style w:type="paragraph" w:customStyle="1" w:styleId="SNActe">
    <w:name w:val="SNActe"/>
    <w:basedOn w:val="Normal"/>
    <w:pPr>
      <w:spacing w:before="480" w:after="360"/>
      <w:jc w:val="center"/>
    </w:pPr>
    <w:rPr>
      <w:b/>
    </w:rPr>
  </w:style>
  <w:style w:type="paragraph" w:customStyle="1" w:styleId="SNArticle">
    <w:name w:val="SNArticle"/>
    <w:basedOn w:val="Normal"/>
    <w:next w:val="Corpsdetexte"/>
    <w:pPr>
      <w:spacing w:before="240" w:after="240"/>
      <w:jc w:val="center"/>
    </w:pPr>
    <w:rPr>
      <w:b/>
    </w:rPr>
  </w:style>
  <w:style w:type="paragraph" w:customStyle="1" w:styleId="SNConsidrant">
    <w:name w:val="SNConsidérant"/>
    <w:basedOn w:val="Normal"/>
    <w:pPr>
      <w:ind w:firstLine="720"/>
    </w:pPr>
  </w:style>
  <w:style w:type="paragraph" w:customStyle="1" w:styleId="SNConsultationCE">
    <w:name w:val="SNConsultationCE"/>
    <w:basedOn w:val="SNConsultation"/>
  </w:style>
  <w:style w:type="paragraph" w:customStyle="1" w:styleId="SNConsultationCM">
    <w:name w:val="SNConsultationCM"/>
    <w:basedOn w:val="SNConsultation"/>
  </w:style>
  <w:style w:type="paragraph" w:customStyle="1" w:styleId="SNDirection">
    <w:name w:val="SNDirection"/>
    <w:basedOn w:val="Normal"/>
    <w:pPr>
      <w:spacing w:before="720"/>
      <w:jc w:val="center"/>
    </w:pPr>
    <w:rPr>
      <w:b/>
    </w:rPr>
  </w:style>
  <w:style w:type="paragraph" w:customStyle="1" w:styleId="SNListePrincipale">
    <w:name w:val="SNListePrincipale"/>
    <w:basedOn w:val="Normal"/>
  </w:style>
  <w:style w:type="paragraph" w:customStyle="1" w:styleId="SNIntitul">
    <w:name w:val="SNIntitulé"/>
    <w:basedOn w:val="Normal"/>
    <w:pPr>
      <w:jc w:val="center"/>
    </w:pPr>
  </w:style>
  <w:style w:type="paragraph" w:customStyle="1" w:styleId="SNTitreRapport">
    <w:name w:val="SNTitreRapport"/>
    <w:basedOn w:val="SNActe"/>
  </w:style>
  <w:style w:type="paragraph" w:customStyle="1" w:styleId="SNExcution">
    <w:name w:val="SNExécution"/>
    <w:basedOn w:val="Normal"/>
  </w:style>
  <w:style w:type="paragraph" w:customStyle="1" w:styleId="SNAdoption">
    <w:name w:val="SNAdoption"/>
    <w:basedOn w:val="Normal"/>
  </w:style>
  <w:style w:type="paragraph" w:customStyle="1" w:styleId="SNLibell">
    <w:name w:val="SNLibellé"/>
    <w:basedOn w:val="Normal"/>
  </w:style>
  <w:style w:type="paragraph" w:styleId="Textedebulles">
    <w:name w:val="Balloon Text"/>
    <w:basedOn w:val="Normal"/>
    <w:rPr>
      <w:rFonts w:ascii="Tahoma" w:hAnsi="Tahoma" w:cs="Tahoma"/>
      <w:sz w:val="16"/>
      <w:szCs w:val="16"/>
    </w:rPr>
  </w:style>
  <w:style w:type="paragraph" w:customStyle="1" w:styleId="Titre1objet">
    <w:name w:val="Titre 1 objet"/>
    <w:basedOn w:val="Titre1"/>
    <w:pPr>
      <w:numPr>
        <w:numId w:val="0"/>
      </w:numPr>
      <w:spacing w:before="0" w:after="120"/>
      <w:outlineLvl w:val="9"/>
    </w:pPr>
    <w:rPr>
      <w:b/>
    </w:rPr>
  </w:style>
  <w:style w:type="paragraph" w:customStyle="1" w:styleId="Titre2objet">
    <w:name w:val="Titre 2 objet"/>
    <w:basedOn w:val="Titre2"/>
    <w:next w:val="Normal"/>
    <w:pPr>
      <w:numPr>
        <w:ilvl w:val="0"/>
        <w:numId w:val="0"/>
      </w:numPr>
      <w:spacing w:before="0" w:after="120"/>
      <w:outlineLvl w:val="9"/>
    </w:pPr>
    <w:rPr>
      <w:b/>
    </w:rPr>
  </w:style>
  <w:style w:type="paragraph" w:customStyle="1" w:styleId="titre3objet">
    <w:name w:val="titre 3 objet"/>
    <w:basedOn w:val="Titre3"/>
    <w:next w:val="Normal"/>
    <w:pPr>
      <w:numPr>
        <w:ilvl w:val="0"/>
        <w:numId w:val="0"/>
      </w:numPr>
      <w:spacing w:before="0" w:after="120"/>
      <w:outlineLvl w:val="9"/>
    </w:pPr>
    <w:rPr>
      <w:b/>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uiPriority w:val="99"/>
    <w:semiHidden/>
    <w:unhideWhenUsed/>
    <w:rsid w:val="008646AA"/>
    <w:rPr>
      <w:sz w:val="16"/>
      <w:szCs w:val="16"/>
    </w:rPr>
  </w:style>
  <w:style w:type="paragraph" w:styleId="Commentaire">
    <w:name w:val="annotation text"/>
    <w:basedOn w:val="Normal"/>
    <w:link w:val="CommentaireCar"/>
    <w:uiPriority w:val="99"/>
    <w:unhideWhenUsed/>
    <w:rsid w:val="008646AA"/>
    <w:rPr>
      <w:sz w:val="20"/>
      <w:szCs w:val="20"/>
    </w:rPr>
  </w:style>
  <w:style w:type="character" w:customStyle="1" w:styleId="CommentaireCar">
    <w:name w:val="Commentaire Car"/>
    <w:link w:val="Commentaire"/>
    <w:uiPriority w:val="99"/>
    <w:rsid w:val="008646AA"/>
    <w:rPr>
      <w:lang w:eastAsia="zh-CN"/>
    </w:rPr>
  </w:style>
  <w:style w:type="paragraph" w:styleId="Objetducommentaire">
    <w:name w:val="annotation subject"/>
    <w:basedOn w:val="Commentaire"/>
    <w:next w:val="Commentaire"/>
    <w:link w:val="ObjetducommentaireCar"/>
    <w:uiPriority w:val="99"/>
    <w:semiHidden/>
    <w:unhideWhenUsed/>
    <w:rsid w:val="008646AA"/>
    <w:rPr>
      <w:b/>
      <w:bCs/>
    </w:rPr>
  </w:style>
  <w:style w:type="character" w:customStyle="1" w:styleId="ObjetducommentaireCar">
    <w:name w:val="Objet du commentaire Car"/>
    <w:link w:val="Objetducommentaire"/>
    <w:uiPriority w:val="99"/>
    <w:semiHidden/>
    <w:rsid w:val="008646AA"/>
    <w:rPr>
      <w:b/>
      <w:bCs/>
      <w:lang w:eastAsia="zh-CN"/>
    </w:rPr>
  </w:style>
  <w:style w:type="paragraph" w:styleId="En-tte">
    <w:name w:val="header"/>
    <w:basedOn w:val="Normal"/>
    <w:link w:val="En-tteCar"/>
    <w:uiPriority w:val="99"/>
    <w:unhideWhenUsed/>
    <w:rsid w:val="00FA094B"/>
    <w:pPr>
      <w:tabs>
        <w:tab w:val="center" w:pos="4536"/>
        <w:tab w:val="right" w:pos="9072"/>
      </w:tabs>
    </w:pPr>
  </w:style>
  <w:style w:type="character" w:customStyle="1" w:styleId="En-tteCar">
    <w:name w:val="En-tête Car"/>
    <w:basedOn w:val="Policepardfaut"/>
    <w:link w:val="En-tte"/>
    <w:uiPriority w:val="99"/>
    <w:rsid w:val="00FA094B"/>
    <w:rPr>
      <w:sz w:val="24"/>
      <w:szCs w:val="24"/>
      <w:lang w:eastAsia="zh-CN"/>
    </w:rPr>
  </w:style>
  <w:style w:type="paragraph" w:styleId="Pieddepage">
    <w:name w:val="footer"/>
    <w:basedOn w:val="Normal"/>
    <w:link w:val="PieddepageCar"/>
    <w:uiPriority w:val="99"/>
    <w:unhideWhenUsed/>
    <w:rsid w:val="00FA094B"/>
    <w:pPr>
      <w:tabs>
        <w:tab w:val="center" w:pos="4536"/>
        <w:tab w:val="right" w:pos="9072"/>
      </w:tabs>
    </w:pPr>
  </w:style>
  <w:style w:type="character" w:customStyle="1" w:styleId="PieddepageCar">
    <w:name w:val="Pied de page Car"/>
    <w:basedOn w:val="Policepardfaut"/>
    <w:link w:val="Pieddepage"/>
    <w:uiPriority w:val="99"/>
    <w:rsid w:val="00FA094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8360">
      <w:bodyDiv w:val="1"/>
      <w:marLeft w:val="0"/>
      <w:marRight w:val="0"/>
      <w:marTop w:val="0"/>
      <w:marBottom w:val="0"/>
      <w:divBdr>
        <w:top w:val="none" w:sz="0" w:space="0" w:color="auto"/>
        <w:left w:val="none" w:sz="0" w:space="0" w:color="auto"/>
        <w:bottom w:val="none" w:sz="0" w:space="0" w:color="auto"/>
        <w:right w:val="none" w:sz="0" w:space="0" w:color="auto"/>
      </w:divBdr>
    </w:div>
    <w:div w:id="517157048">
      <w:bodyDiv w:val="1"/>
      <w:marLeft w:val="0"/>
      <w:marRight w:val="0"/>
      <w:marTop w:val="0"/>
      <w:marBottom w:val="0"/>
      <w:divBdr>
        <w:top w:val="none" w:sz="0" w:space="0" w:color="auto"/>
        <w:left w:val="none" w:sz="0" w:space="0" w:color="auto"/>
        <w:bottom w:val="none" w:sz="0" w:space="0" w:color="auto"/>
        <w:right w:val="none" w:sz="0" w:space="0" w:color="auto"/>
      </w:divBdr>
    </w:div>
    <w:div w:id="167052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da.ineris.fr/reglementation/2971-installation-production-chaleur-delectricite-a-partir-dechets-non-dangereux" TargetMode="External"/><Relationship Id="rId13" Type="http://schemas.openxmlformats.org/officeDocument/2006/relationships/hyperlink" Target="https://aida.ineris.fr/reglementation/livre-v-prevention-pollutions-risques-nuisances-partie-legislativ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ida.ineris.fr/reglementation/2771-installation-traitement-thermique-dechets-non-dangereux-a-lexclusion" TargetMode="External"/><Relationship Id="rId12" Type="http://schemas.openxmlformats.org/officeDocument/2006/relationships/hyperlink" Target="https://aida.ineris.fr/reglementation/2781-installation-methanisation-dechets-non-dangereux-matiere-vegetale-brute-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ida.ineris.fr/reglementation/livre-v-prevention-pollutions-risques-nuisances-partie-legislative" TargetMode="External"/><Relationship Id="rId5" Type="http://schemas.openxmlformats.org/officeDocument/2006/relationships/footnotes" Target="footnotes.xml"/><Relationship Id="rId15" Type="http://schemas.openxmlformats.org/officeDocument/2006/relationships/hyperlink" Target="https://aida.ineris.fr/reglementation/directive-ue-ndeg-20152193-251115-relative-a-limitation-emissions-certains-polluants" TargetMode="External"/><Relationship Id="rId10" Type="http://schemas.openxmlformats.org/officeDocument/2006/relationships/hyperlink" Target="https://aida.ineris.fr/reglementation/3110-combustion" TargetMode="External"/><Relationship Id="rId4" Type="http://schemas.openxmlformats.org/officeDocument/2006/relationships/webSettings" Target="webSettings.xml"/><Relationship Id="rId9" Type="http://schemas.openxmlformats.org/officeDocument/2006/relationships/hyperlink" Target="https://aida.ineris.fr/reglementation/2931-ateliers-dessais-banc-moteurs-a-explosion-a-combustion-interne-a-reaction" TargetMode="External"/><Relationship Id="rId14" Type="http://schemas.openxmlformats.org/officeDocument/2006/relationships/hyperlink" Target="https://aida.ineris.fr/reglementation/2910-combustion-a-lexclusion-installations-visees-rubriques-2770-2771-2971-29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donata\SOLON\solon\Mod&#232;les_bis\sol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solon.dot</Template>
  <TotalTime>14</TotalTime>
  <Pages>4</Pages>
  <Words>1414</Words>
  <Characters>7783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MTES</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SPM</dc:creator>
  <cp:keywords/>
  <cp:lastModifiedBy>EB</cp:lastModifiedBy>
  <cp:revision>7</cp:revision>
  <cp:lastPrinted>2011-02-03T15:54:00Z</cp:lastPrinted>
  <dcterms:created xsi:type="dcterms:W3CDTF">2025-11-06T08:35:00Z</dcterms:created>
  <dcterms:modified xsi:type="dcterms:W3CDTF">2025-11-10T10:18:00Z</dcterms:modified>
</cp:coreProperties>
</file>