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3E" w:rsidRDefault="00023E34">
      <w:pPr>
        <w:pStyle w:val="Titre"/>
      </w:pPr>
      <w:bookmarkStart w:id="0" w:name="_GoBack"/>
      <w:bookmarkEnd w:id="0"/>
      <w:r>
        <w:t>Synthèse</w:t>
      </w:r>
      <w:r>
        <w:rPr>
          <w:rFonts w:ascii="Times New Roman" w:hAnsi="Times New Roman"/>
          <w:b w:val="0"/>
          <w:spacing w:val="-16"/>
        </w:rPr>
        <w:t xml:space="preserve"> </w:t>
      </w:r>
      <w:r>
        <w:t>des</w:t>
      </w:r>
      <w:r>
        <w:rPr>
          <w:rFonts w:ascii="Times New Roman" w:hAnsi="Times New Roman"/>
          <w:b w:val="0"/>
          <w:spacing w:val="-18"/>
        </w:rPr>
        <w:t xml:space="preserve"> </w:t>
      </w:r>
      <w:r>
        <w:t>observations</w:t>
      </w:r>
      <w:r>
        <w:rPr>
          <w:rFonts w:ascii="Times New Roman" w:hAnsi="Times New Roman"/>
          <w:b w:val="0"/>
          <w:spacing w:val="-18"/>
        </w:rPr>
        <w:t xml:space="preserve"> </w:t>
      </w:r>
      <w:r>
        <w:t>du</w:t>
      </w:r>
      <w:r>
        <w:rPr>
          <w:rFonts w:ascii="Times New Roman" w:hAnsi="Times New Roman"/>
          <w:b w:val="0"/>
          <w:spacing w:val="-17"/>
        </w:rPr>
        <w:t xml:space="preserve"> </w:t>
      </w:r>
      <w:r>
        <w:rPr>
          <w:spacing w:val="-2"/>
        </w:rPr>
        <w:t>public</w:t>
      </w:r>
    </w:p>
    <w:p w:rsidR="009A223E" w:rsidRDefault="009A223E">
      <w:pPr>
        <w:pStyle w:val="Corpsdetexte"/>
        <w:spacing w:before="384"/>
        <w:ind w:left="0"/>
        <w:jc w:val="left"/>
        <w:rPr>
          <w:b/>
          <w:sz w:val="32"/>
        </w:rPr>
      </w:pPr>
    </w:p>
    <w:p w:rsidR="009A223E" w:rsidRDefault="00023E34">
      <w:pPr>
        <w:widowControl/>
        <w:jc w:val="both"/>
        <w:rPr>
          <w:rFonts w:cstheme="minorHAnsi"/>
          <w:b/>
          <w:sz w:val="28"/>
          <w:szCs w:val="28"/>
        </w:rPr>
      </w:pPr>
      <w:r>
        <w:rPr>
          <w:rFonts w:cstheme="minorHAnsi"/>
          <w:b/>
          <w:sz w:val="28"/>
          <w:szCs w:val="28"/>
        </w:rPr>
        <w:t>Arrêté</w:t>
      </w:r>
      <w:r>
        <w:rPr>
          <w:rFonts w:cstheme="minorHAnsi"/>
          <w:b/>
          <w:spacing w:val="-11"/>
          <w:sz w:val="28"/>
          <w:szCs w:val="28"/>
        </w:rPr>
        <w:t xml:space="preserve"> </w:t>
      </w:r>
      <w:r>
        <w:rPr>
          <w:rFonts w:cstheme="minorHAnsi"/>
          <w:b/>
          <w:sz w:val="28"/>
          <w:szCs w:val="28"/>
        </w:rPr>
        <w:t xml:space="preserve">fixant la liste des usages des produits phytopharmaceutiques, pour lesquels aucune solution technique alternative ne permet d'obtenir la qualité requise dans le cadre des compétitions officielles pour les </w:t>
      </w:r>
      <w:r>
        <w:rPr>
          <w:rFonts w:cstheme="minorHAnsi"/>
          <w:b/>
          <w:sz w:val="28"/>
          <w:szCs w:val="28"/>
        </w:rPr>
        <w:t>équipements sportifs ou parties d’équipements sportifs</w:t>
      </w:r>
    </w:p>
    <w:p w:rsidR="009A223E" w:rsidRDefault="009A223E">
      <w:pPr>
        <w:pStyle w:val="Corpsdetexte"/>
        <w:ind w:left="0"/>
        <w:jc w:val="left"/>
        <w:rPr>
          <w:b/>
          <w:sz w:val="28"/>
        </w:rPr>
      </w:pPr>
    </w:p>
    <w:p w:rsidR="009A223E" w:rsidRDefault="009A223E">
      <w:pPr>
        <w:pStyle w:val="Corpsdetexte"/>
        <w:spacing w:before="2"/>
        <w:ind w:left="0"/>
        <w:jc w:val="left"/>
        <w:rPr>
          <w:b/>
          <w:sz w:val="28"/>
        </w:rPr>
      </w:pPr>
    </w:p>
    <w:p w:rsidR="009A223E" w:rsidRDefault="00023E34">
      <w:pPr>
        <w:ind w:left="5" w:right="4"/>
        <w:jc w:val="center"/>
        <w:rPr>
          <w:b/>
          <w:sz w:val="28"/>
        </w:rPr>
      </w:pPr>
      <w:r>
        <w:rPr>
          <w:b/>
          <w:sz w:val="28"/>
        </w:rPr>
        <w:t>-</w:t>
      </w:r>
      <w:r>
        <w:rPr>
          <w:rFonts w:ascii="Times New Roman" w:hAnsi="Times New Roman"/>
          <w:spacing w:val="-12"/>
          <w:sz w:val="28"/>
        </w:rPr>
        <w:t xml:space="preserve"> </w:t>
      </w:r>
      <w:r>
        <w:rPr>
          <w:b/>
          <w:sz w:val="28"/>
        </w:rPr>
        <w:t>Consultation</w:t>
      </w:r>
      <w:r>
        <w:rPr>
          <w:rFonts w:ascii="Times New Roman" w:hAnsi="Times New Roman"/>
          <w:spacing w:val="-9"/>
          <w:sz w:val="28"/>
        </w:rPr>
        <w:t xml:space="preserve"> </w:t>
      </w:r>
      <w:r>
        <w:rPr>
          <w:b/>
          <w:sz w:val="28"/>
        </w:rPr>
        <w:t>du</w:t>
      </w:r>
      <w:r>
        <w:rPr>
          <w:rFonts w:ascii="Times New Roman" w:hAnsi="Times New Roman"/>
          <w:spacing w:val="-9"/>
          <w:sz w:val="28"/>
        </w:rPr>
        <w:t xml:space="preserve"> </w:t>
      </w:r>
      <w:r>
        <w:rPr>
          <w:b/>
          <w:sz w:val="28"/>
        </w:rPr>
        <w:t>6 au</w:t>
      </w:r>
      <w:r>
        <w:rPr>
          <w:rFonts w:ascii="Times New Roman" w:hAnsi="Times New Roman"/>
          <w:spacing w:val="-9"/>
          <w:sz w:val="28"/>
        </w:rPr>
        <w:t xml:space="preserve"> </w:t>
      </w:r>
      <w:r>
        <w:rPr>
          <w:b/>
          <w:sz w:val="28"/>
        </w:rPr>
        <w:t>26 décembre</w:t>
      </w:r>
      <w:r>
        <w:rPr>
          <w:rFonts w:ascii="Times New Roman" w:hAnsi="Times New Roman"/>
          <w:spacing w:val="-10"/>
          <w:sz w:val="28"/>
        </w:rPr>
        <w:t xml:space="preserve"> </w:t>
      </w:r>
      <w:r>
        <w:rPr>
          <w:b/>
          <w:sz w:val="28"/>
        </w:rPr>
        <w:t>2024</w:t>
      </w:r>
    </w:p>
    <w:p w:rsidR="009A223E" w:rsidRDefault="009A223E">
      <w:pPr>
        <w:pStyle w:val="Corpsdetexte"/>
        <w:spacing w:before="149"/>
        <w:ind w:left="0"/>
        <w:jc w:val="left"/>
        <w:rPr>
          <w:b/>
          <w:color w:val="FF0000"/>
          <w:sz w:val="20"/>
        </w:rPr>
      </w:pPr>
    </w:p>
    <w:tbl>
      <w:tblPr>
        <w:tblStyle w:val="TableNormal"/>
        <w:tblW w:w="9062" w:type="dxa"/>
        <w:tblInd w:w="125" w:type="dxa"/>
        <w:tblLayout w:type="fixed"/>
        <w:tblCellMar>
          <w:left w:w="5" w:type="dxa"/>
          <w:right w:w="5" w:type="dxa"/>
        </w:tblCellMar>
        <w:tblLook w:val="01E0" w:firstRow="1" w:lastRow="1" w:firstColumn="1" w:lastColumn="1" w:noHBand="0" w:noVBand="0"/>
      </w:tblPr>
      <w:tblGrid>
        <w:gridCol w:w="4532"/>
        <w:gridCol w:w="4530"/>
      </w:tblGrid>
      <w:tr w:rsidR="009A223E">
        <w:trPr>
          <w:trHeight w:val="268"/>
        </w:trPr>
        <w:tc>
          <w:tcPr>
            <w:tcW w:w="9061" w:type="dxa"/>
            <w:gridSpan w:val="2"/>
            <w:tcBorders>
              <w:top w:val="single" w:sz="4" w:space="0" w:color="000000"/>
              <w:left w:val="single" w:sz="4" w:space="0" w:color="000000"/>
              <w:bottom w:val="single" w:sz="4" w:space="0" w:color="000000"/>
              <w:right w:val="single" w:sz="4" w:space="0" w:color="000000"/>
            </w:tcBorders>
          </w:tcPr>
          <w:p w:rsidR="009A223E" w:rsidRDefault="00023E34">
            <w:pPr>
              <w:pStyle w:val="TableParagraph"/>
              <w:ind w:left="10"/>
              <w:rPr>
                <w:shd w:val="clear" w:color="auto" w:fill="F7F7F7"/>
              </w:rPr>
            </w:pPr>
            <w:r>
              <w:rPr>
                <w:b/>
                <w:bCs/>
                <w:shd w:val="clear" w:color="auto" w:fill="F7F7F7"/>
              </w:rPr>
              <w:t>66</w:t>
            </w:r>
            <w:r>
              <w:rPr>
                <w:b/>
                <w:spacing w:val="-2"/>
                <w:shd w:val="clear" w:color="auto" w:fill="F7F7F7"/>
              </w:rPr>
              <w:t xml:space="preserve"> contributions</w:t>
            </w:r>
          </w:p>
        </w:tc>
      </w:tr>
      <w:tr w:rsidR="009A223E">
        <w:trPr>
          <w:trHeight w:val="268"/>
        </w:trPr>
        <w:tc>
          <w:tcPr>
            <w:tcW w:w="4531" w:type="dxa"/>
            <w:tcBorders>
              <w:top w:val="single" w:sz="4" w:space="0" w:color="000000"/>
              <w:left w:val="single" w:sz="4" w:space="0" w:color="000000"/>
              <w:bottom w:val="single" w:sz="4" w:space="0" w:color="000000"/>
              <w:right w:val="single" w:sz="4" w:space="0" w:color="000000"/>
            </w:tcBorders>
          </w:tcPr>
          <w:p w:rsidR="009A223E" w:rsidRDefault="00023E34">
            <w:pPr>
              <w:pStyle w:val="TableParagraph"/>
              <w:ind w:left="1425"/>
              <w:jc w:val="left"/>
              <w:rPr>
                <w:shd w:val="clear" w:color="auto" w:fill="F7F7F7"/>
              </w:rPr>
            </w:pPr>
            <w:r>
              <w:rPr>
                <w:b/>
                <w:shd w:val="clear" w:color="auto" w:fill="F7F7F7"/>
              </w:rPr>
              <w:t>9</w:t>
            </w:r>
            <w:r>
              <w:rPr>
                <w:spacing w:val="-6"/>
                <w:shd w:val="clear" w:color="auto" w:fill="F7F7F7"/>
              </w:rPr>
              <w:t xml:space="preserve"> </w:t>
            </w:r>
            <w:r>
              <w:rPr>
                <w:b/>
                <w:spacing w:val="-2"/>
                <w:shd w:val="clear" w:color="auto" w:fill="F7F7F7"/>
              </w:rPr>
              <w:t>défavorables</w:t>
            </w:r>
          </w:p>
        </w:tc>
        <w:tc>
          <w:tcPr>
            <w:tcW w:w="4530" w:type="dxa"/>
            <w:tcBorders>
              <w:top w:val="single" w:sz="4" w:space="0" w:color="000000"/>
              <w:left w:val="single" w:sz="4" w:space="0" w:color="000000"/>
              <w:bottom w:val="single" w:sz="4" w:space="0" w:color="000000"/>
              <w:right w:val="single" w:sz="4" w:space="0" w:color="000000"/>
            </w:tcBorders>
          </w:tcPr>
          <w:p w:rsidR="009A223E" w:rsidRDefault="00023E34">
            <w:pPr>
              <w:pStyle w:val="TableParagraph"/>
              <w:rPr>
                <w:shd w:val="clear" w:color="auto" w:fill="F7F7F7"/>
              </w:rPr>
            </w:pPr>
            <w:r>
              <w:rPr>
                <w:b/>
                <w:bCs/>
                <w:shd w:val="clear" w:color="auto" w:fill="F7F7F7"/>
              </w:rPr>
              <w:t>57</w:t>
            </w:r>
            <w:r>
              <w:rPr>
                <w:spacing w:val="-6"/>
                <w:shd w:val="clear" w:color="auto" w:fill="F7F7F7"/>
              </w:rPr>
              <w:t xml:space="preserve"> </w:t>
            </w:r>
            <w:r>
              <w:rPr>
                <w:b/>
                <w:spacing w:val="-2"/>
                <w:shd w:val="clear" w:color="auto" w:fill="F7F7F7"/>
              </w:rPr>
              <w:t>favorables</w:t>
            </w:r>
          </w:p>
        </w:tc>
      </w:tr>
    </w:tbl>
    <w:p w:rsidR="009A223E" w:rsidRDefault="009A223E">
      <w:pPr>
        <w:pStyle w:val="Corpsdetexte"/>
        <w:ind w:left="0"/>
        <w:jc w:val="left"/>
        <w:rPr>
          <w:b/>
        </w:rPr>
      </w:pPr>
    </w:p>
    <w:p w:rsidR="009A223E" w:rsidRDefault="009A223E">
      <w:pPr>
        <w:pStyle w:val="Corpsdetexte"/>
        <w:ind w:left="0"/>
        <w:jc w:val="left"/>
        <w:rPr>
          <w:b/>
        </w:rPr>
      </w:pPr>
    </w:p>
    <w:p w:rsidR="009A223E" w:rsidRDefault="00023E34">
      <w:pPr>
        <w:widowControl/>
        <w:jc w:val="both"/>
        <w:rPr>
          <w:rFonts w:cstheme="minorHAnsi"/>
        </w:rPr>
      </w:pPr>
      <w:r>
        <w:rPr>
          <w:rFonts w:cstheme="minorHAnsi"/>
        </w:rPr>
        <w:t>La</w:t>
      </w:r>
      <w:r>
        <w:rPr>
          <w:rFonts w:cstheme="minorHAnsi"/>
          <w:spacing w:val="-14"/>
        </w:rPr>
        <w:t xml:space="preserve"> </w:t>
      </w:r>
      <w:r>
        <w:rPr>
          <w:rFonts w:cstheme="minorHAnsi"/>
        </w:rPr>
        <w:t>présente</w:t>
      </w:r>
      <w:r>
        <w:rPr>
          <w:rFonts w:cstheme="minorHAnsi"/>
          <w:spacing w:val="-14"/>
        </w:rPr>
        <w:t xml:space="preserve"> </w:t>
      </w:r>
      <w:r>
        <w:rPr>
          <w:rFonts w:cstheme="minorHAnsi"/>
        </w:rPr>
        <w:t>consultation</w:t>
      </w:r>
      <w:r>
        <w:rPr>
          <w:rFonts w:cstheme="minorHAnsi"/>
          <w:spacing w:val="-14"/>
        </w:rPr>
        <w:t xml:space="preserve"> </w:t>
      </w:r>
      <w:r>
        <w:rPr>
          <w:rFonts w:cstheme="minorHAnsi"/>
        </w:rPr>
        <w:t>du</w:t>
      </w:r>
      <w:r>
        <w:rPr>
          <w:rFonts w:cstheme="minorHAnsi"/>
          <w:spacing w:val="-13"/>
        </w:rPr>
        <w:t xml:space="preserve"> </w:t>
      </w:r>
      <w:r>
        <w:rPr>
          <w:rFonts w:cstheme="minorHAnsi"/>
        </w:rPr>
        <w:t>public</w:t>
      </w:r>
      <w:r>
        <w:rPr>
          <w:rFonts w:cstheme="minorHAnsi"/>
          <w:spacing w:val="-14"/>
        </w:rPr>
        <w:t xml:space="preserve"> </w:t>
      </w:r>
      <w:r>
        <w:rPr>
          <w:rFonts w:cstheme="minorHAnsi"/>
        </w:rPr>
        <w:t>a</w:t>
      </w:r>
      <w:r>
        <w:rPr>
          <w:rFonts w:cstheme="minorHAnsi"/>
          <w:spacing w:val="-14"/>
        </w:rPr>
        <w:t xml:space="preserve"> </w:t>
      </w:r>
      <w:r>
        <w:rPr>
          <w:rFonts w:cstheme="minorHAnsi"/>
        </w:rPr>
        <w:t>porté</w:t>
      </w:r>
      <w:r>
        <w:rPr>
          <w:rFonts w:cstheme="minorHAnsi"/>
          <w:spacing w:val="-14"/>
        </w:rPr>
        <w:t xml:space="preserve"> </w:t>
      </w:r>
      <w:r>
        <w:rPr>
          <w:rFonts w:cstheme="minorHAnsi"/>
        </w:rPr>
        <w:t>sur</w:t>
      </w:r>
      <w:r>
        <w:rPr>
          <w:rFonts w:cstheme="minorHAnsi"/>
          <w:spacing w:val="-13"/>
        </w:rPr>
        <w:t xml:space="preserve"> </w:t>
      </w:r>
      <w:r>
        <w:rPr>
          <w:rFonts w:cstheme="minorHAnsi"/>
        </w:rPr>
        <w:t>le</w:t>
      </w:r>
      <w:r>
        <w:rPr>
          <w:rFonts w:cstheme="minorHAnsi"/>
          <w:spacing w:val="-14"/>
        </w:rPr>
        <w:t xml:space="preserve"> </w:t>
      </w:r>
      <w:r>
        <w:rPr>
          <w:rFonts w:cstheme="minorHAnsi"/>
        </w:rPr>
        <w:t>projet</w:t>
      </w:r>
      <w:r>
        <w:rPr>
          <w:rFonts w:cstheme="minorHAnsi"/>
          <w:spacing w:val="-14"/>
        </w:rPr>
        <w:t xml:space="preserve"> </w:t>
      </w:r>
      <w:r>
        <w:rPr>
          <w:rFonts w:cstheme="minorHAnsi"/>
        </w:rPr>
        <w:t>d’arrêté</w:t>
      </w:r>
      <w:r>
        <w:rPr>
          <w:rFonts w:cstheme="minorHAnsi"/>
          <w:spacing w:val="-14"/>
        </w:rPr>
        <w:t xml:space="preserve"> </w:t>
      </w:r>
      <w:r>
        <w:rPr>
          <w:rFonts w:cstheme="minorHAnsi"/>
        </w:rPr>
        <w:t>fixant la liste des usages des produits phytopharmaceutiques, pour lesquels aucune solution technique alternative ne permet d'obtenir la qualité requise dans le cadre des compétitions officielles pour les équipements sportifs ou parties d’équipements sport</w:t>
      </w:r>
      <w:r>
        <w:rPr>
          <w:rFonts w:cstheme="minorHAnsi"/>
        </w:rPr>
        <w:t xml:space="preserve">ifs. </w:t>
      </w:r>
    </w:p>
    <w:p w:rsidR="009A223E" w:rsidRDefault="00023E34">
      <w:pPr>
        <w:widowControl/>
        <w:jc w:val="both"/>
        <w:rPr>
          <w:rFonts w:cstheme="minorHAnsi"/>
        </w:rPr>
      </w:pPr>
      <w:r>
        <w:rPr>
          <w:rFonts w:cstheme="minorHAnsi"/>
        </w:rPr>
        <w:t xml:space="preserve">La consultation a été publiée à l’adresse : </w:t>
      </w:r>
      <w:hyperlink r:id="rId5">
        <w:r>
          <w:rPr>
            <w:rFonts w:cstheme="minorHAnsi"/>
            <w:color w:val="0000FF" w:themeColor="hyperlink"/>
            <w:u w:val="single"/>
          </w:rPr>
          <w:t>https://www.consultations-publiques.developpement-durable.gouv.fr/projet-d-arrete-fixant-la-liste-des-usages-des-a3113.html</w:t>
        </w:r>
      </w:hyperlink>
      <w:r>
        <w:rPr>
          <w:rFonts w:cstheme="minorHAnsi"/>
        </w:rPr>
        <w:t xml:space="preserve"> .</w:t>
      </w:r>
    </w:p>
    <w:p w:rsidR="009A223E" w:rsidRDefault="009A223E">
      <w:pPr>
        <w:widowControl/>
        <w:rPr>
          <w:rFonts w:cstheme="minorHAnsi"/>
        </w:rPr>
      </w:pPr>
    </w:p>
    <w:p w:rsidR="009A223E" w:rsidRDefault="00023E34">
      <w:pPr>
        <w:widowControl/>
        <w:jc w:val="both"/>
        <w:rPr>
          <w:rFonts w:cstheme="minorHAnsi"/>
        </w:rPr>
      </w:pPr>
      <w:r>
        <w:rPr>
          <w:rFonts w:cstheme="minorHAnsi"/>
        </w:rPr>
        <w:t>Ce projet d’arrêté prolonge pour 18 mois la possibilité de recours aux produits phytopharmaceutiques chimiques pour 6 usages, pou</w:t>
      </w:r>
      <w:r>
        <w:rPr>
          <w:rFonts w:cstheme="minorHAnsi"/>
        </w:rPr>
        <w:t xml:space="preserve">r lesquels il n’existerait pas à ce jour de solution technique alternative efficiente pour obtenir la qualité requise dans le cadre des compétitions officielles. </w:t>
      </w:r>
    </w:p>
    <w:p w:rsidR="009A223E" w:rsidRDefault="00023E34">
      <w:pPr>
        <w:widowControl/>
        <w:jc w:val="both"/>
        <w:rPr>
          <w:rFonts w:cstheme="minorHAnsi"/>
        </w:rPr>
      </w:pPr>
      <w:r>
        <w:rPr>
          <w:rFonts w:cstheme="minorHAnsi"/>
        </w:rPr>
        <w:t>Il prévoit par ailleurs que les représentants des propriétaires des terrains bénéficiant de l</w:t>
      </w:r>
      <w:r>
        <w:rPr>
          <w:rFonts w:cstheme="minorHAnsi"/>
        </w:rPr>
        <w:t xml:space="preserve">a dérogation </w:t>
      </w:r>
      <w:proofErr w:type="gramStart"/>
      <w:r>
        <w:rPr>
          <w:rFonts w:cstheme="minorHAnsi"/>
        </w:rPr>
        <w:t>élaborent</w:t>
      </w:r>
      <w:proofErr w:type="gramEnd"/>
      <w:r>
        <w:rPr>
          <w:rFonts w:cstheme="minorHAnsi"/>
        </w:rPr>
        <w:t>, au plus tard le 31 juillet 2025 une feuille de route fixant une trajectoire de généralisation de l’arrêt d’utilisation des produits phytopharmaceutiques chimiques dans les équipements sportifs et que soit établi dans le même temps l</w:t>
      </w:r>
      <w:r>
        <w:rPr>
          <w:rFonts w:cstheme="minorHAnsi"/>
        </w:rPr>
        <w:t xml:space="preserve">a liste des équipements sportifs concernés par la dérogation.  </w:t>
      </w:r>
    </w:p>
    <w:p w:rsidR="009A223E" w:rsidRDefault="009A223E">
      <w:pPr>
        <w:widowControl/>
        <w:jc w:val="both"/>
        <w:rPr>
          <w:rFonts w:cstheme="minorHAnsi"/>
          <w:shd w:val="clear" w:color="auto" w:fill="F7F7F7"/>
        </w:rPr>
      </w:pPr>
    </w:p>
    <w:p w:rsidR="009A223E" w:rsidRDefault="00023E34">
      <w:pPr>
        <w:widowControl/>
        <w:jc w:val="both"/>
        <w:rPr>
          <w:shd w:val="clear" w:color="auto" w:fill="F7F7F7"/>
        </w:rPr>
      </w:pPr>
      <w:r>
        <w:rPr>
          <w:rFonts w:cstheme="minorHAnsi"/>
          <w:shd w:val="clear" w:color="auto" w:fill="F7F7F7"/>
        </w:rPr>
        <w:t>La consultation a recueilli 66 contributions parmi lesquelles 9 des commentaires expriment une opposition à la publication de l’arrêté, et 57 des commentaires exprimés y sont favorables.</w:t>
      </w:r>
    </w:p>
    <w:p w:rsidR="009A223E" w:rsidRDefault="009A223E">
      <w:pPr>
        <w:pStyle w:val="Corpsdetexte"/>
        <w:ind w:left="0"/>
        <w:jc w:val="left"/>
      </w:pPr>
    </w:p>
    <w:p w:rsidR="009A223E" w:rsidRDefault="009A223E">
      <w:pPr>
        <w:pStyle w:val="Corpsdetexte"/>
        <w:spacing w:before="74"/>
        <w:ind w:left="0"/>
        <w:jc w:val="left"/>
      </w:pPr>
    </w:p>
    <w:p w:rsidR="009A223E" w:rsidRDefault="00023E34">
      <w:pPr>
        <w:pStyle w:val="Titre1"/>
        <w:numPr>
          <w:ilvl w:val="0"/>
          <w:numId w:val="2"/>
        </w:numPr>
        <w:tabs>
          <w:tab w:val="left" w:pos="234"/>
        </w:tabs>
        <w:spacing w:before="0"/>
        <w:ind w:left="234" w:hanging="119"/>
      </w:pPr>
      <w:r>
        <w:t>–</w:t>
      </w:r>
      <w:r>
        <w:rPr>
          <w:rFonts w:ascii="Times New Roman" w:hAnsi="Times New Roman"/>
          <w:b w:val="0"/>
          <w:spacing w:val="-14"/>
        </w:rPr>
        <w:t xml:space="preserve"> </w:t>
      </w:r>
      <w:r>
        <w:t>Remarques</w:t>
      </w:r>
      <w:r>
        <w:rPr>
          <w:rFonts w:ascii="Times New Roman" w:hAnsi="Times New Roman"/>
          <w:b w:val="0"/>
          <w:spacing w:val="-13"/>
        </w:rPr>
        <w:t xml:space="preserve"> </w:t>
      </w:r>
      <w:r>
        <w:rPr>
          <w:spacing w:val="-2"/>
        </w:rPr>
        <w:t>générales</w:t>
      </w:r>
    </w:p>
    <w:p w:rsidR="009A223E" w:rsidRDefault="009A223E">
      <w:pPr>
        <w:widowControl/>
        <w:jc w:val="both"/>
        <w:rPr>
          <w:rFonts w:cstheme="minorHAnsi"/>
        </w:rPr>
      </w:pPr>
    </w:p>
    <w:p w:rsidR="009A223E" w:rsidRDefault="00023E34">
      <w:pPr>
        <w:widowControl/>
        <w:jc w:val="both"/>
        <w:rPr>
          <w:rFonts w:cstheme="minorHAnsi"/>
        </w:rPr>
      </w:pPr>
      <w:r>
        <w:rPr>
          <w:rFonts w:cstheme="minorHAnsi"/>
        </w:rPr>
        <w:t>Le débat se situe le plus souvent entre les bénéficiaires de l’arrêté, fédérations sportives et gestionnaires des terrains de sport, et les défenseurs de l’environnement, avec un désaccord marqué sur le sujet des risques et des bénéfic</w:t>
      </w:r>
      <w:r>
        <w:rPr>
          <w:rFonts w:cstheme="minorHAnsi"/>
        </w:rPr>
        <w:t>es associés à l’utilisation des pesticides chimiques dans les équipements sportifs.</w:t>
      </w:r>
    </w:p>
    <w:p w:rsidR="009A223E" w:rsidRDefault="009A223E">
      <w:pPr>
        <w:widowControl/>
        <w:jc w:val="both"/>
        <w:rPr>
          <w:rFonts w:cstheme="minorHAnsi"/>
        </w:rPr>
      </w:pPr>
    </w:p>
    <w:p w:rsidR="009A223E" w:rsidRDefault="00023E34">
      <w:pPr>
        <w:widowControl/>
        <w:jc w:val="both"/>
        <w:rPr>
          <w:rFonts w:cstheme="minorHAnsi"/>
        </w:rPr>
      </w:pPr>
      <w:r>
        <w:rPr>
          <w:rFonts w:cstheme="minorHAnsi"/>
        </w:rPr>
        <w:t>Les professionnels et usagers des gazons sportifs sont favorables à l’adoption du projet d’arrêté, et les particuliers et les associations de protection de l’environnement</w:t>
      </w:r>
      <w:r>
        <w:rPr>
          <w:rFonts w:cstheme="minorHAnsi"/>
        </w:rPr>
        <w:t xml:space="preserve"> expriment généralement un avis défavorable.</w:t>
      </w:r>
    </w:p>
    <w:p w:rsidR="009A223E" w:rsidRDefault="009A223E">
      <w:pPr>
        <w:widowControl/>
        <w:jc w:val="both"/>
        <w:rPr>
          <w:rFonts w:cstheme="minorHAnsi"/>
        </w:rPr>
      </w:pPr>
    </w:p>
    <w:p w:rsidR="009A223E" w:rsidRDefault="009A223E">
      <w:pPr>
        <w:widowControl/>
        <w:jc w:val="both"/>
        <w:rPr>
          <w:rFonts w:cstheme="minorHAnsi"/>
        </w:rPr>
      </w:pPr>
    </w:p>
    <w:p w:rsidR="009A223E" w:rsidRDefault="009A223E">
      <w:pPr>
        <w:widowControl/>
        <w:jc w:val="both"/>
        <w:rPr>
          <w:rFonts w:cstheme="minorHAnsi"/>
        </w:rPr>
      </w:pPr>
    </w:p>
    <w:p w:rsidR="009A223E" w:rsidRDefault="009A223E">
      <w:pPr>
        <w:widowControl/>
        <w:jc w:val="both"/>
        <w:rPr>
          <w:rFonts w:cstheme="minorHAnsi"/>
        </w:rPr>
      </w:pPr>
    </w:p>
    <w:p w:rsidR="009A223E" w:rsidRDefault="009A223E">
      <w:pPr>
        <w:widowControl/>
        <w:jc w:val="both"/>
        <w:rPr>
          <w:rFonts w:cstheme="minorHAnsi"/>
        </w:rPr>
      </w:pPr>
    </w:p>
    <w:p w:rsidR="009A223E" w:rsidRDefault="009A223E">
      <w:pPr>
        <w:pStyle w:val="Corpsdetexte"/>
        <w:spacing w:before="70"/>
        <w:ind w:left="0"/>
        <w:jc w:val="left"/>
      </w:pPr>
    </w:p>
    <w:p w:rsidR="009A223E" w:rsidRDefault="00023E34">
      <w:pPr>
        <w:pStyle w:val="Titre1"/>
        <w:numPr>
          <w:ilvl w:val="0"/>
          <w:numId w:val="2"/>
        </w:numPr>
        <w:tabs>
          <w:tab w:val="left" w:pos="298"/>
        </w:tabs>
        <w:ind w:left="298" w:hanging="183"/>
      </w:pPr>
      <w:r>
        <w:lastRenderedPageBreak/>
        <w:t>–</w:t>
      </w:r>
      <w:r>
        <w:rPr>
          <w:rFonts w:ascii="Times New Roman" w:hAnsi="Times New Roman"/>
          <w:b w:val="0"/>
          <w:spacing w:val="-14"/>
        </w:rPr>
        <w:t xml:space="preserve"> </w:t>
      </w:r>
      <w:r>
        <w:t>Concernant</w:t>
      </w:r>
      <w:r>
        <w:rPr>
          <w:rFonts w:ascii="Times New Roman" w:hAnsi="Times New Roman"/>
          <w:b w:val="0"/>
          <w:spacing w:val="-13"/>
        </w:rPr>
        <w:t xml:space="preserve"> </w:t>
      </w:r>
      <w:r>
        <w:t>les</w:t>
      </w:r>
      <w:r>
        <w:rPr>
          <w:rFonts w:ascii="Times New Roman" w:hAnsi="Times New Roman"/>
          <w:b w:val="0"/>
          <w:spacing w:val="-11"/>
        </w:rPr>
        <w:t xml:space="preserve"> </w:t>
      </w:r>
      <w:r>
        <w:t>avis</w:t>
      </w:r>
      <w:r>
        <w:rPr>
          <w:rFonts w:ascii="Times New Roman" w:hAnsi="Times New Roman"/>
          <w:b w:val="0"/>
          <w:spacing w:val="-13"/>
        </w:rPr>
        <w:t xml:space="preserve"> </w:t>
      </w:r>
      <w:r>
        <w:rPr>
          <w:spacing w:val="-2"/>
        </w:rPr>
        <w:t>favorables</w:t>
      </w:r>
    </w:p>
    <w:p w:rsidR="009A223E" w:rsidRDefault="00023E34">
      <w:pPr>
        <w:jc w:val="both"/>
      </w:pPr>
      <w:r>
        <w:t xml:space="preserve"> </w:t>
      </w:r>
    </w:p>
    <w:p w:rsidR="009A223E" w:rsidRDefault="00023E34">
      <w:pPr>
        <w:widowControl/>
        <w:jc w:val="both"/>
        <w:rPr>
          <w:rFonts w:cstheme="minorHAnsi"/>
        </w:rPr>
      </w:pPr>
      <w:r>
        <w:rPr>
          <w:rFonts w:cstheme="minorHAnsi"/>
        </w:rPr>
        <w:t xml:space="preserve">Les avis favorables sont majoritaires et sont portés le plus souvent par les professionnels des filières sportives bénéficiaires des mesures envisagées, qui argumentent </w:t>
      </w:r>
      <w:r>
        <w:rPr>
          <w:rFonts w:cstheme="minorHAnsi"/>
        </w:rPr>
        <w:t>généralement leur position avec détails.</w:t>
      </w:r>
    </w:p>
    <w:p w:rsidR="009A223E" w:rsidRDefault="00023E34">
      <w:pPr>
        <w:widowControl/>
        <w:jc w:val="both"/>
        <w:rPr>
          <w:rFonts w:cstheme="minorHAnsi"/>
        </w:rPr>
      </w:pPr>
      <w:r>
        <w:rPr>
          <w:rFonts w:cstheme="minorHAnsi"/>
        </w:rPr>
        <w:t>Ils mettent en avant tout d’abord l’impossibilité de se passer des pesticides chimiques dans la gestion de leurs structures sportives, du fait de l’absence à ce jour d’alternatives non chimiques suffisantes et notam</w:t>
      </w:r>
      <w:r>
        <w:rPr>
          <w:rFonts w:cstheme="minorHAnsi"/>
        </w:rPr>
        <w:t xml:space="preserve">ment des produits de </w:t>
      </w:r>
      <w:proofErr w:type="spellStart"/>
      <w:r>
        <w:rPr>
          <w:rFonts w:cstheme="minorHAnsi"/>
        </w:rPr>
        <w:t>biocontrôle</w:t>
      </w:r>
      <w:proofErr w:type="spellEnd"/>
      <w:r>
        <w:rPr>
          <w:rFonts w:cstheme="minorHAnsi"/>
        </w:rPr>
        <w:t xml:space="preserve"> alors que les maladies et ravageurs des gazons exercent une pression constante dans le contexte du réchauffement climatique. Le Dollar spot notamment représente une atteinte majeure des pelouses qui ne peut être éliminée sa</w:t>
      </w:r>
      <w:r>
        <w:rPr>
          <w:rFonts w:cstheme="minorHAnsi"/>
        </w:rPr>
        <w:t>ns traitement chimique.</w:t>
      </w:r>
    </w:p>
    <w:p w:rsidR="009A223E" w:rsidRDefault="00023E34">
      <w:pPr>
        <w:widowControl/>
        <w:jc w:val="both"/>
        <w:rPr>
          <w:rFonts w:cstheme="minorHAnsi"/>
        </w:rPr>
      </w:pPr>
      <w:r>
        <w:rPr>
          <w:rFonts w:cstheme="minorHAnsi"/>
        </w:rPr>
        <w:t xml:space="preserve">Un contributeur remarque toutefois que l’effort de réduction d’usage des pesticides portée par la loi </w:t>
      </w:r>
      <w:proofErr w:type="spellStart"/>
      <w:r>
        <w:rPr>
          <w:rFonts w:cstheme="minorHAnsi"/>
        </w:rPr>
        <w:t>Labbé</w:t>
      </w:r>
      <w:proofErr w:type="spellEnd"/>
      <w:r>
        <w:rPr>
          <w:rFonts w:cstheme="minorHAnsi"/>
        </w:rPr>
        <w:t xml:space="preserve"> par les collectivités doit aussi s’appliquer au secteur des loisirs mais qu’il faut laisser du temps et de la souplesse pour</w:t>
      </w:r>
      <w:r>
        <w:rPr>
          <w:rFonts w:cstheme="minorHAnsi"/>
        </w:rPr>
        <w:t xml:space="preserve"> réussir la transition écologique. Un autre indique qu’il existe une solution mécanique de désherbage, qui couvrirait une partie des besoins. Plusieurs contributeurs regrettent un délai dérogatoire trop court et peu adapté à la recherche de solutions alter</w:t>
      </w:r>
      <w:r>
        <w:rPr>
          <w:rFonts w:cstheme="minorHAnsi"/>
        </w:rPr>
        <w:t xml:space="preserve">natives. </w:t>
      </w:r>
    </w:p>
    <w:p w:rsidR="009A223E" w:rsidRDefault="00023E34">
      <w:pPr>
        <w:widowControl/>
        <w:jc w:val="both"/>
        <w:rPr>
          <w:rFonts w:cstheme="minorHAnsi"/>
        </w:rPr>
      </w:pPr>
      <w:r>
        <w:rPr>
          <w:rFonts w:cstheme="minorHAnsi"/>
        </w:rPr>
        <w:t>Par conséquent, la majorité des contributions favorables au texte soulignent le caractère indispensable de la publication de l’arrêté à ce jour.</w:t>
      </w:r>
    </w:p>
    <w:p w:rsidR="009A223E" w:rsidRDefault="009A223E">
      <w:pPr>
        <w:jc w:val="both"/>
      </w:pPr>
    </w:p>
    <w:p w:rsidR="009A223E" w:rsidRDefault="00023E34">
      <w:pPr>
        <w:pStyle w:val="Paragraphedeliste"/>
        <w:numPr>
          <w:ilvl w:val="1"/>
          <w:numId w:val="2"/>
        </w:numPr>
        <w:tabs>
          <w:tab w:val="left" w:pos="833"/>
        </w:tabs>
        <w:spacing w:before="159"/>
        <w:ind w:left="833" w:hanging="358"/>
      </w:pPr>
      <w:r>
        <w:rPr>
          <w:u w:val="single"/>
        </w:rPr>
        <w:t>Arguments</w:t>
      </w:r>
      <w:r>
        <w:rPr>
          <w:rFonts w:ascii="Times New Roman" w:hAnsi="Times New Roman"/>
          <w:spacing w:val="-11"/>
          <w:u w:val="single"/>
        </w:rPr>
        <w:t xml:space="preserve"> </w:t>
      </w:r>
      <w:r>
        <w:rPr>
          <w:spacing w:val="-2"/>
          <w:u w:val="single"/>
        </w:rPr>
        <w:t>économiques</w:t>
      </w:r>
    </w:p>
    <w:p w:rsidR="009A223E" w:rsidRDefault="009A223E">
      <w:pPr>
        <w:widowControl/>
        <w:jc w:val="both"/>
        <w:rPr>
          <w:rFonts w:cstheme="minorHAnsi"/>
        </w:rPr>
      </w:pPr>
    </w:p>
    <w:p w:rsidR="009A223E" w:rsidRDefault="00023E34">
      <w:pPr>
        <w:widowControl/>
        <w:spacing w:after="240"/>
        <w:jc w:val="both"/>
        <w:rPr>
          <w:rFonts w:cstheme="minorHAnsi"/>
        </w:rPr>
      </w:pPr>
      <w:r>
        <w:rPr>
          <w:rFonts w:cstheme="minorHAnsi"/>
        </w:rPr>
        <w:t xml:space="preserve">Certains contributeurs regrettent que le Gouvernement </w:t>
      </w:r>
      <w:proofErr w:type="spellStart"/>
      <w:r>
        <w:rPr>
          <w:rFonts w:cstheme="minorHAnsi"/>
        </w:rPr>
        <w:t>surtranspose</w:t>
      </w:r>
      <w:proofErr w:type="spellEnd"/>
      <w:r>
        <w:rPr>
          <w:rFonts w:cstheme="minorHAnsi"/>
        </w:rPr>
        <w:t xml:space="preserve"> les direct</w:t>
      </w:r>
      <w:r>
        <w:rPr>
          <w:rFonts w:cstheme="minorHAnsi"/>
        </w:rPr>
        <w:t xml:space="preserve">ives européennes et demandent qu’il n’y ait pas d’interdiction sans solution. </w:t>
      </w:r>
    </w:p>
    <w:p w:rsidR="009A223E" w:rsidRDefault="00023E34">
      <w:pPr>
        <w:widowControl/>
        <w:spacing w:after="240"/>
        <w:jc w:val="both"/>
        <w:rPr>
          <w:rFonts w:cstheme="minorHAnsi"/>
        </w:rPr>
      </w:pPr>
      <w:r>
        <w:rPr>
          <w:rFonts w:cstheme="minorHAnsi"/>
        </w:rPr>
        <w:t>D’autres soulignent que l’interdiction des pesticides chimiques dans les équipements sportifs, sauf dérogation, n’a pas fait l’objet d’une étude d’impact.</w:t>
      </w:r>
    </w:p>
    <w:p w:rsidR="009A223E" w:rsidRDefault="00023E34">
      <w:pPr>
        <w:widowControl/>
        <w:spacing w:after="240"/>
        <w:jc w:val="both"/>
        <w:rPr>
          <w:rFonts w:cstheme="minorHAnsi"/>
        </w:rPr>
      </w:pPr>
      <w:r>
        <w:rPr>
          <w:rFonts w:cstheme="minorHAnsi"/>
        </w:rPr>
        <w:t xml:space="preserve">La non-publication de </w:t>
      </w:r>
      <w:r>
        <w:rPr>
          <w:rFonts w:cstheme="minorHAnsi"/>
        </w:rPr>
        <w:t>l’arrêté, qui déroge à l’interdiction, mettrait en danger l’ensemble des filières économiques des pelouses sportives par défaut d’entretien des gazons sportifs de haut niveau. Les golfeurs par exemple iraient pratiquer dans les structures golfiques et d’hé</w:t>
      </w:r>
      <w:r>
        <w:rPr>
          <w:rFonts w:cstheme="minorHAnsi"/>
        </w:rPr>
        <w:t>bergement vacances dans d’autres pays d’Europe, qui n’interdisent pas eux les pesticides chimiques, et a minima une trousse de secours de solution chimique, utilisable notamment pour les greens.</w:t>
      </w:r>
    </w:p>
    <w:p w:rsidR="009A223E" w:rsidRDefault="00023E34">
      <w:pPr>
        <w:widowControl/>
        <w:spacing w:after="240"/>
        <w:jc w:val="both"/>
      </w:pPr>
      <w:r>
        <w:rPr>
          <w:rFonts w:cstheme="minorHAnsi"/>
        </w:rPr>
        <w:t>Certains indiquent que les équipements sportifs ne pourraient</w:t>
      </w:r>
      <w:r>
        <w:rPr>
          <w:rFonts w:cstheme="minorHAnsi"/>
        </w:rPr>
        <w:t xml:space="preserve"> plus accueillir des compétitions de haut niveau, car les standards de qualité associés ne seraient pas respectés.</w:t>
      </w:r>
    </w:p>
    <w:p w:rsidR="009A223E" w:rsidRDefault="00023E34">
      <w:pPr>
        <w:pStyle w:val="Paragraphedeliste"/>
        <w:numPr>
          <w:ilvl w:val="1"/>
          <w:numId w:val="2"/>
        </w:numPr>
        <w:tabs>
          <w:tab w:val="left" w:pos="834"/>
        </w:tabs>
        <w:spacing w:before="160"/>
        <w:ind w:left="834" w:hanging="358"/>
        <w:rPr>
          <w:rFonts w:cstheme="minorHAnsi"/>
        </w:rPr>
      </w:pPr>
      <w:r>
        <w:rPr>
          <w:rFonts w:cstheme="minorHAnsi"/>
          <w:u w:val="single"/>
        </w:rPr>
        <w:t>Arguments</w:t>
      </w:r>
      <w:r>
        <w:rPr>
          <w:rFonts w:cstheme="minorHAnsi"/>
          <w:spacing w:val="-11"/>
          <w:u w:val="single"/>
        </w:rPr>
        <w:t xml:space="preserve"> sanitaires et </w:t>
      </w:r>
      <w:r>
        <w:rPr>
          <w:rFonts w:cstheme="minorHAnsi"/>
          <w:spacing w:val="-2"/>
          <w:u w:val="single"/>
        </w:rPr>
        <w:t>écologiques</w:t>
      </w:r>
    </w:p>
    <w:p w:rsidR="009A223E" w:rsidRDefault="00023E34">
      <w:pPr>
        <w:pStyle w:val="Corpsdetexte"/>
        <w:spacing w:before="182" w:line="259" w:lineRule="auto"/>
        <w:ind w:right="105"/>
        <w:rPr>
          <w:rFonts w:cstheme="minorHAnsi"/>
        </w:rPr>
      </w:pPr>
      <w:r>
        <w:rPr>
          <w:rFonts w:cstheme="minorHAnsi"/>
        </w:rPr>
        <w:t xml:space="preserve">Les défenseurs du texte considèrent qu’il est indispensable de pouvoir continuer à utiliser des pesticides chimiques sur les gazons sportifs pour assurer la sécurité des athlètes et éviter qu’ils ne se blessent. </w:t>
      </w:r>
    </w:p>
    <w:p w:rsidR="009A223E" w:rsidRDefault="00023E34">
      <w:pPr>
        <w:pStyle w:val="Corpsdetexte"/>
        <w:spacing w:before="159" w:line="259" w:lineRule="auto"/>
        <w:ind w:right="105"/>
        <w:rPr>
          <w:rFonts w:cstheme="minorHAnsi"/>
          <w:spacing w:val="-2"/>
        </w:rPr>
      </w:pPr>
      <w:r>
        <w:rPr>
          <w:rFonts w:cstheme="minorHAnsi"/>
          <w:spacing w:val="-2"/>
        </w:rPr>
        <w:t>Certains</w:t>
      </w:r>
      <w:r>
        <w:rPr>
          <w:rFonts w:cstheme="minorHAnsi"/>
          <w:spacing w:val="-4"/>
        </w:rPr>
        <w:t xml:space="preserve"> </w:t>
      </w:r>
      <w:r>
        <w:rPr>
          <w:rFonts w:cstheme="minorHAnsi"/>
          <w:spacing w:val="-2"/>
        </w:rPr>
        <w:t>soulignent</w:t>
      </w:r>
      <w:r>
        <w:rPr>
          <w:rFonts w:cstheme="minorHAnsi"/>
          <w:spacing w:val="-4"/>
        </w:rPr>
        <w:t xml:space="preserve"> </w:t>
      </w:r>
      <w:r>
        <w:rPr>
          <w:rFonts w:cstheme="minorHAnsi"/>
          <w:spacing w:val="-2"/>
        </w:rPr>
        <w:t>que l’absence de l’arrê</w:t>
      </w:r>
      <w:r>
        <w:rPr>
          <w:rFonts w:cstheme="minorHAnsi"/>
          <w:spacing w:val="-2"/>
        </w:rPr>
        <w:t>té dérogatoire entrainerait un remplacement des pelouses sportives par des pelouses synthétiques et donc une artificialisation néfaste pour la santé et l’environnement.</w:t>
      </w:r>
    </w:p>
    <w:p w:rsidR="009A223E" w:rsidRDefault="009A223E">
      <w:pPr>
        <w:pStyle w:val="Corpsdetexte"/>
        <w:ind w:left="0"/>
        <w:jc w:val="left"/>
      </w:pPr>
    </w:p>
    <w:p w:rsidR="009A223E" w:rsidRDefault="00023E34">
      <w:pPr>
        <w:pStyle w:val="Titre1"/>
        <w:numPr>
          <w:ilvl w:val="0"/>
          <w:numId w:val="2"/>
        </w:numPr>
        <w:tabs>
          <w:tab w:val="left" w:pos="359"/>
        </w:tabs>
        <w:ind w:left="359" w:hanging="244"/>
      </w:pPr>
      <w:r>
        <w:t>–</w:t>
      </w:r>
      <w:r>
        <w:rPr>
          <w:rFonts w:ascii="Times New Roman" w:hAnsi="Times New Roman"/>
          <w:b w:val="0"/>
          <w:spacing w:val="-13"/>
        </w:rPr>
        <w:t xml:space="preserve"> </w:t>
      </w:r>
      <w:r>
        <w:t>Concernant</w:t>
      </w:r>
      <w:r>
        <w:rPr>
          <w:rFonts w:ascii="Times New Roman" w:hAnsi="Times New Roman"/>
          <w:b w:val="0"/>
          <w:spacing w:val="-10"/>
        </w:rPr>
        <w:t xml:space="preserve"> </w:t>
      </w:r>
      <w:r>
        <w:t>les</w:t>
      </w:r>
      <w:r>
        <w:rPr>
          <w:rFonts w:ascii="Times New Roman" w:hAnsi="Times New Roman"/>
          <w:b w:val="0"/>
          <w:spacing w:val="-12"/>
        </w:rPr>
        <w:t xml:space="preserve"> </w:t>
      </w:r>
      <w:r>
        <w:t>avis</w:t>
      </w:r>
      <w:r>
        <w:rPr>
          <w:rFonts w:ascii="Times New Roman" w:hAnsi="Times New Roman"/>
          <w:b w:val="0"/>
          <w:spacing w:val="-15"/>
        </w:rPr>
        <w:t xml:space="preserve"> </w:t>
      </w:r>
      <w:r>
        <w:rPr>
          <w:spacing w:val="-2"/>
        </w:rPr>
        <w:t>défavorables</w:t>
      </w:r>
    </w:p>
    <w:p w:rsidR="009A223E" w:rsidRDefault="009A223E">
      <w:pPr>
        <w:pStyle w:val="Titre1"/>
        <w:tabs>
          <w:tab w:val="left" w:pos="359"/>
        </w:tabs>
        <w:ind w:left="359" w:firstLine="0"/>
        <w:rPr>
          <w:spacing w:val="-2"/>
        </w:rPr>
      </w:pPr>
    </w:p>
    <w:p w:rsidR="009A223E" w:rsidRDefault="00023E34">
      <w:pPr>
        <w:widowControl/>
        <w:spacing w:after="240"/>
        <w:jc w:val="both"/>
        <w:rPr>
          <w:rFonts w:cstheme="minorHAnsi"/>
        </w:rPr>
      </w:pPr>
      <w:r>
        <w:rPr>
          <w:rFonts w:cstheme="minorHAnsi"/>
        </w:rPr>
        <w:t>Les commentaires défavorables sont exprimés en gra</w:t>
      </w:r>
      <w:r>
        <w:rPr>
          <w:rFonts w:cstheme="minorHAnsi"/>
        </w:rPr>
        <w:t>nde partie par des représentants des associations de protection de l’environnement et par des citoyens.</w:t>
      </w:r>
    </w:p>
    <w:p w:rsidR="009A223E" w:rsidRDefault="00023E34">
      <w:pPr>
        <w:widowControl/>
        <w:spacing w:after="240"/>
        <w:jc w:val="both"/>
        <w:rPr>
          <w:rFonts w:cstheme="minorHAnsi"/>
        </w:rPr>
      </w:pPr>
      <w:r>
        <w:rPr>
          <w:rFonts w:cstheme="minorHAnsi"/>
        </w:rPr>
        <w:t>Il est important de noter que la plupart souligne l’impact négatif global de l’utilisation des pesticides pour l’homme et l’environnement, et le surcoût</w:t>
      </w:r>
      <w:r>
        <w:rPr>
          <w:rFonts w:cstheme="minorHAnsi"/>
        </w:rPr>
        <w:t xml:space="preserve"> engendré pour la collectivité par le traitement des eaux de captages polluées.</w:t>
      </w:r>
    </w:p>
    <w:p w:rsidR="009A223E" w:rsidRDefault="00023E34">
      <w:pPr>
        <w:widowControl/>
        <w:spacing w:after="240"/>
        <w:jc w:val="both"/>
      </w:pPr>
      <w:r>
        <w:rPr>
          <w:rFonts w:cstheme="minorHAnsi"/>
        </w:rPr>
        <w:lastRenderedPageBreak/>
        <w:t xml:space="preserve">Beaucoup voient dans ce texte une contradiction avec les impacts négatifs démontrés de l’utilisation des pesticides. </w:t>
      </w:r>
    </w:p>
    <w:p w:rsidR="009A223E" w:rsidRDefault="00023E34">
      <w:pPr>
        <w:pStyle w:val="Paragraphedeliste"/>
        <w:numPr>
          <w:ilvl w:val="1"/>
          <w:numId w:val="2"/>
        </w:numPr>
        <w:tabs>
          <w:tab w:val="left" w:pos="834"/>
        </w:tabs>
        <w:spacing w:before="157"/>
        <w:ind w:left="834" w:hanging="358"/>
      </w:pPr>
      <w:r>
        <w:rPr>
          <w:u w:val="single"/>
        </w:rPr>
        <w:t>Arguments</w:t>
      </w:r>
      <w:r>
        <w:rPr>
          <w:rFonts w:ascii="Times New Roman" w:hAnsi="Times New Roman"/>
          <w:spacing w:val="-11"/>
          <w:u w:val="single"/>
        </w:rPr>
        <w:t xml:space="preserve"> </w:t>
      </w:r>
      <w:r>
        <w:rPr>
          <w:u w:val="single"/>
        </w:rPr>
        <w:t>écologiques et sanitaires</w:t>
      </w:r>
    </w:p>
    <w:p w:rsidR="009A223E" w:rsidRDefault="00023E34">
      <w:pPr>
        <w:pStyle w:val="Corpsdetexte"/>
        <w:spacing w:before="183" w:line="259" w:lineRule="auto"/>
        <w:ind w:right="107"/>
        <w:rPr>
          <w:rFonts w:cstheme="minorHAnsi"/>
          <w:spacing w:val="-2"/>
        </w:rPr>
      </w:pPr>
      <w:r>
        <w:t>Il</w:t>
      </w:r>
      <w:r>
        <w:rPr>
          <w:rFonts w:ascii="Times New Roman" w:hAnsi="Times New Roman"/>
        </w:rPr>
        <w:t xml:space="preserve"> </w:t>
      </w:r>
      <w:r>
        <w:t>est</w:t>
      </w:r>
      <w:r>
        <w:rPr>
          <w:rFonts w:ascii="Times New Roman" w:hAnsi="Times New Roman"/>
        </w:rPr>
        <w:t xml:space="preserve"> </w:t>
      </w:r>
      <w:r>
        <w:t>en</w:t>
      </w:r>
      <w:r>
        <w:rPr>
          <w:rFonts w:ascii="Times New Roman" w:hAnsi="Times New Roman"/>
        </w:rPr>
        <w:t xml:space="preserve"> </w:t>
      </w:r>
      <w:r>
        <w:t>premier</w:t>
      </w:r>
      <w:r>
        <w:rPr>
          <w:rFonts w:ascii="Times New Roman" w:hAnsi="Times New Roman"/>
        </w:rPr>
        <w:t xml:space="preserve"> </w:t>
      </w:r>
      <w:r>
        <w:t>lieu</w:t>
      </w:r>
      <w:r>
        <w:rPr>
          <w:rFonts w:ascii="Times New Roman" w:hAnsi="Times New Roman"/>
        </w:rPr>
        <w:t xml:space="preserve"> </w:t>
      </w:r>
      <w:r>
        <w:t>rappelé</w:t>
      </w:r>
      <w:r>
        <w:rPr>
          <w:rFonts w:ascii="Times New Roman" w:hAnsi="Times New Roman"/>
        </w:rPr>
        <w:t xml:space="preserve"> </w:t>
      </w:r>
      <w:r>
        <w:t>par</w:t>
      </w:r>
      <w:r>
        <w:rPr>
          <w:rFonts w:ascii="Times New Roman" w:hAnsi="Times New Roman"/>
        </w:rPr>
        <w:t xml:space="preserve"> </w:t>
      </w:r>
      <w:r>
        <w:t>la</w:t>
      </w:r>
      <w:r>
        <w:rPr>
          <w:rFonts w:ascii="Times New Roman" w:hAnsi="Times New Roman"/>
        </w:rPr>
        <w:t xml:space="preserve"> </w:t>
      </w:r>
      <w:r>
        <w:rPr>
          <w:rFonts w:cstheme="minorHAnsi"/>
        </w:rPr>
        <w:t>plupart des commentaires que l’impact des pesticides sur la biodiversité, les écosystèmes et la santé humaine est globalement négatif et que ces impacts ont été largement documentés</w:t>
      </w:r>
      <w:r>
        <w:rPr>
          <w:rFonts w:cstheme="minorHAnsi"/>
          <w:spacing w:val="-2"/>
        </w:rPr>
        <w:t>.</w:t>
      </w:r>
    </w:p>
    <w:p w:rsidR="009A223E" w:rsidRDefault="00023E34">
      <w:pPr>
        <w:pStyle w:val="Corpsdetexte"/>
        <w:spacing w:before="183" w:line="259" w:lineRule="auto"/>
        <w:ind w:right="107"/>
        <w:rPr>
          <w:rFonts w:cstheme="minorHAnsi"/>
          <w:spacing w:val="-2"/>
        </w:rPr>
      </w:pPr>
      <w:r>
        <w:rPr>
          <w:rFonts w:cstheme="minorHAnsi"/>
          <w:spacing w:val="-2"/>
        </w:rPr>
        <w:t xml:space="preserve">Le bénéfice de l’usage de ces produits dans les pelouses </w:t>
      </w:r>
      <w:r>
        <w:rPr>
          <w:rFonts w:cstheme="minorHAnsi"/>
          <w:spacing w:val="-2"/>
        </w:rPr>
        <w:t>sportives apparait ainsi pour certain comme futile et disproportionné par rapport au risque et aux impacts majeurs pour la santé et l’environnement. Certains soulignent que la prise de risque n’est pas indispensable s’agissant d’une activité de loisir.</w:t>
      </w:r>
    </w:p>
    <w:p w:rsidR="009A223E" w:rsidRDefault="00023E34">
      <w:pPr>
        <w:pStyle w:val="Corpsdetexte"/>
        <w:spacing w:before="183" w:line="259" w:lineRule="auto"/>
        <w:ind w:right="107"/>
        <w:rPr>
          <w:rFonts w:cstheme="minorHAnsi"/>
        </w:rPr>
      </w:pPr>
      <w:r>
        <w:rPr>
          <w:rFonts w:cstheme="minorHAnsi"/>
          <w:spacing w:val="-2"/>
        </w:rPr>
        <w:t>Cer</w:t>
      </w:r>
      <w:r>
        <w:rPr>
          <w:rFonts w:cstheme="minorHAnsi"/>
          <w:spacing w:val="-2"/>
        </w:rPr>
        <w:t>tains commentaires mettent en avant l’existence de solutions alternatives</w:t>
      </w:r>
      <w:r>
        <w:t xml:space="preserve"> efficaces et écologiques pour l’entretien des pelouses sportives comme l’utilisation de variétés de graminées résistantes, l’amélioration des pratiques culturales, ou encore l’entret</w:t>
      </w:r>
      <w:r>
        <w:t>ien mécanique, indiquant que de nombreuses collectivités ont déjà montré qu’il est possible d’entretenir ces espaces sans recourir aux pesticides.</w:t>
      </w:r>
    </w:p>
    <w:p w:rsidR="009A223E" w:rsidRDefault="009A223E">
      <w:pPr>
        <w:pStyle w:val="Corpsdetexte"/>
        <w:spacing w:before="73"/>
        <w:ind w:left="0"/>
        <w:jc w:val="left"/>
        <w:rPr>
          <w:rFonts w:cstheme="minorHAnsi"/>
        </w:rPr>
      </w:pPr>
    </w:p>
    <w:p w:rsidR="009A223E" w:rsidRDefault="00023E34">
      <w:pPr>
        <w:pStyle w:val="Paragraphedeliste"/>
        <w:numPr>
          <w:ilvl w:val="1"/>
          <w:numId w:val="2"/>
        </w:numPr>
        <w:tabs>
          <w:tab w:val="left" w:pos="833"/>
        </w:tabs>
        <w:ind w:left="833" w:hanging="358"/>
        <w:rPr>
          <w:rFonts w:cstheme="minorHAnsi"/>
        </w:rPr>
      </w:pPr>
      <w:r>
        <w:rPr>
          <w:rFonts w:cstheme="minorHAnsi"/>
          <w:u w:val="single"/>
        </w:rPr>
        <w:t>Argument</w:t>
      </w:r>
      <w:r>
        <w:rPr>
          <w:rFonts w:cstheme="minorHAnsi"/>
          <w:spacing w:val="-10"/>
          <w:u w:val="single"/>
        </w:rPr>
        <w:t xml:space="preserve"> </w:t>
      </w:r>
      <w:r>
        <w:rPr>
          <w:rFonts w:cstheme="minorHAnsi"/>
          <w:spacing w:val="-2"/>
          <w:u w:val="single"/>
        </w:rPr>
        <w:t>sociétal</w:t>
      </w:r>
    </w:p>
    <w:p w:rsidR="009A223E" w:rsidRDefault="00023E34">
      <w:pPr>
        <w:pStyle w:val="Corpsdetexte"/>
        <w:spacing w:before="157" w:line="259" w:lineRule="auto"/>
        <w:ind w:left="116" w:right="105"/>
      </w:pPr>
      <w:r>
        <w:rPr>
          <w:spacing w:val="-2"/>
        </w:rPr>
        <w:t xml:space="preserve">Un </w:t>
      </w:r>
      <w:r>
        <w:rPr>
          <w:rFonts w:cstheme="minorHAnsi"/>
        </w:rPr>
        <w:t xml:space="preserve">commentaire souligne que la majorité de la population rejette l’utilisation des </w:t>
      </w:r>
      <w:r>
        <w:rPr>
          <w:rFonts w:cstheme="minorHAnsi"/>
        </w:rPr>
        <w:t>pesticides et que cette volonté générale doit être prise en compte. Il ajoute que le gouvernement s’est engagé sur la voie de la réduction d’usage des pesticides et doit poursuivre ses efforts louables dans ce sens.</w:t>
      </w:r>
    </w:p>
    <w:p w:rsidR="009A223E" w:rsidRDefault="009A223E">
      <w:pPr>
        <w:tabs>
          <w:tab w:val="left" w:pos="833"/>
        </w:tabs>
        <w:spacing w:before="1"/>
      </w:pPr>
    </w:p>
    <w:p w:rsidR="009A223E" w:rsidRDefault="009A223E">
      <w:pPr>
        <w:pStyle w:val="Corpsdetexte"/>
        <w:spacing w:before="182" w:line="259" w:lineRule="auto"/>
        <w:ind w:right="105"/>
      </w:pPr>
    </w:p>
    <w:sectPr w:rsidR="009A223E">
      <w:pgSz w:w="11906" w:h="16838"/>
      <w:pgMar w:top="1840" w:right="1300" w:bottom="280" w:left="13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4C10"/>
    <w:multiLevelType w:val="multilevel"/>
    <w:tmpl w:val="A1BADD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612DE9"/>
    <w:multiLevelType w:val="multilevel"/>
    <w:tmpl w:val="135047D6"/>
    <w:lvl w:ilvl="0">
      <w:start w:val="1"/>
      <w:numFmt w:val="upperRoman"/>
      <w:lvlText w:val="%1"/>
      <w:lvlJc w:val="left"/>
      <w:pPr>
        <w:tabs>
          <w:tab w:val="num" w:pos="0"/>
        </w:tabs>
        <w:ind w:left="263" w:hanging="121"/>
      </w:pPr>
      <w:rPr>
        <w:rFonts w:ascii="Calibri" w:eastAsia="Calibri" w:hAnsi="Calibri" w:cs="Calibri"/>
        <w:b/>
        <w:bCs/>
        <w:i w:val="0"/>
        <w:iCs w:val="0"/>
        <w:spacing w:val="0"/>
        <w:w w:val="99"/>
        <w:sz w:val="24"/>
        <w:szCs w:val="24"/>
        <w:lang w:val="fr-FR" w:eastAsia="en-US" w:bidi="ar-SA"/>
      </w:rPr>
    </w:lvl>
    <w:lvl w:ilvl="1">
      <w:start w:val="1"/>
      <w:numFmt w:val="decimal"/>
      <w:lvlText w:val="%2."/>
      <w:lvlJc w:val="left"/>
      <w:pPr>
        <w:tabs>
          <w:tab w:val="num" w:pos="0"/>
        </w:tabs>
        <w:ind w:left="835" w:hanging="360"/>
      </w:pPr>
      <w:rPr>
        <w:rFonts w:ascii="Calibri" w:eastAsia="Calibri" w:hAnsi="Calibri" w:cs="Calibri"/>
        <w:b w:val="0"/>
        <w:bCs w:val="0"/>
        <w:i w:val="0"/>
        <w:iCs w:val="0"/>
        <w:spacing w:val="0"/>
        <w:w w:val="100"/>
        <w:sz w:val="22"/>
        <w:szCs w:val="22"/>
        <w:lang w:val="fr-FR" w:eastAsia="en-US" w:bidi="ar-SA"/>
      </w:rPr>
    </w:lvl>
    <w:lvl w:ilvl="2">
      <w:numFmt w:val="bullet"/>
      <w:lvlText w:val=""/>
      <w:lvlJc w:val="left"/>
      <w:pPr>
        <w:tabs>
          <w:tab w:val="num" w:pos="0"/>
        </w:tabs>
        <w:ind w:left="836" w:hanging="360"/>
      </w:pPr>
      <w:rPr>
        <w:rFonts w:ascii="Symbol" w:hAnsi="Symbol" w:cs="Symbol" w:hint="default"/>
        <w:b w:val="0"/>
        <w:bCs w:val="0"/>
        <w:i w:val="0"/>
        <w:iCs w:val="0"/>
        <w:spacing w:val="0"/>
        <w:w w:val="100"/>
        <w:sz w:val="22"/>
        <w:szCs w:val="22"/>
        <w:lang w:val="fr-FR" w:eastAsia="en-US" w:bidi="ar-SA"/>
      </w:rPr>
    </w:lvl>
    <w:lvl w:ilvl="3">
      <w:numFmt w:val="bullet"/>
      <w:lvlText w:val=""/>
      <w:lvlJc w:val="left"/>
      <w:pPr>
        <w:tabs>
          <w:tab w:val="num" w:pos="0"/>
        </w:tabs>
        <w:ind w:left="2720" w:hanging="360"/>
      </w:pPr>
      <w:rPr>
        <w:rFonts w:ascii="Symbol" w:hAnsi="Symbol" w:cs="Symbol" w:hint="default"/>
        <w:lang w:val="fr-FR" w:eastAsia="en-US" w:bidi="ar-SA"/>
      </w:rPr>
    </w:lvl>
    <w:lvl w:ilvl="4">
      <w:numFmt w:val="bullet"/>
      <w:lvlText w:val=""/>
      <w:lvlJc w:val="left"/>
      <w:pPr>
        <w:tabs>
          <w:tab w:val="num" w:pos="0"/>
        </w:tabs>
        <w:ind w:left="3660" w:hanging="360"/>
      </w:pPr>
      <w:rPr>
        <w:rFonts w:ascii="Symbol" w:hAnsi="Symbol" w:cs="Symbol" w:hint="default"/>
        <w:lang w:val="fr-FR" w:eastAsia="en-US" w:bidi="ar-SA"/>
      </w:rPr>
    </w:lvl>
    <w:lvl w:ilvl="5">
      <w:numFmt w:val="bullet"/>
      <w:lvlText w:val=""/>
      <w:lvlJc w:val="left"/>
      <w:pPr>
        <w:tabs>
          <w:tab w:val="num" w:pos="0"/>
        </w:tabs>
        <w:ind w:left="4600" w:hanging="360"/>
      </w:pPr>
      <w:rPr>
        <w:rFonts w:ascii="Symbol" w:hAnsi="Symbol" w:cs="Symbol" w:hint="default"/>
        <w:lang w:val="fr-FR" w:eastAsia="en-US" w:bidi="ar-SA"/>
      </w:rPr>
    </w:lvl>
    <w:lvl w:ilvl="6">
      <w:numFmt w:val="bullet"/>
      <w:lvlText w:val=""/>
      <w:lvlJc w:val="left"/>
      <w:pPr>
        <w:tabs>
          <w:tab w:val="num" w:pos="0"/>
        </w:tabs>
        <w:ind w:left="5540" w:hanging="360"/>
      </w:pPr>
      <w:rPr>
        <w:rFonts w:ascii="Symbol" w:hAnsi="Symbol" w:cs="Symbol" w:hint="default"/>
        <w:lang w:val="fr-FR" w:eastAsia="en-US" w:bidi="ar-SA"/>
      </w:rPr>
    </w:lvl>
    <w:lvl w:ilvl="7">
      <w:numFmt w:val="bullet"/>
      <w:lvlText w:val=""/>
      <w:lvlJc w:val="left"/>
      <w:pPr>
        <w:tabs>
          <w:tab w:val="num" w:pos="0"/>
        </w:tabs>
        <w:ind w:left="6480" w:hanging="360"/>
      </w:pPr>
      <w:rPr>
        <w:rFonts w:ascii="Symbol" w:hAnsi="Symbol" w:cs="Symbol" w:hint="default"/>
        <w:lang w:val="fr-FR" w:eastAsia="en-US" w:bidi="ar-SA"/>
      </w:rPr>
    </w:lvl>
    <w:lvl w:ilvl="8">
      <w:numFmt w:val="bullet"/>
      <w:lvlText w:val=""/>
      <w:lvlJc w:val="left"/>
      <w:pPr>
        <w:tabs>
          <w:tab w:val="num" w:pos="0"/>
        </w:tabs>
        <w:ind w:left="7420" w:hanging="360"/>
      </w:pPr>
      <w:rPr>
        <w:rFonts w:ascii="Symbol" w:hAnsi="Symbol" w:cs="Symbol" w:hint="default"/>
        <w:lang w:val="fr-F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3E"/>
    <w:rsid w:val="00023E34"/>
    <w:rsid w:val="004938B9"/>
    <w:rsid w:val="009A223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08A84-E64C-4D8C-9C6E-45DE0D1F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Calibri"/>
      <w:lang w:val="fr-FR"/>
    </w:rPr>
  </w:style>
  <w:style w:type="paragraph" w:styleId="Titre1">
    <w:name w:val="heading 1"/>
    <w:basedOn w:val="Normal"/>
    <w:uiPriority w:val="9"/>
    <w:qFormat/>
    <w:pPr>
      <w:spacing w:before="1"/>
      <w:ind w:left="234" w:hanging="259"/>
      <w:jc w:val="both"/>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unhideWhenUsed/>
    <w:qFormat/>
    <w:rsid w:val="00735A96"/>
    <w:rPr>
      <w:color w:val="0000FF" w:themeColor="hyperlink"/>
      <w:u w:val="single"/>
    </w:rPr>
  </w:style>
  <w:style w:type="character" w:styleId="Lienhypertextesuivivisit">
    <w:name w:val="FollowedHyperlink"/>
    <w:basedOn w:val="Policepardfaut"/>
    <w:uiPriority w:val="99"/>
    <w:semiHidden/>
    <w:unhideWhenUsed/>
    <w:rsid w:val="00C0651B"/>
    <w:rPr>
      <w:color w:val="800080" w:themeColor="followedHyperlink"/>
      <w:u w:val="single"/>
    </w:rPr>
  </w:style>
  <w:style w:type="character" w:customStyle="1" w:styleId="InternetLink1">
    <w:name w:val="Internet Link1"/>
    <w:qFormat/>
    <w:rPr>
      <w:color w:val="000080"/>
      <w:u w:val="single"/>
    </w:rPr>
  </w:style>
  <w:style w:type="character" w:styleId="Lienhypertexte">
    <w:name w:val="Hyperlink"/>
    <w:rPr>
      <w:color w:val="000080"/>
      <w:u w:val="single"/>
    </w:rPr>
  </w:style>
  <w:style w:type="paragraph" w:styleId="Titre">
    <w:name w:val="Title"/>
    <w:basedOn w:val="Normal"/>
    <w:next w:val="Corpsdetexte"/>
    <w:uiPriority w:val="10"/>
    <w:qFormat/>
    <w:pPr>
      <w:spacing w:before="16"/>
      <w:ind w:left="5" w:right="2"/>
      <w:jc w:val="center"/>
    </w:pPr>
    <w:rPr>
      <w:b/>
      <w:bCs/>
      <w:sz w:val="32"/>
      <w:szCs w:val="32"/>
    </w:rPr>
  </w:style>
  <w:style w:type="paragraph" w:styleId="Corpsdetexte">
    <w:name w:val="Body Text"/>
    <w:basedOn w:val="Normal"/>
    <w:uiPriority w:val="1"/>
    <w:qFormat/>
    <w:pPr>
      <w:ind w:left="115"/>
      <w:jc w:val="both"/>
    </w:pPr>
  </w:style>
  <w:style w:type="paragraph" w:styleId="Liste">
    <w:name w:val="List"/>
    <w:basedOn w:val="Corpsdetexte"/>
    <w:rPr>
      <w:rFonts w:cs="Noto Sans"/>
    </w:rPr>
  </w:style>
  <w:style w:type="paragraph" w:styleId="Lgende">
    <w:name w:val="caption"/>
    <w:basedOn w:val="Normal"/>
    <w:qFormat/>
    <w:pPr>
      <w:suppressLineNumbers/>
      <w:spacing w:before="120" w:after="120"/>
    </w:pPr>
    <w:rPr>
      <w:rFonts w:cs="Noto Sans"/>
      <w:i/>
      <w:iCs/>
      <w:sz w:val="24"/>
      <w:szCs w:val="24"/>
    </w:rPr>
  </w:style>
  <w:style w:type="paragraph" w:customStyle="1" w:styleId="Index">
    <w:name w:val="Index"/>
    <w:basedOn w:val="Normal"/>
    <w:qFormat/>
    <w:pPr>
      <w:suppressLineNumbers/>
    </w:pPr>
    <w:rPr>
      <w:rFonts w:cs="Noto Sans"/>
    </w:rPr>
  </w:style>
  <w:style w:type="paragraph" w:styleId="Paragraphedeliste">
    <w:name w:val="List Paragraph"/>
    <w:basedOn w:val="Normal"/>
    <w:uiPriority w:val="1"/>
    <w:qFormat/>
    <w:pPr>
      <w:ind w:left="834" w:hanging="358"/>
      <w:jc w:val="both"/>
    </w:pPr>
  </w:style>
  <w:style w:type="paragraph" w:customStyle="1" w:styleId="TableParagraph">
    <w:name w:val="Table Paragraph"/>
    <w:basedOn w:val="Normal"/>
    <w:uiPriority w:val="1"/>
    <w:qFormat/>
    <w:pPr>
      <w:spacing w:line="248" w:lineRule="exact"/>
      <w:ind w:left="9"/>
      <w:jc w:val="center"/>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Pasdeliste">
    <w:name w:val="Pas de liste"/>
    <w:uiPriority w:val="99"/>
    <w:semiHidden/>
    <w:unhideWhenUsed/>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tions-publiques.developpement-durable.gouv.fr/projet-d-arrete-fixant-la-liste-des-usages-des-a311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1101</Words>
  <Characters>6060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synthèse de la consultation_finale</vt:lpstr>
    </vt:vector>
  </TitlesOfParts>
  <Company>MTECT-MTE</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synthèse de la consultation_finale</dc:title>
  <dc:subject/>
  <dc:creator>c-c.garnier</dc:creator>
  <dc:description/>
  <cp:lastModifiedBy>POUJEAUX Dominique</cp:lastModifiedBy>
  <cp:revision>2</cp:revision>
  <cp:lastPrinted>2024-07-17T12:58:00Z</cp:lastPrinted>
  <dcterms:created xsi:type="dcterms:W3CDTF">2025-01-16T12:54:00Z</dcterms:created>
  <dcterms:modified xsi:type="dcterms:W3CDTF">2025-01-16T12:54:00Z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PDFCreator Free 3.4.0</vt:lpwstr>
  </property>
  <property fmtid="{D5CDD505-2E9C-101B-9397-08002B2CF9AE}" pid="4" name="LastSaved">
    <vt:filetime>2024-07-04T00:00:00Z</vt:filetime>
  </property>
  <property fmtid="{D5CDD505-2E9C-101B-9397-08002B2CF9AE}" pid="5" name="Producer">
    <vt:lpwstr>PDFCreator Free 3.4.0</vt:lpwstr>
  </property>
</Properties>
</file>