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731"/>
        <w:gridCol w:w="1097"/>
        <w:gridCol w:w="1686"/>
      </w:tblGrid>
      <w:tr w:rsidR="00A64873" w:rsidRPr="00FB39BD" w:rsidTr="009948D2">
        <w:trPr>
          <w:cantSplit/>
          <w:trHeight w:val="272"/>
        </w:trPr>
        <w:tc>
          <w:tcPr>
            <w:tcW w:w="4514" w:type="dxa"/>
            <w:gridSpan w:val="3"/>
          </w:tcPr>
          <w:p w:rsidR="00A64873" w:rsidRPr="00FB39BD" w:rsidRDefault="00A64873" w:rsidP="009948D2">
            <w:pPr>
              <w:pStyle w:val="SNRpublique"/>
            </w:pPr>
            <w:r w:rsidRPr="00FB39BD">
              <w:t>RÉPUBLIQUE FRANÇAISE</w:t>
            </w:r>
          </w:p>
        </w:tc>
      </w:tr>
      <w:tr w:rsidR="00A64873" w:rsidRPr="00FB39BD" w:rsidTr="009948D2">
        <w:trPr>
          <w:cantSplit/>
          <w:trHeight w:hRule="exact" w:val="377"/>
        </w:trPr>
        <w:tc>
          <w:tcPr>
            <w:tcW w:w="1731" w:type="dxa"/>
          </w:tcPr>
          <w:p w:rsidR="00A64873" w:rsidRPr="00FB39BD" w:rsidRDefault="00A64873" w:rsidP="009948D2"/>
        </w:tc>
        <w:tc>
          <w:tcPr>
            <w:tcW w:w="1097" w:type="dxa"/>
          </w:tcPr>
          <w:p w:rsidR="00A64873" w:rsidRPr="00FB39BD" w:rsidRDefault="00A64873" w:rsidP="009948D2">
            <w:r>
              <w:t>________</w:t>
            </w:r>
          </w:p>
        </w:tc>
        <w:tc>
          <w:tcPr>
            <w:tcW w:w="1686" w:type="dxa"/>
          </w:tcPr>
          <w:p w:rsidR="00A64873" w:rsidRPr="00FB39BD" w:rsidRDefault="00A64873" w:rsidP="009948D2"/>
        </w:tc>
      </w:tr>
      <w:tr w:rsidR="00A64873" w:rsidRPr="00FB39BD" w:rsidTr="009948D2">
        <w:trPr>
          <w:cantSplit/>
          <w:trHeight w:val="830"/>
        </w:trPr>
        <w:tc>
          <w:tcPr>
            <w:tcW w:w="4514" w:type="dxa"/>
            <w:gridSpan w:val="3"/>
          </w:tcPr>
          <w:p w:rsidR="00A64873" w:rsidRPr="00FB39BD" w:rsidRDefault="00A64873" w:rsidP="009948D2">
            <w:pPr>
              <w:pStyle w:val="SNTimbre"/>
            </w:pPr>
            <w:r w:rsidRPr="00FB39BD">
              <w:t>Ministère de l’</w:t>
            </w:r>
            <w:r w:rsidR="00980D9A">
              <w:t>é</w:t>
            </w:r>
            <w:r w:rsidRPr="00FB39BD">
              <w:t xml:space="preserve">cologie, du </w:t>
            </w:r>
            <w:r w:rsidR="00980D9A">
              <w:t>d</w:t>
            </w:r>
            <w:r w:rsidRPr="00FB39BD">
              <w:t>éveloppement durable et de l’</w:t>
            </w:r>
            <w:r w:rsidR="00980D9A">
              <w:t>é</w:t>
            </w:r>
            <w:r w:rsidRPr="00FB39BD">
              <w:t>nergie</w:t>
            </w:r>
          </w:p>
          <w:p w:rsidR="00A64873" w:rsidRPr="00FB39BD" w:rsidRDefault="00A64873" w:rsidP="009948D2">
            <w:pPr>
              <w:pStyle w:val="SNTimbre"/>
            </w:pPr>
            <w:r>
              <w:t>________</w:t>
            </w:r>
          </w:p>
        </w:tc>
      </w:tr>
      <w:tr w:rsidR="00875C35" w:rsidRPr="00FB39BD" w:rsidTr="00875C35">
        <w:trPr>
          <w:cantSplit/>
          <w:trHeight w:hRule="exact" w:val="563"/>
        </w:trPr>
        <w:tc>
          <w:tcPr>
            <w:tcW w:w="4514" w:type="dxa"/>
            <w:gridSpan w:val="3"/>
          </w:tcPr>
          <w:p w:rsidR="00875C35" w:rsidRDefault="00875C35" w:rsidP="00875C35">
            <w:pPr>
              <w:pStyle w:val="SNTimbre"/>
            </w:pPr>
            <w:r w:rsidRPr="00FB39BD">
              <w:t>Transports, Mer et Pêche</w:t>
            </w:r>
          </w:p>
          <w:p w:rsidR="00875C35" w:rsidRDefault="00875C35" w:rsidP="00875C35">
            <w:pPr>
              <w:pStyle w:val="SNTimbre"/>
              <w:spacing w:before="240"/>
            </w:pPr>
            <w:proofErr w:type="spellStart"/>
            <w:r w:rsidRPr="00FB39BD">
              <w:t>orts</w:t>
            </w:r>
            <w:proofErr w:type="spellEnd"/>
            <w:r w:rsidRPr="00FB39BD">
              <w:t>, Mer et Pêche</w:t>
            </w:r>
          </w:p>
          <w:p w:rsidR="00875C35" w:rsidRPr="00FB39BD" w:rsidRDefault="00875C35" w:rsidP="009948D2">
            <w:r>
              <w:t>__________</w:t>
            </w:r>
          </w:p>
        </w:tc>
      </w:tr>
    </w:tbl>
    <w:p w:rsidR="00A64873" w:rsidRPr="00FB39BD" w:rsidRDefault="00A64873" w:rsidP="00A64873"/>
    <w:p w:rsidR="00A64873" w:rsidRPr="00A64873" w:rsidRDefault="00A64873" w:rsidP="00EF6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873">
        <w:rPr>
          <w:rFonts w:ascii="Times New Roman" w:hAnsi="Times New Roman"/>
          <w:b/>
          <w:sz w:val="24"/>
          <w:szCs w:val="24"/>
        </w:rPr>
        <w:t xml:space="preserve">Arrêté du </w:t>
      </w:r>
      <w:r w:rsidR="00C324B1">
        <w:rPr>
          <w:rFonts w:ascii="Times New Roman" w:hAnsi="Times New Roman"/>
          <w:b/>
          <w:sz w:val="24"/>
          <w:szCs w:val="24"/>
        </w:rPr>
        <w:t xml:space="preserve">    décembre 2015</w:t>
      </w:r>
    </w:p>
    <w:p w:rsidR="00A12A54" w:rsidRDefault="00A12A54" w:rsidP="00EF64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64873" w:rsidRPr="004C3793" w:rsidRDefault="00D04A05" w:rsidP="00EF6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C3793">
        <w:rPr>
          <w:rFonts w:ascii="Times New Roman" w:hAnsi="Times New Roman"/>
          <w:b/>
          <w:color w:val="000000"/>
          <w:sz w:val="24"/>
          <w:szCs w:val="24"/>
        </w:rPr>
        <w:t>modifiant</w:t>
      </w:r>
      <w:proofErr w:type="gramEnd"/>
      <w:r w:rsidRPr="004C3793">
        <w:rPr>
          <w:rFonts w:ascii="Times New Roman" w:hAnsi="Times New Roman"/>
          <w:b/>
          <w:color w:val="000000"/>
          <w:sz w:val="24"/>
          <w:szCs w:val="24"/>
        </w:rPr>
        <w:t xml:space="preserve"> l’arrêté </w:t>
      </w:r>
      <w:r w:rsidRPr="004C3793">
        <w:rPr>
          <w:rFonts w:ascii="Times New Roman" w:hAnsi="Times New Roman"/>
          <w:b/>
          <w:sz w:val="24"/>
          <w:szCs w:val="24"/>
        </w:rPr>
        <w:t>du 12 février 2015 créant un régime national de gestion pour la pêcherie de la sole commune (</w:t>
      </w:r>
      <w:r w:rsidRPr="004C3793">
        <w:rPr>
          <w:rFonts w:ascii="Times New Roman" w:hAnsi="Times New Roman"/>
          <w:b/>
          <w:i/>
          <w:sz w:val="24"/>
          <w:szCs w:val="24"/>
        </w:rPr>
        <w:t>Solea solea</w:t>
      </w:r>
      <w:r w:rsidRPr="004C3793">
        <w:rPr>
          <w:rFonts w:ascii="Times New Roman" w:hAnsi="Times New Roman"/>
          <w:b/>
          <w:sz w:val="24"/>
          <w:szCs w:val="24"/>
        </w:rPr>
        <w:t>) dans le golfe de Gascogne (divisions CIEM VIII a et b)</w:t>
      </w:r>
      <w:r w:rsidRPr="004C379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12A54" w:rsidRDefault="00A12A54" w:rsidP="00A6487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64873" w:rsidRPr="00A64873" w:rsidRDefault="00A64873" w:rsidP="00A6487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64873">
        <w:rPr>
          <w:rFonts w:ascii="Times New Roman" w:hAnsi="Times New Roman"/>
          <w:color w:val="000000"/>
          <w:sz w:val="24"/>
          <w:szCs w:val="24"/>
        </w:rPr>
        <w:t xml:space="preserve">NOR : </w:t>
      </w:r>
      <w:r w:rsidR="00A12A54" w:rsidRPr="00A12A54">
        <w:rPr>
          <w:rFonts w:ascii="Times New Roman" w:hAnsi="Times New Roman"/>
          <w:color w:val="000000"/>
          <w:sz w:val="24"/>
          <w:szCs w:val="24"/>
        </w:rPr>
        <w:t>DEVM1528727A</w:t>
      </w:r>
    </w:p>
    <w:p w:rsidR="00A12A54" w:rsidRDefault="00A12A54" w:rsidP="00A64873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A64873" w:rsidRPr="00A12A54" w:rsidRDefault="00666871" w:rsidP="00A64873">
      <w:pPr>
        <w:jc w:val="both"/>
        <w:rPr>
          <w:rFonts w:ascii="Times New Roman" w:hAnsi="Times New Roman"/>
          <w:i/>
          <w:sz w:val="24"/>
          <w:szCs w:val="24"/>
        </w:rPr>
      </w:pPr>
      <w:r w:rsidRPr="00666871">
        <w:rPr>
          <w:rFonts w:ascii="Times New Roman" w:hAnsi="Times New Roman"/>
          <w:b/>
          <w:i/>
          <w:sz w:val="24"/>
          <w:szCs w:val="24"/>
        </w:rPr>
        <w:t>Publics concernés </w:t>
      </w:r>
      <w:r w:rsidRPr="00666871">
        <w:rPr>
          <w:rFonts w:ascii="Times New Roman" w:hAnsi="Times New Roman"/>
          <w:i/>
          <w:sz w:val="24"/>
          <w:szCs w:val="24"/>
        </w:rPr>
        <w:t>: personnes morales, personnes physiques, armateurs à la pêche, services déconcentrés.</w:t>
      </w:r>
    </w:p>
    <w:p w:rsidR="00DB51F6" w:rsidRPr="00A12A54" w:rsidRDefault="00666871" w:rsidP="00A64873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66871">
        <w:rPr>
          <w:rFonts w:ascii="Times New Roman" w:hAnsi="Times New Roman"/>
          <w:b/>
          <w:i/>
          <w:sz w:val="24"/>
          <w:szCs w:val="24"/>
        </w:rPr>
        <w:t xml:space="preserve">Objet : </w:t>
      </w:r>
      <w:r w:rsidRPr="00666871">
        <w:rPr>
          <w:rFonts w:ascii="Times New Roman" w:hAnsi="Times New Roman"/>
          <w:i/>
          <w:sz w:val="24"/>
          <w:szCs w:val="24"/>
        </w:rPr>
        <w:t>création d’</w:t>
      </w:r>
      <w:r w:rsidRPr="00666871">
        <w:rPr>
          <w:rFonts w:ascii="Times New Roman" w:hAnsi="Times New Roman"/>
          <w:i/>
          <w:color w:val="000000"/>
          <w:sz w:val="24"/>
          <w:szCs w:val="24"/>
        </w:rPr>
        <w:t xml:space="preserve">un régime national de gestion pour la pêcherie de la sole dans le </w:t>
      </w:r>
      <w:r w:rsidR="00970217">
        <w:rPr>
          <w:rFonts w:ascii="Times New Roman" w:hAnsi="Times New Roman"/>
          <w:i/>
          <w:color w:val="000000"/>
          <w:sz w:val="24"/>
          <w:szCs w:val="24"/>
        </w:rPr>
        <w:t>g</w:t>
      </w:r>
      <w:r w:rsidRPr="00666871">
        <w:rPr>
          <w:rFonts w:ascii="Times New Roman" w:hAnsi="Times New Roman"/>
          <w:i/>
          <w:color w:val="000000"/>
          <w:sz w:val="24"/>
          <w:szCs w:val="24"/>
        </w:rPr>
        <w:t>olfe de Gascogne</w:t>
      </w:r>
      <w:r w:rsidR="00A12A54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66687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A64873" w:rsidRPr="00A12A54" w:rsidRDefault="00666871" w:rsidP="00A64873">
      <w:pPr>
        <w:jc w:val="both"/>
        <w:rPr>
          <w:rFonts w:ascii="Times New Roman" w:hAnsi="Times New Roman"/>
          <w:i/>
          <w:sz w:val="24"/>
          <w:szCs w:val="24"/>
        </w:rPr>
      </w:pPr>
      <w:r w:rsidRPr="00666871">
        <w:rPr>
          <w:rFonts w:ascii="Times New Roman" w:hAnsi="Times New Roman"/>
          <w:b/>
          <w:i/>
          <w:sz w:val="24"/>
          <w:szCs w:val="24"/>
        </w:rPr>
        <w:t xml:space="preserve">Entrée en vigueur : </w:t>
      </w:r>
      <w:r w:rsidR="002A5D00">
        <w:rPr>
          <w:rFonts w:ascii="Times New Roman" w:hAnsi="Times New Roman"/>
          <w:i/>
          <w:sz w:val="24"/>
          <w:szCs w:val="24"/>
        </w:rPr>
        <w:t>le</w:t>
      </w:r>
      <w:r w:rsidRPr="00666871">
        <w:rPr>
          <w:rFonts w:ascii="Times New Roman" w:hAnsi="Times New Roman"/>
          <w:i/>
          <w:sz w:val="24"/>
          <w:szCs w:val="24"/>
        </w:rPr>
        <w:t xml:space="preserve"> 1</w:t>
      </w:r>
      <w:r w:rsidRPr="00666871">
        <w:rPr>
          <w:rFonts w:ascii="Times New Roman" w:hAnsi="Times New Roman"/>
          <w:i/>
          <w:sz w:val="24"/>
          <w:szCs w:val="24"/>
          <w:vertAlign w:val="superscript"/>
        </w:rPr>
        <w:t>er</w:t>
      </w:r>
      <w:r w:rsidRPr="00666871">
        <w:rPr>
          <w:rFonts w:ascii="Times New Roman" w:hAnsi="Times New Roman"/>
          <w:i/>
          <w:sz w:val="24"/>
          <w:szCs w:val="24"/>
        </w:rPr>
        <w:t xml:space="preserve"> janvier 2016</w:t>
      </w:r>
      <w:r w:rsidR="00A12A54">
        <w:rPr>
          <w:rFonts w:ascii="Times New Roman" w:hAnsi="Times New Roman"/>
          <w:i/>
          <w:sz w:val="24"/>
          <w:szCs w:val="24"/>
        </w:rPr>
        <w:t>.</w:t>
      </w:r>
    </w:p>
    <w:p w:rsidR="00A64873" w:rsidRPr="00A12A54" w:rsidRDefault="00666871" w:rsidP="00A64873">
      <w:pPr>
        <w:jc w:val="both"/>
        <w:rPr>
          <w:rFonts w:ascii="Times New Roman" w:hAnsi="Times New Roman"/>
          <w:i/>
          <w:sz w:val="24"/>
          <w:szCs w:val="24"/>
        </w:rPr>
      </w:pPr>
      <w:r w:rsidRPr="00666871">
        <w:rPr>
          <w:rFonts w:ascii="Times New Roman" w:hAnsi="Times New Roman"/>
          <w:b/>
          <w:i/>
          <w:sz w:val="24"/>
          <w:szCs w:val="24"/>
        </w:rPr>
        <w:t xml:space="preserve">Notice : </w:t>
      </w:r>
      <w:r w:rsidRPr="00666871">
        <w:rPr>
          <w:rFonts w:ascii="Times New Roman" w:hAnsi="Times New Roman"/>
          <w:i/>
          <w:sz w:val="24"/>
          <w:szCs w:val="24"/>
        </w:rPr>
        <w:t xml:space="preserve">le présent arrêté crée un régime de gestion pour la pêcherie de la sole </w:t>
      </w:r>
      <w:r w:rsidR="00A12A54">
        <w:rPr>
          <w:rFonts w:ascii="Times New Roman" w:hAnsi="Times New Roman"/>
          <w:i/>
          <w:sz w:val="24"/>
          <w:szCs w:val="24"/>
        </w:rPr>
        <w:t xml:space="preserve">commune (Solea solea) </w:t>
      </w:r>
      <w:r w:rsidRPr="00666871">
        <w:rPr>
          <w:rFonts w:ascii="Times New Roman" w:hAnsi="Times New Roman"/>
          <w:i/>
          <w:sz w:val="24"/>
          <w:szCs w:val="24"/>
        </w:rPr>
        <w:t xml:space="preserve">dans le </w:t>
      </w:r>
      <w:r w:rsidR="002A5D00">
        <w:rPr>
          <w:rFonts w:ascii="Times New Roman" w:hAnsi="Times New Roman"/>
          <w:i/>
          <w:sz w:val="24"/>
          <w:szCs w:val="24"/>
        </w:rPr>
        <w:t>g</w:t>
      </w:r>
      <w:r w:rsidRPr="00666871">
        <w:rPr>
          <w:rFonts w:ascii="Times New Roman" w:hAnsi="Times New Roman"/>
          <w:i/>
          <w:sz w:val="24"/>
          <w:szCs w:val="24"/>
        </w:rPr>
        <w:t>olfe de Gascogne afin d’améliorer l’état du stoc</w:t>
      </w:r>
      <w:r w:rsidR="00875C35">
        <w:rPr>
          <w:rFonts w:ascii="Times New Roman" w:hAnsi="Times New Roman"/>
          <w:i/>
          <w:sz w:val="24"/>
          <w:szCs w:val="24"/>
        </w:rPr>
        <w:t>k</w:t>
      </w:r>
    </w:p>
    <w:p w:rsidR="00A64873" w:rsidRPr="00A12A54" w:rsidRDefault="00666871" w:rsidP="00A64873">
      <w:pPr>
        <w:jc w:val="both"/>
        <w:rPr>
          <w:rFonts w:ascii="Times New Roman" w:hAnsi="Times New Roman"/>
          <w:i/>
          <w:sz w:val="24"/>
          <w:szCs w:val="24"/>
        </w:rPr>
      </w:pPr>
      <w:r w:rsidRPr="00666871">
        <w:rPr>
          <w:rFonts w:ascii="Times New Roman" w:hAnsi="Times New Roman"/>
          <w:b/>
          <w:i/>
          <w:sz w:val="24"/>
          <w:szCs w:val="24"/>
        </w:rPr>
        <w:t xml:space="preserve">Référence : </w:t>
      </w:r>
      <w:r w:rsidRPr="00666871">
        <w:rPr>
          <w:rFonts w:ascii="Times New Roman" w:hAnsi="Times New Roman"/>
          <w:i/>
          <w:sz w:val="24"/>
          <w:szCs w:val="24"/>
        </w:rPr>
        <w:t xml:space="preserve">le présent arrêté peut être consulté sur le site </w:t>
      </w:r>
      <w:proofErr w:type="spellStart"/>
      <w:r w:rsidRPr="00666871">
        <w:rPr>
          <w:rFonts w:ascii="Times New Roman" w:hAnsi="Times New Roman"/>
          <w:i/>
          <w:sz w:val="24"/>
          <w:szCs w:val="24"/>
        </w:rPr>
        <w:t>Légifrance</w:t>
      </w:r>
      <w:proofErr w:type="spellEnd"/>
      <w:r w:rsidRPr="00666871">
        <w:rPr>
          <w:rFonts w:ascii="Times New Roman" w:hAnsi="Times New Roman"/>
          <w:i/>
          <w:sz w:val="24"/>
          <w:szCs w:val="24"/>
        </w:rPr>
        <w:t xml:space="preserve"> (</w:t>
      </w:r>
      <w:hyperlink r:id="rId6" w:history="1">
        <w:r w:rsidRPr="00666871">
          <w:rPr>
            <w:rStyle w:val="Lienhypertexte"/>
            <w:rFonts w:ascii="Times New Roman" w:hAnsi="Times New Roman"/>
            <w:i/>
            <w:sz w:val="24"/>
            <w:szCs w:val="24"/>
          </w:rPr>
          <w:t>http://www.legifrance.gouv.fr</w:t>
        </w:r>
      </w:hyperlink>
      <w:r w:rsidRPr="00666871">
        <w:rPr>
          <w:rFonts w:ascii="Times New Roman" w:hAnsi="Times New Roman"/>
          <w:i/>
          <w:sz w:val="24"/>
          <w:szCs w:val="24"/>
        </w:rPr>
        <w:t>).</w:t>
      </w:r>
    </w:p>
    <w:p w:rsidR="006C4DC5" w:rsidRDefault="006C4DC5" w:rsidP="006C4D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4EF2" w:rsidRDefault="00074EF2" w:rsidP="006C4DC5">
      <w:pPr>
        <w:jc w:val="both"/>
        <w:rPr>
          <w:rFonts w:ascii="Times New Roman" w:hAnsi="Times New Roman"/>
          <w:sz w:val="24"/>
          <w:szCs w:val="24"/>
        </w:rPr>
      </w:pPr>
    </w:p>
    <w:p w:rsidR="00CD2EE3" w:rsidRDefault="00A64873">
      <w:pPr>
        <w:spacing w:line="240" w:lineRule="auto"/>
        <w:rPr>
          <w:rFonts w:ascii="Times New Roman" w:hAnsi="Times New Roman"/>
          <w:b/>
          <w:iCs/>
          <w:color w:val="2C2A2A"/>
          <w:sz w:val="24"/>
          <w:szCs w:val="24"/>
        </w:rPr>
      </w:pPr>
      <w:r w:rsidRPr="00A64873">
        <w:rPr>
          <w:rFonts w:ascii="Times New Roman" w:hAnsi="Times New Roman"/>
          <w:b/>
          <w:sz w:val="24"/>
          <w:szCs w:val="24"/>
        </w:rPr>
        <w:t xml:space="preserve">La </w:t>
      </w:r>
      <w:r w:rsidR="00A12A54">
        <w:rPr>
          <w:rFonts w:ascii="Times New Roman" w:hAnsi="Times New Roman"/>
          <w:b/>
          <w:sz w:val="24"/>
          <w:szCs w:val="24"/>
        </w:rPr>
        <w:t>M</w:t>
      </w:r>
      <w:r w:rsidRPr="00A64873">
        <w:rPr>
          <w:rFonts w:ascii="Times New Roman" w:hAnsi="Times New Roman"/>
          <w:b/>
          <w:sz w:val="24"/>
          <w:szCs w:val="24"/>
        </w:rPr>
        <w:t>inistre de l’écologie, du développement durable et de l’énergie</w:t>
      </w:r>
      <w:r w:rsidR="00A12A54">
        <w:rPr>
          <w:rFonts w:ascii="Times New Roman" w:hAnsi="Times New Roman"/>
          <w:b/>
          <w:sz w:val="24"/>
          <w:szCs w:val="24"/>
        </w:rPr>
        <w:t>,</w:t>
      </w:r>
    </w:p>
    <w:p w:rsidR="000C7988" w:rsidRDefault="00666871" w:rsidP="000C7988">
      <w:pPr>
        <w:spacing w:after="0" w:line="240" w:lineRule="auto"/>
        <w:ind w:left="720" w:hanging="720"/>
        <w:jc w:val="both"/>
        <w:rPr>
          <w:rFonts w:ascii="Times LT Std" w:hAnsi="Times LT Std" w:cs="Times LT Std"/>
          <w:color w:val="000000"/>
          <w:sz w:val="21"/>
          <w:szCs w:val="21"/>
        </w:rPr>
      </w:pPr>
      <w:r w:rsidRPr="00666871">
        <w:rPr>
          <w:rFonts w:ascii="Times New Roman" w:hAnsi="Times New Roman"/>
          <w:b/>
        </w:rPr>
        <w:t>VU</w:t>
      </w:r>
      <w:r w:rsidR="00A12A54">
        <w:rPr>
          <w:rFonts w:ascii="Times New Roman" w:hAnsi="Times New Roman"/>
        </w:rPr>
        <w:tab/>
      </w:r>
      <w:r w:rsidR="000C7988">
        <w:rPr>
          <w:rFonts w:ascii="Times New Roman" w:hAnsi="Times New Roman"/>
        </w:rPr>
        <w:t xml:space="preserve">le règlement </w:t>
      </w:r>
      <w:r w:rsidR="000C7988" w:rsidRPr="00CE63F9">
        <w:rPr>
          <w:rFonts w:ascii="Times New Roman" w:hAnsi="Times New Roman"/>
          <w:color w:val="000000"/>
          <w:sz w:val="24"/>
          <w:szCs w:val="24"/>
        </w:rPr>
        <w:t>(CE) n</w:t>
      </w:r>
      <w:r w:rsidR="000C7988">
        <w:rPr>
          <w:rFonts w:ascii="Times New Roman" w:hAnsi="Times New Roman"/>
          <w:color w:val="000000"/>
          <w:sz w:val="24"/>
          <w:szCs w:val="24"/>
        </w:rPr>
        <w:t>°</w:t>
      </w:r>
      <w:r w:rsidR="000C7988" w:rsidRPr="00CE63F9">
        <w:rPr>
          <w:rFonts w:ascii="Times New Roman" w:hAnsi="Times New Roman"/>
          <w:color w:val="000000"/>
          <w:sz w:val="24"/>
          <w:szCs w:val="24"/>
        </w:rPr>
        <w:t xml:space="preserve">850/98 du Conseil du 30 mars 1998 visant à la conservation des ressources de pêche par le biais de mesures techniques de protection des juvéniles d’organismes marins </w:t>
      </w:r>
      <w:r w:rsidR="000C7988" w:rsidRPr="00CE63F9">
        <w:rPr>
          <w:rFonts w:ascii="Times LT Std" w:hAnsi="Times LT Std" w:cs="Times LT Std"/>
          <w:color w:val="000000"/>
          <w:sz w:val="21"/>
          <w:szCs w:val="21"/>
        </w:rPr>
        <w:t>;</w:t>
      </w:r>
    </w:p>
    <w:p w:rsidR="00E25B3D" w:rsidRPr="00BC5895" w:rsidRDefault="000C7988" w:rsidP="00074EF2">
      <w:pPr>
        <w:pStyle w:val="Default"/>
        <w:spacing w:before="240" w:after="240"/>
        <w:ind w:left="720" w:hanging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VU </w:t>
      </w:r>
      <w:r>
        <w:rPr>
          <w:rFonts w:ascii="Times New Roman" w:hAnsi="Times New Roman" w:cs="Times New Roman"/>
          <w:b/>
        </w:rPr>
        <w:tab/>
      </w:r>
      <w:r w:rsidR="00A12A54">
        <w:rPr>
          <w:rFonts w:ascii="Times New Roman" w:hAnsi="Times New Roman" w:cs="Times New Roman"/>
        </w:rPr>
        <w:t>l</w:t>
      </w:r>
      <w:r w:rsidR="00E25B3D" w:rsidRPr="00A64873">
        <w:rPr>
          <w:rFonts w:ascii="Times New Roman" w:hAnsi="Times New Roman" w:cs="Times New Roman"/>
        </w:rPr>
        <w:t>e règlement (CE) n°</w:t>
      </w:r>
      <w:r w:rsidR="00A12A54">
        <w:rPr>
          <w:rFonts w:ascii="Times New Roman" w:hAnsi="Times New Roman" w:cs="Times New Roman"/>
        </w:rPr>
        <w:t xml:space="preserve"> </w:t>
      </w:r>
      <w:r w:rsidR="00E25B3D">
        <w:rPr>
          <w:rFonts w:ascii="Times New Roman" w:hAnsi="Times New Roman" w:cs="Times New Roman"/>
        </w:rPr>
        <w:t>388/2006</w:t>
      </w:r>
      <w:r w:rsidR="00E25B3D" w:rsidRPr="00A64873">
        <w:rPr>
          <w:rFonts w:ascii="Times New Roman" w:hAnsi="Times New Roman" w:cs="Times New Roman"/>
        </w:rPr>
        <w:t xml:space="preserve"> du Conseil du </w:t>
      </w:r>
      <w:r w:rsidR="00E25B3D">
        <w:rPr>
          <w:rFonts w:ascii="Times New Roman" w:hAnsi="Times New Roman" w:cs="Times New Roman"/>
        </w:rPr>
        <w:t>23 février 2006 établissant un plan pluriannuel pour l’exploitation durable du stock de sole du golfe de Gascogne ;</w:t>
      </w:r>
    </w:p>
    <w:p w:rsidR="00CD2EE3" w:rsidRDefault="00666871" w:rsidP="000C045A">
      <w:pPr>
        <w:pStyle w:val="Default"/>
        <w:spacing w:after="240"/>
        <w:ind w:left="720" w:hanging="720"/>
        <w:jc w:val="both"/>
        <w:rPr>
          <w:rFonts w:ascii="Times New Roman" w:hAnsi="Times New Roman" w:cs="Times New Roman"/>
        </w:rPr>
      </w:pPr>
      <w:r w:rsidRPr="00666871">
        <w:rPr>
          <w:rFonts w:ascii="Times New Roman" w:hAnsi="Times New Roman" w:cs="Times New Roman"/>
          <w:b/>
        </w:rPr>
        <w:t>VU</w:t>
      </w:r>
      <w:r w:rsidR="00665E7A" w:rsidRPr="00A64873">
        <w:rPr>
          <w:rFonts w:ascii="Times New Roman" w:hAnsi="Times New Roman" w:cs="Times New Roman"/>
        </w:rPr>
        <w:t xml:space="preserve"> </w:t>
      </w:r>
      <w:r w:rsidR="00A12A54">
        <w:rPr>
          <w:rFonts w:ascii="Times New Roman" w:hAnsi="Times New Roman" w:cs="Times New Roman"/>
        </w:rPr>
        <w:tab/>
      </w:r>
      <w:r w:rsidR="00665E7A" w:rsidRPr="00A64873">
        <w:rPr>
          <w:rFonts w:ascii="Times New Roman" w:hAnsi="Times New Roman" w:cs="Times New Roman"/>
        </w:rPr>
        <w:t>le règlement (CE) n°</w:t>
      </w:r>
      <w:r w:rsidR="00A12A54">
        <w:rPr>
          <w:rFonts w:ascii="Times New Roman" w:hAnsi="Times New Roman" w:cs="Times New Roman"/>
        </w:rPr>
        <w:t xml:space="preserve"> </w:t>
      </w:r>
      <w:r w:rsidR="00665E7A" w:rsidRPr="00A64873">
        <w:rPr>
          <w:rFonts w:ascii="Times New Roman" w:hAnsi="Times New Roman" w:cs="Times New Roman"/>
        </w:rPr>
        <w:t>1224/2009 du Conseil du 20 novembre 2009 instituant un régime communautaire de contrôle afin d’assurer le respect des règles de la politique commune de la pêche</w:t>
      </w:r>
      <w:r w:rsidR="00A12A54">
        <w:rPr>
          <w:rFonts w:ascii="Times New Roman" w:hAnsi="Times New Roman" w:cs="Times New Roman"/>
        </w:rPr>
        <w:t xml:space="preserve"> </w:t>
      </w:r>
      <w:r w:rsidR="00665E7A" w:rsidRPr="00A64873">
        <w:rPr>
          <w:rFonts w:ascii="Times New Roman" w:hAnsi="Times New Roman" w:cs="Times New Roman"/>
        </w:rPr>
        <w:t>;</w:t>
      </w:r>
    </w:p>
    <w:p w:rsidR="00CD2EE3" w:rsidRDefault="00666871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666871">
        <w:rPr>
          <w:rFonts w:ascii="Times New Roman" w:hAnsi="Times New Roman"/>
          <w:b/>
          <w:sz w:val="24"/>
          <w:szCs w:val="24"/>
        </w:rPr>
        <w:t>VU</w:t>
      </w:r>
      <w:r w:rsidR="00A12A54">
        <w:rPr>
          <w:rFonts w:ascii="Times New Roman" w:hAnsi="Times New Roman"/>
          <w:sz w:val="24"/>
          <w:szCs w:val="24"/>
        </w:rPr>
        <w:tab/>
      </w:r>
      <w:r w:rsidR="00F659D6">
        <w:rPr>
          <w:rFonts w:ascii="Times New Roman" w:hAnsi="Times New Roman"/>
          <w:sz w:val="24"/>
          <w:szCs w:val="24"/>
        </w:rPr>
        <w:t>le règlement (UE) n°</w:t>
      </w:r>
      <w:r w:rsidR="00A12A54">
        <w:rPr>
          <w:rFonts w:ascii="Times New Roman" w:hAnsi="Times New Roman"/>
          <w:sz w:val="24"/>
          <w:szCs w:val="24"/>
        </w:rPr>
        <w:t xml:space="preserve"> </w:t>
      </w:r>
      <w:r w:rsidR="00417F11" w:rsidRPr="00A64873">
        <w:rPr>
          <w:rFonts w:ascii="Times New Roman" w:hAnsi="Times New Roman"/>
          <w:sz w:val="24"/>
          <w:szCs w:val="24"/>
        </w:rPr>
        <w:t>404/2011 de la Commission du 8 avril 2011 portant modalités d’a</w:t>
      </w:r>
      <w:r w:rsidR="00F659D6">
        <w:rPr>
          <w:rFonts w:ascii="Times New Roman" w:hAnsi="Times New Roman"/>
          <w:sz w:val="24"/>
          <w:szCs w:val="24"/>
        </w:rPr>
        <w:t>pplication du règlement (CE) n°</w:t>
      </w:r>
      <w:r w:rsidR="00970217">
        <w:rPr>
          <w:rFonts w:ascii="Times New Roman" w:hAnsi="Times New Roman"/>
          <w:sz w:val="24"/>
          <w:szCs w:val="24"/>
        </w:rPr>
        <w:t xml:space="preserve"> </w:t>
      </w:r>
      <w:r w:rsidR="00417F11" w:rsidRPr="00A64873">
        <w:rPr>
          <w:rFonts w:ascii="Times New Roman" w:hAnsi="Times New Roman"/>
          <w:sz w:val="24"/>
          <w:szCs w:val="24"/>
        </w:rPr>
        <w:t xml:space="preserve">1224/2009 du Conseil instituant un régime </w:t>
      </w:r>
      <w:r w:rsidR="00417F11" w:rsidRPr="00A64873">
        <w:rPr>
          <w:rFonts w:ascii="Times New Roman" w:hAnsi="Times New Roman"/>
          <w:sz w:val="24"/>
          <w:szCs w:val="24"/>
        </w:rPr>
        <w:lastRenderedPageBreak/>
        <w:t>communautaire de contrôle afin d’assurer le respect des règles de la politique commune de la pêche ;</w:t>
      </w:r>
    </w:p>
    <w:p w:rsidR="00CD2EE3" w:rsidRDefault="00666871">
      <w:pPr>
        <w:pStyle w:val="NormalWeb"/>
        <w:spacing w:before="0"/>
        <w:ind w:left="720" w:righ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66871">
        <w:rPr>
          <w:rFonts w:ascii="Times New Roman" w:hAnsi="Times New Roman" w:cs="Times New Roman"/>
          <w:b/>
          <w:sz w:val="24"/>
          <w:szCs w:val="24"/>
        </w:rPr>
        <w:t>VU</w:t>
      </w:r>
      <w:r w:rsidR="00A12A54">
        <w:rPr>
          <w:rFonts w:ascii="Times New Roman" w:hAnsi="Times New Roman" w:cs="Times New Roman"/>
          <w:sz w:val="24"/>
          <w:szCs w:val="24"/>
        </w:rPr>
        <w:tab/>
      </w:r>
      <w:r w:rsidR="00C42BE3">
        <w:rPr>
          <w:rFonts w:ascii="Times New Roman" w:hAnsi="Times New Roman" w:cs="Times New Roman"/>
          <w:sz w:val="24"/>
          <w:szCs w:val="24"/>
        </w:rPr>
        <w:t>le règlement (U</w:t>
      </w:r>
      <w:r w:rsidR="002A11C2" w:rsidRPr="002A11C2">
        <w:rPr>
          <w:rFonts w:ascii="Times New Roman" w:hAnsi="Times New Roman" w:cs="Times New Roman"/>
          <w:sz w:val="24"/>
          <w:szCs w:val="24"/>
        </w:rPr>
        <w:t>E) n°</w:t>
      </w:r>
      <w:r w:rsidR="00A12A54">
        <w:rPr>
          <w:rFonts w:ascii="Times New Roman" w:hAnsi="Times New Roman" w:cs="Times New Roman"/>
          <w:sz w:val="24"/>
          <w:szCs w:val="24"/>
        </w:rPr>
        <w:t xml:space="preserve"> </w:t>
      </w:r>
      <w:r w:rsidR="002A11C2" w:rsidRPr="002A11C2">
        <w:rPr>
          <w:rFonts w:ascii="Times New Roman" w:hAnsi="Times New Roman" w:cs="Times New Roman"/>
          <w:sz w:val="24"/>
          <w:szCs w:val="24"/>
        </w:rPr>
        <w:t xml:space="preserve">1380/2013 du Conseil du 20 décembre 2013 relatif à la conservation et à l’exploitation durable des ressources halieutiques dans le cadre de la politique commune de la pêche </w:t>
      </w:r>
      <w:r w:rsidR="00A64873" w:rsidRPr="002A11C2">
        <w:rPr>
          <w:rFonts w:ascii="Times New Roman" w:hAnsi="Times New Roman" w:cs="Times New Roman"/>
          <w:sz w:val="24"/>
          <w:szCs w:val="24"/>
        </w:rPr>
        <w:t>;</w:t>
      </w:r>
    </w:p>
    <w:p w:rsidR="005B0498" w:rsidRPr="005B0498" w:rsidRDefault="005B0498">
      <w:pPr>
        <w:pStyle w:val="NormalWeb"/>
        <w:spacing w:before="0"/>
        <w:ind w:left="720" w:right="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VU    </w:t>
      </w:r>
      <w:r>
        <w:rPr>
          <w:rFonts w:ascii="Times New Roman" w:hAnsi="Times New Roman" w:cs="Times New Roman"/>
          <w:sz w:val="24"/>
          <w:szCs w:val="24"/>
        </w:rPr>
        <w:t xml:space="preserve">le règlement délégué (UE) 2015/2439 de la Commission du 12 octobre 2015 établissant un plan de rejets pour certaines pêcheries </w:t>
      </w:r>
      <w:proofErr w:type="spellStart"/>
      <w:r>
        <w:rPr>
          <w:rFonts w:ascii="Times New Roman" w:hAnsi="Times New Roman" w:cs="Times New Roman"/>
          <w:sz w:val="24"/>
          <w:szCs w:val="24"/>
        </w:rPr>
        <w:t>démersales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les eaux occidentales australes ; </w:t>
      </w:r>
    </w:p>
    <w:p w:rsidR="00CD2EE3" w:rsidRDefault="0066687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871">
        <w:rPr>
          <w:rFonts w:ascii="Times New Roman" w:hAnsi="Times New Roman"/>
          <w:b/>
          <w:color w:val="000000"/>
          <w:sz w:val="24"/>
          <w:szCs w:val="24"/>
        </w:rPr>
        <w:t>VU</w:t>
      </w:r>
      <w:r w:rsidR="00A12A54">
        <w:rPr>
          <w:rFonts w:ascii="Times New Roman" w:hAnsi="Times New Roman"/>
          <w:color w:val="000000"/>
          <w:sz w:val="24"/>
          <w:szCs w:val="24"/>
        </w:rPr>
        <w:tab/>
      </w:r>
      <w:r w:rsidR="00A64873" w:rsidRPr="00A64873">
        <w:rPr>
          <w:rFonts w:ascii="Times New Roman" w:hAnsi="Times New Roman"/>
          <w:color w:val="000000"/>
          <w:sz w:val="24"/>
          <w:szCs w:val="24"/>
        </w:rPr>
        <w:t xml:space="preserve">le </w:t>
      </w:r>
      <w:r w:rsidR="00A12A54">
        <w:rPr>
          <w:rFonts w:ascii="Times New Roman" w:hAnsi="Times New Roman"/>
          <w:color w:val="000000"/>
          <w:sz w:val="24"/>
          <w:szCs w:val="24"/>
        </w:rPr>
        <w:t>c</w:t>
      </w:r>
      <w:r w:rsidR="00A64873" w:rsidRPr="00A64873">
        <w:rPr>
          <w:rFonts w:ascii="Times New Roman" w:hAnsi="Times New Roman"/>
          <w:color w:val="000000"/>
          <w:sz w:val="24"/>
          <w:szCs w:val="24"/>
        </w:rPr>
        <w:t xml:space="preserve">ode rural et de la </w:t>
      </w:r>
      <w:r w:rsidR="00A12A54">
        <w:rPr>
          <w:rFonts w:ascii="Times New Roman" w:hAnsi="Times New Roman"/>
          <w:color w:val="000000"/>
          <w:sz w:val="24"/>
          <w:szCs w:val="24"/>
        </w:rPr>
        <w:t>p</w:t>
      </w:r>
      <w:r w:rsidR="00A64873" w:rsidRPr="00A64873">
        <w:rPr>
          <w:rFonts w:ascii="Times New Roman" w:hAnsi="Times New Roman"/>
          <w:color w:val="000000"/>
          <w:sz w:val="24"/>
          <w:szCs w:val="24"/>
        </w:rPr>
        <w:t>êche maritime</w:t>
      </w:r>
      <w:r w:rsidR="00980D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4873" w:rsidRPr="00A64873">
        <w:rPr>
          <w:rFonts w:ascii="Times New Roman" w:hAnsi="Times New Roman"/>
          <w:color w:val="000000"/>
          <w:sz w:val="24"/>
          <w:szCs w:val="24"/>
        </w:rPr>
        <w:t>;</w:t>
      </w:r>
    </w:p>
    <w:p w:rsidR="00CD2EE3" w:rsidRDefault="00666871">
      <w:pPr>
        <w:pStyle w:val="Corpsdetexte21"/>
        <w:widowControl w:val="0"/>
        <w:ind w:left="720" w:hanging="720"/>
        <w:rPr>
          <w:rFonts w:ascii="Times New Roman" w:hAnsi="Times New Roman" w:cs="Times New Roman"/>
          <w:color w:val="000000"/>
        </w:rPr>
      </w:pPr>
      <w:r w:rsidRPr="00666871">
        <w:rPr>
          <w:rFonts w:ascii="Times New Roman" w:hAnsi="Times New Roman" w:cs="Times New Roman"/>
          <w:b/>
          <w:color w:val="000000"/>
        </w:rPr>
        <w:t>VU</w:t>
      </w:r>
      <w:r w:rsidR="00665E7A" w:rsidRPr="00A64873">
        <w:rPr>
          <w:rFonts w:ascii="Times New Roman" w:hAnsi="Times New Roman" w:cs="Times New Roman"/>
          <w:color w:val="000000"/>
        </w:rPr>
        <w:t xml:space="preserve"> </w:t>
      </w:r>
      <w:r w:rsidR="00A12A54">
        <w:rPr>
          <w:rFonts w:ascii="Times New Roman" w:hAnsi="Times New Roman" w:cs="Times New Roman"/>
          <w:color w:val="000000"/>
        </w:rPr>
        <w:tab/>
      </w:r>
      <w:r w:rsidR="00665E7A" w:rsidRPr="00A64873">
        <w:rPr>
          <w:rFonts w:ascii="Times New Roman" w:hAnsi="Times New Roman" w:cs="Times New Roman"/>
          <w:color w:val="000000"/>
        </w:rPr>
        <w:t xml:space="preserve">l’arrêté du </w:t>
      </w:r>
      <w:r w:rsidR="00665E7A">
        <w:rPr>
          <w:rFonts w:ascii="Times New Roman" w:hAnsi="Times New Roman" w:cs="Times New Roman"/>
          <w:color w:val="000000"/>
        </w:rPr>
        <w:t xml:space="preserve">31 mars 2008 modifié </w:t>
      </w:r>
      <w:r w:rsidR="00665E7A" w:rsidRPr="00665E7A">
        <w:rPr>
          <w:rFonts w:ascii="Times New Roman" w:hAnsi="Times New Roman" w:cs="Times New Roman"/>
          <w:color w:val="000000"/>
        </w:rPr>
        <w:t>portant création d’un permis de pêche spécial pour certaines activités de pêche dans les zones de reconstitution ou de gestion des stocks</w:t>
      </w:r>
      <w:r w:rsidR="00EC4627">
        <w:rPr>
          <w:rFonts w:ascii="Times New Roman" w:hAnsi="Times New Roman" w:cs="Times New Roman"/>
          <w:color w:val="000000"/>
        </w:rPr>
        <w:t xml:space="preserve"> halieutiques</w:t>
      </w:r>
      <w:r w:rsidR="00665E7A" w:rsidRPr="00A64873">
        <w:rPr>
          <w:rFonts w:ascii="Times New Roman" w:hAnsi="Times New Roman" w:cs="Times New Roman"/>
          <w:color w:val="000000"/>
        </w:rPr>
        <w:t> ;</w:t>
      </w:r>
    </w:p>
    <w:p w:rsidR="00D04A05" w:rsidRDefault="00D04A05" w:rsidP="00D04A05">
      <w:pPr>
        <w:pStyle w:val="Corpsdetexte21"/>
        <w:widowControl w:val="0"/>
        <w:spacing w:after="0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VU</w:t>
      </w:r>
      <w:r>
        <w:rPr>
          <w:rFonts w:ascii="Times New Roman" w:hAnsi="Times New Roman" w:cs="Times New Roman"/>
          <w:b/>
          <w:color w:val="000000"/>
        </w:rPr>
        <w:tab/>
      </w:r>
      <w:r w:rsidRPr="00D04A05">
        <w:rPr>
          <w:rFonts w:ascii="Times New Roman" w:hAnsi="Times New Roman" w:cs="Times New Roman"/>
          <w:color w:val="000000"/>
        </w:rPr>
        <w:t>l’arrêté du 12 février</w:t>
      </w:r>
      <w:r w:rsidR="00EC4627">
        <w:rPr>
          <w:rFonts w:ascii="Times New Roman" w:hAnsi="Times New Roman" w:cs="Times New Roman"/>
          <w:color w:val="000000"/>
        </w:rPr>
        <w:t xml:space="preserve"> 2015 créant un régime national</w:t>
      </w:r>
      <w:r w:rsidRPr="00D04A05">
        <w:rPr>
          <w:rFonts w:ascii="Times New Roman" w:hAnsi="Times New Roman" w:cs="Times New Roman"/>
          <w:color w:val="000000"/>
        </w:rPr>
        <w:t xml:space="preserve"> de gestion pour la pêcherie de la sole commune (</w:t>
      </w:r>
      <w:r w:rsidRPr="00D04A05">
        <w:rPr>
          <w:rFonts w:ascii="Times New Roman" w:hAnsi="Times New Roman" w:cs="Times New Roman"/>
          <w:i/>
          <w:color w:val="000000"/>
        </w:rPr>
        <w:t>Solea solea</w:t>
      </w:r>
      <w:r w:rsidRPr="00D04A05">
        <w:rPr>
          <w:rFonts w:ascii="Times New Roman" w:hAnsi="Times New Roman" w:cs="Times New Roman"/>
          <w:color w:val="000000"/>
        </w:rPr>
        <w:t>) dans le Golfe de Gascogne (divisions CIEM VIII a et b)</w:t>
      </w:r>
      <w:r w:rsidR="00A90B52">
        <w:rPr>
          <w:rFonts w:ascii="Times New Roman" w:hAnsi="Times New Roman" w:cs="Times New Roman"/>
          <w:color w:val="000000"/>
        </w:rPr>
        <w:t> ;</w:t>
      </w:r>
    </w:p>
    <w:p w:rsidR="00665E7A" w:rsidRPr="00BC5895" w:rsidRDefault="00665E7A" w:rsidP="002A11C2">
      <w:pPr>
        <w:pStyle w:val="Corpsdetexte21"/>
        <w:widowControl w:val="0"/>
        <w:spacing w:after="0"/>
        <w:ind w:firstLine="720"/>
        <w:rPr>
          <w:rFonts w:ascii="Times New Roman" w:hAnsi="Times New Roman" w:cs="Times New Roman"/>
          <w:color w:val="000000"/>
          <w:sz w:val="16"/>
          <w:szCs w:val="16"/>
        </w:rPr>
      </w:pPr>
    </w:p>
    <w:p w:rsidR="00CD2EE3" w:rsidRDefault="00666871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666871">
        <w:rPr>
          <w:rFonts w:ascii="Times New Roman" w:hAnsi="Times New Roman"/>
          <w:b/>
          <w:sz w:val="24"/>
          <w:szCs w:val="24"/>
        </w:rPr>
        <w:t>VU</w:t>
      </w:r>
      <w:r w:rsidR="00A12A54">
        <w:rPr>
          <w:rFonts w:ascii="Times New Roman" w:hAnsi="Times New Roman"/>
          <w:sz w:val="24"/>
          <w:szCs w:val="24"/>
        </w:rPr>
        <w:tab/>
      </w:r>
      <w:r w:rsidR="00A64873" w:rsidRPr="00A64873">
        <w:rPr>
          <w:rFonts w:ascii="Times New Roman" w:hAnsi="Times New Roman"/>
          <w:sz w:val="24"/>
          <w:szCs w:val="24"/>
        </w:rPr>
        <w:t>l</w:t>
      </w:r>
      <w:r w:rsidR="00A12A54">
        <w:rPr>
          <w:rFonts w:ascii="Times New Roman" w:hAnsi="Times New Roman"/>
          <w:sz w:val="24"/>
          <w:szCs w:val="24"/>
        </w:rPr>
        <w:t>’</w:t>
      </w:r>
      <w:r w:rsidR="00A64873" w:rsidRPr="00A64873">
        <w:rPr>
          <w:rFonts w:ascii="Times New Roman" w:hAnsi="Times New Roman"/>
          <w:sz w:val="24"/>
          <w:szCs w:val="24"/>
        </w:rPr>
        <w:t xml:space="preserve">avis du Comité national des pêches maritimes et des élevages marins en date du </w:t>
      </w:r>
      <w:r w:rsidR="00F659D6">
        <w:rPr>
          <w:rFonts w:ascii="Times New Roman" w:hAnsi="Times New Roman"/>
          <w:sz w:val="24"/>
          <w:szCs w:val="24"/>
        </w:rPr>
        <w:t>9</w:t>
      </w:r>
      <w:r w:rsidR="002A11C2">
        <w:rPr>
          <w:rFonts w:ascii="Times New Roman" w:hAnsi="Times New Roman"/>
          <w:sz w:val="24"/>
          <w:szCs w:val="24"/>
        </w:rPr>
        <w:t xml:space="preserve"> décembre</w:t>
      </w:r>
      <w:r w:rsidR="00F659D6">
        <w:rPr>
          <w:rFonts w:ascii="Times New Roman" w:hAnsi="Times New Roman"/>
          <w:sz w:val="24"/>
          <w:szCs w:val="24"/>
        </w:rPr>
        <w:t xml:space="preserve"> 2015</w:t>
      </w:r>
      <w:r w:rsidR="00A90B52">
        <w:rPr>
          <w:rFonts w:ascii="Times New Roman" w:hAnsi="Times New Roman"/>
          <w:sz w:val="24"/>
          <w:szCs w:val="24"/>
        </w:rPr>
        <w:t> ;</w:t>
      </w:r>
    </w:p>
    <w:p w:rsidR="00A90B52" w:rsidRDefault="00A90B52" w:rsidP="00A90B52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666871">
        <w:rPr>
          <w:rFonts w:ascii="Times New Roman" w:hAnsi="Times New Roman"/>
          <w:b/>
          <w:sz w:val="24"/>
          <w:szCs w:val="24"/>
        </w:rPr>
        <w:t>VU</w:t>
      </w:r>
      <w:r>
        <w:rPr>
          <w:rFonts w:ascii="Times New Roman" w:hAnsi="Times New Roman"/>
          <w:sz w:val="24"/>
          <w:szCs w:val="24"/>
        </w:rPr>
        <w:tab/>
        <w:t>la</w:t>
      </w:r>
      <w:r w:rsidR="00104781">
        <w:rPr>
          <w:rFonts w:ascii="Times New Roman" w:hAnsi="Times New Roman"/>
          <w:sz w:val="24"/>
          <w:szCs w:val="24"/>
        </w:rPr>
        <w:t xml:space="preserve"> participation du public</w:t>
      </w:r>
      <w:r w:rsidR="00711414">
        <w:rPr>
          <w:rFonts w:ascii="Times New Roman" w:hAnsi="Times New Roman"/>
          <w:sz w:val="24"/>
          <w:szCs w:val="24"/>
        </w:rPr>
        <w:t xml:space="preserve"> du 14</w:t>
      </w:r>
      <w:r w:rsidR="003A0847">
        <w:rPr>
          <w:rFonts w:ascii="Times New Roman" w:hAnsi="Times New Roman"/>
          <w:sz w:val="24"/>
          <w:szCs w:val="24"/>
        </w:rPr>
        <w:t xml:space="preserve"> décembre 2015 au 27</w:t>
      </w:r>
      <w:r>
        <w:rPr>
          <w:rFonts w:ascii="Times New Roman" w:hAnsi="Times New Roman"/>
          <w:sz w:val="24"/>
          <w:szCs w:val="24"/>
        </w:rPr>
        <w:t xml:space="preserve"> décembre 2015,</w:t>
      </w:r>
    </w:p>
    <w:p w:rsidR="00A90B52" w:rsidRDefault="00A90B52" w:rsidP="00074EF2">
      <w:pPr>
        <w:spacing w:before="24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A90B52" w:rsidRPr="00A90B52" w:rsidRDefault="00A90B52" w:rsidP="00A90B52">
      <w:pPr>
        <w:spacing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A90B52">
        <w:rPr>
          <w:rFonts w:ascii="Times New Roman" w:hAnsi="Times New Roman"/>
          <w:b/>
          <w:sz w:val="24"/>
          <w:szCs w:val="24"/>
        </w:rPr>
        <w:t>ARRETE</w:t>
      </w:r>
    </w:p>
    <w:p w:rsidR="003A0023" w:rsidRDefault="003A0023" w:rsidP="000F4D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C3793" w:rsidRPr="004C3793" w:rsidRDefault="004C3793" w:rsidP="004C37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93">
        <w:rPr>
          <w:rFonts w:ascii="Times New Roman" w:hAnsi="Times New Roman"/>
          <w:b/>
          <w:sz w:val="24"/>
          <w:szCs w:val="24"/>
        </w:rPr>
        <w:t>Article 1</w:t>
      </w:r>
      <w:r w:rsidRPr="004C3793">
        <w:rPr>
          <w:rFonts w:ascii="Times New Roman" w:hAnsi="Times New Roman"/>
          <w:b/>
          <w:sz w:val="24"/>
          <w:szCs w:val="24"/>
          <w:vertAlign w:val="superscript"/>
        </w:rPr>
        <w:t>er</w:t>
      </w:r>
    </w:p>
    <w:p w:rsidR="004C3793" w:rsidRDefault="004C3793" w:rsidP="000F4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793" w:rsidRDefault="004C3793" w:rsidP="004C3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B3">
        <w:rPr>
          <w:rFonts w:ascii="Times New Roman" w:hAnsi="Times New Roman"/>
          <w:sz w:val="24"/>
          <w:szCs w:val="24"/>
        </w:rPr>
        <w:t>L’</w:t>
      </w:r>
      <w:r>
        <w:rPr>
          <w:rFonts w:ascii="Times New Roman" w:hAnsi="Times New Roman"/>
          <w:sz w:val="24"/>
          <w:szCs w:val="24"/>
        </w:rPr>
        <w:t>a</w:t>
      </w:r>
      <w:r w:rsidRPr="000963B3">
        <w:rPr>
          <w:rFonts w:ascii="Times New Roman" w:hAnsi="Times New Roman"/>
          <w:sz w:val="24"/>
          <w:szCs w:val="24"/>
        </w:rPr>
        <w:t xml:space="preserve">rticle </w:t>
      </w:r>
      <w:r>
        <w:rPr>
          <w:rFonts w:ascii="Times New Roman" w:hAnsi="Times New Roman"/>
          <w:sz w:val="24"/>
          <w:szCs w:val="24"/>
        </w:rPr>
        <w:t>1</w:t>
      </w:r>
      <w:r w:rsidR="00212E75">
        <w:rPr>
          <w:rFonts w:ascii="Times New Roman" w:hAnsi="Times New Roman"/>
          <w:sz w:val="24"/>
          <w:szCs w:val="24"/>
        </w:rPr>
        <w:t>er</w:t>
      </w:r>
      <w:r w:rsidRPr="000963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l’</w:t>
      </w:r>
      <w:r w:rsidRPr="002D686B">
        <w:rPr>
          <w:rFonts w:ascii="Times New Roman" w:hAnsi="Times New Roman"/>
          <w:sz w:val="24"/>
          <w:szCs w:val="24"/>
        </w:rPr>
        <w:t xml:space="preserve">arrêté du </w:t>
      </w:r>
      <w:r>
        <w:rPr>
          <w:rFonts w:ascii="Times New Roman" w:hAnsi="Times New Roman"/>
          <w:sz w:val="24"/>
          <w:szCs w:val="24"/>
        </w:rPr>
        <w:t xml:space="preserve">12 février </w:t>
      </w:r>
      <w:r w:rsidRPr="002D686B">
        <w:rPr>
          <w:rFonts w:ascii="Times New Roman" w:hAnsi="Times New Roman"/>
          <w:sz w:val="24"/>
          <w:szCs w:val="24"/>
        </w:rPr>
        <w:t xml:space="preserve">2015 susvisé </w:t>
      </w:r>
      <w:r w:rsidRPr="000963B3">
        <w:rPr>
          <w:rFonts w:ascii="Times New Roman" w:hAnsi="Times New Roman"/>
          <w:sz w:val="24"/>
          <w:szCs w:val="24"/>
        </w:rPr>
        <w:t>est remplacé par l’article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suivant :</w:t>
      </w:r>
    </w:p>
    <w:p w:rsidR="004C3793" w:rsidRDefault="004C3793" w:rsidP="004C37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659D6" w:rsidRDefault="00EC4627" w:rsidP="00665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 </w:t>
      </w:r>
      <w:r w:rsidR="00F659D6">
        <w:rPr>
          <w:rFonts w:ascii="Times New Roman" w:hAnsi="Times New Roman"/>
          <w:b/>
          <w:sz w:val="24"/>
          <w:szCs w:val="24"/>
        </w:rPr>
        <w:t xml:space="preserve">Article </w:t>
      </w:r>
      <w:r w:rsidR="000F4DF1">
        <w:rPr>
          <w:rFonts w:ascii="Times New Roman" w:hAnsi="Times New Roman"/>
          <w:b/>
          <w:sz w:val="24"/>
          <w:szCs w:val="24"/>
        </w:rPr>
        <w:t>1</w:t>
      </w:r>
      <w:r w:rsidR="00875C35" w:rsidRPr="00875C35">
        <w:rPr>
          <w:rFonts w:ascii="Times New Roman" w:hAnsi="Times New Roman"/>
          <w:b/>
          <w:sz w:val="24"/>
          <w:szCs w:val="24"/>
          <w:vertAlign w:val="superscript"/>
        </w:rPr>
        <w:t>er</w:t>
      </w:r>
    </w:p>
    <w:p w:rsidR="00F659D6" w:rsidRDefault="00F659D6" w:rsidP="00665E7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Définitions et périmètre</w:t>
      </w:r>
    </w:p>
    <w:p w:rsidR="00F659D6" w:rsidRDefault="00F659D6" w:rsidP="00665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6687" w:rsidRDefault="00EC4627" w:rsidP="00DB5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 </w:t>
      </w:r>
      <w:r w:rsidR="002A5D00">
        <w:rPr>
          <w:rFonts w:ascii="Times New Roman" w:hAnsi="Times New Roman"/>
          <w:sz w:val="24"/>
          <w:szCs w:val="24"/>
          <w:lang w:eastAsia="ar-SA"/>
        </w:rPr>
        <w:t>Pour l’application des dispositions du</w:t>
      </w:r>
      <w:r w:rsidR="00F659D6" w:rsidRPr="00F659D6">
        <w:rPr>
          <w:rFonts w:ascii="Times New Roman" w:hAnsi="Times New Roman"/>
          <w:sz w:val="24"/>
          <w:szCs w:val="24"/>
          <w:lang w:eastAsia="ar-SA"/>
        </w:rPr>
        <w:t xml:space="preserve"> présent arrêté, on entend par :</w:t>
      </w:r>
    </w:p>
    <w:p w:rsidR="00875C35" w:rsidRDefault="00875C35" w:rsidP="00DB5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75C35" w:rsidRPr="00104781" w:rsidRDefault="00875C35" w:rsidP="00875C35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</w:pPr>
      <w:r w:rsidRPr="00104781">
        <w:t>Golfe de Gascogne</w:t>
      </w:r>
      <w:r w:rsidR="00EC4627" w:rsidRPr="00104781">
        <w:t> : zone maritime correspondant aux zones définies par</w:t>
      </w:r>
      <w:r w:rsidRPr="00104781">
        <w:t xml:space="preserve"> le Conseil international pour l’exploration de la mer (CIEM) en tant que divisions </w:t>
      </w:r>
      <w:proofErr w:type="spellStart"/>
      <w:r w:rsidRPr="00104781">
        <w:t>VIIIa</w:t>
      </w:r>
      <w:proofErr w:type="spellEnd"/>
      <w:r w:rsidRPr="00104781">
        <w:t xml:space="preserve"> et </w:t>
      </w:r>
      <w:proofErr w:type="spellStart"/>
      <w:r w:rsidRPr="00104781">
        <w:t>VIIIb</w:t>
      </w:r>
      <w:proofErr w:type="spellEnd"/>
      <w:r w:rsidRPr="00104781">
        <w:t>.</w:t>
      </w:r>
    </w:p>
    <w:p w:rsidR="00176687" w:rsidRPr="00104781" w:rsidRDefault="00176687" w:rsidP="00DB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D2EE3" w:rsidRPr="00104781" w:rsidRDefault="00666871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</w:pPr>
      <w:r w:rsidRPr="00104781">
        <w:t>A</w:t>
      </w:r>
      <w:r w:rsidR="00970217" w:rsidRPr="00104781">
        <w:t>E</w:t>
      </w:r>
      <w:r w:rsidR="00EC4627" w:rsidRPr="00104781">
        <w:t xml:space="preserve">P  pour la pêche de la </w:t>
      </w:r>
      <w:r w:rsidRPr="00104781">
        <w:t>sole</w:t>
      </w:r>
      <w:r w:rsidR="00EC4627" w:rsidRPr="00104781">
        <w:t xml:space="preserve"> dans le</w:t>
      </w:r>
      <w:r w:rsidRPr="00104781">
        <w:t xml:space="preserve"> </w:t>
      </w:r>
      <w:r w:rsidR="00970217" w:rsidRPr="00104781">
        <w:t>g</w:t>
      </w:r>
      <w:r w:rsidRPr="00104781">
        <w:t>olfe de Gascogne »</w:t>
      </w:r>
      <w:r w:rsidR="00DB51F6" w:rsidRPr="00104781">
        <w:t xml:space="preserve"> : autorisation européenne de pêche </w:t>
      </w:r>
      <w:r w:rsidR="00A12A54" w:rsidRPr="00104781">
        <w:t xml:space="preserve">(AEP) </w:t>
      </w:r>
      <w:r w:rsidR="00DB51F6" w:rsidRPr="00104781">
        <w:t xml:space="preserve">pour le stock de sole </w:t>
      </w:r>
      <w:r w:rsidR="00980D9A" w:rsidRPr="00104781">
        <w:t>commune (</w:t>
      </w:r>
      <w:r w:rsidRPr="00104781">
        <w:rPr>
          <w:i/>
        </w:rPr>
        <w:t>Solea solea</w:t>
      </w:r>
      <w:r w:rsidR="00980D9A" w:rsidRPr="00104781">
        <w:t xml:space="preserve">) </w:t>
      </w:r>
      <w:r w:rsidR="000D7351" w:rsidRPr="00104781">
        <w:t xml:space="preserve">dans le </w:t>
      </w:r>
      <w:r w:rsidR="00970217" w:rsidRPr="00104781">
        <w:t>g</w:t>
      </w:r>
      <w:r w:rsidR="00DB51F6" w:rsidRPr="00104781">
        <w:t>olfe de Gascogne, défini</w:t>
      </w:r>
      <w:r w:rsidR="00875C35" w:rsidRPr="00104781">
        <w:t>e</w:t>
      </w:r>
      <w:r w:rsidR="00DB51F6" w:rsidRPr="00104781">
        <w:t xml:space="preserve"> par l’arrêté du 31 mars 2008 modifié portant création d’un permis de pêche spécial pour certaines activités de pêche dans les zones de reconstitution ou de gestion des stocks</w:t>
      </w:r>
      <w:r w:rsidR="00D74141" w:rsidRPr="00104781">
        <w:t> </w:t>
      </w:r>
      <w:r w:rsidR="00DB51F6" w:rsidRPr="00104781">
        <w:t>;</w:t>
      </w:r>
    </w:p>
    <w:p w:rsidR="000F4DF1" w:rsidRPr="00104781" w:rsidRDefault="000F4DF1" w:rsidP="000F4DF1">
      <w:pPr>
        <w:pStyle w:val="Paragraphedeliste"/>
        <w:autoSpaceDE w:val="0"/>
        <w:autoSpaceDN w:val="0"/>
        <w:adjustRightInd w:val="0"/>
        <w:ind w:left="720"/>
        <w:jc w:val="both"/>
      </w:pPr>
    </w:p>
    <w:p w:rsidR="00CD2EE3" w:rsidRPr="00104781" w:rsidRDefault="000D7351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</w:pPr>
      <w:r w:rsidRPr="00104781">
        <w:t xml:space="preserve">Fileyeurs réalisant des captures de </w:t>
      </w:r>
      <w:r w:rsidR="00666871" w:rsidRPr="00104781">
        <w:t>sole</w:t>
      </w:r>
      <w:r w:rsidR="00A12A54" w:rsidRPr="00104781">
        <w:t xml:space="preserve"> commune</w:t>
      </w:r>
      <w:r w:rsidR="00DB51F6" w:rsidRPr="00104781">
        <w:t xml:space="preserve"> : titulaires d’une </w:t>
      </w:r>
      <w:r w:rsidR="00972CE5" w:rsidRPr="00104781">
        <w:t>A</w:t>
      </w:r>
      <w:r w:rsidR="00970217" w:rsidRPr="00104781">
        <w:t>E</w:t>
      </w:r>
      <w:r w:rsidRPr="00104781">
        <w:t>P pour la pêche de la sole commune dans le</w:t>
      </w:r>
      <w:r w:rsidR="00972CE5" w:rsidRPr="00104781">
        <w:t xml:space="preserve"> </w:t>
      </w:r>
      <w:r w:rsidR="00970217" w:rsidRPr="00104781">
        <w:t>g</w:t>
      </w:r>
      <w:r w:rsidR="00D74141" w:rsidRPr="00104781">
        <w:t>olfe de Gascogne</w:t>
      </w:r>
      <w:r w:rsidRPr="00104781">
        <w:t> </w:t>
      </w:r>
      <w:r w:rsidR="000F4DF1" w:rsidRPr="00104781">
        <w:t>déployant au moins un jour dans l’année un</w:t>
      </w:r>
      <w:r w:rsidR="00D74141" w:rsidRPr="00104781">
        <w:t xml:space="preserve"> ou plusieurs engins du groupe d’engins réglementés «  filets »</w:t>
      </w:r>
      <w:r w:rsidR="000F4DF1" w:rsidRPr="00104781">
        <w:t xml:space="preserve"> </w:t>
      </w:r>
      <w:r w:rsidR="00D74141" w:rsidRPr="00104781">
        <w:t>m</w:t>
      </w:r>
      <w:r w:rsidR="00875C35" w:rsidRPr="00104781">
        <w:t>entionnés à</w:t>
      </w:r>
      <w:r w:rsidR="00D74141" w:rsidRPr="00104781">
        <w:t xml:space="preserve"> l’Annexe I</w:t>
      </w:r>
      <w:r w:rsidR="00875C35" w:rsidRPr="00104781">
        <w:t>-A</w:t>
      </w:r>
      <w:r w:rsidR="00A12A54" w:rsidRPr="00104781">
        <w:t xml:space="preserve"> du présent arrêté</w:t>
      </w:r>
      <w:r w:rsidR="00D74141" w:rsidRPr="00104781">
        <w:t> ;</w:t>
      </w:r>
    </w:p>
    <w:p w:rsidR="003A0023" w:rsidRPr="00104781" w:rsidRDefault="003A0023" w:rsidP="003A0023">
      <w:pPr>
        <w:pStyle w:val="Paragraphedeliste"/>
        <w:autoSpaceDE w:val="0"/>
        <w:autoSpaceDN w:val="0"/>
        <w:adjustRightInd w:val="0"/>
        <w:ind w:left="720"/>
        <w:jc w:val="both"/>
      </w:pPr>
    </w:p>
    <w:p w:rsidR="003A0023" w:rsidRDefault="003A0023" w:rsidP="00AE78C6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240"/>
        <w:jc w:val="both"/>
      </w:pPr>
      <w:r w:rsidRPr="00104781">
        <w:lastRenderedPageBreak/>
        <w:t>Chalutiers de fond ré</w:t>
      </w:r>
      <w:r w:rsidR="000D7351" w:rsidRPr="00104781">
        <w:t>alisant des captures</w:t>
      </w:r>
      <w:r w:rsidRPr="00104781">
        <w:t xml:space="preserve"> de sole</w:t>
      </w:r>
      <w:r w:rsidR="00875C35" w:rsidRPr="00104781">
        <w:t xml:space="preserve"> commune</w:t>
      </w:r>
      <w:r w:rsidR="00AE78C6" w:rsidRPr="00104781">
        <w:t> </w:t>
      </w:r>
      <w:r w:rsidR="000D7351" w:rsidRPr="00104781">
        <w:t xml:space="preserve">: </w:t>
      </w:r>
      <w:r w:rsidR="00711414">
        <w:t xml:space="preserve">navires de plus de 12 mètres </w:t>
      </w:r>
      <w:r w:rsidR="000D7351" w:rsidRPr="00104781">
        <w:t>titulaires d’une AEP pour la pêche de la sole commune dans le golfe de Gascogne </w:t>
      </w:r>
      <w:r w:rsidRPr="00104781">
        <w:t xml:space="preserve"> déployant au moins un jour dans l’année un ou plusieurs engins du groupe d’engins réglementés «  chalutiers de fond » mentionnés </w:t>
      </w:r>
      <w:r w:rsidR="00875C35" w:rsidRPr="00104781">
        <w:t xml:space="preserve">à l’Annexe I-B </w:t>
      </w:r>
      <w:r w:rsidR="00EC4627" w:rsidRPr="00104781">
        <w:t>du</w:t>
      </w:r>
      <w:r w:rsidR="00EC4627">
        <w:t xml:space="preserve"> présent arrêté » </w:t>
      </w:r>
      <w:r w:rsidRPr="003A0023">
        <w:t>;</w:t>
      </w:r>
    </w:p>
    <w:p w:rsidR="000D7351" w:rsidRDefault="000D7351" w:rsidP="00A66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7351" w:rsidRDefault="000D7351" w:rsidP="003A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0023" w:rsidRDefault="003A0023" w:rsidP="003A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4873">
        <w:rPr>
          <w:rFonts w:ascii="Times New Roman" w:hAnsi="Times New Roman"/>
          <w:b/>
          <w:bCs/>
          <w:sz w:val="24"/>
          <w:szCs w:val="24"/>
        </w:rPr>
        <w:t xml:space="preserve">Article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A90B52" w:rsidRPr="00A64873" w:rsidRDefault="00A90B52" w:rsidP="003A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034A" w:rsidRDefault="00A90B52" w:rsidP="000F4DF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D42A8">
        <w:rPr>
          <w:rFonts w:ascii="Times New Roman" w:hAnsi="Times New Roman"/>
          <w:sz w:val="24"/>
          <w:szCs w:val="24"/>
        </w:rPr>
        <w:t xml:space="preserve">L’article 2 de l’arrêté du 12 février 2015 susvisé est renuméroté </w:t>
      </w:r>
      <w:r w:rsidR="00212E75">
        <w:rPr>
          <w:rFonts w:ascii="Times New Roman" w:hAnsi="Times New Roman"/>
          <w:sz w:val="24"/>
          <w:szCs w:val="24"/>
        </w:rPr>
        <w:t>5, l’article 3 est renuméroté 6.</w:t>
      </w:r>
    </w:p>
    <w:p w:rsidR="0005034A" w:rsidRDefault="0005034A" w:rsidP="000503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4873">
        <w:rPr>
          <w:rFonts w:ascii="Times New Roman" w:hAnsi="Times New Roman"/>
          <w:b/>
          <w:bCs/>
          <w:sz w:val="24"/>
          <w:szCs w:val="24"/>
        </w:rPr>
        <w:t xml:space="preserve">Article 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05034A" w:rsidRDefault="0005034A" w:rsidP="000F4D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793" w:rsidRDefault="004C3793" w:rsidP="000F4D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42A8">
        <w:rPr>
          <w:rFonts w:ascii="Times New Roman" w:hAnsi="Times New Roman"/>
          <w:sz w:val="24"/>
          <w:szCs w:val="24"/>
        </w:rPr>
        <w:t xml:space="preserve">Après l’article </w:t>
      </w:r>
      <w:r w:rsidR="00563982">
        <w:rPr>
          <w:rFonts w:ascii="Times New Roman" w:hAnsi="Times New Roman"/>
          <w:sz w:val="24"/>
          <w:szCs w:val="24"/>
        </w:rPr>
        <w:t>1 de l’arrêté susvisé sont insérés</w:t>
      </w:r>
      <w:r w:rsidRPr="00FD42A8">
        <w:rPr>
          <w:rFonts w:ascii="Times New Roman" w:hAnsi="Times New Roman"/>
          <w:sz w:val="24"/>
          <w:szCs w:val="24"/>
        </w:rPr>
        <w:t xml:space="preserve"> les</w:t>
      </w:r>
      <w:r w:rsidR="00ED6BA8" w:rsidRPr="00FD42A8">
        <w:rPr>
          <w:rFonts w:ascii="Times New Roman" w:hAnsi="Times New Roman"/>
          <w:sz w:val="24"/>
          <w:szCs w:val="24"/>
        </w:rPr>
        <w:t xml:space="preserve"> articles</w:t>
      </w:r>
      <w:r w:rsidRPr="00FD42A8">
        <w:rPr>
          <w:rFonts w:ascii="Times New Roman" w:hAnsi="Times New Roman"/>
          <w:sz w:val="24"/>
          <w:szCs w:val="24"/>
        </w:rPr>
        <w:t xml:space="preserve"> </w:t>
      </w:r>
      <w:r w:rsidR="0005034A" w:rsidRPr="00FD42A8">
        <w:rPr>
          <w:rFonts w:ascii="Times New Roman" w:hAnsi="Times New Roman"/>
          <w:sz w:val="24"/>
          <w:szCs w:val="24"/>
        </w:rPr>
        <w:t>2</w:t>
      </w:r>
      <w:r w:rsidRPr="00FD42A8">
        <w:rPr>
          <w:rFonts w:ascii="Times New Roman" w:hAnsi="Times New Roman"/>
          <w:sz w:val="24"/>
          <w:szCs w:val="24"/>
        </w:rPr>
        <w:t xml:space="preserve"> à </w:t>
      </w:r>
      <w:r w:rsidR="0005034A" w:rsidRPr="00FD42A8">
        <w:rPr>
          <w:rFonts w:ascii="Times New Roman" w:hAnsi="Times New Roman"/>
          <w:sz w:val="24"/>
          <w:szCs w:val="24"/>
        </w:rPr>
        <w:t>4</w:t>
      </w:r>
      <w:r w:rsidRPr="00FD42A8">
        <w:rPr>
          <w:rFonts w:ascii="Times New Roman" w:hAnsi="Times New Roman"/>
          <w:sz w:val="24"/>
          <w:szCs w:val="24"/>
        </w:rPr>
        <w:t xml:space="preserve"> ainsi rédigés :</w:t>
      </w:r>
    </w:p>
    <w:p w:rsidR="004C3793" w:rsidRPr="00FD42A8" w:rsidRDefault="004C3793" w:rsidP="004C3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793" w:rsidRPr="00FD42A8" w:rsidRDefault="00EC4627" w:rsidP="004C3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4C3793" w:rsidRPr="00FD42A8">
        <w:rPr>
          <w:rFonts w:ascii="Times New Roman" w:hAnsi="Times New Roman"/>
          <w:sz w:val="24"/>
          <w:szCs w:val="24"/>
        </w:rPr>
        <w:t xml:space="preserve">Article </w:t>
      </w:r>
      <w:r w:rsidR="0005034A" w:rsidRPr="00FD42A8">
        <w:rPr>
          <w:rFonts w:ascii="Times New Roman" w:hAnsi="Times New Roman"/>
          <w:sz w:val="24"/>
          <w:szCs w:val="24"/>
        </w:rPr>
        <w:t>2</w:t>
      </w:r>
    </w:p>
    <w:p w:rsidR="004B1F3E" w:rsidRPr="00FD42A8" w:rsidRDefault="001248AE" w:rsidP="00711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 </w:t>
      </w:r>
      <w:r w:rsidR="00F659D6" w:rsidRPr="00FD42A8">
        <w:rPr>
          <w:rFonts w:ascii="Times New Roman" w:hAnsi="Times New Roman"/>
          <w:sz w:val="24"/>
          <w:szCs w:val="24"/>
        </w:rPr>
        <w:t>A</w:t>
      </w:r>
      <w:r w:rsidR="00054ECB" w:rsidRPr="00FD42A8">
        <w:rPr>
          <w:rFonts w:ascii="Times New Roman" w:hAnsi="Times New Roman"/>
          <w:sz w:val="24"/>
          <w:szCs w:val="24"/>
        </w:rPr>
        <w:t>rrêt biologique d’activité</w:t>
      </w:r>
      <w:r w:rsidR="00711414">
        <w:rPr>
          <w:rFonts w:ascii="Times New Roman" w:hAnsi="Times New Roman"/>
          <w:sz w:val="24"/>
          <w:szCs w:val="24"/>
        </w:rPr>
        <w:t xml:space="preserve"> des fileyeurs</w:t>
      </w:r>
    </w:p>
    <w:p w:rsidR="00FA0CFE" w:rsidRDefault="00FA0CFE" w:rsidP="00711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4213" w:rsidRDefault="00780C83" w:rsidP="006853E5">
      <w:pPr>
        <w:pStyle w:val="Paragraphedeliste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left="426"/>
        <w:jc w:val="both"/>
      </w:pPr>
      <w:r>
        <w:t xml:space="preserve">Les </w:t>
      </w:r>
      <w:r w:rsidR="00972CE5">
        <w:t xml:space="preserve">fileyeurs </w:t>
      </w:r>
      <w:r w:rsidR="000D7351">
        <w:t>réalisant des captures de</w:t>
      </w:r>
      <w:r w:rsidR="00972CE5">
        <w:t xml:space="preserve"> sole </w:t>
      </w:r>
      <w:r w:rsidR="00A12A54">
        <w:t>commune (</w:t>
      </w:r>
      <w:r w:rsidR="00666871" w:rsidRPr="006853E5">
        <w:rPr>
          <w:i/>
        </w:rPr>
        <w:t>Solea solea</w:t>
      </w:r>
      <w:r w:rsidR="00A12A54">
        <w:t>) respectent</w:t>
      </w:r>
      <w:r>
        <w:t xml:space="preserve"> une période d’arrêt </w:t>
      </w:r>
      <w:r w:rsidR="009B1DF3">
        <w:t>de la pêche</w:t>
      </w:r>
      <w:r w:rsidR="00212E75">
        <w:t xml:space="preserve"> ciblée</w:t>
      </w:r>
      <w:r w:rsidR="00EC4627">
        <w:t xml:space="preserve"> de sole commune</w:t>
      </w:r>
      <w:r w:rsidR="009B1DF3">
        <w:t xml:space="preserve"> </w:t>
      </w:r>
      <w:r>
        <w:t xml:space="preserve">de </w:t>
      </w:r>
      <w:r w:rsidR="00972CE5">
        <w:t>21</w:t>
      </w:r>
      <w:r>
        <w:t xml:space="preserve"> jours au cours des mois de janvier, février et mars.</w:t>
      </w:r>
    </w:p>
    <w:p w:rsidR="00780C83" w:rsidRDefault="00EA4213" w:rsidP="0005034A">
      <w:pPr>
        <w:pStyle w:val="Paragraphedeliste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left="426"/>
        <w:jc w:val="both"/>
      </w:pPr>
      <w:r>
        <w:t xml:space="preserve">L’arrêt de </w:t>
      </w:r>
      <w:r w:rsidR="00972CE5">
        <w:t>21</w:t>
      </w:r>
      <w:r>
        <w:t xml:space="preserve"> jours de la pêche</w:t>
      </w:r>
      <w:r w:rsidR="00212E75">
        <w:t xml:space="preserve"> ciblée</w:t>
      </w:r>
      <w:r>
        <w:t xml:space="preserve"> de sole </w:t>
      </w:r>
      <w:r w:rsidR="00A12A54">
        <w:t>commune (</w:t>
      </w:r>
      <w:r w:rsidR="00666871" w:rsidRPr="00666871">
        <w:rPr>
          <w:i/>
        </w:rPr>
        <w:t>Solea solea</w:t>
      </w:r>
      <w:r w:rsidR="00A12A54">
        <w:t>) s’effectue</w:t>
      </w:r>
      <w:r>
        <w:t xml:space="preserve"> par période</w:t>
      </w:r>
      <w:r w:rsidR="00563982">
        <w:t>s</w:t>
      </w:r>
      <w:r>
        <w:t xml:space="preserve"> de </w:t>
      </w:r>
      <w:r w:rsidR="00972CE5">
        <w:t>sept</w:t>
      </w:r>
      <w:r>
        <w:t xml:space="preserve"> jours consécutifs au sein des trois premiers mois de l’année.</w:t>
      </w:r>
    </w:p>
    <w:p w:rsidR="00E62EAD" w:rsidRDefault="00E62EAD" w:rsidP="006853E5">
      <w:pPr>
        <w:pStyle w:val="Paragraphedeliste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left="426"/>
        <w:jc w:val="both"/>
      </w:pPr>
      <w:r>
        <w:t xml:space="preserve">La période d’arrêt </w:t>
      </w:r>
      <w:r w:rsidR="00212E75">
        <w:t xml:space="preserve">de la pêche ciblée </w:t>
      </w:r>
      <w:r w:rsidR="00A12A54">
        <w:t>de sole commune (</w:t>
      </w:r>
      <w:r w:rsidR="00666871" w:rsidRPr="006853E5">
        <w:rPr>
          <w:i/>
        </w:rPr>
        <w:t>Solea solea</w:t>
      </w:r>
      <w:r w:rsidR="00711414">
        <w:t xml:space="preserve">) doit être </w:t>
      </w:r>
      <w:r>
        <w:t>notifiée</w:t>
      </w:r>
      <w:r w:rsidR="004333F0">
        <w:t xml:space="preserve"> par voie électronique</w:t>
      </w:r>
      <w:r w:rsidR="00711414">
        <w:t xml:space="preserve"> ou déposée</w:t>
      </w:r>
      <w:r>
        <w:t xml:space="preserve"> </w:t>
      </w:r>
      <w:r w:rsidR="00D04A05">
        <w:t xml:space="preserve">à </w:t>
      </w:r>
      <w:r w:rsidR="00D04A05" w:rsidRPr="00972CE5">
        <w:t xml:space="preserve">la </w:t>
      </w:r>
      <w:r w:rsidR="00D04A05">
        <w:t>D</w:t>
      </w:r>
      <w:r w:rsidR="00D04A05" w:rsidRPr="00972CE5">
        <w:t>élégation à la mer et au littoral</w:t>
      </w:r>
      <w:r w:rsidR="00D04A05">
        <w:t xml:space="preserve"> (DML) de la Direction départementale des territoires et de la mer (DDTM)</w:t>
      </w:r>
      <w:r w:rsidR="00D04A05" w:rsidRPr="00972CE5">
        <w:t xml:space="preserve"> du l</w:t>
      </w:r>
      <w:r w:rsidR="00D04A05">
        <w:t>ieu d’immatriculation du navire</w:t>
      </w:r>
      <w:r w:rsidR="00D04A05" w:rsidDel="00D04A05">
        <w:t xml:space="preserve"> </w:t>
      </w:r>
      <w:r>
        <w:t xml:space="preserve">au moins </w:t>
      </w:r>
      <w:r w:rsidR="0031357D">
        <w:t xml:space="preserve">48 heures </w:t>
      </w:r>
      <w:r>
        <w:t>avant l</w:t>
      </w:r>
      <w:r w:rsidR="00EC4627">
        <w:t>e début de la période d’arrêt biologique</w:t>
      </w:r>
      <w:r>
        <w:t>.</w:t>
      </w:r>
      <w:r w:rsidR="00C324B1">
        <w:t xml:space="preserve"> </w:t>
      </w:r>
    </w:p>
    <w:p w:rsidR="00A62677" w:rsidRDefault="00A12A54" w:rsidP="000D7351">
      <w:pPr>
        <w:pStyle w:val="Paragraphedeliste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left="426"/>
        <w:jc w:val="both"/>
      </w:pPr>
      <w:r>
        <w:t>La pêche de la sole commune (</w:t>
      </w:r>
      <w:r w:rsidR="00666871" w:rsidRPr="006853E5">
        <w:rPr>
          <w:i/>
        </w:rPr>
        <w:t>Solea solea</w:t>
      </w:r>
      <w:r>
        <w:t>) est interdite durant toute la période d’arrêt fixée à 21 jours</w:t>
      </w:r>
      <w:r w:rsidR="00711414">
        <w:t xml:space="preserve"> au total</w:t>
      </w:r>
      <w:r w:rsidR="00972CE5">
        <w:t>. L’A</w:t>
      </w:r>
      <w:r w:rsidR="00970217">
        <w:t>E</w:t>
      </w:r>
      <w:r w:rsidR="00972CE5">
        <w:t xml:space="preserve">P </w:t>
      </w:r>
      <w:r w:rsidR="00EC4627">
        <w:t xml:space="preserve">pour la pêche de la </w:t>
      </w:r>
      <w:r w:rsidR="00176687">
        <w:t xml:space="preserve">sole </w:t>
      </w:r>
      <w:r w:rsidR="00EC4627">
        <w:t>dans le</w:t>
      </w:r>
      <w:r w:rsidR="00563982">
        <w:t xml:space="preserve"> </w:t>
      </w:r>
      <w:r w:rsidR="00EC4627">
        <w:t>g</w:t>
      </w:r>
      <w:r w:rsidR="00176687">
        <w:t>olfe de Gascogne</w:t>
      </w:r>
      <w:r w:rsidR="00EC4627">
        <w:t> </w:t>
      </w:r>
      <w:r w:rsidR="00176687">
        <w:t>est suspendue</w:t>
      </w:r>
      <w:r>
        <w:t xml:space="preserve"> </w:t>
      </w:r>
      <w:r w:rsidR="00875C35">
        <w:t>pendant</w:t>
      </w:r>
      <w:r>
        <w:t xml:space="preserve"> </w:t>
      </w:r>
      <w:r w:rsidR="00875C35">
        <w:t>l’intégralité de la</w:t>
      </w:r>
      <w:r>
        <w:t xml:space="preserve"> période</w:t>
      </w:r>
      <w:r w:rsidR="00176687">
        <w:t xml:space="preserve">. </w:t>
      </w:r>
      <w:r w:rsidR="00C324B1">
        <w:t>Les navires doivent rester amarrés à leur poste pendant la période de suspension.</w:t>
      </w:r>
    </w:p>
    <w:p w:rsidR="001248AE" w:rsidRDefault="00C324B1" w:rsidP="00DA5D89">
      <w:pPr>
        <w:pStyle w:val="Paragraphedeliste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left="426"/>
        <w:jc w:val="both"/>
      </w:pPr>
      <w:r>
        <w:t>Par dérogation au point 4, les éventuels déplacements des navires durant leurs périodes d’arrêt biologique, pour une activité autre que la pêche, doivent être expressément autorisés par la Délégation à la mer et au littoral (DML) de la Direction départementale des territoires et de la mer (DDTM) du lieu d’immatriculation du navire.</w:t>
      </w:r>
    </w:p>
    <w:p w:rsidR="00DA5D89" w:rsidRDefault="00DA5D89" w:rsidP="00DA5D89">
      <w:pPr>
        <w:pStyle w:val="Paragraphedeliste"/>
        <w:widowControl w:val="0"/>
        <w:autoSpaceDE w:val="0"/>
        <w:autoSpaceDN w:val="0"/>
        <w:adjustRightInd w:val="0"/>
        <w:spacing w:after="240"/>
        <w:ind w:left="426"/>
        <w:jc w:val="both"/>
      </w:pPr>
    </w:p>
    <w:p w:rsidR="00DA5D89" w:rsidRDefault="00DA5D89" w:rsidP="00DA5D89">
      <w:pPr>
        <w:pStyle w:val="Paragraphedeliste"/>
        <w:widowControl w:val="0"/>
        <w:autoSpaceDE w:val="0"/>
        <w:autoSpaceDN w:val="0"/>
        <w:adjustRightInd w:val="0"/>
        <w:spacing w:after="240"/>
        <w:ind w:left="426"/>
        <w:jc w:val="both"/>
      </w:pPr>
    </w:p>
    <w:p w:rsidR="004C3793" w:rsidRPr="00FD42A8" w:rsidRDefault="004C3793" w:rsidP="004C3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2A8">
        <w:rPr>
          <w:rFonts w:ascii="Times New Roman" w:hAnsi="Times New Roman"/>
          <w:sz w:val="24"/>
          <w:szCs w:val="24"/>
        </w:rPr>
        <w:t xml:space="preserve">Article </w:t>
      </w:r>
      <w:r w:rsidR="0005034A" w:rsidRPr="00FD42A8">
        <w:rPr>
          <w:rFonts w:ascii="Times New Roman" w:hAnsi="Times New Roman"/>
          <w:sz w:val="24"/>
          <w:szCs w:val="24"/>
        </w:rPr>
        <w:t>3</w:t>
      </w:r>
    </w:p>
    <w:p w:rsidR="00035D5B" w:rsidRDefault="0005034A" w:rsidP="00035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2A8">
        <w:rPr>
          <w:rFonts w:ascii="Times New Roman" w:hAnsi="Times New Roman"/>
          <w:sz w:val="24"/>
          <w:szCs w:val="24"/>
        </w:rPr>
        <w:t>Amélioration de la sélectivité de</w:t>
      </w:r>
      <w:r w:rsidR="00035D5B" w:rsidRPr="00FD42A8">
        <w:rPr>
          <w:rFonts w:ascii="Times New Roman" w:hAnsi="Times New Roman"/>
          <w:sz w:val="24"/>
          <w:szCs w:val="24"/>
        </w:rPr>
        <w:t xml:space="preserve"> la pêcherie chalutière</w:t>
      </w:r>
    </w:p>
    <w:p w:rsidR="00DA5D89" w:rsidRPr="00FD42A8" w:rsidRDefault="00DA5D89" w:rsidP="00035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8AE" w:rsidRDefault="00C324B1" w:rsidP="00DA5D89">
      <w:pPr>
        <w:pStyle w:val="NormalWeb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100" w:beforeAutospacing="1" w:after="0"/>
        <w:ind w:right="0"/>
        <w:jc w:val="both"/>
        <w:rPr>
          <w:rFonts w:ascii="Times New Roman" w:hAnsi="Times New Roman"/>
          <w:sz w:val="24"/>
          <w:szCs w:val="24"/>
        </w:rPr>
      </w:pPr>
      <w:r w:rsidRPr="00527C9C">
        <w:rPr>
          <w:rFonts w:ascii="Times New Roman" w:hAnsi="Times New Roman" w:cs="Times New Roman"/>
          <w:color w:val="auto"/>
          <w:sz w:val="24"/>
          <w:szCs w:val="24"/>
        </w:rPr>
        <w:t xml:space="preserve">Par dérogation </w:t>
      </w:r>
      <w:r w:rsidR="00527C9C" w:rsidRPr="00527C9C">
        <w:rPr>
          <w:rFonts w:ascii="Times New Roman" w:hAnsi="Times New Roman" w:cs="Times New Roman"/>
          <w:color w:val="auto"/>
          <w:sz w:val="24"/>
          <w:szCs w:val="24"/>
        </w:rPr>
        <w:t xml:space="preserve">aux dispositions de l’annexe IX au règlement (CE) n° 850/98 du 30 mars 1998 susvisé, relatives aux combinaisons de maillages autorisés pour la région 3, sauf division IX a du CIEM à l’est de 7°23’48’’ de longitude ouest, le </w:t>
      </w:r>
      <w:r w:rsidR="00FD42A8" w:rsidRPr="00527C9C">
        <w:rPr>
          <w:rFonts w:ascii="Times New Roman" w:hAnsi="Times New Roman" w:cs="Times New Roman"/>
          <w:color w:val="auto"/>
          <w:sz w:val="24"/>
          <w:szCs w:val="24"/>
        </w:rPr>
        <w:t xml:space="preserve">maillage </w:t>
      </w:r>
      <w:r w:rsidR="00035E81" w:rsidRPr="00527C9C">
        <w:rPr>
          <w:rFonts w:ascii="Times New Roman" w:hAnsi="Times New Roman" w:cs="Times New Roman"/>
          <w:color w:val="auto"/>
          <w:sz w:val="24"/>
          <w:szCs w:val="24"/>
        </w:rPr>
        <w:t>des chaluts</w:t>
      </w:r>
      <w:r w:rsidR="00FD42A8" w:rsidRPr="00527C9C">
        <w:rPr>
          <w:rFonts w:ascii="Times New Roman" w:hAnsi="Times New Roman" w:cs="Times New Roman"/>
          <w:color w:val="auto"/>
          <w:sz w:val="24"/>
          <w:szCs w:val="24"/>
        </w:rPr>
        <w:t xml:space="preserve"> de fond</w:t>
      </w:r>
      <w:r w:rsidR="00527C9C" w:rsidRPr="00527C9C">
        <w:rPr>
          <w:rFonts w:ascii="Times New Roman" w:hAnsi="Times New Roman" w:cs="Times New Roman"/>
          <w:color w:val="auto"/>
          <w:sz w:val="24"/>
          <w:szCs w:val="24"/>
        </w:rPr>
        <w:t xml:space="preserve"> en action de pêche</w:t>
      </w:r>
      <w:r w:rsidR="00FD42A8" w:rsidRPr="00527C9C">
        <w:rPr>
          <w:rFonts w:ascii="Times New Roman" w:hAnsi="Times New Roman" w:cs="Times New Roman"/>
          <w:color w:val="auto"/>
          <w:sz w:val="24"/>
          <w:szCs w:val="24"/>
        </w:rPr>
        <w:t>, définis à l’Annexe I-B,</w:t>
      </w:r>
      <w:r w:rsidR="00035E81" w:rsidRPr="00527C9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27C9C">
        <w:rPr>
          <w:rFonts w:ascii="Times New Roman" w:hAnsi="Times New Roman" w:cs="Times New Roman"/>
          <w:color w:val="auto"/>
          <w:sz w:val="24"/>
          <w:szCs w:val="24"/>
        </w:rPr>
        <w:t>titulaires de l’AEP pour la pêche de sole</w:t>
      </w:r>
      <w:r w:rsidR="00527C9C" w:rsidRPr="00527C9C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527C9C" w:rsidRPr="00527C9C">
        <w:rPr>
          <w:rFonts w:ascii="Times New Roman" w:hAnsi="Times New Roman" w:cs="Times New Roman"/>
          <w:i/>
          <w:color w:val="auto"/>
          <w:sz w:val="24"/>
          <w:szCs w:val="24"/>
        </w:rPr>
        <w:t>Solea solea</w:t>
      </w:r>
      <w:r w:rsidR="00527C9C" w:rsidRPr="00527C9C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527C9C">
        <w:rPr>
          <w:rFonts w:ascii="Times New Roman" w:hAnsi="Times New Roman" w:cs="Times New Roman"/>
          <w:color w:val="auto"/>
          <w:sz w:val="24"/>
          <w:szCs w:val="24"/>
        </w:rPr>
        <w:t xml:space="preserve"> dans le golfe de Gascogne, doit être </w:t>
      </w:r>
      <w:r w:rsidR="00527C9C" w:rsidRPr="00527C9C">
        <w:rPr>
          <w:rFonts w:ascii="Times New Roman" w:hAnsi="Times New Roman" w:cs="Times New Roman"/>
          <w:color w:val="auto"/>
          <w:sz w:val="24"/>
          <w:szCs w:val="24"/>
        </w:rPr>
        <w:t xml:space="preserve">en permanence </w:t>
      </w:r>
      <w:r w:rsidR="00DA5D89">
        <w:rPr>
          <w:rFonts w:ascii="Times New Roman" w:hAnsi="Times New Roman" w:cs="Times New Roman"/>
          <w:color w:val="auto"/>
          <w:sz w:val="24"/>
          <w:szCs w:val="24"/>
        </w:rPr>
        <w:t>supérieur ou égal à 80</w:t>
      </w:r>
      <w:r w:rsidRPr="00527C9C">
        <w:rPr>
          <w:rFonts w:ascii="Times New Roman" w:hAnsi="Times New Roman" w:cs="Times New Roman"/>
          <w:color w:val="auto"/>
          <w:sz w:val="24"/>
          <w:szCs w:val="24"/>
        </w:rPr>
        <w:t xml:space="preserve"> mm</w:t>
      </w:r>
      <w:r w:rsidR="00527C9C" w:rsidRPr="00527C9C">
        <w:rPr>
          <w:rFonts w:ascii="Times New Roman" w:hAnsi="Times New Roman" w:cs="Times New Roman"/>
          <w:color w:val="auto"/>
          <w:sz w:val="24"/>
          <w:szCs w:val="24"/>
        </w:rPr>
        <w:t xml:space="preserve"> du</w:t>
      </w:r>
      <w:r w:rsidR="00DA5D89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DA5D89" w:rsidRPr="00DA5D8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er</w:t>
      </w:r>
      <w:r w:rsidR="00C53F36">
        <w:rPr>
          <w:rFonts w:ascii="Times New Roman" w:hAnsi="Times New Roman" w:cs="Times New Roman"/>
          <w:color w:val="auto"/>
          <w:sz w:val="24"/>
          <w:szCs w:val="24"/>
        </w:rPr>
        <w:t xml:space="preserve"> janvier au 31 mai </w:t>
      </w:r>
      <w:r w:rsidR="00DA5D89">
        <w:rPr>
          <w:rFonts w:ascii="Times New Roman" w:hAnsi="Times New Roman" w:cs="Times New Roman"/>
          <w:color w:val="auto"/>
          <w:sz w:val="24"/>
          <w:szCs w:val="24"/>
        </w:rPr>
        <w:t>et du 1</w:t>
      </w:r>
      <w:r w:rsidR="00DA5D89" w:rsidRPr="00DA5D8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er</w:t>
      </w:r>
      <w:r w:rsidR="00C53F36">
        <w:rPr>
          <w:rFonts w:ascii="Times New Roman" w:hAnsi="Times New Roman" w:cs="Times New Roman"/>
          <w:color w:val="auto"/>
          <w:sz w:val="24"/>
          <w:szCs w:val="24"/>
        </w:rPr>
        <w:t xml:space="preserve"> octobre au 31 décembre</w:t>
      </w:r>
      <w:r w:rsidR="00527C9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A5D89" w:rsidRPr="00DA5D89" w:rsidRDefault="00DA5D89" w:rsidP="00DA5D89">
      <w:pPr>
        <w:pStyle w:val="NormalWeb"/>
        <w:widowControl w:val="0"/>
        <w:suppressAutoHyphens w:val="0"/>
        <w:autoSpaceDE w:val="0"/>
        <w:autoSpaceDN w:val="0"/>
        <w:adjustRightInd w:val="0"/>
        <w:spacing w:before="100" w:beforeAutospacing="1" w:after="0"/>
        <w:ind w:left="435" w:right="0"/>
        <w:jc w:val="both"/>
        <w:rPr>
          <w:rFonts w:ascii="Times New Roman" w:hAnsi="Times New Roman"/>
          <w:sz w:val="24"/>
          <w:szCs w:val="24"/>
        </w:rPr>
      </w:pPr>
    </w:p>
    <w:p w:rsidR="00527C9C" w:rsidRPr="00527C9C" w:rsidRDefault="00527C9C" w:rsidP="00527C9C">
      <w:pPr>
        <w:pStyle w:val="NormalWeb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100" w:beforeAutospacing="1" w:after="0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En deh</w:t>
      </w:r>
      <w:r w:rsidR="00C53F36">
        <w:rPr>
          <w:rFonts w:ascii="Times New Roman" w:hAnsi="Times New Roman" w:cs="Times New Roman"/>
          <w:color w:val="auto"/>
          <w:sz w:val="24"/>
          <w:szCs w:val="24"/>
        </w:rPr>
        <w:t xml:space="preserve">ors de la période </w:t>
      </w:r>
      <w:r>
        <w:rPr>
          <w:rFonts w:ascii="Times New Roman" w:hAnsi="Times New Roman" w:cs="Times New Roman"/>
          <w:color w:val="auto"/>
          <w:sz w:val="24"/>
          <w:szCs w:val="24"/>
        </w:rPr>
        <w:t>fixée au 1 du prése</w:t>
      </w:r>
      <w:r w:rsidR="001248AE">
        <w:rPr>
          <w:rFonts w:ascii="Times New Roman" w:hAnsi="Times New Roman" w:cs="Times New Roman"/>
          <w:color w:val="auto"/>
          <w:sz w:val="24"/>
          <w:szCs w:val="24"/>
        </w:rPr>
        <w:t xml:space="preserve">nt article, les dispositions de l’annexe IX au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règlement (CE) n° 850/98 </w:t>
      </w:r>
      <w:r w:rsidR="001248AE">
        <w:rPr>
          <w:rFonts w:ascii="Times New Roman" w:hAnsi="Times New Roman" w:cs="Times New Roman"/>
          <w:color w:val="auto"/>
          <w:sz w:val="24"/>
          <w:szCs w:val="24"/>
        </w:rPr>
        <w:t xml:space="preserve">du 30 mars 1998, relatives </w:t>
      </w:r>
      <w:r w:rsidR="001248AE" w:rsidRPr="00527C9C">
        <w:rPr>
          <w:rFonts w:ascii="Times New Roman" w:hAnsi="Times New Roman" w:cs="Times New Roman"/>
          <w:color w:val="auto"/>
          <w:sz w:val="24"/>
          <w:szCs w:val="24"/>
        </w:rPr>
        <w:t>aux combinaisons de maillages autorisés pour la région 3, sauf division IX a du CIEM à l’est de 7°23’48’’ de longitude oues</w:t>
      </w:r>
      <w:r w:rsidR="001248AE">
        <w:rPr>
          <w:rFonts w:ascii="Times New Roman" w:hAnsi="Times New Roman" w:cs="Times New Roman"/>
          <w:color w:val="auto"/>
          <w:sz w:val="24"/>
          <w:szCs w:val="24"/>
        </w:rPr>
        <w:t>t, s’appliquent.</w:t>
      </w:r>
    </w:p>
    <w:p w:rsidR="00527C9C" w:rsidRDefault="00527C9C" w:rsidP="001248AE">
      <w:pPr>
        <w:pStyle w:val="NormalWeb"/>
        <w:widowControl w:val="0"/>
        <w:suppressAutoHyphens w:val="0"/>
        <w:autoSpaceDE w:val="0"/>
        <w:autoSpaceDN w:val="0"/>
        <w:adjustRightInd w:val="0"/>
        <w:spacing w:before="100" w:beforeAutospacing="1" w:after="0"/>
        <w:ind w:left="0" w:right="0"/>
        <w:rPr>
          <w:rFonts w:ascii="Times New Roman" w:hAnsi="Times New Roman"/>
          <w:sz w:val="24"/>
          <w:szCs w:val="24"/>
        </w:rPr>
      </w:pPr>
    </w:p>
    <w:p w:rsidR="00AE78C6" w:rsidRPr="00527C9C" w:rsidRDefault="00AE78C6" w:rsidP="00DA5D89">
      <w:pPr>
        <w:pStyle w:val="NormalWeb"/>
        <w:widowControl w:val="0"/>
        <w:suppressAutoHyphens w:val="0"/>
        <w:autoSpaceDE w:val="0"/>
        <w:autoSpaceDN w:val="0"/>
        <w:adjustRightInd w:val="0"/>
        <w:spacing w:before="100" w:beforeAutospacing="1" w:after="0"/>
        <w:ind w:left="435" w:right="0" w:firstLine="285"/>
        <w:jc w:val="center"/>
        <w:rPr>
          <w:rFonts w:ascii="Times New Roman" w:hAnsi="Times New Roman"/>
          <w:sz w:val="24"/>
          <w:szCs w:val="24"/>
        </w:rPr>
      </w:pPr>
      <w:r w:rsidRPr="00527C9C">
        <w:rPr>
          <w:rFonts w:ascii="Times New Roman" w:hAnsi="Times New Roman"/>
          <w:sz w:val="24"/>
          <w:szCs w:val="24"/>
        </w:rPr>
        <w:t xml:space="preserve">Article </w:t>
      </w:r>
      <w:r w:rsidR="00830A53" w:rsidRPr="00527C9C">
        <w:rPr>
          <w:rFonts w:ascii="Times New Roman" w:hAnsi="Times New Roman"/>
          <w:sz w:val="24"/>
          <w:szCs w:val="24"/>
        </w:rPr>
        <w:t>4</w:t>
      </w:r>
    </w:p>
    <w:p w:rsidR="00A0735E" w:rsidRPr="00EC4627" w:rsidRDefault="00A0735E" w:rsidP="00DA5D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C4627">
        <w:rPr>
          <w:rFonts w:ascii="Times New Roman" w:hAnsi="Times New Roman"/>
          <w:bCs/>
          <w:sz w:val="24"/>
          <w:szCs w:val="24"/>
        </w:rPr>
        <w:t>Gestion du quota de capture</w:t>
      </w:r>
    </w:p>
    <w:p w:rsidR="00A0735E" w:rsidRDefault="00A0735E" w:rsidP="00E8274B">
      <w:pPr>
        <w:pStyle w:val="Paragraphedeliste"/>
        <w:widowControl w:val="0"/>
        <w:numPr>
          <w:ilvl w:val="0"/>
          <w:numId w:val="25"/>
        </w:numPr>
        <w:autoSpaceDE w:val="0"/>
        <w:autoSpaceDN w:val="0"/>
        <w:adjustRightInd w:val="0"/>
        <w:spacing w:after="240"/>
        <w:jc w:val="both"/>
      </w:pPr>
      <w:r>
        <w:t xml:space="preserve">Le quota </w:t>
      </w:r>
      <w:r w:rsidR="006D1D1D">
        <w:t xml:space="preserve">français </w:t>
      </w:r>
      <w:r>
        <w:t xml:space="preserve">de sole </w:t>
      </w:r>
      <w:r w:rsidR="00D20A35">
        <w:t>commune (</w:t>
      </w:r>
      <w:r w:rsidR="00666871" w:rsidRPr="00666871">
        <w:rPr>
          <w:i/>
        </w:rPr>
        <w:t>Solea solea</w:t>
      </w:r>
      <w:r w:rsidR="00D20A35">
        <w:t xml:space="preserve">) </w:t>
      </w:r>
      <w:r w:rsidR="006D1D1D">
        <w:t xml:space="preserve">du </w:t>
      </w:r>
      <w:r w:rsidR="002A5D00">
        <w:t>g</w:t>
      </w:r>
      <w:r w:rsidR="006D1D1D">
        <w:t>olfe de Gascogne est réparti en sous-quota</w:t>
      </w:r>
      <w:r w:rsidR="00875C35">
        <w:t>s</w:t>
      </w:r>
      <w:r w:rsidR="006D1D1D">
        <w:t xml:space="preserve"> entre les organisations de producteurs et les navires non-adhérents à une organisation de producteur</w:t>
      </w:r>
      <w:r w:rsidR="00875C35">
        <w:t>s</w:t>
      </w:r>
      <w:r w:rsidR="006D1D1D">
        <w:t xml:space="preserve"> </w:t>
      </w:r>
      <w:r w:rsidR="00D20A35">
        <w:t>sur la base de</w:t>
      </w:r>
      <w:r w:rsidR="006D1D1D">
        <w:t xml:space="preserve"> la liste des adhésions </w:t>
      </w:r>
      <w:r w:rsidR="00875C35">
        <w:t>à la</w:t>
      </w:r>
      <w:r w:rsidR="006D1D1D">
        <w:t xml:space="preserve"> date du 1</w:t>
      </w:r>
      <w:r w:rsidR="006D1D1D" w:rsidRPr="006D1D1D">
        <w:rPr>
          <w:vertAlign w:val="superscript"/>
        </w:rPr>
        <w:t>er</w:t>
      </w:r>
      <w:r w:rsidR="006D1D1D">
        <w:t xml:space="preserve"> janvier de l’année de gestion en cours</w:t>
      </w:r>
      <w:r w:rsidR="00875C35">
        <w:t>.</w:t>
      </w:r>
    </w:p>
    <w:p w:rsidR="00A0735E" w:rsidRPr="00A0735E" w:rsidRDefault="00A0735E" w:rsidP="00E8274B">
      <w:pPr>
        <w:pStyle w:val="Paragraphedeliste"/>
        <w:widowControl w:val="0"/>
        <w:numPr>
          <w:ilvl w:val="0"/>
          <w:numId w:val="25"/>
        </w:numPr>
        <w:autoSpaceDE w:val="0"/>
        <w:autoSpaceDN w:val="0"/>
        <w:adjustRightInd w:val="0"/>
        <w:spacing w:after="240"/>
        <w:jc w:val="both"/>
      </w:pPr>
      <w:r>
        <w:t>Les organisations de producteurs définissent des limit</w:t>
      </w:r>
      <w:r w:rsidR="00875C35">
        <w:t>es</w:t>
      </w:r>
      <w:r>
        <w:t xml:space="preserve"> individuelles de capture de sole </w:t>
      </w:r>
      <w:r w:rsidR="00D20A35">
        <w:t>commune (</w:t>
      </w:r>
      <w:r w:rsidR="00666871" w:rsidRPr="00666871">
        <w:rPr>
          <w:i/>
        </w:rPr>
        <w:t>Solea solea</w:t>
      </w:r>
      <w:r w:rsidR="00D20A35">
        <w:t>) pour</w:t>
      </w:r>
      <w:r>
        <w:t xml:space="preserve"> l’ensemble de leurs adhérents</w:t>
      </w:r>
      <w:r w:rsidR="00D20A35">
        <w:t xml:space="preserve"> </w:t>
      </w:r>
      <w:r w:rsidR="00AE78C6">
        <w:t>titulaires d’une AEP « Sole Golfe de Gascogne »</w:t>
      </w:r>
      <w:r w:rsidR="00D20A35">
        <w:t>, dans la limite de leurs sous-quotas respectifs</w:t>
      </w:r>
      <w:r>
        <w:t>. Ces limit</w:t>
      </w:r>
      <w:r w:rsidR="00875C35">
        <w:t>es</w:t>
      </w:r>
      <w:r>
        <w:t xml:space="preserve"> individuelles sont notifiées </w:t>
      </w:r>
      <w:r w:rsidR="00711414">
        <w:t xml:space="preserve">à </w:t>
      </w:r>
      <w:r w:rsidR="00711414" w:rsidRPr="00972CE5">
        <w:t xml:space="preserve">la </w:t>
      </w:r>
      <w:r w:rsidR="00711414">
        <w:t>D</w:t>
      </w:r>
      <w:r w:rsidR="00711414" w:rsidRPr="00972CE5">
        <w:t>élégation à la mer et au littoral</w:t>
      </w:r>
      <w:r w:rsidR="00711414">
        <w:t xml:space="preserve"> (DML) de la Direction départementale des territoires et de la mer (DDTM)</w:t>
      </w:r>
      <w:r w:rsidR="00711414" w:rsidRPr="00972CE5">
        <w:t xml:space="preserve"> du l</w:t>
      </w:r>
      <w:r w:rsidR="00711414">
        <w:t>ieu d’immatriculation du navire</w:t>
      </w:r>
      <w:r w:rsidR="00711414" w:rsidDel="00D04A05">
        <w:t xml:space="preserve"> </w:t>
      </w:r>
      <w:r>
        <w:t xml:space="preserve">par le biais de leur plan de gestion, </w:t>
      </w:r>
      <w:r w:rsidR="00D20A35">
        <w:t xml:space="preserve">tel que </w:t>
      </w:r>
      <w:r>
        <w:t xml:space="preserve">défini à l’article </w:t>
      </w:r>
      <w:r w:rsidR="00D20A35">
        <w:t>R.</w:t>
      </w:r>
      <w:r w:rsidR="00875C35" w:rsidRPr="003A0023">
        <w:t> </w:t>
      </w:r>
      <w:r>
        <w:t xml:space="preserve">921-61 du </w:t>
      </w:r>
      <w:r w:rsidR="00D20A35">
        <w:t xml:space="preserve">code </w:t>
      </w:r>
      <w:r w:rsidRPr="00A64873">
        <w:rPr>
          <w:color w:val="000000"/>
        </w:rPr>
        <w:t xml:space="preserve">rural et de la </w:t>
      </w:r>
      <w:r w:rsidR="00D20A35">
        <w:rPr>
          <w:color w:val="000000"/>
        </w:rPr>
        <w:t>p</w:t>
      </w:r>
      <w:r w:rsidRPr="00A64873">
        <w:rPr>
          <w:color w:val="000000"/>
        </w:rPr>
        <w:t>êche maritime</w:t>
      </w:r>
      <w:r w:rsidR="00875C35">
        <w:rPr>
          <w:color w:val="000000"/>
        </w:rPr>
        <w:t>.</w:t>
      </w:r>
    </w:p>
    <w:p w:rsidR="00A0735E" w:rsidRDefault="00A0735E" w:rsidP="00AE78C6">
      <w:pPr>
        <w:pStyle w:val="Paragraphedeliste"/>
        <w:widowControl w:val="0"/>
        <w:numPr>
          <w:ilvl w:val="0"/>
          <w:numId w:val="25"/>
        </w:numPr>
        <w:autoSpaceDE w:val="0"/>
        <w:autoSpaceDN w:val="0"/>
        <w:adjustRightInd w:val="0"/>
        <w:spacing w:after="240"/>
        <w:jc w:val="both"/>
      </w:pPr>
      <w:r>
        <w:t>Le</w:t>
      </w:r>
      <w:r w:rsidR="006D1D1D">
        <w:t xml:space="preserve"> sous-quota de</w:t>
      </w:r>
      <w:r>
        <w:t xml:space="preserve">s navires </w:t>
      </w:r>
      <w:r w:rsidR="006D1D1D">
        <w:t>non-adhérents</w:t>
      </w:r>
      <w:r>
        <w:t xml:space="preserve"> à une organisation de producteur</w:t>
      </w:r>
      <w:r w:rsidR="00875C35">
        <w:t>s</w:t>
      </w:r>
      <w:r>
        <w:t xml:space="preserve"> </w:t>
      </w:r>
      <w:r w:rsidR="006D1D1D">
        <w:t xml:space="preserve">est régionalisé suivant le quartier d’immatriculation de ces navires </w:t>
      </w:r>
      <w:r w:rsidR="00D20A35">
        <w:t xml:space="preserve">à la </w:t>
      </w:r>
      <w:r w:rsidR="006D1D1D">
        <w:t>date du 1</w:t>
      </w:r>
      <w:r w:rsidR="006D1D1D" w:rsidRPr="006D1D1D">
        <w:rPr>
          <w:vertAlign w:val="superscript"/>
        </w:rPr>
        <w:t>er</w:t>
      </w:r>
      <w:r w:rsidR="006D1D1D">
        <w:t xml:space="preserve"> janvier de l’année de gestion en cours. Des mesures de limitations régionales </w:t>
      </w:r>
      <w:r w:rsidR="00C61F41">
        <w:t xml:space="preserve">de débarquement pour assurer une consommation régulière </w:t>
      </w:r>
      <w:r w:rsidR="006D1D1D">
        <w:t>peuvent être adoptées</w:t>
      </w:r>
      <w:r w:rsidR="00D20A35">
        <w:t>,</w:t>
      </w:r>
      <w:r w:rsidR="006D1D1D">
        <w:t xml:space="preserve"> conformément à l’article R.</w:t>
      </w:r>
      <w:r w:rsidR="00875C35" w:rsidRPr="003A0023">
        <w:t> </w:t>
      </w:r>
      <w:r w:rsidR="006D1D1D">
        <w:t xml:space="preserve">921-93 du </w:t>
      </w:r>
      <w:r w:rsidR="00D20A35">
        <w:t xml:space="preserve">code </w:t>
      </w:r>
      <w:r w:rsidR="006D1D1D" w:rsidRPr="00A64873">
        <w:rPr>
          <w:color w:val="000000"/>
        </w:rPr>
        <w:t xml:space="preserve">rural et de la </w:t>
      </w:r>
      <w:r w:rsidR="00D20A35">
        <w:rPr>
          <w:color w:val="000000"/>
        </w:rPr>
        <w:t>p</w:t>
      </w:r>
      <w:r w:rsidR="006D1D1D" w:rsidRPr="00A64873">
        <w:rPr>
          <w:color w:val="000000"/>
        </w:rPr>
        <w:t>êche maritime</w:t>
      </w:r>
      <w:r w:rsidR="00747710">
        <w:rPr>
          <w:color w:val="000000"/>
        </w:rPr>
        <w:t> »</w:t>
      </w:r>
      <w:r w:rsidR="00800B34">
        <w:rPr>
          <w:color w:val="000000"/>
        </w:rPr>
        <w:t>.</w:t>
      </w:r>
    </w:p>
    <w:p w:rsidR="00176687" w:rsidRDefault="00176687" w:rsidP="00725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1357D" w:rsidRPr="00A64873" w:rsidRDefault="0031357D" w:rsidP="0031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4873">
        <w:rPr>
          <w:rFonts w:ascii="Times New Roman" w:hAnsi="Times New Roman"/>
          <w:b/>
          <w:bCs/>
          <w:sz w:val="24"/>
          <w:szCs w:val="24"/>
        </w:rPr>
        <w:t xml:space="preserve">Article </w:t>
      </w:r>
      <w:r w:rsidR="00711414">
        <w:rPr>
          <w:rFonts w:ascii="Times New Roman" w:hAnsi="Times New Roman"/>
          <w:b/>
          <w:bCs/>
          <w:sz w:val="24"/>
          <w:szCs w:val="24"/>
        </w:rPr>
        <w:t>4</w:t>
      </w:r>
    </w:p>
    <w:p w:rsidR="0031357D" w:rsidRDefault="0031357D" w:rsidP="0031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8C6" w:rsidRDefault="00AE78C6" w:rsidP="00AE7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B3">
        <w:rPr>
          <w:rFonts w:ascii="Times New Roman" w:hAnsi="Times New Roman"/>
          <w:sz w:val="24"/>
          <w:szCs w:val="24"/>
        </w:rPr>
        <w:t>L’</w:t>
      </w:r>
      <w:r w:rsidR="00711414">
        <w:rPr>
          <w:rFonts w:ascii="Times New Roman" w:hAnsi="Times New Roman"/>
          <w:sz w:val="24"/>
          <w:szCs w:val="24"/>
        </w:rPr>
        <w:t xml:space="preserve">Annexe I à </w:t>
      </w:r>
      <w:r>
        <w:rPr>
          <w:rFonts w:ascii="Times New Roman" w:hAnsi="Times New Roman"/>
          <w:sz w:val="24"/>
          <w:szCs w:val="24"/>
        </w:rPr>
        <w:t>l’</w:t>
      </w:r>
      <w:r w:rsidRPr="002D686B">
        <w:rPr>
          <w:rFonts w:ascii="Times New Roman" w:hAnsi="Times New Roman"/>
          <w:sz w:val="24"/>
          <w:szCs w:val="24"/>
        </w:rPr>
        <w:t xml:space="preserve">arrêté susvisé </w:t>
      </w:r>
      <w:r w:rsidRPr="000963B3">
        <w:rPr>
          <w:rFonts w:ascii="Times New Roman" w:hAnsi="Times New Roman"/>
          <w:sz w:val="24"/>
          <w:szCs w:val="24"/>
        </w:rPr>
        <w:t>est remplacé</w:t>
      </w:r>
      <w:r w:rsidR="00DA5D89">
        <w:rPr>
          <w:rFonts w:ascii="Times New Roman" w:hAnsi="Times New Roman"/>
          <w:sz w:val="24"/>
          <w:szCs w:val="24"/>
        </w:rPr>
        <w:t>e</w:t>
      </w:r>
      <w:r w:rsidRPr="000963B3">
        <w:rPr>
          <w:rFonts w:ascii="Times New Roman" w:hAnsi="Times New Roman"/>
          <w:sz w:val="24"/>
          <w:szCs w:val="24"/>
        </w:rPr>
        <w:t xml:space="preserve"> par </w:t>
      </w:r>
      <w:r w:rsidR="00C11417">
        <w:rPr>
          <w:rFonts w:ascii="Times New Roman" w:hAnsi="Times New Roman"/>
          <w:sz w:val="24"/>
          <w:szCs w:val="24"/>
        </w:rPr>
        <w:t>les dispositions suivantes :</w:t>
      </w:r>
    </w:p>
    <w:p w:rsidR="00AE78C6" w:rsidRPr="006C352A" w:rsidRDefault="00AE78C6" w:rsidP="0031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EE3" w:rsidRDefault="00CD2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E78C6" w:rsidRPr="004678B0" w:rsidRDefault="00747710" w:rsidP="00AE7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 </w:t>
      </w:r>
      <w:r w:rsidR="00AE78C6" w:rsidRPr="004678B0">
        <w:rPr>
          <w:rFonts w:ascii="Times New Roman" w:hAnsi="Times New Roman"/>
          <w:b/>
          <w:sz w:val="24"/>
          <w:szCs w:val="24"/>
        </w:rPr>
        <w:t>Annexe I</w:t>
      </w:r>
    </w:p>
    <w:p w:rsidR="00AE78C6" w:rsidRPr="004678B0" w:rsidRDefault="00AE78C6" w:rsidP="00AE7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78B0">
        <w:rPr>
          <w:rFonts w:ascii="Times New Roman" w:hAnsi="Times New Roman"/>
          <w:b/>
          <w:sz w:val="24"/>
          <w:szCs w:val="24"/>
        </w:rPr>
        <w:t>Groupes d’engins réglemen</w:t>
      </w:r>
      <w:r>
        <w:rPr>
          <w:rFonts w:ascii="Times New Roman" w:hAnsi="Times New Roman"/>
          <w:b/>
          <w:sz w:val="24"/>
          <w:szCs w:val="24"/>
        </w:rPr>
        <w:t>t</w:t>
      </w:r>
      <w:r w:rsidRPr="004678B0">
        <w:rPr>
          <w:rFonts w:ascii="Times New Roman" w:hAnsi="Times New Roman"/>
          <w:b/>
          <w:sz w:val="24"/>
          <w:szCs w:val="24"/>
        </w:rPr>
        <w:t>és</w:t>
      </w:r>
    </w:p>
    <w:p w:rsidR="00AE78C6" w:rsidRDefault="00AE78C6" w:rsidP="00AE7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78C6" w:rsidRDefault="00AE78C6" w:rsidP="00AE7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groupes d’engins réglementés mentionnés à l’article 1</w:t>
      </w:r>
      <w:r w:rsidRPr="00875C35">
        <w:rPr>
          <w:rFonts w:ascii="Times New Roman" w:hAnsi="Times New Roman"/>
          <w:sz w:val="24"/>
          <w:szCs w:val="24"/>
          <w:vertAlign w:val="superscript"/>
        </w:rPr>
        <w:t>er</w:t>
      </w:r>
      <w:r>
        <w:rPr>
          <w:rFonts w:ascii="Times New Roman" w:hAnsi="Times New Roman"/>
          <w:sz w:val="24"/>
          <w:szCs w:val="24"/>
        </w:rPr>
        <w:t>, ainsi que le code de chaque engin issu de la classification statistique internationale des engins de pêche de la FAO, précisé entre parenthèses, sont les suivants :</w:t>
      </w:r>
    </w:p>
    <w:p w:rsidR="00A66F0F" w:rsidRDefault="00A66F0F" w:rsidP="00AE7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8C6" w:rsidRDefault="00AE78C6" w:rsidP="00AE78C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- </w:t>
      </w:r>
      <w:r w:rsidRPr="00666871">
        <w:rPr>
          <w:rFonts w:ascii="Times New Roman" w:hAnsi="Times New Roman"/>
          <w:b/>
          <w:sz w:val="24"/>
          <w:szCs w:val="24"/>
        </w:rPr>
        <w:t>filets</w:t>
      </w:r>
      <w:r w:rsidRPr="00073273">
        <w:rPr>
          <w:rFonts w:ascii="Times New Roman" w:hAnsi="Times New Roman"/>
          <w:sz w:val="24"/>
          <w:szCs w:val="24"/>
          <w:lang w:eastAsia="ar-SA"/>
        </w:rPr>
        <w:t> </w:t>
      </w:r>
      <w:r w:rsidRPr="00073273">
        <w:rPr>
          <w:rFonts w:ascii="Times New Roman" w:hAnsi="Times New Roman"/>
          <w:sz w:val="24"/>
          <w:szCs w:val="24"/>
        </w:rPr>
        <w:t xml:space="preserve">: </w:t>
      </w:r>
    </w:p>
    <w:p w:rsidR="00AE78C6" w:rsidRPr="00D70071" w:rsidRDefault="00AE78C6" w:rsidP="00AE78C6">
      <w:pPr>
        <w:pStyle w:val="NormalWeb"/>
        <w:numPr>
          <w:ilvl w:val="1"/>
          <w:numId w:val="28"/>
        </w:numPr>
        <w:spacing w:before="0" w:after="0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D70071">
        <w:rPr>
          <w:rFonts w:ascii="Times New Roman" w:hAnsi="Times New Roman" w:cs="Times New Roman"/>
          <w:sz w:val="24"/>
          <w:szCs w:val="24"/>
        </w:rPr>
        <w:t>trémails (GTR)</w:t>
      </w:r>
    </w:p>
    <w:p w:rsidR="00AE78C6" w:rsidRPr="00D70071" w:rsidRDefault="00AE78C6" w:rsidP="00AE78C6">
      <w:pPr>
        <w:pStyle w:val="NormalWeb"/>
        <w:numPr>
          <w:ilvl w:val="1"/>
          <w:numId w:val="28"/>
        </w:numPr>
        <w:spacing w:before="0" w:after="0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D70071">
        <w:rPr>
          <w:rFonts w:ascii="Times New Roman" w:hAnsi="Times New Roman" w:cs="Times New Roman"/>
          <w:sz w:val="24"/>
          <w:szCs w:val="24"/>
        </w:rPr>
        <w:t>trémails et filets maillants combinés (GTN)</w:t>
      </w:r>
    </w:p>
    <w:p w:rsidR="00AE78C6" w:rsidRPr="00D70071" w:rsidRDefault="00AE78C6" w:rsidP="00AE78C6">
      <w:pPr>
        <w:pStyle w:val="NormalWeb"/>
        <w:numPr>
          <w:ilvl w:val="1"/>
          <w:numId w:val="28"/>
        </w:numPr>
        <w:spacing w:before="0" w:after="0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D70071">
        <w:rPr>
          <w:rFonts w:ascii="Times New Roman" w:hAnsi="Times New Roman" w:cs="Times New Roman"/>
          <w:sz w:val="24"/>
          <w:szCs w:val="24"/>
        </w:rPr>
        <w:t>filets maillants (non spécifiés) (GN)</w:t>
      </w:r>
    </w:p>
    <w:p w:rsidR="00AE78C6" w:rsidRPr="00D70071" w:rsidRDefault="00AE78C6" w:rsidP="00AE78C6">
      <w:pPr>
        <w:pStyle w:val="NormalWeb"/>
        <w:numPr>
          <w:ilvl w:val="1"/>
          <w:numId w:val="28"/>
        </w:numPr>
        <w:spacing w:before="0" w:after="0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D70071">
        <w:rPr>
          <w:rFonts w:ascii="Times New Roman" w:hAnsi="Times New Roman" w:cs="Times New Roman"/>
          <w:sz w:val="24"/>
          <w:szCs w:val="24"/>
        </w:rPr>
        <w:t xml:space="preserve">filets maillants </w:t>
      </w:r>
      <w:proofErr w:type="spellStart"/>
      <w:r w:rsidRPr="00D70071">
        <w:rPr>
          <w:rFonts w:ascii="Times New Roman" w:hAnsi="Times New Roman" w:cs="Times New Roman"/>
          <w:sz w:val="24"/>
          <w:szCs w:val="24"/>
        </w:rPr>
        <w:t>encerclants</w:t>
      </w:r>
      <w:proofErr w:type="spellEnd"/>
      <w:r w:rsidRPr="00D70071">
        <w:rPr>
          <w:rFonts w:ascii="Times New Roman" w:hAnsi="Times New Roman" w:cs="Times New Roman"/>
          <w:sz w:val="24"/>
          <w:szCs w:val="24"/>
        </w:rPr>
        <w:t xml:space="preserve"> (GNC)</w:t>
      </w:r>
    </w:p>
    <w:p w:rsidR="00AE78C6" w:rsidRPr="00D70071" w:rsidRDefault="00AE78C6" w:rsidP="00AE78C6">
      <w:pPr>
        <w:pStyle w:val="NormalWeb"/>
        <w:numPr>
          <w:ilvl w:val="1"/>
          <w:numId w:val="28"/>
        </w:numPr>
        <w:spacing w:before="0" w:after="0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D70071">
        <w:rPr>
          <w:rFonts w:ascii="Times New Roman" w:hAnsi="Times New Roman" w:cs="Times New Roman"/>
          <w:sz w:val="24"/>
          <w:szCs w:val="24"/>
        </w:rPr>
        <w:t>filets maillants dérivants (GND)</w:t>
      </w:r>
    </w:p>
    <w:p w:rsidR="00AE78C6" w:rsidRPr="00D70071" w:rsidRDefault="00AE78C6" w:rsidP="00AE78C6">
      <w:pPr>
        <w:pStyle w:val="NormalWeb"/>
        <w:numPr>
          <w:ilvl w:val="1"/>
          <w:numId w:val="28"/>
        </w:numPr>
        <w:spacing w:before="0" w:after="0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D70071">
        <w:rPr>
          <w:rFonts w:ascii="Times New Roman" w:hAnsi="Times New Roman" w:cs="Times New Roman"/>
          <w:sz w:val="24"/>
          <w:szCs w:val="24"/>
        </w:rPr>
        <w:t>filets maillants calés de fond à une nappe, filets droits (GNS)</w:t>
      </w:r>
    </w:p>
    <w:p w:rsidR="00AE78C6" w:rsidRPr="00D70071" w:rsidRDefault="00AE78C6" w:rsidP="00AE78C6">
      <w:pPr>
        <w:pStyle w:val="NormalWeb"/>
        <w:numPr>
          <w:ilvl w:val="1"/>
          <w:numId w:val="28"/>
        </w:numPr>
        <w:spacing w:before="0" w:after="0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D70071">
        <w:rPr>
          <w:rFonts w:ascii="Times New Roman" w:hAnsi="Times New Roman" w:cs="Times New Roman"/>
          <w:sz w:val="24"/>
          <w:szCs w:val="24"/>
        </w:rPr>
        <w:t xml:space="preserve">autres filets maillants et filets </w:t>
      </w:r>
      <w:proofErr w:type="spellStart"/>
      <w:r w:rsidRPr="00D70071">
        <w:rPr>
          <w:rFonts w:ascii="Times New Roman" w:hAnsi="Times New Roman" w:cs="Times New Roman"/>
          <w:sz w:val="24"/>
          <w:szCs w:val="24"/>
        </w:rPr>
        <w:t>emmêlants</w:t>
      </w:r>
      <w:proofErr w:type="spellEnd"/>
      <w:r w:rsidRPr="00D70071">
        <w:rPr>
          <w:rFonts w:ascii="Times New Roman" w:hAnsi="Times New Roman" w:cs="Times New Roman"/>
          <w:sz w:val="24"/>
          <w:szCs w:val="24"/>
        </w:rPr>
        <w:t xml:space="preserve"> (non spécifiés) (GEN)</w:t>
      </w:r>
    </w:p>
    <w:p w:rsidR="00AE78C6" w:rsidRDefault="00AE78C6" w:rsidP="00AE78C6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37FAF" w:rsidRDefault="00937FAF" w:rsidP="00AE78C6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AE78C6" w:rsidRDefault="00AE78C6" w:rsidP="00AE78C6">
      <w:pPr>
        <w:pStyle w:val="Paragraphedeliste"/>
        <w:numPr>
          <w:ilvl w:val="0"/>
          <w:numId w:val="28"/>
        </w:numPr>
        <w:jc w:val="both"/>
      </w:pPr>
      <w:r>
        <w:rPr>
          <w:b/>
          <w:lang w:eastAsia="fr-FR"/>
        </w:rPr>
        <w:lastRenderedPageBreak/>
        <w:t xml:space="preserve">B - </w:t>
      </w:r>
      <w:r w:rsidRPr="00666871">
        <w:rPr>
          <w:b/>
          <w:lang w:eastAsia="fr-FR"/>
        </w:rPr>
        <w:t>chalutiers de fond</w:t>
      </w:r>
      <w:r w:rsidRPr="00073273">
        <w:rPr>
          <w:lang w:eastAsia="fr-FR"/>
        </w:rPr>
        <w:t xml:space="preserve"> : </w:t>
      </w:r>
    </w:p>
    <w:p w:rsidR="00AE78C6" w:rsidRPr="00D70071" w:rsidRDefault="00AE78C6" w:rsidP="00AE78C6">
      <w:pPr>
        <w:pStyle w:val="NormalWeb"/>
        <w:numPr>
          <w:ilvl w:val="1"/>
          <w:numId w:val="28"/>
        </w:numPr>
        <w:spacing w:before="0" w:after="0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D70071">
        <w:rPr>
          <w:rFonts w:ascii="Times New Roman" w:hAnsi="Times New Roman" w:cs="Times New Roman"/>
          <w:sz w:val="24"/>
          <w:szCs w:val="24"/>
        </w:rPr>
        <w:t>chaluts à perche (TBB)</w:t>
      </w:r>
    </w:p>
    <w:p w:rsidR="00AE78C6" w:rsidRPr="00D70071" w:rsidRDefault="00AE78C6" w:rsidP="00AE78C6">
      <w:pPr>
        <w:pStyle w:val="NormalWeb"/>
        <w:numPr>
          <w:ilvl w:val="1"/>
          <w:numId w:val="28"/>
        </w:numPr>
        <w:spacing w:before="0" w:after="0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D70071">
        <w:rPr>
          <w:rFonts w:ascii="Times New Roman" w:hAnsi="Times New Roman" w:cs="Times New Roman"/>
          <w:sz w:val="24"/>
          <w:szCs w:val="24"/>
        </w:rPr>
        <w:t>chaluts de fond à panneaux (OTB)</w:t>
      </w:r>
    </w:p>
    <w:p w:rsidR="00AE78C6" w:rsidRPr="00D70071" w:rsidRDefault="00AE78C6" w:rsidP="00AE78C6">
      <w:pPr>
        <w:pStyle w:val="NormalWeb"/>
        <w:numPr>
          <w:ilvl w:val="1"/>
          <w:numId w:val="28"/>
        </w:numPr>
        <w:spacing w:before="0" w:after="0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D70071">
        <w:rPr>
          <w:rFonts w:ascii="Times New Roman" w:hAnsi="Times New Roman" w:cs="Times New Roman"/>
          <w:sz w:val="24"/>
          <w:szCs w:val="24"/>
        </w:rPr>
        <w:t>chaluts à panneaux (OTT)</w:t>
      </w:r>
    </w:p>
    <w:p w:rsidR="00AE78C6" w:rsidRPr="00D70071" w:rsidRDefault="00AE78C6" w:rsidP="00AE78C6">
      <w:pPr>
        <w:pStyle w:val="NormalWeb"/>
        <w:numPr>
          <w:ilvl w:val="1"/>
          <w:numId w:val="28"/>
        </w:numPr>
        <w:spacing w:before="0" w:after="0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D70071">
        <w:rPr>
          <w:rFonts w:ascii="Times New Roman" w:hAnsi="Times New Roman" w:cs="Times New Roman"/>
          <w:sz w:val="24"/>
          <w:szCs w:val="24"/>
        </w:rPr>
        <w:t>chaluts-bœufs de fond (PTB)</w:t>
      </w:r>
    </w:p>
    <w:p w:rsidR="00AE78C6" w:rsidRPr="00D70071" w:rsidRDefault="00AE78C6" w:rsidP="00AE78C6">
      <w:pPr>
        <w:pStyle w:val="NormalWeb"/>
        <w:numPr>
          <w:ilvl w:val="1"/>
          <w:numId w:val="28"/>
        </w:numPr>
        <w:spacing w:before="0" w:after="0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D70071">
        <w:rPr>
          <w:rFonts w:ascii="Times New Roman" w:hAnsi="Times New Roman" w:cs="Times New Roman"/>
          <w:sz w:val="24"/>
          <w:szCs w:val="24"/>
        </w:rPr>
        <w:t>chaluts à langoustine (TBN)</w:t>
      </w:r>
    </w:p>
    <w:p w:rsidR="00AE78C6" w:rsidRPr="00D70071" w:rsidRDefault="00AE78C6" w:rsidP="00AE78C6">
      <w:pPr>
        <w:pStyle w:val="NormalWeb"/>
        <w:numPr>
          <w:ilvl w:val="1"/>
          <w:numId w:val="28"/>
        </w:numPr>
        <w:spacing w:before="0" w:after="0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D70071">
        <w:rPr>
          <w:rFonts w:ascii="Times New Roman" w:hAnsi="Times New Roman" w:cs="Times New Roman"/>
          <w:sz w:val="24"/>
          <w:szCs w:val="24"/>
        </w:rPr>
        <w:t>chaluts à crevette (TBS)</w:t>
      </w:r>
    </w:p>
    <w:p w:rsidR="00747710" w:rsidRDefault="00AE78C6" w:rsidP="0048748B">
      <w:pPr>
        <w:pStyle w:val="NormalWeb"/>
        <w:numPr>
          <w:ilvl w:val="1"/>
          <w:numId w:val="28"/>
        </w:numPr>
        <w:spacing w:before="0" w:after="0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D70071">
        <w:rPr>
          <w:rFonts w:ascii="Times New Roman" w:hAnsi="Times New Roman" w:cs="Times New Roman"/>
          <w:sz w:val="24"/>
          <w:szCs w:val="24"/>
        </w:rPr>
        <w:t>ch</w:t>
      </w:r>
      <w:r w:rsidR="00747710">
        <w:rPr>
          <w:rFonts w:ascii="Times New Roman" w:hAnsi="Times New Roman" w:cs="Times New Roman"/>
          <w:sz w:val="24"/>
          <w:szCs w:val="24"/>
        </w:rPr>
        <w:t>aluts de fond non spécifiés (TB) »</w:t>
      </w:r>
    </w:p>
    <w:p w:rsidR="0048748B" w:rsidRDefault="0048748B" w:rsidP="0048748B">
      <w:pPr>
        <w:pStyle w:val="NormalWeb"/>
        <w:spacing w:before="0" w:after="0"/>
        <w:ind w:left="720"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48748B" w:rsidRPr="0048748B" w:rsidRDefault="0048748B" w:rsidP="0048748B">
      <w:pPr>
        <w:pStyle w:val="NormalWeb"/>
        <w:spacing w:before="0" w:after="0"/>
        <w:ind w:left="720"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4B1F3E" w:rsidRDefault="004B1F3E" w:rsidP="00456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4873">
        <w:rPr>
          <w:rFonts w:ascii="Times New Roman" w:hAnsi="Times New Roman"/>
          <w:b/>
          <w:bCs/>
          <w:sz w:val="24"/>
          <w:szCs w:val="24"/>
        </w:rPr>
        <w:t xml:space="preserve">Article </w:t>
      </w:r>
      <w:r w:rsidR="00711414">
        <w:rPr>
          <w:rFonts w:ascii="Times New Roman" w:hAnsi="Times New Roman"/>
          <w:b/>
          <w:bCs/>
          <w:sz w:val="24"/>
          <w:szCs w:val="24"/>
        </w:rPr>
        <w:t>5</w:t>
      </w:r>
    </w:p>
    <w:p w:rsidR="00711414" w:rsidRDefault="00711414" w:rsidP="007114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11414" w:rsidRDefault="00711414" w:rsidP="007114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Le présent arrêté entre en vigueur le 1</w:t>
      </w:r>
      <w:r w:rsidRPr="00711414">
        <w:rPr>
          <w:rFonts w:ascii="Times New Roman" w:hAnsi="Times New Roman"/>
          <w:bCs/>
          <w:sz w:val="24"/>
          <w:szCs w:val="24"/>
          <w:vertAlign w:val="superscript"/>
        </w:rPr>
        <w:t>er</w:t>
      </w:r>
      <w:r>
        <w:rPr>
          <w:rFonts w:ascii="Times New Roman" w:hAnsi="Times New Roman"/>
          <w:bCs/>
          <w:sz w:val="24"/>
          <w:szCs w:val="24"/>
        </w:rPr>
        <w:t xml:space="preserve"> janvier 2016.</w:t>
      </w:r>
    </w:p>
    <w:p w:rsidR="00711414" w:rsidRDefault="00711414" w:rsidP="007114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8748B" w:rsidRPr="00711414" w:rsidRDefault="0048748B" w:rsidP="007114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37D9" w:rsidRPr="00E25B3D" w:rsidRDefault="00711414" w:rsidP="00456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Article 6</w:t>
      </w:r>
    </w:p>
    <w:p w:rsidR="004B1F3E" w:rsidRPr="00E25B3D" w:rsidRDefault="004B1F3E" w:rsidP="00456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5B3D">
        <w:rPr>
          <w:rFonts w:ascii="Times New Roman" w:hAnsi="Times New Roman"/>
          <w:b/>
          <w:sz w:val="24"/>
          <w:szCs w:val="24"/>
        </w:rPr>
        <w:t> </w:t>
      </w:r>
    </w:p>
    <w:p w:rsidR="004B1F3E" w:rsidRPr="00A64873" w:rsidRDefault="00980D9A" w:rsidP="00074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Directeur</w:t>
      </w:r>
      <w:r w:rsidR="004B1F3E" w:rsidRPr="00A64873">
        <w:rPr>
          <w:rFonts w:ascii="Times New Roman" w:hAnsi="Times New Roman"/>
          <w:sz w:val="24"/>
          <w:szCs w:val="24"/>
        </w:rPr>
        <w:t xml:space="preserve"> des pêches maritimes et de l’aquaculture et les préfets de région concernés sont chargés, chacun en ce qui le concerne, de l’exécution du présent arrêté qui sera publié au </w:t>
      </w:r>
      <w:r w:rsidR="004B1F3E" w:rsidRPr="00650C10">
        <w:rPr>
          <w:rFonts w:ascii="Times New Roman" w:hAnsi="Times New Roman"/>
          <w:i/>
          <w:sz w:val="24"/>
          <w:szCs w:val="24"/>
        </w:rPr>
        <w:t>Journal officiel</w:t>
      </w:r>
      <w:r w:rsidR="004B1F3E" w:rsidRPr="00A64873">
        <w:rPr>
          <w:rFonts w:ascii="Times New Roman" w:hAnsi="Times New Roman"/>
          <w:sz w:val="24"/>
          <w:szCs w:val="24"/>
        </w:rPr>
        <w:t xml:space="preserve"> de la République française</w:t>
      </w:r>
      <w:r w:rsidR="00F659D6">
        <w:rPr>
          <w:rFonts w:ascii="Times New Roman" w:hAnsi="Times New Roman"/>
          <w:sz w:val="24"/>
          <w:szCs w:val="24"/>
        </w:rPr>
        <w:t>.</w:t>
      </w:r>
    </w:p>
    <w:p w:rsidR="004561B8" w:rsidRDefault="004561B8" w:rsidP="00A64873">
      <w:pPr>
        <w:pStyle w:val="SNDatearrt"/>
      </w:pPr>
    </w:p>
    <w:p w:rsidR="004561B8" w:rsidRDefault="004561B8" w:rsidP="00A64873">
      <w:pPr>
        <w:pStyle w:val="SNDatearrt"/>
      </w:pPr>
    </w:p>
    <w:p w:rsidR="00A64873" w:rsidRPr="00433E61" w:rsidRDefault="00A64873" w:rsidP="00A64873">
      <w:pPr>
        <w:rPr>
          <w:rFonts w:ascii="Times New Roman" w:hAnsi="Times New Roman"/>
          <w:sz w:val="24"/>
          <w:szCs w:val="24"/>
        </w:rPr>
      </w:pPr>
      <w:proofErr w:type="gramStart"/>
      <w:r w:rsidRPr="00054ECB">
        <w:rPr>
          <w:rFonts w:ascii="Times New Roman" w:hAnsi="Times New Roman"/>
          <w:sz w:val="24"/>
          <w:szCs w:val="24"/>
        </w:rPr>
        <w:t>Fait le</w:t>
      </w:r>
      <w:proofErr w:type="gramEnd"/>
    </w:p>
    <w:p w:rsidR="00980D9A" w:rsidRPr="00FB39BD" w:rsidRDefault="00A64873" w:rsidP="000F4DF1">
      <w:pPr>
        <w:pStyle w:val="SNSignature"/>
        <w:ind w:firstLine="0"/>
        <w:jc w:val="right"/>
      </w:pPr>
      <w:r>
        <w:t>Pour la</w:t>
      </w:r>
      <w:r w:rsidR="00054ECB">
        <w:t xml:space="preserve"> M</w:t>
      </w:r>
      <w:r w:rsidRPr="00FB39BD">
        <w:t>inistre et par délégation</w:t>
      </w:r>
      <w:r w:rsidR="00980D9A">
        <w:t>,</w:t>
      </w:r>
    </w:p>
    <w:p w:rsidR="004B1F3E" w:rsidRPr="00A64873" w:rsidRDefault="00054ECB" w:rsidP="00A64873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07327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D</w:t>
      </w:r>
      <w:r w:rsidR="004B1F3E" w:rsidRPr="00A64873">
        <w:rPr>
          <w:rFonts w:ascii="Times New Roman" w:hAnsi="Times New Roman"/>
          <w:sz w:val="24"/>
          <w:szCs w:val="24"/>
        </w:rPr>
        <w:t>irect</w:t>
      </w:r>
      <w:r w:rsidR="00073273">
        <w:rPr>
          <w:rFonts w:ascii="Times New Roman" w:hAnsi="Times New Roman"/>
          <w:sz w:val="24"/>
          <w:szCs w:val="24"/>
        </w:rPr>
        <w:t>eur</w:t>
      </w:r>
      <w:r w:rsidR="00074EF2">
        <w:rPr>
          <w:rFonts w:ascii="Times New Roman" w:hAnsi="Times New Roman"/>
          <w:sz w:val="24"/>
          <w:szCs w:val="24"/>
        </w:rPr>
        <w:t xml:space="preserve"> des pêches maritimes</w:t>
      </w:r>
    </w:p>
    <w:p w:rsidR="004B1F3E" w:rsidRPr="00A64873" w:rsidRDefault="00074EF2" w:rsidP="00A64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et</w:t>
      </w:r>
      <w:proofErr w:type="gramEnd"/>
      <w:r>
        <w:rPr>
          <w:rFonts w:ascii="Times New Roman" w:hAnsi="Times New Roman"/>
          <w:sz w:val="24"/>
          <w:szCs w:val="24"/>
        </w:rPr>
        <w:t xml:space="preserve"> de l’aquaculture,</w:t>
      </w:r>
    </w:p>
    <w:p w:rsidR="0019645C" w:rsidRDefault="00196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9645C" w:rsidSect="00A719FA">
      <w:pgSz w:w="11905" w:h="16837"/>
      <w:pgMar w:top="1133" w:right="1133" w:bottom="1133" w:left="1133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UAlbertina"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T Std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EF3"/>
    <w:multiLevelType w:val="hybridMultilevel"/>
    <w:tmpl w:val="6C6867AA"/>
    <w:lvl w:ilvl="0" w:tplc="C2C80890">
      <w:start w:val="1"/>
      <w:numFmt w:val="bullet"/>
      <w:lvlText w:val="-"/>
      <w:lvlJc w:val="left"/>
      <w:pPr>
        <w:ind w:left="720" w:hanging="360"/>
      </w:pPr>
      <w:rPr>
        <w:rFonts w:ascii="Liberation Sans" w:eastAsia="Times New Roman" w:hAnsi="Liberation Sans" w:cs="Liberatio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A7C91"/>
    <w:multiLevelType w:val="hybridMultilevel"/>
    <w:tmpl w:val="329AC04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BFA6DBE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8D2005"/>
    <w:multiLevelType w:val="singleLevel"/>
    <w:tmpl w:val="3C471785"/>
    <w:lvl w:ilvl="0">
      <w:start w:val="1"/>
      <w:numFmt w:val="bullet"/>
      <w:lvlText w:val="·"/>
      <w:lvlJc w:val="left"/>
      <w:rPr>
        <w:rFonts w:ascii="Times New Roman" w:hAnsi="Times New Roman" w:cs="Times New Roman"/>
      </w:rPr>
    </w:lvl>
  </w:abstractNum>
  <w:abstractNum w:abstractNumId="3">
    <w:nsid w:val="1092FEF1"/>
    <w:multiLevelType w:val="singleLevel"/>
    <w:tmpl w:val="F767CBE5"/>
    <w:lvl w:ilvl="0">
      <w:start w:val="1"/>
      <w:numFmt w:val="bullet"/>
      <w:lvlText w:val="·"/>
      <w:lvlJc w:val="left"/>
      <w:rPr>
        <w:rFonts w:ascii="Times New Roman" w:hAnsi="Times New Roman" w:cs="Times New Roman"/>
      </w:rPr>
    </w:lvl>
  </w:abstractNum>
  <w:abstractNum w:abstractNumId="4">
    <w:nsid w:val="1125C414"/>
    <w:multiLevelType w:val="singleLevel"/>
    <w:tmpl w:val="3D996946"/>
    <w:lvl w:ilvl="0">
      <w:start w:val="1"/>
      <w:numFmt w:val="bullet"/>
      <w:lvlText w:val="·"/>
      <w:lvlJc w:val="left"/>
      <w:rPr>
        <w:rFonts w:ascii="Times New Roman" w:hAnsi="Times New Roman" w:cs="Times New Roman"/>
      </w:rPr>
    </w:lvl>
  </w:abstractNum>
  <w:abstractNum w:abstractNumId="5">
    <w:nsid w:val="112BA301"/>
    <w:multiLevelType w:val="singleLevel"/>
    <w:tmpl w:val="F8BA1DA6"/>
    <w:lvl w:ilvl="0">
      <w:start w:val="1"/>
      <w:numFmt w:val="bullet"/>
      <w:lvlText w:val="·"/>
      <w:lvlJc w:val="left"/>
      <w:rPr>
        <w:rFonts w:ascii="Times New Roman" w:hAnsi="Times New Roman" w:cs="Times New Roman"/>
      </w:rPr>
    </w:lvl>
  </w:abstractNum>
  <w:abstractNum w:abstractNumId="6">
    <w:nsid w:val="1B69541D"/>
    <w:multiLevelType w:val="hybridMultilevel"/>
    <w:tmpl w:val="BB9CF80E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F2B49"/>
    <w:multiLevelType w:val="hybridMultilevel"/>
    <w:tmpl w:val="6644A4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14571"/>
    <w:multiLevelType w:val="hybridMultilevel"/>
    <w:tmpl w:val="67D23BA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7348DD"/>
    <w:multiLevelType w:val="hybridMultilevel"/>
    <w:tmpl w:val="355217E4"/>
    <w:lvl w:ilvl="0" w:tplc="1A7667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84481E"/>
    <w:multiLevelType w:val="hybridMultilevel"/>
    <w:tmpl w:val="9976BE6A"/>
    <w:lvl w:ilvl="0" w:tplc="1A7667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492F0B"/>
    <w:multiLevelType w:val="hybridMultilevel"/>
    <w:tmpl w:val="355217E4"/>
    <w:lvl w:ilvl="0" w:tplc="1A7667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263020"/>
    <w:multiLevelType w:val="hybridMultilevel"/>
    <w:tmpl w:val="CB983334"/>
    <w:lvl w:ilvl="0" w:tplc="8E7462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E69EB"/>
    <w:multiLevelType w:val="hybridMultilevel"/>
    <w:tmpl w:val="36001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D05A5"/>
    <w:multiLevelType w:val="hybridMultilevel"/>
    <w:tmpl w:val="355217E4"/>
    <w:lvl w:ilvl="0" w:tplc="1A7667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F82CF5"/>
    <w:multiLevelType w:val="hybridMultilevel"/>
    <w:tmpl w:val="D5269762"/>
    <w:lvl w:ilvl="0" w:tplc="1A766770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49546C55"/>
    <w:multiLevelType w:val="hybridMultilevel"/>
    <w:tmpl w:val="EC80AA3A"/>
    <w:lvl w:ilvl="0" w:tplc="4914DC5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A7BC5"/>
    <w:multiLevelType w:val="hybridMultilevel"/>
    <w:tmpl w:val="C728F64A"/>
    <w:lvl w:ilvl="0" w:tplc="B832CC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1608E"/>
    <w:multiLevelType w:val="hybridMultilevel"/>
    <w:tmpl w:val="B668449C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FD7544"/>
    <w:multiLevelType w:val="hybridMultilevel"/>
    <w:tmpl w:val="A97A5504"/>
    <w:lvl w:ilvl="0" w:tplc="EF88DE6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68156F8"/>
    <w:multiLevelType w:val="hybridMultilevel"/>
    <w:tmpl w:val="8D4E4B56"/>
    <w:lvl w:ilvl="0" w:tplc="483CAE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1D7C2F"/>
    <w:multiLevelType w:val="hybridMultilevel"/>
    <w:tmpl w:val="B4548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67852"/>
    <w:multiLevelType w:val="hybridMultilevel"/>
    <w:tmpl w:val="87F2D3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4"/>
  </w:num>
  <w:num w:numId="13">
    <w:abstractNumId w:val="12"/>
  </w:num>
  <w:num w:numId="14">
    <w:abstractNumId w:val="17"/>
  </w:num>
  <w:num w:numId="15">
    <w:abstractNumId w:val="22"/>
  </w:num>
  <w:num w:numId="16">
    <w:abstractNumId w:val="20"/>
  </w:num>
  <w:num w:numId="17">
    <w:abstractNumId w:val="19"/>
  </w:num>
  <w:num w:numId="18">
    <w:abstractNumId w:val="7"/>
  </w:num>
  <w:num w:numId="19">
    <w:abstractNumId w:val="6"/>
  </w:num>
  <w:num w:numId="20">
    <w:abstractNumId w:val="8"/>
  </w:num>
  <w:num w:numId="21">
    <w:abstractNumId w:val="16"/>
  </w:num>
  <w:num w:numId="22">
    <w:abstractNumId w:val="11"/>
  </w:num>
  <w:num w:numId="23">
    <w:abstractNumId w:val="10"/>
  </w:num>
  <w:num w:numId="24">
    <w:abstractNumId w:val="14"/>
  </w:num>
  <w:num w:numId="25">
    <w:abstractNumId w:val="9"/>
  </w:num>
  <w:num w:numId="26">
    <w:abstractNumId w:val="0"/>
  </w:num>
  <w:num w:numId="27">
    <w:abstractNumId w:val="21"/>
  </w:num>
  <w:num w:numId="28">
    <w:abstractNumId w:val="13"/>
  </w:num>
  <w:num w:numId="29">
    <w:abstractNumId w:val="1"/>
  </w:num>
  <w:num w:numId="30">
    <w:abstractNumId w:val="18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07DCB"/>
    <w:rsid w:val="000137D9"/>
    <w:rsid w:val="00023E2D"/>
    <w:rsid w:val="00035D5B"/>
    <w:rsid w:val="00035E81"/>
    <w:rsid w:val="00037904"/>
    <w:rsid w:val="00042CE5"/>
    <w:rsid w:val="000432CE"/>
    <w:rsid w:val="0005034A"/>
    <w:rsid w:val="00054ECB"/>
    <w:rsid w:val="00073273"/>
    <w:rsid w:val="00074EF2"/>
    <w:rsid w:val="00076CA5"/>
    <w:rsid w:val="00080353"/>
    <w:rsid w:val="00082DD0"/>
    <w:rsid w:val="000A34E9"/>
    <w:rsid w:val="000C045A"/>
    <w:rsid w:val="000C3E46"/>
    <w:rsid w:val="000C3F14"/>
    <w:rsid w:val="000C7988"/>
    <w:rsid w:val="000D4090"/>
    <w:rsid w:val="000D7351"/>
    <w:rsid w:val="000D74FF"/>
    <w:rsid w:val="000D7A5E"/>
    <w:rsid w:val="000F4DF1"/>
    <w:rsid w:val="00104781"/>
    <w:rsid w:val="0011108A"/>
    <w:rsid w:val="001248AE"/>
    <w:rsid w:val="00124B9A"/>
    <w:rsid w:val="00125E5F"/>
    <w:rsid w:val="00126AAE"/>
    <w:rsid w:val="001317A0"/>
    <w:rsid w:val="0015250A"/>
    <w:rsid w:val="00154345"/>
    <w:rsid w:val="0016198A"/>
    <w:rsid w:val="0016340C"/>
    <w:rsid w:val="001647C8"/>
    <w:rsid w:val="0016576D"/>
    <w:rsid w:val="00176687"/>
    <w:rsid w:val="00177D99"/>
    <w:rsid w:val="0019645C"/>
    <w:rsid w:val="001A2B09"/>
    <w:rsid w:val="001A3F13"/>
    <w:rsid w:val="001A40BF"/>
    <w:rsid w:val="001B3CC1"/>
    <w:rsid w:val="001B7C1F"/>
    <w:rsid w:val="001C48EB"/>
    <w:rsid w:val="001C5BC3"/>
    <w:rsid w:val="001D1331"/>
    <w:rsid w:val="001D7679"/>
    <w:rsid w:val="001E31D0"/>
    <w:rsid w:val="001E3E1C"/>
    <w:rsid w:val="001E66FE"/>
    <w:rsid w:val="001E7C90"/>
    <w:rsid w:val="00212E75"/>
    <w:rsid w:val="00213ADB"/>
    <w:rsid w:val="002226C1"/>
    <w:rsid w:val="00226BAF"/>
    <w:rsid w:val="002349FA"/>
    <w:rsid w:val="00241658"/>
    <w:rsid w:val="00257D4F"/>
    <w:rsid w:val="00263D6F"/>
    <w:rsid w:val="00265C77"/>
    <w:rsid w:val="002670BF"/>
    <w:rsid w:val="002675A4"/>
    <w:rsid w:val="002806BE"/>
    <w:rsid w:val="0029025C"/>
    <w:rsid w:val="00293FAB"/>
    <w:rsid w:val="002968E8"/>
    <w:rsid w:val="00297F58"/>
    <w:rsid w:val="002A11C2"/>
    <w:rsid w:val="002A339F"/>
    <w:rsid w:val="002A47FD"/>
    <w:rsid w:val="002A5D00"/>
    <w:rsid w:val="002B1005"/>
    <w:rsid w:val="002B696C"/>
    <w:rsid w:val="002D41F8"/>
    <w:rsid w:val="002D5AAE"/>
    <w:rsid w:val="002E641E"/>
    <w:rsid w:val="002F12AC"/>
    <w:rsid w:val="00306254"/>
    <w:rsid w:val="00307DCB"/>
    <w:rsid w:val="00313250"/>
    <w:rsid w:val="0031357D"/>
    <w:rsid w:val="00321D43"/>
    <w:rsid w:val="003275F7"/>
    <w:rsid w:val="00344B29"/>
    <w:rsid w:val="00371565"/>
    <w:rsid w:val="00385E45"/>
    <w:rsid w:val="003867F9"/>
    <w:rsid w:val="00392B78"/>
    <w:rsid w:val="00396EC8"/>
    <w:rsid w:val="003A0023"/>
    <w:rsid w:val="003A0847"/>
    <w:rsid w:val="003A5A42"/>
    <w:rsid w:val="003A7B3B"/>
    <w:rsid w:val="003B2E6A"/>
    <w:rsid w:val="003B490C"/>
    <w:rsid w:val="003C440E"/>
    <w:rsid w:val="003E0181"/>
    <w:rsid w:val="003F4E22"/>
    <w:rsid w:val="00406EAE"/>
    <w:rsid w:val="00411E43"/>
    <w:rsid w:val="00417F11"/>
    <w:rsid w:val="004333F0"/>
    <w:rsid w:val="00433E61"/>
    <w:rsid w:val="00450556"/>
    <w:rsid w:val="004561B8"/>
    <w:rsid w:val="00462084"/>
    <w:rsid w:val="004678B0"/>
    <w:rsid w:val="0048289B"/>
    <w:rsid w:val="0048748B"/>
    <w:rsid w:val="004B0D7B"/>
    <w:rsid w:val="004B1F3E"/>
    <w:rsid w:val="004B33B4"/>
    <w:rsid w:val="004C3793"/>
    <w:rsid w:val="004E1341"/>
    <w:rsid w:val="004E5857"/>
    <w:rsid w:val="005113A6"/>
    <w:rsid w:val="00524D96"/>
    <w:rsid w:val="00527C9C"/>
    <w:rsid w:val="00563982"/>
    <w:rsid w:val="005676FB"/>
    <w:rsid w:val="00573BBF"/>
    <w:rsid w:val="005844F5"/>
    <w:rsid w:val="0059246D"/>
    <w:rsid w:val="00597000"/>
    <w:rsid w:val="005B0498"/>
    <w:rsid w:val="005B41D4"/>
    <w:rsid w:val="005C30FA"/>
    <w:rsid w:val="005C7516"/>
    <w:rsid w:val="00602B53"/>
    <w:rsid w:val="00607C55"/>
    <w:rsid w:val="00616631"/>
    <w:rsid w:val="00620D0B"/>
    <w:rsid w:val="00621B17"/>
    <w:rsid w:val="00624747"/>
    <w:rsid w:val="00627AC7"/>
    <w:rsid w:val="00634F60"/>
    <w:rsid w:val="00642766"/>
    <w:rsid w:val="00650C10"/>
    <w:rsid w:val="00656B2B"/>
    <w:rsid w:val="00665E7A"/>
    <w:rsid w:val="00666871"/>
    <w:rsid w:val="00672987"/>
    <w:rsid w:val="00681834"/>
    <w:rsid w:val="006853E5"/>
    <w:rsid w:val="006941EA"/>
    <w:rsid w:val="006B752E"/>
    <w:rsid w:val="006C352A"/>
    <w:rsid w:val="006C4DC5"/>
    <w:rsid w:val="006D1D1D"/>
    <w:rsid w:val="006D272E"/>
    <w:rsid w:val="006E1F74"/>
    <w:rsid w:val="006E5666"/>
    <w:rsid w:val="006F429B"/>
    <w:rsid w:val="00702944"/>
    <w:rsid w:val="00711414"/>
    <w:rsid w:val="0071488F"/>
    <w:rsid w:val="00715932"/>
    <w:rsid w:val="00722F89"/>
    <w:rsid w:val="00725F28"/>
    <w:rsid w:val="007421C9"/>
    <w:rsid w:val="0074709C"/>
    <w:rsid w:val="00747710"/>
    <w:rsid w:val="00752B9D"/>
    <w:rsid w:val="0075436E"/>
    <w:rsid w:val="00767209"/>
    <w:rsid w:val="00780C83"/>
    <w:rsid w:val="00796B83"/>
    <w:rsid w:val="00797DCE"/>
    <w:rsid w:val="007A367C"/>
    <w:rsid w:val="007E1E31"/>
    <w:rsid w:val="007F721C"/>
    <w:rsid w:val="00800B34"/>
    <w:rsid w:val="008111C1"/>
    <w:rsid w:val="008273B5"/>
    <w:rsid w:val="00830A53"/>
    <w:rsid w:val="00832722"/>
    <w:rsid w:val="00842287"/>
    <w:rsid w:val="008555FA"/>
    <w:rsid w:val="0085566A"/>
    <w:rsid w:val="00875C35"/>
    <w:rsid w:val="00895502"/>
    <w:rsid w:val="008A3A78"/>
    <w:rsid w:val="008E5749"/>
    <w:rsid w:val="008F7DEC"/>
    <w:rsid w:val="00922736"/>
    <w:rsid w:val="00937FAF"/>
    <w:rsid w:val="00955BFD"/>
    <w:rsid w:val="00964855"/>
    <w:rsid w:val="0096504E"/>
    <w:rsid w:val="00970217"/>
    <w:rsid w:val="00970BD9"/>
    <w:rsid w:val="00972CE5"/>
    <w:rsid w:val="00980D9A"/>
    <w:rsid w:val="009948D2"/>
    <w:rsid w:val="009B0119"/>
    <w:rsid w:val="009B1DF3"/>
    <w:rsid w:val="009C4061"/>
    <w:rsid w:val="009D289A"/>
    <w:rsid w:val="009D5C02"/>
    <w:rsid w:val="009E4A1E"/>
    <w:rsid w:val="009F200B"/>
    <w:rsid w:val="00A035DA"/>
    <w:rsid w:val="00A043DF"/>
    <w:rsid w:val="00A0735E"/>
    <w:rsid w:val="00A12A54"/>
    <w:rsid w:val="00A2156D"/>
    <w:rsid w:val="00A3295D"/>
    <w:rsid w:val="00A411CD"/>
    <w:rsid w:val="00A43C15"/>
    <w:rsid w:val="00A56C5E"/>
    <w:rsid w:val="00A62677"/>
    <w:rsid w:val="00A6294B"/>
    <w:rsid w:val="00A64873"/>
    <w:rsid w:val="00A66F0F"/>
    <w:rsid w:val="00A719FA"/>
    <w:rsid w:val="00A72A68"/>
    <w:rsid w:val="00A73B6D"/>
    <w:rsid w:val="00A8098E"/>
    <w:rsid w:val="00A81940"/>
    <w:rsid w:val="00A86DC7"/>
    <w:rsid w:val="00A90B52"/>
    <w:rsid w:val="00AB4CF4"/>
    <w:rsid w:val="00AC6C2D"/>
    <w:rsid w:val="00AD1D30"/>
    <w:rsid w:val="00AE78C6"/>
    <w:rsid w:val="00AF6FD5"/>
    <w:rsid w:val="00AF76C9"/>
    <w:rsid w:val="00B07A44"/>
    <w:rsid w:val="00B22FF0"/>
    <w:rsid w:val="00B454D8"/>
    <w:rsid w:val="00B46E14"/>
    <w:rsid w:val="00B630CF"/>
    <w:rsid w:val="00B64E9E"/>
    <w:rsid w:val="00BC3B39"/>
    <w:rsid w:val="00BC5895"/>
    <w:rsid w:val="00BC77CC"/>
    <w:rsid w:val="00BE3239"/>
    <w:rsid w:val="00BF2737"/>
    <w:rsid w:val="00C11417"/>
    <w:rsid w:val="00C22452"/>
    <w:rsid w:val="00C324B1"/>
    <w:rsid w:val="00C32957"/>
    <w:rsid w:val="00C35DDC"/>
    <w:rsid w:val="00C42BE3"/>
    <w:rsid w:val="00C467E0"/>
    <w:rsid w:val="00C53F36"/>
    <w:rsid w:val="00C5418E"/>
    <w:rsid w:val="00C61F41"/>
    <w:rsid w:val="00C67C41"/>
    <w:rsid w:val="00C7579F"/>
    <w:rsid w:val="00C80561"/>
    <w:rsid w:val="00C86F39"/>
    <w:rsid w:val="00C95004"/>
    <w:rsid w:val="00C97CD4"/>
    <w:rsid w:val="00CB0F9C"/>
    <w:rsid w:val="00CC3E37"/>
    <w:rsid w:val="00CD2EE3"/>
    <w:rsid w:val="00CE148C"/>
    <w:rsid w:val="00CE338F"/>
    <w:rsid w:val="00D011C8"/>
    <w:rsid w:val="00D019C7"/>
    <w:rsid w:val="00D03F0F"/>
    <w:rsid w:val="00D04A05"/>
    <w:rsid w:val="00D17286"/>
    <w:rsid w:val="00D20A35"/>
    <w:rsid w:val="00D31026"/>
    <w:rsid w:val="00D40F0D"/>
    <w:rsid w:val="00D4396A"/>
    <w:rsid w:val="00D63074"/>
    <w:rsid w:val="00D65907"/>
    <w:rsid w:val="00D70071"/>
    <w:rsid w:val="00D70A91"/>
    <w:rsid w:val="00D74141"/>
    <w:rsid w:val="00D82ADD"/>
    <w:rsid w:val="00D9133E"/>
    <w:rsid w:val="00DA5D89"/>
    <w:rsid w:val="00DB51F6"/>
    <w:rsid w:val="00DC10FF"/>
    <w:rsid w:val="00DC3C0A"/>
    <w:rsid w:val="00DE2E47"/>
    <w:rsid w:val="00E064E3"/>
    <w:rsid w:val="00E120C2"/>
    <w:rsid w:val="00E2195A"/>
    <w:rsid w:val="00E25B3D"/>
    <w:rsid w:val="00E31A31"/>
    <w:rsid w:val="00E33EBD"/>
    <w:rsid w:val="00E37564"/>
    <w:rsid w:val="00E46565"/>
    <w:rsid w:val="00E47AC6"/>
    <w:rsid w:val="00E511F7"/>
    <w:rsid w:val="00E62EAD"/>
    <w:rsid w:val="00E7337D"/>
    <w:rsid w:val="00E8274B"/>
    <w:rsid w:val="00E92327"/>
    <w:rsid w:val="00EA4213"/>
    <w:rsid w:val="00EA55C4"/>
    <w:rsid w:val="00EB4DF7"/>
    <w:rsid w:val="00EB5CEB"/>
    <w:rsid w:val="00EB6F68"/>
    <w:rsid w:val="00EC0B69"/>
    <w:rsid w:val="00EC4627"/>
    <w:rsid w:val="00ED6BA8"/>
    <w:rsid w:val="00EF64B3"/>
    <w:rsid w:val="00F465CA"/>
    <w:rsid w:val="00F659D6"/>
    <w:rsid w:val="00F6610A"/>
    <w:rsid w:val="00F67162"/>
    <w:rsid w:val="00F71E74"/>
    <w:rsid w:val="00F93CA3"/>
    <w:rsid w:val="00FA0CFE"/>
    <w:rsid w:val="00FA2203"/>
    <w:rsid w:val="00FA6D92"/>
    <w:rsid w:val="00FC0071"/>
    <w:rsid w:val="00FD42A8"/>
    <w:rsid w:val="00FE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28B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A64873"/>
    <w:pPr>
      <w:suppressAutoHyphens/>
      <w:spacing w:after="24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rsid w:val="00A64873"/>
    <w:pPr>
      <w:suppressAutoHyphens/>
      <w:spacing w:after="0" w:line="240" w:lineRule="auto"/>
      <w:jc w:val="both"/>
    </w:pPr>
    <w:rPr>
      <w:rFonts w:ascii="Arial" w:hAnsi="Arial" w:cs="Arial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A64873"/>
    <w:rPr>
      <w:rFonts w:ascii="Arial" w:hAnsi="Arial" w:cs="Arial"/>
      <w:sz w:val="22"/>
      <w:szCs w:val="24"/>
      <w:lang w:eastAsia="ar-SA"/>
    </w:rPr>
  </w:style>
  <w:style w:type="paragraph" w:styleId="NormalWeb">
    <w:name w:val="Normal (Web)"/>
    <w:basedOn w:val="Normal"/>
    <w:uiPriority w:val="99"/>
    <w:rsid w:val="00A64873"/>
    <w:pPr>
      <w:suppressAutoHyphens/>
      <w:spacing w:before="280" w:after="280" w:line="240" w:lineRule="auto"/>
      <w:ind w:left="75" w:right="225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SNRpublique">
    <w:name w:val="SNRépublique"/>
    <w:basedOn w:val="Normal"/>
    <w:autoRedefine/>
    <w:rsid w:val="00A6487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sz w:val="24"/>
      <w:szCs w:val="24"/>
    </w:rPr>
  </w:style>
  <w:style w:type="paragraph" w:customStyle="1" w:styleId="SNTimbre">
    <w:name w:val="SNTimbre"/>
    <w:basedOn w:val="Normal"/>
    <w:autoRedefine/>
    <w:rsid w:val="00A64873"/>
    <w:pPr>
      <w:widowControl w:val="0"/>
      <w:suppressAutoHyphens/>
      <w:snapToGrid w:val="0"/>
      <w:spacing w:after="0" w:line="240" w:lineRule="auto"/>
      <w:jc w:val="center"/>
    </w:pPr>
    <w:rPr>
      <w:rFonts w:ascii="Times New Roman" w:eastAsia="Lucida Sans Unicode" w:hAnsi="Times New Roman"/>
      <w:sz w:val="24"/>
      <w:szCs w:val="24"/>
    </w:rPr>
  </w:style>
  <w:style w:type="paragraph" w:customStyle="1" w:styleId="Default">
    <w:name w:val="Default"/>
    <w:rsid w:val="00A6487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Style">
    <w:name w:val="Style"/>
    <w:rsid w:val="00A6487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64873"/>
    <w:rPr>
      <w:color w:val="0000FF"/>
      <w:u w:val="single"/>
    </w:rPr>
  </w:style>
  <w:style w:type="character" w:customStyle="1" w:styleId="st1">
    <w:name w:val="st1"/>
    <w:basedOn w:val="Policepardfaut"/>
    <w:rsid w:val="00A64873"/>
  </w:style>
  <w:style w:type="paragraph" w:customStyle="1" w:styleId="SNSignature">
    <w:name w:val="SNSignature"/>
    <w:basedOn w:val="Normal"/>
    <w:rsid w:val="00A64873"/>
    <w:pPr>
      <w:spacing w:after="0" w:line="240" w:lineRule="auto"/>
      <w:ind w:firstLine="720"/>
    </w:pPr>
    <w:rPr>
      <w:rFonts w:ascii="Times New Roman" w:hAnsi="Times New Roman"/>
      <w:sz w:val="24"/>
      <w:szCs w:val="24"/>
    </w:rPr>
  </w:style>
  <w:style w:type="paragraph" w:customStyle="1" w:styleId="SNDatearrt">
    <w:name w:val="SNDate arrêté"/>
    <w:basedOn w:val="Normal"/>
    <w:next w:val="Normal"/>
    <w:link w:val="SNDatearrtCar"/>
    <w:autoRedefine/>
    <w:rsid w:val="00A6487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NDatearrtCar">
    <w:name w:val="SNDate arrêté Car"/>
    <w:basedOn w:val="Policepardfaut"/>
    <w:link w:val="SNDatearrt"/>
    <w:rsid w:val="00A64873"/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1964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Default"/>
    <w:next w:val="Default"/>
    <w:uiPriority w:val="99"/>
    <w:rsid w:val="0019645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9645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9645C"/>
    <w:rPr>
      <w:rFonts w:cs="Times New Roman"/>
      <w:color w:val="auto"/>
    </w:rPr>
  </w:style>
  <w:style w:type="character" w:styleId="lev">
    <w:name w:val="Strong"/>
    <w:basedOn w:val="Policepardfaut"/>
    <w:uiPriority w:val="22"/>
    <w:qFormat/>
    <w:rsid w:val="00E064E3"/>
    <w:rPr>
      <w:b/>
      <w:bCs/>
    </w:rPr>
  </w:style>
  <w:style w:type="paragraph" w:styleId="Paragraphedeliste">
    <w:name w:val="List Paragraph"/>
    <w:basedOn w:val="Normal"/>
    <w:uiPriority w:val="34"/>
    <w:qFormat/>
    <w:rsid w:val="00E120C2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52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470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709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709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70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709C"/>
    <w:rPr>
      <w:b/>
      <w:bCs/>
    </w:rPr>
  </w:style>
  <w:style w:type="paragraph" w:customStyle="1" w:styleId="western">
    <w:name w:val="western"/>
    <w:basedOn w:val="Normal"/>
    <w:rsid w:val="00972CE5"/>
    <w:pPr>
      <w:spacing w:before="100" w:beforeAutospacing="1" w:after="142" w:line="288" w:lineRule="auto"/>
    </w:pPr>
    <w:rPr>
      <w:rFonts w:cs="Calibri"/>
    </w:rPr>
  </w:style>
  <w:style w:type="table" w:customStyle="1" w:styleId="Listeclaire-Accent11">
    <w:name w:val="Liste claire - Accent 11"/>
    <w:basedOn w:val="TableauNormal"/>
    <w:uiPriority w:val="61"/>
    <w:rsid w:val="008A3A7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eclaire1">
    <w:name w:val="Liste claire1"/>
    <w:basedOn w:val="TableauNormal"/>
    <w:uiPriority w:val="61"/>
    <w:rsid w:val="008A3A7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5">
    <w:name w:val="Light List Accent 5"/>
    <w:basedOn w:val="TableauNormal"/>
    <w:uiPriority w:val="61"/>
    <w:rsid w:val="008A3A7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vision">
    <w:name w:val="Revision"/>
    <w:hidden/>
    <w:uiPriority w:val="99"/>
    <w:semiHidden/>
    <w:rsid w:val="00CD2EE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gifrance.gouv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8EA4-8E96-4E2B-AEE7-5F5E8D1A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Links>
    <vt:vector size="6" baseType="variant"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morane.ruelland</dc:creator>
  <cp:lastModifiedBy>MEDDE</cp:lastModifiedBy>
  <cp:revision>2</cp:revision>
  <cp:lastPrinted>2015-12-29T16:56:00Z</cp:lastPrinted>
  <dcterms:created xsi:type="dcterms:W3CDTF">2015-12-29T17:21:00Z</dcterms:created>
  <dcterms:modified xsi:type="dcterms:W3CDTF">2015-12-29T17:21:00Z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forCreatedThisOn">
    <vt:lpwstr>Wed May 15 18:35:59 CEST 2013</vt:lpwstr>
  </property>
  <property fmtid="{D5CDD505-2E9C-101B-9397-08002B2CF9AE}" pid="3" name="jforVersion">
    <vt:lpwstr>jfor V0.7.2rc1 - see http://www.jfor.org</vt:lpwstr>
  </property>
</Properties>
</file>