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7B5C48" w:rsidRPr="007B5C48" w14:paraId="5663254B" w14:textId="77777777" w:rsidTr="00527C3E">
        <w:trPr>
          <w:cantSplit/>
        </w:trPr>
        <w:tc>
          <w:tcPr>
            <w:tcW w:w="3982" w:type="dxa"/>
            <w:gridSpan w:val="3"/>
            <w:shd w:val="clear" w:color="auto" w:fill="auto"/>
          </w:tcPr>
          <w:p w14:paraId="2324D098" w14:textId="77777777" w:rsidR="007B5C48" w:rsidRPr="007B5C48" w:rsidRDefault="007B5C48" w:rsidP="00527C3E">
            <w:pPr>
              <w:pStyle w:val="SNREPUBLIQUE"/>
              <w:rPr>
                <w:szCs w:val="24"/>
              </w:rPr>
            </w:pPr>
            <w:bookmarkStart w:id="0" w:name="_GoBack"/>
            <w:bookmarkEnd w:id="0"/>
            <w:r w:rsidRPr="007B5C48">
              <w:rPr>
                <w:szCs w:val="24"/>
              </w:rPr>
              <w:t>RÉPUBLIQUE FRANÇAISE</w:t>
            </w:r>
          </w:p>
        </w:tc>
      </w:tr>
      <w:tr w:rsidR="007B5C48" w:rsidRPr="007B5C48" w14:paraId="10C85004" w14:textId="77777777" w:rsidTr="00527C3E">
        <w:trPr>
          <w:cantSplit/>
          <w:trHeight w:hRule="exact" w:val="113"/>
        </w:trPr>
        <w:tc>
          <w:tcPr>
            <w:tcW w:w="1527" w:type="dxa"/>
            <w:shd w:val="clear" w:color="auto" w:fill="auto"/>
          </w:tcPr>
          <w:p w14:paraId="349A926D" w14:textId="77777777" w:rsidR="007B5C48" w:rsidRPr="007B5C48" w:rsidRDefault="007B5C48" w:rsidP="00527C3E">
            <w:pPr>
              <w:snapToGrid w:val="0"/>
              <w:rPr>
                <w:rFonts w:cs="Tahoma"/>
                <w:sz w:val="24"/>
                <w:szCs w:val="24"/>
              </w:rPr>
            </w:pPr>
          </w:p>
        </w:tc>
        <w:tc>
          <w:tcPr>
            <w:tcW w:w="968" w:type="dxa"/>
            <w:tcBorders>
              <w:bottom w:val="single" w:sz="1" w:space="0" w:color="000000"/>
            </w:tcBorders>
            <w:shd w:val="clear" w:color="auto" w:fill="auto"/>
          </w:tcPr>
          <w:p w14:paraId="28F033D2" w14:textId="77777777" w:rsidR="007B5C48" w:rsidRPr="007B5C48" w:rsidRDefault="007B5C48" w:rsidP="00527C3E">
            <w:pPr>
              <w:snapToGrid w:val="0"/>
              <w:rPr>
                <w:sz w:val="24"/>
                <w:szCs w:val="24"/>
              </w:rPr>
            </w:pPr>
          </w:p>
        </w:tc>
        <w:tc>
          <w:tcPr>
            <w:tcW w:w="1487" w:type="dxa"/>
            <w:shd w:val="clear" w:color="auto" w:fill="auto"/>
          </w:tcPr>
          <w:p w14:paraId="2200B910" w14:textId="77777777" w:rsidR="007B5C48" w:rsidRPr="007B5C48" w:rsidRDefault="007B5C48" w:rsidP="00527C3E">
            <w:pPr>
              <w:snapToGrid w:val="0"/>
              <w:rPr>
                <w:sz w:val="24"/>
                <w:szCs w:val="24"/>
              </w:rPr>
            </w:pPr>
          </w:p>
        </w:tc>
      </w:tr>
      <w:tr w:rsidR="007B5C48" w:rsidRPr="007B5C48" w14:paraId="28702A76" w14:textId="77777777" w:rsidTr="00527C3E">
        <w:trPr>
          <w:cantSplit/>
        </w:trPr>
        <w:tc>
          <w:tcPr>
            <w:tcW w:w="3982" w:type="dxa"/>
            <w:gridSpan w:val="3"/>
            <w:shd w:val="clear" w:color="auto" w:fill="auto"/>
          </w:tcPr>
          <w:p w14:paraId="6FB25B94" w14:textId="77777777" w:rsidR="007B5C48" w:rsidRPr="007B5C48" w:rsidRDefault="007B5C48" w:rsidP="00527C3E">
            <w:pPr>
              <w:pStyle w:val="SNTimbre"/>
            </w:pPr>
            <w:r w:rsidRPr="007B5C48">
              <w:t>Ministère de la transition écologique, de l’énergie, du climat et de la prévention des risques</w:t>
            </w:r>
          </w:p>
        </w:tc>
      </w:tr>
      <w:tr w:rsidR="007B5C48" w:rsidRPr="007B5C48" w14:paraId="4253D0C4" w14:textId="77777777" w:rsidTr="00527C3E">
        <w:trPr>
          <w:cantSplit/>
          <w:trHeight w:hRule="exact" w:val="227"/>
        </w:trPr>
        <w:tc>
          <w:tcPr>
            <w:tcW w:w="1527" w:type="dxa"/>
            <w:shd w:val="clear" w:color="auto" w:fill="auto"/>
          </w:tcPr>
          <w:p w14:paraId="7219C7B5" w14:textId="77777777" w:rsidR="007B5C48" w:rsidRPr="007B5C48" w:rsidRDefault="007B5C48" w:rsidP="00527C3E">
            <w:pPr>
              <w:snapToGrid w:val="0"/>
              <w:rPr>
                <w:sz w:val="24"/>
                <w:szCs w:val="24"/>
              </w:rPr>
            </w:pPr>
          </w:p>
        </w:tc>
        <w:tc>
          <w:tcPr>
            <w:tcW w:w="968" w:type="dxa"/>
            <w:tcBorders>
              <w:bottom w:val="single" w:sz="1" w:space="0" w:color="000000"/>
            </w:tcBorders>
            <w:shd w:val="clear" w:color="auto" w:fill="auto"/>
          </w:tcPr>
          <w:p w14:paraId="620F5899" w14:textId="77777777" w:rsidR="007B5C48" w:rsidRPr="007B5C48" w:rsidRDefault="007B5C48" w:rsidP="00527C3E">
            <w:pPr>
              <w:snapToGrid w:val="0"/>
              <w:rPr>
                <w:sz w:val="24"/>
                <w:szCs w:val="24"/>
              </w:rPr>
            </w:pPr>
          </w:p>
        </w:tc>
        <w:tc>
          <w:tcPr>
            <w:tcW w:w="1487" w:type="dxa"/>
            <w:shd w:val="clear" w:color="auto" w:fill="auto"/>
          </w:tcPr>
          <w:p w14:paraId="01C6CA84" w14:textId="77777777" w:rsidR="007B5C48" w:rsidRPr="007B5C48" w:rsidRDefault="007B5C48" w:rsidP="00527C3E">
            <w:pPr>
              <w:snapToGrid w:val="0"/>
              <w:rPr>
                <w:sz w:val="24"/>
                <w:szCs w:val="24"/>
              </w:rPr>
            </w:pPr>
          </w:p>
        </w:tc>
      </w:tr>
      <w:tr w:rsidR="007B5C48" w:rsidRPr="007B5C48" w14:paraId="17E62694" w14:textId="77777777" w:rsidTr="00527C3E">
        <w:trPr>
          <w:cantSplit/>
          <w:trHeight w:hRule="exact" w:val="227"/>
        </w:trPr>
        <w:tc>
          <w:tcPr>
            <w:tcW w:w="1527" w:type="dxa"/>
            <w:shd w:val="clear" w:color="auto" w:fill="auto"/>
          </w:tcPr>
          <w:p w14:paraId="247CCC7E" w14:textId="77777777" w:rsidR="007B5C48" w:rsidRPr="007B5C48" w:rsidRDefault="007B5C48" w:rsidP="00527C3E">
            <w:pPr>
              <w:snapToGrid w:val="0"/>
              <w:rPr>
                <w:sz w:val="24"/>
                <w:szCs w:val="24"/>
              </w:rPr>
            </w:pPr>
          </w:p>
        </w:tc>
        <w:tc>
          <w:tcPr>
            <w:tcW w:w="968" w:type="dxa"/>
            <w:shd w:val="clear" w:color="auto" w:fill="auto"/>
          </w:tcPr>
          <w:p w14:paraId="62BDCDB8" w14:textId="77777777" w:rsidR="007B5C48" w:rsidRPr="007B5C48" w:rsidRDefault="007B5C48" w:rsidP="00527C3E">
            <w:pPr>
              <w:snapToGrid w:val="0"/>
              <w:rPr>
                <w:sz w:val="24"/>
                <w:szCs w:val="24"/>
              </w:rPr>
            </w:pPr>
          </w:p>
        </w:tc>
        <w:tc>
          <w:tcPr>
            <w:tcW w:w="1487" w:type="dxa"/>
            <w:shd w:val="clear" w:color="auto" w:fill="auto"/>
          </w:tcPr>
          <w:p w14:paraId="268A04C8" w14:textId="77777777" w:rsidR="007B5C48" w:rsidRPr="007B5C48" w:rsidRDefault="007B5C48" w:rsidP="00527C3E">
            <w:pPr>
              <w:snapToGrid w:val="0"/>
              <w:rPr>
                <w:sz w:val="24"/>
                <w:szCs w:val="24"/>
              </w:rPr>
            </w:pPr>
          </w:p>
        </w:tc>
      </w:tr>
    </w:tbl>
    <w:p w14:paraId="7362BEE6" w14:textId="77777777" w:rsidR="00F76369" w:rsidRPr="007B5C48" w:rsidRDefault="00F76369" w:rsidP="00F76369">
      <w:pPr>
        <w:rPr>
          <w:sz w:val="24"/>
          <w:szCs w:val="24"/>
        </w:rPr>
      </w:pPr>
    </w:p>
    <w:p w14:paraId="2E42742B" w14:textId="77777777" w:rsidR="00F76369" w:rsidRPr="007B5C48" w:rsidRDefault="00F76369" w:rsidP="00F76369">
      <w:pPr>
        <w:pStyle w:val="Titre"/>
        <w:jc w:val="both"/>
        <w:rPr>
          <w:rFonts w:ascii="Times New Roman" w:hAnsi="Times New Roman" w:cs="Times New Roman"/>
          <w:sz w:val="24"/>
          <w:szCs w:val="24"/>
        </w:rPr>
      </w:pPr>
      <w:r w:rsidRPr="007B5C48">
        <w:rPr>
          <w:rFonts w:ascii="Times New Roman" w:hAnsi="Times New Roman" w:cs="Times New Roman"/>
          <w:sz w:val="24"/>
          <w:szCs w:val="24"/>
        </w:rPr>
        <w:t>Arrêté du XX/XX/2024 fixant la liste des usages des produits phytopharmaceutiques, pour lesquels aucune solution technique alternative ne permet d'obtenir la qualité requise dans le cadre des compétitions officielles pour les équipements sportifs ou parties d’équipements sportifs</w:t>
      </w:r>
    </w:p>
    <w:p w14:paraId="466F5DC7" w14:textId="77777777" w:rsidR="00F76369" w:rsidRPr="007B5C48" w:rsidRDefault="00F76369" w:rsidP="00F76369">
      <w:pPr>
        <w:pStyle w:val="Titre"/>
        <w:rPr>
          <w:rFonts w:ascii="Times New Roman" w:hAnsi="Times New Roman" w:cs="Times New Roman"/>
          <w:sz w:val="24"/>
          <w:szCs w:val="24"/>
        </w:rPr>
      </w:pPr>
    </w:p>
    <w:p w14:paraId="396D7210" w14:textId="570B6181" w:rsidR="00F76369" w:rsidRPr="007B5C48" w:rsidRDefault="00F76369" w:rsidP="00F76369">
      <w:pPr>
        <w:pStyle w:val="Textecentr"/>
        <w:rPr>
          <w:rFonts w:ascii="Times New Roman" w:hAnsi="Times New Roman" w:cs="Times New Roman"/>
          <w:sz w:val="24"/>
          <w:szCs w:val="24"/>
        </w:rPr>
      </w:pPr>
      <w:r w:rsidRPr="007B5C48">
        <w:rPr>
          <w:rFonts w:ascii="Times New Roman" w:hAnsi="Times New Roman" w:cs="Times New Roman"/>
          <w:sz w:val="24"/>
          <w:szCs w:val="24"/>
        </w:rPr>
        <w:t>NOR :</w:t>
      </w:r>
      <w:r w:rsidR="00D24F0C">
        <w:rPr>
          <w:rFonts w:ascii="Times New Roman" w:hAnsi="Times New Roman" w:cs="Times New Roman"/>
          <w:sz w:val="24"/>
          <w:szCs w:val="24"/>
        </w:rPr>
        <w:t xml:space="preserve"> </w:t>
      </w:r>
      <w:r w:rsidR="00D24F0C" w:rsidRPr="00D24F0C">
        <w:rPr>
          <w:rFonts w:ascii="Times New Roman" w:hAnsi="Times New Roman" w:cs="Times New Roman"/>
          <w:sz w:val="24"/>
          <w:szCs w:val="24"/>
        </w:rPr>
        <w:t>TECL2429747A</w:t>
      </w:r>
    </w:p>
    <w:p w14:paraId="36BD9054" w14:textId="77777777" w:rsidR="00F76369" w:rsidRPr="007B5C48" w:rsidRDefault="00F76369" w:rsidP="00F76369">
      <w:pPr>
        <w:pStyle w:val="Textecentr"/>
        <w:rPr>
          <w:rFonts w:ascii="Times New Roman" w:hAnsi="Times New Roman" w:cs="Times New Roman"/>
          <w:sz w:val="24"/>
          <w:szCs w:val="24"/>
        </w:rPr>
      </w:pPr>
    </w:p>
    <w:p w14:paraId="2156A90E" w14:textId="77777777" w:rsidR="00F76369" w:rsidRPr="007B5C48" w:rsidRDefault="007B5C48" w:rsidP="00F76369">
      <w:pPr>
        <w:pStyle w:val="Textejustifi"/>
        <w:rPr>
          <w:rFonts w:ascii="Times New Roman" w:hAnsi="Times New Roman" w:cs="Times New Roman"/>
          <w:sz w:val="24"/>
          <w:szCs w:val="24"/>
        </w:rPr>
      </w:pPr>
      <w:r>
        <w:rPr>
          <w:rFonts w:ascii="Times New Roman" w:hAnsi="Times New Roman" w:cs="Times New Roman"/>
          <w:sz w:val="24"/>
          <w:szCs w:val="24"/>
        </w:rPr>
        <w:t>La</w:t>
      </w:r>
      <w:r w:rsidR="00F76369" w:rsidRPr="007B5C48">
        <w:rPr>
          <w:rFonts w:ascii="Times New Roman" w:hAnsi="Times New Roman" w:cs="Times New Roman"/>
          <w:sz w:val="24"/>
          <w:szCs w:val="24"/>
        </w:rPr>
        <w:t xml:space="preserve"> ministre de la transition écologique, de l’énergie, du climat et de la prévention des risques, le ministre des sports, de la jeunesse et de la vie associative ;</w:t>
      </w:r>
    </w:p>
    <w:p w14:paraId="14A03CF4" w14:textId="1023CC06" w:rsidR="00F76369" w:rsidRDefault="00F76369" w:rsidP="00F76369">
      <w:pPr>
        <w:pStyle w:val="Textejustifi"/>
        <w:rPr>
          <w:rFonts w:ascii="Times New Roman" w:hAnsi="Times New Roman" w:cs="Times New Roman"/>
          <w:sz w:val="24"/>
          <w:szCs w:val="24"/>
        </w:rPr>
      </w:pPr>
      <w:r w:rsidRPr="007B5C48">
        <w:rPr>
          <w:rFonts w:ascii="Times New Roman" w:hAnsi="Times New Roman" w:cs="Times New Roman"/>
          <w:sz w:val="24"/>
          <w:szCs w:val="24"/>
        </w:rPr>
        <w:t>Vu l’arrêté du 4 mai 2017 modifié par l’arrêté du 15 janvier 2021, relatif à la mise sur le marché et à l'utilisation des produits phytopharmaceutiques et de leurs adjuvants visés à l'article L. 253-1 du code rural et de la pêche maritime</w:t>
      </w:r>
      <w:r w:rsidR="0078204F">
        <w:rPr>
          <w:rFonts w:ascii="Times New Roman" w:hAnsi="Times New Roman" w:cs="Times New Roman"/>
          <w:sz w:val="24"/>
          <w:szCs w:val="24"/>
        </w:rPr>
        <w:t> ;</w:t>
      </w:r>
    </w:p>
    <w:p w14:paraId="25000CB8" w14:textId="789364BE" w:rsidR="0078204F" w:rsidRDefault="0078204F" w:rsidP="0078204F">
      <w:pPr>
        <w:autoSpaceDE w:val="0"/>
        <w:autoSpaceDN w:val="0"/>
        <w:adjustRightInd w:val="0"/>
        <w:spacing w:after="0" w:line="240" w:lineRule="auto"/>
        <w:rPr>
          <w:rFonts w:ascii="Times New Roman" w:hAnsi="Times New Roman" w:cs="Times New Roman"/>
          <w:color w:val="000000"/>
          <w:sz w:val="23"/>
          <w:szCs w:val="23"/>
        </w:rPr>
      </w:pPr>
      <w:r w:rsidRPr="0078204F">
        <w:rPr>
          <w:rFonts w:ascii="Times New Roman" w:hAnsi="Times New Roman" w:cs="Times New Roman"/>
          <w:color w:val="000000"/>
          <w:sz w:val="23"/>
          <w:szCs w:val="23"/>
        </w:rPr>
        <w:t>Vu l’avis du conseil national d’évaluation des normes en date du …</w:t>
      </w:r>
      <w:r>
        <w:rPr>
          <w:rFonts w:ascii="Times New Roman" w:hAnsi="Times New Roman" w:cs="Times New Roman"/>
          <w:color w:val="000000"/>
          <w:sz w:val="23"/>
          <w:szCs w:val="23"/>
        </w:rPr>
        <w:t> ;</w:t>
      </w:r>
    </w:p>
    <w:p w14:paraId="6C32A082" w14:textId="77777777" w:rsidR="0078204F" w:rsidRPr="0078204F" w:rsidRDefault="0078204F" w:rsidP="0078204F">
      <w:pPr>
        <w:autoSpaceDE w:val="0"/>
        <w:autoSpaceDN w:val="0"/>
        <w:adjustRightInd w:val="0"/>
        <w:spacing w:after="0" w:line="240" w:lineRule="auto"/>
        <w:rPr>
          <w:rFonts w:ascii="Times New Roman" w:hAnsi="Times New Roman" w:cs="Times New Roman"/>
          <w:color w:val="000000"/>
          <w:sz w:val="23"/>
          <w:szCs w:val="23"/>
        </w:rPr>
      </w:pPr>
    </w:p>
    <w:p w14:paraId="4856BF2C" w14:textId="7CCCC0C5" w:rsidR="0078204F" w:rsidRPr="007B5C48" w:rsidRDefault="0078204F" w:rsidP="0078204F">
      <w:pPr>
        <w:pStyle w:val="Textejustifi"/>
        <w:rPr>
          <w:rFonts w:ascii="Times New Roman" w:hAnsi="Times New Roman" w:cs="Times New Roman"/>
          <w:sz w:val="24"/>
          <w:szCs w:val="24"/>
        </w:rPr>
      </w:pPr>
      <w:r w:rsidRPr="0078204F">
        <w:rPr>
          <w:rFonts w:ascii="Times New Roman" w:eastAsiaTheme="minorHAnsi" w:hAnsi="Times New Roman" w:cs="Times New Roman"/>
          <w:color w:val="000000"/>
          <w:kern w:val="0"/>
          <w:sz w:val="23"/>
          <w:szCs w:val="23"/>
          <w:lang w:eastAsia="en-US"/>
          <w14:ligatures w14:val="none"/>
        </w:rPr>
        <w:t>Vu les observations formulées lors de la consultation du public réalisée du … au …, en application de l’article L. 123-19-1 du code de l’environnement</w:t>
      </w:r>
      <w:r>
        <w:rPr>
          <w:rFonts w:ascii="Times New Roman" w:eastAsiaTheme="minorHAnsi" w:hAnsi="Times New Roman" w:cs="Times New Roman"/>
          <w:color w:val="000000"/>
          <w:kern w:val="0"/>
          <w:sz w:val="23"/>
          <w:szCs w:val="23"/>
          <w:lang w:eastAsia="en-US"/>
          <w14:ligatures w14:val="none"/>
        </w:rPr>
        <w:t> ;</w:t>
      </w:r>
    </w:p>
    <w:p w14:paraId="624F1F53" w14:textId="77777777" w:rsidR="00F76369" w:rsidRPr="007B5C48" w:rsidRDefault="00F76369" w:rsidP="00F76369">
      <w:pPr>
        <w:pStyle w:val="Textejustifi"/>
        <w:rPr>
          <w:rFonts w:ascii="Times New Roman" w:hAnsi="Times New Roman" w:cs="Times New Roman"/>
          <w:sz w:val="24"/>
          <w:szCs w:val="24"/>
        </w:rPr>
      </w:pPr>
    </w:p>
    <w:p w14:paraId="1071A652" w14:textId="77777777" w:rsidR="00F76369" w:rsidRPr="007B5C48" w:rsidRDefault="00F76369" w:rsidP="00F76369">
      <w:pPr>
        <w:pStyle w:val="Textecentr"/>
        <w:rPr>
          <w:rFonts w:ascii="Times New Roman" w:hAnsi="Times New Roman" w:cs="Times New Roman"/>
          <w:b/>
          <w:sz w:val="24"/>
          <w:szCs w:val="24"/>
        </w:rPr>
      </w:pPr>
      <w:r w:rsidRPr="007B5C48">
        <w:rPr>
          <w:rFonts w:ascii="Times New Roman" w:hAnsi="Times New Roman" w:cs="Times New Roman"/>
          <w:b/>
          <w:sz w:val="24"/>
          <w:szCs w:val="24"/>
        </w:rPr>
        <w:t>Arrêtent :</w:t>
      </w:r>
    </w:p>
    <w:p w14:paraId="7306523B" w14:textId="77777777" w:rsidR="007B5C48" w:rsidRPr="007B5C48" w:rsidRDefault="007B5C48" w:rsidP="00F76369">
      <w:pPr>
        <w:pStyle w:val="Textecentr"/>
        <w:rPr>
          <w:rFonts w:ascii="Times New Roman" w:hAnsi="Times New Roman" w:cs="Times New Roman"/>
          <w:b/>
          <w:sz w:val="24"/>
          <w:szCs w:val="24"/>
        </w:rPr>
      </w:pPr>
    </w:p>
    <w:p w14:paraId="22BB8BAC" w14:textId="228D4915" w:rsidR="00636D9C" w:rsidRDefault="00636D9C" w:rsidP="00ED180C">
      <w:pPr>
        <w:pStyle w:val="Default"/>
        <w:ind w:left="3540"/>
        <w:rPr>
          <w:b/>
          <w:bCs/>
          <w:sz w:val="23"/>
          <w:szCs w:val="23"/>
        </w:rPr>
      </w:pPr>
      <w:r>
        <w:rPr>
          <w:b/>
          <w:bCs/>
          <w:sz w:val="23"/>
          <w:szCs w:val="23"/>
        </w:rPr>
        <w:t xml:space="preserve">Article 1er </w:t>
      </w:r>
    </w:p>
    <w:p w14:paraId="213980E0" w14:textId="77777777" w:rsidR="0078204F" w:rsidRDefault="0078204F" w:rsidP="00ED180C">
      <w:pPr>
        <w:pStyle w:val="Default"/>
        <w:ind w:left="3540"/>
        <w:rPr>
          <w:sz w:val="23"/>
          <w:szCs w:val="23"/>
        </w:rPr>
      </w:pPr>
    </w:p>
    <w:p w14:paraId="7312782E" w14:textId="6C4FB17F" w:rsidR="00636D9C" w:rsidRDefault="00636D9C" w:rsidP="0078204F">
      <w:pPr>
        <w:pStyle w:val="Default"/>
        <w:jc w:val="both"/>
        <w:rPr>
          <w:sz w:val="23"/>
          <w:szCs w:val="23"/>
        </w:rPr>
      </w:pPr>
      <w:r>
        <w:rPr>
          <w:sz w:val="23"/>
          <w:szCs w:val="23"/>
        </w:rPr>
        <w:t xml:space="preserve">Pour l'application du 3° de l’article 14-4 de l'arrêté du 4 mai 2017 relatif à la mise sur le marché et à l'utilisation des produits phytopharmaceutiques et de leurs adjuvants visés à l'article L. 253-1 du code rural et de la pêche maritime, la liste des usages des produits phytopharmaceutiques, pour lesquels aucune solution technique alternative ne permet d'obtenir la qualité requise dans le cadre des compétitions officielles pour les équipements sportifs ou parties d’équipements sportifs visés au 12° de l’article 14-3 du même arrêté est fixé comme suit : </w:t>
      </w:r>
    </w:p>
    <w:p w14:paraId="485945FB" w14:textId="77777777" w:rsidR="00636D9C" w:rsidRDefault="00636D9C" w:rsidP="00636D9C">
      <w:pPr>
        <w:pStyle w:val="Default"/>
        <w:rPr>
          <w:sz w:val="23"/>
          <w:szCs w:val="23"/>
        </w:rPr>
      </w:pPr>
    </w:p>
    <w:p w14:paraId="269960F8" w14:textId="77777777" w:rsidR="00636D9C" w:rsidRDefault="00636D9C" w:rsidP="00636D9C">
      <w:pPr>
        <w:pStyle w:val="Default"/>
        <w:rPr>
          <w:sz w:val="23"/>
          <w:szCs w:val="23"/>
        </w:rPr>
      </w:pPr>
      <w:r>
        <w:rPr>
          <w:sz w:val="23"/>
          <w:szCs w:val="23"/>
        </w:rPr>
        <w:t xml:space="preserve">- Gazons de graminées*Désherbage </w:t>
      </w:r>
    </w:p>
    <w:p w14:paraId="6529BF11" w14:textId="77777777" w:rsidR="00636D9C" w:rsidRDefault="00636D9C" w:rsidP="00636D9C">
      <w:pPr>
        <w:pStyle w:val="Default"/>
        <w:rPr>
          <w:sz w:val="23"/>
          <w:szCs w:val="23"/>
        </w:rPr>
      </w:pPr>
      <w:r>
        <w:rPr>
          <w:sz w:val="23"/>
          <w:szCs w:val="23"/>
        </w:rPr>
        <w:t>- Gazons de graminées*</w:t>
      </w:r>
      <w:proofErr w:type="spellStart"/>
      <w:r>
        <w:rPr>
          <w:sz w:val="23"/>
          <w:szCs w:val="23"/>
        </w:rPr>
        <w:t>Trt</w:t>
      </w:r>
      <w:proofErr w:type="spellEnd"/>
      <w:r>
        <w:rPr>
          <w:sz w:val="23"/>
          <w:szCs w:val="23"/>
        </w:rPr>
        <w:t xml:space="preserve"> </w:t>
      </w:r>
      <w:proofErr w:type="spellStart"/>
      <w:proofErr w:type="gramStart"/>
      <w:r>
        <w:rPr>
          <w:sz w:val="23"/>
          <w:szCs w:val="23"/>
        </w:rPr>
        <w:t>Part.Aer</w:t>
      </w:r>
      <w:proofErr w:type="spellEnd"/>
      <w:r>
        <w:rPr>
          <w:sz w:val="23"/>
          <w:szCs w:val="23"/>
        </w:rPr>
        <w:t>.*</w:t>
      </w:r>
      <w:proofErr w:type="gramEnd"/>
      <w:r>
        <w:rPr>
          <w:sz w:val="23"/>
          <w:szCs w:val="23"/>
        </w:rPr>
        <w:t>Champignons (</w:t>
      </w:r>
      <w:proofErr w:type="spellStart"/>
      <w:r>
        <w:rPr>
          <w:sz w:val="23"/>
          <w:szCs w:val="23"/>
        </w:rPr>
        <w:t>pythiacées</w:t>
      </w:r>
      <w:proofErr w:type="spellEnd"/>
      <w:r>
        <w:rPr>
          <w:sz w:val="23"/>
          <w:szCs w:val="23"/>
        </w:rPr>
        <w:t xml:space="preserve">) </w:t>
      </w:r>
    </w:p>
    <w:p w14:paraId="0D93D921" w14:textId="77777777" w:rsidR="00636D9C" w:rsidRDefault="00636D9C" w:rsidP="00636D9C">
      <w:pPr>
        <w:pStyle w:val="Default"/>
        <w:rPr>
          <w:sz w:val="23"/>
          <w:szCs w:val="23"/>
        </w:rPr>
      </w:pPr>
      <w:r>
        <w:rPr>
          <w:sz w:val="23"/>
          <w:szCs w:val="23"/>
        </w:rPr>
        <w:t>- Gazons de graminées*</w:t>
      </w:r>
      <w:proofErr w:type="spellStart"/>
      <w:r>
        <w:rPr>
          <w:sz w:val="23"/>
          <w:szCs w:val="23"/>
        </w:rPr>
        <w:t>Trt</w:t>
      </w:r>
      <w:proofErr w:type="spellEnd"/>
      <w:r>
        <w:rPr>
          <w:sz w:val="23"/>
          <w:szCs w:val="23"/>
        </w:rPr>
        <w:t xml:space="preserve"> </w:t>
      </w:r>
      <w:proofErr w:type="spellStart"/>
      <w:proofErr w:type="gramStart"/>
      <w:r>
        <w:rPr>
          <w:sz w:val="23"/>
          <w:szCs w:val="23"/>
        </w:rPr>
        <w:t>Part.Aer</w:t>
      </w:r>
      <w:proofErr w:type="spellEnd"/>
      <w:r>
        <w:rPr>
          <w:sz w:val="23"/>
          <w:szCs w:val="23"/>
        </w:rPr>
        <w:t>.*</w:t>
      </w:r>
      <w:proofErr w:type="gramEnd"/>
      <w:r>
        <w:rPr>
          <w:sz w:val="23"/>
          <w:szCs w:val="23"/>
        </w:rPr>
        <w:t xml:space="preserve">Dollar spot </w:t>
      </w:r>
    </w:p>
    <w:p w14:paraId="7BFD7451" w14:textId="77777777" w:rsidR="00636D9C" w:rsidRDefault="00636D9C" w:rsidP="00636D9C">
      <w:pPr>
        <w:pStyle w:val="Default"/>
        <w:rPr>
          <w:sz w:val="23"/>
          <w:szCs w:val="23"/>
        </w:rPr>
      </w:pPr>
      <w:r>
        <w:rPr>
          <w:sz w:val="23"/>
          <w:szCs w:val="23"/>
        </w:rPr>
        <w:t>- Gazons de graminées*</w:t>
      </w:r>
      <w:proofErr w:type="spellStart"/>
      <w:r>
        <w:rPr>
          <w:sz w:val="23"/>
          <w:szCs w:val="23"/>
        </w:rPr>
        <w:t>Trt</w:t>
      </w:r>
      <w:proofErr w:type="spellEnd"/>
      <w:r>
        <w:rPr>
          <w:sz w:val="23"/>
          <w:szCs w:val="23"/>
        </w:rPr>
        <w:t xml:space="preserve"> </w:t>
      </w:r>
      <w:proofErr w:type="spellStart"/>
      <w:proofErr w:type="gramStart"/>
      <w:r>
        <w:rPr>
          <w:sz w:val="23"/>
          <w:szCs w:val="23"/>
        </w:rPr>
        <w:t>Part.Aer</w:t>
      </w:r>
      <w:proofErr w:type="spellEnd"/>
      <w:r>
        <w:rPr>
          <w:sz w:val="23"/>
          <w:szCs w:val="23"/>
        </w:rPr>
        <w:t>.*</w:t>
      </w:r>
      <w:proofErr w:type="gramEnd"/>
      <w:r>
        <w:rPr>
          <w:sz w:val="23"/>
          <w:szCs w:val="23"/>
        </w:rPr>
        <w:t xml:space="preserve">Fusarioses, helminthosporioses, </w:t>
      </w:r>
      <w:proofErr w:type="spellStart"/>
      <w:r>
        <w:rPr>
          <w:sz w:val="23"/>
          <w:szCs w:val="23"/>
        </w:rPr>
        <w:t>pyraculariose</w:t>
      </w:r>
      <w:proofErr w:type="spellEnd"/>
      <w:r>
        <w:rPr>
          <w:sz w:val="23"/>
          <w:szCs w:val="23"/>
        </w:rPr>
        <w:t xml:space="preserve"> </w:t>
      </w:r>
    </w:p>
    <w:p w14:paraId="45644382" w14:textId="77777777" w:rsidR="00636D9C" w:rsidRDefault="00636D9C" w:rsidP="00636D9C">
      <w:pPr>
        <w:pStyle w:val="Default"/>
        <w:rPr>
          <w:sz w:val="23"/>
          <w:szCs w:val="23"/>
        </w:rPr>
      </w:pPr>
      <w:r>
        <w:rPr>
          <w:sz w:val="23"/>
          <w:szCs w:val="23"/>
        </w:rPr>
        <w:t>- Gazons de graminées*</w:t>
      </w:r>
      <w:proofErr w:type="spellStart"/>
      <w:r>
        <w:rPr>
          <w:sz w:val="23"/>
          <w:szCs w:val="23"/>
        </w:rPr>
        <w:t>Trt</w:t>
      </w:r>
      <w:proofErr w:type="spellEnd"/>
      <w:r>
        <w:rPr>
          <w:sz w:val="23"/>
          <w:szCs w:val="23"/>
        </w:rPr>
        <w:t xml:space="preserve"> </w:t>
      </w:r>
      <w:proofErr w:type="spellStart"/>
      <w:proofErr w:type="gramStart"/>
      <w:r>
        <w:rPr>
          <w:sz w:val="23"/>
          <w:szCs w:val="23"/>
        </w:rPr>
        <w:t>Part.Aer</w:t>
      </w:r>
      <w:proofErr w:type="spellEnd"/>
      <w:r>
        <w:rPr>
          <w:sz w:val="23"/>
          <w:szCs w:val="23"/>
        </w:rPr>
        <w:t>.*</w:t>
      </w:r>
      <w:proofErr w:type="gramEnd"/>
      <w:r>
        <w:rPr>
          <w:sz w:val="23"/>
          <w:szCs w:val="23"/>
        </w:rPr>
        <w:t xml:space="preserve">Maladies du feuillage </w:t>
      </w:r>
    </w:p>
    <w:p w14:paraId="2F4F20D5" w14:textId="77777777" w:rsidR="00636D9C" w:rsidRDefault="00636D9C" w:rsidP="00636D9C">
      <w:pPr>
        <w:pStyle w:val="Default"/>
        <w:rPr>
          <w:sz w:val="23"/>
          <w:szCs w:val="23"/>
        </w:rPr>
      </w:pPr>
      <w:r>
        <w:rPr>
          <w:sz w:val="23"/>
          <w:szCs w:val="23"/>
        </w:rPr>
        <w:t>- Gazons de graminées*</w:t>
      </w:r>
      <w:proofErr w:type="spellStart"/>
      <w:r>
        <w:rPr>
          <w:sz w:val="23"/>
          <w:szCs w:val="23"/>
        </w:rPr>
        <w:t>Trt</w:t>
      </w:r>
      <w:proofErr w:type="spellEnd"/>
      <w:r>
        <w:rPr>
          <w:sz w:val="23"/>
          <w:szCs w:val="23"/>
        </w:rPr>
        <w:t xml:space="preserve"> </w:t>
      </w:r>
      <w:proofErr w:type="spellStart"/>
      <w:proofErr w:type="gramStart"/>
      <w:r>
        <w:rPr>
          <w:sz w:val="23"/>
          <w:szCs w:val="23"/>
        </w:rPr>
        <w:t>Part.Aer</w:t>
      </w:r>
      <w:proofErr w:type="spellEnd"/>
      <w:r>
        <w:rPr>
          <w:sz w:val="23"/>
          <w:szCs w:val="23"/>
        </w:rPr>
        <w:t>.*</w:t>
      </w:r>
      <w:proofErr w:type="gramEnd"/>
      <w:r>
        <w:rPr>
          <w:sz w:val="23"/>
          <w:szCs w:val="23"/>
        </w:rPr>
        <w:t xml:space="preserve">Ravageurs du sol </w:t>
      </w:r>
    </w:p>
    <w:p w14:paraId="0D5FDDA7" w14:textId="72F8449E" w:rsidR="00636D9C" w:rsidRDefault="00636D9C" w:rsidP="00636D9C">
      <w:pPr>
        <w:pStyle w:val="Default"/>
        <w:rPr>
          <w:sz w:val="23"/>
          <w:szCs w:val="23"/>
        </w:rPr>
      </w:pPr>
    </w:p>
    <w:p w14:paraId="396D51DE" w14:textId="77777777" w:rsidR="00ED180C" w:rsidRDefault="00ED180C" w:rsidP="00636D9C">
      <w:pPr>
        <w:pStyle w:val="Default"/>
        <w:rPr>
          <w:sz w:val="23"/>
          <w:szCs w:val="23"/>
        </w:rPr>
      </w:pPr>
    </w:p>
    <w:p w14:paraId="69662E97" w14:textId="1C638837" w:rsidR="00636D9C" w:rsidRDefault="00636D9C" w:rsidP="0078204F">
      <w:pPr>
        <w:pStyle w:val="Default"/>
        <w:keepNext/>
        <w:ind w:left="2832" w:firstLine="708"/>
        <w:rPr>
          <w:b/>
          <w:bCs/>
          <w:color w:val="auto"/>
          <w:sz w:val="23"/>
          <w:szCs w:val="23"/>
        </w:rPr>
      </w:pPr>
      <w:r>
        <w:rPr>
          <w:b/>
          <w:bCs/>
          <w:color w:val="auto"/>
          <w:sz w:val="23"/>
          <w:szCs w:val="23"/>
        </w:rPr>
        <w:lastRenderedPageBreak/>
        <w:t xml:space="preserve">Article 2 </w:t>
      </w:r>
    </w:p>
    <w:p w14:paraId="316D5AF5" w14:textId="77777777" w:rsidR="0078204F" w:rsidRDefault="0078204F" w:rsidP="0078204F">
      <w:pPr>
        <w:pStyle w:val="Default"/>
        <w:keepNext/>
        <w:ind w:left="2832" w:firstLine="708"/>
        <w:rPr>
          <w:color w:val="auto"/>
          <w:sz w:val="23"/>
          <w:szCs w:val="23"/>
        </w:rPr>
      </w:pPr>
    </w:p>
    <w:p w14:paraId="10164AD9" w14:textId="302B4AB5" w:rsidR="00636D9C" w:rsidRDefault="00636D9C" w:rsidP="0078204F">
      <w:pPr>
        <w:pStyle w:val="Default"/>
        <w:keepNext/>
        <w:jc w:val="both"/>
        <w:rPr>
          <w:color w:val="auto"/>
          <w:sz w:val="23"/>
          <w:szCs w:val="23"/>
        </w:rPr>
      </w:pPr>
      <w:r>
        <w:rPr>
          <w:color w:val="auto"/>
          <w:sz w:val="23"/>
          <w:szCs w:val="23"/>
        </w:rPr>
        <w:t>Au plus tard le 31 juillet 2025, sous l’égide des ministères chargés de l’environnement et des sports, les représentants des propriétaires des terrains bénéficiant de la dérogation fixée à l’article 1</w:t>
      </w:r>
      <w:r w:rsidRPr="0078204F">
        <w:rPr>
          <w:color w:val="auto"/>
          <w:sz w:val="22"/>
          <w:szCs w:val="22"/>
          <w:vertAlign w:val="superscript"/>
        </w:rPr>
        <w:t>er</w:t>
      </w:r>
      <w:r>
        <w:rPr>
          <w:color w:val="auto"/>
          <w:sz w:val="23"/>
          <w:szCs w:val="23"/>
        </w:rPr>
        <w:t xml:space="preserve">, élaborent une feuille de route qui définit une trajectoire, avec des échéances et des objectifs chiffrés, permettant une généralisation de l’arrêt d’utilisation des produits phytopharmaceutiques dans les équipements sportifs, à l'exception des produits de biocontrôle figurant sur la liste établie par l'autorité administrative en </w:t>
      </w:r>
      <w:r w:rsidRPr="00ED180C">
        <w:rPr>
          <w:color w:val="auto"/>
          <w:sz w:val="23"/>
          <w:szCs w:val="23"/>
        </w:rPr>
        <w:t>application de l'article L. 253-7 du code rural et de la pêche maritime, des produits qualifiés à faible risque conformément au règlement (CE) n° 1107</w:t>
      </w:r>
      <w:r>
        <w:rPr>
          <w:color w:val="auto"/>
          <w:sz w:val="23"/>
          <w:szCs w:val="23"/>
        </w:rPr>
        <w:t xml:space="preserve">/2009 du Parlement européen et du Conseil du 21 octobre 2009 concernant la mise sur le marché des produits phytopharmaceutiques et abrogeant les directives 79/117/ CEE et 91/414/CEE du Conseil, et des produits dont l'usage est autorisé dans le cadre de l'agriculture biologique. </w:t>
      </w:r>
    </w:p>
    <w:p w14:paraId="2885BD57" w14:textId="31EA7DDA" w:rsidR="00636D9C" w:rsidRDefault="00636D9C" w:rsidP="00636D9C">
      <w:pPr>
        <w:pStyle w:val="Default"/>
        <w:rPr>
          <w:color w:val="auto"/>
          <w:sz w:val="23"/>
          <w:szCs w:val="23"/>
        </w:rPr>
      </w:pPr>
    </w:p>
    <w:p w14:paraId="0BEAE39F" w14:textId="77777777" w:rsidR="00ED180C" w:rsidRDefault="00ED180C" w:rsidP="00636D9C">
      <w:pPr>
        <w:pStyle w:val="Default"/>
        <w:rPr>
          <w:color w:val="auto"/>
          <w:sz w:val="23"/>
          <w:szCs w:val="23"/>
        </w:rPr>
      </w:pPr>
    </w:p>
    <w:p w14:paraId="42422134" w14:textId="4B472C97" w:rsidR="00636D9C" w:rsidRDefault="00636D9C" w:rsidP="00ED180C">
      <w:pPr>
        <w:pStyle w:val="Default"/>
        <w:ind w:left="2832" w:firstLine="708"/>
        <w:rPr>
          <w:b/>
          <w:bCs/>
          <w:color w:val="auto"/>
          <w:sz w:val="23"/>
          <w:szCs w:val="23"/>
        </w:rPr>
      </w:pPr>
      <w:r>
        <w:rPr>
          <w:b/>
          <w:bCs/>
          <w:color w:val="auto"/>
          <w:sz w:val="23"/>
          <w:szCs w:val="23"/>
        </w:rPr>
        <w:t xml:space="preserve">Article 3 </w:t>
      </w:r>
    </w:p>
    <w:p w14:paraId="0486708E" w14:textId="77777777" w:rsidR="0078204F" w:rsidRDefault="0078204F" w:rsidP="00ED180C">
      <w:pPr>
        <w:pStyle w:val="Default"/>
        <w:ind w:left="2832" w:firstLine="708"/>
        <w:rPr>
          <w:color w:val="auto"/>
          <w:sz w:val="23"/>
          <w:szCs w:val="23"/>
        </w:rPr>
      </w:pPr>
    </w:p>
    <w:p w14:paraId="7E008E78" w14:textId="072F056F" w:rsidR="00636D9C" w:rsidRDefault="00636D9C" w:rsidP="0078204F">
      <w:pPr>
        <w:pStyle w:val="Default"/>
        <w:jc w:val="both"/>
        <w:rPr>
          <w:color w:val="auto"/>
          <w:sz w:val="23"/>
          <w:szCs w:val="23"/>
        </w:rPr>
      </w:pPr>
      <w:r>
        <w:rPr>
          <w:color w:val="auto"/>
          <w:sz w:val="23"/>
          <w:szCs w:val="23"/>
        </w:rPr>
        <w:t>Au plus tard le 31 juillet 2025, le ministre chargé des sports arrête la liste des équipements sportifs ou parties d’équipements sportifs visés au 12° de l’article 14-3 de l'arrêté du 4 mai 2017 relatif à la mise sur le marché et à l'utilisation des produits phytopharmaceutiques et de leurs adjuvants visés à l'article L. 253-1 du code rural et de la pêche maritime, pour lesquels il n’existe pas de solutions techniques alternatives suffisantes,</w:t>
      </w:r>
      <w:r w:rsidR="00D06578">
        <w:rPr>
          <w:color w:val="auto"/>
          <w:sz w:val="23"/>
          <w:szCs w:val="23"/>
        </w:rPr>
        <w:t xml:space="preserve"> </w:t>
      </w:r>
      <w:r>
        <w:rPr>
          <w:color w:val="auto"/>
          <w:sz w:val="23"/>
          <w:szCs w:val="23"/>
        </w:rPr>
        <w:t>permettant d’obtenir la qualité requise dans le cadre de compétitions officielles.</w:t>
      </w:r>
    </w:p>
    <w:p w14:paraId="58C5257C" w14:textId="4D2B12EB" w:rsidR="00636D9C" w:rsidRDefault="00636D9C" w:rsidP="0078204F">
      <w:pPr>
        <w:pStyle w:val="Default"/>
        <w:jc w:val="both"/>
        <w:rPr>
          <w:color w:val="auto"/>
          <w:sz w:val="23"/>
          <w:szCs w:val="23"/>
        </w:rPr>
      </w:pPr>
    </w:p>
    <w:p w14:paraId="08819824" w14:textId="77777777" w:rsidR="00ED180C" w:rsidRDefault="00ED180C" w:rsidP="00636D9C">
      <w:pPr>
        <w:pStyle w:val="Default"/>
        <w:rPr>
          <w:color w:val="auto"/>
          <w:sz w:val="23"/>
          <w:szCs w:val="23"/>
        </w:rPr>
      </w:pPr>
    </w:p>
    <w:p w14:paraId="766695D7" w14:textId="3498A6F1" w:rsidR="00636D9C" w:rsidRDefault="00636D9C" w:rsidP="00ED180C">
      <w:pPr>
        <w:pStyle w:val="Default"/>
        <w:ind w:left="2832" w:firstLine="708"/>
        <w:rPr>
          <w:b/>
          <w:bCs/>
          <w:color w:val="auto"/>
          <w:sz w:val="23"/>
          <w:szCs w:val="23"/>
        </w:rPr>
      </w:pPr>
      <w:r>
        <w:rPr>
          <w:b/>
          <w:bCs/>
          <w:color w:val="auto"/>
          <w:sz w:val="23"/>
          <w:szCs w:val="23"/>
        </w:rPr>
        <w:t xml:space="preserve">Article 4 </w:t>
      </w:r>
    </w:p>
    <w:p w14:paraId="5F493D98" w14:textId="77777777" w:rsidR="0078204F" w:rsidRDefault="0078204F" w:rsidP="00ED180C">
      <w:pPr>
        <w:pStyle w:val="Default"/>
        <w:ind w:left="2832" w:firstLine="708"/>
        <w:rPr>
          <w:color w:val="auto"/>
          <w:sz w:val="23"/>
          <w:szCs w:val="23"/>
        </w:rPr>
      </w:pPr>
    </w:p>
    <w:p w14:paraId="588F49DF" w14:textId="1E3BF578" w:rsidR="00636D9C" w:rsidRDefault="00636D9C" w:rsidP="0078204F">
      <w:pPr>
        <w:pStyle w:val="Default"/>
        <w:jc w:val="both"/>
        <w:rPr>
          <w:color w:val="auto"/>
          <w:sz w:val="23"/>
          <w:szCs w:val="23"/>
        </w:rPr>
      </w:pPr>
      <w:r>
        <w:rPr>
          <w:color w:val="auto"/>
          <w:sz w:val="23"/>
          <w:szCs w:val="23"/>
        </w:rPr>
        <w:t xml:space="preserve">Un comité de suivi, composé a minima des représentants des fédérations sportives concernées et des collectivités territoriales, se réunit au moins une fois par an en présence de tiers qualifiés identifiés conjointement par les ministères chargés de l’environnement et des sports, afin de suivre l’application du présent arrêté, l’atteinte des objectifs des contrats d’engagement et de produire un rapport d’évaluation. </w:t>
      </w:r>
    </w:p>
    <w:p w14:paraId="7D44B3E3" w14:textId="6EB65D97" w:rsidR="00636D9C" w:rsidRDefault="00636D9C" w:rsidP="0078204F">
      <w:pPr>
        <w:pStyle w:val="Default"/>
        <w:jc w:val="both"/>
        <w:rPr>
          <w:color w:val="auto"/>
          <w:sz w:val="23"/>
          <w:szCs w:val="23"/>
        </w:rPr>
      </w:pPr>
    </w:p>
    <w:p w14:paraId="653152C1" w14:textId="77777777" w:rsidR="00ED180C" w:rsidRDefault="00ED180C" w:rsidP="00636D9C">
      <w:pPr>
        <w:pStyle w:val="Default"/>
        <w:rPr>
          <w:color w:val="auto"/>
          <w:sz w:val="23"/>
          <w:szCs w:val="23"/>
        </w:rPr>
      </w:pPr>
    </w:p>
    <w:p w14:paraId="0C11D817" w14:textId="17CCEC74" w:rsidR="00636D9C" w:rsidRDefault="00636D9C" w:rsidP="00ED180C">
      <w:pPr>
        <w:pStyle w:val="Default"/>
        <w:ind w:left="2832" w:firstLine="708"/>
        <w:rPr>
          <w:b/>
          <w:bCs/>
          <w:color w:val="auto"/>
          <w:sz w:val="23"/>
          <w:szCs w:val="23"/>
        </w:rPr>
      </w:pPr>
      <w:r>
        <w:rPr>
          <w:b/>
          <w:bCs/>
          <w:color w:val="auto"/>
          <w:sz w:val="23"/>
          <w:szCs w:val="23"/>
        </w:rPr>
        <w:t xml:space="preserve">Article 5 </w:t>
      </w:r>
    </w:p>
    <w:p w14:paraId="2B97D7C3" w14:textId="77777777" w:rsidR="0078204F" w:rsidRDefault="0078204F" w:rsidP="00ED180C">
      <w:pPr>
        <w:pStyle w:val="Default"/>
        <w:ind w:left="2832" w:firstLine="708"/>
        <w:rPr>
          <w:color w:val="auto"/>
          <w:sz w:val="23"/>
          <w:szCs w:val="23"/>
        </w:rPr>
      </w:pPr>
    </w:p>
    <w:p w14:paraId="239BA94C" w14:textId="4FB60D9D" w:rsidR="00636D9C" w:rsidRDefault="00636D9C" w:rsidP="00636D9C">
      <w:pPr>
        <w:pStyle w:val="Default"/>
        <w:rPr>
          <w:color w:val="auto"/>
          <w:sz w:val="23"/>
          <w:szCs w:val="23"/>
        </w:rPr>
      </w:pPr>
      <w:r>
        <w:rPr>
          <w:color w:val="auto"/>
          <w:sz w:val="23"/>
          <w:szCs w:val="23"/>
        </w:rPr>
        <w:t xml:space="preserve">Les ministres chargés de l’environnement et des sports révisent au besoin la liste des usages des produits phytopharmaceutiques prévue à l’article 1 du même arrêté, afin de tenir compte de l’évolution des solutions techniques alternatives à ces usages, permettant d’obtenir la qualité requise dans le cadre de compétitions officielles. </w:t>
      </w:r>
    </w:p>
    <w:p w14:paraId="16352D82" w14:textId="30409B58" w:rsidR="00636D9C" w:rsidRDefault="00636D9C" w:rsidP="00636D9C">
      <w:pPr>
        <w:pStyle w:val="Default"/>
        <w:rPr>
          <w:color w:val="auto"/>
          <w:sz w:val="23"/>
          <w:szCs w:val="23"/>
        </w:rPr>
      </w:pPr>
    </w:p>
    <w:p w14:paraId="399441A8" w14:textId="77777777" w:rsidR="00ED180C" w:rsidRDefault="00ED180C" w:rsidP="00636D9C">
      <w:pPr>
        <w:pStyle w:val="Default"/>
        <w:rPr>
          <w:color w:val="auto"/>
          <w:sz w:val="23"/>
          <w:szCs w:val="23"/>
        </w:rPr>
      </w:pPr>
    </w:p>
    <w:p w14:paraId="25BA9244" w14:textId="7B3D2176" w:rsidR="00636D9C" w:rsidRDefault="00636D9C" w:rsidP="00ED180C">
      <w:pPr>
        <w:pStyle w:val="Default"/>
        <w:ind w:left="2832" w:firstLine="708"/>
        <w:rPr>
          <w:b/>
          <w:bCs/>
          <w:color w:val="auto"/>
          <w:sz w:val="23"/>
          <w:szCs w:val="23"/>
        </w:rPr>
      </w:pPr>
      <w:r>
        <w:rPr>
          <w:b/>
          <w:bCs/>
          <w:color w:val="auto"/>
          <w:sz w:val="23"/>
          <w:szCs w:val="23"/>
        </w:rPr>
        <w:t xml:space="preserve">Article 6 </w:t>
      </w:r>
    </w:p>
    <w:p w14:paraId="7339B2F6" w14:textId="77777777" w:rsidR="0078204F" w:rsidRDefault="0078204F" w:rsidP="00ED180C">
      <w:pPr>
        <w:pStyle w:val="Default"/>
        <w:ind w:left="2832" w:firstLine="708"/>
        <w:rPr>
          <w:color w:val="auto"/>
          <w:sz w:val="23"/>
          <w:szCs w:val="23"/>
        </w:rPr>
      </w:pPr>
    </w:p>
    <w:p w14:paraId="7A6DE2F0" w14:textId="77777777" w:rsidR="00636D9C" w:rsidRDefault="00636D9C" w:rsidP="0078204F">
      <w:pPr>
        <w:pStyle w:val="Default"/>
        <w:jc w:val="both"/>
        <w:rPr>
          <w:color w:val="auto"/>
          <w:sz w:val="23"/>
          <w:szCs w:val="23"/>
        </w:rPr>
      </w:pPr>
      <w:r>
        <w:rPr>
          <w:color w:val="auto"/>
          <w:sz w:val="23"/>
          <w:szCs w:val="23"/>
        </w:rPr>
        <w:t>Le présent arrêté entre en vigueur le 1</w:t>
      </w:r>
      <w:r>
        <w:rPr>
          <w:color w:val="auto"/>
          <w:sz w:val="16"/>
          <w:szCs w:val="16"/>
        </w:rPr>
        <w:t xml:space="preserve">er </w:t>
      </w:r>
      <w:r>
        <w:rPr>
          <w:color w:val="auto"/>
          <w:sz w:val="23"/>
          <w:szCs w:val="23"/>
        </w:rPr>
        <w:t>janvier 2025 et pour une durée de 18 mois. Cette durée peut être prorogée si, à l’expiration de ce délai, des solutions techniques alternatives aux produits phytopharmaceutiques mentionnés à l’article 1</w:t>
      </w:r>
      <w:r w:rsidRPr="0078204F">
        <w:rPr>
          <w:color w:val="auto"/>
          <w:sz w:val="22"/>
          <w:szCs w:val="22"/>
          <w:vertAlign w:val="superscript"/>
        </w:rPr>
        <w:t>er</w:t>
      </w:r>
      <w:r>
        <w:rPr>
          <w:color w:val="auto"/>
          <w:sz w:val="23"/>
          <w:szCs w:val="23"/>
        </w:rPr>
        <w:t xml:space="preserve">, permettant d’obtenir la qualité requise dans le cadre de compétitions officielles, ne sont pas identifiées. </w:t>
      </w:r>
    </w:p>
    <w:p w14:paraId="1F98D087" w14:textId="07A796D6" w:rsidR="00636D9C" w:rsidRDefault="00636D9C" w:rsidP="0078204F">
      <w:pPr>
        <w:pStyle w:val="Default"/>
        <w:jc w:val="both"/>
        <w:rPr>
          <w:color w:val="auto"/>
          <w:sz w:val="23"/>
          <w:szCs w:val="23"/>
        </w:rPr>
      </w:pPr>
    </w:p>
    <w:p w14:paraId="43524A30" w14:textId="77777777" w:rsidR="00ED180C" w:rsidRDefault="00ED180C" w:rsidP="00636D9C">
      <w:pPr>
        <w:pStyle w:val="Default"/>
        <w:rPr>
          <w:color w:val="auto"/>
          <w:sz w:val="23"/>
          <w:szCs w:val="23"/>
        </w:rPr>
      </w:pPr>
    </w:p>
    <w:p w14:paraId="6221940C" w14:textId="07937464" w:rsidR="00636D9C" w:rsidRDefault="00636D9C" w:rsidP="0078204F">
      <w:pPr>
        <w:pStyle w:val="Default"/>
        <w:keepNext/>
        <w:ind w:left="2832" w:firstLine="708"/>
        <w:rPr>
          <w:b/>
          <w:bCs/>
          <w:color w:val="auto"/>
          <w:sz w:val="23"/>
          <w:szCs w:val="23"/>
        </w:rPr>
      </w:pPr>
      <w:r>
        <w:rPr>
          <w:b/>
          <w:bCs/>
          <w:color w:val="auto"/>
          <w:sz w:val="23"/>
          <w:szCs w:val="23"/>
        </w:rPr>
        <w:lastRenderedPageBreak/>
        <w:t xml:space="preserve">Article 7 </w:t>
      </w:r>
    </w:p>
    <w:p w14:paraId="3EE4DEE5" w14:textId="77777777" w:rsidR="0078204F" w:rsidRDefault="0078204F" w:rsidP="0078204F">
      <w:pPr>
        <w:pStyle w:val="Default"/>
        <w:keepNext/>
        <w:ind w:left="2832" w:firstLine="708"/>
        <w:rPr>
          <w:color w:val="auto"/>
          <w:sz w:val="23"/>
          <w:szCs w:val="23"/>
        </w:rPr>
      </w:pPr>
    </w:p>
    <w:p w14:paraId="1F9C92D6" w14:textId="630B95DD" w:rsidR="007B5C48" w:rsidRDefault="00636D9C" w:rsidP="0078204F">
      <w:pPr>
        <w:pStyle w:val="SNSignature"/>
        <w:keepNext/>
        <w:ind w:firstLine="0"/>
        <w:jc w:val="both"/>
        <w:rPr>
          <w:sz w:val="23"/>
          <w:szCs w:val="23"/>
        </w:rPr>
      </w:pPr>
      <w:r>
        <w:rPr>
          <w:sz w:val="23"/>
          <w:szCs w:val="23"/>
        </w:rPr>
        <w:t>La directrice de l’eau et de la biodiversité et la directrice des sports sont chargées, chacune en ce qui la concerne, de l'exécution du présent arrêté, qui sera publié au Journal officiel de la République française.</w:t>
      </w:r>
    </w:p>
    <w:p w14:paraId="4E812244" w14:textId="4B0C6285" w:rsidR="00636D9C" w:rsidRDefault="00636D9C" w:rsidP="00636D9C">
      <w:pPr>
        <w:pStyle w:val="SNSignature"/>
        <w:ind w:firstLine="0"/>
        <w:rPr>
          <w:sz w:val="23"/>
          <w:szCs w:val="23"/>
        </w:rPr>
      </w:pPr>
    </w:p>
    <w:p w14:paraId="352C5DA9" w14:textId="0211F1F7" w:rsidR="00636D9C" w:rsidRDefault="00636D9C" w:rsidP="00636D9C">
      <w:pPr>
        <w:pStyle w:val="SNSignature"/>
        <w:ind w:firstLine="0"/>
        <w:rPr>
          <w:sz w:val="23"/>
          <w:szCs w:val="23"/>
        </w:rPr>
      </w:pPr>
    </w:p>
    <w:p w14:paraId="057C54D8" w14:textId="705C2635" w:rsidR="00636D9C" w:rsidRPr="00B255A9" w:rsidRDefault="00636D9C" w:rsidP="00636D9C">
      <w:pPr>
        <w:pStyle w:val="SNSignature"/>
        <w:ind w:firstLine="0"/>
      </w:pPr>
      <w:r>
        <w:rPr>
          <w:sz w:val="23"/>
          <w:szCs w:val="23"/>
        </w:rPr>
        <w:t>Fait le […]</w:t>
      </w:r>
    </w:p>
    <w:p w14:paraId="54B9D908" w14:textId="77777777" w:rsidR="007B5C48" w:rsidRPr="00B255A9" w:rsidRDefault="007B5C48" w:rsidP="007B5C48">
      <w:pPr>
        <w:pStyle w:val="SNSignature"/>
        <w:ind w:firstLine="0"/>
      </w:pPr>
    </w:p>
    <w:p w14:paraId="78C7F812" w14:textId="77777777" w:rsidR="007B5C48" w:rsidRPr="00B255A9" w:rsidRDefault="007B5C48" w:rsidP="007B5C48">
      <w:pPr>
        <w:pStyle w:val="SNSignature"/>
        <w:ind w:firstLine="0"/>
      </w:pPr>
    </w:p>
    <w:p w14:paraId="2A84C785" w14:textId="4F638E20" w:rsidR="007B5C48" w:rsidRPr="00B255A9" w:rsidRDefault="007B5C48" w:rsidP="007B5C48">
      <w:pPr>
        <w:pStyle w:val="SNSignature"/>
        <w:ind w:firstLine="0"/>
      </w:pPr>
      <w:r w:rsidRPr="00B255A9">
        <w:t>La mini</w:t>
      </w:r>
      <w:r w:rsidR="002C3120" w:rsidRPr="00B255A9">
        <w:t>stre de la transition écologique, de l’énergie</w:t>
      </w:r>
      <w:r w:rsidRPr="00B255A9">
        <w:t>,</w:t>
      </w:r>
    </w:p>
    <w:p w14:paraId="395044D5" w14:textId="48F4C204" w:rsidR="002C3120" w:rsidRPr="00B255A9" w:rsidRDefault="002C3120" w:rsidP="007B5C48">
      <w:pPr>
        <w:pStyle w:val="SNSignature"/>
        <w:ind w:firstLine="0"/>
      </w:pPr>
      <w:proofErr w:type="gramStart"/>
      <w:r w:rsidRPr="00B255A9">
        <w:t>du</w:t>
      </w:r>
      <w:proofErr w:type="gramEnd"/>
      <w:r w:rsidRPr="00B255A9">
        <w:t xml:space="preserve"> climat et de la prévention des risques,</w:t>
      </w:r>
    </w:p>
    <w:p w14:paraId="42E71242" w14:textId="191B5767" w:rsidR="007B5C48" w:rsidRPr="00B255A9" w:rsidRDefault="002C3120" w:rsidP="007B5C48">
      <w:pPr>
        <w:pStyle w:val="SNSignature"/>
        <w:ind w:firstLine="0"/>
      </w:pPr>
      <w:r w:rsidRPr="00B255A9">
        <w:t>Pour la</w:t>
      </w:r>
      <w:r w:rsidR="007B5C48" w:rsidRPr="00B255A9">
        <w:t xml:space="preserve"> ministre et par délégation,</w:t>
      </w:r>
    </w:p>
    <w:p w14:paraId="35B438C2" w14:textId="77777777" w:rsidR="007B5C48" w:rsidRPr="00B255A9" w:rsidRDefault="007B5C48" w:rsidP="007B5C48">
      <w:pPr>
        <w:pStyle w:val="SNSignature"/>
        <w:ind w:firstLine="0"/>
      </w:pPr>
      <w:r w:rsidRPr="00B255A9">
        <w:t>La directrice de l’eau et de la biodiversité,</w:t>
      </w:r>
    </w:p>
    <w:p w14:paraId="5DF22897" w14:textId="77777777" w:rsidR="007B5C48" w:rsidRPr="00B255A9" w:rsidRDefault="007B5C48" w:rsidP="007B5C48">
      <w:pPr>
        <w:pStyle w:val="SNSignature"/>
        <w:ind w:firstLine="0"/>
      </w:pPr>
      <w:r w:rsidRPr="00B255A9">
        <w:t>C. DE LAVERGNE</w:t>
      </w:r>
    </w:p>
    <w:p w14:paraId="2E0C18F3" w14:textId="77777777" w:rsidR="007B5C48" w:rsidRPr="00B255A9" w:rsidRDefault="007B5C48" w:rsidP="00F76369">
      <w:pPr>
        <w:pStyle w:val="SNSignature"/>
      </w:pPr>
    </w:p>
    <w:p w14:paraId="2125F1EE" w14:textId="07DDC831" w:rsidR="007B5C48" w:rsidRDefault="007B5C48" w:rsidP="00F76369">
      <w:pPr>
        <w:pStyle w:val="SNSignature"/>
      </w:pPr>
    </w:p>
    <w:p w14:paraId="6255A962" w14:textId="77777777" w:rsidR="0078204F" w:rsidRPr="00B255A9" w:rsidRDefault="0078204F" w:rsidP="00F76369">
      <w:pPr>
        <w:pStyle w:val="SNSignature"/>
      </w:pPr>
    </w:p>
    <w:p w14:paraId="47BEEE29" w14:textId="77777777" w:rsidR="007B5C48" w:rsidRPr="00B255A9" w:rsidRDefault="007B5C48" w:rsidP="00F76369">
      <w:pPr>
        <w:pStyle w:val="SNSignature"/>
      </w:pPr>
    </w:p>
    <w:p w14:paraId="02C3654D" w14:textId="77777777" w:rsidR="007B5C48" w:rsidRPr="00B255A9" w:rsidRDefault="007B5C48" w:rsidP="00F76369">
      <w:pPr>
        <w:pStyle w:val="SNSignature"/>
      </w:pPr>
    </w:p>
    <w:p w14:paraId="1D11FC9D" w14:textId="77777777" w:rsidR="00F76369" w:rsidRPr="00B255A9" w:rsidRDefault="00F76369" w:rsidP="00F76369">
      <w:pPr>
        <w:pStyle w:val="SNSignature"/>
      </w:pPr>
    </w:p>
    <w:p w14:paraId="5614CB02" w14:textId="77777777" w:rsidR="00F76369" w:rsidRPr="00B255A9" w:rsidRDefault="007B5C48" w:rsidP="007B5C48">
      <w:pPr>
        <w:pStyle w:val="SNSignature"/>
        <w:jc w:val="right"/>
      </w:pPr>
      <w:r w:rsidRPr="00B255A9">
        <w:t>Le</w:t>
      </w:r>
      <w:r w:rsidR="00F76369" w:rsidRPr="00B255A9">
        <w:t xml:space="preserve"> ministre des sports, de la jeunesse et de la vie associative,</w:t>
      </w:r>
    </w:p>
    <w:p w14:paraId="76BCF081" w14:textId="4DC9A943" w:rsidR="00F76369" w:rsidRPr="00B255A9" w:rsidRDefault="00F76369" w:rsidP="007B5C48">
      <w:pPr>
        <w:pStyle w:val="SNSignature"/>
        <w:jc w:val="right"/>
      </w:pPr>
      <w:r w:rsidRPr="00B255A9">
        <w:t>Pour</w:t>
      </w:r>
      <w:r w:rsidR="007B5C48" w:rsidRPr="00B255A9">
        <w:t xml:space="preserve"> l</w:t>
      </w:r>
      <w:r w:rsidR="002C3120" w:rsidRPr="00B255A9">
        <w:t>e</w:t>
      </w:r>
      <w:r w:rsidR="007B5C48" w:rsidRPr="00B255A9">
        <w:t xml:space="preserve"> ministre et par délégation,</w:t>
      </w:r>
    </w:p>
    <w:p w14:paraId="49636A77" w14:textId="77777777" w:rsidR="00F76369" w:rsidRPr="00B255A9" w:rsidRDefault="00F76369" w:rsidP="007B5C48">
      <w:pPr>
        <w:pStyle w:val="SNSignature"/>
        <w:jc w:val="right"/>
      </w:pPr>
      <w:r w:rsidRPr="00B255A9">
        <w:t>La Directrice des sports</w:t>
      </w:r>
    </w:p>
    <w:p w14:paraId="05F83CC3" w14:textId="77777777" w:rsidR="00F76369" w:rsidRPr="007B5C48" w:rsidRDefault="00F76369" w:rsidP="007B5C48">
      <w:pPr>
        <w:pStyle w:val="SNSignature"/>
        <w:jc w:val="right"/>
      </w:pPr>
      <w:r w:rsidRPr="00B255A9">
        <w:t>F. BOURDAIS</w:t>
      </w:r>
    </w:p>
    <w:p w14:paraId="1F3FBD0A" w14:textId="77777777" w:rsidR="00F76369" w:rsidRPr="007B5C48" w:rsidRDefault="00F76369" w:rsidP="00F76369">
      <w:pPr>
        <w:pStyle w:val="SNSignature"/>
      </w:pPr>
    </w:p>
    <w:p w14:paraId="6B43E4F3" w14:textId="77777777" w:rsidR="00F76369" w:rsidRPr="007B5C48" w:rsidRDefault="00F76369" w:rsidP="00F76369">
      <w:pPr>
        <w:pStyle w:val="SNSignature"/>
        <w:ind w:firstLine="0"/>
      </w:pPr>
    </w:p>
    <w:p w14:paraId="26B32096" w14:textId="77777777" w:rsidR="00F76369" w:rsidRPr="007B5C48" w:rsidRDefault="00F76369" w:rsidP="00F76369">
      <w:pPr>
        <w:rPr>
          <w:rFonts w:ascii="Times New Roman" w:hAnsi="Times New Roman" w:cs="Times New Roman"/>
          <w:b/>
          <w:sz w:val="24"/>
          <w:szCs w:val="24"/>
        </w:rPr>
      </w:pPr>
    </w:p>
    <w:p w14:paraId="40F5D9F5" w14:textId="77777777" w:rsidR="00F76369" w:rsidRPr="007B5C48" w:rsidRDefault="00F76369">
      <w:pPr>
        <w:rPr>
          <w:rFonts w:ascii="Times New Roman" w:hAnsi="Times New Roman" w:cs="Times New Roman"/>
          <w:b/>
          <w:sz w:val="24"/>
          <w:szCs w:val="24"/>
        </w:rPr>
      </w:pPr>
    </w:p>
    <w:sectPr w:rsidR="00F76369" w:rsidRPr="007B5C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BDB94" w14:textId="77777777" w:rsidR="00E703FD" w:rsidRDefault="00E703FD" w:rsidP="007B5C48">
      <w:pPr>
        <w:spacing w:after="0" w:line="240" w:lineRule="auto"/>
      </w:pPr>
      <w:r>
        <w:separator/>
      </w:r>
    </w:p>
  </w:endnote>
  <w:endnote w:type="continuationSeparator" w:id="0">
    <w:p w14:paraId="2CF53F44" w14:textId="77777777" w:rsidR="00E703FD" w:rsidRDefault="00E703FD" w:rsidP="007B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5C73" w14:textId="77777777" w:rsidR="007B5C48" w:rsidRDefault="007B5C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4A7B" w14:textId="77777777" w:rsidR="007B5C48" w:rsidRDefault="007B5C4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878D" w14:textId="77777777" w:rsidR="007B5C48" w:rsidRDefault="007B5C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09ECA" w14:textId="77777777" w:rsidR="00E703FD" w:rsidRDefault="00E703FD" w:rsidP="007B5C48">
      <w:pPr>
        <w:spacing w:after="0" w:line="240" w:lineRule="auto"/>
      </w:pPr>
      <w:r>
        <w:separator/>
      </w:r>
    </w:p>
  </w:footnote>
  <w:footnote w:type="continuationSeparator" w:id="0">
    <w:p w14:paraId="57F20474" w14:textId="77777777" w:rsidR="00E703FD" w:rsidRDefault="00E703FD" w:rsidP="007B5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6F2D6" w14:textId="6C555E48" w:rsidR="007B5C48" w:rsidRDefault="007B5C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52F5" w14:textId="220ED29D" w:rsidR="007B5C48" w:rsidRDefault="007B5C4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CF43" w14:textId="33C01E40" w:rsidR="007B5C48" w:rsidRDefault="007B5C4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9"/>
    <w:rsid w:val="000102C1"/>
    <w:rsid w:val="000426A2"/>
    <w:rsid w:val="0004287B"/>
    <w:rsid w:val="00082933"/>
    <w:rsid w:val="00124536"/>
    <w:rsid w:val="0016073B"/>
    <w:rsid w:val="00181E27"/>
    <w:rsid w:val="00280A49"/>
    <w:rsid w:val="002A4DA7"/>
    <w:rsid w:val="002C3120"/>
    <w:rsid w:val="002F4A8F"/>
    <w:rsid w:val="004B7AB8"/>
    <w:rsid w:val="00586C81"/>
    <w:rsid w:val="005A6BF6"/>
    <w:rsid w:val="0061588E"/>
    <w:rsid w:val="006260A8"/>
    <w:rsid w:val="00636D9C"/>
    <w:rsid w:val="006446D0"/>
    <w:rsid w:val="00654583"/>
    <w:rsid w:val="0078204F"/>
    <w:rsid w:val="007B5C48"/>
    <w:rsid w:val="00914D8A"/>
    <w:rsid w:val="00A159F5"/>
    <w:rsid w:val="00A35AA6"/>
    <w:rsid w:val="00B255A9"/>
    <w:rsid w:val="00C44495"/>
    <w:rsid w:val="00C5616E"/>
    <w:rsid w:val="00CB0001"/>
    <w:rsid w:val="00D06578"/>
    <w:rsid w:val="00D210A1"/>
    <w:rsid w:val="00D24F0C"/>
    <w:rsid w:val="00D6285D"/>
    <w:rsid w:val="00DF480E"/>
    <w:rsid w:val="00E703FD"/>
    <w:rsid w:val="00ED180C"/>
    <w:rsid w:val="00EE0AE0"/>
    <w:rsid w:val="00EE4E3C"/>
    <w:rsid w:val="00F279B1"/>
    <w:rsid w:val="00F31090"/>
    <w:rsid w:val="00F76369"/>
    <w:rsid w:val="00FF15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160FD"/>
  <w15:chartTrackingRefBased/>
  <w15:docId w15:val="{A305D389-27F1-44D1-B997-27C59538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369"/>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Direction"/>
    <w:basedOn w:val="Normal"/>
    <w:next w:val="Normal"/>
    <w:link w:val="TitreCar"/>
    <w:qFormat/>
    <w:rsid w:val="00F76369"/>
    <w:pPr>
      <w:widowControl w:val="0"/>
      <w:tabs>
        <w:tab w:val="left" w:pos="5387"/>
      </w:tabs>
      <w:autoSpaceDE w:val="0"/>
      <w:autoSpaceDN w:val="0"/>
      <w:spacing w:after="0" w:line="240" w:lineRule="auto"/>
    </w:pPr>
    <w:rPr>
      <w:rFonts w:eastAsia="Arial"/>
      <w:b/>
      <w:bCs/>
      <w:noProof/>
      <w:lang w:eastAsia="fr-FR"/>
    </w:rPr>
  </w:style>
  <w:style w:type="character" w:customStyle="1" w:styleId="TitreCar">
    <w:name w:val="Titre Car"/>
    <w:aliases w:val="Direction Car"/>
    <w:basedOn w:val="Policepardfaut"/>
    <w:link w:val="Titre"/>
    <w:rsid w:val="00F76369"/>
    <w:rPr>
      <w:rFonts w:ascii="Arial" w:eastAsia="Arial" w:hAnsi="Arial" w:cs="Arial"/>
      <w:b/>
      <w:bCs/>
      <w:noProof/>
      <w:sz w:val="20"/>
      <w:szCs w:val="20"/>
      <w:lang w:eastAsia="fr-FR"/>
    </w:rPr>
  </w:style>
  <w:style w:type="paragraph" w:customStyle="1" w:styleId="Textejustifi">
    <w:name w:val="Texte justifié"/>
    <w:unhideWhenUsed/>
    <w:qFormat/>
    <w:rsid w:val="00F76369"/>
    <w:pPr>
      <w:jc w:val="both"/>
    </w:pPr>
    <w:rPr>
      <w:rFonts w:ascii="Calibri" w:eastAsiaTheme="minorEastAsia" w:hAnsi="Calibri"/>
      <w:kern w:val="2"/>
      <w:lang w:eastAsia="fr-FR"/>
      <w14:ligatures w14:val="standardContextual"/>
    </w:rPr>
  </w:style>
  <w:style w:type="paragraph" w:customStyle="1" w:styleId="Textecentr">
    <w:name w:val="Texte centré"/>
    <w:unhideWhenUsed/>
    <w:qFormat/>
    <w:rsid w:val="00F76369"/>
    <w:pPr>
      <w:jc w:val="center"/>
    </w:pPr>
    <w:rPr>
      <w:rFonts w:ascii="Calibri" w:eastAsiaTheme="minorEastAsia" w:hAnsi="Calibri"/>
      <w:kern w:val="2"/>
      <w:lang w:eastAsia="fr-FR"/>
      <w14:ligatures w14:val="standardContextual"/>
    </w:rPr>
  </w:style>
  <w:style w:type="paragraph" w:customStyle="1" w:styleId="SNSignature">
    <w:name w:val="SNSignature"/>
    <w:basedOn w:val="Normal"/>
    <w:rsid w:val="00F76369"/>
    <w:pPr>
      <w:suppressAutoHyphens/>
      <w:spacing w:after="0" w:line="240" w:lineRule="auto"/>
      <w:ind w:firstLine="720"/>
    </w:pPr>
    <w:rPr>
      <w:rFonts w:ascii="Times New Roman" w:eastAsia="Times New Roman" w:hAnsi="Times New Roman" w:cs="Times New Roman"/>
      <w:sz w:val="24"/>
      <w:szCs w:val="24"/>
      <w:lang w:eastAsia="zh-CN"/>
      <w14:ligatures w14:val="standardContextual"/>
    </w:rPr>
  </w:style>
  <w:style w:type="paragraph" w:customStyle="1" w:styleId="SNDatearrt">
    <w:name w:val="SNDate arrêté"/>
    <w:basedOn w:val="Normal"/>
    <w:next w:val="Normal"/>
    <w:rsid w:val="00F76369"/>
    <w:pPr>
      <w:suppressAutoHyphens/>
      <w:spacing w:before="480" w:after="1680" w:line="240" w:lineRule="auto"/>
      <w:ind w:firstLine="720"/>
    </w:pPr>
    <w:rPr>
      <w:rFonts w:ascii="Times New Roman" w:eastAsia="Times New Roman" w:hAnsi="Times New Roman" w:cs="Times New Roman"/>
      <w:sz w:val="24"/>
      <w:szCs w:val="24"/>
      <w:lang w:eastAsia="zh-CN"/>
      <w14:ligatures w14:val="standardContextual"/>
    </w:rPr>
  </w:style>
  <w:style w:type="paragraph" w:customStyle="1" w:styleId="SNTimbre">
    <w:name w:val="SNTimbre"/>
    <w:basedOn w:val="Normal"/>
    <w:link w:val="SNTimbreCar"/>
    <w:autoRedefine/>
    <w:rsid w:val="00F76369"/>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fr-FR"/>
      <w14:ligatures w14:val="standardContextual"/>
    </w:rPr>
  </w:style>
  <w:style w:type="character" w:customStyle="1" w:styleId="SNTimbreCar">
    <w:name w:val="SNTimbre Car"/>
    <w:link w:val="SNTimbre"/>
    <w:rsid w:val="00F76369"/>
    <w:rPr>
      <w:rFonts w:ascii="Times New Roman" w:eastAsia="Lucida Sans Unicode" w:hAnsi="Times New Roman" w:cs="Times New Roman"/>
      <w:sz w:val="24"/>
      <w:szCs w:val="24"/>
      <w:lang w:eastAsia="fr-FR"/>
      <w14:ligatures w14:val="standardContextual"/>
    </w:rPr>
  </w:style>
  <w:style w:type="paragraph" w:customStyle="1" w:styleId="SNREPUBLIQUE">
    <w:name w:val="SNREPUBLIQUE"/>
    <w:basedOn w:val="Normal"/>
    <w:rsid w:val="007B5C48"/>
    <w:pPr>
      <w:suppressAutoHyphens/>
      <w:spacing w:after="0" w:line="240" w:lineRule="auto"/>
      <w:jc w:val="center"/>
    </w:pPr>
    <w:rPr>
      <w:rFonts w:ascii="Times New Roman" w:eastAsia="Times New Roman" w:hAnsi="Times New Roman" w:cs="Times New Roman"/>
      <w:b/>
      <w:bCs/>
      <w:sz w:val="24"/>
      <w:lang w:eastAsia="zh-CN"/>
      <w14:ligatures w14:val="standardContextual"/>
    </w:rPr>
  </w:style>
  <w:style w:type="paragraph" w:styleId="En-tte">
    <w:name w:val="header"/>
    <w:basedOn w:val="Normal"/>
    <w:link w:val="En-tteCar"/>
    <w:uiPriority w:val="99"/>
    <w:unhideWhenUsed/>
    <w:rsid w:val="007B5C48"/>
    <w:pPr>
      <w:tabs>
        <w:tab w:val="center" w:pos="4536"/>
        <w:tab w:val="right" w:pos="9072"/>
      </w:tabs>
      <w:spacing w:after="0" w:line="240" w:lineRule="auto"/>
    </w:pPr>
  </w:style>
  <w:style w:type="character" w:customStyle="1" w:styleId="En-tteCar">
    <w:name w:val="En-tête Car"/>
    <w:basedOn w:val="Policepardfaut"/>
    <w:link w:val="En-tte"/>
    <w:uiPriority w:val="99"/>
    <w:rsid w:val="007B5C48"/>
    <w:rPr>
      <w:rFonts w:ascii="Arial" w:hAnsi="Arial" w:cs="Arial"/>
      <w:sz w:val="20"/>
      <w:szCs w:val="20"/>
    </w:rPr>
  </w:style>
  <w:style w:type="paragraph" w:styleId="Pieddepage">
    <w:name w:val="footer"/>
    <w:basedOn w:val="Normal"/>
    <w:link w:val="PieddepageCar"/>
    <w:uiPriority w:val="99"/>
    <w:unhideWhenUsed/>
    <w:rsid w:val="007B5C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C48"/>
    <w:rPr>
      <w:rFonts w:ascii="Arial" w:hAnsi="Arial" w:cs="Arial"/>
      <w:sz w:val="20"/>
      <w:szCs w:val="20"/>
    </w:rPr>
  </w:style>
  <w:style w:type="paragraph" w:styleId="Textedebulles">
    <w:name w:val="Balloon Text"/>
    <w:basedOn w:val="Normal"/>
    <w:link w:val="TextedebullesCar"/>
    <w:uiPriority w:val="99"/>
    <w:semiHidden/>
    <w:unhideWhenUsed/>
    <w:rsid w:val="00F310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1090"/>
    <w:rPr>
      <w:rFonts w:ascii="Segoe UI" w:hAnsi="Segoe UI" w:cs="Segoe UI"/>
      <w:sz w:val="18"/>
      <w:szCs w:val="18"/>
    </w:rPr>
  </w:style>
  <w:style w:type="character" w:styleId="Lienhypertexte">
    <w:name w:val="Hyperlink"/>
    <w:basedOn w:val="Policepardfaut"/>
    <w:uiPriority w:val="99"/>
    <w:semiHidden/>
    <w:unhideWhenUsed/>
    <w:rsid w:val="006260A8"/>
    <w:rPr>
      <w:color w:val="0000FF"/>
      <w:u w:val="single"/>
    </w:rPr>
  </w:style>
  <w:style w:type="paragraph" w:customStyle="1" w:styleId="Default">
    <w:name w:val="Default"/>
    <w:rsid w:val="00636D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06BA2-87F6-42D8-AC69-5AD7AD98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4455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POUJEAUX Dominique</dc:creator>
  <cp:keywords/>
  <dc:description/>
  <cp:lastModifiedBy>DUPOUY Rémi</cp:lastModifiedBy>
  <cp:revision>2</cp:revision>
  <cp:lastPrinted>2024-12-03T15:08:00Z</cp:lastPrinted>
  <dcterms:created xsi:type="dcterms:W3CDTF">2024-12-06T09:12:00Z</dcterms:created>
  <dcterms:modified xsi:type="dcterms:W3CDTF">2024-12-06T09:12:00Z</dcterms:modified>
</cp:coreProperties>
</file>