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EE26" w14:textId="77777777" w:rsidR="0070054A" w:rsidRPr="00117B55" w:rsidRDefault="0070054A">
      <w:pPr>
        <w:rPr>
          <w:rFonts w:ascii="Marianne" w:hAnsi="Marianne"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796309" w:rsidRPr="00117B55" w14:paraId="78FC2957" w14:textId="77777777" w:rsidTr="00F7356C">
        <w:trPr>
          <w:cantSplit/>
        </w:trPr>
        <w:tc>
          <w:tcPr>
            <w:tcW w:w="3982" w:type="dxa"/>
            <w:gridSpan w:val="3"/>
          </w:tcPr>
          <w:p w14:paraId="6D6C90CE" w14:textId="77777777" w:rsidR="00796309" w:rsidRPr="00117B55" w:rsidRDefault="00796309" w:rsidP="00C65652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17B55">
              <w:rPr>
                <w:rFonts w:ascii="Marianne" w:hAnsi="Marianne"/>
                <w:b/>
                <w:bCs/>
                <w:sz w:val="20"/>
                <w:szCs w:val="20"/>
              </w:rPr>
              <w:t>RÉPUBLIQUE FRANÇAISE</w:t>
            </w:r>
          </w:p>
        </w:tc>
      </w:tr>
      <w:tr w:rsidR="00796309" w:rsidRPr="00117B55" w14:paraId="2D3965C9" w14:textId="77777777" w:rsidTr="00F7356C">
        <w:trPr>
          <w:cantSplit/>
          <w:trHeight w:hRule="exact" w:val="113"/>
        </w:trPr>
        <w:tc>
          <w:tcPr>
            <w:tcW w:w="1527" w:type="dxa"/>
          </w:tcPr>
          <w:p w14:paraId="7CCAEE34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10214DFC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6F3166D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8B97138" w14:textId="74C6BAA4" w:rsidR="00AC3294" w:rsidRPr="00117B55" w:rsidRDefault="00AC3294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796309" w:rsidRPr="00117B55" w14:paraId="3998A380" w14:textId="77777777" w:rsidTr="00F7356C">
        <w:trPr>
          <w:cantSplit/>
        </w:trPr>
        <w:tc>
          <w:tcPr>
            <w:tcW w:w="3982" w:type="dxa"/>
            <w:gridSpan w:val="3"/>
          </w:tcPr>
          <w:p w14:paraId="13081EF7" w14:textId="00FD64DF" w:rsidR="00796309" w:rsidRPr="00117B55" w:rsidRDefault="00AC3294" w:rsidP="00C65652">
            <w:pPr>
              <w:jc w:val="center"/>
              <w:rPr>
                <w:rFonts w:ascii="Marianne" w:eastAsia="Calibri" w:hAnsi="Marianne"/>
                <w:sz w:val="20"/>
                <w:szCs w:val="20"/>
                <w:lang w:eastAsia="en-US"/>
              </w:rPr>
            </w:pPr>
            <w:r w:rsidRPr="00117B55">
              <w:rPr>
                <w:rFonts w:ascii="Marianne" w:hAnsi="Marianne"/>
                <w:sz w:val="20"/>
                <w:szCs w:val="20"/>
              </w:rPr>
              <w:t xml:space="preserve">Ministère de la Transition écologique, de </w:t>
            </w:r>
            <w:r w:rsidR="009C5F65" w:rsidRPr="00117B55">
              <w:rPr>
                <w:rFonts w:ascii="Marianne" w:hAnsi="Marianne"/>
                <w:sz w:val="20"/>
                <w:szCs w:val="20"/>
              </w:rPr>
              <w:t>la biodiversité, de la forêt, de la mer et de la pêche</w:t>
            </w:r>
          </w:p>
        </w:tc>
      </w:tr>
      <w:tr w:rsidR="00796309" w:rsidRPr="00117B55" w14:paraId="7313A4F6" w14:textId="77777777" w:rsidTr="00F7356C">
        <w:trPr>
          <w:cantSplit/>
          <w:trHeight w:hRule="exact" w:val="227"/>
        </w:trPr>
        <w:tc>
          <w:tcPr>
            <w:tcW w:w="1527" w:type="dxa"/>
          </w:tcPr>
          <w:p w14:paraId="2FC54110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</w:tcPr>
          <w:p w14:paraId="3D5DDB4E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7" w:type="dxa"/>
          </w:tcPr>
          <w:p w14:paraId="54B306AB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796309" w:rsidRPr="00117B55" w14:paraId="591F958E" w14:textId="77777777" w:rsidTr="00F7356C">
        <w:trPr>
          <w:cantSplit/>
          <w:trHeight w:hRule="exact" w:val="227"/>
        </w:trPr>
        <w:tc>
          <w:tcPr>
            <w:tcW w:w="1527" w:type="dxa"/>
          </w:tcPr>
          <w:p w14:paraId="53AC5F36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8" w:type="dxa"/>
          </w:tcPr>
          <w:p w14:paraId="16CD7F8C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4A2EB09" w14:textId="77777777" w:rsidR="00796309" w:rsidRPr="00117B55" w:rsidRDefault="00796309" w:rsidP="00F7356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BB947E5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7E07F7D3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12BB5F7A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394A8EAE" w14:textId="77777777" w:rsidR="00796309" w:rsidRPr="00117B55" w:rsidRDefault="00796309" w:rsidP="00796309">
      <w:pPr>
        <w:jc w:val="center"/>
        <w:rPr>
          <w:rFonts w:ascii="Marianne" w:eastAsia="Calibri" w:hAnsi="Marianne"/>
          <w:b/>
          <w:sz w:val="20"/>
          <w:szCs w:val="20"/>
          <w:lang w:eastAsia="en-US"/>
        </w:rPr>
      </w:pPr>
      <w:r w:rsidRPr="00117B55">
        <w:rPr>
          <w:rFonts w:ascii="Marianne" w:eastAsia="Calibri" w:hAnsi="Marianne"/>
          <w:b/>
          <w:sz w:val="20"/>
          <w:szCs w:val="20"/>
          <w:lang w:eastAsia="en-US"/>
        </w:rPr>
        <w:t>Décret n°       du</w:t>
      </w:r>
    </w:p>
    <w:p w14:paraId="7C508E5C" w14:textId="727C3503" w:rsidR="00796309" w:rsidRPr="00117B55" w:rsidRDefault="00796309" w:rsidP="00796309">
      <w:pPr>
        <w:jc w:val="center"/>
        <w:rPr>
          <w:rFonts w:ascii="Marianne" w:hAnsi="Marianne"/>
          <w:b/>
          <w:sz w:val="20"/>
          <w:szCs w:val="20"/>
        </w:rPr>
      </w:pPr>
      <w:proofErr w:type="gramStart"/>
      <w:r w:rsidRPr="00117B55">
        <w:rPr>
          <w:rFonts w:ascii="Marianne" w:hAnsi="Marianne"/>
          <w:b/>
          <w:sz w:val="20"/>
          <w:szCs w:val="20"/>
        </w:rPr>
        <w:t>relatif</w:t>
      </w:r>
      <w:proofErr w:type="gramEnd"/>
      <w:r w:rsidRPr="00117B55">
        <w:rPr>
          <w:rFonts w:ascii="Marianne" w:hAnsi="Marianne"/>
          <w:b/>
          <w:sz w:val="20"/>
          <w:szCs w:val="20"/>
        </w:rPr>
        <w:t xml:space="preserve"> </w:t>
      </w:r>
      <w:r w:rsidR="009C5F65" w:rsidRPr="00117B55">
        <w:rPr>
          <w:rFonts w:ascii="Marianne" w:hAnsi="Marianne"/>
          <w:b/>
          <w:sz w:val="20"/>
          <w:szCs w:val="20"/>
        </w:rPr>
        <w:t xml:space="preserve">à la prévention des risques résultant de l’exposition aux substances </w:t>
      </w:r>
      <w:proofErr w:type="spellStart"/>
      <w:r w:rsidR="009C5F65" w:rsidRPr="00117B55">
        <w:rPr>
          <w:rFonts w:ascii="Marianne" w:hAnsi="Marianne"/>
          <w:b/>
          <w:sz w:val="20"/>
          <w:szCs w:val="20"/>
        </w:rPr>
        <w:t>perfluoroalkylées</w:t>
      </w:r>
      <w:proofErr w:type="spellEnd"/>
      <w:r w:rsidR="009C5F65" w:rsidRPr="00117B55">
        <w:rPr>
          <w:rFonts w:ascii="Marianne" w:hAnsi="Marianne"/>
          <w:b/>
          <w:sz w:val="20"/>
          <w:szCs w:val="20"/>
        </w:rPr>
        <w:t xml:space="preserve"> et </w:t>
      </w:r>
      <w:proofErr w:type="spellStart"/>
      <w:r w:rsidR="009C5F65" w:rsidRPr="00117B55">
        <w:rPr>
          <w:rFonts w:ascii="Marianne" w:hAnsi="Marianne"/>
          <w:b/>
          <w:sz w:val="20"/>
          <w:szCs w:val="20"/>
        </w:rPr>
        <w:t>polyfluoroalkylées</w:t>
      </w:r>
      <w:proofErr w:type="spellEnd"/>
      <w:r w:rsidR="009C5F65" w:rsidRPr="00117B55">
        <w:rPr>
          <w:rFonts w:ascii="Marianne" w:hAnsi="Marianne"/>
          <w:b/>
          <w:sz w:val="20"/>
          <w:szCs w:val="20"/>
        </w:rPr>
        <w:t xml:space="preserve"> </w:t>
      </w:r>
    </w:p>
    <w:p w14:paraId="397267DE" w14:textId="77777777" w:rsidR="00796309" w:rsidRPr="00117B55" w:rsidRDefault="00796309" w:rsidP="00796309">
      <w:pPr>
        <w:jc w:val="center"/>
        <w:rPr>
          <w:rFonts w:ascii="Marianne" w:hAnsi="Marianne"/>
          <w:sz w:val="20"/>
          <w:szCs w:val="20"/>
        </w:rPr>
      </w:pPr>
    </w:p>
    <w:p w14:paraId="12FC7E3B" w14:textId="76ACF8DC" w:rsidR="00112931" w:rsidRPr="00117B55" w:rsidRDefault="00796309" w:rsidP="00796309">
      <w:pPr>
        <w:jc w:val="center"/>
        <w:rPr>
          <w:rFonts w:ascii="Marianne" w:eastAsia="Lucida Sans Unicode" w:hAnsi="Marianne"/>
          <w:sz w:val="20"/>
          <w:szCs w:val="20"/>
        </w:rPr>
      </w:pPr>
      <w:r w:rsidRPr="00117B55">
        <w:rPr>
          <w:rFonts w:ascii="Marianne" w:eastAsia="Lucida Sans Unicode" w:hAnsi="Marianne"/>
          <w:sz w:val="20"/>
          <w:szCs w:val="20"/>
        </w:rPr>
        <w:t>NOR :</w:t>
      </w:r>
      <w:r w:rsidR="00554166" w:rsidRPr="00117B55">
        <w:rPr>
          <w:rFonts w:ascii="Marianne" w:eastAsia="Lucida Sans Unicode" w:hAnsi="Marianne"/>
          <w:sz w:val="20"/>
          <w:szCs w:val="20"/>
        </w:rPr>
        <w:t xml:space="preserve"> </w:t>
      </w:r>
      <w:r w:rsidR="00112931" w:rsidRPr="00112931">
        <w:rPr>
          <w:rFonts w:ascii="Marianne" w:eastAsia="Lucida Sans Unicode" w:hAnsi="Marianne"/>
          <w:sz w:val="20"/>
          <w:szCs w:val="20"/>
        </w:rPr>
        <w:t>TECP2516597D</w:t>
      </w:r>
    </w:p>
    <w:p w14:paraId="3BDF2158" w14:textId="77777777" w:rsidR="00796309" w:rsidRPr="00117B55" w:rsidRDefault="00796309" w:rsidP="00112931">
      <w:pPr>
        <w:jc w:val="center"/>
        <w:rPr>
          <w:rFonts w:ascii="Marianne" w:eastAsia="Lucida Sans Unicode" w:hAnsi="Marianne"/>
          <w:sz w:val="20"/>
          <w:szCs w:val="20"/>
        </w:rPr>
      </w:pPr>
    </w:p>
    <w:p w14:paraId="7A0EF9EB" w14:textId="43EBD673" w:rsidR="00796309" w:rsidRPr="00117B55" w:rsidRDefault="00796309" w:rsidP="00796309">
      <w:pPr>
        <w:jc w:val="both"/>
        <w:rPr>
          <w:rFonts w:ascii="Marianne" w:hAnsi="Marianne"/>
          <w:i/>
          <w:sz w:val="20"/>
          <w:szCs w:val="20"/>
        </w:rPr>
      </w:pPr>
      <w:r w:rsidRPr="00117B55">
        <w:rPr>
          <w:rFonts w:ascii="Marianne" w:hAnsi="Marianne"/>
          <w:b/>
          <w:bCs/>
          <w:i/>
          <w:iCs/>
          <w:sz w:val="20"/>
          <w:szCs w:val="20"/>
        </w:rPr>
        <w:t>Publics concernés :</w:t>
      </w:r>
      <w:r w:rsidRPr="00117B55">
        <w:rPr>
          <w:rFonts w:ascii="Marianne" w:hAnsi="Marianne"/>
          <w:i/>
          <w:iCs/>
          <w:sz w:val="20"/>
          <w:szCs w:val="20"/>
        </w:rPr>
        <w:t xml:space="preserve"> </w:t>
      </w:r>
      <w:r w:rsidRPr="00117B55">
        <w:rPr>
          <w:rFonts w:ascii="Marianne" w:hAnsi="Marianne"/>
          <w:i/>
          <w:sz w:val="20"/>
          <w:szCs w:val="20"/>
        </w:rPr>
        <w:t xml:space="preserve">fabricants, importateurs, </w:t>
      </w:r>
      <w:r w:rsidR="006444F8" w:rsidRPr="00117B55">
        <w:rPr>
          <w:rFonts w:ascii="Marianne" w:hAnsi="Marianne"/>
          <w:i/>
          <w:sz w:val="20"/>
          <w:szCs w:val="20"/>
        </w:rPr>
        <w:t xml:space="preserve">exportateurs et metteurs sur le marché de produits cosmétiques, de fart ou de produits textiles </w:t>
      </w:r>
      <w:r w:rsidR="00BB7475" w:rsidRPr="00117B55">
        <w:rPr>
          <w:rFonts w:ascii="Marianne" w:hAnsi="Marianne"/>
          <w:i/>
          <w:sz w:val="20"/>
          <w:szCs w:val="20"/>
        </w:rPr>
        <w:t>et agents chargés des contrôles</w:t>
      </w:r>
      <w:r w:rsidR="007307ED" w:rsidRPr="00117B55">
        <w:rPr>
          <w:rFonts w:ascii="Marianne" w:hAnsi="Marianne"/>
          <w:i/>
          <w:sz w:val="20"/>
          <w:szCs w:val="20"/>
        </w:rPr>
        <w:t>.</w:t>
      </w:r>
    </w:p>
    <w:p w14:paraId="2B969B1E" w14:textId="77777777" w:rsidR="00796309" w:rsidRPr="00117B55" w:rsidRDefault="00796309" w:rsidP="00796309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7AD721CF" w14:textId="5C7BB1A6" w:rsidR="006E471D" w:rsidRPr="00117B55" w:rsidRDefault="00796309" w:rsidP="006E471D">
      <w:pPr>
        <w:jc w:val="both"/>
        <w:rPr>
          <w:rFonts w:ascii="Marianne" w:hAnsi="Marianne"/>
          <w:i/>
          <w:iCs/>
          <w:sz w:val="20"/>
          <w:szCs w:val="20"/>
        </w:rPr>
      </w:pPr>
      <w:r w:rsidRPr="00117B55">
        <w:rPr>
          <w:rFonts w:ascii="Marianne" w:hAnsi="Marianne"/>
          <w:b/>
          <w:bCs/>
          <w:i/>
          <w:iCs/>
          <w:sz w:val="20"/>
          <w:szCs w:val="20"/>
        </w:rPr>
        <w:t>Objet </w:t>
      </w:r>
      <w:r w:rsidRPr="00117B55">
        <w:rPr>
          <w:rFonts w:ascii="Marianne" w:hAnsi="Marianne"/>
          <w:i/>
          <w:iCs/>
          <w:sz w:val="20"/>
          <w:szCs w:val="20"/>
        </w:rPr>
        <w:t xml:space="preserve">: règles de </w:t>
      </w:r>
      <w:r w:rsidR="009C5F65" w:rsidRPr="00117B55">
        <w:rPr>
          <w:rFonts w:ascii="Marianne" w:hAnsi="Marianne"/>
          <w:i/>
          <w:iCs/>
          <w:sz w:val="20"/>
          <w:szCs w:val="20"/>
        </w:rPr>
        <w:t xml:space="preserve">mise en œuvre des interdictions de fabrication, d’importation, d’exportation et de mise sur le marché </w:t>
      </w:r>
      <w:r w:rsidR="00597053">
        <w:rPr>
          <w:rFonts w:ascii="Marianne" w:hAnsi="Marianne"/>
          <w:i/>
          <w:iCs/>
          <w:sz w:val="20"/>
          <w:szCs w:val="20"/>
        </w:rPr>
        <w:t xml:space="preserve">de produits (textiles, fart, cosmétiques) contenant des PFAS. Ces interdictions sont prévues </w:t>
      </w:r>
      <w:r w:rsidR="009C5F65" w:rsidRPr="00117B55">
        <w:rPr>
          <w:rFonts w:ascii="Marianne" w:hAnsi="Marianne"/>
          <w:i/>
          <w:iCs/>
          <w:sz w:val="20"/>
          <w:szCs w:val="20"/>
        </w:rPr>
        <w:t>par l’article L. 524-1 du code de l’environnement</w:t>
      </w:r>
      <w:r w:rsidR="006E471D" w:rsidRPr="00117B55">
        <w:rPr>
          <w:rFonts w:ascii="Marianne" w:hAnsi="Marianne"/>
          <w:i/>
          <w:iCs/>
          <w:sz w:val="20"/>
          <w:szCs w:val="20"/>
        </w:rPr>
        <w:t xml:space="preserve">. Le décret définit la concentration </w:t>
      </w:r>
      <w:r w:rsidR="00E33E39" w:rsidRPr="00117B55">
        <w:rPr>
          <w:rFonts w:ascii="Marianne" w:hAnsi="Marianne"/>
          <w:i/>
          <w:iCs/>
          <w:sz w:val="20"/>
          <w:szCs w:val="20"/>
        </w:rPr>
        <w:t xml:space="preserve">résiduelle </w:t>
      </w:r>
      <w:r w:rsidR="006E471D" w:rsidRPr="00117B55">
        <w:rPr>
          <w:rFonts w:ascii="Marianne" w:hAnsi="Marianne"/>
          <w:i/>
          <w:iCs/>
          <w:sz w:val="20"/>
          <w:szCs w:val="20"/>
        </w:rPr>
        <w:t xml:space="preserve">en substances PFAS </w:t>
      </w:r>
      <w:r w:rsidR="00597053">
        <w:rPr>
          <w:rFonts w:ascii="Marianne" w:hAnsi="Marianne"/>
          <w:i/>
          <w:iCs/>
          <w:sz w:val="20"/>
          <w:szCs w:val="20"/>
        </w:rPr>
        <w:t xml:space="preserve">au-delà </w:t>
      </w:r>
      <w:r w:rsidR="006444F8" w:rsidRPr="00117B55">
        <w:rPr>
          <w:rFonts w:ascii="Marianne" w:hAnsi="Marianne"/>
          <w:i/>
          <w:iCs/>
          <w:sz w:val="20"/>
          <w:szCs w:val="20"/>
        </w:rPr>
        <w:t xml:space="preserve">de laquelle les interdictions s’appliquent </w:t>
      </w:r>
      <w:r w:rsidR="00E438FC" w:rsidRPr="00117B55">
        <w:rPr>
          <w:rFonts w:ascii="Marianne" w:hAnsi="Marianne"/>
          <w:i/>
          <w:iCs/>
          <w:sz w:val="20"/>
          <w:szCs w:val="20"/>
        </w:rPr>
        <w:t xml:space="preserve">ainsi que </w:t>
      </w:r>
      <w:r w:rsidR="006E471D" w:rsidRPr="00117B55">
        <w:rPr>
          <w:rFonts w:ascii="Marianne" w:hAnsi="Marianne"/>
          <w:i/>
          <w:iCs/>
          <w:sz w:val="20"/>
          <w:szCs w:val="20"/>
        </w:rPr>
        <w:t xml:space="preserve">la liste des produits </w:t>
      </w:r>
      <w:r w:rsidR="00597053">
        <w:rPr>
          <w:rFonts w:ascii="Marianne" w:hAnsi="Marianne"/>
          <w:i/>
          <w:iCs/>
          <w:sz w:val="20"/>
          <w:szCs w:val="20"/>
        </w:rPr>
        <w:t>qui peuvent bénéficier d’une exemption à cette interdiction</w:t>
      </w:r>
      <w:r w:rsidR="006E471D" w:rsidRPr="00117B55">
        <w:rPr>
          <w:rFonts w:ascii="Marianne" w:hAnsi="Marianne"/>
          <w:i/>
          <w:iCs/>
          <w:sz w:val="20"/>
          <w:szCs w:val="20"/>
        </w:rPr>
        <w:t xml:space="preserve">. </w:t>
      </w:r>
    </w:p>
    <w:p w14:paraId="0F26F283" w14:textId="77777777" w:rsidR="00796309" w:rsidRPr="00117B55" w:rsidRDefault="00796309" w:rsidP="00796309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64324702" w14:textId="3B61C6A8" w:rsidR="00796309" w:rsidRPr="00117B55" w:rsidRDefault="00796309" w:rsidP="00796309">
      <w:pPr>
        <w:jc w:val="both"/>
        <w:rPr>
          <w:rFonts w:ascii="Marianne" w:hAnsi="Marianne"/>
          <w:i/>
          <w:iCs/>
          <w:sz w:val="20"/>
          <w:szCs w:val="20"/>
        </w:rPr>
      </w:pPr>
      <w:r w:rsidRPr="00117B55">
        <w:rPr>
          <w:rFonts w:ascii="Marianne" w:hAnsi="Marianne"/>
          <w:b/>
          <w:bCs/>
          <w:i/>
          <w:iCs/>
          <w:sz w:val="20"/>
          <w:szCs w:val="20"/>
        </w:rPr>
        <w:t>Entrée en vigueur :</w:t>
      </w:r>
      <w:r w:rsidRPr="00117B55">
        <w:rPr>
          <w:rFonts w:ascii="Marianne" w:hAnsi="Marianne"/>
          <w:i/>
          <w:iCs/>
          <w:sz w:val="20"/>
          <w:szCs w:val="20"/>
        </w:rPr>
        <w:t xml:space="preserve"> les dispositions du décret entrent en vigueur</w:t>
      </w:r>
      <w:r w:rsidR="008514A5" w:rsidRPr="00117B55">
        <w:rPr>
          <w:rFonts w:ascii="Marianne" w:hAnsi="Marianne"/>
          <w:i/>
          <w:iCs/>
          <w:sz w:val="20"/>
          <w:szCs w:val="20"/>
        </w:rPr>
        <w:t xml:space="preserve"> </w:t>
      </w:r>
      <w:r w:rsidR="00B80B96" w:rsidRPr="00117B55">
        <w:rPr>
          <w:rFonts w:ascii="Marianne" w:hAnsi="Marianne"/>
          <w:i/>
          <w:iCs/>
          <w:sz w:val="20"/>
          <w:szCs w:val="20"/>
        </w:rPr>
        <w:t xml:space="preserve">le lendemain </w:t>
      </w:r>
      <w:r w:rsidR="008514A5" w:rsidRPr="00117B55">
        <w:rPr>
          <w:rFonts w:ascii="Marianne" w:hAnsi="Marianne"/>
          <w:i/>
          <w:iCs/>
          <w:sz w:val="20"/>
          <w:szCs w:val="20"/>
        </w:rPr>
        <w:t>de la date de sa publication au Journal officiel</w:t>
      </w:r>
      <w:r w:rsidRPr="00117B55">
        <w:rPr>
          <w:rFonts w:ascii="Marianne" w:hAnsi="Marianne"/>
          <w:i/>
          <w:iCs/>
          <w:sz w:val="20"/>
          <w:szCs w:val="20"/>
        </w:rPr>
        <w:t xml:space="preserve">. </w:t>
      </w:r>
    </w:p>
    <w:p w14:paraId="3109F480" w14:textId="77777777" w:rsidR="00796309" w:rsidRPr="00117B55" w:rsidRDefault="00796309" w:rsidP="00796309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1D5CF1B8" w14:textId="1B7BF15E" w:rsidR="00796309" w:rsidRPr="00117B55" w:rsidRDefault="006E471D" w:rsidP="00796309">
      <w:pPr>
        <w:jc w:val="both"/>
        <w:rPr>
          <w:rFonts w:ascii="Marianne" w:hAnsi="Marianne"/>
          <w:b/>
          <w:bCs/>
          <w:i/>
          <w:iCs/>
          <w:sz w:val="20"/>
          <w:szCs w:val="20"/>
        </w:rPr>
      </w:pPr>
      <w:r w:rsidRPr="00117B55">
        <w:rPr>
          <w:rFonts w:ascii="Marianne" w:hAnsi="Marianne"/>
          <w:b/>
          <w:bCs/>
          <w:i/>
          <w:iCs/>
          <w:sz w:val="20"/>
          <w:szCs w:val="20"/>
        </w:rPr>
        <w:t xml:space="preserve">Application : </w:t>
      </w:r>
      <w:r w:rsidRPr="00117B55">
        <w:rPr>
          <w:rFonts w:ascii="Marianne" w:hAnsi="Marianne"/>
          <w:i/>
          <w:iCs/>
          <w:sz w:val="20"/>
          <w:szCs w:val="20"/>
        </w:rPr>
        <w:t xml:space="preserve">le présent décret est pris pour l’application </w:t>
      </w:r>
      <w:r w:rsidR="008514A5" w:rsidRPr="00117B55">
        <w:rPr>
          <w:rFonts w:ascii="Marianne" w:hAnsi="Marianne"/>
          <w:i/>
          <w:iCs/>
          <w:sz w:val="20"/>
          <w:szCs w:val="20"/>
        </w:rPr>
        <w:t>des articles L. 524-1 et L. 524-2 du code de l’environnement tels que modifiés par</w:t>
      </w:r>
      <w:r w:rsidRPr="00117B55">
        <w:rPr>
          <w:rFonts w:ascii="Marianne" w:hAnsi="Marianne"/>
          <w:i/>
          <w:iCs/>
          <w:sz w:val="20"/>
          <w:szCs w:val="20"/>
        </w:rPr>
        <w:t xml:space="preserve"> l’article 1 de la loi n° 2025-188 du 27 février 2025 visant à protéger la population des risques liés aux substances </w:t>
      </w:r>
      <w:proofErr w:type="spellStart"/>
      <w:r w:rsidRPr="00117B55">
        <w:rPr>
          <w:rFonts w:ascii="Marianne" w:hAnsi="Marianne"/>
          <w:i/>
          <w:iCs/>
          <w:sz w:val="20"/>
          <w:szCs w:val="20"/>
        </w:rPr>
        <w:t>perfluoroalkylées</w:t>
      </w:r>
      <w:proofErr w:type="spellEnd"/>
      <w:r w:rsidRPr="00117B55">
        <w:rPr>
          <w:rFonts w:ascii="Marianne" w:hAnsi="Marianne"/>
          <w:i/>
          <w:iCs/>
          <w:sz w:val="20"/>
          <w:szCs w:val="20"/>
        </w:rPr>
        <w:t xml:space="preserve"> et </w:t>
      </w:r>
      <w:proofErr w:type="spellStart"/>
      <w:r w:rsidRPr="00117B55">
        <w:rPr>
          <w:rFonts w:ascii="Marianne" w:hAnsi="Marianne"/>
          <w:i/>
          <w:iCs/>
          <w:sz w:val="20"/>
          <w:szCs w:val="20"/>
        </w:rPr>
        <w:t>polyfluoroalkylées</w:t>
      </w:r>
      <w:proofErr w:type="spellEnd"/>
      <w:r w:rsidRPr="00117B55">
        <w:rPr>
          <w:rFonts w:ascii="Marianne" w:hAnsi="Marianne"/>
          <w:b/>
          <w:bCs/>
          <w:i/>
          <w:iCs/>
          <w:sz w:val="20"/>
          <w:szCs w:val="20"/>
        </w:rPr>
        <w:t>.</w:t>
      </w:r>
    </w:p>
    <w:p w14:paraId="11B1E17C" w14:textId="77777777" w:rsidR="00796309" w:rsidRPr="00117B55" w:rsidRDefault="00796309" w:rsidP="00796309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br w:type="page"/>
      </w:r>
    </w:p>
    <w:p w14:paraId="70240A04" w14:textId="14F829E6" w:rsidR="00796309" w:rsidRPr="00117B55" w:rsidRDefault="00DE012D" w:rsidP="00796309">
      <w:pPr>
        <w:spacing w:before="600"/>
        <w:ind w:firstLine="709"/>
        <w:jc w:val="both"/>
        <w:rPr>
          <w:rFonts w:ascii="Marianne" w:hAnsi="Marianne"/>
          <w:b/>
          <w:bCs/>
          <w:sz w:val="20"/>
          <w:szCs w:val="20"/>
        </w:rPr>
      </w:pPr>
      <w:r w:rsidRPr="00117B55">
        <w:rPr>
          <w:rFonts w:ascii="Marianne" w:hAnsi="Marianne"/>
          <w:b/>
          <w:bCs/>
          <w:sz w:val="20"/>
          <w:szCs w:val="20"/>
        </w:rPr>
        <w:lastRenderedPageBreak/>
        <w:t>Le Premier</w:t>
      </w:r>
      <w:r w:rsidR="00796309" w:rsidRPr="00117B55">
        <w:rPr>
          <w:rFonts w:ascii="Marianne" w:hAnsi="Marianne"/>
          <w:b/>
          <w:bCs/>
          <w:sz w:val="20"/>
          <w:szCs w:val="20"/>
        </w:rPr>
        <w:t xml:space="preserve"> ministre,</w:t>
      </w:r>
    </w:p>
    <w:p w14:paraId="31A12F98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0FABA2AD" w14:textId="0FF39BB9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Sur le rapport d</w:t>
      </w:r>
      <w:r w:rsidR="00AC3294" w:rsidRPr="00117B55">
        <w:rPr>
          <w:rFonts w:ascii="Marianne" w:hAnsi="Marianne"/>
          <w:sz w:val="20"/>
          <w:szCs w:val="20"/>
        </w:rPr>
        <w:t>e la</w:t>
      </w:r>
      <w:r w:rsidRPr="00117B55">
        <w:rPr>
          <w:rFonts w:ascii="Marianne" w:hAnsi="Marianne"/>
          <w:sz w:val="20"/>
          <w:szCs w:val="20"/>
        </w:rPr>
        <w:t xml:space="preserve"> ministre de la t</w:t>
      </w:r>
      <w:r w:rsidR="00AC3294" w:rsidRPr="00117B55">
        <w:rPr>
          <w:rFonts w:ascii="Marianne" w:hAnsi="Marianne"/>
          <w:sz w:val="20"/>
          <w:szCs w:val="20"/>
        </w:rPr>
        <w:t>ransition écologique, de l’énergie, du climat et de la prévention des risques,</w:t>
      </w:r>
      <w:r w:rsidR="00AC3294" w:rsidRPr="00117B55" w:rsidDel="00AC3294">
        <w:rPr>
          <w:rFonts w:ascii="Marianne" w:hAnsi="Marianne"/>
          <w:sz w:val="20"/>
          <w:szCs w:val="20"/>
        </w:rPr>
        <w:t xml:space="preserve"> </w:t>
      </w:r>
    </w:p>
    <w:p w14:paraId="468C9320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19F50905" w14:textId="5F3A389F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Vu </w:t>
      </w:r>
      <w:r w:rsidR="009B78C1" w:rsidRPr="00117B55">
        <w:rPr>
          <w:rFonts w:ascii="Marianne" w:hAnsi="Marianne"/>
          <w:sz w:val="20"/>
          <w:szCs w:val="20"/>
        </w:rPr>
        <w:t>le règlement (UE) 1007/2011 du Parlement européen et du Conseil du 27 septembre 2011 relatif aux dénominations des fibres textiles et à l'étiquetage et au marquage correspondants des produits textiles au regard de leur composition en fibres, et abrogeant la directive 73/44/CEE du Conseil et les directives 96/73/CE et 2008/121/CE du Parlement européen et du Conseil </w:t>
      </w:r>
      <w:r w:rsidRPr="00117B55">
        <w:rPr>
          <w:rFonts w:ascii="Marianne" w:hAnsi="Marianne"/>
          <w:sz w:val="20"/>
          <w:szCs w:val="20"/>
        </w:rPr>
        <w:t xml:space="preserve">; </w:t>
      </w:r>
    </w:p>
    <w:p w14:paraId="6867C8D9" w14:textId="57F4AE6A" w:rsidR="00796309" w:rsidRPr="00117B55" w:rsidDel="00585896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70912A56" w14:textId="086410BB" w:rsidR="00796309" w:rsidRPr="00117B55" w:rsidDel="00585896" w:rsidRDefault="00796309" w:rsidP="00956F00">
      <w:pPr>
        <w:ind w:firstLine="709"/>
        <w:jc w:val="both"/>
        <w:rPr>
          <w:rFonts w:ascii="Marianne" w:hAnsi="Marianne"/>
          <w:sz w:val="20"/>
          <w:szCs w:val="20"/>
        </w:rPr>
      </w:pPr>
      <w:r w:rsidRPr="00117B55" w:rsidDel="00585896">
        <w:rPr>
          <w:rFonts w:ascii="Marianne" w:hAnsi="Marianne"/>
          <w:sz w:val="20"/>
          <w:szCs w:val="20"/>
        </w:rPr>
        <w:t xml:space="preserve">Vu </w:t>
      </w:r>
      <w:r w:rsidR="00956F00" w:rsidRPr="00117B55">
        <w:rPr>
          <w:rFonts w:ascii="Marianne" w:hAnsi="Marianne"/>
          <w:sz w:val="20"/>
          <w:szCs w:val="20"/>
        </w:rPr>
        <w:t xml:space="preserve">règlement (UE) 2016/425 du Parlement européen et du Conseil du 9 mars 2016 relatif aux équipements de protection individuelle et abrogeant la directive 89/686/CEE du Conseil </w:t>
      </w:r>
      <w:r w:rsidRPr="00117B55" w:rsidDel="00585896">
        <w:rPr>
          <w:rFonts w:ascii="Marianne" w:hAnsi="Marianne"/>
          <w:sz w:val="20"/>
          <w:szCs w:val="20"/>
        </w:rPr>
        <w:t>;</w:t>
      </w:r>
    </w:p>
    <w:p w14:paraId="0C12089A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2AE0AA07" w14:textId="5CE1468C" w:rsidR="00796309" w:rsidRPr="00117B55" w:rsidRDefault="00796309" w:rsidP="00796309">
      <w:pPr>
        <w:ind w:firstLine="709"/>
        <w:jc w:val="both"/>
        <w:rPr>
          <w:rFonts w:ascii="Marianne" w:hAnsi="Marianne"/>
          <w:bCs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Vu la </w:t>
      </w:r>
      <w:r w:rsidR="00956F00" w:rsidRPr="00117B55">
        <w:rPr>
          <w:rFonts w:ascii="Marianne" w:hAnsi="Marianne"/>
          <w:bCs/>
          <w:sz w:val="20"/>
          <w:szCs w:val="20"/>
        </w:rPr>
        <w:t xml:space="preserve">loi n° 2025-188 du 27 février 2025 visant à protéger la population des risques liés aux substances </w:t>
      </w:r>
      <w:proofErr w:type="spellStart"/>
      <w:r w:rsidR="00956F00" w:rsidRPr="00117B55">
        <w:rPr>
          <w:rFonts w:ascii="Marianne" w:hAnsi="Marianne"/>
          <w:bCs/>
          <w:sz w:val="20"/>
          <w:szCs w:val="20"/>
        </w:rPr>
        <w:t>perfluoroalkylées</w:t>
      </w:r>
      <w:proofErr w:type="spellEnd"/>
      <w:r w:rsidR="00956F00" w:rsidRPr="00117B55">
        <w:rPr>
          <w:rFonts w:ascii="Marianne" w:hAnsi="Marianne"/>
          <w:bCs/>
          <w:sz w:val="20"/>
          <w:szCs w:val="20"/>
        </w:rPr>
        <w:t xml:space="preserve"> et </w:t>
      </w:r>
      <w:proofErr w:type="spellStart"/>
      <w:r w:rsidR="00956F00" w:rsidRPr="00117B55">
        <w:rPr>
          <w:rFonts w:ascii="Marianne" w:hAnsi="Marianne"/>
          <w:bCs/>
          <w:sz w:val="20"/>
          <w:szCs w:val="20"/>
        </w:rPr>
        <w:t>polyfluoroalkylées</w:t>
      </w:r>
      <w:proofErr w:type="spellEnd"/>
      <w:r w:rsidR="00B12C80" w:rsidRPr="00117B55">
        <w:rPr>
          <w:rFonts w:ascii="Marianne" w:hAnsi="Marianne"/>
          <w:bCs/>
          <w:sz w:val="20"/>
          <w:szCs w:val="20"/>
        </w:rPr>
        <w:t xml:space="preserve"> </w:t>
      </w:r>
      <w:r w:rsidRPr="00117B55">
        <w:rPr>
          <w:rFonts w:ascii="Marianne" w:hAnsi="Marianne"/>
          <w:bCs/>
          <w:sz w:val="20"/>
          <w:szCs w:val="20"/>
        </w:rPr>
        <w:t>;</w:t>
      </w:r>
    </w:p>
    <w:p w14:paraId="07E79D39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71E8B7CB" w14:textId="4B57F844" w:rsidR="006E471D" w:rsidRPr="00117B55" w:rsidRDefault="00796309" w:rsidP="006E471D">
      <w:pPr>
        <w:ind w:firstLine="709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Vu le code de l’environnement, notamment ses articles L. </w:t>
      </w:r>
      <w:r w:rsidR="00956F00" w:rsidRPr="00117B55">
        <w:rPr>
          <w:rFonts w:ascii="Marianne" w:hAnsi="Marianne"/>
          <w:sz w:val="20"/>
          <w:szCs w:val="20"/>
        </w:rPr>
        <w:t>524-1, L. 524-2</w:t>
      </w:r>
      <w:r w:rsidRPr="00117B55">
        <w:rPr>
          <w:rFonts w:ascii="Marianne" w:hAnsi="Marianne"/>
          <w:sz w:val="20"/>
          <w:szCs w:val="20"/>
        </w:rPr>
        <w:t xml:space="preserve"> et </w:t>
      </w:r>
      <w:r w:rsidR="00956F00" w:rsidRPr="00117B55">
        <w:rPr>
          <w:rFonts w:ascii="Marianne" w:hAnsi="Marianne"/>
          <w:sz w:val="20"/>
          <w:szCs w:val="20"/>
        </w:rPr>
        <w:t>L. 521-12 à L. 521-20</w:t>
      </w:r>
      <w:r w:rsidRPr="00117B55">
        <w:rPr>
          <w:rFonts w:ascii="Marianne" w:hAnsi="Marianne"/>
          <w:sz w:val="20"/>
          <w:szCs w:val="20"/>
        </w:rPr>
        <w:t xml:space="preserve"> ;</w:t>
      </w:r>
    </w:p>
    <w:p w14:paraId="5AD6DACD" w14:textId="77777777" w:rsidR="00796309" w:rsidRPr="00117B55" w:rsidRDefault="00796309" w:rsidP="00796309">
      <w:pPr>
        <w:widowControl w:val="0"/>
        <w:suppressAutoHyphens/>
        <w:ind w:firstLine="708"/>
        <w:jc w:val="both"/>
        <w:rPr>
          <w:rFonts w:ascii="Marianne" w:eastAsia="Lucida Sans Unicode" w:hAnsi="Marianne"/>
          <w:color w:val="000000" w:themeColor="text1"/>
          <w:sz w:val="20"/>
          <w:szCs w:val="20"/>
        </w:rPr>
      </w:pPr>
    </w:p>
    <w:p w14:paraId="7F94BE9D" w14:textId="3B0B8F54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Vu les observations formulées lors de la consultation du public réalisée du </w:t>
      </w:r>
      <w:r w:rsidR="00956F00" w:rsidRPr="00117B55">
        <w:rPr>
          <w:rFonts w:ascii="Marianne" w:hAnsi="Marianne"/>
          <w:sz w:val="20"/>
          <w:szCs w:val="20"/>
          <w:highlight w:val="yellow"/>
        </w:rPr>
        <w:t xml:space="preserve">XXX </w:t>
      </w:r>
      <w:r w:rsidR="00C03454" w:rsidRPr="00117B55">
        <w:rPr>
          <w:rFonts w:ascii="Marianne" w:hAnsi="Marianne"/>
          <w:sz w:val="20"/>
          <w:szCs w:val="20"/>
          <w:highlight w:val="yellow"/>
        </w:rPr>
        <w:t xml:space="preserve">au </w:t>
      </w:r>
      <w:r w:rsidR="00956F00" w:rsidRPr="00117B55">
        <w:rPr>
          <w:rFonts w:ascii="Marianne" w:hAnsi="Marianne"/>
          <w:sz w:val="20"/>
          <w:szCs w:val="20"/>
          <w:highlight w:val="yellow"/>
        </w:rPr>
        <w:t>XXX</w:t>
      </w:r>
      <w:r w:rsidR="00956F00" w:rsidRPr="00117B55">
        <w:rPr>
          <w:rFonts w:ascii="Marianne" w:hAnsi="Marianne"/>
          <w:sz w:val="20"/>
          <w:szCs w:val="20"/>
        </w:rPr>
        <w:t xml:space="preserve"> 2025</w:t>
      </w:r>
      <w:r w:rsidR="00C03454" w:rsidRPr="00117B55">
        <w:rPr>
          <w:rFonts w:ascii="Marianne" w:hAnsi="Marianne"/>
          <w:sz w:val="20"/>
          <w:szCs w:val="20"/>
        </w:rPr>
        <w:t>,</w:t>
      </w:r>
      <w:r w:rsidRPr="00117B55">
        <w:rPr>
          <w:rFonts w:ascii="Marianne" w:hAnsi="Marianne"/>
          <w:sz w:val="20"/>
          <w:szCs w:val="20"/>
        </w:rPr>
        <w:t xml:space="preserve"> en application de l'article L. 123-19-1 du code de l'environnement ;</w:t>
      </w:r>
    </w:p>
    <w:p w14:paraId="08618C91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22787CEB" w14:textId="77777777" w:rsidR="00557B9A" w:rsidRPr="00117B55" w:rsidRDefault="00557B9A" w:rsidP="00796309">
      <w:pPr>
        <w:ind w:firstLine="709"/>
        <w:jc w:val="both"/>
        <w:rPr>
          <w:rFonts w:ascii="Marianne" w:hAnsi="Marianne"/>
          <w:sz w:val="20"/>
          <w:szCs w:val="20"/>
        </w:rPr>
      </w:pPr>
    </w:p>
    <w:p w14:paraId="3A91A7C0" w14:textId="5CCEB4FD" w:rsidR="00796309" w:rsidRPr="00117B55" w:rsidRDefault="00796309" w:rsidP="00796309">
      <w:pPr>
        <w:jc w:val="center"/>
        <w:rPr>
          <w:rFonts w:ascii="Marianne" w:hAnsi="Marianne"/>
          <w:b/>
          <w:sz w:val="20"/>
          <w:szCs w:val="20"/>
        </w:rPr>
      </w:pPr>
      <w:r w:rsidRPr="00117B55">
        <w:rPr>
          <w:rFonts w:ascii="Marianne" w:hAnsi="Marianne"/>
          <w:b/>
          <w:sz w:val="20"/>
          <w:szCs w:val="20"/>
        </w:rPr>
        <w:t>Décrète :</w:t>
      </w:r>
    </w:p>
    <w:p w14:paraId="01024414" w14:textId="4EFA5189" w:rsidR="00C444EF" w:rsidRPr="00117B55" w:rsidRDefault="00C444EF" w:rsidP="00796309">
      <w:pPr>
        <w:jc w:val="center"/>
        <w:rPr>
          <w:rFonts w:ascii="Marianne" w:hAnsi="Marianne"/>
          <w:b/>
          <w:sz w:val="20"/>
          <w:szCs w:val="20"/>
        </w:rPr>
      </w:pPr>
    </w:p>
    <w:p w14:paraId="7416DD4B" w14:textId="78EBE50B" w:rsidR="00C444EF" w:rsidRPr="00117B55" w:rsidRDefault="00C444EF" w:rsidP="00796309">
      <w:pPr>
        <w:jc w:val="center"/>
        <w:rPr>
          <w:rFonts w:ascii="Marianne" w:hAnsi="Marianne"/>
          <w:b/>
          <w:sz w:val="20"/>
          <w:szCs w:val="20"/>
        </w:rPr>
      </w:pPr>
      <w:r w:rsidRPr="00117B55">
        <w:rPr>
          <w:rFonts w:ascii="Marianne" w:hAnsi="Marianne"/>
          <w:b/>
          <w:sz w:val="20"/>
          <w:szCs w:val="20"/>
        </w:rPr>
        <w:t>Article 1</w:t>
      </w:r>
      <w:r w:rsidRPr="00117B55">
        <w:rPr>
          <w:rFonts w:ascii="Marianne" w:hAnsi="Marianne"/>
          <w:b/>
          <w:sz w:val="20"/>
          <w:szCs w:val="20"/>
          <w:vertAlign w:val="superscript"/>
        </w:rPr>
        <w:t>er</w:t>
      </w:r>
      <w:r w:rsidRPr="00117B55">
        <w:rPr>
          <w:rFonts w:ascii="Marianne" w:hAnsi="Marianne"/>
          <w:b/>
          <w:sz w:val="20"/>
          <w:szCs w:val="20"/>
        </w:rPr>
        <w:t xml:space="preserve"> </w:t>
      </w:r>
    </w:p>
    <w:p w14:paraId="47E9FF20" w14:textId="77777777" w:rsidR="00C444EF" w:rsidRPr="00117B55" w:rsidRDefault="00C444EF" w:rsidP="00796309">
      <w:pPr>
        <w:jc w:val="center"/>
        <w:rPr>
          <w:rFonts w:ascii="Marianne" w:hAnsi="Marianne" w:cs="Arial"/>
          <w:b/>
          <w:bCs/>
          <w:color w:val="4A5E81"/>
          <w:sz w:val="20"/>
          <w:szCs w:val="20"/>
          <w:shd w:val="clear" w:color="auto" w:fill="FFFFFF"/>
        </w:rPr>
      </w:pPr>
    </w:p>
    <w:p w14:paraId="51EF7C2B" w14:textId="2E9C6D59" w:rsidR="00597053" w:rsidRPr="00117B55" w:rsidRDefault="00597053" w:rsidP="0059705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Après l’article D. 523-22</w:t>
      </w:r>
      <w:r>
        <w:rPr>
          <w:rFonts w:ascii="Marianne" w:hAnsi="Marianne"/>
          <w:sz w:val="20"/>
          <w:szCs w:val="20"/>
        </w:rPr>
        <w:t xml:space="preserve"> du code de l’environnement</w:t>
      </w:r>
      <w:r w:rsidR="00A86682">
        <w:rPr>
          <w:rFonts w:ascii="Marianne" w:hAnsi="Marianne"/>
          <w:sz w:val="20"/>
          <w:szCs w:val="20"/>
        </w:rPr>
        <w:t>, il</w:t>
      </w:r>
      <w:r>
        <w:rPr>
          <w:rFonts w:ascii="Marianne" w:hAnsi="Marianne"/>
          <w:sz w:val="20"/>
          <w:szCs w:val="20"/>
        </w:rPr>
        <w:t xml:space="preserve"> est ajouté un chapitre ainsi rédigé :</w:t>
      </w:r>
      <w:r w:rsidRPr="00117B55">
        <w:rPr>
          <w:rFonts w:ascii="Marianne" w:hAnsi="Marianne"/>
          <w:sz w:val="20"/>
          <w:szCs w:val="20"/>
        </w:rPr>
        <w:t xml:space="preserve"> </w:t>
      </w:r>
    </w:p>
    <w:p w14:paraId="761C186F" w14:textId="77777777" w:rsidR="00597053" w:rsidRDefault="00597053" w:rsidP="00B23163">
      <w:pPr>
        <w:jc w:val="both"/>
        <w:rPr>
          <w:rFonts w:ascii="Marianne" w:hAnsi="Marianne"/>
          <w:sz w:val="20"/>
          <w:szCs w:val="20"/>
        </w:rPr>
      </w:pPr>
    </w:p>
    <w:p w14:paraId="74D74114" w14:textId="3BBA0DCC" w:rsidR="002F06D8" w:rsidRPr="00117B55" w:rsidRDefault="00B23163" w:rsidP="00B2316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 « Chapitre V : </w:t>
      </w:r>
      <w:r w:rsidR="00597053">
        <w:rPr>
          <w:rFonts w:ascii="Marianne" w:hAnsi="Marianne"/>
          <w:sz w:val="20"/>
          <w:szCs w:val="20"/>
        </w:rPr>
        <w:t xml:space="preserve">Interdiction de la mise sur le marché de certains produits contenant des </w:t>
      </w:r>
      <w:r w:rsidR="00F962F7" w:rsidRPr="00117B55">
        <w:rPr>
          <w:rFonts w:ascii="Marianne" w:hAnsi="Marianne"/>
          <w:sz w:val="20"/>
          <w:szCs w:val="20"/>
        </w:rPr>
        <w:t xml:space="preserve">substances </w:t>
      </w:r>
      <w:proofErr w:type="spellStart"/>
      <w:r w:rsidR="00F962F7" w:rsidRPr="00117B55">
        <w:rPr>
          <w:rFonts w:ascii="Marianne" w:hAnsi="Marianne"/>
          <w:sz w:val="20"/>
          <w:szCs w:val="20"/>
        </w:rPr>
        <w:t>perfluoroalkylées</w:t>
      </w:r>
      <w:proofErr w:type="spellEnd"/>
      <w:r w:rsidR="00F962F7" w:rsidRPr="00117B55">
        <w:rPr>
          <w:rFonts w:ascii="Marianne" w:hAnsi="Marianne"/>
          <w:sz w:val="20"/>
          <w:szCs w:val="20"/>
        </w:rPr>
        <w:t xml:space="preserve"> et </w:t>
      </w:r>
      <w:proofErr w:type="spellStart"/>
      <w:r w:rsidR="00F962F7" w:rsidRPr="00117B55">
        <w:rPr>
          <w:rFonts w:ascii="Marianne" w:hAnsi="Marianne"/>
          <w:sz w:val="20"/>
          <w:szCs w:val="20"/>
        </w:rPr>
        <w:t>polyfluoroalkylées</w:t>
      </w:r>
      <w:proofErr w:type="spellEnd"/>
      <w:r w:rsidR="00F962F7" w:rsidRPr="00117B55">
        <w:rPr>
          <w:rFonts w:ascii="Marianne" w:hAnsi="Marianne"/>
          <w:sz w:val="20"/>
          <w:szCs w:val="20"/>
        </w:rPr>
        <w:t> </w:t>
      </w:r>
    </w:p>
    <w:p w14:paraId="2CD16B39" w14:textId="790B2845" w:rsidR="002F06D8" w:rsidRPr="00117B55" w:rsidRDefault="002F06D8" w:rsidP="006448CF">
      <w:pPr>
        <w:jc w:val="both"/>
        <w:rPr>
          <w:rFonts w:ascii="Marianne" w:hAnsi="Marianne"/>
          <w:sz w:val="20"/>
          <w:szCs w:val="20"/>
        </w:rPr>
      </w:pPr>
    </w:p>
    <w:p w14:paraId="4206A5CD" w14:textId="56994A18" w:rsidR="002F06D8" w:rsidRPr="00117B55" w:rsidRDefault="002F06D8" w:rsidP="006448CF">
      <w:pPr>
        <w:jc w:val="both"/>
        <w:rPr>
          <w:rFonts w:ascii="Marianne" w:hAnsi="Marianne"/>
          <w:sz w:val="20"/>
          <w:szCs w:val="20"/>
        </w:rPr>
      </w:pPr>
    </w:p>
    <w:p w14:paraId="51BC5B13" w14:textId="53795AEF" w:rsidR="00B23163" w:rsidRPr="00117B55" w:rsidRDefault="00B23163" w:rsidP="006448CF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="00F962F7" w:rsidRPr="00117B55">
        <w:rPr>
          <w:rFonts w:ascii="Marianne" w:hAnsi="Marianne"/>
          <w:i/>
          <w:iCs/>
          <w:sz w:val="20"/>
          <w:szCs w:val="20"/>
        </w:rPr>
        <w:t>Art. D. 525-1. -</w:t>
      </w:r>
      <w:r w:rsidR="00F962F7" w:rsidRPr="00117B55">
        <w:rPr>
          <w:rFonts w:ascii="Marianne" w:hAnsi="Marianne"/>
          <w:sz w:val="20"/>
          <w:szCs w:val="20"/>
        </w:rPr>
        <w:t xml:space="preserve"> </w:t>
      </w:r>
      <w:r w:rsidRPr="00117B55">
        <w:rPr>
          <w:rFonts w:ascii="Marianne" w:hAnsi="Marianne"/>
          <w:sz w:val="20"/>
          <w:szCs w:val="20"/>
        </w:rPr>
        <w:t>Pour l'application du présent chapitre, on entend par :</w:t>
      </w:r>
    </w:p>
    <w:p w14:paraId="554DB349" w14:textId="20E3C7D8" w:rsidR="00B23163" w:rsidRPr="00117B55" w:rsidRDefault="00B23163" w:rsidP="006448CF">
      <w:pPr>
        <w:jc w:val="both"/>
        <w:rPr>
          <w:rFonts w:ascii="Marianne" w:hAnsi="Marianne"/>
          <w:sz w:val="20"/>
          <w:szCs w:val="20"/>
        </w:rPr>
      </w:pPr>
    </w:p>
    <w:p w14:paraId="5D767884" w14:textId="3D77ADEC" w:rsidR="00B23163" w:rsidRPr="00117B55" w:rsidRDefault="003855EB" w:rsidP="00BD595F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="00F962F7" w:rsidRPr="00117B55">
        <w:rPr>
          <w:rFonts w:ascii="Marianne" w:hAnsi="Marianne"/>
          <w:sz w:val="20"/>
          <w:szCs w:val="20"/>
        </w:rPr>
        <w:t>S</w:t>
      </w:r>
      <w:r w:rsidRPr="00117B55">
        <w:rPr>
          <w:rFonts w:ascii="Marianne" w:hAnsi="Marianne"/>
          <w:sz w:val="20"/>
          <w:szCs w:val="20"/>
        </w:rPr>
        <w:t xml:space="preserve">ubstances </w:t>
      </w:r>
      <w:proofErr w:type="spellStart"/>
      <w:r w:rsidRPr="00117B55">
        <w:rPr>
          <w:rFonts w:ascii="Marianne" w:hAnsi="Marianne"/>
          <w:sz w:val="20"/>
          <w:szCs w:val="20"/>
        </w:rPr>
        <w:t>perfluoroalkylées</w:t>
      </w:r>
      <w:proofErr w:type="spellEnd"/>
      <w:r w:rsidRPr="00117B55">
        <w:rPr>
          <w:rFonts w:ascii="Marianne" w:hAnsi="Marianne"/>
          <w:sz w:val="20"/>
          <w:szCs w:val="20"/>
        </w:rPr>
        <w:t xml:space="preserve"> et </w:t>
      </w:r>
      <w:proofErr w:type="spellStart"/>
      <w:r w:rsidRPr="00117B55">
        <w:rPr>
          <w:rFonts w:ascii="Marianne" w:hAnsi="Marianne"/>
          <w:sz w:val="20"/>
          <w:szCs w:val="20"/>
        </w:rPr>
        <w:t>polyfluoroalkylées</w:t>
      </w:r>
      <w:proofErr w:type="spellEnd"/>
      <w:r w:rsidRPr="00117B55">
        <w:rPr>
          <w:rFonts w:ascii="Marianne" w:hAnsi="Marianne"/>
          <w:sz w:val="20"/>
          <w:szCs w:val="20"/>
        </w:rPr>
        <w:t> »</w:t>
      </w:r>
      <w:r w:rsidR="002E7999" w:rsidRPr="00117B55">
        <w:rPr>
          <w:rFonts w:ascii="Marianne" w:hAnsi="Marianne"/>
          <w:sz w:val="20"/>
          <w:szCs w:val="20"/>
        </w:rPr>
        <w:t> : t</w:t>
      </w:r>
      <w:r w:rsidR="003D2130" w:rsidRPr="00117B55">
        <w:rPr>
          <w:rFonts w:ascii="Marianne" w:hAnsi="Marianne"/>
          <w:sz w:val="20"/>
          <w:szCs w:val="20"/>
        </w:rPr>
        <w:t>oute substance contenant au moins un atome de carbone méthyle (CF3</w:t>
      </w:r>
      <w:r w:rsidR="008A264D">
        <w:rPr>
          <w:rFonts w:ascii="Marianne" w:hAnsi="Marianne"/>
          <w:sz w:val="20"/>
          <w:szCs w:val="20"/>
        </w:rPr>
        <w:t>-</w:t>
      </w:r>
      <w:r w:rsidR="003D2130" w:rsidRPr="00117B55">
        <w:rPr>
          <w:rFonts w:ascii="Marianne" w:hAnsi="Marianne"/>
          <w:sz w:val="20"/>
          <w:szCs w:val="20"/>
        </w:rPr>
        <w:t>) ou méthylène (</w:t>
      </w:r>
      <w:r w:rsidR="008A264D">
        <w:rPr>
          <w:rFonts w:ascii="Marianne" w:hAnsi="Marianne"/>
          <w:sz w:val="20"/>
          <w:szCs w:val="20"/>
        </w:rPr>
        <w:t>-</w:t>
      </w:r>
      <w:r w:rsidR="003D2130" w:rsidRPr="00117B55">
        <w:rPr>
          <w:rFonts w:ascii="Marianne" w:hAnsi="Marianne"/>
          <w:sz w:val="20"/>
          <w:szCs w:val="20"/>
        </w:rPr>
        <w:t>CF2</w:t>
      </w:r>
      <w:r w:rsidR="008A264D">
        <w:rPr>
          <w:rFonts w:ascii="Marianne" w:hAnsi="Marianne"/>
          <w:sz w:val="20"/>
          <w:szCs w:val="20"/>
        </w:rPr>
        <w:t>-</w:t>
      </w:r>
      <w:r w:rsidR="003D2130" w:rsidRPr="00117B55">
        <w:rPr>
          <w:rFonts w:ascii="Marianne" w:hAnsi="Marianne"/>
          <w:sz w:val="20"/>
          <w:szCs w:val="20"/>
        </w:rPr>
        <w:t>) entièrement fluoré, sans atomes d'hydrogène, de chlore, de brome ou d'iode</w:t>
      </w:r>
      <w:r w:rsidR="009071B3" w:rsidRPr="00117B55">
        <w:rPr>
          <w:rFonts w:ascii="Marianne" w:hAnsi="Marianne"/>
          <w:sz w:val="20"/>
          <w:szCs w:val="20"/>
        </w:rPr>
        <w:t xml:space="preserve"> rattaché</w:t>
      </w:r>
      <w:r w:rsidR="003D2130" w:rsidRPr="00117B55">
        <w:rPr>
          <w:rFonts w:ascii="Marianne" w:hAnsi="Marianne"/>
          <w:sz w:val="20"/>
          <w:szCs w:val="20"/>
        </w:rPr>
        <w:t>.</w:t>
      </w:r>
    </w:p>
    <w:p w14:paraId="69768590" w14:textId="02EEDF4D" w:rsidR="003D2130" w:rsidRPr="00117B55" w:rsidRDefault="003D2130" w:rsidP="003D2130">
      <w:pPr>
        <w:jc w:val="both"/>
        <w:rPr>
          <w:rFonts w:ascii="Marianne" w:hAnsi="Marianne"/>
          <w:sz w:val="20"/>
          <w:szCs w:val="20"/>
        </w:rPr>
      </w:pPr>
    </w:p>
    <w:p w14:paraId="29D1A520" w14:textId="093758E8" w:rsidR="00F37104" w:rsidRDefault="003855EB" w:rsidP="0065409F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="003D2130" w:rsidRPr="00117B55">
        <w:rPr>
          <w:rFonts w:ascii="Marianne" w:hAnsi="Marianne"/>
          <w:sz w:val="20"/>
          <w:szCs w:val="20"/>
        </w:rPr>
        <w:t>Textile</w:t>
      </w:r>
      <w:r w:rsidRPr="00117B55">
        <w:rPr>
          <w:rFonts w:ascii="Marianne" w:hAnsi="Marianne"/>
          <w:sz w:val="20"/>
          <w:szCs w:val="20"/>
        </w:rPr>
        <w:t> »</w:t>
      </w:r>
      <w:r w:rsidR="002E7999" w:rsidRPr="00117B55">
        <w:rPr>
          <w:rFonts w:ascii="Marianne" w:hAnsi="Marianne"/>
          <w:sz w:val="20"/>
          <w:szCs w:val="20"/>
        </w:rPr>
        <w:t xml:space="preserve"> : </w:t>
      </w:r>
      <w:r w:rsidRPr="00117B55">
        <w:rPr>
          <w:rFonts w:ascii="Marianne" w:hAnsi="Marianne"/>
          <w:sz w:val="20"/>
          <w:szCs w:val="20"/>
        </w:rPr>
        <w:t xml:space="preserve">tout produit qui, à l'état brut, semi-ouvré, ouvré, semi-manufacturé, manufacturé, semi-confectionné ou confectionné, est exclusivement composé de fibres textiles, quel que soit le procédé de mélange ou d'assemblage mis en œuvre, </w:t>
      </w:r>
      <w:r w:rsidR="003D2130" w:rsidRPr="00117B55">
        <w:rPr>
          <w:rFonts w:ascii="Marianne" w:hAnsi="Marianne"/>
          <w:sz w:val="20"/>
          <w:szCs w:val="20"/>
        </w:rPr>
        <w:t xml:space="preserve">tel que défini </w:t>
      </w:r>
      <w:r w:rsidR="009B78C1" w:rsidRPr="00117B55">
        <w:rPr>
          <w:rFonts w:ascii="Marianne" w:hAnsi="Marianne"/>
          <w:sz w:val="20"/>
          <w:szCs w:val="20"/>
        </w:rPr>
        <w:t>au 1.a) d</w:t>
      </w:r>
      <w:r w:rsidR="007B144E">
        <w:rPr>
          <w:rFonts w:ascii="Marianne" w:hAnsi="Marianne"/>
          <w:sz w:val="20"/>
          <w:szCs w:val="20"/>
        </w:rPr>
        <w:t>e</w:t>
      </w:r>
      <w:r w:rsidR="003D2130" w:rsidRPr="00117B55">
        <w:rPr>
          <w:rFonts w:ascii="Marianne" w:hAnsi="Marianne"/>
          <w:sz w:val="20"/>
          <w:szCs w:val="20"/>
        </w:rPr>
        <w:t xml:space="preserve"> l’article </w:t>
      </w:r>
      <w:r w:rsidR="009B78C1" w:rsidRPr="00117B55">
        <w:rPr>
          <w:rFonts w:ascii="Marianne" w:hAnsi="Marianne"/>
          <w:sz w:val="20"/>
          <w:szCs w:val="20"/>
        </w:rPr>
        <w:t>3</w:t>
      </w:r>
      <w:r w:rsidR="003D2130" w:rsidRPr="00117B55">
        <w:rPr>
          <w:rFonts w:ascii="Marianne" w:hAnsi="Marianne"/>
          <w:sz w:val="20"/>
          <w:szCs w:val="20"/>
        </w:rPr>
        <w:t xml:space="preserve"> </w:t>
      </w:r>
      <w:r w:rsidRPr="00117B55">
        <w:rPr>
          <w:rFonts w:ascii="Marianne" w:hAnsi="Marianne"/>
          <w:sz w:val="20"/>
          <w:szCs w:val="20"/>
        </w:rPr>
        <w:t>du règlement</w:t>
      </w:r>
      <w:r w:rsidR="003D2130" w:rsidRPr="00117B55">
        <w:rPr>
          <w:rFonts w:ascii="Marianne" w:hAnsi="Marianne"/>
          <w:sz w:val="20"/>
          <w:szCs w:val="20"/>
        </w:rPr>
        <w:t xml:space="preserve"> UE 1007/2011 du Parlement européen et du Conseil du 27 septembre 2011</w:t>
      </w:r>
      <w:r w:rsidR="00C7764C" w:rsidRPr="00117B55">
        <w:rPr>
          <w:rFonts w:ascii="Marianne" w:hAnsi="Marianne"/>
          <w:sz w:val="20"/>
          <w:szCs w:val="20"/>
        </w:rPr>
        <w:t>.</w:t>
      </w:r>
      <w:r w:rsidR="00BE7B99">
        <w:rPr>
          <w:rFonts w:ascii="Marianne" w:hAnsi="Marianne"/>
          <w:sz w:val="20"/>
          <w:szCs w:val="20"/>
        </w:rPr>
        <w:t> </w:t>
      </w:r>
    </w:p>
    <w:p w14:paraId="4662C58D" w14:textId="77777777" w:rsidR="00F37104" w:rsidRDefault="00F37104" w:rsidP="003D2130">
      <w:pPr>
        <w:jc w:val="both"/>
        <w:rPr>
          <w:rFonts w:ascii="Marianne" w:hAnsi="Marianne"/>
          <w:sz w:val="20"/>
          <w:szCs w:val="20"/>
        </w:rPr>
      </w:pPr>
    </w:p>
    <w:p w14:paraId="20F9355C" w14:textId="2E5445A6" w:rsidR="003D2130" w:rsidRPr="00117B55" w:rsidRDefault="00F37104" w:rsidP="00F3710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« Mise sur le marché » </w:t>
      </w:r>
      <w:r w:rsidRPr="00F37104">
        <w:rPr>
          <w:rFonts w:ascii="Marianne" w:hAnsi="Marianne"/>
          <w:sz w:val="20"/>
          <w:szCs w:val="20"/>
        </w:rPr>
        <w:t>le fait de fournir un produit ou de le mettre</w:t>
      </w:r>
      <w:r>
        <w:rPr>
          <w:rFonts w:ascii="Marianne" w:hAnsi="Marianne"/>
          <w:sz w:val="20"/>
          <w:szCs w:val="20"/>
        </w:rPr>
        <w:t xml:space="preserve"> </w:t>
      </w:r>
      <w:r w:rsidRPr="00F37104">
        <w:rPr>
          <w:rFonts w:ascii="Marianne" w:hAnsi="Marianne"/>
          <w:sz w:val="20"/>
          <w:szCs w:val="20"/>
        </w:rPr>
        <w:t>à la disposition d'un tiers, à titre onéreux ou non. Toute importation est assimilée à une mise sur le marché</w:t>
      </w:r>
      <w:r>
        <w:rPr>
          <w:rFonts w:ascii="Marianne" w:hAnsi="Marianne"/>
          <w:sz w:val="20"/>
          <w:szCs w:val="20"/>
        </w:rPr>
        <w:t xml:space="preserve">. </w:t>
      </w:r>
      <w:r w:rsidR="00BE7B99">
        <w:rPr>
          <w:rFonts w:ascii="Marianne" w:hAnsi="Marianne"/>
          <w:sz w:val="20"/>
          <w:szCs w:val="20"/>
        </w:rPr>
        <w:t>»</w:t>
      </w:r>
    </w:p>
    <w:p w14:paraId="4CAC4E97" w14:textId="094FD08C" w:rsidR="0075486C" w:rsidRPr="00117B55" w:rsidRDefault="0075486C" w:rsidP="003D2130">
      <w:pPr>
        <w:jc w:val="both"/>
        <w:rPr>
          <w:rFonts w:ascii="Marianne" w:hAnsi="Marianne"/>
          <w:sz w:val="20"/>
          <w:szCs w:val="20"/>
        </w:rPr>
      </w:pPr>
    </w:p>
    <w:p w14:paraId="4D607345" w14:textId="77777777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</w:p>
    <w:p w14:paraId="0832F91C" w14:textId="572DA2CC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Pr="00117B55">
        <w:rPr>
          <w:rFonts w:ascii="Marianne" w:hAnsi="Marianne"/>
          <w:i/>
          <w:iCs/>
          <w:sz w:val="20"/>
          <w:szCs w:val="20"/>
        </w:rPr>
        <w:t>Art. D. 525-</w:t>
      </w:r>
      <w:r>
        <w:rPr>
          <w:rFonts w:ascii="Marianne" w:hAnsi="Marianne"/>
          <w:i/>
          <w:iCs/>
          <w:sz w:val="20"/>
          <w:szCs w:val="20"/>
        </w:rPr>
        <w:t>2</w:t>
      </w:r>
      <w:r w:rsidRPr="00117B55">
        <w:rPr>
          <w:rFonts w:ascii="Marianne" w:hAnsi="Marianne"/>
          <w:i/>
          <w:iCs/>
          <w:sz w:val="20"/>
          <w:szCs w:val="20"/>
        </w:rPr>
        <w:t>.</w:t>
      </w:r>
      <w:r w:rsidRPr="00117B55">
        <w:rPr>
          <w:rFonts w:ascii="Marianne" w:hAnsi="Marianne"/>
          <w:sz w:val="20"/>
          <w:szCs w:val="20"/>
        </w:rPr>
        <w:t xml:space="preserve"> - Les </w:t>
      </w:r>
      <w:r>
        <w:rPr>
          <w:rFonts w:ascii="Marianne" w:hAnsi="Marianne"/>
          <w:sz w:val="20"/>
          <w:szCs w:val="20"/>
        </w:rPr>
        <w:t xml:space="preserve">produits bénéficiant de l’exception prévue </w:t>
      </w:r>
      <w:r w:rsidRPr="00117B55">
        <w:rPr>
          <w:rFonts w:ascii="Marianne" w:hAnsi="Marianne"/>
          <w:sz w:val="20"/>
          <w:szCs w:val="20"/>
        </w:rPr>
        <w:t>au 3° du I de l’article L. 524-1</w:t>
      </w:r>
      <w:r>
        <w:rPr>
          <w:rFonts w:ascii="Marianne" w:hAnsi="Marianne"/>
          <w:sz w:val="20"/>
          <w:szCs w:val="20"/>
        </w:rPr>
        <w:t xml:space="preserve"> sont</w:t>
      </w:r>
      <w:r w:rsidRPr="00117B55">
        <w:rPr>
          <w:rFonts w:ascii="Marianne" w:hAnsi="Marianne"/>
          <w:sz w:val="20"/>
          <w:szCs w:val="20"/>
        </w:rPr>
        <w:t xml:space="preserve"> : </w:t>
      </w:r>
    </w:p>
    <w:p w14:paraId="268B4EE3" w14:textId="77777777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</w:p>
    <w:p w14:paraId="495E1848" w14:textId="036B6931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lastRenderedPageBreak/>
        <w:t xml:space="preserve">1° </w:t>
      </w:r>
      <w:r>
        <w:rPr>
          <w:rFonts w:ascii="Marianne" w:hAnsi="Marianne"/>
          <w:sz w:val="20"/>
          <w:szCs w:val="20"/>
        </w:rPr>
        <w:t xml:space="preserve">Les </w:t>
      </w:r>
      <w:r w:rsidRPr="00117B55">
        <w:rPr>
          <w:rFonts w:ascii="Marianne" w:hAnsi="Marianne"/>
          <w:sz w:val="20"/>
          <w:szCs w:val="20"/>
        </w:rPr>
        <w:t>équipements de protection individuelle relevant du règlement (UE) 2016/425, ainsi que les équipements de protection individuel</w:t>
      </w:r>
      <w:r>
        <w:rPr>
          <w:rFonts w:ascii="Marianne" w:hAnsi="Marianne"/>
          <w:sz w:val="20"/>
          <w:szCs w:val="20"/>
        </w:rPr>
        <w:t>le</w:t>
      </w:r>
      <w:r w:rsidRPr="00117B55">
        <w:rPr>
          <w:rFonts w:ascii="Marianne" w:hAnsi="Marianne"/>
          <w:sz w:val="20"/>
          <w:szCs w:val="20"/>
        </w:rPr>
        <w:t xml:space="preserve"> destinés aux forces armées, de sécurité intérieure et de sécurité civile ;</w:t>
      </w:r>
    </w:p>
    <w:p w14:paraId="39D65660" w14:textId="39FFBB6D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2° </w:t>
      </w:r>
      <w:r>
        <w:rPr>
          <w:rFonts w:ascii="Marianne" w:hAnsi="Marianne"/>
          <w:sz w:val="20"/>
          <w:szCs w:val="20"/>
        </w:rPr>
        <w:t xml:space="preserve">Les </w:t>
      </w:r>
      <w:r w:rsidRPr="00117B55">
        <w:rPr>
          <w:rFonts w:ascii="Marianne" w:hAnsi="Marianne"/>
          <w:sz w:val="20"/>
          <w:szCs w:val="20"/>
        </w:rPr>
        <w:t>agents imperméabilisants destinés à la réimperméabilisation des équipements de protection individuelle visés aux 1°.</w:t>
      </w:r>
      <w:r w:rsidR="00BE7B99">
        <w:rPr>
          <w:rFonts w:ascii="Marianne" w:hAnsi="Marianne"/>
          <w:sz w:val="20"/>
          <w:szCs w:val="20"/>
        </w:rPr>
        <w:t> »</w:t>
      </w:r>
      <w:r>
        <w:rPr>
          <w:rFonts w:ascii="Marianne" w:hAnsi="Marianne"/>
          <w:sz w:val="20"/>
          <w:szCs w:val="20"/>
        </w:rPr>
        <w:t> </w:t>
      </w:r>
    </w:p>
    <w:p w14:paraId="738088F7" w14:textId="22C61C7E" w:rsidR="00AA5973" w:rsidRDefault="00AA5973" w:rsidP="00AA5973">
      <w:pPr>
        <w:jc w:val="both"/>
        <w:rPr>
          <w:rFonts w:ascii="Marianne" w:hAnsi="Marianne"/>
          <w:sz w:val="20"/>
          <w:szCs w:val="20"/>
        </w:rPr>
      </w:pPr>
    </w:p>
    <w:p w14:paraId="253FC3B9" w14:textId="77777777" w:rsidR="00BE7B99" w:rsidRPr="00117B55" w:rsidRDefault="00BE7B99" w:rsidP="00AA5973">
      <w:pPr>
        <w:jc w:val="both"/>
        <w:rPr>
          <w:rFonts w:ascii="Marianne" w:hAnsi="Marianne"/>
          <w:sz w:val="20"/>
          <w:szCs w:val="20"/>
        </w:rPr>
      </w:pPr>
    </w:p>
    <w:p w14:paraId="25136FD5" w14:textId="061D6621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Pr="00117B55">
        <w:rPr>
          <w:rFonts w:ascii="Marianne" w:hAnsi="Marianne"/>
          <w:i/>
          <w:iCs/>
          <w:sz w:val="20"/>
          <w:szCs w:val="20"/>
        </w:rPr>
        <w:t>Art. D. 525-</w:t>
      </w:r>
      <w:r>
        <w:rPr>
          <w:rFonts w:ascii="Marianne" w:hAnsi="Marianne"/>
          <w:i/>
          <w:iCs/>
          <w:sz w:val="20"/>
          <w:szCs w:val="20"/>
        </w:rPr>
        <w:t>3</w:t>
      </w:r>
      <w:r w:rsidRPr="00117B55">
        <w:rPr>
          <w:rFonts w:ascii="Marianne" w:hAnsi="Marianne"/>
          <w:i/>
          <w:iCs/>
          <w:sz w:val="20"/>
          <w:szCs w:val="20"/>
        </w:rPr>
        <w:t>.</w:t>
      </w:r>
      <w:r w:rsidRPr="00117B55">
        <w:rPr>
          <w:rFonts w:ascii="Marianne" w:hAnsi="Marianne"/>
          <w:sz w:val="20"/>
          <w:szCs w:val="20"/>
        </w:rPr>
        <w:t xml:space="preserve"> - Les </w:t>
      </w:r>
      <w:r>
        <w:rPr>
          <w:rFonts w:ascii="Marianne" w:hAnsi="Marianne"/>
          <w:sz w:val="20"/>
          <w:szCs w:val="20"/>
        </w:rPr>
        <w:t>produits bénéficiant de l’exception prévue</w:t>
      </w:r>
      <w:r w:rsidRPr="00117B55" w:rsidDel="00AA5973">
        <w:rPr>
          <w:rFonts w:ascii="Marianne" w:hAnsi="Marianne"/>
          <w:sz w:val="20"/>
          <w:szCs w:val="20"/>
        </w:rPr>
        <w:t xml:space="preserve"> </w:t>
      </w:r>
      <w:r w:rsidRPr="00117B55">
        <w:rPr>
          <w:rFonts w:ascii="Marianne" w:hAnsi="Marianne"/>
          <w:sz w:val="20"/>
          <w:szCs w:val="20"/>
        </w:rPr>
        <w:t>au II de l’article L. 524-1</w:t>
      </w:r>
      <w:r>
        <w:rPr>
          <w:rFonts w:ascii="Marianne" w:hAnsi="Marianne"/>
          <w:sz w:val="20"/>
          <w:szCs w:val="20"/>
        </w:rPr>
        <w:t xml:space="preserve"> sont</w:t>
      </w:r>
      <w:r w:rsidRPr="00117B55">
        <w:rPr>
          <w:rFonts w:ascii="Marianne" w:hAnsi="Marianne"/>
          <w:sz w:val="20"/>
          <w:szCs w:val="20"/>
        </w:rPr>
        <w:t xml:space="preserve"> : </w:t>
      </w:r>
    </w:p>
    <w:p w14:paraId="75B5FAD8" w14:textId="77777777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</w:p>
    <w:p w14:paraId="616520B6" w14:textId="28BC612C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1° </w:t>
      </w:r>
      <w:r>
        <w:rPr>
          <w:rFonts w:ascii="Marianne" w:hAnsi="Marianne"/>
          <w:sz w:val="20"/>
          <w:szCs w:val="20"/>
        </w:rPr>
        <w:t>Les</w:t>
      </w:r>
      <w:r w:rsidRPr="00117B55">
        <w:rPr>
          <w:rFonts w:ascii="Marianne" w:hAnsi="Marianne"/>
          <w:sz w:val="20"/>
          <w:szCs w:val="20"/>
        </w:rPr>
        <w:t xml:space="preserve"> textiles techniques à usages industriels ;</w:t>
      </w:r>
    </w:p>
    <w:p w14:paraId="7FA4C3D9" w14:textId="1E3159DF" w:rsidR="00AA5973" w:rsidRPr="00117B55" w:rsidRDefault="00AA5973" w:rsidP="00AA5973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2° </w:t>
      </w:r>
      <w:r>
        <w:rPr>
          <w:rFonts w:ascii="Marianne" w:hAnsi="Marianne"/>
          <w:sz w:val="20"/>
          <w:szCs w:val="20"/>
        </w:rPr>
        <w:t>Les produits suivants, dè</w:t>
      </w:r>
      <w:r w:rsidRPr="00117B55">
        <w:rPr>
          <w:rFonts w:ascii="Marianne" w:hAnsi="Marianne"/>
          <w:sz w:val="20"/>
          <w:szCs w:val="20"/>
        </w:rPr>
        <w:t xml:space="preserve">s lors qu’il n’existe pas de solution de substitution à l’usage des substances </w:t>
      </w:r>
      <w:proofErr w:type="spellStart"/>
      <w:r w:rsidRPr="00117B55">
        <w:rPr>
          <w:rFonts w:ascii="Marianne" w:hAnsi="Marianne"/>
          <w:sz w:val="20"/>
          <w:szCs w:val="20"/>
        </w:rPr>
        <w:t>perfluoroalkylées</w:t>
      </w:r>
      <w:proofErr w:type="spellEnd"/>
      <w:r w:rsidRPr="00117B55">
        <w:rPr>
          <w:rFonts w:ascii="Marianne" w:hAnsi="Marianne"/>
          <w:sz w:val="20"/>
          <w:szCs w:val="20"/>
        </w:rPr>
        <w:t xml:space="preserve"> et </w:t>
      </w:r>
      <w:proofErr w:type="spellStart"/>
      <w:r w:rsidRPr="00117B55">
        <w:rPr>
          <w:rFonts w:ascii="Marianne" w:hAnsi="Marianne"/>
          <w:sz w:val="20"/>
          <w:szCs w:val="20"/>
        </w:rPr>
        <w:t>polyfluoroalkylées</w:t>
      </w:r>
      <w:proofErr w:type="spellEnd"/>
      <w:r w:rsidRPr="00117B55">
        <w:rPr>
          <w:rFonts w:ascii="Marianne" w:hAnsi="Marianne"/>
          <w:sz w:val="20"/>
          <w:szCs w:val="20"/>
        </w:rPr>
        <w:t xml:space="preserve"> :</w:t>
      </w:r>
    </w:p>
    <w:p w14:paraId="6EFA64F3" w14:textId="77777777" w:rsidR="00AA5973" w:rsidRPr="00117B55" w:rsidRDefault="00AA5973" w:rsidP="005C55E4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Les </w:t>
      </w:r>
      <w:r w:rsidRPr="00117B55">
        <w:rPr>
          <w:rFonts w:ascii="Marianne" w:hAnsi="Marianne"/>
          <w:sz w:val="20"/>
          <w:szCs w:val="20"/>
        </w:rPr>
        <w:t>équipements de protection individuelle destinés à protéger l'utilisateur contre les risques relevant de la catégorie de risques III, annexe I, points a), c) à f), h) et l), du règlement (UE) 2016/425 ;</w:t>
      </w:r>
    </w:p>
    <w:p w14:paraId="16FFA7B4" w14:textId="7B2F5E0C" w:rsidR="00AA5973" w:rsidRPr="00117B55" w:rsidRDefault="00AA5973" w:rsidP="005C55E4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Les </w:t>
      </w:r>
      <w:r w:rsidRPr="00117B55">
        <w:rPr>
          <w:rFonts w:ascii="Marianne" w:hAnsi="Marianne"/>
          <w:sz w:val="20"/>
          <w:szCs w:val="20"/>
        </w:rPr>
        <w:t>équipements de protection individuelle destinés aux forces armées, de sécurité intérieure et de sécurité civile, destinés à les protéger contre les risques spécifiés dans le règlement (UE) 2016/425, annexe I, catégorie de risque III a) à m) ;</w:t>
      </w:r>
    </w:p>
    <w:p w14:paraId="68D16DBE" w14:textId="05D05988" w:rsidR="00AA5973" w:rsidRPr="00117B55" w:rsidRDefault="00AA5973" w:rsidP="005C55E4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Les </w:t>
      </w:r>
      <w:r w:rsidRPr="00117B55">
        <w:rPr>
          <w:rFonts w:ascii="Marianne" w:hAnsi="Marianne"/>
          <w:sz w:val="20"/>
          <w:szCs w:val="20"/>
        </w:rPr>
        <w:t xml:space="preserve">textiles </w:t>
      </w:r>
      <w:r w:rsidR="00F37104">
        <w:rPr>
          <w:rFonts w:ascii="Marianne" w:hAnsi="Marianne"/>
          <w:sz w:val="20"/>
          <w:szCs w:val="20"/>
        </w:rPr>
        <w:t xml:space="preserve">sanitaires </w:t>
      </w:r>
      <w:r w:rsidRPr="00117B55">
        <w:rPr>
          <w:rFonts w:ascii="Marianne" w:hAnsi="Marianne"/>
          <w:sz w:val="20"/>
          <w:szCs w:val="20"/>
        </w:rPr>
        <w:t>destinés aux usages médicaux</w:t>
      </w:r>
      <w:r w:rsidR="00F37104">
        <w:rPr>
          <w:rFonts w:ascii="Marianne" w:hAnsi="Marianne"/>
          <w:sz w:val="20"/>
          <w:szCs w:val="20"/>
        </w:rPr>
        <w:t xml:space="preserve">, dont les </w:t>
      </w:r>
      <w:r w:rsidR="00F37104" w:rsidRPr="00F37104">
        <w:rPr>
          <w:rFonts w:ascii="Marianne" w:hAnsi="Marianne"/>
          <w:sz w:val="20"/>
          <w:szCs w:val="20"/>
        </w:rPr>
        <w:t>dont les produits utilisés pour des soins médicaux visés au 5° du III de l’article de l’article R. 543-360</w:t>
      </w:r>
      <w:r w:rsidRPr="00117B55">
        <w:rPr>
          <w:rFonts w:ascii="Marianne" w:hAnsi="Marianne"/>
          <w:sz w:val="20"/>
          <w:szCs w:val="20"/>
        </w:rPr>
        <w:t>.</w:t>
      </w:r>
      <w:r>
        <w:rPr>
          <w:rFonts w:ascii="Marianne" w:hAnsi="Marianne"/>
          <w:sz w:val="20"/>
          <w:szCs w:val="20"/>
        </w:rPr>
        <w:t> »</w:t>
      </w:r>
    </w:p>
    <w:p w14:paraId="2F3F8885" w14:textId="13FC588B" w:rsidR="009B78C1" w:rsidRDefault="009B78C1" w:rsidP="003D2130">
      <w:pPr>
        <w:jc w:val="both"/>
        <w:rPr>
          <w:rFonts w:ascii="Marianne" w:hAnsi="Marianne"/>
          <w:sz w:val="20"/>
          <w:szCs w:val="20"/>
        </w:rPr>
      </w:pPr>
    </w:p>
    <w:p w14:paraId="52DD9720" w14:textId="77777777" w:rsidR="00BE7B99" w:rsidRPr="00117B55" w:rsidRDefault="00BE7B99" w:rsidP="003D2130">
      <w:pPr>
        <w:jc w:val="both"/>
        <w:rPr>
          <w:rFonts w:ascii="Marianne" w:hAnsi="Marianne"/>
          <w:sz w:val="20"/>
          <w:szCs w:val="20"/>
        </w:rPr>
      </w:pPr>
    </w:p>
    <w:p w14:paraId="1D490CDC" w14:textId="0670811F" w:rsidR="00F1213D" w:rsidRDefault="00C7764C" w:rsidP="00F1213D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« </w:t>
      </w:r>
      <w:r w:rsidR="00F962F7" w:rsidRPr="00117B55">
        <w:rPr>
          <w:rFonts w:ascii="Marianne" w:hAnsi="Marianne"/>
          <w:i/>
          <w:iCs/>
          <w:sz w:val="20"/>
          <w:szCs w:val="20"/>
        </w:rPr>
        <w:t>Art. D. 525-</w:t>
      </w:r>
      <w:r w:rsidR="00AA5973">
        <w:rPr>
          <w:rFonts w:ascii="Marianne" w:hAnsi="Marianne"/>
          <w:i/>
          <w:iCs/>
          <w:sz w:val="20"/>
          <w:szCs w:val="20"/>
        </w:rPr>
        <w:t>4</w:t>
      </w:r>
      <w:r w:rsidR="00F962F7" w:rsidRPr="00117B55">
        <w:rPr>
          <w:rFonts w:ascii="Marianne" w:hAnsi="Marianne"/>
          <w:i/>
          <w:iCs/>
          <w:sz w:val="20"/>
          <w:szCs w:val="20"/>
        </w:rPr>
        <w:t xml:space="preserve">. </w:t>
      </w:r>
      <w:r w:rsidR="00597053">
        <w:rPr>
          <w:rFonts w:ascii="Marianne" w:hAnsi="Marianne"/>
          <w:i/>
          <w:iCs/>
          <w:sz w:val="20"/>
          <w:szCs w:val="20"/>
        </w:rPr>
        <w:t>–</w:t>
      </w:r>
      <w:r w:rsidR="00F962F7" w:rsidRPr="00117B55">
        <w:rPr>
          <w:rFonts w:ascii="Marianne" w:hAnsi="Marianne"/>
          <w:sz w:val="20"/>
          <w:szCs w:val="20"/>
        </w:rPr>
        <w:t xml:space="preserve"> </w:t>
      </w:r>
      <w:r w:rsidR="00F1213D" w:rsidRPr="00F1213D">
        <w:rPr>
          <w:rFonts w:ascii="Marianne" w:hAnsi="Marianne"/>
          <w:sz w:val="20"/>
          <w:szCs w:val="20"/>
        </w:rPr>
        <w:t xml:space="preserve">La valeur résiduelle prévue au III de l’article L. 524-1, permettant de fixer la valeur de concentration résiduelle visant à concilier l’interdiction des PFAS avec les réalités techniques de détection, correspond à la valeur en deçà de laquelle la présence minimale de PFAS correspond à une contamination non-intentionnelle à l'état de trace, selon les conditions suivantes : </w:t>
      </w:r>
    </w:p>
    <w:p w14:paraId="251623E8" w14:textId="01203C53" w:rsidR="00F1213D" w:rsidRDefault="00F1213D" w:rsidP="00F1213D">
      <w:pPr>
        <w:pStyle w:val="Paragraphedeliste"/>
        <w:numPr>
          <w:ilvl w:val="0"/>
          <w:numId w:val="24"/>
        </w:numPr>
        <w:jc w:val="both"/>
        <w:rPr>
          <w:rFonts w:ascii="Marianne" w:hAnsi="Marianne"/>
          <w:sz w:val="20"/>
          <w:szCs w:val="20"/>
        </w:rPr>
      </w:pPr>
      <w:r w:rsidRPr="00F1213D">
        <w:rPr>
          <w:rFonts w:ascii="Marianne" w:hAnsi="Marianne"/>
          <w:sz w:val="20"/>
          <w:szCs w:val="20"/>
        </w:rPr>
        <w:t xml:space="preserve">Pour tout PFAS mesuré par une analyse ciblée, à l’exclusion des polymères, le seuil est fixé à 25 </w:t>
      </w:r>
      <w:proofErr w:type="spellStart"/>
      <w:r w:rsidRPr="00F1213D">
        <w:rPr>
          <w:rFonts w:ascii="Marianne" w:hAnsi="Marianne"/>
          <w:sz w:val="20"/>
          <w:szCs w:val="20"/>
        </w:rPr>
        <w:t>ppb</w:t>
      </w:r>
      <w:proofErr w:type="spellEnd"/>
      <w:r w:rsidRPr="00F1213D">
        <w:rPr>
          <w:rFonts w:ascii="Marianne" w:hAnsi="Marianne"/>
          <w:sz w:val="20"/>
          <w:szCs w:val="20"/>
        </w:rPr>
        <w:t xml:space="preserve"> ;</w:t>
      </w:r>
    </w:p>
    <w:p w14:paraId="4CB6F9BE" w14:textId="751A4B46" w:rsidR="00F1213D" w:rsidRDefault="00F1213D" w:rsidP="00F1213D">
      <w:pPr>
        <w:pStyle w:val="Paragraphedeliste"/>
        <w:numPr>
          <w:ilvl w:val="0"/>
          <w:numId w:val="24"/>
        </w:numPr>
        <w:jc w:val="both"/>
        <w:rPr>
          <w:rFonts w:ascii="Marianne" w:hAnsi="Marianne"/>
          <w:sz w:val="20"/>
          <w:szCs w:val="20"/>
        </w:rPr>
      </w:pPr>
      <w:r w:rsidRPr="00F1213D">
        <w:rPr>
          <w:rFonts w:ascii="Marianne" w:hAnsi="Marianne"/>
          <w:sz w:val="20"/>
          <w:szCs w:val="20"/>
        </w:rPr>
        <w:t xml:space="preserve">Pour la somme des PFAS mesurée comme la somme des analyses ciblées des PFAS, le cas échéant avec une dégradation préalable des précurseurs, à l’exclusion des polymères, le seuil est fixé à 250 </w:t>
      </w:r>
      <w:proofErr w:type="spellStart"/>
      <w:r w:rsidRPr="00F1213D">
        <w:rPr>
          <w:rFonts w:ascii="Marianne" w:hAnsi="Marianne"/>
          <w:sz w:val="20"/>
          <w:szCs w:val="20"/>
        </w:rPr>
        <w:t>ppb</w:t>
      </w:r>
      <w:proofErr w:type="spellEnd"/>
      <w:r>
        <w:rPr>
          <w:rFonts w:ascii="Marianne" w:hAnsi="Marianne"/>
          <w:sz w:val="20"/>
          <w:szCs w:val="20"/>
        </w:rPr>
        <w:t> ;</w:t>
      </w:r>
    </w:p>
    <w:p w14:paraId="3E172045" w14:textId="41671978" w:rsidR="00F1213D" w:rsidRPr="00E40127" w:rsidRDefault="00F1213D" w:rsidP="00B575EB">
      <w:pPr>
        <w:pStyle w:val="Paragraphedeliste"/>
        <w:numPr>
          <w:ilvl w:val="0"/>
          <w:numId w:val="24"/>
        </w:numPr>
        <w:jc w:val="both"/>
        <w:rPr>
          <w:rFonts w:ascii="Marianne" w:hAnsi="Marianne"/>
          <w:sz w:val="20"/>
          <w:szCs w:val="20"/>
        </w:rPr>
      </w:pPr>
      <w:r w:rsidRPr="00F1213D">
        <w:rPr>
          <w:rFonts w:ascii="Marianne" w:hAnsi="Marianne"/>
          <w:sz w:val="20"/>
          <w:szCs w:val="20"/>
        </w:rPr>
        <w:t xml:space="preserve">Pour les PFAS incluant les polymères le seuil est fixé à 50 ppm. </w:t>
      </w:r>
    </w:p>
    <w:p w14:paraId="5B04CB9F" w14:textId="7044BC87" w:rsidR="00234E43" w:rsidRPr="00E40127" w:rsidRDefault="00F1213D" w:rsidP="00E40127">
      <w:pPr>
        <w:jc w:val="both"/>
        <w:rPr>
          <w:rFonts w:ascii="Marianne" w:hAnsi="Marianne"/>
          <w:sz w:val="20"/>
          <w:szCs w:val="20"/>
        </w:rPr>
      </w:pPr>
      <w:r w:rsidRPr="00E40127">
        <w:rPr>
          <w:rFonts w:ascii="Marianne" w:hAnsi="Marianne"/>
          <w:sz w:val="20"/>
          <w:szCs w:val="20"/>
        </w:rPr>
        <w:t>Ces valeurs ont vocation à être révisées en cas d’évolution des modalités techniques prévues en application des règlements européens (CE) n° 1907/2006 ou (UE) 2019/1021</w:t>
      </w:r>
      <w:r w:rsidR="00E40127" w:rsidRPr="00E40127">
        <w:rPr>
          <w:rFonts w:ascii="Marianne" w:hAnsi="Marianne"/>
          <w:sz w:val="20"/>
          <w:szCs w:val="20"/>
        </w:rPr>
        <w:t>. »</w:t>
      </w:r>
    </w:p>
    <w:p w14:paraId="2FDB2077" w14:textId="74EC1B9D" w:rsidR="00E603EC" w:rsidRPr="00117B55" w:rsidRDefault="00E603EC" w:rsidP="00E603EC">
      <w:pPr>
        <w:jc w:val="both"/>
        <w:rPr>
          <w:rFonts w:ascii="Marianne" w:hAnsi="Marianne"/>
          <w:sz w:val="20"/>
          <w:szCs w:val="20"/>
        </w:rPr>
      </w:pPr>
    </w:p>
    <w:p w14:paraId="20EC42E8" w14:textId="77777777" w:rsidR="00E603EC" w:rsidRPr="00117B55" w:rsidRDefault="00E603EC" w:rsidP="00E603EC">
      <w:pPr>
        <w:jc w:val="both"/>
        <w:rPr>
          <w:rFonts w:ascii="Marianne" w:hAnsi="Marianne"/>
          <w:sz w:val="20"/>
          <w:szCs w:val="20"/>
        </w:rPr>
      </w:pPr>
    </w:p>
    <w:p w14:paraId="630993F9" w14:textId="03267A71" w:rsidR="000B3425" w:rsidRPr="00117B55" w:rsidRDefault="000B3425" w:rsidP="001729BE">
      <w:pPr>
        <w:spacing w:line="259" w:lineRule="auto"/>
        <w:jc w:val="center"/>
        <w:rPr>
          <w:rFonts w:ascii="Marianne" w:hAnsi="Marianne"/>
          <w:b/>
          <w:sz w:val="20"/>
          <w:szCs w:val="20"/>
        </w:rPr>
      </w:pPr>
      <w:r w:rsidRPr="00117B55">
        <w:rPr>
          <w:rFonts w:ascii="Marianne" w:hAnsi="Marianne"/>
          <w:b/>
          <w:sz w:val="20"/>
          <w:szCs w:val="20"/>
        </w:rPr>
        <w:t xml:space="preserve">Article </w:t>
      </w:r>
      <w:r w:rsidR="00597053">
        <w:rPr>
          <w:rFonts w:ascii="Marianne" w:hAnsi="Marianne"/>
          <w:b/>
          <w:sz w:val="20"/>
          <w:szCs w:val="20"/>
        </w:rPr>
        <w:t>2</w:t>
      </w:r>
    </w:p>
    <w:p w14:paraId="5A573F50" w14:textId="6024D33A" w:rsidR="006502B3" w:rsidRPr="00117B55" w:rsidRDefault="006502B3" w:rsidP="001729BE">
      <w:pPr>
        <w:spacing w:after="160" w:line="259" w:lineRule="auto"/>
        <w:rPr>
          <w:rFonts w:ascii="Marianne" w:hAnsi="Marianne"/>
          <w:b/>
          <w:sz w:val="20"/>
          <w:szCs w:val="20"/>
        </w:rPr>
      </w:pPr>
    </w:p>
    <w:p w14:paraId="7F38FEDA" w14:textId="2B48E198" w:rsidR="00426EEC" w:rsidRDefault="006502B3" w:rsidP="00DD3D63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Les dispositions du présent décret entrent en vigueur </w:t>
      </w:r>
      <w:r w:rsidR="00DD3D63" w:rsidRPr="00117B55">
        <w:rPr>
          <w:rFonts w:ascii="Marianne" w:hAnsi="Marianne"/>
          <w:sz w:val="20"/>
          <w:szCs w:val="20"/>
        </w:rPr>
        <w:t>le lendemain de sa publication au Journal officiel.</w:t>
      </w:r>
    </w:p>
    <w:p w14:paraId="260353A5" w14:textId="68ACA918" w:rsidR="00F1213D" w:rsidRDefault="00F1213D" w:rsidP="00DD3D63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</w:p>
    <w:p w14:paraId="42DFFAD9" w14:textId="25A73DB6" w:rsidR="00F1213D" w:rsidRDefault="00F1213D" w:rsidP="00DD3D63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</w:p>
    <w:p w14:paraId="1BF731A8" w14:textId="7538B8E5" w:rsidR="00F1213D" w:rsidRDefault="00F1213D" w:rsidP="00DD3D63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</w:p>
    <w:p w14:paraId="1C1A123E" w14:textId="77777777" w:rsidR="00F1213D" w:rsidRPr="00117B55" w:rsidRDefault="00F1213D" w:rsidP="00DD3D63">
      <w:pPr>
        <w:spacing w:after="160" w:line="259" w:lineRule="auto"/>
        <w:jc w:val="both"/>
        <w:rPr>
          <w:rFonts w:ascii="Marianne" w:hAnsi="Marianne"/>
          <w:sz w:val="20"/>
          <w:szCs w:val="20"/>
        </w:rPr>
      </w:pPr>
    </w:p>
    <w:p w14:paraId="30C47C2F" w14:textId="77777777" w:rsidR="00426EEC" w:rsidRPr="00117B55" w:rsidRDefault="00426EEC" w:rsidP="00796309">
      <w:pPr>
        <w:jc w:val="both"/>
        <w:rPr>
          <w:rFonts w:ascii="Marianne" w:hAnsi="Marianne"/>
          <w:sz w:val="20"/>
          <w:szCs w:val="20"/>
        </w:rPr>
      </w:pPr>
    </w:p>
    <w:p w14:paraId="49486F0F" w14:textId="7633E025" w:rsidR="006502B3" w:rsidRPr="00117B55" w:rsidRDefault="006502B3" w:rsidP="006502B3">
      <w:pPr>
        <w:spacing w:after="160" w:line="259" w:lineRule="auto"/>
        <w:jc w:val="center"/>
        <w:rPr>
          <w:rFonts w:ascii="Marianne" w:hAnsi="Marianne"/>
          <w:b/>
          <w:sz w:val="20"/>
          <w:szCs w:val="20"/>
        </w:rPr>
      </w:pPr>
      <w:r w:rsidRPr="00117B55">
        <w:rPr>
          <w:rFonts w:ascii="Marianne" w:hAnsi="Marianne"/>
          <w:b/>
          <w:sz w:val="20"/>
          <w:szCs w:val="20"/>
        </w:rPr>
        <w:t xml:space="preserve">Article </w:t>
      </w:r>
      <w:r w:rsidR="00597053">
        <w:rPr>
          <w:rFonts w:ascii="Marianne" w:hAnsi="Marianne"/>
          <w:b/>
          <w:sz w:val="20"/>
          <w:szCs w:val="20"/>
        </w:rPr>
        <w:t>3</w:t>
      </w:r>
    </w:p>
    <w:p w14:paraId="3C0FE81D" w14:textId="77777777" w:rsidR="006502B3" w:rsidRPr="00117B55" w:rsidRDefault="006502B3" w:rsidP="00796309">
      <w:pPr>
        <w:jc w:val="both"/>
        <w:rPr>
          <w:rFonts w:ascii="Marianne" w:hAnsi="Marianne"/>
          <w:sz w:val="20"/>
          <w:szCs w:val="20"/>
        </w:rPr>
      </w:pPr>
    </w:p>
    <w:p w14:paraId="7B987878" w14:textId="78BAE98E" w:rsidR="00796309" w:rsidRPr="00117B55" w:rsidRDefault="000F379D" w:rsidP="00796309">
      <w:pPr>
        <w:jc w:val="both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lastRenderedPageBreak/>
        <w:t>L</w:t>
      </w:r>
      <w:r w:rsidR="00AC3294" w:rsidRPr="00117B55">
        <w:rPr>
          <w:rFonts w:ascii="Marianne" w:hAnsi="Marianne"/>
          <w:sz w:val="20"/>
          <w:szCs w:val="20"/>
        </w:rPr>
        <w:t xml:space="preserve">a ministre de la transition écologique, </w:t>
      </w:r>
      <w:r w:rsidR="00261F56" w:rsidRPr="00117B55">
        <w:rPr>
          <w:rFonts w:ascii="Marianne" w:hAnsi="Marianne"/>
          <w:sz w:val="20"/>
          <w:szCs w:val="20"/>
        </w:rPr>
        <w:t>de la biodiversité, de la forêt, de la mer et de la pêche</w:t>
      </w:r>
      <w:r w:rsidR="00AA5973">
        <w:rPr>
          <w:rFonts w:ascii="Marianne" w:hAnsi="Marianne"/>
          <w:sz w:val="20"/>
          <w:szCs w:val="20"/>
        </w:rPr>
        <w:t xml:space="preserve"> est chargée </w:t>
      </w:r>
      <w:r w:rsidR="00796309" w:rsidRPr="00117B55">
        <w:rPr>
          <w:rFonts w:ascii="Marianne" w:hAnsi="Marianne"/>
          <w:sz w:val="20"/>
          <w:szCs w:val="20"/>
        </w:rPr>
        <w:t>de l’exécution du présent décret, qui sera publié au Journal officiel de la République française.</w:t>
      </w:r>
    </w:p>
    <w:p w14:paraId="235291ED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31B4EE2A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05219C86" w14:textId="77777777" w:rsidR="00796309" w:rsidRPr="00117B55" w:rsidRDefault="00796309" w:rsidP="00796309">
      <w:pPr>
        <w:ind w:firstLine="709"/>
        <w:jc w:val="both"/>
        <w:rPr>
          <w:rFonts w:ascii="Marianne" w:hAnsi="Marianne"/>
          <w:sz w:val="20"/>
          <w:szCs w:val="20"/>
        </w:rPr>
      </w:pPr>
      <w:proofErr w:type="gramStart"/>
      <w:r w:rsidRPr="00117B55">
        <w:rPr>
          <w:rFonts w:ascii="Marianne" w:hAnsi="Marianne"/>
          <w:sz w:val="20"/>
          <w:szCs w:val="20"/>
        </w:rPr>
        <w:t>Fait le</w:t>
      </w:r>
      <w:proofErr w:type="gramEnd"/>
      <w:r w:rsidRPr="00117B55">
        <w:rPr>
          <w:rFonts w:ascii="Marianne" w:hAnsi="Marianne"/>
          <w:sz w:val="20"/>
          <w:szCs w:val="20"/>
        </w:rPr>
        <w:t xml:space="preserve"> </w:t>
      </w:r>
    </w:p>
    <w:p w14:paraId="7145BEF0" w14:textId="77777777" w:rsidR="00796309" w:rsidRPr="00117B55" w:rsidRDefault="00796309" w:rsidP="00796309">
      <w:pPr>
        <w:jc w:val="both"/>
        <w:rPr>
          <w:rFonts w:ascii="Marianne" w:hAnsi="Marianne"/>
          <w:sz w:val="20"/>
          <w:szCs w:val="20"/>
        </w:rPr>
      </w:pPr>
    </w:p>
    <w:p w14:paraId="1BBAF91F" w14:textId="77777777" w:rsidR="00796309" w:rsidRPr="00117B55" w:rsidRDefault="00796309" w:rsidP="00D8056F">
      <w:pPr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Par le Premier Ministre :</w:t>
      </w:r>
    </w:p>
    <w:p w14:paraId="6EF3DE85" w14:textId="77777777" w:rsidR="00796309" w:rsidRPr="00117B55" w:rsidRDefault="00796309" w:rsidP="00796309">
      <w:pPr>
        <w:jc w:val="center"/>
        <w:rPr>
          <w:rFonts w:ascii="Marianne" w:hAnsi="Marianne"/>
          <w:sz w:val="20"/>
          <w:szCs w:val="20"/>
        </w:rPr>
      </w:pPr>
    </w:p>
    <w:p w14:paraId="1CAC805E" w14:textId="77777777" w:rsidR="00796309" w:rsidRPr="00117B55" w:rsidRDefault="00796309" w:rsidP="00796309">
      <w:pPr>
        <w:jc w:val="right"/>
        <w:rPr>
          <w:rFonts w:ascii="Marianne" w:hAnsi="Marianne"/>
          <w:sz w:val="20"/>
          <w:szCs w:val="20"/>
        </w:rPr>
      </w:pPr>
    </w:p>
    <w:p w14:paraId="20C546EE" w14:textId="77777777" w:rsidR="00796309" w:rsidRPr="00117B55" w:rsidRDefault="00796309" w:rsidP="00796309">
      <w:pPr>
        <w:jc w:val="right"/>
        <w:rPr>
          <w:rFonts w:ascii="Marianne" w:hAnsi="Marianne"/>
          <w:sz w:val="20"/>
          <w:szCs w:val="20"/>
        </w:rPr>
      </w:pPr>
    </w:p>
    <w:p w14:paraId="3308E683" w14:textId="4EC752AD" w:rsidR="00FB57EF" w:rsidRPr="00117B55" w:rsidRDefault="00FB57EF" w:rsidP="00261F56">
      <w:pPr>
        <w:pStyle w:val="SNSignatureGauche"/>
        <w:ind w:left="3261" w:firstLine="0"/>
        <w:jc w:val="right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 xml:space="preserve">La ministre de la transition écologique, </w:t>
      </w:r>
      <w:r w:rsidR="00261F56" w:rsidRPr="00117B55">
        <w:rPr>
          <w:rFonts w:ascii="Marianne" w:hAnsi="Marianne"/>
          <w:sz w:val="20"/>
          <w:szCs w:val="20"/>
        </w:rPr>
        <w:t xml:space="preserve">de la biodiversité, de la forêt, de la mer et de la pêche, </w:t>
      </w:r>
    </w:p>
    <w:p w14:paraId="53B1646D" w14:textId="77777777" w:rsidR="00796309" w:rsidRPr="00117B55" w:rsidRDefault="00796309" w:rsidP="00796309">
      <w:pPr>
        <w:jc w:val="right"/>
        <w:rPr>
          <w:rFonts w:ascii="Marianne" w:hAnsi="Marianne"/>
          <w:sz w:val="20"/>
          <w:szCs w:val="20"/>
        </w:rPr>
      </w:pPr>
    </w:p>
    <w:p w14:paraId="3F9EA00E" w14:textId="4C632E84" w:rsidR="00A825ED" w:rsidRPr="00117B55" w:rsidRDefault="00FB57EF" w:rsidP="00BE7B99">
      <w:pPr>
        <w:jc w:val="right"/>
        <w:rPr>
          <w:rFonts w:ascii="Marianne" w:hAnsi="Marianne"/>
          <w:sz w:val="20"/>
          <w:szCs w:val="20"/>
        </w:rPr>
      </w:pPr>
      <w:r w:rsidRPr="00117B55">
        <w:rPr>
          <w:rFonts w:ascii="Marianne" w:hAnsi="Marianne"/>
          <w:sz w:val="20"/>
          <w:szCs w:val="20"/>
        </w:rPr>
        <w:t>Agnès PANNIER-RUNACHER</w:t>
      </w:r>
    </w:p>
    <w:sectPr w:rsidR="00A825ED" w:rsidRPr="00117B55" w:rsidSect="00F7356C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A2EC" w14:textId="77777777" w:rsidR="00D05975" w:rsidRDefault="00D05975" w:rsidP="00082A33">
      <w:r>
        <w:separator/>
      </w:r>
    </w:p>
  </w:endnote>
  <w:endnote w:type="continuationSeparator" w:id="0">
    <w:p w14:paraId="0681BEA2" w14:textId="77777777" w:rsidR="00D05975" w:rsidRDefault="00D05975" w:rsidP="0008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549D" w14:textId="77777777" w:rsidR="00D05975" w:rsidRDefault="00D05975" w:rsidP="00082A33">
      <w:r>
        <w:separator/>
      </w:r>
    </w:p>
  </w:footnote>
  <w:footnote w:type="continuationSeparator" w:id="0">
    <w:p w14:paraId="537EAC20" w14:textId="77777777" w:rsidR="00D05975" w:rsidRDefault="00D05975" w:rsidP="0008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4A5B" w14:textId="34597CD2" w:rsidR="00557B9A" w:rsidRDefault="0042397B">
    <w:pPr>
      <w:pStyle w:val="En-tte"/>
    </w:pPr>
    <w:r>
      <w:rPr>
        <w:noProof/>
      </w:rPr>
      <w:pict w14:anchorId="35846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063" o:spid="_x0000_s2054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61D" w14:textId="5ED9AC7F" w:rsidR="00557B9A" w:rsidRDefault="0042397B">
    <w:pPr>
      <w:pStyle w:val="En-tte"/>
    </w:pPr>
    <w:r>
      <w:rPr>
        <w:noProof/>
      </w:rPr>
      <w:pict w14:anchorId="0DBE7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064" o:spid="_x0000_s2055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798" w14:textId="637AE7EF" w:rsidR="00557B9A" w:rsidRDefault="0042397B">
    <w:pPr>
      <w:pStyle w:val="En-tte"/>
    </w:pPr>
    <w:r>
      <w:rPr>
        <w:noProof/>
      </w:rPr>
      <w:pict w14:anchorId="5B0ED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062" o:spid="_x0000_s2053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82"/>
    <w:multiLevelType w:val="hybridMultilevel"/>
    <w:tmpl w:val="C21AE250"/>
    <w:lvl w:ilvl="0" w:tplc="C19E7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418"/>
    <w:multiLevelType w:val="hybridMultilevel"/>
    <w:tmpl w:val="15966D34"/>
    <w:lvl w:ilvl="0" w:tplc="2294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9FF"/>
    <w:multiLevelType w:val="hybridMultilevel"/>
    <w:tmpl w:val="0EB825C8"/>
    <w:lvl w:ilvl="0" w:tplc="E39A4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B90"/>
    <w:multiLevelType w:val="hybridMultilevel"/>
    <w:tmpl w:val="D74E5484"/>
    <w:lvl w:ilvl="0" w:tplc="AD90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4B89"/>
    <w:multiLevelType w:val="hybridMultilevel"/>
    <w:tmpl w:val="C732828A"/>
    <w:lvl w:ilvl="0" w:tplc="C1128C1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212C90"/>
    <w:multiLevelType w:val="hybridMultilevel"/>
    <w:tmpl w:val="6F769F58"/>
    <w:lvl w:ilvl="0" w:tplc="993C001A">
      <w:start w:val="1"/>
      <w:numFmt w:val="lowerRoman"/>
      <w:lvlText w:val="%1)"/>
      <w:lvlJc w:val="left"/>
      <w:pPr>
        <w:ind w:left="1068" w:hanging="360"/>
      </w:pPr>
      <w:rPr>
        <w:rFonts w:ascii="Marianne" w:eastAsia="Times New Roman" w:hAnsi="Marianne" w:cs="Times New Roman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910883"/>
    <w:multiLevelType w:val="hybridMultilevel"/>
    <w:tmpl w:val="B6FC7722"/>
    <w:lvl w:ilvl="0" w:tplc="7AE62D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5CEA"/>
    <w:multiLevelType w:val="hybridMultilevel"/>
    <w:tmpl w:val="BBF8C398"/>
    <w:lvl w:ilvl="0" w:tplc="B298E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A43"/>
    <w:multiLevelType w:val="hybridMultilevel"/>
    <w:tmpl w:val="3B4E9D6A"/>
    <w:lvl w:ilvl="0" w:tplc="1A6CE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62F7"/>
    <w:multiLevelType w:val="hybridMultilevel"/>
    <w:tmpl w:val="570490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69DF"/>
    <w:multiLevelType w:val="hybridMultilevel"/>
    <w:tmpl w:val="353A3DFA"/>
    <w:lvl w:ilvl="0" w:tplc="42CACF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C521E6"/>
    <w:multiLevelType w:val="hybridMultilevel"/>
    <w:tmpl w:val="165E53FC"/>
    <w:lvl w:ilvl="0" w:tplc="837C9FE2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239B"/>
    <w:multiLevelType w:val="hybridMultilevel"/>
    <w:tmpl w:val="1FC07554"/>
    <w:lvl w:ilvl="0" w:tplc="A3021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32FA"/>
    <w:multiLevelType w:val="hybridMultilevel"/>
    <w:tmpl w:val="F9A8382E"/>
    <w:lvl w:ilvl="0" w:tplc="324AA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5875"/>
    <w:multiLevelType w:val="hybridMultilevel"/>
    <w:tmpl w:val="36B0661A"/>
    <w:lvl w:ilvl="0" w:tplc="EFE85B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90125"/>
    <w:multiLevelType w:val="hybridMultilevel"/>
    <w:tmpl w:val="46BE7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70F7D"/>
    <w:multiLevelType w:val="hybridMultilevel"/>
    <w:tmpl w:val="9B3821BA"/>
    <w:lvl w:ilvl="0" w:tplc="0C380D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67D23"/>
    <w:multiLevelType w:val="hybridMultilevel"/>
    <w:tmpl w:val="646876B2"/>
    <w:lvl w:ilvl="0" w:tplc="8C6229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04343D7"/>
    <w:multiLevelType w:val="hybridMultilevel"/>
    <w:tmpl w:val="277C0468"/>
    <w:lvl w:ilvl="0" w:tplc="F8080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6BE8"/>
    <w:multiLevelType w:val="hybridMultilevel"/>
    <w:tmpl w:val="B4C2F1C8"/>
    <w:lvl w:ilvl="0" w:tplc="3EB62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6D04E6"/>
    <w:multiLevelType w:val="hybridMultilevel"/>
    <w:tmpl w:val="22325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1400F"/>
    <w:multiLevelType w:val="hybridMultilevel"/>
    <w:tmpl w:val="DB5A8888"/>
    <w:lvl w:ilvl="0" w:tplc="32484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B3782"/>
    <w:multiLevelType w:val="hybridMultilevel"/>
    <w:tmpl w:val="52504E76"/>
    <w:lvl w:ilvl="0" w:tplc="CCD0D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B7BAC"/>
    <w:multiLevelType w:val="hybridMultilevel"/>
    <w:tmpl w:val="FF7E1FEC"/>
    <w:lvl w:ilvl="0" w:tplc="9A2AD744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22"/>
  </w:num>
  <w:num w:numId="5">
    <w:abstractNumId w:val="14"/>
  </w:num>
  <w:num w:numId="6">
    <w:abstractNumId w:val="12"/>
  </w:num>
  <w:num w:numId="7">
    <w:abstractNumId w:val="19"/>
  </w:num>
  <w:num w:numId="8">
    <w:abstractNumId w:val="13"/>
  </w:num>
  <w:num w:numId="9">
    <w:abstractNumId w:val="1"/>
  </w:num>
  <w:num w:numId="10">
    <w:abstractNumId w:val="17"/>
  </w:num>
  <w:num w:numId="11">
    <w:abstractNumId w:val="21"/>
  </w:num>
  <w:num w:numId="12">
    <w:abstractNumId w:val="10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5"/>
  </w:num>
  <w:num w:numId="18">
    <w:abstractNumId w:val="2"/>
  </w:num>
  <w:num w:numId="19">
    <w:abstractNumId w:val="20"/>
  </w:num>
  <w:num w:numId="20">
    <w:abstractNumId w:val="6"/>
  </w:num>
  <w:num w:numId="21">
    <w:abstractNumId w:val="7"/>
  </w:num>
  <w:num w:numId="22">
    <w:abstractNumId w:val="16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05"/>
    <w:rsid w:val="00001759"/>
    <w:rsid w:val="000036A6"/>
    <w:rsid w:val="00012692"/>
    <w:rsid w:val="00012CEA"/>
    <w:rsid w:val="00015C10"/>
    <w:rsid w:val="0002087A"/>
    <w:rsid w:val="0002212F"/>
    <w:rsid w:val="0002241B"/>
    <w:rsid w:val="0003789B"/>
    <w:rsid w:val="0004300B"/>
    <w:rsid w:val="00046249"/>
    <w:rsid w:val="00054BB4"/>
    <w:rsid w:val="000649AD"/>
    <w:rsid w:val="00072593"/>
    <w:rsid w:val="0007328C"/>
    <w:rsid w:val="00074034"/>
    <w:rsid w:val="000745FF"/>
    <w:rsid w:val="00082A33"/>
    <w:rsid w:val="00086CAE"/>
    <w:rsid w:val="00090DF5"/>
    <w:rsid w:val="0009581B"/>
    <w:rsid w:val="000A5750"/>
    <w:rsid w:val="000B3425"/>
    <w:rsid w:val="000B3984"/>
    <w:rsid w:val="000B53B2"/>
    <w:rsid w:val="000B6605"/>
    <w:rsid w:val="000B752A"/>
    <w:rsid w:val="000C296C"/>
    <w:rsid w:val="000C302E"/>
    <w:rsid w:val="000C6B5D"/>
    <w:rsid w:val="000D2AD8"/>
    <w:rsid w:val="000E4F89"/>
    <w:rsid w:val="000F0C4F"/>
    <w:rsid w:val="000F0EBA"/>
    <w:rsid w:val="000F379D"/>
    <w:rsid w:val="000F58FE"/>
    <w:rsid w:val="00105F1C"/>
    <w:rsid w:val="00106161"/>
    <w:rsid w:val="00112931"/>
    <w:rsid w:val="00112F29"/>
    <w:rsid w:val="001131A0"/>
    <w:rsid w:val="00117B55"/>
    <w:rsid w:val="001359BB"/>
    <w:rsid w:val="0013697E"/>
    <w:rsid w:val="00141A0D"/>
    <w:rsid w:val="00141F0E"/>
    <w:rsid w:val="00144990"/>
    <w:rsid w:val="001456AA"/>
    <w:rsid w:val="001521FD"/>
    <w:rsid w:val="00152B56"/>
    <w:rsid w:val="0015325E"/>
    <w:rsid w:val="00153634"/>
    <w:rsid w:val="001565CA"/>
    <w:rsid w:val="00157FEE"/>
    <w:rsid w:val="00165D81"/>
    <w:rsid w:val="00165F5A"/>
    <w:rsid w:val="001708D9"/>
    <w:rsid w:val="001729BE"/>
    <w:rsid w:val="0018610F"/>
    <w:rsid w:val="00192049"/>
    <w:rsid w:val="001A4E8D"/>
    <w:rsid w:val="001B2DB5"/>
    <w:rsid w:val="001C44A3"/>
    <w:rsid w:val="001C6C48"/>
    <w:rsid w:val="001D0020"/>
    <w:rsid w:val="001D4E54"/>
    <w:rsid w:val="001E010D"/>
    <w:rsid w:val="001E0396"/>
    <w:rsid w:val="001E209D"/>
    <w:rsid w:val="001E6C41"/>
    <w:rsid w:val="001E7941"/>
    <w:rsid w:val="001F3315"/>
    <w:rsid w:val="002028C7"/>
    <w:rsid w:val="002060D9"/>
    <w:rsid w:val="0021190D"/>
    <w:rsid w:val="00221C11"/>
    <w:rsid w:val="00226780"/>
    <w:rsid w:val="00230944"/>
    <w:rsid w:val="00232181"/>
    <w:rsid w:val="00234E43"/>
    <w:rsid w:val="0024178D"/>
    <w:rsid w:val="00245CA6"/>
    <w:rsid w:val="00261F56"/>
    <w:rsid w:val="002623F5"/>
    <w:rsid w:val="00275F2B"/>
    <w:rsid w:val="00292C68"/>
    <w:rsid w:val="00294454"/>
    <w:rsid w:val="002952F5"/>
    <w:rsid w:val="002A3AFC"/>
    <w:rsid w:val="002A6E85"/>
    <w:rsid w:val="002B1681"/>
    <w:rsid w:val="002B77F8"/>
    <w:rsid w:val="002D3402"/>
    <w:rsid w:val="002D415A"/>
    <w:rsid w:val="002D7F55"/>
    <w:rsid w:val="002E7999"/>
    <w:rsid w:val="002F06D8"/>
    <w:rsid w:val="002F4B7A"/>
    <w:rsid w:val="002F50B1"/>
    <w:rsid w:val="002F52EF"/>
    <w:rsid w:val="00311B23"/>
    <w:rsid w:val="00312BF0"/>
    <w:rsid w:val="0031630A"/>
    <w:rsid w:val="003172DD"/>
    <w:rsid w:val="00322471"/>
    <w:rsid w:val="00327F79"/>
    <w:rsid w:val="00331FC3"/>
    <w:rsid w:val="003336CF"/>
    <w:rsid w:val="00335C99"/>
    <w:rsid w:val="00335D04"/>
    <w:rsid w:val="003365B9"/>
    <w:rsid w:val="0033699A"/>
    <w:rsid w:val="0034258F"/>
    <w:rsid w:val="0034487E"/>
    <w:rsid w:val="003535B6"/>
    <w:rsid w:val="0036516D"/>
    <w:rsid w:val="003700A4"/>
    <w:rsid w:val="00382CF7"/>
    <w:rsid w:val="003855EB"/>
    <w:rsid w:val="003919DA"/>
    <w:rsid w:val="00391C51"/>
    <w:rsid w:val="00393A51"/>
    <w:rsid w:val="003953B1"/>
    <w:rsid w:val="003A072D"/>
    <w:rsid w:val="003A3BC7"/>
    <w:rsid w:val="003C25B9"/>
    <w:rsid w:val="003C4DDD"/>
    <w:rsid w:val="003C7EB8"/>
    <w:rsid w:val="003D07E2"/>
    <w:rsid w:val="003D2130"/>
    <w:rsid w:val="003D2E29"/>
    <w:rsid w:val="003D338D"/>
    <w:rsid w:val="003E0955"/>
    <w:rsid w:val="003E27A6"/>
    <w:rsid w:val="003E7921"/>
    <w:rsid w:val="003F5723"/>
    <w:rsid w:val="00404390"/>
    <w:rsid w:val="004045BF"/>
    <w:rsid w:val="00410B89"/>
    <w:rsid w:val="004128D3"/>
    <w:rsid w:val="00420F17"/>
    <w:rsid w:val="0042397B"/>
    <w:rsid w:val="00424233"/>
    <w:rsid w:val="00426EEC"/>
    <w:rsid w:val="00432423"/>
    <w:rsid w:val="00433F43"/>
    <w:rsid w:val="004374A1"/>
    <w:rsid w:val="00447A40"/>
    <w:rsid w:val="00453E80"/>
    <w:rsid w:val="004608F1"/>
    <w:rsid w:val="0047158E"/>
    <w:rsid w:val="00473B73"/>
    <w:rsid w:val="00476501"/>
    <w:rsid w:val="00484494"/>
    <w:rsid w:val="00485F7B"/>
    <w:rsid w:val="0049469D"/>
    <w:rsid w:val="004A77EE"/>
    <w:rsid w:val="004C0F7F"/>
    <w:rsid w:val="004C4C1F"/>
    <w:rsid w:val="004E36F2"/>
    <w:rsid w:val="004F0556"/>
    <w:rsid w:val="00503827"/>
    <w:rsid w:val="005079D4"/>
    <w:rsid w:val="00523A2C"/>
    <w:rsid w:val="005371A3"/>
    <w:rsid w:val="005407C3"/>
    <w:rsid w:val="0055039E"/>
    <w:rsid w:val="00554166"/>
    <w:rsid w:val="00557B9A"/>
    <w:rsid w:val="005631B2"/>
    <w:rsid w:val="00564D29"/>
    <w:rsid w:val="005654A6"/>
    <w:rsid w:val="00567D46"/>
    <w:rsid w:val="00572DC5"/>
    <w:rsid w:val="00585896"/>
    <w:rsid w:val="005933B9"/>
    <w:rsid w:val="00597053"/>
    <w:rsid w:val="005A6372"/>
    <w:rsid w:val="005A76DB"/>
    <w:rsid w:val="005B0574"/>
    <w:rsid w:val="005B2441"/>
    <w:rsid w:val="005C07CC"/>
    <w:rsid w:val="005C0EA6"/>
    <w:rsid w:val="005C185F"/>
    <w:rsid w:val="005C2BCF"/>
    <w:rsid w:val="005C55E4"/>
    <w:rsid w:val="005E25BE"/>
    <w:rsid w:val="005E3712"/>
    <w:rsid w:val="005F6184"/>
    <w:rsid w:val="005F66BC"/>
    <w:rsid w:val="005F7886"/>
    <w:rsid w:val="006041C4"/>
    <w:rsid w:val="006044BA"/>
    <w:rsid w:val="0060776E"/>
    <w:rsid w:val="0061478D"/>
    <w:rsid w:val="00616DB9"/>
    <w:rsid w:val="00622683"/>
    <w:rsid w:val="0062564E"/>
    <w:rsid w:val="006268EC"/>
    <w:rsid w:val="0063046B"/>
    <w:rsid w:val="006444F8"/>
    <w:rsid w:val="006448CF"/>
    <w:rsid w:val="00644B59"/>
    <w:rsid w:val="00645F34"/>
    <w:rsid w:val="006502B3"/>
    <w:rsid w:val="00650922"/>
    <w:rsid w:val="00653175"/>
    <w:rsid w:val="0065409F"/>
    <w:rsid w:val="00656531"/>
    <w:rsid w:val="00664E62"/>
    <w:rsid w:val="00672266"/>
    <w:rsid w:val="0067533A"/>
    <w:rsid w:val="006776CA"/>
    <w:rsid w:val="006949D1"/>
    <w:rsid w:val="006A0EB7"/>
    <w:rsid w:val="006A307B"/>
    <w:rsid w:val="006A7E58"/>
    <w:rsid w:val="006B4E50"/>
    <w:rsid w:val="006B7448"/>
    <w:rsid w:val="006C7AB1"/>
    <w:rsid w:val="006E2105"/>
    <w:rsid w:val="006E4480"/>
    <w:rsid w:val="006E471D"/>
    <w:rsid w:val="006F3920"/>
    <w:rsid w:val="0070054A"/>
    <w:rsid w:val="00707720"/>
    <w:rsid w:val="007203E9"/>
    <w:rsid w:val="00722E70"/>
    <w:rsid w:val="00723323"/>
    <w:rsid w:val="00727A6A"/>
    <w:rsid w:val="007307ED"/>
    <w:rsid w:val="007321A6"/>
    <w:rsid w:val="0075486C"/>
    <w:rsid w:val="00766911"/>
    <w:rsid w:val="00775BFE"/>
    <w:rsid w:val="007925DF"/>
    <w:rsid w:val="00796309"/>
    <w:rsid w:val="007A4A8B"/>
    <w:rsid w:val="007B0BF8"/>
    <w:rsid w:val="007B144E"/>
    <w:rsid w:val="007B4A45"/>
    <w:rsid w:val="007C4814"/>
    <w:rsid w:val="007D1BA0"/>
    <w:rsid w:val="007D3C2C"/>
    <w:rsid w:val="007E5CC5"/>
    <w:rsid w:val="007F0773"/>
    <w:rsid w:val="007F2AAA"/>
    <w:rsid w:val="007F36FD"/>
    <w:rsid w:val="00810229"/>
    <w:rsid w:val="008116C3"/>
    <w:rsid w:val="00816970"/>
    <w:rsid w:val="00826B55"/>
    <w:rsid w:val="0082716B"/>
    <w:rsid w:val="00834469"/>
    <w:rsid w:val="008514A5"/>
    <w:rsid w:val="00854B66"/>
    <w:rsid w:val="00880EE9"/>
    <w:rsid w:val="00893664"/>
    <w:rsid w:val="008A264D"/>
    <w:rsid w:val="008A352C"/>
    <w:rsid w:val="008C50B3"/>
    <w:rsid w:val="008D68C3"/>
    <w:rsid w:val="008E201D"/>
    <w:rsid w:val="008F11A8"/>
    <w:rsid w:val="008F447A"/>
    <w:rsid w:val="008F5991"/>
    <w:rsid w:val="00904279"/>
    <w:rsid w:val="0090489E"/>
    <w:rsid w:val="0090517F"/>
    <w:rsid w:val="009071B3"/>
    <w:rsid w:val="00907743"/>
    <w:rsid w:val="00910B83"/>
    <w:rsid w:val="00931628"/>
    <w:rsid w:val="0093401F"/>
    <w:rsid w:val="00934B61"/>
    <w:rsid w:val="00934F49"/>
    <w:rsid w:val="0094246E"/>
    <w:rsid w:val="00942518"/>
    <w:rsid w:val="00956F00"/>
    <w:rsid w:val="00960521"/>
    <w:rsid w:val="0096383A"/>
    <w:rsid w:val="00966EFE"/>
    <w:rsid w:val="009742C3"/>
    <w:rsid w:val="0098390D"/>
    <w:rsid w:val="009A52C7"/>
    <w:rsid w:val="009B78C1"/>
    <w:rsid w:val="009C5F65"/>
    <w:rsid w:val="009E37F7"/>
    <w:rsid w:val="009E3912"/>
    <w:rsid w:val="009F650A"/>
    <w:rsid w:val="009F7533"/>
    <w:rsid w:val="00A151EC"/>
    <w:rsid w:val="00A26338"/>
    <w:rsid w:val="00A34754"/>
    <w:rsid w:val="00A35ADE"/>
    <w:rsid w:val="00A4281C"/>
    <w:rsid w:val="00A4484F"/>
    <w:rsid w:val="00A5554C"/>
    <w:rsid w:val="00A57E5E"/>
    <w:rsid w:val="00A70095"/>
    <w:rsid w:val="00A71C00"/>
    <w:rsid w:val="00A71FC9"/>
    <w:rsid w:val="00A733F6"/>
    <w:rsid w:val="00A80D89"/>
    <w:rsid w:val="00A825ED"/>
    <w:rsid w:val="00A86682"/>
    <w:rsid w:val="00A940FE"/>
    <w:rsid w:val="00AA2FDD"/>
    <w:rsid w:val="00AA5973"/>
    <w:rsid w:val="00AB3DC6"/>
    <w:rsid w:val="00AC3294"/>
    <w:rsid w:val="00AC39D6"/>
    <w:rsid w:val="00AC4EC1"/>
    <w:rsid w:val="00AC6C6F"/>
    <w:rsid w:val="00AD09F1"/>
    <w:rsid w:val="00AE0337"/>
    <w:rsid w:val="00AF6F37"/>
    <w:rsid w:val="00B0251A"/>
    <w:rsid w:val="00B049D9"/>
    <w:rsid w:val="00B06B7D"/>
    <w:rsid w:val="00B128AF"/>
    <w:rsid w:val="00B12C80"/>
    <w:rsid w:val="00B16C16"/>
    <w:rsid w:val="00B17099"/>
    <w:rsid w:val="00B20387"/>
    <w:rsid w:val="00B23163"/>
    <w:rsid w:val="00B34850"/>
    <w:rsid w:val="00B46288"/>
    <w:rsid w:val="00B55105"/>
    <w:rsid w:val="00B56E37"/>
    <w:rsid w:val="00B575D8"/>
    <w:rsid w:val="00B575EB"/>
    <w:rsid w:val="00B6494B"/>
    <w:rsid w:val="00B6562A"/>
    <w:rsid w:val="00B66237"/>
    <w:rsid w:val="00B72EB6"/>
    <w:rsid w:val="00B72F05"/>
    <w:rsid w:val="00B77FED"/>
    <w:rsid w:val="00B80B96"/>
    <w:rsid w:val="00B91C04"/>
    <w:rsid w:val="00B930F0"/>
    <w:rsid w:val="00BA2ABC"/>
    <w:rsid w:val="00BA502D"/>
    <w:rsid w:val="00BA7F65"/>
    <w:rsid w:val="00BB7475"/>
    <w:rsid w:val="00BC16B3"/>
    <w:rsid w:val="00BD595F"/>
    <w:rsid w:val="00BE1395"/>
    <w:rsid w:val="00BE7B99"/>
    <w:rsid w:val="00BF3F46"/>
    <w:rsid w:val="00BF695F"/>
    <w:rsid w:val="00C00E2B"/>
    <w:rsid w:val="00C03454"/>
    <w:rsid w:val="00C043C7"/>
    <w:rsid w:val="00C07E8C"/>
    <w:rsid w:val="00C1771C"/>
    <w:rsid w:val="00C20284"/>
    <w:rsid w:val="00C20C1E"/>
    <w:rsid w:val="00C26D97"/>
    <w:rsid w:val="00C31E4F"/>
    <w:rsid w:val="00C35605"/>
    <w:rsid w:val="00C44068"/>
    <w:rsid w:val="00C442CE"/>
    <w:rsid w:val="00C444EF"/>
    <w:rsid w:val="00C448F3"/>
    <w:rsid w:val="00C51E40"/>
    <w:rsid w:val="00C62088"/>
    <w:rsid w:val="00C65652"/>
    <w:rsid w:val="00C66782"/>
    <w:rsid w:val="00C7150F"/>
    <w:rsid w:val="00C719CA"/>
    <w:rsid w:val="00C7764C"/>
    <w:rsid w:val="00C86406"/>
    <w:rsid w:val="00C90DF6"/>
    <w:rsid w:val="00CA1E67"/>
    <w:rsid w:val="00CA227C"/>
    <w:rsid w:val="00CA49D6"/>
    <w:rsid w:val="00CB00B4"/>
    <w:rsid w:val="00CB08FA"/>
    <w:rsid w:val="00CB728D"/>
    <w:rsid w:val="00CC53D3"/>
    <w:rsid w:val="00CD6DF6"/>
    <w:rsid w:val="00CE0428"/>
    <w:rsid w:val="00CE2D95"/>
    <w:rsid w:val="00CE6E9B"/>
    <w:rsid w:val="00D02C5A"/>
    <w:rsid w:val="00D03D33"/>
    <w:rsid w:val="00D05975"/>
    <w:rsid w:val="00D10D50"/>
    <w:rsid w:val="00D14C4C"/>
    <w:rsid w:val="00D16DFE"/>
    <w:rsid w:val="00D262CD"/>
    <w:rsid w:val="00D31014"/>
    <w:rsid w:val="00D334CB"/>
    <w:rsid w:val="00D47D69"/>
    <w:rsid w:val="00D5344F"/>
    <w:rsid w:val="00D5586A"/>
    <w:rsid w:val="00D649A1"/>
    <w:rsid w:val="00D64F87"/>
    <w:rsid w:val="00D67BD5"/>
    <w:rsid w:val="00D7167F"/>
    <w:rsid w:val="00D721BF"/>
    <w:rsid w:val="00D75D2F"/>
    <w:rsid w:val="00D802E6"/>
    <w:rsid w:val="00D8056F"/>
    <w:rsid w:val="00D84239"/>
    <w:rsid w:val="00D87724"/>
    <w:rsid w:val="00D92BBF"/>
    <w:rsid w:val="00D95164"/>
    <w:rsid w:val="00D963A3"/>
    <w:rsid w:val="00DA07FA"/>
    <w:rsid w:val="00DA30E6"/>
    <w:rsid w:val="00DA56F1"/>
    <w:rsid w:val="00DA5E5B"/>
    <w:rsid w:val="00DA7BB7"/>
    <w:rsid w:val="00DB1441"/>
    <w:rsid w:val="00DB31D3"/>
    <w:rsid w:val="00DB63ED"/>
    <w:rsid w:val="00DD0A97"/>
    <w:rsid w:val="00DD3D63"/>
    <w:rsid w:val="00DE012D"/>
    <w:rsid w:val="00DE5FD3"/>
    <w:rsid w:val="00DE61EA"/>
    <w:rsid w:val="00DF0E30"/>
    <w:rsid w:val="00DF4A21"/>
    <w:rsid w:val="00DF4C1E"/>
    <w:rsid w:val="00DF7409"/>
    <w:rsid w:val="00DF7F8C"/>
    <w:rsid w:val="00E06B3C"/>
    <w:rsid w:val="00E12703"/>
    <w:rsid w:val="00E13382"/>
    <w:rsid w:val="00E150F4"/>
    <w:rsid w:val="00E23D29"/>
    <w:rsid w:val="00E261D4"/>
    <w:rsid w:val="00E33E39"/>
    <w:rsid w:val="00E344CB"/>
    <w:rsid w:val="00E35938"/>
    <w:rsid w:val="00E373FB"/>
    <w:rsid w:val="00E40127"/>
    <w:rsid w:val="00E438FC"/>
    <w:rsid w:val="00E4678F"/>
    <w:rsid w:val="00E603EC"/>
    <w:rsid w:val="00E70151"/>
    <w:rsid w:val="00E7115E"/>
    <w:rsid w:val="00E77ABC"/>
    <w:rsid w:val="00E84C33"/>
    <w:rsid w:val="00E96471"/>
    <w:rsid w:val="00EA323A"/>
    <w:rsid w:val="00EA539D"/>
    <w:rsid w:val="00EC32A9"/>
    <w:rsid w:val="00EC6697"/>
    <w:rsid w:val="00ED10FF"/>
    <w:rsid w:val="00ED224A"/>
    <w:rsid w:val="00ED6052"/>
    <w:rsid w:val="00ED705C"/>
    <w:rsid w:val="00EE2C0D"/>
    <w:rsid w:val="00EE4545"/>
    <w:rsid w:val="00EE6B52"/>
    <w:rsid w:val="00EE73CA"/>
    <w:rsid w:val="00F03A76"/>
    <w:rsid w:val="00F05631"/>
    <w:rsid w:val="00F1213D"/>
    <w:rsid w:val="00F1460A"/>
    <w:rsid w:val="00F17CED"/>
    <w:rsid w:val="00F24AD3"/>
    <w:rsid w:val="00F37104"/>
    <w:rsid w:val="00F37F79"/>
    <w:rsid w:val="00F4755B"/>
    <w:rsid w:val="00F50338"/>
    <w:rsid w:val="00F5113F"/>
    <w:rsid w:val="00F51A93"/>
    <w:rsid w:val="00F62BEE"/>
    <w:rsid w:val="00F7356C"/>
    <w:rsid w:val="00F75DBC"/>
    <w:rsid w:val="00F840E0"/>
    <w:rsid w:val="00F87018"/>
    <w:rsid w:val="00F901AA"/>
    <w:rsid w:val="00F91A37"/>
    <w:rsid w:val="00F962F7"/>
    <w:rsid w:val="00F96EC3"/>
    <w:rsid w:val="00FA1438"/>
    <w:rsid w:val="00FA5E7F"/>
    <w:rsid w:val="00FB32B9"/>
    <w:rsid w:val="00FB3B85"/>
    <w:rsid w:val="00FB5629"/>
    <w:rsid w:val="00FB57EF"/>
    <w:rsid w:val="00FC04E9"/>
    <w:rsid w:val="00FD44B4"/>
    <w:rsid w:val="00FD657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F1C3B4E"/>
  <w15:chartTrackingRefBased/>
  <w15:docId w15:val="{1B51B73A-7FD5-49FA-AD50-FFB81BF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96309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796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rticle">
    <w:name w:val="SNArticle"/>
    <w:basedOn w:val="Normal"/>
    <w:next w:val="Corpsdetexte"/>
    <w:link w:val="SNArticleCar"/>
    <w:autoRedefine/>
    <w:rsid w:val="00796309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796309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Commentaire">
    <w:name w:val="annotation text"/>
    <w:aliases w:val="Car1, Car1"/>
    <w:basedOn w:val="Normal"/>
    <w:link w:val="CommentaireCar"/>
    <w:uiPriority w:val="99"/>
    <w:unhideWhenUsed/>
    <w:qFormat/>
    <w:rsid w:val="00796309"/>
    <w:rPr>
      <w:sz w:val="20"/>
      <w:szCs w:val="20"/>
    </w:rPr>
  </w:style>
  <w:style w:type="character" w:customStyle="1" w:styleId="CommentaireCar">
    <w:name w:val="Commentaire Car"/>
    <w:aliases w:val="Car1 Car, Car1 Car"/>
    <w:basedOn w:val="Policepardfaut"/>
    <w:link w:val="Commentaire"/>
    <w:uiPriority w:val="99"/>
    <w:qFormat/>
    <w:rsid w:val="0079630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96309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unhideWhenUsed/>
    <w:qFormat/>
    <w:rsid w:val="00796309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6309"/>
    <w:pPr>
      <w:ind w:left="720"/>
      <w:contextualSpacing/>
    </w:pPr>
  </w:style>
  <w:style w:type="character" w:customStyle="1" w:styleId="markedcontent">
    <w:name w:val="markedcontent"/>
    <w:basedOn w:val="Policepardfaut"/>
    <w:rsid w:val="00796309"/>
  </w:style>
  <w:style w:type="paragraph" w:styleId="Textedebulles">
    <w:name w:val="Balloon Text"/>
    <w:basedOn w:val="Normal"/>
    <w:link w:val="TextedebullesCar"/>
    <w:uiPriority w:val="99"/>
    <w:semiHidden/>
    <w:unhideWhenUsed/>
    <w:rsid w:val="007963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309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6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630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D53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E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82A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A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2A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2A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5896"/>
    <w:rPr>
      <w:color w:val="0563C1" w:themeColor="hyperlink"/>
      <w:u w:val="single"/>
    </w:rPr>
  </w:style>
  <w:style w:type="paragraph" w:customStyle="1" w:styleId="SNSignatureGauche">
    <w:name w:val="SNSignature Gauche"/>
    <w:basedOn w:val="Normal"/>
    <w:uiPriority w:val="99"/>
    <w:rsid w:val="00FB57EF"/>
    <w:pPr>
      <w:suppressAutoHyphens/>
      <w:ind w:firstLine="720"/>
    </w:pPr>
    <w:rPr>
      <w:lang w:eastAsia="zh-CN"/>
      <w14:ligatures w14:val="standardContextual"/>
    </w:rPr>
  </w:style>
  <w:style w:type="character" w:customStyle="1" w:styleId="hgkelc">
    <w:name w:val="hgkelc"/>
    <w:basedOn w:val="Policepardfaut"/>
    <w:rsid w:val="00A825ED"/>
  </w:style>
  <w:style w:type="character" w:customStyle="1" w:styleId="rynqvb">
    <w:name w:val="rynqvb"/>
    <w:basedOn w:val="Policepardfaut"/>
    <w:rsid w:val="00432423"/>
  </w:style>
  <w:style w:type="character" w:customStyle="1" w:styleId="hwtze">
    <w:name w:val="hwtze"/>
    <w:basedOn w:val="Policepardfaut"/>
    <w:rsid w:val="0081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3641-450E-470D-B790-1A1C60D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DEWALLE Diane</dc:creator>
  <cp:keywords/>
  <dc:description/>
  <cp:lastModifiedBy>LEFRANC Agnès</cp:lastModifiedBy>
  <cp:revision>8</cp:revision>
  <cp:lastPrinted>2025-07-07T15:02:00Z</cp:lastPrinted>
  <dcterms:created xsi:type="dcterms:W3CDTF">2025-06-17T16:19:00Z</dcterms:created>
  <dcterms:modified xsi:type="dcterms:W3CDTF">2025-07-30T13:52:00Z</dcterms:modified>
</cp:coreProperties>
</file>