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A9" w:rsidRDefault="002F3FA9" w:rsidP="00025647">
      <w:pPr>
        <w:widowControl/>
        <w:autoSpaceDE/>
        <w:autoSpaceDN/>
        <w:spacing w:beforeAutospacing="1" w:afterAutospacing="1"/>
        <w:jc w:val="center"/>
        <w:outlineLvl w:val="1"/>
        <w:rPr>
          <w:rFonts w:cs="Arial"/>
          <w:b/>
          <w:bCs/>
          <w:sz w:val="24"/>
        </w:rPr>
      </w:pPr>
      <w:r w:rsidRPr="00853350">
        <w:rPr>
          <w:rFonts w:cs="Arial"/>
          <w:b/>
          <w:bCs/>
          <w:sz w:val="24"/>
        </w:rPr>
        <w:t xml:space="preserve">Consultations ouvertes : </w:t>
      </w:r>
      <w:r>
        <w:rPr>
          <w:rFonts w:cs="Arial"/>
          <w:b/>
          <w:bCs/>
          <w:sz w:val="24"/>
        </w:rPr>
        <w:t>fiche de transmission pour référencement sur Vie-Publique.fr</w:t>
      </w:r>
    </w:p>
    <w:p w:rsidR="00025647" w:rsidRDefault="00025647" w:rsidP="00025647">
      <w:pPr>
        <w:widowControl/>
        <w:tabs>
          <w:tab w:val="left" w:pos="4500"/>
        </w:tabs>
        <w:autoSpaceDE/>
        <w:autoSpaceDN/>
        <w:spacing w:beforeAutospacing="1" w:afterAutospacing="1"/>
        <w:outlineLvl w:val="1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X</w:t>
      </w:r>
      <w:r w:rsidR="002F3FA9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 xml:space="preserve"> </w:t>
      </w:r>
      <w:r w:rsidR="002F3FA9">
        <w:rPr>
          <w:rFonts w:cs="Arial"/>
          <w:b/>
          <w:bCs/>
          <w:sz w:val="24"/>
        </w:rPr>
        <w:t xml:space="preserve">ouverture </w:t>
      </w:r>
      <w:r w:rsidR="002F3FA9">
        <w:rPr>
          <w:rFonts w:cs="Arial"/>
          <w:b/>
          <w:bCs/>
          <w:sz w:val="24"/>
        </w:rPr>
        <w:tab/>
      </w:r>
      <w:r w:rsidR="002F3FA9">
        <w:rPr>
          <w:rFonts w:cs="Arial"/>
          <w:b/>
          <w:bCs/>
          <w:sz w:val="24"/>
        </w:rPr>
        <w:tab/>
      </w:r>
      <w:r w:rsidR="002F3FA9">
        <w:rPr>
          <w:rFonts w:cs="Arial"/>
          <w:b/>
          <w:bCs/>
          <w:sz w:val="24"/>
        </w:rPr>
        <w:tab/>
        <w:t xml:space="preserve">□ </w:t>
      </w:r>
      <w:r>
        <w:rPr>
          <w:rFonts w:cs="Arial"/>
          <w:b/>
          <w:bCs/>
          <w:sz w:val="24"/>
        </w:rPr>
        <w:t xml:space="preserve"> </w:t>
      </w:r>
      <w:r w:rsidR="002F3FA9">
        <w:rPr>
          <w:rFonts w:cs="Arial"/>
          <w:b/>
          <w:bCs/>
          <w:sz w:val="24"/>
        </w:rPr>
        <w:t>publication de la synthèse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4928"/>
        <w:gridCol w:w="2376"/>
      </w:tblGrid>
      <w:tr w:rsidR="002F3FA9" w:rsidRPr="00330F57" w:rsidTr="005303BB">
        <w:trPr>
          <w:tblHeader/>
        </w:trPr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</w:rPr>
            </w:pPr>
            <w:r w:rsidRPr="00025647">
              <w:rPr>
                <w:rFonts w:cs="Arial"/>
                <w:b/>
                <w:szCs w:val="22"/>
              </w:rPr>
              <w:t>Libellé</w:t>
            </w:r>
          </w:p>
        </w:tc>
        <w:tc>
          <w:tcPr>
            <w:tcW w:w="4928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</w:rPr>
            </w:pPr>
            <w:r w:rsidRPr="00025647">
              <w:rPr>
                <w:rFonts w:cs="Arial"/>
                <w:b/>
                <w:szCs w:val="22"/>
              </w:rPr>
              <w:t>Contenu</w:t>
            </w:r>
          </w:p>
        </w:tc>
        <w:tc>
          <w:tcPr>
            <w:tcW w:w="2376" w:type="dxa"/>
            <w:shd w:val="clear" w:color="auto" w:fill="auto"/>
          </w:tcPr>
          <w:p w:rsidR="002F3FA9" w:rsidRPr="00025647" w:rsidRDefault="002E3C0C" w:rsidP="000256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Indications</w:t>
            </w:r>
          </w:p>
        </w:tc>
      </w:tr>
      <w:tr w:rsidR="002F3FA9" w:rsidTr="00B14670">
        <w:trPr>
          <w:trHeight w:val="1258"/>
        </w:trPr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Titre</w:t>
            </w:r>
          </w:p>
        </w:tc>
        <w:tc>
          <w:tcPr>
            <w:tcW w:w="4928" w:type="dxa"/>
            <w:shd w:val="clear" w:color="auto" w:fill="auto"/>
          </w:tcPr>
          <w:p w:rsidR="00200C28" w:rsidRPr="00B14670" w:rsidRDefault="002F3FA9" w:rsidP="00200C28">
            <w:pPr>
              <w:jc w:val="both"/>
              <w:rPr>
                <w:rFonts w:cs="Arial"/>
                <w:b/>
                <w:sz w:val="21"/>
                <w:szCs w:val="21"/>
              </w:rPr>
            </w:pPr>
            <w:r w:rsidRPr="00B14670">
              <w:rPr>
                <w:rFonts w:cs="Arial"/>
                <w:sz w:val="21"/>
                <w:szCs w:val="21"/>
              </w:rPr>
              <w:t xml:space="preserve">Lancement de la consultation publique sur </w:t>
            </w:r>
            <w:r w:rsidR="00200C28" w:rsidRPr="00025647">
              <w:rPr>
                <w:rFonts w:cs="Arial"/>
                <w:sz w:val="21"/>
                <w:szCs w:val="21"/>
              </w:rPr>
              <w:t>le</w:t>
            </w:r>
            <w:r w:rsidR="00200C28">
              <w:rPr>
                <w:rFonts w:cs="Arial"/>
                <w:sz w:val="21"/>
                <w:szCs w:val="21"/>
              </w:rPr>
              <w:t xml:space="preserve"> projet d’arrêté portant définition, répartition et modalités de gestion d</w:t>
            </w:r>
            <w:r w:rsidR="00A53CC8">
              <w:rPr>
                <w:rFonts w:cs="Arial"/>
                <w:sz w:val="21"/>
                <w:szCs w:val="21"/>
              </w:rPr>
              <w:t>u quota d’anguille européenne (</w:t>
            </w:r>
            <w:r w:rsidR="00200C28" w:rsidRPr="00A53CC8">
              <w:rPr>
                <w:rFonts w:cs="Arial"/>
                <w:i/>
                <w:sz w:val="21"/>
                <w:szCs w:val="21"/>
              </w:rPr>
              <w:t xml:space="preserve">Anguilla </w:t>
            </w:r>
            <w:proofErr w:type="spellStart"/>
            <w:r w:rsidR="00200C28" w:rsidRPr="00A53CC8">
              <w:rPr>
                <w:rFonts w:cs="Arial"/>
                <w:i/>
                <w:sz w:val="21"/>
                <w:szCs w:val="21"/>
              </w:rPr>
              <w:t>anguilla</w:t>
            </w:r>
            <w:proofErr w:type="spellEnd"/>
            <w:r w:rsidR="00200C28">
              <w:rPr>
                <w:rFonts w:cs="Arial"/>
                <w:sz w:val="21"/>
                <w:szCs w:val="21"/>
              </w:rPr>
              <w:t>) de moins de 12 centimètres pour la campagne de pêche 2015-2016.</w:t>
            </w:r>
          </w:p>
          <w:p w:rsidR="002F3FA9" w:rsidRPr="00025647" w:rsidRDefault="002F3FA9" w:rsidP="00200C28">
            <w:pPr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2376" w:type="dxa"/>
            <w:shd w:val="clear" w:color="auto" w:fill="auto"/>
          </w:tcPr>
          <w:p w:rsidR="002F3FA9" w:rsidRPr="00025647" w:rsidRDefault="002F3FA9" w:rsidP="005303BB">
            <w:pPr>
              <w:rPr>
                <w:rFonts w:cs="Arial"/>
                <w:sz w:val="21"/>
                <w:szCs w:val="21"/>
              </w:rPr>
            </w:pPr>
          </w:p>
        </w:tc>
      </w:tr>
      <w:tr w:rsidR="002F3FA9" w:rsidTr="005303BB"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Date de mise en ligne souhaitée</w:t>
            </w:r>
          </w:p>
        </w:tc>
        <w:tc>
          <w:tcPr>
            <w:tcW w:w="4928" w:type="dxa"/>
            <w:shd w:val="clear" w:color="auto" w:fill="auto"/>
          </w:tcPr>
          <w:p w:rsidR="002F3FA9" w:rsidRPr="00025647" w:rsidRDefault="00025647" w:rsidP="00C370B4">
            <w:pPr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Le</w:t>
            </w:r>
            <w:r w:rsidR="005303BB">
              <w:rPr>
                <w:rFonts w:cs="Arial"/>
                <w:sz w:val="21"/>
                <w:szCs w:val="21"/>
              </w:rPr>
              <w:t xml:space="preserve"> </w:t>
            </w:r>
            <w:r w:rsidR="005D1648">
              <w:rPr>
                <w:rFonts w:cs="Arial"/>
                <w:b/>
                <w:sz w:val="21"/>
                <w:szCs w:val="21"/>
                <w:u w:val="single"/>
              </w:rPr>
              <w:t>28 septembre 2015</w:t>
            </w:r>
          </w:p>
        </w:tc>
        <w:tc>
          <w:tcPr>
            <w:tcW w:w="2376" w:type="dxa"/>
            <w:shd w:val="clear" w:color="auto" w:fill="auto"/>
          </w:tcPr>
          <w:p w:rsidR="002F3FA9" w:rsidRPr="00025647" w:rsidRDefault="00025647" w:rsidP="005303BB">
            <w:pPr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N’est pas affiché sur le site, sert aux échanges</w:t>
            </w:r>
          </w:p>
        </w:tc>
      </w:tr>
      <w:tr w:rsidR="002F3FA9" w:rsidTr="005303BB"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Période de la consultation</w:t>
            </w:r>
          </w:p>
        </w:tc>
        <w:tc>
          <w:tcPr>
            <w:tcW w:w="4928" w:type="dxa"/>
            <w:shd w:val="clear" w:color="auto" w:fill="auto"/>
          </w:tcPr>
          <w:p w:rsidR="002F3FA9" w:rsidRPr="00025647" w:rsidRDefault="002F3FA9" w:rsidP="00C370B4">
            <w:pPr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Du </w:t>
            </w:r>
            <w:r w:rsidR="005D1648">
              <w:rPr>
                <w:rFonts w:cs="Arial"/>
                <w:b/>
                <w:sz w:val="21"/>
                <w:szCs w:val="21"/>
                <w:u w:val="single"/>
              </w:rPr>
              <w:t>28 septembre 2015 au 18 octobre 2015</w:t>
            </w:r>
          </w:p>
        </w:tc>
        <w:tc>
          <w:tcPr>
            <w:tcW w:w="2376" w:type="dxa"/>
            <w:shd w:val="clear" w:color="auto" w:fill="auto"/>
          </w:tcPr>
          <w:p w:rsidR="002F3FA9" w:rsidRPr="00025647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F3FA9" w:rsidTr="005303BB"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Description</w:t>
            </w:r>
          </w:p>
        </w:tc>
        <w:tc>
          <w:tcPr>
            <w:tcW w:w="4928" w:type="dxa"/>
            <w:shd w:val="clear" w:color="auto" w:fill="auto"/>
          </w:tcPr>
          <w:p w:rsidR="00B14670" w:rsidRPr="00B14670" w:rsidRDefault="00025647" w:rsidP="00B14670">
            <w:pPr>
              <w:jc w:val="both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Le Ministère de l’é</w:t>
            </w:r>
            <w:r w:rsidR="002F3FA9" w:rsidRPr="00025647">
              <w:rPr>
                <w:rFonts w:cs="Arial"/>
                <w:sz w:val="21"/>
                <w:szCs w:val="21"/>
              </w:rPr>
              <w:t>cologie</w:t>
            </w:r>
            <w:r w:rsidR="00F06658" w:rsidRPr="00025647">
              <w:rPr>
                <w:rFonts w:cs="Arial"/>
                <w:sz w:val="21"/>
                <w:szCs w:val="21"/>
              </w:rPr>
              <w:t>,</w:t>
            </w:r>
            <w:r w:rsidR="002F3FA9" w:rsidRPr="00025647">
              <w:rPr>
                <w:rFonts w:cs="Arial"/>
                <w:sz w:val="21"/>
                <w:szCs w:val="21"/>
              </w:rPr>
              <w:t xml:space="preserve"> du </w:t>
            </w:r>
            <w:r w:rsidRPr="00025647">
              <w:rPr>
                <w:rFonts w:cs="Arial"/>
                <w:sz w:val="21"/>
                <w:szCs w:val="21"/>
              </w:rPr>
              <w:t>développement durable et de l’é</w:t>
            </w:r>
            <w:r w:rsidR="00F06658" w:rsidRPr="00025647">
              <w:rPr>
                <w:rFonts w:cs="Arial"/>
                <w:sz w:val="21"/>
                <w:szCs w:val="21"/>
              </w:rPr>
              <w:t>nergie</w:t>
            </w:r>
            <w:r w:rsidR="002F3FA9" w:rsidRPr="00025647">
              <w:rPr>
                <w:rFonts w:cs="Arial"/>
                <w:sz w:val="21"/>
                <w:szCs w:val="21"/>
              </w:rPr>
              <w:t xml:space="preserve"> </w:t>
            </w:r>
            <w:r w:rsidR="00F06658" w:rsidRPr="00025647">
              <w:rPr>
                <w:rFonts w:cs="Arial"/>
                <w:sz w:val="21"/>
                <w:szCs w:val="21"/>
              </w:rPr>
              <w:t>va ouvrir</w:t>
            </w:r>
            <w:r w:rsidR="002F3FA9" w:rsidRPr="00025647">
              <w:rPr>
                <w:rFonts w:cs="Arial"/>
                <w:sz w:val="21"/>
                <w:szCs w:val="21"/>
              </w:rPr>
              <w:t>, le</w:t>
            </w:r>
            <w:r w:rsidR="005D1648">
              <w:rPr>
                <w:rFonts w:cs="Arial"/>
                <w:sz w:val="21"/>
                <w:szCs w:val="21"/>
              </w:rPr>
              <w:t xml:space="preserve"> 28 septembre 2015</w:t>
            </w:r>
            <w:r w:rsidR="002F3FA9" w:rsidRPr="00025647">
              <w:rPr>
                <w:rFonts w:cs="Arial"/>
                <w:sz w:val="21"/>
                <w:szCs w:val="21"/>
              </w:rPr>
              <w:t>, la consultation publique sur le</w:t>
            </w:r>
            <w:r w:rsidR="00185718">
              <w:rPr>
                <w:rFonts w:cs="Arial"/>
                <w:sz w:val="21"/>
                <w:szCs w:val="21"/>
              </w:rPr>
              <w:t xml:space="preserve"> </w:t>
            </w:r>
            <w:r w:rsidR="00454688">
              <w:rPr>
                <w:rFonts w:cs="Arial"/>
                <w:sz w:val="21"/>
                <w:szCs w:val="21"/>
              </w:rPr>
              <w:t>projet d’a</w:t>
            </w:r>
            <w:r w:rsidR="005D1648">
              <w:rPr>
                <w:rFonts w:cs="Arial"/>
                <w:sz w:val="21"/>
                <w:szCs w:val="21"/>
              </w:rPr>
              <w:t xml:space="preserve">rrêté portant définition, répartition et modalités de gestion du quota d’anguille européenne ( Anguilla </w:t>
            </w:r>
            <w:proofErr w:type="spellStart"/>
            <w:r w:rsidR="005D1648">
              <w:rPr>
                <w:rFonts w:cs="Arial"/>
                <w:sz w:val="21"/>
                <w:szCs w:val="21"/>
              </w:rPr>
              <w:t>anguilla</w:t>
            </w:r>
            <w:proofErr w:type="spellEnd"/>
            <w:r w:rsidR="005D1648">
              <w:rPr>
                <w:rFonts w:cs="Arial"/>
                <w:sz w:val="21"/>
                <w:szCs w:val="21"/>
              </w:rPr>
              <w:t>) de moins de 12 centimètres pour la campagne de pêche 2015-2016.</w:t>
            </w:r>
          </w:p>
          <w:p w:rsidR="002F3FA9" w:rsidRPr="00025647" w:rsidRDefault="002F3FA9" w:rsidP="00B14670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2376" w:type="dxa"/>
            <w:shd w:val="clear" w:color="auto" w:fill="auto"/>
          </w:tcPr>
          <w:p w:rsidR="002F3FA9" w:rsidRPr="00025647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Il est recommandé aux ministères de limiter à 600 caractères maximum la taille du texte </w:t>
            </w:r>
          </w:p>
        </w:tc>
      </w:tr>
      <w:tr w:rsidR="002F3FA9" w:rsidTr="005303BB"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Texte fondant la consultation</w:t>
            </w:r>
          </w:p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4928" w:type="dxa"/>
            <w:shd w:val="clear" w:color="auto" w:fill="auto"/>
          </w:tcPr>
          <w:p w:rsidR="002F3FA9" w:rsidRPr="00025647" w:rsidRDefault="00A53CC8" w:rsidP="005303BB">
            <w:pPr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□</w:t>
            </w:r>
            <w:r w:rsidR="00025647">
              <w:rPr>
                <w:rFonts w:cs="Arial"/>
                <w:sz w:val="21"/>
                <w:szCs w:val="21"/>
              </w:rPr>
              <w:t xml:space="preserve"> </w:t>
            </w:r>
            <w:r w:rsidR="002F3FA9" w:rsidRPr="00025647">
              <w:rPr>
                <w:rFonts w:cs="Arial"/>
                <w:sz w:val="21"/>
                <w:szCs w:val="21"/>
              </w:rPr>
              <w:t>Loi du 17 mai 2011 de simplification et d’amélioration de la qualité du droit (article 16)</w:t>
            </w:r>
          </w:p>
          <w:p w:rsidR="002F3FA9" w:rsidRPr="00025647" w:rsidRDefault="00025647" w:rsidP="005303BB">
            <w:pPr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X</w:t>
            </w:r>
            <w:r w:rsidR="002F3FA9" w:rsidRPr="00025647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2F3FA9" w:rsidRPr="00025647">
              <w:rPr>
                <w:rFonts w:cs="Arial"/>
                <w:sz w:val="21"/>
                <w:szCs w:val="21"/>
              </w:rPr>
              <w:t>Article L. 120-1 du code de l’environnement</w:t>
            </w:r>
          </w:p>
          <w:p w:rsidR="002F3FA9" w:rsidRPr="00025647" w:rsidRDefault="00A53CC8" w:rsidP="005303BB">
            <w:pPr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□</w:t>
            </w:r>
            <w:r w:rsidR="002F3FA9" w:rsidRPr="00025647">
              <w:rPr>
                <w:rFonts w:cs="Arial"/>
                <w:sz w:val="21"/>
                <w:szCs w:val="21"/>
              </w:rPr>
              <w:t xml:space="preserve"> </w:t>
            </w:r>
            <w:r w:rsidR="00025647">
              <w:rPr>
                <w:rFonts w:cs="Arial"/>
                <w:sz w:val="21"/>
                <w:szCs w:val="21"/>
              </w:rPr>
              <w:t xml:space="preserve"> </w:t>
            </w:r>
            <w:r w:rsidR="002F3FA9" w:rsidRPr="00025647">
              <w:rPr>
                <w:rFonts w:cs="Arial"/>
                <w:sz w:val="21"/>
                <w:szCs w:val="21"/>
              </w:rPr>
              <w:t xml:space="preserve">Article L. 914-3 du code rural et de la pêche maritime </w:t>
            </w:r>
          </w:p>
          <w:p w:rsidR="002F3FA9" w:rsidRPr="00025647" w:rsidRDefault="002F3FA9" w:rsidP="005303BB">
            <w:pPr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□ </w:t>
            </w:r>
            <w:r w:rsidR="00025647">
              <w:rPr>
                <w:rFonts w:cs="Arial"/>
                <w:sz w:val="21"/>
                <w:szCs w:val="21"/>
              </w:rPr>
              <w:t xml:space="preserve"> </w:t>
            </w:r>
            <w:r w:rsidRPr="00025647">
              <w:rPr>
                <w:rFonts w:cs="Arial"/>
                <w:sz w:val="21"/>
                <w:szCs w:val="21"/>
              </w:rPr>
              <w:t>Autre fondement juridique (préciser)</w:t>
            </w:r>
          </w:p>
          <w:p w:rsidR="002F3FA9" w:rsidRPr="00025647" w:rsidRDefault="002F3FA9" w:rsidP="005303BB">
            <w:pPr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□ </w:t>
            </w:r>
            <w:r w:rsidR="00025647">
              <w:rPr>
                <w:rFonts w:cs="Arial"/>
                <w:sz w:val="21"/>
                <w:szCs w:val="21"/>
              </w:rPr>
              <w:t xml:space="preserve"> </w:t>
            </w:r>
            <w:r w:rsidRPr="00025647">
              <w:rPr>
                <w:rFonts w:cs="Arial"/>
                <w:sz w:val="21"/>
                <w:szCs w:val="21"/>
              </w:rPr>
              <w:t>Pas de texte</w:t>
            </w:r>
          </w:p>
        </w:tc>
        <w:tc>
          <w:tcPr>
            <w:tcW w:w="2376" w:type="dxa"/>
            <w:shd w:val="clear" w:color="auto" w:fill="auto"/>
          </w:tcPr>
          <w:p w:rsidR="002F3FA9" w:rsidRPr="00025647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   </w:t>
            </w:r>
          </w:p>
          <w:p w:rsidR="002F3FA9" w:rsidRPr="00025647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2F3FA9" w:rsidRPr="00025647" w:rsidRDefault="002F3FA9" w:rsidP="005303BB">
            <w:pPr>
              <w:ind w:left="72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F3FA9" w:rsidTr="005303BB"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Ministère ou autre</w:t>
            </w:r>
          </w:p>
        </w:tc>
        <w:tc>
          <w:tcPr>
            <w:tcW w:w="4928" w:type="dxa"/>
            <w:shd w:val="clear" w:color="auto" w:fill="auto"/>
          </w:tcPr>
          <w:p w:rsidR="002F3FA9" w:rsidRPr="00025647" w:rsidRDefault="002F3FA9" w:rsidP="005303BB">
            <w:pPr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Ministère de </w:t>
            </w:r>
            <w:r w:rsidR="00025647" w:rsidRPr="00025647">
              <w:rPr>
                <w:rFonts w:cs="Arial"/>
                <w:sz w:val="21"/>
                <w:szCs w:val="21"/>
              </w:rPr>
              <w:t>l’écologie, du développement durable et de l’é</w:t>
            </w:r>
            <w:r w:rsidRPr="00025647">
              <w:rPr>
                <w:rFonts w:cs="Arial"/>
                <w:sz w:val="21"/>
                <w:szCs w:val="21"/>
              </w:rPr>
              <w:t>nergie</w:t>
            </w:r>
            <w:r w:rsidR="00025647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2F3FA9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5303BB" w:rsidRPr="00025647" w:rsidRDefault="005303BB" w:rsidP="005303BB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F3FA9" w:rsidTr="005303BB">
        <w:tc>
          <w:tcPr>
            <w:tcW w:w="1984" w:type="dxa"/>
            <w:shd w:val="clear" w:color="auto" w:fill="auto"/>
          </w:tcPr>
          <w:p w:rsidR="002F3FA9" w:rsidRPr="00025647" w:rsidRDefault="0009672F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Lien vers la page I</w:t>
            </w:r>
            <w:r w:rsidR="002F3FA9" w:rsidRPr="00025647">
              <w:rPr>
                <w:rFonts w:cs="Arial"/>
                <w:b/>
                <w:sz w:val="21"/>
                <w:szCs w:val="21"/>
              </w:rPr>
              <w:t>nternet de la consultation</w:t>
            </w:r>
          </w:p>
        </w:tc>
        <w:tc>
          <w:tcPr>
            <w:tcW w:w="4928" w:type="dxa"/>
            <w:shd w:val="clear" w:color="auto" w:fill="auto"/>
          </w:tcPr>
          <w:p w:rsidR="00011232" w:rsidRDefault="005D1648" w:rsidP="00F06658">
            <w:pPr>
              <w:rPr>
                <w:rFonts w:cs="Arial"/>
                <w:sz w:val="21"/>
                <w:szCs w:val="21"/>
              </w:rPr>
            </w:pPr>
            <w:r>
              <w:t>http://www.</w:t>
            </w:r>
            <w:r w:rsidRPr="002F3FA9">
              <w:t>c</w:t>
            </w:r>
            <w:r>
              <w:t>onsultations-publiqu</w:t>
            </w:r>
            <w:r w:rsidR="00974A63">
              <w:t>es.</w:t>
            </w:r>
            <w:r w:rsidR="0073249F">
              <w:rPr>
                <w:rFonts w:cs="Arial"/>
                <w:sz w:val="21"/>
                <w:szCs w:val="21"/>
              </w:rPr>
              <w:t xml:space="preserve"> </w:t>
            </w:r>
            <w:r w:rsidR="0073249F" w:rsidRPr="0073249F">
              <w:rPr>
                <w:rFonts w:cs="Arial"/>
                <w:sz w:val="21"/>
                <w:szCs w:val="21"/>
              </w:rPr>
              <w:t>.projet.i2/projet-d-arrete-portant-definition-repartition-et-a1131.html</w:t>
            </w:r>
          </w:p>
          <w:p w:rsidR="00011232" w:rsidRDefault="00011232" w:rsidP="00F06658">
            <w:pPr>
              <w:rPr>
                <w:rFonts w:cs="Arial"/>
                <w:sz w:val="21"/>
                <w:szCs w:val="21"/>
              </w:rPr>
            </w:pPr>
          </w:p>
          <w:p w:rsidR="00011232" w:rsidRDefault="00011232" w:rsidP="00F06658">
            <w:pPr>
              <w:rPr>
                <w:rFonts w:cs="Arial"/>
                <w:sz w:val="21"/>
                <w:szCs w:val="21"/>
              </w:rPr>
            </w:pPr>
          </w:p>
          <w:p w:rsidR="00011232" w:rsidRDefault="00011232" w:rsidP="00F06658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</w:p>
          <w:p w:rsidR="00011232" w:rsidRPr="00025647" w:rsidRDefault="00011232" w:rsidP="00F0665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376" w:type="dxa"/>
            <w:shd w:val="clear" w:color="auto" w:fill="auto"/>
          </w:tcPr>
          <w:p w:rsidR="002F3FA9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Le ministère devra faire connaître, au stade du dépôt, l’adresse la plus complète possible, </w:t>
            </w:r>
            <w:proofErr w:type="gramStart"/>
            <w:r w:rsidRPr="00025647">
              <w:rPr>
                <w:rFonts w:cs="Arial"/>
                <w:sz w:val="21"/>
                <w:szCs w:val="21"/>
              </w:rPr>
              <w:t>a</w:t>
            </w:r>
            <w:proofErr w:type="gramEnd"/>
            <w:r w:rsidRPr="00025647">
              <w:rPr>
                <w:rFonts w:cs="Arial"/>
                <w:sz w:val="21"/>
                <w:szCs w:val="21"/>
              </w:rPr>
              <w:t xml:space="preserve"> minima celle de la page permettant d’accéder à l’ensemble des consultations et faire actualiser ce lien au plus tard à la date d’ouverture de la consultation</w:t>
            </w:r>
          </w:p>
          <w:p w:rsidR="005303BB" w:rsidRPr="00025647" w:rsidRDefault="005303BB" w:rsidP="005303BB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F3FA9" w:rsidTr="005303BB">
        <w:trPr>
          <w:trHeight w:val="389"/>
        </w:trPr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lastRenderedPageBreak/>
              <w:t>Publicité des observations formulées</w:t>
            </w:r>
          </w:p>
        </w:tc>
        <w:tc>
          <w:tcPr>
            <w:tcW w:w="4928" w:type="dxa"/>
            <w:shd w:val="clear" w:color="auto" w:fill="auto"/>
          </w:tcPr>
          <w:p w:rsidR="002F3FA9" w:rsidRPr="00025647" w:rsidRDefault="002F3FA9" w:rsidP="005303BB">
            <w:pPr>
              <w:ind w:left="360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□   Oui  </w:t>
            </w:r>
          </w:p>
          <w:p w:rsidR="002F3FA9" w:rsidRPr="00025647" w:rsidRDefault="00025647" w:rsidP="005303BB">
            <w:pPr>
              <w:ind w:left="360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X</w:t>
            </w:r>
            <w:r w:rsidR="002F3FA9" w:rsidRPr="00025647">
              <w:rPr>
                <w:rFonts w:cs="Arial"/>
                <w:sz w:val="21"/>
                <w:szCs w:val="21"/>
              </w:rPr>
              <w:t xml:space="preserve">   Non             </w:t>
            </w:r>
          </w:p>
        </w:tc>
        <w:tc>
          <w:tcPr>
            <w:tcW w:w="2376" w:type="dxa"/>
            <w:shd w:val="clear" w:color="auto" w:fill="auto"/>
          </w:tcPr>
          <w:p w:rsidR="002F3FA9" w:rsidRPr="00025647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F3FA9" w:rsidTr="005303BB"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Service responsable</w:t>
            </w:r>
          </w:p>
        </w:tc>
        <w:tc>
          <w:tcPr>
            <w:tcW w:w="4928" w:type="dxa"/>
            <w:shd w:val="clear" w:color="auto" w:fill="auto"/>
          </w:tcPr>
          <w:p w:rsidR="002F3FA9" w:rsidRPr="00025647" w:rsidRDefault="00C921E2" w:rsidP="005303BB">
            <w:pPr>
              <w:ind w:left="360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Direction des Pêches Maritimes et de l’Aquaculture </w:t>
            </w:r>
            <w:r w:rsidR="00025647" w:rsidRPr="00025647">
              <w:rPr>
                <w:rFonts w:cs="Arial"/>
                <w:sz w:val="21"/>
                <w:szCs w:val="21"/>
              </w:rPr>
              <w:t>(DPMA) / Sous-d</w:t>
            </w:r>
            <w:r w:rsidRPr="00025647">
              <w:rPr>
                <w:rFonts w:cs="Arial"/>
                <w:sz w:val="21"/>
                <w:szCs w:val="21"/>
              </w:rPr>
              <w:t>irection des Ressources halieutiques</w:t>
            </w:r>
            <w:r w:rsidR="00025647" w:rsidRPr="00025647">
              <w:rPr>
                <w:rFonts w:cs="Arial"/>
                <w:sz w:val="21"/>
                <w:szCs w:val="21"/>
              </w:rPr>
              <w:t xml:space="preserve"> (SDRH)</w:t>
            </w:r>
            <w:r w:rsidRPr="00025647">
              <w:rPr>
                <w:rFonts w:cs="Arial"/>
                <w:sz w:val="21"/>
                <w:szCs w:val="21"/>
              </w:rPr>
              <w:t xml:space="preserve"> / Bureau d</w:t>
            </w:r>
            <w:r w:rsidR="005303BB">
              <w:rPr>
                <w:rFonts w:cs="Arial"/>
                <w:sz w:val="21"/>
                <w:szCs w:val="21"/>
              </w:rPr>
              <w:t>e gestion de la ressource (BGR</w:t>
            </w:r>
            <w:r w:rsidR="00025647" w:rsidRPr="00025647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:rsidR="002F3FA9" w:rsidRPr="00025647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N’est pas affiché sur le site, sert aux échanges</w:t>
            </w:r>
          </w:p>
        </w:tc>
      </w:tr>
      <w:tr w:rsidR="002F3FA9" w:rsidTr="005303BB"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Interlocuteur de référence</w:t>
            </w:r>
          </w:p>
        </w:tc>
        <w:tc>
          <w:tcPr>
            <w:tcW w:w="4928" w:type="dxa"/>
            <w:shd w:val="clear" w:color="auto" w:fill="auto"/>
          </w:tcPr>
          <w:p w:rsidR="00025647" w:rsidRPr="00025647" w:rsidRDefault="00200C28" w:rsidP="005303BB">
            <w:pPr>
              <w:ind w:left="3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&lt; LECOMPTE Pierre-Luc</w:t>
            </w:r>
            <w:r w:rsidR="00025647">
              <w:rPr>
                <w:rFonts w:cs="Arial"/>
                <w:sz w:val="21"/>
                <w:szCs w:val="21"/>
              </w:rPr>
              <w:t xml:space="preserve"> (Bureau de gestion de la ressource)</w:t>
            </w:r>
            <w:r w:rsidR="00025647" w:rsidRPr="00025647">
              <w:rPr>
                <w:rFonts w:cs="Arial"/>
                <w:sz w:val="21"/>
                <w:szCs w:val="21"/>
              </w:rPr>
              <w:t xml:space="preserve"> : </w:t>
            </w:r>
            <w:hyperlink r:id="rId5" w:history="1">
              <w:r w:rsidRPr="002C7C63">
                <w:rPr>
                  <w:rStyle w:val="Lienhypertexte"/>
                  <w:rFonts w:cs="Arial"/>
                  <w:sz w:val="21"/>
                  <w:szCs w:val="21"/>
                </w:rPr>
                <w:t>pierre-luc.lecompte@developpement-durable.gouv.fr</w:t>
              </w:r>
            </w:hyperlink>
            <w:r w:rsidR="00025647" w:rsidRPr="00025647">
              <w:rPr>
                <w:rFonts w:cs="Arial"/>
                <w:sz w:val="21"/>
                <w:szCs w:val="21"/>
              </w:rPr>
              <w:t xml:space="preserve"> &gt;</w:t>
            </w:r>
          </w:p>
        </w:tc>
        <w:tc>
          <w:tcPr>
            <w:tcW w:w="2376" w:type="dxa"/>
            <w:shd w:val="clear" w:color="auto" w:fill="auto"/>
          </w:tcPr>
          <w:p w:rsidR="002F3FA9" w:rsidRPr="00025647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N’est pas affiché sur le site, sert aux échanges</w:t>
            </w:r>
          </w:p>
        </w:tc>
      </w:tr>
      <w:tr w:rsidR="002F3FA9" w:rsidTr="005303BB">
        <w:tc>
          <w:tcPr>
            <w:tcW w:w="1984" w:type="dxa"/>
            <w:shd w:val="clear" w:color="auto" w:fill="auto"/>
          </w:tcPr>
          <w:p w:rsidR="002F3FA9" w:rsidRPr="00025647" w:rsidRDefault="002F3FA9" w:rsidP="00025647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025647">
              <w:rPr>
                <w:rFonts w:cs="Arial"/>
                <w:b/>
                <w:sz w:val="21"/>
                <w:szCs w:val="21"/>
              </w:rPr>
              <w:t>Documents de la consultation</w:t>
            </w:r>
          </w:p>
        </w:tc>
        <w:tc>
          <w:tcPr>
            <w:tcW w:w="4928" w:type="dxa"/>
            <w:shd w:val="clear" w:color="auto" w:fill="auto"/>
          </w:tcPr>
          <w:p w:rsidR="002F3FA9" w:rsidRPr="00025647" w:rsidRDefault="002F3FA9" w:rsidP="005303BB">
            <w:pPr>
              <w:ind w:left="143" w:right="175"/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1) décision d’ouverture (pour les consultations organisées en application de la loi du 17 mai 2011)</w:t>
            </w:r>
          </w:p>
          <w:p w:rsidR="002F3FA9" w:rsidRPr="00025647" w:rsidRDefault="002F3FA9" w:rsidP="005303BB">
            <w:pPr>
              <w:ind w:left="143" w:right="175"/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2) acte soumis à la consultation (obligatoire pour les consultations prises en application de l’article L.120-1 du code de l’environnement ou en application de l’article L.914-3 du code rural et de la pêche maritime sauf procédure particulière)</w:t>
            </w:r>
          </w:p>
          <w:p w:rsidR="002F3FA9" w:rsidRPr="00025647" w:rsidRDefault="002F3FA9" w:rsidP="005303BB">
            <w:pPr>
              <w:ind w:left="143" w:right="175"/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3) notice explicative ou note de présentation (obligatoire pour les consultations prises en application de l’article L.120-1 du code de l’environnement ou en application de l’article L.914-3 du code rural et de la pêche maritime sauf procédure particulière)</w:t>
            </w:r>
          </w:p>
          <w:p w:rsidR="002F3FA9" w:rsidRPr="00025647" w:rsidRDefault="002F3FA9" w:rsidP="005303BB">
            <w:pPr>
              <w:ind w:left="143" w:right="175"/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4) synthèse (obligatoire pour les consultations organisées en application de l’article L 120-1 du code de l’environnement ou en application de l’article L.914-3 du code rural et de la pêche maritime sauf procédure particulière ou en application de la loi du 17 mai 2011)</w:t>
            </w:r>
          </w:p>
          <w:p w:rsidR="002F3FA9" w:rsidRPr="00025647" w:rsidRDefault="002F3FA9" w:rsidP="005303BB">
            <w:pPr>
              <w:ind w:left="143" w:right="175"/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5) motifs de la décision (obligatoire pour les consultations organisées en application de l’article L. 120-1 du code de l’environnement ou en application de l’article L.914-3 du code rural et de la pêche maritime sauf procédure particulière)</w:t>
            </w:r>
          </w:p>
        </w:tc>
        <w:tc>
          <w:tcPr>
            <w:tcW w:w="2376" w:type="dxa"/>
            <w:shd w:val="clear" w:color="auto" w:fill="auto"/>
          </w:tcPr>
          <w:p w:rsidR="002F3FA9" w:rsidRPr="00025647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 xml:space="preserve">Avant l’ouverture de la consultation, les trois premiers documents doivent être transmis en pièces jointes à la présente fiche. </w:t>
            </w:r>
          </w:p>
          <w:p w:rsidR="002F3FA9" w:rsidRPr="00025647" w:rsidRDefault="002F3FA9" w:rsidP="005303BB">
            <w:pPr>
              <w:jc w:val="both"/>
              <w:rPr>
                <w:rFonts w:cs="Arial"/>
                <w:sz w:val="21"/>
                <w:szCs w:val="21"/>
              </w:rPr>
            </w:pPr>
            <w:r w:rsidRPr="00025647">
              <w:rPr>
                <w:rFonts w:cs="Arial"/>
                <w:sz w:val="21"/>
                <w:szCs w:val="21"/>
              </w:rPr>
              <w:t>Avant la publication de la synthèse,</w:t>
            </w:r>
            <w:r w:rsidRPr="00025647" w:rsidDel="00F036A3">
              <w:rPr>
                <w:rFonts w:cs="Arial"/>
                <w:sz w:val="21"/>
                <w:szCs w:val="21"/>
              </w:rPr>
              <w:t xml:space="preserve"> </w:t>
            </w:r>
            <w:r w:rsidRPr="00025647">
              <w:rPr>
                <w:rFonts w:cs="Arial"/>
                <w:sz w:val="21"/>
                <w:szCs w:val="21"/>
              </w:rPr>
              <w:t>la totalité des documents doit être transmise en pièces jointes à la présente fiche.</w:t>
            </w:r>
          </w:p>
        </w:tc>
      </w:tr>
    </w:tbl>
    <w:p w:rsidR="005303BB" w:rsidRDefault="005303BB" w:rsidP="002F3FA9">
      <w:pPr>
        <w:widowControl/>
        <w:autoSpaceDE/>
        <w:autoSpaceDN/>
        <w:spacing w:beforeAutospacing="1" w:afterAutospacing="1"/>
        <w:outlineLvl w:val="1"/>
        <w:rPr>
          <w:b/>
          <w:i/>
          <w:u w:val="single"/>
        </w:rPr>
      </w:pPr>
    </w:p>
    <w:p w:rsidR="005303BB" w:rsidRDefault="005303BB" w:rsidP="002F3FA9">
      <w:pPr>
        <w:widowControl/>
        <w:autoSpaceDE/>
        <w:autoSpaceDN/>
        <w:spacing w:beforeAutospacing="1" w:afterAutospacing="1"/>
        <w:outlineLvl w:val="1"/>
        <w:rPr>
          <w:b/>
          <w:i/>
          <w:u w:val="single"/>
        </w:rPr>
      </w:pPr>
    </w:p>
    <w:p w:rsidR="005303BB" w:rsidRDefault="005303BB" w:rsidP="002F3FA9">
      <w:pPr>
        <w:widowControl/>
        <w:autoSpaceDE/>
        <w:autoSpaceDN/>
        <w:spacing w:beforeAutospacing="1" w:afterAutospacing="1"/>
        <w:outlineLvl w:val="1"/>
        <w:rPr>
          <w:b/>
          <w:i/>
          <w:u w:val="single"/>
        </w:rPr>
      </w:pPr>
    </w:p>
    <w:p w:rsidR="005303BB" w:rsidRDefault="005303BB" w:rsidP="002F3FA9">
      <w:pPr>
        <w:widowControl/>
        <w:autoSpaceDE/>
        <w:autoSpaceDN/>
        <w:spacing w:beforeAutospacing="1" w:afterAutospacing="1"/>
        <w:outlineLvl w:val="1"/>
        <w:rPr>
          <w:b/>
          <w:i/>
          <w:u w:val="single"/>
        </w:rPr>
      </w:pPr>
    </w:p>
    <w:p w:rsidR="005303BB" w:rsidRDefault="005303BB" w:rsidP="002F3FA9">
      <w:pPr>
        <w:widowControl/>
        <w:autoSpaceDE/>
        <w:autoSpaceDN/>
        <w:spacing w:beforeAutospacing="1" w:afterAutospacing="1"/>
        <w:outlineLvl w:val="1"/>
        <w:rPr>
          <w:b/>
          <w:i/>
          <w:u w:val="single"/>
        </w:rPr>
      </w:pPr>
    </w:p>
    <w:p w:rsidR="00B14670" w:rsidRDefault="00B14670" w:rsidP="002F3FA9">
      <w:pPr>
        <w:widowControl/>
        <w:autoSpaceDE/>
        <w:autoSpaceDN/>
        <w:spacing w:beforeAutospacing="1" w:afterAutospacing="1"/>
        <w:outlineLvl w:val="1"/>
        <w:rPr>
          <w:b/>
          <w:i/>
          <w:u w:val="single"/>
        </w:rPr>
      </w:pPr>
    </w:p>
    <w:p w:rsidR="005303BB" w:rsidRDefault="005303BB" w:rsidP="002F3FA9">
      <w:pPr>
        <w:widowControl/>
        <w:autoSpaceDE/>
        <w:autoSpaceDN/>
        <w:spacing w:beforeAutospacing="1" w:afterAutospacing="1"/>
        <w:outlineLvl w:val="1"/>
        <w:rPr>
          <w:b/>
          <w:i/>
          <w:u w:val="single"/>
        </w:rPr>
      </w:pPr>
    </w:p>
    <w:p w:rsidR="002F3FA9" w:rsidRDefault="002F3FA9" w:rsidP="002F3FA9">
      <w:pPr>
        <w:widowControl/>
        <w:autoSpaceDE/>
        <w:autoSpaceDN/>
        <w:spacing w:beforeAutospacing="1" w:afterAutospacing="1"/>
        <w:outlineLvl w:val="1"/>
        <w:rPr>
          <w:b/>
          <w:i/>
          <w:u w:val="single"/>
        </w:rPr>
      </w:pPr>
      <w:r w:rsidRPr="00EC3EEE">
        <w:rPr>
          <w:b/>
          <w:i/>
          <w:u w:val="single"/>
        </w:rPr>
        <w:t>Nota bene</w:t>
      </w:r>
      <w:r>
        <w:rPr>
          <w:b/>
          <w:i/>
          <w:u w:val="single"/>
        </w:rPr>
        <w:t> :</w:t>
      </w:r>
    </w:p>
    <w:p w:rsidR="002F3FA9" w:rsidRDefault="002F3FA9" w:rsidP="002F3FA9">
      <w:pPr>
        <w:widowControl/>
        <w:numPr>
          <w:ilvl w:val="0"/>
          <w:numId w:val="3"/>
        </w:numPr>
        <w:autoSpaceDE/>
        <w:autoSpaceDN/>
        <w:spacing w:beforeAutospacing="1" w:afterAutospacing="1"/>
        <w:outlineLvl w:val="1"/>
        <w:rPr>
          <w:b/>
          <w:i/>
          <w:u w:val="single"/>
        </w:rPr>
      </w:pPr>
      <w:r>
        <w:rPr>
          <w:b/>
          <w:i/>
          <w:u w:val="single"/>
        </w:rPr>
        <w:t>sur la rubrique « description » de la fiche</w:t>
      </w:r>
    </w:p>
    <w:p w:rsidR="002F3FA9" w:rsidRPr="0031524C" w:rsidRDefault="002F3FA9" w:rsidP="002F3FA9">
      <w:pPr>
        <w:widowControl/>
        <w:numPr>
          <w:ilvl w:val="0"/>
          <w:numId w:val="2"/>
        </w:numPr>
        <w:autoSpaceDE/>
        <w:autoSpaceDN/>
        <w:spacing w:beforeAutospacing="1" w:afterAutospacing="1"/>
        <w:outlineLvl w:val="1"/>
      </w:pPr>
      <w:r>
        <w:t>L</w:t>
      </w:r>
      <w:r w:rsidRPr="0031524C">
        <w:t xml:space="preserve">e texte de la </w:t>
      </w:r>
      <w:r>
        <w:t>rubrique « </w:t>
      </w:r>
      <w:r w:rsidRPr="0031524C">
        <w:t>description</w:t>
      </w:r>
      <w:r>
        <w:t> »</w:t>
      </w:r>
      <w:r w:rsidRPr="0031524C">
        <w:t xml:space="preserve"> doit être </w:t>
      </w:r>
      <w:r>
        <w:t xml:space="preserve">adapté selon que </w:t>
      </w:r>
      <w:r w:rsidRPr="0031524C">
        <w:t xml:space="preserve">la </w:t>
      </w:r>
      <w:r>
        <w:t xml:space="preserve">présente </w:t>
      </w:r>
      <w:r w:rsidRPr="0031524C">
        <w:t>fiche est transmise en vue de l’ouverture d</w:t>
      </w:r>
      <w:r>
        <w:t>’une</w:t>
      </w:r>
      <w:r w:rsidRPr="0031524C">
        <w:t xml:space="preserve"> consultation ou </w:t>
      </w:r>
      <w:r>
        <w:t>de</w:t>
      </w:r>
      <w:r w:rsidRPr="0031524C">
        <w:t xml:space="preserve"> la publication d</w:t>
      </w:r>
      <w:r>
        <w:t>’une</w:t>
      </w:r>
      <w:r w:rsidRPr="0031524C">
        <w:t xml:space="preserve"> synthèse</w:t>
      </w:r>
      <w:r>
        <w:t>.</w:t>
      </w:r>
    </w:p>
    <w:p w:rsidR="002F3FA9" w:rsidRPr="00EC3EEE" w:rsidRDefault="002F3FA9" w:rsidP="002F3FA9">
      <w:pPr>
        <w:widowControl/>
        <w:numPr>
          <w:ilvl w:val="0"/>
          <w:numId w:val="3"/>
        </w:numPr>
        <w:autoSpaceDE/>
        <w:autoSpaceDN/>
        <w:spacing w:beforeAutospacing="1" w:afterAutospacing="1"/>
        <w:outlineLvl w:val="1"/>
        <w:rPr>
          <w:b/>
          <w:i/>
          <w:u w:val="single"/>
        </w:rPr>
      </w:pPr>
      <w:r w:rsidRPr="00EC3EEE">
        <w:rPr>
          <w:b/>
          <w:i/>
          <w:u w:val="single"/>
        </w:rPr>
        <w:t>sur le délai de consultation et les modalités de publication de la synthèse :</w:t>
      </w:r>
    </w:p>
    <w:p w:rsidR="002F3FA9" w:rsidRDefault="002F3FA9" w:rsidP="002F3FA9">
      <w:pPr>
        <w:widowControl/>
        <w:numPr>
          <w:ilvl w:val="0"/>
          <w:numId w:val="1"/>
        </w:numPr>
        <w:autoSpaceDE/>
        <w:autoSpaceDN/>
        <w:spacing w:beforeAutospacing="1" w:afterAutospacing="1"/>
        <w:jc w:val="both"/>
        <w:outlineLvl w:val="1"/>
      </w:pPr>
      <w:r>
        <w:t xml:space="preserve">En application de l’article L.120-1 du code de l’environnement ou </w:t>
      </w:r>
      <w:r w:rsidRPr="00E1045E">
        <w:t>en application de l’article L.914-3 du code rural et de la pêche maritime</w:t>
      </w:r>
      <w:r>
        <w:t>,</w:t>
      </w:r>
      <w:r w:rsidRPr="00E1045E">
        <w:t xml:space="preserve"> sauf procédure particulière</w:t>
      </w:r>
      <w:r>
        <w:t xml:space="preserve">, le délai minimum de consultation doit être de 21 jours. </w:t>
      </w:r>
    </w:p>
    <w:p w:rsidR="002F3FA9" w:rsidRDefault="002F3FA9" w:rsidP="002F3FA9">
      <w:pPr>
        <w:widowControl/>
        <w:numPr>
          <w:ilvl w:val="0"/>
          <w:numId w:val="1"/>
        </w:numPr>
        <w:autoSpaceDE/>
        <w:autoSpaceDN/>
        <w:spacing w:beforeAutospacing="1" w:afterAutospacing="1"/>
        <w:jc w:val="both"/>
        <w:outlineLvl w:val="1"/>
      </w:pPr>
      <w:r>
        <w:t xml:space="preserve">La publication de la synthèse des observations du public doit intervenir au plus tard, comme le document séparé exposant les motifs de la décision, à la date de la publication de la décision, et être accessible en ligne pendant une durée qui ne peut être inférieure à 3 mois. </w:t>
      </w:r>
    </w:p>
    <w:p w:rsidR="002F3FA9" w:rsidRDefault="002F3FA9" w:rsidP="002F3FA9">
      <w:pPr>
        <w:widowControl/>
        <w:numPr>
          <w:ilvl w:val="0"/>
          <w:numId w:val="1"/>
        </w:numPr>
        <w:autoSpaceDE/>
        <w:autoSpaceDN/>
        <w:spacing w:beforeAutospacing="1" w:afterAutospacing="1"/>
        <w:jc w:val="both"/>
        <w:outlineLvl w:val="1"/>
      </w:pPr>
      <w:r>
        <w:t>Le délai entre la fin de la période de consultation et la publication de la synthèse ne peut être inférieur à 4 jours ; le délai de 4 jours peut être réduit en cas d’absence d’observations.</w:t>
      </w:r>
    </w:p>
    <w:p w:rsidR="002F3FA9" w:rsidRPr="00C41C3D" w:rsidRDefault="002F3FA9" w:rsidP="002F3FA9">
      <w:pPr>
        <w:widowControl/>
        <w:autoSpaceDE/>
        <w:autoSpaceDN/>
        <w:spacing w:beforeAutospacing="1" w:afterAutospacing="1"/>
        <w:ind w:left="720"/>
        <w:outlineLvl w:val="1"/>
      </w:pPr>
    </w:p>
    <w:p w:rsidR="0092113C" w:rsidRDefault="0092113C"/>
    <w:sectPr w:rsidR="0092113C" w:rsidSect="0036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0B82"/>
    <w:multiLevelType w:val="hybridMultilevel"/>
    <w:tmpl w:val="9EBABDCA"/>
    <w:lvl w:ilvl="0" w:tplc="76FC3C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B0CDE"/>
    <w:multiLevelType w:val="hybridMultilevel"/>
    <w:tmpl w:val="A3EC02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F688D"/>
    <w:multiLevelType w:val="hybridMultilevel"/>
    <w:tmpl w:val="BF965B32"/>
    <w:lvl w:ilvl="0" w:tplc="7E48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A9"/>
    <w:rsid w:val="00011232"/>
    <w:rsid w:val="00025647"/>
    <w:rsid w:val="0009672F"/>
    <w:rsid w:val="00185718"/>
    <w:rsid w:val="00200C28"/>
    <w:rsid w:val="002E03D8"/>
    <w:rsid w:val="002E3C0C"/>
    <w:rsid w:val="002F3FA9"/>
    <w:rsid w:val="00360E53"/>
    <w:rsid w:val="004527EE"/>
    <w:rsid w:val="00454688"/>
    <w:rsid w:val="005303BB"/>
    <w:rsid w:val="0055193F"/>
    <w:rsid w:val="005D1648"/>
    <w:rsid w:val="0064679A"/>
    <w:rsid w:val="0073249F"/>
    <w:rsid w:val="0092113C"/>
    <w:rsid w:val="00974A63"/>
    <w:rsid w:val="009E4571"/>
    <w:rsid w:val="00A409CB"/>
    <w:rsid w:val="00A53CC8"/>
    <w:rsid w:val="00AC39A3"/>
    <w:rsid w:val="00B14670"/>
    <w:rsid w:val="00C27A85"/>
    <w:rsid w:val="00C370B4"/>
    <w:rsid w:val="00C60AA7"/>
    <w:rsid w:val="00C921E2"/>
    <w:rsid w:val="00DE507C"/>
    <w:rsid w:val="00E52335"/>
    <w:rsid w:val="00E55E6C"/>
    <w:rsid w:val="00F06658"/>
    <w:rsid w:val="00F57A23"/>
    <w:rsid w:val="00FD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A9"/>
    <w:pPr>
      <w:widowControl w:val="0"/>
      <w:autoSpaceDE w:val="0"/>
      <w:autoSpaceDN w:val="0"/>
      <w:spacing w:before="100" w:after="100"/>
    </w:pPr>
    <w:rPr>
      <w:rFonts w:ascii="Arial" w:eastAsia="Times New Roman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564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123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1467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erre-luc.lecompte@developpement-durabl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mailto:pierre-luc.lecompte@developpement-durable.gouv.fr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MEDDE</dc:creator>
  <cp:lastModifiedBy>MEDDE</cp:lastModifiedBy>
  <cp:revision>2</cp:revision>
  <dcterms:created xsi:type="dcterms:W3CDTF">2015-09-28T08:22:00Z</dcterms:created>
  <dcterms:modified xsi:type="dcterms:W3CDTF">2015-09-28T08:22:00Z</dcterms:modified>
</cp:coreProperties>
</file>