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B0" w:rsidRDefault="003866B0">
      <w:pPr>
        <w:spacing w:after="283"/>
      </w:pPr>
      <w:r>
        <w:t> </w:t>
      </w:r>
    </w:p>
    <w:p w:rsidR="003866B0" w:rsidRDefault="003866B0">
      <w:pPr>
        <w:pStyle w:val="BodyText"/>
        <w:jc w:val="center"/>
        <w:rPr>
          <w:b/>
        </w:rPr>
      </w:pPr>
      <w:r>
        <w:rPr>
          <w:b/>
        </w:rPr>
        <w:t>Annexe</w:t>
      </w:r>
    </w:p>
    <w:p w:rsidR="003866B0" w:rsidRDefault="003866B0">
      <w:pPr>
        <w:pStyle w:val="BodyText"/>
        <w:jc w:val="center"/>
        <w:rPr>
          <w:b/>
        </w:rPr>
      </w:pPr>
      <w:r>
        <w:rPr>
          <w:b/>
        </w:rPr>
        <w:t>à l'arrêté de désignation du site Natura 2000</w:t>
      </w:r>
      <w:r>
        <w:rPr>
          <w:b/>
        </w:rPr>
        <w:br/>
        <w:t>FR 8201692 Monts du matin, combe Laval et val Sainte-Marie</w:t>
      </w:r>
      <w:r>
        <w:rPr>
          <w:b/>
        </w:rPr>
        <w:br/>
        <w:t>(zone spéciale de conservation)</w:t>
      </w:r>
    </w:p>
    <w:p w:rsidR="003866B0" w:rsidRDefault="003866B0">
      <w:pPr>
        <w:pStyle w:val="BodyText"/>
        <w:jc w:val="center"/>
        <w:rPr>
          <w:b/>
        </w:rPr>
      </w:pPr>
      <w:r>
        <w:rPr>
          <w:b/>
        </w:rPr>
        <w:t>Liste des types d'habitats naturels et des espèces de faune et de flore sauvages justifiant la désignation du site</w:t>
      </w:r>
    </w:p>
    <w:p w:rsidR="003866B0" w:rsidRDefault="003866B0">
      <w:pPr>
        <w:pStyle w:val="BodyText"/>
        <w:rPr>
          <w:u w:val="single"/>
        </w:rPr>
      </w:pPr>
      <w:r>
        <w:rPr>
          <w:u w:val="single"/>
        </w:rPr>
        <w:t xml:space="preserve">1 - Liste des habitats naturels justifiant la désignation du site et figurant en annexe de l’arrêté du 16 novembre 2001 modifié </w:t>
      </w:r>
    </w:p>
    <w:tbl>
      <w:tblPr>
        <w:tblW w:w="1020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26"/>
        <w:gridCol w:w="443"/>
        <w:gridCol w:w="8636"/>
      </w:tblGrid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3240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Rivières alpines avec végétation ripicole ligneuse à </w:t>
            </w:r>
            <w:r>
              <w:rPr>
                <w:i/>
                <w:iCs/>
              </w:rPr>
              <w:t>Salix elaeagnos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5110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Formations stables xérothermophiles à </w:t>
            </w:r>
            <w:r>
              <w:rPr>
                <w:i/>
                <w:iCs/>
              </w:rPr>
              <w:t>Buxus sempervirens</w:t>
            </w:r>
            <w:r>
              <w:t xml:space="preserve"> des pentes rocheuses (</w:t>
            </w:r>
            <w:r>
              <w:rPr>
                <w:i/>
                <w:iCs/>
              </w:rPr>
              <w:t xml:space="preserve">Berberidion </w:t>
            </w:r>
            <w:r>
              <w:t>p.p.)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5130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Formations à </w:t>
            </w:r>
            <w:r>
              <w:rPr>
                <w:i/>
                <w:iCs/>
              </w:rPr>
              <w:t>Juniperus communis</w:t>
            </w:r>
            <w:r>
              <w:t xml:space="preserve"> sur landes ou pelouses calcaires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6110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Pelouses rupicoles calcaires ou basiphiles de </w:t>
            </w:r>
            <w:r>
              <w:rPr>
                <w:i/>
                <w:iCs/>
              </w:rPr>
              <w:t>l'Alysso-Sedion albi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6170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Pelouses calcaires alpines et subalpines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6210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Pelouses sèches semi-naturelles et faciès d'embuissonnement sur calcaires (</w:t>
            </w:r>
            <w:r>
              <w:rPr>
                <w:i/>
                <w:iCs/>
              </w:rPr>
              <w:t>Festuco-Brometalia</w:t>
            </w:r>
            <w:r>
              <w:t>) (* sites d'orchidées remarquables)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6210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Pelouses sèches semi-naturelles et faciès d'embuissonnement sur calcaires (</w:t>
            </w:r>
            <w:r>
              <w:rPr>
                <w:i/>
                <w:iCs/>
              </w:rPr>
              <w:t>Festuco-Brometalia</w:t>
            </w:r>
            <w:r>
              <w:t>) (* sites d'orchidées remarquables)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6430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Mégaphorbiaies hygrophiles d'ourlets planitiaires et des étages montagnard à alpin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6510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Prairies maigres de fauche de basse altitude (</w:t>
            </w:r>
            <w:r>
              <w:rPr>
                <w:i/>
                <w:iCs/>
              </w:rPr>
              <w:t>Alopecurus pratensis, Sanguisorba officinalis</w:t>
            </w:r>
            <w:r>
              <w:t>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7220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Sources pétrifiantes avec formation de tuf (</w:t>
            </w:r>
            <w:r>
              <w:rPr>
                <w:i/>
                <w:iCs/>
              </w:rPr>
              <w:t>Cratoneurion</w:t>
            </w:r>
            <w:r>
              <w:t>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8120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Eboulis calcaires et de schistes calcaires des étages montagnard à alpin (</w:t>
            </w:r>
            <w:r>
              <w:rPr>
                <w:i/>
                <w:iCs/>
              </w:rPr>
              <w:t>Thlaspietea rotundifolii</w:t>
            </w:r>
            <w:r>
              <w:t>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8130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Eboulis ouest-méditerranéens et thermophiles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8160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Eboulis médio-européens calcaires des étages collinéen à montagnard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8210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Pentes rocheuses calcaires avec végétation chasmophytique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8310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>Grottes non exploitées par le tourisme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91E0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Forêts alluviales à </w:t>
            </w:r>
            <w:r>
              <w:rPr>
                <w:i/>
                <w:iCs/>
              </w:rPr>
              <w:t xml:space="preserve">Alnus glutinosa </w:t>
            </w:r>
            <w:r>
              <w:t xml:space="preserve">et </w:t>
            </w:r>
            <w:r>
              <w:rPr>
                <w:i/>
                <w:iCs/>
              </w:rPr>
              <w:t>Fraxinus excelsior (Alno-Padion, Alnion incanae, Salicion albae)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9130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Hêtraies de </w:t>
            </w:r>
            <w:r>
              <w:rPr>
                <w:i/>
                <w:iCs/>
              </w:rPr>
              <w:t>l'Asperulo-Fagetum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9140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Hêtraies subalpines médio-européennes à </w:t>
            </w:r>
            <w:r>
              <w:rPr>
                <w:i/>
                <w:iCs/>
              </w:rPr>
              <w:t>Acer</w:t>
            </w:r>
            <w:r>
              <w:t xml:space="preserve"> et </w:t>
            </w:r>
            <w:r>
              <w:rPr>
                <w:i/>
                <w:iCs/>
              </w:rPr>
              <w:t>Rumex arifolius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9150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Hêtraies calcicoles médio-européennes du </w:t>
            </w:r>
            <w:r>
              <w:rPr>
                <w:i/>
                <w:iCs/>
              </w:rPr>
              <w:t>Cephalanthero-Fagion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9180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Forêts de pentes, éboulis ou ravins du </w:t>
            </w:r>
            <w:r>
              <w:rPr>
                <w:i/>
                <w:iCs/>
              </w:rPr>
              <w:t>Tilio-Acerion</w:t>
            </w:r>
          </w:p>
        </w:tc>
      </w:tr>
      <w:tr w:rsidR="003866B0">
        <w:tc>
          <w:tcPr>
            <w:tcW w:w="1126" w:type="dxa"/>
            <w:vAlign w:val="center"/>
          </w:tcPr>
          <w:p w:rsidR="003866B0" w:rsidRDefault="003866B0">
            <w:pPr>
              <w:pStyle w:val="Contenudetableau"/>
            </w:pPr>
            <w:r>
              <w:t>9410</w:t>
            </w:r>
          </w:p>
        </w:tc>
        <w:tc>
          <w:tcPr>
            <w:tcW w:w="443" w:type="dxa"/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8636" w:type="dxa"/>
            <w:vAlign w:val="center"/>
          </w:tcPr>
          <w:p w:rsidR="003866B0" w:rsidRDefault="003866B0">
            <w:pPr>
              <w:pStyle w:val="Contenudetableau"/>
            </w:pPr>
            <w:r>
              <w:t xml:space="preserve">Forêts acidophiles à </w:t>
            </w:r>
            <w:r>
              <w:rPr>
                <w:i/>
                <w:iCs/>
              </w:rPr>
              <w:t>Picea</w:t>
            </w:r>
            <w:r>
              <w:t xml:space="preserve"> des étages montagnard à alpin (</w:t>
            </w:r>
            <w:r>
              <w:rPr>
                <w:i/>
                <w:iCs/>
              </w:rPr>
              <w:t>Vaccinio-Piceetea</w:t>
            </w:r>
            <w:r>
              <w:t>)</w:t>
            </w:r>
          </w:p>
        </w:tc>
      </w:tr>
    </w:tbl>
    <w:p w:rsidR="003866B0" w:rsidRDefault="003866B0">
      <w:pPr>
        <w:pStyle w:val="BodyText"/>
        <w:rPr>
          <w:u w:val="single"/>
        </w:rPr>
      </w:pPr>
    </w:p>
    <w:p w:rsidR="003866B0" w:rsidRDefault="003866B0">
      <w:pPr>
        <w:pStyle w:val="BodyText"/>
        <w:rPr>
          <w:u w:val="single"/>
        </w:rPr>
      </w:pPr>
    </w:p>
    <w:p w:rsidR="003866B0" w:rsidRDefault="003866B0">
      <w:pPr>
        <w:pStyle w:val="BodyText"/>
        <w:rPr>
          <w:u w:val="single"/>
        </w:rPr>
      </w:pPr>
      <w:r>
        <w:rPr>
          <w:u w:val="single"/>
        </w:rPr>
        <w:t>2 - Liste des espèces de faune et flore sauvages justifiant la désignation du site et figurant en annexe de l’arrêté du 16 novembre 2001 modifié</w:t>
      </w:r>
    </w:p>
    <w:tbl>
      <w:tblPr>
        <w:tblW w:w="7215" w:type="dxa"/>
        <w:tblCellMar>
          <w:left w:w="0" w:type="dxa"/>
          <w:right w:w="0" w:type="dxa"/>
        </w:tblCellMar>
        <w:tblLook w:val="0000"/>
      </w:tblPr>
      <w:tblGrid>
        <w:gridCol w:w="721"/>
        <w:gridCol w:w="288"/>
        <w:gridCol w:w="3103"/>
        <w:gridCol w:w="3103"/>
      </w:tblGrid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Amphibiens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Aucune espèce mentionnée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</w:tr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Invertébrés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1087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*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Rosalie des Alpes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Rosalia alpina</w:t>
            </w:r>
          </w:p>
        </w:tc>
      </w:tr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Mammifères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1303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Petit rhinolophe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Rhinolophus hipposideros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1304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Grand rhinolophe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Rhinolophus ferrumequinum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1321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Vespertilion à oreilles échancrées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Myotis emarginatus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1324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Grand Murin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Myotis myotis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1361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Lynx Boréal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Lynx lynx</w:t>
            </w:r>
          </w:p>
        </w:tc>
      </w:tr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Plantes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1386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Buxbaumie verte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Buxbaumia viridis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1902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Sabot de Vénus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Cypripedium calceolus</w:t>
            </w:r>
          </w:p>
        </w:tc>
      </w:tr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Poissons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1163</w:t>
            </w: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</w:pPr>
            <w:r>
              <w:t>Chabot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Cottus gobio</w:t>
            </w:r>
          </w:p>
        </w:tc>
      </w:tr>
      <w:tr w:rsidR="003866B0">
        <w:tc>
          <w:tcPr>
            <w:tcW w:w="7215" w:type="dxa"/>
            <w:gridSpan w:val="4"/>
            <w:vAlign w:val="center"/>
          </w:tcPr>
          <w:p w:rsidR="003866B0" w:rsidRDefault="003866B0">
            <w:pPr>
              <w:pStyle w:val="Contenudetableau"/>
              <w:rPr>
                <w:u w:val="single"/>
              </w:rPr>
            </w:pPr>
            <w:r>
              <w:rPr>
                <w:u w:val="single"/>
              </w:rPr>
              <w:t>Reptiles</w:t>
            </w:r>
          </w:p>
        </w:tc>
      </w:tr>
      <w:tr w:rsidR="003866B0">
        <w:tc>
          <w:tcPr>
            <w:tcW w:w="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i/>
              </w:rPr>
            </w:pPr>
            <w:r>
              <w:rPr>
                <w:i/>
              </w:rPr>
              <w:t>Aucune espèce mentionnée</w:t>
            </w:r>
          </w:p>
        </w:tc>
        <w:tc>
          <w:tcPr>
            <w:tcW w:w="3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66B0" w:rsidRDefault="003866B0">
            <w:pPr>
              <w:pStyle w:val="Contenudetableau"/>
              <w:rPr>
                <w:sz w:val="4"/>
                <w:szCs w:val="4"/>
              </w:rPr>
            </w:pPr>
          </w:p>
        </w:tc>
      </w:tr>
    </w:tbl>
    <w:p w:rsidR="003866B0" w:rsidRDefault="003866B0">
      <w:pPr>
        <w:pStyle w:val="BodyText"/>
      </w:pPr>
      <w:r>
        <w:t> </w:t>
      </w:r>
    </w:p>
    <w:p w:rsidR="003866B0" w:rsidRDefault="003866B0">
      <w:pPr>
        <w:pStyle w:val="BodyText"/>
      </w:pPr>
    </w:p>
    <w:p w:rsidR="003866B0" w:rsidRDefault="003866B0">
      <w:pPr>
        <w:pStyle w:val="BodyText"/>
      </w:pPr>
    </w:p>
    <w:p w:rsidR="003866B0" w:rsidRDefault="003866B0">
      <w:pPr>
        <w:pStyle w:val="BodyText"/>
        <w:spacing w:after="0"/>
        <w:rPr>
          <w:i/>
        </w:rPr>
      </w:pPr>
      <w:r>
        <w:rPr>
          <w:i/>
        </w:rPr>
        <w:t>* Habitats ou espèces dont la protection est prioritaire au sens de la directive 92/43/CEE.</w:t>
      </w:r>
    </w:p>
    <w:p w:rsidR="003866B0" w:rsidRDefault="003866B0">
      <w:pPr>
        <w:pStyle w:val="BodyText"/>
      </w:pPr>
      <w:r>
        <w:br/>
      </w:r>
      <w:r>
        <w:br/>
      </w:r>
      <w:r>
        <w:br/>
      </w:r>
    </w:p>
    <w:p w:rsidR="003866B0" w:rsidRDefault="003866B0">
      <w:pPr>
        <w:pStyle w:val="BodyText"/>
        <w:spacing w:after="0"/>
        <w:ind w:firstLine="300"/>
      </w:pPr>
      <w:r>
        <w:t xml:space="preserve">Fait le </w:t>
      </w:r>
    </w:p>
    <w:p w:rsidR="003866B0" w:rsidRDefault="003866B0">
      <w:pPr>
        <w:pStyle w:val="BodyText"/>
      </w:pPr>
      <w:r>
        <w:br/>
      </w:r>
    </w:p>
    <w:tbl>
      <w:tblPr>
        <w:tblW w:w="9174" w:type="dxa"/>
        <w:tblInd w:w="411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87"/>
        <w:gridCol w:w="4587"/>
      </w:tblGrid>
      <w:tr w:rsidR="003866B0">
        <w:trPr>
          <w:trHeight w:val="4056"/>
        </w:trPr>
        <w:tc>
          <w:tcPr>
            <w:tcW w:w="4587" w:type="dxa"/>
          </w:tcPr>
          <w:p w:rsidR="003866B0" w:rsidRDefault="003866B0">
            <w:r>
              <w:t xml:space="preserve">Pour la ministre et par délégation : </w:t>
            </w:r>
          </w:p>
          <w:p w:rsidR="003866B0" w:rsidRDefault="003866B0">
            <w:r>
              <w:t>Le directeur de l’eau et de la biodiversité,</w:t>
            </w:r>
          </w:p>
          <w:p w:rsidR="003866B0" w:rsidRDefault="003866B0">
            <w:pPr>
              <w:ind w:left="709"/>
            </w:pPr>
          </w:p>
          <w:p w:rsidR="003866B0" w:rsidRDefault="003866B0">
            <w:pPr>
              <w:ind w:left="709"/>
            </w:pPr>
          </w:p>
          <w:p w:rsidR="003866B0" w:rsidRDefault="003866B0"/>
          <w:p w:rsidR="003866B0" w:rsidRDefault="003866B0"/>
          <w:p w:rsidR="003866B0" w:rsidRDefault="003866B0">
            <w:pPr>
              <w:pStyle w:val="NormalWeb"/>
              <w:spacing w:before="0" w:after="0"/>
            </w:pPr>
            <w:r>
              <w:t>F. MITTEAULT</w:t>
            </w:r>
          </w:p>
        </w:tc>
        <w:tc>
          <w:tcPr>
            <w:tcW w:w="4587" w:type="dxa"/>
          </w:tcPr>
          <w:p w:rsidR="003866B0" w:rsidRDefault="003866B0"/>
        </w:tc>
      </w:tr>
    </w:tbl>
    <w:p w:rsidR="003866B0" w:rsidRDefault="003866B0"/>
    <w:sectPr w:rsidR="003866B0" w:rsidSect="002D7B7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B70"/>
    <w:rsid w:val="00076DE2"/>
    <w:rsid w:val="00104130"/>
    <w:rsid w:val="002D7B70"/>
    <w:rsid w:val="003866B0"/>
    <w:rsid w:val="00B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70"/>
    <w:pPr>
      <w:widowControl w:val="0"/>
    </w:pPr>
    <w:rPr>
      <w:sz w:val="24"/>
      <w:szCs w:val="24"/>
      <w:lang w:eastAsia="zh-CN" w:bidi="hi-IN"/>
    </w:rPr>
  </w:style>
  <w:style w:type="paragraph" w:styleId="Heading1">
    <w:name w:val="heading 1"/>
    <w:basedOn w:val="Title"/>
    <w:next w:val="BodyText"/>
    <w:link w:val="Heading1Char"/>
    <w:uiPriority w:val="99"/>
    <w:qFormat/>
    <w:rsid w:val="002D7B70"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EA2"/>
    <w:rPr>
      <w:rFonts w:asciiTheme="majorHAnsi" w:eastAsiaTheme="majorEastAsia" w:hAnsiTheme="majorHAnsi"/>
      <w:b/>
      <w:bCs/>
      <w:kern w:val="32"/>
      <w:sz w:val="32"/>
      <w:szCs w:val="29"/>
      <w:lang w:eastAsia="zh-CN" w:bidi="hi-IN"/>
    </w:rPr>
  </w:style>
  <w:style w:type="character" w:customStyle="1" w:styleId="Caractresdenotedefin">
    <w:name w:val="Caractères de note de fin"/>
    <w:uiPriority w:val="99"/>
    <w:rsid w:val="002D7B70"/>
  </w:style>
  <w:style w:type="character" w:customStyle="1" w:styleId="Caractresdenotedebasdepage">
    <w:name w:val="Caractères de note de bas de page"/>
    <w:uiPriority w:val="99"/>
    <w:rsid w:val="002D7B70"/>
  </w:style>
  <w:style w:type="character" w:customStyle="1" w:styleId="LienInternet">
    <w:name w:val="Lien Internet"/>
    <w:uiPriority w:val="99"/>
    <w:rsid w:val="002D7B70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2D7B70"/>
    <w:pPr>
      <w:keepNext/>
      <w:spacing w:before="240" w:after="283"/>
    </w:pPr>
    <w:rPr>
      <w:rFonts w:ascii="Albany" w:hAnsi="Albany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97EA2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2D7B70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7EA2"/>
    <w:rPr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2D7B70"/>
  </w:style>
  <w:style w:type="paragraph" w:styleId="Caption">
    <w:name w:val="caption"/>
    <w:basedOn w:val="Normal"/>
    <w:uiPriority w:val="99"/>
    <w:qFormat/>
    <w:rsid w:val="002D7B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2D7B70"/>
    <w:pPr>
      <w:suppressLineNumbers/>
    </w:pPr>
  </w:style>
  <w:style w:type="paragraph" w:customStyle="1" w:styleId="Lignehorizontale">
    <w:name w:val="Ligne horizontale"/>
    <w:basedOn w:val="Normal"/>
    <w:next w:val="BodyText"/>
    <w:uiPriority w:val="99"/>
    <w:rsid w:val="002D7B70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xpditeur">
    <w:name w:val="Expéditeur"/>
    <w:basedOn w:val="Normal"/>
    <w:uiPriority w:val="99"/>
    <w:rsid w:val="002D7B70"/>
    <w:rPr>
      <w:i/>
    </w:rPr>
  </w:style>
  <w:style w:type="paragraph" w:customStyle="1" w:styleId="Contenudetableau">
    <w:name w:val="Contenu de tableau"/>
    <w:basedOn w:val="BodyText"/>
    <w:uiPriority w:val="99"/>
    <w:rsid w:val="002D7B70"/>
  </w:style>
  <w:style w:type="paragraph" w:styleId="Footer">
    <w:name w:val="footer"/>
    <w:basedOn w:val="Normal"/>
    <w:link w:val="FooterChar"/>
    <w:uiPriority w:val="99"/>
    <w:rsid w:val="002D7B70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EA2"/>
    <w:rPr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rsid w:val="002D7B70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EA2"/>
    <w:rPr>
      <w:sz w:val="24"/>
      <w:szCs w:val="21"/>
      <w:lang w:eastAsia="zh-CN" w:bidi="hi-IN"/>
    </w:rPr>
  </w:style>
  <w:style w:type="paragraph" w:customStyle="1" w:styleId="Titredetableau">
    <w:name w:val="Titre de tableau"/>
    <w:basedOn w:val="Contenudetableau"/>
    <w:uiPriority w:val="99"/>
    <w:rsid w:val="002D7B70"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2D7B70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451</Words>
  <Characters>2486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MEDDE</cp:lastModifiedBy>
  <cp:revision>3</cp:revision>
  <dcterms:created xsi:type="dcterms:W3CDTF">2016-09-06T14:31:00Z</dcterms:created>
  <dcterms:modified xsi:type="dcterms:W3CDTF">2016-09-06T14:32:00Z</dcterms:modified>
</cp:coreProperties>
</file>