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A3" w:rsidRPr="008C66FC" w:rsidRDefault="00EF78A3" w:rsidP="00EF78A3">
      <w:pPr>
        <w:pBdr>
          <w:top w:val="single" w:sz="4" w:space="1" w:color="auto"/>
          <w:left w:val="single" w:sz="4" w:space="4" w:color="auto"/>
          <w:bottom w:val="single" w:sz="4" w:space="1" w:color="auto"/>
          <w:right w:val="single" w:sz="4" w:space="4" w:color="auto"/>
        </w:pBdr>
        <w:jc w:val="center"/>
        <w:rPr>
          <w:rFonts w:ascii="Times New Roman" w:hAnsi="Times New Roman"/>
          <w:sz w:val="32"/>
          <w:szCs w:val="32"/>
        </w:rPr>
      </w:pPr>
      <w:r w:rsidRPr="008C66FC">
        <w:rPr>
          <w:rFonts w:ascii="Times New Roman" w:hAnsi="Times New Roman"/>
          <w:b/>
          <w:sz w:val="32"/>
          <w:szCs w:val="32"/>
        </w:rPr>
        <w:t>P</w:t>
      </w:r>
      <w:r w:rsidR="008C66FC">
        <w:rPr>
          <w:rFonts w:ascii="Times New Roman" w:hAnsi="Times New Roman"/>
          <w:b/>
          <w:sz w:val="32"/>
          <w:szCs w:val="32"/>
        </w:rPr>
        <w:t>articipation du public – S</w:t>
      </w:r>
      <w:r w:rsidRPr="008C66FC">
        <w:rPr>
          <w:rFonts w:ascii="Times New Roman" w:hAnsi="Times New Roman"/>
          <w:b/>
          <w:sz w:val="32"/>
          <w:szCs w:val="32"/>
        </w:rPr>
        <w:t>ynthèse des observations</w:t>
      </w:r>
    </w:p>
    <w:p w:rsidR="00EF78A3" w:rsidRDefault="00EF78A3" w:rsidP="00EF78A3">
      <w:pPr>
        <w:jc w:val="center"/>
        <w:rPr>
          <w:rFonts w:ascii="Arial" w:hAnsi="Arial" w:cs="Arial"/>
        </w:rPr>
      </w:pPr>
    </w:p>
    <w:p w:rsidR="005E6C73" w:rsidRPr="00BD60D5" w:rsidRDefault="005E6C73">
      <w:pPr>
        <w:jc w:val="both"/>
        <w:rPr>
          <w:rFonts w:ascii="Times New Roman" w:hAnsi="Times New Roman"/>
          <w:sz w:val="28"/>
          <w:szCs w:val="28"/>
        </w:rPr>
      </w:pPr>
    </w:p>
    <w:p w:rsidR="008C66FC" w:rsidRDefault="008C66FC" w:rsidP="00C47AF7">
      <w:pPr>
        <w:pBdr>
          <w:top w:val="single" w:sz="4" w:space="1" w:color="auto"/>
          <w:left w:val="single" w:sz="4" w:space="4" w:color="auto"/>
          <w:bottom w:val="single" w:sz="4" w:space="13" w:color="auto"/>
          <w:right w:val="single" w:sz="4" w:space="4" w:color="auto"/>
        </w:pBdr>
        <w:jc w:val="center"/>
        <w:rPr>
          <w:rFonts w:ascii="Times New Roman" w:hAnsi="Times New Roman"/>
          <w:b/>
          <w:sz w:val="28"/>
          <w:szCs w:val="28"/>
        </w:rPr>
      </w:pPr>
    </w:p>
    <w:p w:rsidR="0099624A" w:rsidRPr="008C66FC" w:rsidRDefault="00996CC2" w:rsidP="00C47AF7">
      <w:pPr>
        <w:pBdr>
          <w:top w:val="single" w:sz="4" w:space="1" w:color="auto"/>
          <w:left w:val="single" w:sz="4" w:space="4" w:color="auto"/>
          <w:bottom w:val="single" w:sz="4" w:space="13" w:color="auto"/>
          <w:right w:val="single" w:sz="4" w:space="4" w:color="auto"/>
        </w:pBdr>
        <w:jc w:val="center"/>
        <w:rPr>
          <w:rFonts w:ascii="Times New Roman" w:hAnsi="Times New Roman"/>
          <w:b/>
          <w:sz w:val="36"/>
          <w:szCs w:val="36"/>
        </w:rPr>
      </w:pPr>
      <w:r w:rsidRPr="00996CC2">
        <w:rPr>
          <w:rFonts w:ascii="Times New Roman" w:hAnsi="Times New Roman"/>
          <w:b/>
          <w:sz w:val="36"/>
          <w:szCs w:val="36"/>
        </w:rPr>
        <w:t>Projet d’arrêté précisant les conditions d’exercice de la pêche de loisir réalisant des captures de thon rouge dans le cadre du plan pluriannuel de reconstitution des stocks de thon rouge dans l’Atlantique Est et la Méditerranée pour l’année 2015</w:t>
      </w:r>
    </w:p>
    <w:p w:rsidR="008C66FC" w:rsidRPr="008C66FC" w:rsidRDefault="008C66FC" w:rsidP="00C47AF7">
      <w:pPr>
        <w:pBdr>
          <w:top w:val="single" w:sz="4" w:space="1" w:color="auto"/>
          <w:left w:val="single" w:sz="4" w:space="4" w:color="auto"/>
          <w:bottom w:val="single" w:sz="4" w:space="13" w:color="auto"/>
          <w:right w:val="single" w:sz="4" w:space="4" w:color="auto"/>
        </w:pBdr>
        <w:jc w:val="center"/>
        <w:rPr>
          <w:rFonts w:ascii="Times New Roman" w:hAnsi="Times New Roman"/>
          <w:b/>
          <w:sz w:val="36"/>
          <w:szCs w:val="36"/>
        </w:rPr>
      </w:pPr>
    </w:p>
    <w:p w:rsidR="00753095" w:rsidRPr="008C66FC" w:rsidRDefault="00753095" w:rsidP="00C47AF7">
      <w:pPr>
        <w:pBdr>
          <w:top w:val="single" w:sz="4" w:space="1" w:color="auto"/>
          <w:left w:val="single" w:sz="4" w:space="4" w:color="auto"/>
          <w:bottom w:val="single" w:sz="4" w:space="13" w:color="auto"/>
          <w:right w:val="single" w:sz="4" w:space="4" w:color="auto"/>
        </w:pBdr>
        <w:jc w:val="center"/>
        <w:rPr>
          <w:rFonts w:ascii="Times New Roman" w:hAnsi="Times New Roman"/>
          <w:sz w:val="36"/>
          <w:szCs w:val="36"/>
        </w:rPr>
      </w:pPr>
      <w:r w:rsidRPr="008C66FC">
        <w:rPr>
          <w:rFonts w:ascii="Times New Roman" w:hAnsi="Times New Roman"/>
          <w:b/>
          <w:sz w:val="36"/>
          <w:szCs w:val="36"/>
        </w:rPr>
        <w:t>Soumi</w:t>
      </w:r>
      <w:r w:rsidR="00E63770" w:rsidRPr="008C66FC">
        <w:rPr>
          <w:rFonts w:ascii="Times New Roman" w:hAnsi="Times New Roman"/>
          <w:b/>
          <w:sz w:val="36"/>
          <w:szCs w:val="36"/>
        </w:rPr>
        <w:t xml:space="preserve">s à participation du public du </w:t>
      </w:r>
      <w:r w:rsidR="00996CC2">
        <w:rPr>
          <w:rFonts w:ascii="Times New Roman" w:hAnsi="Times New Roman"/>
          <w:b/>
          <w:sz w:val="36"/>
          <w:szCs w:val="36"/>
        </w:rPr>
        <w:t>21 janvier au</w:t>
      </w:r>
      <w:r w:rsidR="00C47AF7" w:rsidRPr="008C66FC">
        <w:rPr>
          <w:rFonts w:ascii="Times New Roman" w:hAnsi="Times New Roman"/>
          <w:b/>
          <w:sz w:val="36"/>
          <w:szCs w:val="36"/>
        </w:rPr>
        <w:t xml:space="preserve"> </w:t>
      </w:r>
      <w:r w:rsidR="00996CC2">
        <w:rPr>
          <w:rFonts w:ascii="Times New Roman" w:hAnsi="Times New Roman"/>
          <w:b/>
          <w:sz w:val="36"/>
          <w:szCs w:val="36"/>
        </w:rPr>
        <w:t>11 février 2015</w:t>
      </w:r>
      <w:r w:rsidR="00C47AF7" w:rsidRPr="008C66FC">
        <w:rPr>
          <w:rFonts w:ascii="Times New Roman" w:hAnsi="Times New Roman"/>
          <w:b/>
          <w:bCs/>
          <w:sz w:val="36"/>
          <w:szCs w:val="36"/>
        </w:rPr>
        <w:t xml:space="preserve"> sur le site du Ministère de l'écologie, du développement durable et de l'é</w:t>
      </w:r>
      <w:r w:rsidRPr="008C66FC">
        <w:rPr>
          <w:rFonts w:ascii="Times New Roman" w:hAnsi="Times New Roman"/>
          <w:b/>
          <w:bCs/>
          <w:sz w:val="36"/>
          <w:szCs w:val="36"/>
        </w:rPr>
        <w:t>nergie</w:t>
      </w:r>
    </w:p>
    <w:p w:rsidR="00510E95" w:rsidRPr="00BD60D5" w:rsidRDefault="00510E95" w:rsidP="00F94C66">
      <w:pPr>
        <w:jc w:val="both"/>
        <w:rPr>
          <w:rFonts w:ascii="Times New Roman" w:hAnsi="Times New Roman"/>
          <w:sz w:val="28"/>
          <w:szCs w:val="28"/>
        </w:rPr>
      </w:pPr>
    </w:p>
    <w:p w:rsidR="008674F5" w:rsidRDefault="008674F5" w:rsidP="00547FD8">
      <w:pPr>
        <w:jc w:val="both"/>
        <w:rPr>
          <w:b/>
          <w:bCs/>
          <w:sz w:val="22"/>
          <w:szCs w:val="22"/>
        </w:rPr>
      </w:pPr>
    </w:p>
    <w:p w:rsidR="00E63770" w:rsidRDefault="00E63770" w:rsidP="00C47AF7">
      <w:pPr>
        <w:pStyle w:val="NormalWeb"/>
        <w:spacing w:after="0"/>
        <w:jc w:val="both"/>
        <w:rPr>
          <w:b/>
          <w:bCs/>
        </w:rPr>
      </w:pPr>
      <w:r w:rsidRPr="00753095">
        <w:rPr>
          <w:b/>
          <w:bCs/>
        </w:rPr>
        <w:t xml:space="preserve">1°) </w:t>
      </w:r>
      <w:r w:rsidR="00C47AF7">
        <w:rPr>
          <w:b/>
          <w:bCs/>
        </w:rPr>
        <w:tab/>
      </w:r>
      <w:r w:rsidRPr="00753095">
        <w:rPr>
          <w:b/>
          <w:bCs/>
        </w:rPr>
        <w:t>Nombre total d'</w:t>
      </w:r>
      <w:r>
        <w:rPr>
          <w:b/>
          <w:bCs/>
        </w:rPr>
        <w:t xml:space="preserve">observations </w:t>
      </w:r>
      <w:r w:rsidRPr="00753095">
        <w:rPr>
          <w:b/>
          <w:bCs/>
        </w:rPr>
        <w:t>reçu</w:t>
      </w:r>
      <w:r>
        <w:rPr>
          <w:b/>
          <w:bCs/>
        </w:rPr>
        <w:t>e</w:t>
      </w:r>
      <w:r w:rsidRPr="00753095">
        <w:rPr>
          <w:b/>
          <w:bCs/>
        </w:rPr>
        <w:t>s</w:t>
      </w:r>
    </w:p>
    <w:p w:rsidR="00E63770" w:rsidRPr="00753095" w:rsidRDefault="00060AFA" w:rsidP="00474032">
      <w:pPr>
        <w:pStyle w:val="NormalWeb"/>
        <w:spacing w:after="0"/>
        <w:jc w:val="both"/>
      </w:pPr>
      <w:r>
        <w:rPr>
          <w:b/>
          <w:bCs/>
        </w:rPr>
        <w:t>16</w:t>
      </w:r>
      <w:r w:rsidR="00E63770" w:rsidRPr="00474032">
        <w:rPr>
          <w:b/>
          <w:bCs/>
        </w:rPr>
        <w:t xml:space="preserve"> avis ont été émis</w:t>
      </w:r>
      <w:r w:rsidR="00E63770">
        <w:rPr>
          <w:bCs/>
        </w:rPr>
        <w:t xml:space="preserve"> sur le projet d’arrêté susvisé qui a été soumis à la participation du public </w:t>
      </w:r>
      <w:r w:rsidR="00E63770" w:rsidRPr="00474032">
        <w:rPr>
          <w:bCs/>
          <w:u w:val="single"/>
        </w:rPr>
        <w:t>d</w:t>
      </w:r>
      <w:r w:rsidR="00F50EAD">
        <w:rPr>
          <w:bCs/>
          <w:u w:val="single"/>
        </w:rPr>
        <w:t>u 21 janvier au 11 février</w:t>
      </w:r>
      <w:r w:rsidR="00C47AF7" w:rsidRPr="00474032">
        <w:rPr>
          <w:bCs/>
          <w:u w:val="single"/>
        </w:rPr>
        <w:t xml:space="preserve"> 201</w:t>
      </w:r>
      <w:r w:rsidR="00F50EAD">
        <w:rPr>
          <w:bCs/>
          <w:u w:val="single"/>
        </w:rPr>
        <w:t>5</w:t>
      </w:r>
      <w:r w:rsidR="00C47AF7">
        <w:rPr>
          <w:bCs/>
        </w:rPr>
        <w:t xml:space="preserve"> sur le site du Ministère de l’é</w:t>
      </w:r>
      <w:r w:rsidR="00E63770">
        <w:rPr>
          <w:bCs/>
        </w:rPr>
        <w:t>cologie, du dé</w:t>
      </w:r>
      <w:r w:rsidR="00C47AF7">
        <w:rPr>
          <w:bCs/>
        </w:rPr>
        <w:t>veloppement durable et de l’énergie (</w:t>
      </w:r>
      <w:hyperlink r:id="rId8" w:history="1">
        <w:r w:rsidR="00C47AF7" w:rsidRPr="00664C44">
          <w:rPr>
            <w:rStyle w:val="Lienhypertexte"/>
            <w:bCs/>
          </w:rPr>
          <w:t>www.consultations-publiques.developpement-durable.gouv.fr</w:t>
        </w:r>
      </w:hyperlink>
      <w:r w:rsidR="00C47AF7">
        <w:rPr>
          <w:bCs/>
        </w:rPr>
        <w:t>).</w:t>
      </w:r>
    </w:p>
    <w:p w:rsidR="005C6138" w:rsidRDefault="005C6138" w:rsidP="005C6138">
      <w:pPr>
        <w:pStyle w:val="NormalWeb"/>
        <w:spacing w:before="0" w:beforeAutospacing="0" w:after="0"/>
        <w:jc w:val="both"/>
        <w:rPr>
          <w:b/>
          <w:bCs/>
        </w:rPr>
      </w:pPr>
    </w:p>
    <w:p w:rsidR="00E63770" w:rsidRDefault="00E63770" w:rsidP="005C6138">
      <w:pPr>
        <w:pStyle w:val="NormalWeb"/>
        <w:spacing w:before="0" w:beforeAutospacing="0" w:after="0"/>
        <w:jc w:val="both"/>
        <w:rPr>
          <w:b/>
          <w:bCs/>
        </w:rPr>
      </w:pPr>
      <w:r w:rsidRPr="00753095">
        <w:rPr>
          <w:b/>
          <w:bCs/>
        </w:rPr>
        <w:t xml:space="preserve">2°) </w:t>
      </w:r>
      <w:r w:rsidR="00C47AF7">
        <w:rPr>
          <w:b/>
          <w:bCs/>
        </w:rPr>
        <w:tab/>
      </w:r>
      <w:r w:rsidRPr="00753095">
        <w:rPr>
          <w:b/>
          <w:bCs/>
        </w:rPr>
        <w:t xml:space="preserve">Synthèse des </w:t>
      </w:r>
      <w:r>
        <w:rPr>
          <w:b/>
          <w:bCs/>
        </w:rPr>
        <w:t xml:space="preserve">observations </w:t>
      </w:r>
      <w:r w:rsidRPr="00753095">
        <w:rPr>
          <w:b/>
          <w:bCs/>
        </w:rPr>
        <w:t>émis</w:t>
      </w:r>
      <w:r w:rsidR="00D01991">
        <w:rPr>
          <w:b/>
          <w:bCs/>
        </w:rPr>
        <w:t>es</w:t>
      </w:r>
    </w:p>
    <w:p w:rsidR="005C6138" w:rsidRDefault="005C6138" w:rsidP="005C6138">
      <w:pPr>
        <w:pStyle w:val="NormalWeb"/>
        <w:spacing w:before="0" w:beforeAutospacing="0" w:after="0"/>
        <w:jc w:val="both"/>
        <w:rPr>
          <w:b/>
          <w:bCs/>
        </w:rPr>
      </w:pPr>
    </w:p>
    <w:p w:rsidR="00D01991" w:rsidRDefault="00060AFA" w:rsidP="005C6138">
      <w:pPr>
        <w:pStyle w:val="NormalWeb"/>
        <w:spacing w:before="0" w:beforeAutospacing="0" w:after="0"/>
        <w:jc w:val="both"/>
        <w:rPr>
          <w:bCs/>
        </w:rPr>
      </w:pPr>
      <w:r>
        <w:rPr>
          <w:b/>
          <w:bCs/>
        </w:rPr>
        <w:t>8</w:t>
      </w:r>
      <w:r w:rsidR="00F01BB7" w:rsidRPr="00E63762">
        <w:rPr>
          <w:b/>
          <w:bCs/>
        </w:rPr>
        <w:t xml:space="preserve"> avis </w:t>
      </w:r>
      <w:r w:rsidR="00E63762" w:rsidRPr="00E63762">
        <w:rPr>
          <w:b/>
          <w:bCs/>
        </w:rPr>
        <w:t>sont favorables</w:t>
      </w:r>
      <w:r w:rsidR="00E63762" w:rsidRPr="00E63762">
        <w:rPr>
          <w:bCs/>
        </w:rPr>
        <w:t xml:space="preserve"> ou doivent être lus comme réputés l’être.</w:t>
      </w:r>
    </w:p>
    <w:p w:rsidR="005C6138" w:rsidRDefault="005C6138" w:rsidP="005C6138">
      <w:pPr>
        <w:pStyle w:val="NormalWeb"/>
        <w:spacing w:before="0" w:beforeAutospacing="0" w:after="0"/>
        <w:jc w:val="both"/>
        <w:rPr>
          <w:bCs/>
        </w:rPr>
      </w:pPr>
    </w:p>
    <w:p w:rsidR="00464728" w:rsidRDefault="00E63762" w:rsidP="005C6138">
      <w:pPr>
        <w:pStyle w:val="NormalWeb"/>
        <w:spacing w:before="0" w:beforeAutospacing="0" w:after="0"/>
        <w:jc w:val="both"/>
        <w:rPr>
          <w:bCs/>
        </w:rPr>
      </w:pPr>
      <w:r>
        <w:rPr>
          <w:bCs/>
        </w:rPr>
        <w:t xml:space="preserve">Alors qu’un participant </w:t>
      </w:r>
      <w:r w:rsidR="005C6138">
        <w:rPr>
          <w:b/>
          <w:bCs/>
        </w:rPr>
        <w:t>se dit « tout à fait favorable</w:t>
      </w:r>
      <w:r w:rsidRPr="005C6138">
        <w:rPr>
          <w:b/>
          <w:bCs/>
        </w:rPr>
        <w:t xml:space="preserve"> à l’esprit du nouvel arrêté</w:t>
      </w:r>
      <w:r w:rsidR="005C6138">
        <w:rPr>
          <w:b/>
          <w:bCs/>
        </w:rPr>
        <w:t> »</w:t>
      </w:r>
      <w:r>
        <w:rPr>
          <w:bCs/>
        </w:rPr>
        <w:t xml:space="preserve">, </w:t>
      </w:r>
      <w:r w:rsidR="00464728">
        <w:rPr>
          <w:bCs/>
        </w:rPr>
        <w:t>plus particulièrement</w:t>
      </w:r>
      <w:r>
        <w:rPr>
          <w:bCs/>
        </w:rPr>
        <w:t xml:space="preserve"> en ce qui concerne les dispositions visant à atténuer la pêche massive </w:t>
      </w:r>
      <w:r w:rsidR="00464728">
        <w:rPr>
          <w:bCs/>
        </w:rPr>
        <w:t xml:space="preserve">constatée </w:t>
      </w:r>
      <w:r>
        <w:rPr>
          <w:bCs/>
        </w:rPr>
        <w:t>sur le dernier week-end</w:t>
      </w:r>
      <w:r w:rsidR="00464728">
        <w:rPr>
          <w:bCs/>
        </w:rPr>
        <w:t xml:space="preserve"> de campagne</w:t>
      </w:r>
      <w:r w:rsidR="00060AFA">
        <w:rPr>
          <w:bCs/>
        </w:rPr>
        <w:t>, sept</w:t>
      </w:r>
      <w:r>
        <w:rPr>
          <w:bCs/>
        </w:rPr>
        <w:t xml:space="preserve"> participants </w:t>
      </w:r>
      <w:r w:rsidR="00464728">
        <w:rPr>
          <w:bCs/>
        </w:rPr>
        <w:t xml:space="preserve">assortissent leurs avis de questions </w:t>
      </w:r>
      <w:r w:rsidR="00836647">
        <w:rPr>
          <w:bCs/>
        </w:rPr>
        <w:t xml:space="preserve">pratiques </w:t>
      </w:r>
      <w:r w:rsidR="00464728">
        <w:rPr>
          <w:bCs/>
        </w:rPr>
        <w:t xml:space="preserve">ou de remarques de </w:t>
      </w:r>
      <w:r w:rsidR="00B82BEC">
        <w:rPr>
          <w:bCs/>
        </w:rPr>
        <w:t>forme</w:t>
      </w:r>
      <w:r w:rsidR="005C6138">
        <w:rPr>
          <w:bCs/>
        </w:rPr>
        <w:t xml:space="preserve"> et</w:t>
      </w:r>
      <w:r w:rsidR="00B82BEC">
        <w:rPr>
          <w:bCs/>
        </w:rPr>
        <w:t xml:space="preserve"> de fond</w:t>
      </w:r>
      <w:r w:rsidR="00464728">
        <w:rPr>
          <w:bCs/>
        </w:rPr>
        <w:t>.</w:t>
      </w:r>
    </w:p>
    <w:p w:rsidR="005C6138" w:rsidRDefault="005C6138" w:rsidP="005C6138">
      <w:pPr>
        <w:pStyle w:val="NormalWeb"/>
        <w:spacing w:before="0" w:beforeAutospacing="0" w:after="0"/>
        <w:jc w:val="both"/>
        <w:rPr>
          <w:bCs/>
        </w:rPr>
      </w:pPr>
    </w:p>
    <w:p w:rsidR="005C6138" w:rsidRDefault="005C6138" w:rsidP="005C6138">
      <w:pPr>
        <w:pStyle w:val="NormalWeb"/>
        <w:spacing w:before="0" w:beforeAutospacing="0" w:after="0"/>
        <w:jc w:val="both"/>
        <w:rPr>
          <w:bCs/>
        </w:rPr>
      </w:pPr>
      <w:r>
        <w:rPr>
          <w:bCs/>
        </w:rPr>
        <w:t>Les participants remarquent ainsi :</w:t>
      </w:r>
    </w:p>
    <w:p w:rsidR="005C6138" w:rsidRDefault="005C6138" w:rsidP="005C6138">
      <w:pPr>
        <w:pStyle w:val="NormalWeb"/>
        <w:spacing w:before="0" w:beforeAutospacing="0" w:after="0"/>
        <w:jc w:val="both"/>
        <w:rPr>
          <w:bCs/>
        </w:rPr>
      </w:pPr>
    </w:p>
    <w:p w:rsidR="005C6138" w:rsidRDefault="005C6138" w:rsidP="005C6138">
      <w:pPr>
        <w:pStyle w:val="NormalWeb"/>
        <w:numPr>
          <w:ilvl w:val="0"/>
          <w:numId w:val="22"/>
        </w:numPr>
        <w:spacing w:before="0" w:beforeAutospacing="0" w:after="0"/>
        <w:jc w:val="both"/>
        <w:rPr>
          <w:bCs/>
        </w:rPr>
      </w:pPr>
      <w:r>
        <w:rPr>
          <w:bCs/>
        </w:rPr>
        <w:t xml:space="preserve">Une </w:t>
      </w:r>
      <w:r w:rsidRPr="005C6138">
        <w:rPr>
          <w:b/>
          <w:bCs/>
        </w:rPr>
        <w:t xml:space="preserve">coquille au niveau des dates </w:t>
      </w:r>
      <w:r>
        <w:rPr>
          <w:b/>
          <w:bCs/>
        </w:rPr>
        <w:t xml:space="preserve">des </w:t>
      </w:r>
      <w:r w:rsidRPr="005C6138">
        <w:rPr>
          <w:b/>
          <w:bCs/>
        </w:rPr>
        <w:t>périodes de capture</w:t>
      </w:r>
      <w:r w:rsidR="00DE3446">
        <w:rPr>
          <w:b/>
          <w:bCs/>
        </w:rPr>
        <w:t xml:space="preserve"> entre l’article 4</w:t>
      </w:r>
      <w:r>
        <w:rPr>
          <w:b/>
          <w:bCs/>
        </w:rPr>
        <w:t xml:space="preserve"> et l’annexe 1</w:t>
      </w:r>
      <w:r w:rsidR="00A71F3D">
        <w:rPr>
          <w:bCs/>
        </w:rPr>
        <w:t> est signalée par un membre de la Fédération française des pêcheurs en mer (FFPM) ;</w:t>
      </w:r>
      <w:r>
        <w:rPr>
          <w:bCs/>
        </w:rPr>
        <w:t xml:space="preserve"> </w:t>
      </w:r>
      <w:r w:rsidR="00464728" w:rsidRPr="00464728">
        <w:rPr>
          <w:bCs/>
        </w:rPr>
        <w:t xml:space="preserve">les dates de captures </w:t>
      </w:r>
      <w:r>
        <w:rPr>
          <w:bCs/>
        </w:rPr>
        <w:t>précisées</w:t>
      </w:r>
      <w:r w:rsidR="00464728">
        <w:rPr>
          <w:bCs/>
        </w:rPr>
        <w:t xml:space="preserve"> à</w:t>
      </w:r>
      <w:r w:rsidR="00DE3446">
        <w:rPr>
          <w:bCs/>
        </w:rPr>
        <w:t xml:space="preserve"> l’article 4</w:t>
      </w:r>
      <w:r w:rsidR="00464728" w:rsidRPr="00464728">
        <w:rPr>
          <w:bCs/>
        </w:rPr>
        <w:t xml:space="preserve">.3 ne sont </w:t>
      </w:r>
      <w:r w:rsidR="00A71F3D">
        <w:rPr>
          <w:bCs/>
        </w:rPr>
        <w:t xml:space="preserve">effectivement </w:t>
      </w:r>
      <w:r w:rsidR="00464728" w:rsidRPr="00464728">
        <w:rPr>
          <w:bCs/>
        </w:rPr>
        <w:t>pas identiques à celles de l’annexe 1.</w:t>
      </w:r>
      <w:r w:rsidR="00464728">
        <w:rPr>
          <w:bCs/>
        </w:rPr>
        <w:t xml:space="preserve"> </w:t>
      </w:r>
      <w:r w:rsidR="00464728" w:rsidRPr="00B82BEC">
        <w:rPr>
          <w:b/>
          <w:bCs/>
        </w:rPr>
        <w:t>Cette erreur a été corrigée</w:t>
      </w:r>
      <w:r w:rsidR="00464728">
        <w:rPr>
          <w:bCs/>
        </w:rPr>
        <w:t>.</w:t>
      </w:r>
      <w:r w:rsidR="00464728" w:rsidRPr="00464728">
        <w:rPr>
          <w:bCs/>
        </w:rPr>
        <w:t xml:space="preserve"> </w:t>
      </w:r>
    </w:p>
    <w:p w:rsidR="005C6138" w:rsidRPr="005C6138" w:rsidRDefault="005C6138" w:rsidP="005C6138">
      <w:pPr>
        <w:pStyle w:val="NormalWeb"/>
        <w:spacing w:before="0" w:beforeAutospacing="0" w:after="0"/>
        <w:jc w:val="both"/>
        <w:rPr>
          <w:bCs/>
        </w:rPr>
      </w:pPr>
    </w:p>
    <w:p w:rsidR="005C6138" w:rsidRDefault="005C6138" w:rsidP="005C6138">
      <w:pPr>
        <w:pStyle w:val="NormalWeb"/>
        <w:numPr>
          <w:ilvl w:val="0"/>
          <w:numId w:val="22"/>
        </w:numPr>
        <w:spacing w:before="0" w:beforeAutospacing="0" w:after="0"/>
        <w:jc w:val="both"/>
        <w:rPr>
          <w:bCs/>
        </w:rPr>
      </w:pPr>
      <w:r>
        <w:rPr>
          <w:bCs/>
        </w:rPr>
        <w:t>U</w:t>
      </w:r>
      <w:r w:rsidR="00464728" w:rsidRPr="005C6138">
        <w:rPr>
          <w:bCs/>
        </w:rPr>
        <w:t xml:space="preserve">ne </w:t>
      </w:r>
      <w:r w:rsidR="00464728" w:rsidRPr="005C6138">
        <w:rPr>
          <w:b/>
          <w:bCs/>
        </w:rPr>
        <w:t xml:space="preserve">petite difficulté d’application </w:t>
      </w:r>
      <w:r w:rsidR="00DE3446">
        <w:rPr>
          <w:bCs/>
        </w:rPr>
        <w:t>concernant l’article 4</w:t>
      </w:r>
      <w:r w:rsidR="00464728" w:rsidRPr="005C6138">
        <w:rPr>
          <w:bCs/>
        </w:rPr>
        <w:t xml:space="preserve">.4, constatant qu’il est fait référence à </w:t>
      </w:r>
      <w:r w:rsidR="00836647">
        <w:rPr>
          <w:bCs/>
        </w:rPr>
        <w:t xml:space="preserve">« la </w:t>
      </w:r>
      <w:r w:rsidR="00464728" w:rsidRPr="005C6138">
        <w:rPr>
          <w:bCs/>
        </w:rPr>
        <w:t xml:space="preserve">relâche du poisson vivant immédiatement après la capture » dans le cadre de la pêche sous-marine. </w:t>
      </w:r>
      <w:r w:rsidR="00464728" w:rsidRPr="005C6138">
        <w:rPr>
          <w:b/>
          <w:bCs/>
        </w:rPr>
        <w:t>La mention précédente ne revêtant aucun sens en pratique a été effacée de la disposition</w:t>
      </w:r>
      <w:r w:rsidR="00464728" w:rsidRPr="005C6138">
        <w:rPr>
          <w:bCs/>
        </w:rPr>
        <w:t xml:space="preserve">. </w:t>
      </w:r>
    </w:p>
    <w:p w:rsidR="005C6138" w:rsidRDefault="005C6138" w:rsidP="005C6138">
      <w:pPr>
        <w:pStyle w:val="Paragraphedeliste"/>
        <w:rPr>
          <w:bCs/>
        </w:rPr>
      </w:pPr>
    </w:p>
    <w:p w:rsidR="00836647" w:rsidRDefault="005C6138" w:rsidP="00836647">
      <w:pPr>
        <w:pStyle w:val="NormalWeb"/>
        <w:numPr>
          <w:ilvl w:val="0"/>
          <w:numId w:val="22"/>
        </w:numPr>
        <w:spacing w:before="0" w:beforeAutospacing="0" w:after="0"/>
        <w:jc w:val="both"/>
        <w:rPr>
          <w:bCs/>
        </w:rPr>
      </w:pPr>
      <w:r>
        <w:rPr>
          <w:bCs/>
        </w:rPr>
        <w:lastRenderedPageBreak/>
        <w:t xml:space="preserve">Une </w:t>
      </w:r>
      <w:r w:rsidRPr="005C6138">
        <w:rPr>
          <w:b/>
          <w:bCs/>
        </w:rPr>
        <w:t>maladresse de form</w:t>
      </w:r>
      <w:r w:rsidR="00DE3446">
        <w:rPr>
          <w:b/>
          <w:bCs/>
        </w:rPr>
        <w:t>ulation au niveau de l’article 4</w:t>
      </w:r>
      <w:r w:rsidRPr="005C6138">
        <w:rPr>
          <w:b/>
          <w:bCs/>
        </w:rPr>
        <w:t>.1</w:t>
      </w:r>
      <w:r>
        <w:rPr>
          <w:bCs/>
        </w:rPr>
        <w:t xml:space="preserve"> : </w:t>
      </w:r>
      <w:r w:rsidR="00DE3446">
        <w:rPr>
          <w:bCs/>
        </w:rPr>
        <w:t>l’article 4</w:t>
      </w:r>
      <w:r w:rsidR="00B82BEC" w:rsidRPr="005C6138">
        <w:rPr>
          <w:bCs/>
        </w:rPr>
        <w:t xml:space="preserve">.1 relative à la pêche en « no </w:t>
      </w:r>
      <w:proofErr w:type="spellStart"/>
      <w:r w:rsidR="00B82BEC" w:rsidRPr="005C6138">
        <w:rPr>
          <w:bCs/>
        </w:rPr>
        <w:t>kill</w:t>
      </w:r>
      <w:proofErr w:type="spellEnd"/>
      <w:r w:rsidR="00B82BEC" w:rsidRPr="005C6138">
        <w:rPr>
          <w:bCs/>
        </w:rPr>
        <w:t> » du thon rouge précise que « </w:t>
      </w:r>
      <w:r w:rsidR="00B82BEC" w:rsidRPr="005C6138">
        <w:rPr>
          <w:bCs/>
          <w:u w:val="single"/>
        </w:rPr>
        <w:t>l’embarquement du poisson</w:t>
      </w:r>
      <w:r w:rsidR="00B82BEC" w:rsidRPr="005C6138">
        <w:rPr>
          <w:bCs/>
        </w:rPr>
        <w:t xml:space="preserve"> à bord est interdit ». La mention à « l’embarquement » du poisson est effectivement maladroite, celui-ci devant nécessairement être « embarqué » à bord une fois pêché pour que lui soit retiré son hameçon. Il conviendra davantage de parler de « détention ». </w:t>
      </w:r>
      <w:r w:rsidR="00B82BEC" w:rsidRPr="005C6138">
        <w:rPr>
          <w:b/>
          <w:bCs/>
        </w:rPr>
        <w:t>L’article en question a donc été reformulé</w:t>
      </w:r>
      <w:r w:rsidR="00B82BEC" w:rsidRPr="005C6138">
        <w:rPr>
          <w:bCs/>
        </w:rPr>
        <w:t xml:space="preserve"> ainsi qu’il suit : « La pêche de loisir du thon rouge est autorisée dans l’Atlantique Est et la Méditerranée </w:t>
      </w:r>
      <w:r w:rsidR="00E66FF1">
        <w:rPr>
          <w:bCs/>
        </w:rPr>
        <w:t>[…]</w:t>
      </w:r>
      <w:r w:rsidR="00B82BEC" w:rsidRPr="005C6138">
        <w:rPr>
          <w:bCs/>
        </w:rPr>
        <w:t xml:space="preserve"> à la condition de relâcher le poisson vivant immédiatement après la capture. </w:t>
      </w:r>
      <w:r w:rsidR="00B82BEC" w:rsidRPr="005C6138">
        <w:rPr>
          <w:bCs/>
          <w:u w:val="single"/>
        </w:rPr>
        <w:t>Dans ce cadre, la détention du poisson à bord est interdite</w:t>
      </w:r>
      <w:r w:rsidR="00E66FF1">
        <w:rPr>
          <w:bCs/>
        </w:rPr>
        <w:t xml:space="preserve"> </w:t>
      </w:r>
      <w:r w:rsidR="00B82BEC" w:rsidRPr="005C6138">
        <w:rPr>
          <w:bCs/>
        </w:rPr>
        <w:t>»</w:t>
      </w:r>
      <w:r w:rsidR="00E66FF1">
        <w:rPr>
          <w:bCs/>
        </w:rPr>
        <w:t>.</w:t>
      </w:r>
    </w:p>
    <w:p w:rsidR="00836647" w:rsidRPr="00836647" w:rsidRDefault="00836647" w:rsidP="00836647">
      <w:pPr>
        <w:pStyle w:val="NormalWeb"/>
        <w:spacing w:before="0" w:beforeAutospacing="0" w:after="0"/>
        <w:jc w:val="both"/>
        <w:rPr>
          <w:bCs/>
        </w:rPr>
      </w:pPr>
    </w:p>
    <w:p w:rsidR="00B82BEC" w:rsidRDefault="00836647" w:rsidP="005C6138">
      <w:pPr>
        <w:pStyle w:val="NormalWeb"/>
        <w:numPr>
          <w:ilvl w:val="0"/>
          <w:numId w:val="22"/>
        </w:numPr>
        <w:spacing w:before="0" w:beforeAutospacing="0" w:after="0"/>
        <w:jc w:val="both"/>
        <w:rPr>
          <w:bCs/>
        </w:rPr>
      </w:pPr>
      <w:r>
        <w:rPr>
          <w:bCs/>
        </w:rPr>
        <w:t xml:space="preserve">Une </w:t>
      </w:r>
      <w:r w:rsidRPr="00836647">
        <w:rPr>
          <w:b/>
          <w:bCs/>
        </w:rPr>
        <w:t>absence</w:t>
      </w:r>
      <w:r w:rsidR="005C6138" w:rsidRPr="00836647">
        <w:rPr>
          <w:b/>
          <w:bCs/>
        </w:rPr>
        <w:t xml:space="preserve"> de mention aux dates de pêche en « no </w:t>
      </w:r>
      <w:proofErr w:type="spellStart"/>
      <w:r w:rsidR="005C6138" w:rsidRPr="00836647">
        <w:rPr>
          <w:b/>
          <w:bCs/>
        </w:rPr>
        <w:t>kill</w:t>
      </w:r>
      <w:proofErr w:type="spellEnd"/>
      <w:r w:rsidR="005C6138" w:rsidRPr="00836647">
        <w:rPr>
          <w:b/>
          <w:bCs/>
        </w:rPr>
        <w:t xml:space="preserve"> » </w:t>
      </w:r>
      <w:r w:rsidRPr="00836647">
        <w:rPr>
          <w:b/>
          <w:bCs/>
        </w:rPr>
        <w:t>dans les dispositions du projet d’arrêté</w:t>
      </w:r>
      <w:r>
        <w:rPr>
          <w:bCs/>
        </w:rPr>
        <w:t xml:space="preserve">, lesquelles avaient été détaillées dans un avis l’année passée. Un participant fait remonter la demande de nombreux clubs de la Fédération française des pêcheurs en mer (FFPM) de décaler les dates de la pêche en « no </w:t>
      </w:r>
      <w:proofErr w:type="spellStart"/>
      <w:r>
        <w:rPr>
          <w:bCs/>
        </w:rPr>
        <w:t>kill</w:t>
      </w:r>
      <w:proofErr w:type="spellEnd"/>
      <w:r>
        <w:rPr>
          <w:bCs/>
        </w:rPr>
        <w:t xml:space="preserve"> » du thon rouge, traditionnellement fixées du 15 juin eu 15 octobre, à une nouvelle période allant du 4 juillet au 31 octobre. Ce </w:t>
      </w:r>
      <w:r w:rsidR="00E66FF1">
        <w:rPr>
          <w:bCs/>
        </w:rPr>
        <w:t xml:space="preserve">décalage apparaîtrait à son sens justifié par le respect des périodes de frai du thon rouge, situées durant les mois de mai et juin. </w:t>
      </w:r>
      <w:r w:rsidR="00E66FF1" w:rsidRPr="00E66FF1">
        <w:rPr>
          <w:b/>
          <w:bCs/>
        </w:rPr>
        <w:t xml:space="preserve">La demande de ce participant </w:t>
      </w:r>
      <w:r w:rsidR="00E66FF1">
        <w:rPr>
          <w:b/>
          <w:bCs/>
        </w:rPr>
        <w:t>sera bien</w:t>
      </w:r>
      <w:r w:rsidR="00E66FF1" w:rsidRPr="00E66FF1">
        <w:rPr>
          <w:b/>
          <w:bCs/>
        </w:rPr>
        <w:t xml:space="preserve"> prise en compte dans l’arrêté</w:t>
      </w:r>
      <w:r w:rsidR="00DE3446">
        <w:rPr>
          <w:bCs/>
        </w:rPr>
        <w:t>, et l’article 4</w:t>
      </w:r>
      <w:r w:rsidR="00E66FF1">
        <w:rPr>
          <w:bCs/>
        </w:rPr>
        <w:t>.1 reformulé ainsi qu’il suit : « </w:t>
      </w:r>
      <w:r w:rsidR="00E66FF1" w:rsidRPr="005C6138">
        <w:rPr>
          <w:bCs/>
        </w:rPr>
        <w:t xml:space="preserve">La pêche de loisir du thon rouge est autorisée dans l’Atlantique Est et la Méditerranée </w:t>
      </w:r>
      <w:r w:rsidR="00E66FF1" w:rsidRPr="00E66FF1">
        <w:rPr>
          <w:bCs/>
          <w:u w:val="single"/>
        </w:rPr>
        <w:t>pour la période allant du 4 juillet 2015 au 31 octobre 2015</w:t>
      </w:r>
      <w:r w:rsidR="00E66FF1">
        <w:rPr>
          <w:bCs/>
        </w:rPr>
        <w:t>,</w:t>
      </w:r>
      <w:r w:rsidR="00E66FF1" w:rsidRPr="005C6138">
        <w:rPr>
          <w:bCs/>
        </w:rPr>
        <w:t xml:space="preserve"> à la condition de relâcher le poisson vivant immédiatement après la capture. </w:t>
      </w:r>
      <w:r w:rsidR="00E66FF1" w:rsidRPr="00E66FF1">
        <w:rPr>
          <w:bCs/>
        </w:rPr>
        <w:t>Dans ce cadre, la détention du poisson à bord est interdite</w:t>
      </w:r>
      <w:r w:rsidR="00E66FF1" w:rsidRPr="005C6138">
        <w:rPr>
          <w:bCs/>
        </w:rPr>
        <w:t>.</w:t>
      </w:r>
      <w:r w:rsidR="00E66FF1">
        <w:rPr>
          <w:bCs/>
        </w:rPr>
        <w:t> »</w:t>
      </w:r>
    </w:p>
    <w:p w:rsidR="00060AFA" w:rsidRDefault="00060AFA" w:rsidP="00060AFA">
      <w:pPr>
        <w:pStyle w:val="Paragraphedeliste"/>
        <w:rPr>
          <w:bCs/>
        </w:rPr>
      </w:pPr>
    </w:p>
    <w:p w:rsidR="00060AFA" w:rsidRDefault="00060AFA" w:rsidP="005C6138">
      <w:pPr>
        <w:pStyle w:val="NormalWeb"/>
        <w:numPr>
          <w:ilvl w:val="0"/>
          <w:numId w:val="22"/>
        </w:numPr>
        <w:spacing w:before="0" w:beforeAutospacing="0" w:after="0"/>
        <w:jc w:val="both"/>
        <w:rPr>
          <w:bCs/>
        </w:rPr>
      </w:pPr>
      <w:r>
        <w:rPr>
          <w:bCs/>
        </w:rPr>
        <w:t xml:space="preserve">Qu’il peut sembler </w:t>
      </w:r>
      <w:proofErr w:type="spellStart"/>
      <w:r>
        <w:rPr>
          <w:bCs/>
        </w:rPr>
        <w:t>criticable</w:t>
      </w:r>
      <w:proofErr w:type="spellEnd"/>
      <w:r>
        <w:rPr>
          <w:bCs/>
        </w:rPr>
        <w:t xml:space="preserve"> que malgré le faible nombre de bagues de marquage accordées aux pêcheurs non adhérents à l’une des fédérations de pêcheurs de loisir (70) la délivrance de celles-ci ne soit pas plafonnée à une bague par navire et par demandeur.</w:t>
      </w:r>
    </w:p>
    <w:p w:rsidR="00E66FF1" w:rsidRDefault="00E66FF1" w:rsidP="00E66FF1">
      <w:pPr>
        <w:pStyle w:val="NormalWeb"/>
        <w:spacing w:before="0" w:beforeAutospacing="0" w:after="0"/>
        <w:jc w:val="both"/>
        <w:rPr>
          <w:rFonts w:ascii="Calibri" w:eastAsia="Calibri" w:hAnsi="Calibri"/>
          <w:bCs/>
          <w:sz w:val="22"/>
          <w:szCs w:val="22"/>
          <w:lang w:eastAsia="en-US"/>
        </w:rPr>
      </w:pPr>
    </w:p>
    <w:p w:rsidR="00A71F3D" w:rsidRDefault="00A71F3D" w:rsidP="00E66FF1">
      <w:pPr>
        <w:pStyle w:val="NormalWeb"/>
        <w:spacing w:before="0" w:beforeAutospacing="0" w:after="0"/>
        <w:jc w:val="both"/>
        <w:rPr>
          <w:bCs/>
        </w:rPr>
      </w:pPr>
    </w:p>
    <w:p w:rsidR="00E66FF1" w:rsidRDefault="00E94ACC" w:rsidP="00E66FF1">
      <w:pPr>
        <w:pStyle w:val="NormalWeb"/>
        <w:spacing w:before="0" w:beforeAutospacing="0" w:after="0"/>
        <w:jc w:val="both"/>
        <w:rPr>
          <w:bCs/>
        </w:rPr>
      </w:pPr>
      <w:r>
        <w:rPr>
          <w:bCs/>
        </w:rPr>
        <w:t xml:space="preserve">Sans être véritablement défavorables aux mesures proposées dans le projet d’arrêté, </w:t>
      </w:r>
      <w:r w:rsidRPr="00E94ACC">
        <w:rPr>
          <w:b/>
          <w:bCs/>
        </w:rPr>
        <w:t>4 avis apparaissent néanmoins critiques</w:t>
      </w:r>
      <w:r>
        <w:rPr>
          <w:bCs/>
        </w:rPr>
        <w:t>.</w:t>
      </w:r>
    </w:p>
    <w:p w:rsidR="00E94ACC" w:rsidRDefault="00E94ACC" w:rsidP="00E66FF1">
      <w:pPr>
        <w:pStyle w:val="NormalWeb"/>
        <w:spacing w:before="0" w:beforeAutospacing="0" w:after="0"/>
        <w:jc w:val="both"/>
        <w:rPr>
          <w:bCs/>
        </w:rPr>
      </w:pPr>
    </w:p>
    <w:p w:rsidR="00E94ACC" w:rsidRDefault="00A71F3D" w:rsidP="00E66FF1">
      <w:pPr>
        <w:pStyle w:val="NormalWeb"/>
        <w:spacing w:before="0" w:beforeAutospacing="0" w:after="0"/>
        <w:jc w:val="both"/>
        <w:rPr>
          <w:bCs/>
        </w:rPr>
      </w:pPr>
      <w:r>
        <w:rPr>
          <w:bCs/>
        </w:rPr>
        <w:t>Deux</w:t>
      </w:r>
      <w:r w:rsidR="00E94ACC">
        <w:rPr>
          <w:bCs/>
        </w:rPr>
        <w:t xml:space="preserve"> participants estiment qu’il est prématuré d’augmenter les quotas de pêche sur le thon rouge. L’un deux indique « rêver » d’un moratoire sur la pêche au thon rouge, alors qu’il précise que les mesures préconisées apparaissent « certainement raisonnables ». </w:t>
      </w:r>
    </w:p>
    <w:p w:rsidR="00A71F3D" w:rsidRDefault="00A71F3D" w:rsidP="00E66FF1">
      <w:pPr>
        <w:pStyle w:val="NormalWeb"/>
        <w:spacing w:before="0" w:beforeAutospacing="0" w:after="0"/>
        <w:jc w:val="both"/>
        <w:rPr>
          <w:bCs/>
        </w:rPr>
      </w:pPr>
    </w:p>
    <w:p w:rsidR="00A71F3D" w:rsidRDefault="00A71F3D" w:rsidP="00E66FF1">
      <w:pPr>
        <w:pStyle w:val="NormalWeb"/>
        <w:spacing w:before="0" w:beforeAutospacing="0" w:after="0"/>
        <w:jc w:val="both"/>
        <w:rPr>
          <w:bCs/>
        </w:rPr>
      </w:pPr>
      <w:r>
        <w:rPr>
          <w:bCs/>
        </w:rPr>
        <w:t xml:space="preserve">Un participant juge </w:t>
      </w:r>
      <w:r w:rsidR="00D46BD3">
        <w:rPr>
          <w:bCs/>
        </w:rPr>
        <w:t>enfin</w:t>
      </w:r>
      <w:r>
        <w:rPr>
          <w:bCs/>
        </w:rPr>
        <w:t xml:space="preserve"> « kafkaïen » le dispositif visant à encadrer la pêche de loisir du thon rouge, </w:t>
      </w:r>
      <w:r w:rsidR="00D46BD3">
        <w:rPr>
          <w:bCs/>
        </w:rPr>
        <w:t xml:space="preserve">et préconise l’ouverture des pêches à certaines journées connues à l’avance de tous. </w:t>
      </w:r>
    </w:p>
    <w:p w:rsidR="00E94ACC" w:rsidRDefault="00E94ACC" w:rsidP="00E66FF1">
      <w:pPr>
        <w:pStyle w:val="NormalWeb"/>
        <w:spacing w:before="0" w:beforeAutospacing="0" w:after="0"/>
        <w:jc w:val="both"/>
        <w:rPr>
          <w:bCs/>
        </w:rPr>
      </w:pPr>
    </w:p>
    <w:p w:rsidR="00A71F3D" w:rsidRDefault="00A71F3D" w:rsidP="00E66FF1">
      <w:pPr>
        <w:pStyle w:val="NormalWeb"/>
        <w:spacing w:before="0" w:beforeAutospacing="0" w:after="0"/>
        <w:jc w:val="both"/>
        <w:rPr>
          <w:b/>
          <w:bCs/>
        </w:rPr>
      </w:pPr>
    </w:p>
    <w:p w:rsidR="00E94ACC" w:rsidRDefault="00E94ACC" w:rsidP="00E66FF1">
      <w:pPr>
        <w:pStyle w:val="NormalWeb"/>
        <w:spacing w:before="0" w:beforeAutospacing="0" w:after="0"/>
        <w:jc w:val="both"/>
        <w:rPr>
          <w:bCs/>
        </w:rPr>
      </w:pPr>
      <w:r w:rsidRPr="00E94ACC">
        <w:rPr>
          <w:b/>
          <w:bCs/>
        </w:rPr>
        <w:t>4 avis sont défavorables</w:t>
      </w:r>
      <w:r>
        <w:rPr>
          <w:bCs/>
        </w:rPr>
        <w:t xml:space="preserve"> ou doivent être lus comme réputés l’être. </w:t>
      </w:r>
    </w:p>
    <w:p w:rsidR="00E94ACC" w:rsidRDefault="00E94ACC" w:rsidP="00E66FF1">
      <w:pPr>
        <w:pStyle w:val="NormalWeb"/>
        <w:spacing w:before="0" w:beforeAutospacing="0" w:after="0"/>
        <w:jc w:val="both"/>
        <w:rPr>
          <w:bCs/>
        </w:rPr>
      </w:pPr>
    </w:p>
    <w:p w:rsidR="00E94ACC" w:rsidRDefault="00A71F3D" w:rsidP="00E66FF1">
      <w:pPr>
        <w:pStyle w:val="NormalWeb"/>
        <w:spacing w:before="0" w:beforeAutospacing="0" w:after="0"/>
        <w:jc w:val="both"/>
        <w:rPr>
          <w:bCs/>
        </w:rPr>
      </w:pPr>
      <w:r>
        <w:rPr>
          <w:bCs/>
        </w:rPr>
        <w:t xml:space="preserve">Deux participants jugent « inadmissibles » que la pêche de loisir soit encore autorisée pour le thon rouge. </w:t>
      </w:r>
    </w:p>
    <w:p w:rsidR="00A71F3D" w:rsidRDefault="00A71F3D" w:rsidP="00E66FF1">
      <w:pPr>
        <w:pStyle w:val="NormalWeb"/>
        <w:spacing w:before="0" w:beforeAutospacing="0" w:after="0"/>
        <w:jc w:val="both"/>
        <w:rPr>
          <w:bCs/>
        </w:rPr>
      </w:pPr>
    </w:p>
    <w:p w:rsidR="00A71F3D" w:rsidRDefault="00D46BD3" w:rsidP="00E66FF1">
      <w:pPr>
        <w:pStyle w:val="NormalWeb"/>
        <w:spacing w:before="0" w:beforeAutospacing="0" w:after="0"/>
        <w:jc w:val="both"/>
        <w:rPr>
          <w:bCs/>
        </w:rPr>
      </w:pPr>
      <w:r>
        <w:rPr>
          <w:bCs/>
        </w:rPr>
        <w:t>Les présidents de la Fédération française des pêcheurs en mer (FFPM) et de la Fédération nationale des pêcheurs plaisanciers et sportifs de France (FNPPSF),</w:t>
      </w:r>
      <w:r w:rsidR="00A71F3D">
        <w:rPr>
          <w:bCs/>
        </w:rPr>
        <w:t xml:space="preserve"> indiquent enfin que </w:t>
      </w:r>
      <w:r w:rsidR="00A71F3D" w:rsidRPr="00D46BD3">
        <w:rPr>
          <w:b/>
          <w:bCs/>
        </w:rPr>
        <w:t xml:space="preserve">le projet d’arrêté </w:t>
      </w:r>
      <w:r>
        <w:rPr>
          <w:b/>
          <w:bCs/>
        </w:rPr>
        <w:t xml:space="preserve">tel que </w:t>
      </w:r>
      <w:r w:rsidR="00A71F3D" w:rsidRPr="00D46BD3">
        <w:rPr>
          <w:b/>
          <w:bCs/>
        </w:rPr>
        <w:t xml:space="preserve">présenté à la consultation du public ne </w:t>
      </w:r>
      <w:r w:rsidRPr="00D46BD3">
        <w:rPr>
          <w:b/>
          <w:bCs/>
        </w:rPr>
        <w:t>leur convient pas en l’état</w:t>
      </w:r>
      <w:r>
        <w:rPr>
          <w:bCs/>
        </w:rPr>
        <w:t>,</w:t>
      </w:r>
      <w:r w:rsidR="00A71F3D">
        <w:rPr>
          <w:bCs/>
        </w:rPr>
        <w:t xml:space="preserve"> aucune des dispositions évoquées lors des différentes réunions avec les </w:t>
      </w:r>
      <w:r w:rsidR="00ED72B8">
        <w:rPr>
          <w:bCs/>
        </w:rPr>
        <w:t>rédacteurs</w:t>
      </w:r>
      <w:r w:rsidR="00A71F3D">
        <w:rPr>
          <w:bCs/>
        </w:rPr>
        <w:t xml:space="preserve"> de ce texte</w:t>
      </w:r>
      <w:r w:rsidR="00060AFA">
        <w:rPr>
          <w:bCs/>
        </w:rPr>
        <w:t xml:space="preserve"> n’étant reprise. </w:t>
      </w:r>
      <w:r>
        <w:rPr>
          <w:bCs/>
        </w:rPr>
        <w:t xml:space="preserve"> </w:t>
      </w:r>
    </w:p>
    <w:p w:rsidR="00D46BD3" w:rsidRDefault="00D46BD3" w:rsidP="00E66FF1">
      <w:pPr>
        <w:pStyle w:val="NormalWeb"/>
        <w:spacing w:before="0" w:beforeAutospacing="0" w:after="0"/>
        <w:jc w:val="both"/>
        <w:rPr>
          <w:bCs/>
        </w:rPr>
      </w:pPr>
    </w:p>
    <w:p w:rsidR="00D46BD3" w:rsidRDefault="00D46BD3" w:rsidP="00E66FF1">
      <w:pPr>
        <w:pStyle w:val="NormalWeb"/>
        <w:spacing w:before="0" w:beforeAutospacing="0" w:after="0"/>
        <w:jc w:val="both"/>
        <w:rPr>
          <w:bCs/>
        </w:rPr>
      </w:pPr>
      <w:r>
        <w:rPr>
          <w:bCs/>
        </w:rPr>
        <w:lastRenderedPageBreak/>
        <w:t>Les points que ces derniers souhaiteraient voir apparaître dans l’arrêté ne sont mentionnés à aucun moment dans le cadre de leur contribution. Nous noterons cependant qu’à l’occasion d</w:t>
      </w:r>
      <w:r w:rsidR="00ED72B8">
        <w:rPr>
          <w:bCs/>
        </w:rPr>
        <w:t xml:space="preserve">e la </w:t>
      </w:r>
      <w:r>
        <w:rPr>
          <w:bCs/>
        </w:rPr>
        <w:t>réunion de bilan de la campagne 2014 de pêche de loisir du thon rouge</w:t>
      </w:r>
      <w:r w:rsidR="00ED72B8">
        <w:rPr>
          <w:bCs/>
        </w:rPr>
        <w:t xml:space="preserve"> qui s’est tenue le 7 octobre 2014</w:t>
      </w:r>
      <w:r>
        <w:rPr>
          <w:bCs/>
        </w:rPr>
        <w:t xml:space="preserve">, la Direction des pêches maritimes et de l’aquaculture avait eu l’occasion </w:t>
      </w:r>
      <w:r w:rsidR="00CD0C95">
        <w:rPr>
          <w:bCs/>
        </w:rPr>
        <w:t>d’arbitrer</w:t>
      </w:r>
      <w:r>
        <w:rPr>
          <w:bCs/>
        </w:rPr>
        <w:t xml:space="preserve"> </w:t>
      </w:r>
      <w:r w:rsidR="00CD0C95">
        <w:rPr>
          <w:bCs/>
        </w:rPr>
        <w:t xml:space="preserve">les demandes des principales fédérations </w:t>
      </w:r>
      <w:r>
        <w:rPr>
          <w:bCs/>
        </w:rPr>
        <w:t xml:space="preserve">: </w:t>
      </w:r>
    </w:p>
    <w:p w:rsidR="00D46BD3" w:rsidRDefault="00D46BD3" w:rsidP="00E66FF1">
      <w:pPr>
        <w:pStyle w:val="NormalWeb"/>
        <w:spacing w:before="0" w:beforeAutospacing="0" w:after="0"/>
        <w:jc w:val="both"/>
        <w:rPr>
          <w:bCs/>
        </w:rPr>
      </w:pPr>
    </w:p>
    <w:p w:rsidR="00D46BD3" w:rsidRDefault="00B522E0" w:rsidP="00B522E0">
      <w:pPr>
        <w:pStyle w:val="NormalWeb"/>
        <w:numPr>
          <w:ilvl w:val="0"/>
          <w:numId w:val="23"/>
        </w:numPr>
        <w:spacing w:before="0" w:beforeAutospacing="0" w:after="0"/>
        <w:jc w:val="both"/>
        <w:rPr>
          <w:bCs/>
        </w:rPr>
      </w:pPr>
      <w:r>
        <w:rPr>
          <w:bCs/>
        </w:rPr>
        <w:t>Sur l’</w:t>
      </w:r>
      <w:r w:rsidRPr="00B522E0">
        <w:rPr>
          <w:b/>
          <w:bCs/>
        </w:rPr>
        <w:t>impossibilité de pratiquer la pêche du thon rouge depuis le bord </w:t>
      </w:r>
      <w:r>
        <w:rPr>
          <w:bCs/>
        </w:rPr>
        <w:t xml:space="preserve">en l’état actuel de la réglementation : si la situation n’a pas été prévue par la réglementation, il apparaît délicat de gérer la scission du couple navire-pêcheur au niveau des futures autorisations. </w:t>
      </w:r>
    </w:p>
    <w:p w:rsidR="00B522E0" w:rsidRDefault="00B522E0" w:rsidP="00B522E0">
      <w:pPr>
        <w:pStyle w:val="NormalWeb"/>
        <w:spacing w:before="0" w:beforeAutospacing="0" w:after="0"/>
        <w:ind w:left="720"/>
        <w:jc w:val="both"/>
        <w:rPr>
          <w:bCs/>
        </w:rPr>
      </w:pPr>
    </w:p>
    <w:p w:rsidR="00B522E0" w:rsidRDefault="00B522E0" w:rsidP="00B522E0">
      <w:pPr>
        <w:pStyle w:val="NormalWeb"/>
        <w:numPr>
          <w:ilvl w:val="0"/>
          <w:numId w:val="23"/>
        </w:numPr>
        <w:spacing w:before="0" w:beforeAutospacing="0" w:after="0"/>
        <w:jc w:val="both"/>
        <w:rPr>
          <w:bCs/>
        </w:rPr>
      </w:pPr>
      <w:r>
        <w:rPr>
          <w:bCs/>
        </w:rPr>
        <w:t xml:space="preserve">Sur une </w:t>
      </w:r>
      <w:r w:rsidRPr="00B522E0">
        <w:rPr>
          <w:b/>
          <w:bCs/>
        </w:rPr>
        <w:t>homogénéisation européenne de la réglementation sur la pêche de loisir du thon rouge </w:t>
      </w:r>
      <w:r>
        <w:rPr>
          <w:bCs/>
        </w:rPr>
        <w:t xml:space="preserve">: les Etats membres n’ont pour l’heure pas l’intention de mettre en place une telle unification des règlementations, laquelle n’aurait par ailleurs pas de sens au regard des différences de configuration de la pêche plaisancière entre ces derniers. </w:t>
      </w:r>
    </w:p>
    <w:p w:rsidR="00B522E0" w:rsidRDefault="00B522E0" w:rsidP="00B522E0">
      <w:pPr>
        <w:pStyle w:val="NormalWeb"/>
        <w:spacing w:before="0" w:beforeAutospacing="0" w:after="0"/>
        <w:jc w:val="both"/>
        <w:rPr>
          <w:bCs/>
        </w:rPr>
      </w:pPr>
    </w:p>
    <w:p w:rsidR="00B522E0" w:rsidRDefault="00B522E0" w:rsidP="00B522E0">
      <w:pPr>
        <w:pStyle w:val="NormalWeb"/>
        <w:numPr>
          <w:ilvl w:val="0"/>
          <w:numId w:val="23"/>
        </w:numPr>
        <w:spacing w:before="0" w:beforeAutospacing="0" w:after="0"/>
        <w:jc w:val="both"/>
        <w:rPr>
          <w:bCs/>
        </w:rPr>
      </w:pPr>
      <w:r>
        <w:rPr>
          <w:bCs/>
        </w:rPr>
        <w:t xml:space="preserve">Sur le </w:t>
      </w:r>
      <w:r w:rsidRPr="00B522E0">
        <w:rPr>
          <w:b/>
          <w:bCs/>
        </w:rPr>
        <w:t>report de cinq jours de pêche pour cause d’intempéries</w:t>
      </w:r>
      <w:r>
        <w:rPr>
          <w:bCs/>
        </w:rPr>
        <w:t xml:space="preserve">, mentionné dans le règlement ICCAT à destination des professionnels, la Direction des pêches a fait savoir que ce dispositif n’était pas appliqué en France pour la pêche professionnelle française et qu’il n’avait pas de raison de l’être pour la pêche de loisir. </w:t>
      </w:r>
    </w:p>
    <w:p w:rsidR="00B522E0" w:rsidRDefault="00B522E0" w:rsidP="00B522E0">
      <w:pPr>
        <w:pStyle w:val="NormalWeb"/>
        <w:spacing w:before="0" w:beforeAutospacing="0" w:after="0"/>
        <w:jc w:val="both"/>
        <w:rPr>
          <w:bCs/>
        </w:rPr>
      </w:pPr>
    </w:p>
    <w:p w:rsidR="00B522E0" w:rsidRDefault="00B522E0" w:rsidP="00B522E0">
      <w:pPr>
        <w:pStyle w:val="NormalWeb"/>
        <w:numPr>
          <w:ilvl w:val="0"/>
          <w:numId w:val="23"/>
        </w:numPr>
        <w:spacing w:before="0" w:beforeAutospacing="0" w:after="0"/>
        <w:jc w:val="both"/>
        <w:rPr>
          <w:bCs/>
        </w:rPr>
      </w:pPr>
      <w:r>
        <w:rPr>
          <w:bCs/>
        </w:rPr>
        <w:t xml:space="preserve">Sur la </w:t>
      </w:r>
      <w:r w:rsidRPr="00B522E0">
        <w:rPr>
          <w:b/>
          <w:bCs/>
        </w:rPr>
        <w:t>possibilité de déroger au poids et à la taille des individus pêchés dans le cadre des championnats de France de pêche au thon</w:t>
      </w:r>
      <w:r>
        <w:rPr>
          <w:bCs/>
        </w:rPr>
        <w:t xml:space="preserve"> : la Direction des pêches maritimes et de l’aquaculture avait fait valoir que </w:t>
      </w:r>
      <w:r w:rsidR="006422B9">
        <w:rPr>
          <w:bCs/>
        </w:rPr>
        <w:t xml:space="preserve">par souci de cohérence, il était nécessaire de ne pas générer d’exceptions aux principes retenus par la règlementation. </w:t>
      </w:r>
    </w:p>
    <w:p w:rsidR="00B522E0" w:rsidRDefault="00B522E0" w:rsidP="00B522E0">
      <w:pPr>
        <w:pStyle w:val="NormalWeb"/>
        <w:spacing w:before="0" w:beforeAutospacing="0" w:after="0"/>
        <w:jc w:val="both"/>
        <w:rPr>
          <w:bCs/>
        </w:rPr>
      </w:pPr>
    </w:p>
    <w:p w:rsidR="00B522E0" w:rsidRPr="00ED72B8" w:rsidRDefault="00B522E0" w:rsidP="00B522E0">
      <w:pPr>
        <w:pStyle w:val="NormalWeb"/>
        <w:numPr>
          <w:ilvl w:val="0"/>
          <w:numId w:val="23"/>
        </w:numPr>
        <w:spacing w:before="0" w:beforeAutospacing="0" w:after="0"/>
        <w:jc w:val="both"/>
        <w:rPr>
          <w:bCs/>
        </w:rPr>
      </w:pPr>
      <w:r>
        <w:rPr>
          <w:bCs/>
        </w:rPr>
        <w:t xml:space="preserve">Sur la </w:t>
      </w:r>
      <w:r w:rsidRPr="00B522E0">
        <w:rPr>
          <w:b/>
          <w:bCs/>
        </w:rPr>
        <w:t>mise en œuvre du dispositif de commercialisation des thons dans un but caritatif</w:t>
      </w:r>
      <w:r w:rsidR="00CD0C95">
        <w:rPr>
          <w:bCs/>
        </w:rPr>
        <w:t xml:space="preserve"> prévue dans l’ancien règlement ICCAT, la Direction des pêches maritimes et de l’aquaculture avait fait valoir la complexité de contrôle de ce dispositif et la difficulté liée à ne pas entrer en conflit avec les circuits commerciaux traditionnels. </w:t>
      </w:r>
    </w:p>
    <w:p w:rsidR="00ED72B8" w:rsidRPr="00F71CEB" w:rsidRDefault="00ED72B8" w:rsidP="00ED72B8">
      <w:pPr>
        <w:pStyle w:val="NormalWeb"/>
        <w:spacing w:after="0"/>
        <w:jc w:val="both"/>
        <w:rPr>
          <w:bCs/>
        </w:rPr>
      </w:pPr>
      <w:r>
        <w:rPr>
          <w:bCs/>
        </w:rPr>
        <w:t>Tenant compte du soutien majoritaire des participants exprimé lors de la présente consultation ainsi que de leurs re</w:t>
      </w:r>
      <w:r w:rsidR="00D74D14">
        <w:rPr>
          <w:bCs/>
        </w:rPr>
        <w:t>marques</w:t>
      </w:r>
      <w:r>
        <w:rPr>
          <w:bCs/>
        </w:rPr>
        <w:t xml:space="preserve">, </w:t>
      </w:r>
      <w:r w:rsidRPr="00474032">
        <w:rPr>
          <w:b/>
          <w:bCs/>
        </w:rPr>
        <w:t>le projet d’arrêté peut être adopté en l’état</w:t>
      </w:r>
      <w:r>
        <w:rPr>
          <w:bCs/>
        </w:rPr>
        <w:t>.</w:t>
      </w:r>
    </w:p>
    <w:p w:rsidR="00B522E0" w:rsidRPr="00836647" w:rsidRDefault="00B522E0" w:rsidP="00B522E0">
      <w:pPr>
        <w:pStyle w:val="NormalWeb"/>
        <w:spacing w:before="0" w:beforeAutospacing="0" w:after="0"/>
        <w:jc w:val="both"/>
        <w:rPr>
          <w:bCs/>
        </w:rPr>
      </w:pPr>
    </w:p>
    <w:sectPr w:rsidR="00B522E0" w:rsidRPr="00836647" w:rsidSect="009E7A3F">
      <w:headerReference w:type="default" r:id="rId9"/>
      <w:pgSz w:w="11905" w:h="16837"/>
      <w:pgMar w:top="1134"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BF1" w:rsidRDefault="00197BF1">
      <w:r>
        <w:separator/>
      </w:r>
    </w:p>
  </w:endnote>
  <w:endnote w:type="continuationSeparator" w:id="1">
    <w:p w:rsidR="00197BF1" w:rsidRDefault="00197B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BF1" w:rsidRDefault="00197BF1">
      <w:r>
        <w:separator/>
      </w:r>
    </w:p>
  </w:footnote>
  <w:footnote w:type="continuationSeparator" w:id="1">
    <w:p w:rsidR="00197BF1" w:rsidRDefault="00197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2E0" w:rsidRDefault="00060AFA" w:rsidP="0099624A">
    <w:pPr>
      <w:jc w:val="center"/>
      <w:rPr>
        <w:rFonts w:ascii="Arial" w:hAnsi="Arial" w:cs="Arial"/>
      </w:rPr>
    </w:pPr>
    <w:r>
      <w:rPr>
        <w:rFonts w:ascii="Arial" w:hAnsi="Arial" w:cs="Arial"/>
        <w:noProof/>
      </w:rPr>
      <w:drawing>
        <wp:anchor distT="0" distB="0" distL="114935" distR="114935" simplePos="0" relativeHeight="251657728" behindDoc="1" locked="0" layoutInCell="1" allowOverlap="1">
          <wp:simplePos x="0" y="0"/>
          <wp:positionH relativeFrom="page">
            <wp:align>center</wp:align>
          </wp:positionH>
          <wp:positionV relativeFrom="page">
            <wp:posOffset>215900</wp:posOffset>
          </wp:positionV>
          <wp:extent cx="1075055" cy="646430"/>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1075055" cy="646430"/>
                  </a:xfrm>
                  <a:prstGeom prst="rect">
                    <a:avLst/>
                  </a:prstGeom>
                  <a:solidFill>
                    <a:srgbClr val="FFFFFF"/>
                  </a:solidFill>
                  <a:ln w="9525">
                    <a:noFill/>
                    <a:miter lim="800000"/>
                    <a:headEnd/>
                    <a:tailEnd/>
                  </a:ln>
                </pic:spPr>
              </pic:pic>
            </a:graphicData>
          </a:graphic>
        </wp:anchor>
      </w:drawing>
    </w:r>
  </w:p>
  <w:p w:rsidR="00B522E0" w:rsidRDefault="00B522E0" w:rsidP="0099624A">
    <w:pPr>
      <w:jc w:val="center"/>
      <w:rPr>
        <w:rFonts w:ascii="Arial" w:hAnsi="Arial" w:cs="Arial"/>
      </w:rPr>
    </w:pPr>
  </w:p>
  <w:p w:rsidR="00B522E0" w:rsidRDefault="00B522E0" w:rsidP="0099624A">
    <w:pPr>
      <w:jc w:val="center"/>
      <w:rPr>
        <w:rFonts w:ascii="Arial" w:hAnsi="Arial" w:cs="Arial"/>
      </w:rPr>
    </w:pPr>
  </w:p>
  <w:p w:rsidR="00B522E0" w:rsidRPr="00EF78A3" w:rsidRDefault="00B522E0" w:rsidP="00EF78A3">
    <w:pPr>
      <w:pStyle w:val="m-BlocTitre"/>
      <w:rPr>
        <w:rFonts w:ascii="Arial" w:hAnsi="Arial" w:cs="Arial"/>
        <w:color w:val="808080"/>
        <w:szCs w:val="22"/>
      </w:rPr>
    </w:pPr>
    <w:r w:rsidRPr="00EF78A3">
      <w:rPr>
        <w:rFonts w:ascii="Arial" w:hAnsi="Arial" w:cs="Arial"/>
        <w:color w:val="808080"/>
        <w:szCs w:val="22"/>
      </w:rPr>
      <w:t>MINISTÈRE DE L’ÉCOLOGIE, DU DÉVELOPPEMENT DURABLE</w:t>
    </w:r>
  </w:p>
  <w:p w:rsidR="00B522E0" w:rsidRPr="00EF78A3" w:rsidRDefault="00B522E0" w:rsidP="00EF78A3">
    <w:pPr>
      <w:jc w:val="center"/>
      <w:rPr>
        <w:rFonts w:ascii="Arial" w:hAnsi="Arial" w:cs="Arial"/>
        <w:color w:val="808080"/>
        <w:sz w:val="22"/>
        <w:szCs w:val="22"/>
      </w:rPr>
    </w:pPr>
    <w:r w:rsidRPr="00EF78A3">
      <w:rPr>
        <w:rFonts w:ascii="Arial" w:hAnsi="Arial" w:cs="Arial"/>
        <w:color w:val="808080"/>
        <w:sz w:val="22"/>
        <w:szCs w:val="22"/>
      </w:rPr>
      <w:t>ET DE L'ÉNERGIE</w:t>
    </w:r>
  </w:p>
  <w:p w:rsidR="00B522E0" w:rsidRDefault="00B522E0" w:rsidP="0099624A">
    <w:pPr>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B4B6686"/>
    <w:multiLevelType w:val="hybridMultilevel"/>
    <w:tmpl w:val="CC0A2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FD33C3"/>
    <w:multiLevelType w:val="hybridMultilevel"/>
    <w:tmpl w:val="C4E4D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947DBD"/>
    <w:multiLevelType w:val="hybridMultilevel"/>
    <w:tmpl w:val="1E98F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87326C"/>
    <w:multiLevelType w:val="hybridMultilevel"/>
    <w:tmpl w:val="E4BCBAB2"/>
    <w:lvl w:ilvl="0" w:tplc="8FE4C9D8">
      <w:start w:val="14"/>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7">
    <w:nsid w:val="24143CC3"/>
    <w:multiLevelType w:val="hybridMultilevel"/>
    <w:tmpl w:val="A042AA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72744B3"/>
    <w:multiLevelType w:val="hybridMultilevel"/>
    <w:tmpl w:val="88E8951E"/>
    <w:lvl w:ilvl="0" w:tplc="98849AA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nsid w:val="2BB86EA7"/>
    <w:multiLevelType w:val="hybridMultilevel"/>
    <w:tmpl w:val="9AA660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C7662C5"/>
    <w:multiLevelType w:val="hybridMultilevel"/>
    <w:tmpl w:val="F9E426A6"/>
    <w:lvl w:ilvl="0" w:tplc="98849AA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nsid w:val="312A4B28"/>
    <w:multiLevelType w:val="hybridMultilevel"/>
    <w:tmpl w:val="0002CCE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1E0286A"/>
    <w:multiLevelType w:val="hybridMultilevel"/>
    <w:tmpl w:val="63424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1A50734"/>
    <w:multiLevelType w:val="hybridMultilevel"/>
    <w:tmpl w:val="20A4A608"/>
    <w:lvl w:ilvl="0" w:tplc="EDC2F3A8">
      <w:numFmt w:val="bullet"/>
      <w:lvlText w:val="-"/>
      <w:lvlJc w:val="left"/>
      <w:pPr>
        <w:tabs>
          <w:tab w:val="num" w:pos="720"/>
        </w:tabs>
        <w:ind w:left="720" w:hanging="360"/>
      </w:pPr>
      <w:rPr>
        <w:rFonts w:ascii="Liberation Sans" w:eastAsia="Times New Roman"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B9B4394"/>
    <w:multiLevelType w:val="hybridMultilevel"/>
    <w:tmpl w:val="EC5C18C6"/>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5">
    <w:nsid w:val="4C4C5157"/>
    <w:multiLevelType w:val="hybridMultilevel"/>
    <w:tmpl w:val="9CA4BA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3F919B2"/>
    <w:multiLevelType w:val="hybridMultilevel"/>
    <w:tmpl w:val="CAF6F102"/>
    <w:lvl w:ilvl="0" w:tplc="441EAB0E">
      <w:numFmt w:val="bullet"/>
      <w:lvlText w:val="-"/>
      <w:lvlJc w:val="left"/>
      <w:pPr>
        <w:tabs>
          <w:tab w:val="num" w:pos="1065"/>
        </w:tabs>
        <w:ind w:left="1065" w:hanging="360"/>
      </w:pPr>
      <w:rPr>
        <w:rFonts w:ascii="Times New Roman" w:eastAsia="Calibri"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7">
    <w:nsid w:val="67945FB1"/>
    <w:multiLevelType w:val="hybridMultilevel"/>
    <w:tmpl w:val="68CCEC94"/>
    <w:lvl w:ilvl="0" w:tplc="F67A69DA">
      <w:start w:val="2"/>
      <w:numFmt w:val="bullet"/>
      <w:lvlText w:val="-"/>
      <w:lvlJc w:val="left"/>
      <w:pPr>
        <w:tabs>
          <w:tab w:val="num" w:pos="720"/>
        </w:tabs>
        <w:ind w:left="720" w:hanging="360"/>
      </w:pPr>
      <w:rPr>
        <w:rFonts w:ascii="Liberation Sans" w:eastAsia="Calibri"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7D7722F"/>
    <w:multiLevelType w:val="hybridMultilevel"/>
    <w:tmpl w:val="DEA04E64"/>
    <w:lvl w:ilvl="0" w:tplc="C44E57F6">
      <w:start w:val="3"/>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716C115B"/>
    <w:multiLevelType w:val="hybridMultilevel"/>
    <w:tmpl w:val="0EE4B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A6E2E14"/>
    <w:multiLevelType w:val="hybridMultilevel"/>
    <w:tmpl w:val="E04AF868"/>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1">
    <w:nsid w:val="7BEA178C"/>
    <w:multiLevelType w:val="hybridMultilevel"/>
    <w:tmpl w:val="A5B0FA6C"/>
    <w:lvl w:ilvl="0" w:tplc="7B722526">
      <w:start w:val="2"/>
      <w:numFmt w:val="bullet"/>
      <w:lvlText w:val="-"/>
      <w:lvlJc w:val="left"/>
      <w:pPr>
        <w:tabs>
          <w:tab w:val="num" w:pos="720"/>
        </w:tabs>
        <w:ind w:left="720" w:hanging="360"/>
      </w:pPr>
      <w:rPr>
        <w:rFonts w:ascii="Liberation Sans" w:eastAsia="Calibri"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7D160D2F"/>
    <w:multiLevelType w:val="multilevel"/>
    <w:tmpl w:val="F66E62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22"/>
  </w:num>
  <w:num w:numId="4">
    <w:abstractNumId w:val="14"/>
  </w:num>
  <w:num w:numId="5">
    <w:abstractNumId w:val="6"/>
  </w:num>
  <w:num w:numId="6">
    <w:abstractNumId w:val="20"/>
  </w:num>
  <w:num w:numId="7">
    <w:abstractNumId w:val="9"/>
  </w:num>
  <w:num w:numId="8">
    <w:abstractNumId w:val="7"/>
  </w:num>
  <w:num w:numId="9">
    <w:abstractNumId w:val="16"/>
  </w:num>
  <w:num w:numId="10">
    <w:abstractNumId w:val="10"/>
  </w:num>
  <w:num w:numId="11">
    <w:abstractNumId w:val="8"/>
  </w:num>
  <w:num w:numId="12">
    <w:abstractNumId w:val="2"/>
  </w:num>
  <w:num w:numId="13">
    <w:abstractNumId w:val="5"/>
  </w:num>
  <w:num w:numId="14">
    <w:abstractNumId w:val="12"/>
  </w:num>
  <w:num w:numId="15">
    <w:abstractNumId w:val="13"/>
  </w:num>
  <w:num w:numId="16">
    <w:abstractNumId w:val="11"/>
  </w:num>
  <w:num w:numId="17">
    <w:abstractNumId w:val="21"/>
  </w:num>
  <w:num w:numId="18">
    <w:abstractNumId w:val="17"/>
  </w:num>
  <w:num w:numId="19">
    <w:abstractNumId w:val="18"/>
  </w:num>
  <w:num w:numId="20">
    <w:abstractNumId w:val="4"/>
  </w:num>
  <w:num w:numId="21">
    <w:abstractNumId w:val="3"/>
  </w:num>
  <w:num w:numId="22">
    <w:abstractNumId w:val="19"/>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6"/>
  </w:hdrShapeDefaults>
  <w:footnotePr>
    <w:footnote w:id="0"/>
    <w:footnote w:id="1"/>
  </w:footnotePr>
  <w:endnotePr>
    <w:endnote w:id="0"/>
    <w:endnote w:id="1"/>
  </w:endnotePr>
  <w:compat>
    <w:spaceForUL/>
    <w:balanceSingleByteDoubleByteWidth/>
    <w:doNotLeaveBackslashAlone/>
    <w:ulTrailSpace/>
    <w:adjustLineHeightInTable/>
  </w:compat>
  <w:rsids>
    <w:rsidRoot w:val="004034EB"/>
    <w:rsid w:val="00023E20"/>
    <w:rsid w:val="000528C9"/>
    <w:rsid w:val="00060AFA"/>
    <w:rsid w:val="00082039"/>
    <w:rsid w:val="000B6B52"/>
    <w:rsid w:val="000D04B3"/>
    <w:rsid w:val="00126778"/>
    <w:rsid w:val="00126A1D"/>
    <w:rsid w:val="0013593F"/>
    <w:rsid w:val="00140B3F"/>
    <w:rsid w:val="0016222A"/>
    <w:rsid w:val="00197BF1"/>
    <w:rsid w:val="001D2584"/>
    <w:rsid w:val="0020523B"/>
    <w:rsid w:val="00266B8E"/>
    <w:rsid w:val="00275957"/>
    <w:rsid w:val="00296B18"/>
    <w:rsid w:val="002B3509"/>
    <w:rsid w:val="002B7329"/>
    <w:rsid w:val="002D76F4"/>
    <w:rsid w:val="00321F08"/>
    <w:rsid w:val="0035456D"/>
    <w:rsid w:val="003558DA"/>
    <w:rsid w:val="0036068F"/>
    <w:rsid w:val="00372B43"/>
    <w:rsid w:val="003750F3"/>
    <w:rsid w:val="003C6A4A"/>
    <w:rsid w:val="003D0D61"/>
    <w:rsid w:val="004034EB"/>
    <w:rsid w:val="00421098"/>
    <w:rsid w:val="00446860"/>
    <w:rsid w:val="00464728"/>
    <w:rsid w:val="00464BA7"/>
    <w:rsid w:val="00464F1D"/>
    <w:rsid w:val="004730E6"/>
    <w:rsid w:val="00474032"/>
    <w:rsid w:val="00474C68"/>
    <w:rsid w:val="0048345B"/>
    <w:rsid w:val="0048486A"/>
    <w:rsid w:val="004B09A9"/>
    <w:rsid w:val="004F3228"/>
    <w:rsid w:val="00501855"/>
    <w:rsid w:val="00510856"/>
    <w:rsid w:val="00510E95"/>
    <w:rsid w:val="0052690E"/>
    <w:rsid w:val="00547FD8"/>
    <w:rsid w:val="00560C13"/>
    <w:rsid w:val="005745EE"/>
    <w:rsid w:val="00575FDC"/>
    <w:rsid w:val="00595AAF"/>
    <w:rsid w:val="005C0D5D"/>
    <w:rsid w:val="005C6138"/>
    <w:rsid w:val="005D4EAD"/>
    <w:rsid w:val="005E6C73"/>
    <w:rsid w:val="005F5514"/>
    <w:rsid w:val="006114FB"/>
    <w:rsid w:val="00627BA2"/>
    <w:rsid w:val="0063381B"/>
    <w:rsid w:val="006422B9"/>
    <w:rsid w:val="006515C4"/>
    <w:rsid w:val="00654304"/>
    <w:rsid w:val="006548E8"/>
    <w:rsid w:val="00656044"/>
    <w:rsid w:val="00660E30"/>
    <w:rsid w:val="00667C96"/>
    <w:rsid w:val="006712A8"/>
    <w:rsid w:val="00672108"/>
    <w:rsid w:val="006763C0"/>
    <w:rsid w:val="00684411"/>
    <w:rsid w:val="00684BAB"/>
    <w:rsid w:val="006A4795"/>
    <w:rsid w:val="00717118"/>
    <w:rsid w:val="00731D59"/>
    <w:rsid w:val="00731F42"/>
    <w:rsid w:val="0073746D"/>
    <w:rsid w:val="00753095"/>
    <w:rsid w:val="007565D6"/>
    <w:rsid w:val="0075676E"/>
    <w:rsid w:val="00773A4F"/>
    <w:rsid w:val="00783F5E"/>
    <w:rsid w:val="007B03D7"/>
    <w:rsid w:val="007C5964"/>
    <w:rsid w:val="007F1B4F"/>
    <w:rsid w:val="007F7956"/>
    <w:rsid w:val="00802C0C"/>
    <w:rsid w:val="008209A3"/>
    <w:rsid w:val="00823C08"/>
    <w:rsid w:val="0082566F"/>
    <w:rsid w:val="00836647"/>
    <w:rsid w:val="00836BA8"/>
    <w:rsid w:val="0085566A"/>
    <w:rsid w:val="00864EAF"/>
    <w:rsid w:val="008674F5"/>
    <w:rsid w:val="0087327A"/>
    <w:rsid w:val="00884B5C"/>
    <w:rsid w:val="0088502E"/>
    <w:rsid w:val="0088545A"/>
    <w:rsid w:val="008968D2"/>
    <w:rsid w:val="008A3C24"/>
    <w:rsid w:val="008B3433"/>
    <w:rsid w:val="008C239E"/>
    <w:rsid w:val="008C66FC"/>
    <w:rsid w:val="00903954"/>
    <w:rsid w:val="00916F81"/>
    <w:rsid w:val="0093282F"/>
    <w:rsid w:val="0096103D"/>
    <w:rsid w:val="00992A22"/>
    <w:rsid w:val="00993427"/>
    <w:rsid w:val="00994156"/>
    <w:rsid w:val="0099624A"/>
    <w:rsid w:val="00996CC2"/>
    <w:rsid w:val="009E7A3F"/>
    <w:rsid w:val="00A02F10"/>
    <w:rsid w:val="00A032A0"/>
    <w:rsid w:val="00A400F3"/>
    <w:rsid w:val="00A41C5B"/>
    <w:rsid w:val="00A45460"/>
    <w:rsid w:val="00A45D90"/>
    <w:rsid w:val="00A5308F"/>
    <w:rsid w:val="00A56CBA"/>
    <w:rsid w:val="00A57EE9"/>
    <w:rsid w:val="00A63C6F"/>
    <w:rsid w:val="00A71F3D"/>
    <w:rsid w:val="00AB40FC"/>
    <w:rsid w:val="00AB7973"/>
    <w:rsid w:val="00AC5F25"/>
    <w:rsid w:val="00AD2EEC"/>
    <w:rsid w:val="00AE3A2A"/>
    <w:rsid w:val="00AE3BEF"/>
    <w:rsid w:val="00AE47E8"/>
    <w:rsid w:val="00B10F07"/>
    <w:rsid w:val="00B50997"/>
    <w:rsid w:val="00B522E0"/>
    <w:rsid w:val="00B759E7"/>
    <w:rsid w:val="00B81B1F"/>
    <w:rsid w:val="00B82BEC"/>
    <w:rsid w:val="00BC4651"/>
    <w:rsid w:val="00BC722A"/>
    <w:rsid w:val="00BD60D5"/>
    <w:rsid w:val="00C05D38"/>
    <w:rsid w:val="00C2707B"/>
    <w:rsid w:val="00C47643"/>
    <w:rsid w:val="00C47AF7"/>
    <w:rsid w:val="00C57DDC"/>
    <w:rsid w:val="00C82AD3"/>
    <w:rsid w:val="00C91BB6"/>
    <w:rsid w:val="00C93C37"/>
    <w:rsid w:val="00CD0C95"/>
    <w:rsid w:val="00CD6E80"/>
    <w:rsid w:val="00CF4682"/>
    <w:rsid w:val="00CF5A6F"/>
    <w:rsid w:val="00D01991"/>
    <w:rsid w:val="00D16322"/>
    <w:rsid w:val="00D265AA"/>
    <w:rsid w:val="00D4403A"/>
    <w:rsid w:val="00D46BD3"/>
    <w:rsid w:val="00D6076E"/>
    <w:rsid w:val="00D74D14"/>
    <w:rsid w:val="00D90B40"/>
    <w:rsid w:val="00D97A82"/>
    <w:rsid w:val="00D97E42"/>
    <w:rsid w:val="00DC4A9A"/>
    <w:rsid w:val="00DD057D"/>
    <w:rsid w:val="00DE3446"/>
    <w:rsid w:val="00DF11BB"/>
    <w:rsid w:val="00DF3FF6"/>
    <w:rsid w:val="00E1130E"/>
    <w:rsid w:val="00E14B5F"/>
    <w:rsid w:val="00E27B3F"/>
    <w:rsid w:val="00E32F43"/>
    <w:rsid w:val="00E5150B"/>
    <w:rsid w:val="00E63762"/>
    <w:rsid w:val="00E63770"/>
    <w:rsid w:val="00E63F2F"/>
    <w:rsid w:val="00E66FF1"/>
    <w:rsid w:val="00E70C2C"/>
    <w:rsid w:val="00E83783"/>
    <w:rsid w:val="00E94ACC"/>
    <w:rsid w:val="00EB0E53"/>
    <w:rsid w:val="00EC4B2F"/>
    <w:rsid w:val="00ED1ED8"/>
    <w:rsid w:val="00ED72B8"/>
    <w:rsid w:val="00EF78A3"/>
    <w:rsid w:val="00F01BB7"/>
    <w:rsid w:val="00F1386E"/>
    <w:rsid w:val="00F379AA"/>
    <w:rsid w:val="00F50EAD"/>
    <w:rsid w:val="00F51371"/>
    <w:rsid w:val="00F81A54"/>
    <w:rsid w:val="00F94C66"/>
    <w:rsid w:val="00FA1A71"/>
    <w:rsid w:val="00FB0AB6"/>
    <w:rsid w:val="00FD3B6A"/>
    <w:rsid w:val="00FD65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C08"/>
    <w:pPr>
      <w:widowControl w:val="0"/>
      <w:suppressAutoHyphens/>
    </w:pPr>
    <w:rPr>
      <w:rFonts w:ascii="Liberation Sans" w:eastAsia="Arial Unicode MS" w:hAnsi="Liberation Sans"/>
      <w:kern w:val="1"/>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sid w:val="00823C08"/>
    <w:rPr>
      <w:rFonts w:ascii="OpenSymbol" w:eastAsia="Times New Roman" w:hAnsi="OpenSymbol"/>
    </w:rPr>
  </w:style>
  <w:style w:type="paragraph" w:customStyle="1" w:styleId="Titre1">
    <w:name w:val="Titre1"/>
    <w:basedOn w:val="Normal"/>
    <w:next w:val="Corpsdetexte"/>
    <w:rsid w:val="00823C08"/>
    <w:pPr>
      <w:keepNext/>
      <w:spacing w:before="240" w:after="120"/>
    </w:pPr>
    <w:rPr>
      <w:rFonts w:eastAsia="MS Mincho" w:cs="Tahoma"/>
      <w:sz w:val="28"/>
      <w:szCs w:val="28"/>
    </w:rPr>
  </w:style>
  <w:style w:type="paragraph" w:styleId="Corpsdetexte">
    <w:name w:val="Body Text"/>
    <w:basedOn w:val="Normal"/>
    <w:link w:val="CorpsdetexteCar"/>
    <w:uiPriority w:val="99"/>
    <w:rsid w:val="00823C08"/>
    <w:pPr>
      <w:spacing w:after="120"/>
    </w:pPr>
  </w:style>
  <w:style w:type="character" w:customStyle="1" w:styleId="CorpsdetexteCar">
    <w:name w:val="Corps de texte Car"/>
    <w:basedOn w:val="Policepardfaut"/>
    <w:link w:val="Corpsdetexte"/>
    <w:uiPriority w:val="99"/>
    <w:semiHidden/>
    <w:rsid w:val="00F33395"/>
    <w:rPr>
      <w:rFonts w:ascii="Liberation Sans" w:eastAsia="Arial Unicode MS" w:hAnsi="Liberation Sans"/>
      <w:kern w:val="1"/>
      <w:sz w:val="24"/>
      <w:szCs w:val="24"/>
    </w:rPr>
  </w:style>
  <w:style w:type="paragraph" w:styleId="Liste">
    <w:name w:val="List"/>
    <w:basedOn w:val="Corpsdetexte"/>
    <w:uiPriority w:val="99"/>
    <w:rsid w:val="00823C08"/>
    <w:rPr>
      <w:rFonts w:cs="Tahoma"/>
    </w:rPr>
  </w:style>
  <w:style w:type="paragraph" w:customStyle="1" w:styleId="Lgende1">
    <w:name w:val="Légende1"/>
    <w:basedOn w:val="Normal"/>
    <w:rsid w:val="00823C08"/>
    <w:pPr>
      <w:suppressLineNumbers/>
      <w:spacing w:before="120" w:after="120"/>
    </w:pPr>
    <w:rPr>
      <w:rFonts w:cs="Tahoma"/>
      <w:i/>
      <w:iCs/>
    </w:rPr>
  </w:style>
  <w:style w:type="paragraph" w:customStyle="1" w:styleId="Index">
    <w:name w:val="Index"/>
    <w:basedOn w:val="Normal"/>
    <w:rsid w:val="00823C08"/>
    <w:pPr>
      <w:suppressLineNumbers/>
    </w:pPr>
    <w:rPr>
      <w:rFonts w:cs="Tahoma"/>
    </w:rPr>
  </w:style>
  <w:style w:type="paragraph" w:styleId="En-tte">
    <w:name w:val="header"/>
    <w:basedOn w:val="Normal"/>
    <w:link w:val="En-tteCar"/>
    <w:uiPriority w:val="99"/>
    <w:rsid w:val="002B7329"/>
    <w:pPr>
      <w:tabs>
        <w:tab w:val="center" w:pos="4536"/>
        <w:tab w:val="right" w:pos="9072"/>
      </w:tabs>
    </w:pPr>
  </w:style>
  <w:style w:type="character" w:customStyle="1" w:styleId="En-tteCar">
    <w:name w:val="En-tête Car"/>
    <w:basedOn w:val="Policepardfaut"/>
    <w:link w:val="En-tte"/>
    <w:uiPriority w:val="99"/>
    <w:semiHidden/>
    <w:rsid w:val="00F33395"/>
    <w:rPr>
      <w:rFonts w:ascii="Liberation Sans" w:eastAsia="Arial Unicode MS" w:hAnsi="Liberation Sans"/>
      <w:kern w:val="1"/>
      <w:sz w:val="24"/>
      <w:szCs w:val="24"/>
    </w:rPr>
  </w:style>
  <w:style w:type="paragraph" w:styleId="Pieddepage">
    <w:name w:val="footer"/>
    <w:basedOn w:val="Normal"/>
    <w:link w:val="PieddepageCar"/>
    <w:uiPriority w:val="99"/>
    <w:rsid w:val="002B7329"/>
    <w:pPr>
      <w:tabs>
        <w:tab w:val="center" w:pos="4536"/>
        <w:tab w:val="right" w:pos="9072"/>
      </w:tabs>
    </w:pPr>
  </w:style>
  <w:style w:type="character" w:customStyle="1" w:styleId="PieddepageCar">
    <w:name w:val="Pied de page Car"/>
    <w:basedOn w:val="Policepardfaut"/>
    <w:link w:val="Pieddepage"/>
    <w:uiPriority w:val="99"/>
    <w:semiHidden/>
    <w:rsid w:val="00F33395"/>
    <w:rPr>
      <w:rFonts w:ascii="Liberation Sans" w:eastAsia="Arial Unicode MS" w:hAnsi="Liberation Sans"/>
      <w:kern w:val="1"/>
      <w:sz w:val="24"/>
      <w:szCs w:val="24"/>
    </w:rPr>
  </w:style>
  <w:style w:type="paragraph" w:styleId="Notedebasdepage">
    <w:name w:val="footnote text"/>
    <w:basedOn w:val="Normal"/>
    <w:link w:val="NotedebasdepageCar"/>
    <w:rsid w:val="00903954"/>
    <w:rPr>
      <w:sz w:val="20"/>
      <w:szCs w:val="20"/>
    </w:rPr>
  </w:style>
  <w:style w:type="character" w:customStyle="1" w:styleId="NotedebasdepageCar">
    <w:name w:val="Note de bas de page Car"/>
    <w:basedOn w:val="Policepardfaut"/>
    <w:link w:val="Notedebasdepage"/>
    <w:rsid w:val="00F33395"/>
    <w:rPr>
      <w:rFonts w:ascii="Liberation Sans" w:eastAsia="Arial Unicode MS" w:hAnsi="Liberation Sans"/>
      <w:kern w:val="1"/>
    </w:rPr>
  </w:style>
  <w:style w:type="character" w:styleId="Appelnotedebasdep">
    <w:name w:val="footnote reference"/>
    <w:basedOn w:val="Policepardfaut"/>
    <w:rsid w:val="00903954"/>
    <w:rPr>
      <w:rFonts w:cs="Times New Roman"/>
      <w:vertAlign w:val="superscript"/>
    </w:rPr>
  </w:style>
  <w:style w:type="character" w:styleId="Lienhypertexte">
    <w:name w:val="Hyperlink"/>
    <w:basedOn w:val="Policepardfaut"/>
    <w:rsid w:val="00547FD8"/>
    <w:rPr>
      <w:color w:val="0000FF"/>
      <w:u w:val="single"/>
    </w:rPr>
  </w:style>
  <w:style w:type="paragraph" w:styleId="Paragraphedeliste">
    <w:name w:val="List Paragraph"/>
    <w:basedOn w:val="Normal"/>
    <w:qFormat/>
    <w:rsid w:val="0099624A"/>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NormalWeb">
    <w:name w:val="Normal (Web)"/>
    <w:basedOn w:val="Normal"/>
    <w:rsid w:val="00753095"/>
    <w:pPr>
      <w:widowControl/>
      <w:suppressAutoHyphens w:val="0"/>
      <w:spacing w:before="100" w:beforeAutospacing="1" w:after="119"/>
    </w:pPr>
    <w:rPr>
      <w:rFonts w:ascii="Times New Roman" w:eastAsia="Times New Roman" w:hAnsi="Times New Roman"/>
      <w:kern w:val="0"/>
    </w:rPr>
  </w:style>
  <w:style w:type="paragraph" w:customStyle="1" w:styleId="m-BlocTitre">
    <w:name w:val="m-BlocTitre"/>
    <w:basedOn w:val="Normal"/>
    <w:rsid w:val="00EF78A3"/>
    <w:pPr>
      <w:widowControl/>
      <w:ind w:hanging="340"/>
      <w:jc w:val="center"/>
    </w:pPr>
    <w:rPr>
      <w:rFonts w:ascii="Liberation Serif" w:eastAsia="Times New Roman" w:hAnsi="Liberation Serif"/>
      <w:color w:val="4C4C4C"/>
      <w:kern w:val="0"/>
      <w:sz w:val="22"/>
      <w:lang w:eastAsia="ar-SA"/>
    </w:rPr>
  </w:style>
  <w:style w:type="paragraph" w:styleId="PrformatHTML">
    <w:name w:val="HTML Preformatted"/>
    <w:basedOn w:val="Normal"/>
    <w:link w:val="PrformatHTMLCar"/>
    <w:rsid w:val="00C47AF7"/>
    <w:rPr>
      <w:rFonts w:ascii="Consolas" w:hAnsi="Consolas"/>
      <w:sz w:val="20"/>
      <w:szCs w:val="20"/>
    </w:rPr>
  </w:style>
  <w:style w:type="character" w:customStyle="1" w:styleId="PrformatHTMLCar">
    <w:name w:val="Préformaté HTML Car"/>
    <w:basedOn w:val="Policepardfaut"/>
    <w:link w:val="PrformatHTML"/>
    <w:rsid w:val="00C47AF7"/>
    <w:rPr>
      <w:rFonts w:ascii="Consolas" w:eastAsia="Arial Unicode MS" w:hAnsi="Consolas"/>
      <w:kern w:val="1"/>
    </w:rPr>
  </w:style>
</w:styles>
</file>

<file path=word/webSettings.xml><?xml version="1.0" encoding="utf-8"?>
<w:webSettings xmlns:r="http://schemas.openxmlformats.org/officeDocument/2006/relationships" xmlns:w="http://schemas.openxmlformats.org/wordprocessingml/2006/main">
  <w:divs>
    <w:div w:id="435097895">
      <w:bodyDiv w:val="1"/>
      <w:marLeft w:val="0"/>
      <w:marRight w:val="0"/>
      <w:marTop w:val="0"/>
      <w:marBottom w:val="0"/>
      <w:divBdr>
        <w:top w:val="none" w:sz="0" w:space="0" w:color="auto"/>
        <w:left w:val="none" w:sz="0" w:space="0" w:color="auto"/>
        <w:bottom w:val="none" w:sz="0" w:space="0" w:color="auto"/>
        <w:right w:val="none" w:sz="0" w:space="0" w:color="auto"/>
      </w:divBdr>
    </w:div>
    <w:div w:id="459617351">
      <w:bodyDiv w:val="1"/>
      <w:marLeft w:val="0"/>
      <w:marRight w:val="0"/>
      <w:marTop w:val="0"/>
      <w:marBottom w:val="0"/>
      <w:divBdr>
        <w:top w:val="none" w:sz="0" w:space="0" w:color="auto"/>
        <w:left w:val="none" w:sz="0" w:space="0" w:color="auto"/>
        <w:bottom w:val="none" w:sz="0" w:space="0" w:color="auto"/>
        <w:right w:val="none" w:sz="0" w:space="0" w:color="auto"/>
      </w:divBdr>
    </w:div>
    <w:div w:id="602957470">
      <w:bodyDiv w:val="1"/>
      <w:marLeft w:val="0"/>
      <w:marRight w:val="0"/>
      <w:marTop w:val="0"/>
      <w:marBottom w:val="0"/>
      <w:divBdr>
        <w:top w:val="none" w:sz="0" w:space="0" w:color="auto"/>
        <w:left w:val="none" w:sz="0" w:space="0" w:color="auto"/>
        <w:bottom w:val="none" w:sz="0" w:space="0" w:color="auto"/>
        <w:right w:val="none" w:sz="0" w:space="0" w:color="auto"/>
      </w:divBdr>
    </w:div>
    <w:div w:id="649142412">
      <w:bodyDiv w:val="1"/>
      <w:marLeft w:val="0"/>
      <w:marRight w:val="0"/>
      <w:marTop w:val="0"/>
      <w:marBottom w:val="0"/>
      <w:divBdr>
        <w:top w:val="none" w:sz="0" w:space="0" w:color="auto"/>
        <w:left w:val="none" w:sz="0" w:space="0" w:color="auto"/>
        <w:bottom w:val="none" w:sz="0" w:space="0" w:color="auto"/>
        <w:right w:val="none" w:sz="0" w:space="0" w:color="auto"/>
      </w:divBdr>
    </w:div>
    <w:div w:id="653141814">
      <w:bodyDiv w:val="1"/>
      <w:marLeft w:val="0"/>
      <w:marRight w:val="0"/>
      <w:marTop w:val="0"/>
      <w:marBottom w:val="0"/>
      <w:divBdr>
        <w:top w:val="none" w:sz="0" w:space="0" w:color="auto"/>
        <w:left w:val="none" w:sz="0" w:space="0" w:color="auto"/>
        <w:bottom w:val="none" w:sz="0" w:space="0" w:color="auto"/>
        <w:right w:val="none" w:sz="0" w:space="0" w:color="auto"/>
      </w:divBdr>
    </w:div>
    <w:div w:id="1022979574">
      <w:bodyDiv w:val="1"/>
      <w:marLeft w:val="0"/>
      <w:marRight w:val="0"/>
      <w:marTop w:val="0"/>
      <w:marBottom w:val="0"/>
      <w:divBdr>
        <w:top w:val="none" w:sz="0" w:space="0" w:color="auto"/>
        <w:left w:val="none" w:sz="0" w:space="0" w:color="auto"/>
        <w:bottom w:val="none" w:sz="0" w:space="0" w:color="auto"/>
        <w:right w:val="none" w:sz="0" w:space="0" w:color="auto"/>
      </w:divBdr>
    </w:div>
    <w:div w:id="1587760555">
      <w:bodyDiv w:val="1"/>
      <w:marLeft w:val="0"/>
      <w:marRight w:val="0"/>
      <w:marTop w:val="0"/>
      <w:marBottom w:val="0"/>
      <w:divBdr>
        <w:top w:val="none" w:sz="0" w:space="0" w:color="auto"/>
        <w:left w:val="none" w:sz="0" w:space="0" w:color="auto"/>
        <w:bottom w:val="none" w:sz="0" w:space="0" w:color="auto"/>
        <w:right w:val="none" w:sz="0" w:space="0" w:color="auto"/>
      </w:divBdr>
    </w:div>
    <w:div w:id="1609697511">
      <w:bodyDiv w:val="1"/>
      <w:marLeft w:val="0"/>
      <w:marRight w:val="0"/>
      <w:marTop w:val="0"/>
      <w:marBottom w:val="0"/>
      <w:divBdr>
        <w:top w:val="none" w:sz="0" w:space="0" w:color="auto"/>
        <w:left w:val="none" w:sz="0" w:space="0" w:color="auto"/>
        <w:bottom w:val="none" w:sz="0" w:space="0" w:color="auto"/>
        <w:right w:val="none" w:sz="0" w:space="0" w:color="auto"/>
      </w:divBdr>
    </w:div>
    <w:div w:id="1826628175">
      <w:bodyDiv w:val="1"/>
      <w:marLeft w:val="0"/>
      <w:marRight w:val="0"/>
      <w:marTop w:val="0"/>
      <w:marBottom w:val="0"/>
      <w:divBdr>
        <w:top w:val="none" w:sz="0" w:space="0" w:color="auto"/>
        <w:left w:val="none" w:sz="0" w:space="0" w:color="auto"/>
        <w:bottom w:val="none" w:sz="0" w:space="0" w:color="auto"/>
        <w:right w:val="none" w:sz="0" w:space="0" w:color="auto"/>
      </w:divBdr>
    </w:div>
    <w:div w:id="1986397460">
      <w:bodyDiv w:val="1"/>
      <w:marLeft w:val="0"/>
      <w:marRight w:val="0"/>
      <w:marTop w:val="0"/>
      <w:marBottom w:val="0"/>
      <w:divBdr>
        <w:top w:val="none" w:sz="0" w:space="0" w:color="auto"/>
        <w:left w:val="none" w:sz="0" w:space="0" w:color="auto"/>
        <w:bottom w:val="none" w:sz="0" w:space="0" w:color="auto"/>
        <w:right w:val="none" w:sz="0" w:space="0" w:color="auto"/>
      </w:divBdr>
    </w:div>
    <w:div w:id="203248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tions-publiques.developpement-durabl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84CA6-BE6D-4F7D-A082-FB0DA8D7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6074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FICHE</vt:lpstr>
    </vt:vector>
  </TitlesOfParts>
  <Company/>
  <LinksUpToDate>false</LinksUpToDate>
  <CharactersWithSpaces>7236</CharactersWithSpaces>
  <SharedDoc>false</SharedDoc>
  <HLinks>
    <vt:vector size="6" baseType="variant">
      <vt:variant>
        <vt:i4>1507408</vt:i4>
      </vt:variant>
      <vt:variant>
        <vt:i4>0</vt:i4>
      </vt:variant>
      <vt:variant>
        <vt:i4>0</vt:i4>
      </vt:variant>
      <vt:variant>
        <vt:i4>5</vt:i4>
      </vt:variant>
      <vt:variant>
        <vt:lpwstr>http://www.consultations-publiques.developpement-durable.gouv.fr/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dc:title>
  <dc:creator>Gorodetska</dc:creator>
  <cp:lastModifiedBy>MEDDE</cp:lastModifiedBy>
  <cp:revision>2</cp:revision>
  <cp:lastPrinted>2015-02-11T10:46:00Z</cp:lastPrinted>
  <dcterms:created xsi:type="dcterms:W3CDTF">2015-02-11T11:02:00Z</dcterms:created>
  <dcterms:modified xsi:type="dcterms:W3CDTF">2015-02-11T11:02:00Z</dcterms:modified>
</cp:coreProperties>
</file>