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483A" w14:textId="1633B485" w:rsidR="007D3BE9" w:rsidRPr="00C32FE3" w:rsidRDefault="00543FAD" w:rsidP="007D3BE9">
      <w:pPr>
        <w:pStyle w:val="SNtitre"/>
      </w:pPr>
      <w:r w:rsidRPr="00542D49">
        <w:t xml:space="preserve">Note de présentation </w:t>
      </w:r>
      <w:r w:rsidR="008E53FB">
        <w:t xml:space="preserve">du décret </w:t>
      </w:r>
      <w:r w:rsidR="007D3BE9">
        <w:t>m</w:t>
      </w:r>
      <w:r w:rsidR="007D3BE9" w:rsidRPr="00D54537">
        <w:t>odifiant les exigences de performance énergétique et environnementale des constructions de bâtiment en France métropolitaine</w:t>
      </w:r>
      <w:r w:rsidR="007D3BE9">
        <w:t xml:space="preserve"> et de l’arrêté modifiant </w:t>
      </w:r>
      <w:r w:rsidR="00EE4D0F">
        <w:t>les</w:t>
      </w:r>
      <w:r w:rsidR="007D3BE9">
        <w:t xml:space="preserve"> exigences de performance énergétique et environnementale des surélévations</w:t>
      </w:r>
    </w:p>
    <w:p w14:paraId="15911B0E" w14:textId="77777777" w:rsidR="00E84D32" w:rsidRPr="00E84D32" w:rsidRDefault="00E84D32" w:rsidP="00E84D32">
      <w:pPr>
        <w:jc w:val="center"/>
        <w:rPr>
          <w:b/>
          <w:bCs/>
          <w:sz w:val="24"/>
        </w:rPr>
      </w:pPr>
      <w:r w:rsidRPr="00E84D32">
        <w:rPr>
          <w:b/>
          <w:bCs/>
          <w:sz w:val="24"/>
        </w:rPr>
        <w:t xml:space="preserve">Consultation publique </w:t>
      </w:r>
      <w:r w:rsidRPr="00E84D32">
        <w:rPr>
          <w:b/>
          <w:bCs/>
          <w:sz w:val="24"/>
        </w:rPr>
        <w:t>sur le fondement de l’article L. 123-19-1 du code de l’environnement</w:t>
      </w:r>
    </w:p>
    <w:p w14:paraId="352D26BF" w14:textId="7AC7A560" w:rsidR="00542D49" w:rsidRDefault="00542D49" w:rsidP="00542D49"/>
    <w:p w14:paraId="00000003" w14:textId="4A1038AD" w:rsidR="00D03470" w:rsidRDefault="00D03470" w:rsidP="00542D49"/>
    <w:p w14:paraId="00000004" w14:textId="177AFB9F" w:rsidR="00D03470" w:rsidRDefault="008E53FB" w:rsidP="00542D49">
      <w:pPr>
        <w:pStyle w:val="Titre2"/>
      </w:pPr>
      <w:r>
        <w:t xml:space="preserve">Titre </w:t>
      </w:r>
      <w:r w:rsidR="007D3BE9">
        <w:t>des textes</w:t>
      </w:r>
      <w:r>
        <w:t xml:space="preserve"> </w:t>
      </w:r>
      <w:r w:rsidR="00C807BA">
        <w:t>:</w:t>
      </w:r>
    </w:p>
    <w:p w14:paraId="07178951" w14:textId="77777777" w:rsidR="00542D49" w:rsidRPr="00542D49" w:rsidRDefault="00542D49" w:rsidP="00542D49"/>
    <w:p w14:paraId="397C386E" w14:textId="6413BA82" w:rsidR="00C807BA" w:rsidRPr="00590D23" w:rsidRDefault="008E53FB" w:rsidP="008E53FB">
      <w:pPr>
        <w:rPr>
          <w:color w:val="000000"/>
          <w:sz w:val="24"/>
          <w:szCs w:val="28"/>
        </w:rPr>
      </w:pPr>
      <w:r w:rsidRPr="00590D23">
        <w:rPr>
          <w:color w:val="000000"/>
          <w:sz w:val="24"/>
          <w:szCs w:val="28"/>
        </w:rPr>
        <w:t>Décret modifiant les exigences de performance énergétique et environnementale des constructions de bâtiment en France métropolitaine</w:t>
      </w:r>
    </w:p>
    <w:p w14:paraId="63E6EC75" w14:textId="44B60DEE" w:rsidR="007D3BE9" w:rsidRPr="00590D23" w:rsidRDefault="007D3BE9" w:rsidP="008E53FB">
      <w:pPr>
        <w:rPr>
          <w:color w:val="000000"/>
          <w:sz w:val="24"/>
          <w:szCs w:val="28"/>
        </w:rPr>
      </w:pPr>
      <w:r w:rsidRPr="00590D23">
        <w:rPr>
          <w:color w:val="000000"/>
          <w:sz w:val="24"/>
          <w:szCs w:val="28"/>
        </w:rPr>
        <w:t xml:space="preserve">Arrêté modifiant </w:t>
      </w:r>
      <w:r w:rsidR="00EE4D0F" w:rsidRPr="00590D23">
        <w:rPr>
          <w:color w:val="000000"/>
          <w:sz w:val="24"/>
          <w:szCs w:val="28"/>
        </w:rPr>
        <w:t>les</w:t>
      </w:r>
      <w:r w:rsidRPr="00590D23">
        <w:rPr>
          <w:color w:val="000000"/>
          <w:sz w:val="24"/>
          <w:szCs w:val="28"/>
        </w:rPr>
        <w:t xml:space="preserve"> exigences de performance énergétique et environnementale des surélévations</w:t>
      </w:r>
    </w:p>
    <w:p w14:paraId="1F8685A3" w14:textId="77777777" w:rsidR="00433EE0" w:rsidRDefault="00433EE0" w:rsidP="00542D49"/>
    <w:p w14:paraId="00000009" w14:textId="05E5EF2B" w:rsidR="00D03470" w:rsidRDefault="00543FAD" w:rsidP="00542D49">
      <w:pPr>
        <w:pStyle w:val="Titre2"/>
      </w:pPr>
      <w:r>
        <w:t>Contexte :</w:t>
      </w:r>
    </w:p>
    <w:p w14:paraId="230A44EF" w14:textId="36FE5E2B" w:rsidR="007371BE" w:rsidRDefault="007371BE" w:rsidP="00433EE0"/>
    <w:p w14:paraId="6B8B4C12" w14:textId="6DCA9DCA" w:rsidR="00791A58" w:rsidRPr="00590D23" w:rsidRDefault="007D0E30" w:rsidP="00791A58">
      <w:pPr>
        <w:rPr>
          <w:sz w:val="24"/>
          <w:szCs w:val="28"/>
        </w:rPr>
      </w:pPr>
      <w:r w:rsidRPr="00590D23">
        <w:rPr>
          <w:sz w:val="24"/>
          <w:szCs w:val="28"/>
        </w:rPr>
        <w:t xml:space="preserve">La ministre chargée du logement Valérie </w:t>
      </w:r>
      <w:proofErr w:type="spellStart"/>
      <w:r w:rsidRPr="00590D23">
        <w:rPr>
          <w:sz w:val="24"/>
          <w:szCs w:val="28"/>
        </w:rPr>
        <w:t>Létard</w:t>
      </w:r>
      <w:proofErr w:type="spellEnd"/>
      <w:r w:rsidRPr="00590D23">
        <w:rPr>
          <w:sz w:val="24"/>
          <w:szCs w:val="28"/>
        </w:rPr>
        <w:t xml:space="preserve"> a confié en mars 2025 une mission à Robin </w:t>
      </w:r>
      <w:proofErr w:type="spellStart"/>
      <w:r w:rsidRPr="00590D23">
        <w:rPr>
          <w:sz w:val="24"/>
          <w:szCs w:val="28"/>
        </w:rPr>
        <w:t>Rivaton</w:t>
      </w:r>
      <w:proofErr w:type="spellEnd"/>
      <w:r w:rsidRPr="00590D23">
        <w:rPr>
          <w:sz w:val="24"/>
          <w:szCs w:val="28"/>
        </w:rPr>
        <w:t xml:space="preserve">, </w:t>
      </w:r>
      <w:r w:rsidR="001633FD" w:rsidRPr="00590D23">
        <w:rPr>
          <w:sz w:val="24"/>
          <w:szCs w:val="28"/>
        </w:rPr>
        <w:t xml:space="preserve">afin d’analyser </w:t>
      </w:r>
      <w:r w:rsidR="008C6F73" w:rsidRPr="00590D23">
        <w:rPr>
          <w:sz w:val="24"/>
          <w:szCs w:val="28"/>
        </w:rPr>
        <w:t>les impacts du jalon</w:t>
      </w:r>
      <w:r w:rsidR="001633FD" w:rsidRPr="00590D23">
        <w:rPr>
          <w:sz w:val="24"/>
          <w:szCs w:val="28"/>
        </w:rPr>
        <w:t xml:space="preserve"> 2028</w:t>
      </w:r>
      <w:r w:rsidR="008C6F73" w:rsidRPr="00590D23">
        <w:rPr>
          <w:sz w:val="24"/>
          <w:szCs w:val="28"/>
        </w:rPr>
        <w:t xml:space="preserve"> sur les modes constructifs et les surcoûts induits. </w:t>
      </w:r>
      <w:r w:rsidRPr="00590D23">
        <w:rPr>
          <w:sz w:val="24"/>
          <w:szCs w:val="28"/>
        </w:rPr>
        <w:t xml:space="preserve">Le </w:t>
      </w:r>
      <w:r w:rsidR="001B2B08" w:rsidRPr="00590D23">
        <w:rPr>
          <w:sz w:val="24"/>
          <w:szCs w:val="28"/>
        </w:rPr>
        <w:t>rapport</w:t>
      </w:r>
      <w:r w:rsidRPr="00590D23">
        <w:rPr>
          <w:sz w:val="24"/>
          <w:szCs w:val="28"/>
        </w:rPr>
        <w:t xml:space="preserve"> de la mission publié le 10 juillet 2025 </w:t>
      </w:r>
      <w:r w:rsidR="001B2B08" w:rsidRPr="00590D23">
        <w:rPr>
          <w:sz w:val="24"/>
          <w:szCs w:val="28"/>
        </w:rPr>
        <w:t xml:space="preserve">confirme que la RE2020 a entraîné une dynamique industrielle vertueuse, mais </w:t>
      </w:r>
      <w:r w:rsidR="00956CFE" w:rsidRPr="00590D23">
        <w:rPr>
          <w:sz w:val="24"/>
          <w:szCs w:val="28"/>
        </w:rPr>
        <w:t xml:space="preserve">propose des recommandations pour limiter les effets inflationnistes et mieux concilier performance environnementale, qualité d’usage et adaptation au changement climatique. </w:t>
      </w:r>
    </w:p>
    <w:p w14:paraId="10A8E16E" w14:textId="77777777" w:rsidR="00791A58" w:rsidRPr="00590D23" w:rsidRDefault="00791A58" w:rsidP="00791A58">
      <w:pPr>
        <w:rPr>
          <w:sz w:val="24"/>
          <w:szCs w:val="28"/>
        </w:rPr>
      </w:pPr>
    </w:p>
    <w:p w14:paraId="1DB34419" w14:textId="0AD369B7" w:rsidR="00791A58" w:rsidRPr="00590D23" w:rsidRDefault="00791A58" w:rsidP="00791A58">
      <w:pPr>
        <w:rPr>
          <w:sz w:val="24"/>
          <w:szCs w:val="28"/>
        </w:rPr>
      </w:pPr>
      <w:r w:rsidRPr="00590D23">
        <w:rPr>
          <w:sz w:val="24"/>
          <w:szCs w:val="28"/>
        </w:rPr>
        <w:t xml:space="preserve">Les 23 propositions du rapport ont été soumises à concertation entre août et septembre 2025. Toutes ne sont pas de nature réglementaire. Les recommandations de nature réglementaire auxquelles il est proposé de donner suite visent notamment à ne pas mettre les maîtres </w:t>
      </w:r>
      <w:proofErr w:type="gramStart"/>
      <w:r w:rsidRPr="00590D23">
        <w:rPr>
          <w:sz w:val="24"/>
          <w:szCs w:val="28"/>
        </w:rPr>
        <w:t>d’ouvrage</w:t>
      </w:r>
      <w:proofErr w:type="gramEnd"/>
      <w:r w:rsidRPr="00590D23">
        <w:rPr>
          <w:sz w:val="24"/>
          <w:szCs w:val="28"/>
        </w:rPr>
        <w:t xml:space="preserve"> en situation de renoncer à des enjeux de qualité d’usage (espaces extérieurs, hauteur sous plafond), à la meilleure prise en compte de l’adaptation des bâtiments aux vagues de chaleur partout sur le territoire et à la simplification des surélévations et des IGH.</w:t>
      </w:r>
    </w:p>
    <w:p w14:paraId="01483326" w14:textId="77777777" w:rsidR="00791A58" w:rsidRPr="00590D23" w:rsidRDefault="00791A58" w:rsidP="00791A58">
      <w:pPr>
        <w:rPr>
          <w:sz w:val="24"/>
          <w:szCs w:val="28"/>
        </w:rPr>
      </w:pPr>
    </w:p>
    <w:p w14:paraId="49DEF7E5" w14:textId="28A631DB" w:rsidR="00791A58" w:rsidRPr="00590D23" w:rsidRDefault="00791A58" w:rsidP="00791A58">
      <w:pPr>
        <w:rPr>
          <w:sz w:val="24"/>
          <w:szCs w:val="28"/>
        </w:rPr>
      </w:pPr>
      <w:r w:rsidRPr="00590D23">
        <w:rPr>
          <w:sz w:val="24"/>
          <w:szCs w:val="28"/>
        </w:rPr>
        <w:t>Les dispositions du projet de décret résultent des concertations menées et du travail technique réalisé par la DHUP en lien avec le CSTB. Elles visent à :</w:t>
      </w:r>
    </w:p>
    <w:p w14:paraId="09D8E3CA" w14:textId="47E34FC8" w:rsidR="00791A58" w:rsidRPr="00590D23" w:rsidRDefault="00791A58" w:rsidP="00590D23">
      <w:pPr>
        <w:pStyle w:val="Paragraphedeliste"/>
        <w:numPr>
          <w:ilvl w:val="0"/>
          <w:numId w:val="17"/>
        </w:numPr>
        <w:rPr>
          <w:sz w:val="24"/>
          <w:szCs w:val="28"/>
        </w:rPr>
      </w:pPr>
      <w:proofErr w:type="gramStart"/>
      <w:r w:rsidRPr="00590D23">
        <w:rPr>
          <w:sz w:val="24"/>
          <w:szCs w:val="28"/>
        </w:rPr>
        <w:t>introduire</w:t>
      </w:r>
      <w:proofErr w:type="gramEnd"/>
      <w:r w:rsidRPr="00590D23">
        <w:rPr>
          <w:sz w:val="24"/>
          <w:szCs w:val="28"/>
        </w:rPr>
        <w:t xml:space="preserve"> une modulation permettant que, à partir d’une certaine « quantité » de balcons/loggias/terrasses en épannelage, le seuil soit rehaussé de manière à compenser les impacts en termes de contenu carbone de ces surfaces d’agrément. Il s’agirait d’une modulation se déclenchant si le cumul des surfaces d’agréments dépasse 15% de la surface de référence du logement ;</w:t>
      </w:r>
    </w:p>
    <w:p w14:paraId="60A761EC" w14:textId="36A3C068" w:rsidR="00791A58" w:rsidRPr="00590D23" w:rsidRDefault="00791A58" w:rsidP="00590D23">
      <w:pPr>
        <w:pStyle w:val="Paragraphedeliste"/>
        <w:numPr>
          <w:ilvl w:val="0"/>
          <w:numId w:val="17"/>
        </w:numPr>
        <w:rPr>
          <w:sz w:val="24"/>
          <w:szCs w:val="28"/>
        </w:rPr>
      </w:pPr>
      <w:proofErr w:type="gramStart"/>
      <w:r w:rsidRPr="00590D23">
        <w:rPr>
          <w:sz w:val="24"/>
          <w:szCs w:val="28"/>
        </w:rPr>
        <w:t>introduire</w:t>
      </w:r>
      <w:proofErr w:type="gramEnd"/>
      <w:r w:rsidRPr="00590D23">
        <w:rPr>
          <w:sz w:val="24"/>
          <w:szCs w:val="28"/>
        </w:rPr>
        <w:t xml:space="preserve"> une modulation selon la hauteur sous plafond moyenne du bâtiment, de manière à compenser les impacts dus à la hauteur plus élevée ;</w:t>
      </w:r>
    </w:p>
    <w:p w14:paraId="106474A7" w14:textId="3B892431" w:rsidR="00791A58" w:rsidRPr="00590D23" w:rsidRDefault="00791A58" w:rsidP="00590D23">
      <w:pPr>
        <w:pStyle w:val="Paragraphedeliste"/>
        <w:numPr>
          <w:ilvl w:val="0"/>
          <w:numId w:val="17"/>
        </w:numPr>
        <w:rPr>
          <w:sz w:val="24"/>
          <w:szCs w:val="28"/>
        </w:rPr>
      </w:pPr>
      <w:proofErr w:type="gramStart"/>
      <w:r w:rsidRPr="00590D23">
        <w:rPr>
          <w:sz w:val="24"/>
          <w:szCs w:val="28"/>
        </w:rPr>
        <w:t>adapter</w:t>
      </w:r>
      <w:proofErr w:type="gramEnd"/>
      <w:r w:rsidRPr="00590D23">
        <w:rPr>
          <w:sz w:val="24"/>
          <w:szCs w:val="28"/>
        </w:rPr>
        <w:t xml:space="preserve"> les exigences de contenu carbone de la construction pour les immeubles de grande hauteur, qui apparaissent trop difficiles à atteindre au regard des autres contraintes, notamment relatives à la sécurité incendie, qui pèsent sur ces bâtiments. Cela passe, d’une part, par l’ajout d’une modulation pour le seuil 2025 et, d’autre part, par la réduction de l’ambition de la trajectoire de décarbonation pour 2028 et 2031 pour ces bâtiments ;</w:t>
      </w:r>
    </w:p>
    <w:p w14:paraId="78DBDCF1" w14:textId="2A3F899B" w:rsidR="00791A58" w:rsidRPr="00590D23" w:rsidRDefault="00791A58" w:rsidP="00590D23">
      <w:pPr>
        <w:pStyle w:val="Paragraphedeliste"/>
        <w:numPr>
          <w:ilvl w:val="0"/>
          <w:numId w:val="17"/>
        </w:numPr>
        <w:rPr>
          <w:sz w:val="24"/>
          <w:szCs w:val="28"/>
        </w:rPr>
      </w:pPr>
      <w:proofErr w:type="gramStart"/>
      <w:r w:rsidRPr="00590D23">
        <w:rPr>
          <w:sz w:val="24"/>
          <w:szCs w:val="28"/>
        </w:rPr>
        <w:lastRenderedPageBreak/>
        <w:t>faciliter</w:t>
      </w:r>
      <w:proofErr w:type="gramEnd"/>
      <w:r w:rsidRPr="00590D23">
        <w:rPr>
          <w:sz w:val="24"/>
          <w:szCs w:val="28"/>
        </w:rPr>
        <w:t xml:space="preserve"> l’usage de la climatisation lorsque le système de chauffage est imposé (réseau de chaleur urbaine classé) en créant une modulation du seuil carbone pour les bâtiments raccordés à un réseau de chaleur urbaine (RCU) classé et installant un système de refroidissement (pour les logements collectifs), afin de compenser le poids carbone de l’installation de froid ;</w:t>
      </w:r>
    </w:p>
    <w:p w14:paraId="22AE7770" w14:textId="5A2FDCDF" w:rsidR="00652C2B" w:rsidRPr="00590D23" w:rsidRDefault="00791A58" w:rsidP="00590D23">
      <w:pPr>
        <w:pStyle w:val="Paragraphedeliste"/>
        <w:numPr>
          <w:ilvl w:val="0"/>
          <w:numId w:val="17"/>
        </w:numPr>
        <w:rPr>
          <w:sz w:val="24"/>
          <w:szCs w:val="28"/>
        </w:rPr>
      </w:pPr>
      <w:proofErr w:type="gramStart"/>
      <w:r w:rsidRPr="00590D23">
        <w:rPr>
          <w:sz w:val="24"/>
          <w:szCs w:val="28"/>
        </w:rPr>
        <w:t>adapter</w:t>
      </w:r>
      <w:proofErr w:type="gramEnd"/>
      <w:r w:rsidRPr="00590D23">
        <w:rPr>
          <w:sz w:val="24"/>
          <w:szCs w:val="28"/>
        </w:rPr>
        <w:t xml:space="preserve"> les exigences énergétiques pour les surélévations d’une surface inférieure à 30% de la surface initiale du bâtiment pour toutes les typologies hors maison individuelle.</w:t>
      </w:r>
      <w:r w:rsidR="007D3BE9" w:rsidRPr="00590D23">
        <w:rPr>
          <w:sz w:val="24"/>
          <w:szCs w:val="28"/>
        </w:rPr>
        <w:t xml:space="preserve"> Les adaptations sont précisé</w:t>
      </w:r>
      <w:r w:rsidR="00AF4AC4" w:rsidRPr="00590D23">
        <w:rPr>
          <w:sz w:val="24"/>
          <w:szCs w:val="28"/>
        </w:rPr>
        <w:t>e</w:t>
      </w:r>
      <w:r w:rsidR="007D3BE9" w:rsidRPr="00590D23">
        <w:rPr>
          <w:sz w:val="24"/>
          <w:szCs w:val="28"/>
        </w:rPr>
        <w:t>s dans l’arrêté.</w:t>
      </w:r>
    </w:p>
    <w:p w14:paraId="2C03DE83" w14:textId="77777777" w:rsidR="00652C2B" w:rsidRPr="00590D23" w:rsidRDefault="00652C2B" w:rsidP="00791A58">
      <w:pPr>
        <w:rPr>
          <w:sz w:val="24"/>
          <w:szCs w:val="28"/>
        </w:rPr>
      </w:pPr>
    </w:p>
    <w:p w14:paraId="1994E1ED" w14:textId="2C8CC219" w:rsidR="007371BE" w:rsidRPr="00590D23" w:rsidRDefault="007371BE" w:rsidP="007371BE">
      <w:pPr>
        <w:rPr>
          <w:sz w:val="24"/>
          <w:szCs w:val="28"/>
        </w:rPr>
      </w:pPr>
      <w:bookmarkStart w:id="0" w:name="_Hlk218859680"/>
      <w:r w:rsidRPr="00590D23">
        <w:rPr>
          <w:sz w:val="24"/>
          <w:szCs w:val="28"/>
        </w:rPr>
        <w:t xml:space="preserve">Au sein du code de la construction et de l’habitation, </w:t>
      </w:r>
      <w:r w:rsidR="00AF4AC4" w:rsidRPr="00590D23">
        <w:rPr>
          <w:sz w:val="24"/>
          <w:szCs w:val="28"/>
        </w:rPr>
        <w:t>l</w:t>
      </w:r>
      <w:r w:rsidRPr="00590D23">
        <w:rPr>
          <w:sz w:val="24"/>
          <w:szCs w:val="28"/>
        </w:rPr>
        <w:t>e projet de décret modifie :</w:t>
      </w:r>
    </w:p>
    <w:p w14:paraId="051A02D3" w14:textId="7DFF9123" w:rsidR="007371BE" w:rsidRPr="00590D23" w:rsidRDefault="001633FD" w:rsidP="007371BE">
      <w:pPr>
        <w:pStyle w:val="Paragraphedeliste"/>
        <w:numPr>
          <w:ilvl w:val="0"/>
          <w:numId w:val="11"/>
        </w:numPr>
        <w:rPr>
          <w:sz w:val="24"/>
          <w:szCs w:val="28"/>
        </w:rPr>
      </w:pPr>
      <w:r w:rsidRPr="00590D23">
        <w:rPr>
          <w:sz w:val="24"/>
          <w:szCs w:val="28"/>
        </w:rPr>
        <w:t>L’article</w:t>
      </w:r>
      <w:r w:rsidR="007371BE" w:rsidRPr="00590D23">
        <w:rPr>
          <w:sz w:val="24"/>
          <w:szCs w:val="28"/>
        </w:rPr>
        <w:t xml:space="preserve"> R172-3 relatif à la fixation d’exigences adaptées pour les constructions et extensions de petite surface ;</w:t>
      </w:r>
    </w:p>
    <w:p w14:paraId="53FCED30" w14:textId="2EFEFD1E" w:rsidR="007371BE" w:rsidRPr="00590D23" w:rsidRDefault="001633FD" w:rsidP="007371BE">
      <w:pPr>
        <w:pStyle w:val="Paragraphedeliste"/>
        <w:numPr>
          <w:ilvl w:val="0"/>
          <w:numId w:val="11"/>
        </w:numPr>
        <w:rPr>
          <w:sz w:val="24"/>
          <w:szCs w:val="28"/>
        </w:rPr>
      </w:pPr>
      <w:r w:rsidRPr="00590D23">
        <w:rPr>
          <w:sz w:val="24"/>
          <w:szCs w:val="28"/>
        </w:rPr>
        <w:t>L’annexe</w:t>
      </w:r>
      <w:r w:rsidR="007371BE" w:rsidRPr="00590D23">
        <w:rPr>
          <w:sz w:val="24"/>
          <w:szCs w:val="28"/>
        </w:rPr>
        <w:t xml:space="preserve"> de l’article R. 172-4 qui précise la méthode de calcul et définit les exigences pour les indicateurs réglementaires de la RE2020.</w:t>
      </w:r>
    </w:p>
    <w:p w14:paraId="5E618A7F" w14:textId="77777777" w:rsidR="00AF4AC4" w:rsidRPr="00590D23" w:rsidRDefault="00AF4AC4" w:rsidP="00AF4AC4">
      <w:pPr>
        <w:rPr>
          <w:sz w:val="24"/>
          <w:szCs w:val="28"/>
        </w:rPr>
      </w:pPr>
    </w:p>
    <w:p w14:paraId="07413F0B" w14:textId="5F0B1F2C" w:rsidR="00AF4AC4" w:rsidRPr="00590D23" w:rsidRDefault="00AF4AC4" w:rsidP="00AF4AC4">
      <w:pPr>
        <w:rPr>
          <w:sz w:val="24"/>
        </w:rPr>
      </w:pPr>
      <w:r w:rsidRPr="00590D23">
        <w:rPr>
          <w:sz w:val="24"/>
          <w:szCs w:val="28"/>
        </w:rPr>
        <w:t xml:space="preserve">Le projet d’arrêté modifie l’article 50-3 de l’arrêté du 4 août 2021 relatif aux exigences de performance énergétique et environnementale des constructions de bâtiments en France métropolitaine et portant approbation de la méthode de calcul prévue à l'article R. 172-6 du </w:t>
      </w:r>
      <w:r w:rsidRPr="00590D23">
        <w:rPr>
          <w:sz w:val="24"/>
        </w:rPr>
        <w:t>code de la construction et de l'habitation.</w:t>
      </w:r>
    </w:p>
    <w:bookmarkEnd w:id="0"/>
    <w:p w14:paraId="4E8590E9" w14:textId="77777777" w:rsidR="007371BE" w:rsidRDefault="007371BE" w:rsidP="00433EE0"/>
    <w:p w14:paraId="00000015" w14:textId="77777777" w:rsidR="00D03470" w:rsidRDefault="00D03470" w:rsidP="00542D49"/>
    <w:p w14:paraId="00000016" w14:textId="2645D16D" w:rsidR="00D03470" w:rsidRDefault="00543FAD" w:rsidP="00542D49">
      <w:pPr>
        <w:pStyle w:val="Titre2"/>
      </w:pPr>
      <w:r>
        <w:t xml:space="preserve">Contenu </w:t>
      </w:r>
      <w:r w:rsidR="0068281D">
        <w:t>du décret</w:t>
      </w:r>
    </w:p>
    <w:p w14:paraId="0B9605BE" w14:textId="34911F72" w:rsidR="00AF7BED" w:rsidRDefault="00AF7BED" w:rsidP="00542D49">
      <w:pPr>
        <w:rPr>
          <w:b/>
        </w:rPr>
      </w:pPr>
    </w:p>
    <w:p w14:paraId="36D5521E" w14:textId="5F019A21" w:rsidR="00A37E71" w:rsidRPr="004717A6" w:rsidRDefault="00AC2FA3" w:rsidP="00542D49">
      <w:pPr>
        <w:rPr>
          <w:sz w:val="24"/>
          <w:szCs w:val="28"/>
        </w:rPr>
      </w:pPr>
      <w:bookmarkStart w:id="1" w:name="_Hlk218859714"/>
      <w:r w:rsidRPr="004717A6">
        <w:rPr>
          <w:b/>
          <w:sz w:val="24"/>
          <w:szCs w:val="28"/>
        </w:rPr>
        <w:t xml:space="preserve">L’article </w:t>
      </w:r>
      <w:r w:rsidR="001B2B08" w:rsidRPr="004717A6">
        <w:rPr>
          <w:b/>
          <w:sz w:val="24"/>
          <w:szCs w:val="28"/>
        </w:rPr>
        <w:t>1</w:t>
      </w:r>
      <w:r w:rsidR="001B2B08" w:rsidRPr="004717A6">
        <w:rPr>
          <w:b/>
          <w:sz w:val="24"/>
          <w:szCs w:val="28"/>
          <w:vertAlign w:val="superscript"/>
        </w:rPr>
        <w:t>er</w:t>
      </w:r>
      <w:r w:rsidRPr="004717A6">
        <w:rPr>
          <w:b/>
          <w:sz w:val="24"/>
          <w:szCs w:val="28"/>
        </w:rPr>
        <w:t xml:space="preserve"> </w:t>
      </w:r>
      <w:r w:rsidRPr="004717A6">
        <w:rPr>
          <w:sz w:val="24"/>
          <w:szCs w:val="28"/>
        </w:rPr>
        <w:t xml:space="preserve">modifie le R. 172-3 </w:t>
      </w:r>
      <w:r w:rsidR="00336404" w:rsidRPr="004717A6">
        <w:rPr>
          <w:sz w:val="24"/>
          <w:szCs w:val="28"/>
        </w:rPr>
        <w:t xml:space="preserve">du code de la construction </w:t>
      </w:r>
      <w:r w:rsidRPr="004717A6">
        <w:rPr>
          <w:sz w:val="24"/>
          <w:szCs w:val="28"/>
        </w:rPr>
        <w:t xml:space="preserve">afin de permettre, pour les </w:t>
      </w:r>
      <w:r w:rsidR="00336404" w:rsidRPr="004717A6">
        <w:rPr>
          <w:sz w:val="24"/>
          <w:szCs w:val="28"/>
        </w:rPr>
        <w:t>surélévations de bâtiments existants</w:t>
      </w:r>
      <w:r w:rsidR="00FD5694" w:rsidRPr="004717A6">
        <w:rPr>
          <w:sz w:val="24"/>
          <w:szCs w:val="28"/>
        </w:rPr>
        <w:t>, la fixation d’</w:t>
      </w:r>
      <w:r w:rsidRPr="004717A6">
        <w:rPr>
          <w:sz w:val="24"/>
          <w:szCs w:val="28"/>
        </w:rPr>
        <w:t>exigence</w:t>
      </w:r>
      <w:r w:rsidR="00FD5694" w:rsidRPr="004717A6">
        <w:rPr>
          <w:sz w:val="24"/>
          <w:szCs w:val="28"/>
        </w:rPr>
        <w:t>s alternatives</w:t>
      </w:r>
      <w:r w:rsidRPr="004717A6">
        <w:rPr>
          <w:sz w:val="24"/>
          <w:szCs w:val="28"/>
        </w:rPr>
        <w:t xml:space="preserve"> en remplacement des résultats minimaux fixés à l'article R. 172-4 du code de la c</w:t>
      </w:r>
      <w:r w:rsidR="00336404" w:rsidRPr="004717A6">
        <w:rPr>
          <w:sz w:val="24"/>
          <w:szCs w:val="28"/>
        </w:rPr>
        <w:t>onstruction et de l'habitation.</w:t>
      </w:r>
      <w:r w:rsidR="00193B14" w:rsidRPr="004717A6">
        <w:rPr>
          <w:sz w:val="24"/>
          <w:szCs w:val="28"/>
        </w:rPr>
        <w:t xml:space="preserve"> Il vise à permettre, dans un second temps, de définir des exigences alternatives par arrêté, </w:t>
      </w:r>
      <w:bookmarkStart w:id="2" w:name="_Hlk218072742"/>
      <w:r w:rsidR="00193B14" w:rsidRPr="004717A6">
        <w:rPr>
          <w:sz w:val="24"/>
          <w:szCs w:val="28"/>
        </w:rPr>
        <w:t xml:space="preserve">pour </w:t>
      </w:r>
      <w:r w:rsidR="00A37E71" w:rsidRPr="004717A6">
        <w:rPr>
          <w:sz w:val="24"/>
          <w:szCs w:val="28"/>
        </w:rPr>
        <w:t>les surélévations</w:t>
      </w:r>
      <w:r w:rsidR="007D7507" w:rsidRPr="004717A6">
        <w:rPr>
          <w:sz w:val="24"/>
          <w:szCs w:val="28"/>
        </w:rPr>
        <w:t xml:space="preserve"> dont la surface représente moins de 30% de la surface initiale du bâtiment et pour les surélévations de moins de 150m² quelle que soit leur taille par rapport au bâtiment existant :</w:t>
      </w:r>
    </w:p>
    <w:p w14:paraId="5B8D20BD" w14:textId="77777777" w:rsidR="00A37E71" w:rsidRPr="004717A6" w:rsidRDefault="00A37E71" w:rsidP="00A37E71">
      <w:pPr>
        <w:pStyle w:val="Paragraphedeliste"/>
        <w:numPr>
          <w:ilvl w:val="0"/>
          <w:numId w:val="11"/>
        </w:numPr>
        <w:rPr>
          <w:sz w:val="24"/>
          <w:szCs w:val="28"/>
        </w:rPr>
      </w:pPr>
      <w:r w:rsidRPr="004717A6">
        <w:rPr>
          <w:sz w:val="24"/>
          <w:szCs w:val="28"/>
        </w:rPr>
        <w:t>Les opérations de faible ampleur (jusqu’à 50 m²), soumises à des exigences de moyens,</w:t>
      </w:r>
    </w:p>
    <w:p w14:paraId="7E8C8016" w14:textId="0DAE171F" w:rsidR="00A37E71" w:rsidRPr="004717A6" w:rsidRDefault="00A37E71" w:rsidP="00A37E71">
      <w:pPr>
        <w:pStyle w:val="Paragraphedeliste"/>
        <w:numPr>
          <w:ilvl w:val="0"/>
          <w:numId w:val="11"/>
        </w:numPr>
        <w:rPr>
          <w:sz w:val="24"/>
          <w:szCs w:val="28"/>
        </w:rPr>
      </w:pPr>
      <w:r w:rsidRPr="004717A6">
        <w:rPr>
          <w:sz w:val="24"/>
          <w:szCs w:val="28"/>
        </w:rPr>
        <w:t xml:space="preserve">Les surélévations intermédiaires (50 à </w:t>
      </w:r>
      <w:r w:rsidR="007D7507" w:rsidRPr="004717A6">
        <w:rPr>
          <w:sz w:val="24"/>
          <w:szCs w:val="28"/>
        </w:rPr>
        <w:t>15</w:t>
      </w:r>
      <w:r w:rsidRPr="004717A6">
        <w:rPr>
          <w:sz w:val="24"/>
          <w:szCs w:val="28"/>
        </w:rPr>
        <w:t xml:space="preserve">0 m²), soumises à des exigences de moyens ou de résultats (Bbio, DH, </w:t>
      </w:r>
      <w:proofErr w:type="spellStart"/>
      <w:r w:rsidRPr="004717A6">
        <w:rPr>
          <w:sz w:val="24"/>
          <w:szCs w:val="28"/>
        </w:rPr>
        <w:t>Ic</w:t>
      </w:r>
      <w:proofErr w:type="spellEnd"/>
      <w:r w:rsidRPr="004717A6">
        <w:rPr>
          <w:sz w:val="24"/>
          <w:szCs w:val="28"/>
        </w:rPr>
        <w:t xml:space="preserve"> énergie) en fonction de la proportion de la surélévation par rapport au bâtiment existant,</w:t>
      </w:r>
    </w:p>
    <w:p w14:paraId="6AB9C737" w14:textId="42B2AC76" w:rsidR="007D7507" w:rsidRPr="004717A6" w:rsidRDefault="007D7507" w:rsidP="00A37E71">
      <w:pPr>
        <w:pStyle w:val="Paragraphedeliste"/>
        <w:numPr>
          <w:ilvl w:val="0"/>
          <w:numId w:val="11"/>
        </w:numPr>
        <w:rPr>
          <w:sz w:val="24"/>
          <w:szCs w:val="28"/>
        </w:rPr>
      </w:pPr>
      <w:r w:rsidRPr="004717A6">
        <w:rPr>
          <w:sz w:val="24"/>
          <w:szCs w:val="28"/>
        </w:rPr>
        <w:t>Les surélévations d’une surface inférieure à 30% de la surface du bâtiment initial, soumises à des exigences de résultats et de moyens adaptées,</w:t>
      </w:r>
    </w:p>
    <w:p w14:paraId="0BBA965F" w14:textId="76113869" w:rsidR="00A37E71" w:rsidRPr="004717A6" w:rsidRDefault="00A37E71" w:rsidP="00A37E71">
      <w:pPr>
        <w:pStyle w:val="Paragraphedeliste"/>
        <w:numPr>
          <w:ilvl w:val="0"/>
          <w:numId w:val="11"/>
        </w:numPr>
        <w:rPr>
          <w:sz w:val="24"/>
          <w:szCs w:val="28"/>
        </w:rPr>
      </w:pPr>
      <w:r w:rsidRPr="004717A6">
        <w:rPr>
          <w:sz w:val="24"/>
          <w:szCs w:val="28"/>
        </w:rPr>
        <w:t xml:space="preserve">Et les opérations plus importantes (au-delà de </w:t>
      </w:r>
      <w:r w:rsidR="007D7507" w:rsidRPr="004717A6">
        <w:rPr>
          <w:sz w:val="24"/>
          <w:szCs w:val="28"/>
        </w:rPr>
        <w:t>15</w:t>
      </w:r>
      <w:r w:rsidRPr="004717A6">
        <w:rPr>
          <w:sz w:val="24"/>
          <w:szCs w:val="28"/>
        </w:rPr>
        <w:t>0 m²</w:t>
      </w:r>
      <w:r w:rsidR="007D7507" w:rsidRPr="004717A6">
        <w:rPr>
          <w:sz w:val="24"/>
          <w:szCs w:val="28"/>
        </w:rPr>
        <w:t xml:space="preserve"> et d’une surface supérieure à 30% de la surface du bâtiment initial</w:t>
      </w:r>
      <w:r w:rsidRPr="004717A6">
        <w:rPr>
          <w:sz w:val="24"/>
          <w:szCs w:val="28"/>
        </w:rPr>
        <w:t>), soumises à application complète de la RE2020</w:t>
      </w:r>
      <w:r w:rsidR="00193B14" w:rsidRPr="004717A6">
        <w:rPr>
          <w:sz w:val="24"/>
          <w:szCs w:val="28"/>
        </w:rPr>
        <w:t>.</w:t>
      </w:r>
    </w:p>
    <w:bookmarkEnd w:id="2"/>
    <w:p w14:paraId="18656A6F" w14:textId="7BF7B796" w:rsidR="00AC2FA3" w:rsidRPr="004717A6" w:rsidRDefault="00A37E71" w:rsidP="00A37E71">
      <w:pPr>
        <w:rPr>
          <w:sz w:val="24"/>
          <w:szCs w:val="28"/>
        </w:rPr>
      </w:pPr>
      <w:r w:rsidRPr="004717A6">
        <w:rPr>
          <w:sz w:val="24"/>
          <w:szCs w:val="28"/>
        </w:rPr>
        <w:t>Ces exigences correspondent à celles déjà prévues par la réglementation en vigueur, adaptées par modulation des seuils de surface et de la part de la surélévation dans le bâtiment existant, sans création de nouvelles exigences.</w:t>
      </w:r>
    </w:p>
    <w:p w14:paraId="0FE28D8B" w14:textId="77777777" w:rsidR="00AC2FA3" w:rsidRPr="004717A6" w:rsidRDefault="00AC2FA3" w:rsidP="00542D49">
      <w:pPr>
        <w:rPr>
          <w:sz w:val="24"/>
          <w:szCs w:val="28"/>
        </w:rPr>
      </w:pPr>
    </w:p>
    <w:p w14:paraId="6C32B463" w14:textId="3F6F81AA" w:rsidR="00AF7BED" w:rsidRPr="004717A6" w:rsidRDefault="00F27A1A" w:rsidP="00542D49">
      <w:pPr>
        <w:rPr>
          <w:sz w:val="24"/>
          <w:szCs w:val="28"/>
        </w:rPr>
      </w:pPr>
      <w:r w:rsidRPr="004717A6">
        <w:rPr>
          <w:b/>
          <w:sz w:val="24"/>
          <w:szCs w:val="28"/>
        </w:rPr>
        <w:t xml:space="preserve">L’article </w:t>
      </w:r>
      <w:r w:rsidR="00336404" w:rsidRPr="004717A6">
        <w:rPr>
          <w:b/>
          <w:sz w:val="24"/>
          <w:szCs w:val="28"/>
        </w:rPr>
        <w:t>2</w:t>
      </w:r>
      <w:r w:rsidR="00AC2FA3" w:rsidRPr="004717A6">
        <w:rPr>
          <w:b/>
          <w:sz w:val="24"/>
          <w:szCs w:val="28"/>
        </w:rPr>
        <w:t xml:space="preserve"> </w:t>
      </w:r>
      <w:r w:rsidRPr="004717A6">
        <w:rPr>
          <w:sz w:val="24"/>
          <w:szCs w:val="28"/>
        </w:rPr>
        <w:t>modifie l’annexe de l’article R172-4 du code de la construction et de l’habitation de la manière</w:t>
      </w:r>
      <w:r w:rsidR="001633FD" w:rsidRPr="004717A6">
        <w:rPr>
          <w:sz w:val="24"/>
          <w:szCs w:val="28"/>
        </w:rPr>
        <w:t>, afin :</w:t>
      </w:r>
    </w:p>
    <w:p w14:paraId="33CE3DB6" w14:textId="7DDA4FDF" w:rsidR="001633FD" w:rsidRPr="004717A6" w:rsidRDefault="001633FD" w:rsidP="001633FD">
      <w:pPr>
        <w:pStyle w:val="Paragraphedeliste"/>
        <w:numPr>
          <w:ilvl w:val="0"/>
          <w:numId w:val="11"/>
        </w:numPr>
        <w:rPr>
          <w:sz w:val="24"/>
          <w:szCs w:val="28"/>
        </w:rPr>
      </w:pPr>
      <w:r w:rsidRPr="004717A6">
        <w:rPr>
          <w:sz w:val="24"/>
          <w:szCs w:val="28"/>
        </w:rPr>
        <w:t>D’introduire les définitions de surface d’agrément extérieur et de hauteur sous plafond moyenne</w:t>
      </w:r>
      <w:r w:rsidR="00C5311A" w:rsidRPr="004717A6">
        <w:rPr>
          <w:sz w:val="24"/>
          <w:szCs w:val="28"/>
        </w:rPr>
        <w:t> ;</w:t>
      </w:r>
    </w:p>
    <w:p w14:paraId="19816CD8" w14:textId="4B79837B" w:rsidR="00F27A1A" w:rsidRPr="004717A6" w:rsidRDefault="001633FD" w:rsidP="00A31AFB">
      <w:pPr>
        <w:pStyle w:val="Paragraphedeliste"/>
        <w:numPr>
          <w:ilvl w:val="0"/>
          <w:numId w:val="11"/>
        </w:numPr>
        <w:rPr>
          <w:sz w:val="24"/>
          <w:szCs w:val="28"/>
        </w:rPr>
      </w:pPr>
      <w:r w:rsidRPr="004717A6">
        <w:rPr>
          <w:sz w:val="24"/>
          <w:szCs w:val="28"/>
        </w:rPr>
        <w:t xml:space="preserve">D’introduire des modulations de l’indicateur </w:t>
      </w:r>
      <w:proofErr w:type="spellStart"/>
      <w:r w:rsidRPr="004717A6">
        <w:rPr>
          <w:sz w:val="24"/>
          <w:szCs w:val="28"/>
        </w:rPr>
        <w:t>Icconstruction</w:t>
      </w:r>
      <w:proofErr w:type="spellEnd"/>
      <w:r w:rsidRPr="004717A6">
        <w:rPr>
          <w:sz w:val="24"/>
          <w:szCs w:val="28"/>
        </w:rPr>
        <w:t xml:space="preserve"> relatives à la hauteur sous plafond</w:t>
      </w:r>
      <w:r w:rsidR="00A31AFB" w:rsidRPr="004717A6">
        <w:rPr>
          <w:sz w:val="24"/>
          <w:szCs w:val="28"/>
        </w:rPr>
        <w:t xml:space="preserve"> et à</w:t>
      </w:r>
      <w:r w:rsidRPr="004717A6">
        <w:rPr>
          <w:sz w:val="24"/>
          <w:szCs w:val="28"/>
        </w:rPr>
        <w:t xml:space="preserve"> la présence de surfaces extérieures d’agrément qualitatives</w:t>
      </w:r>
      <w:r w:rsidR="00A31AFB" w:rsidRPr="004717A6">
        <w:rPr>
          <w:sz w:val="24"/>
          <w:szCs w:val="28"/>
        </w:rPr>
        <w:t xml:space="preserve"> pour les bâtiments </w:t>
      </w:r>
      <w:r w:rsidR="00A31AFB" w:rsidRPr="004717A6">
        <w:rPr>
          <w:sz w:val="24"/>
          <w:szCs w:val="28"/>
        </w:rPr>
        <w:lastRenderedPageBreak/>
        <w:t>résidentiels</w:t>
      </w:r>
      <w:r w:rsidRPr="004717A6">
        <w:rPr>
          <w:sz w:val="24"/>
          <w:szCs w:val="28"/>
        </w:rPr>
        <w:t xml:space="preserve">, et à l’installation de climatisation pour </w:t>
      </w:r>
      <w:r w:rsidR="00A31AFB" w:rsidRPr="004717A6">
        <w:rPr>
          <w:sz w:val="24"/>
          <w:szCs w:val="28"/>
        </w:rPr>
        <w:t xml:space="preserve">tous </w:t>
      </w:r>
      <w:r w:rsidRPr="004717A6">
        <w:rPr>
          <w:sz w:val="24"/>
          <w:szCs w:val="28"/>
        </w:rPr>
        <w:t>les bâtiments neufs assujettis au raccordement à un réseau de chaleur urbain</w:t>
      </w:r>
      <w:r w:rsidR="00A60E36" w:rsidRPr="004717A6">
        <w:rPr>
          <w:sz w:val="24"/>
          <w:szCs w:val="28"/>
        </w:rPr>
        <w:t>, qui ne peuvent donc se doter d’un système de pompe à chaleur pour le chauffage et le refroidissement sans nécessité d’équipement supplémentaire</w:t>
      </w:r>
      <w:r w:rsidRPr="004717A6">
        <w:rPr>
          <w:sz w:val="24"/>
          <w:szCs w:val="28"/>
        </w:rPr>
        <w:t>.</w:t>
      </w:r>
    </w:p>
    <w:p w14:paraId="5D5FF8F8" w14:textId="5D1B7427" w:rsidR="00C5311A" w:rsidRPr="004717A6" w:rsidRDefault="00A31AFB" w:rsidP="00C5311A">
      <w:pPr>
        <w:pStyle w:val="Paragraphedeliste"/>
        <w:numPr>
          <w:ilvl w:val="0"/>
          <w:numId w:val="11"/>
        </w:numPr>
        <w:rPr>
          <w:sz w:val="24"/>
          <w:szCs w:val="28"/>
        </w:rPr>
      </w:pPr>
      <w:r w:rsidRPr="004717A6">
        <w:rPr>
          <w:sz w:val="24"/>
          <w:szCs w:val="28"/>
        </w:rPr>
        <w:t xml:space="preserve">De modifier la valeur du coefficient </w:t>
      </w:r>
      <w:proofErr w:type="spellStart"/>
      <w:r w:rsidRPr="004717A6">
        <w:rPr>
          <w:sz w:val="24"/>
          <w:szCs w:val="28"/>
        </w:rPr>
        <w:t>Misurf_tot</w:t>
      </w:r>
      <w:proofErr w:type="spellEnd"/>
      <w:r w:rsidRPr="004717A6">
        <w:rPr>
          <w:sz w:val="24"/>
          <w:szCs w:val="28"/>
        </w:rPr>
        <w:t xml:space="preserve"> de modulation de l’indicateur </w:t>
      </w:r>
      <w:proofErr w:type="spellStart"/>
      <w:r w:rsidRPr="004717A6">
        <w:rPr>
          <w:sz w:val="24"/>
          <w:szCs w:val="28"/>
        </w:rPr>
        <w:t>Icconstruction</w:t>
      </w:r>
      <w:proofErr w:type="spellEnd"/>
      <w:r w:rsidRPr="004717A6">
        <w:rPr>
          <w:sz w:val="24"/>
          <w:szCs w:val="28"/>
        </w:rPr>
        <w:t xml:space="preserve"> dans le cas des immeubles de grande hauteur afin de prendre en compte leurs spécificités techniques</w:t>
      </w:r>
      <w:r w:rsidR="00C5311A" w:rsidRPr="004717A6">
        <w:rPr>
          <w:sz w:val="24"/>
          <w:szCs w:val="28"/>
        </w:rPr>
        <w:t xml:space="preserve">, et augmenter ainsi les seuils 2025 </w:t>
      </w:r>
      <w:bookmarkStart w:id="3" w:name="_Hlk218072807"/>
      <w:r w:rsidR="00605890" w:rsidRPr="004717A6">
        <w:rPr>
          <w:sz w:val="24"/>
          <w:szCs w:val="28"/>
        </w:rPr>
        <w:t>et suivants. Les seuils 2028 et 2031 sont adaptés par ailleurs.</w:t>
      </w:r>
      <w:bookmarkEnd w:id="3"/>
    </w:p>
    <w:p w14:paraId="0143D7A9" w14:textId="1D8A8A0E" w:rsidR="003C4532" w:rsidRPr="004717A6" w:rsidRDefault="003C4532" w:rsidP="00C5311A">
      <w:pPr>
        <w:pStyle w:val="Paragraphedeliste"/>
        <w:numPr>
          <w:ilvl w:val="0"/>
          <w:numId w:val="11"/>
        </w:numPr>
        <w:rPr>
          <w:sz w:val="24"/>
          <w:szCs w:val="28"/>
        </w:rPr>
      </w:pPr>
      <w:r w:rsidRPr="004717A6">
        <w:rPr>
          <w:sz w:val="24"/>
          <w:szCs w:val="28"/>
        </w:rPr>
        <w:t xml:space="preserve">D’introduire des modulations des indicateurs Bbio, Cep, </w:t>
      </w:r>
      <w:proofErr w:type="spellStart"/>
      <w:proofErr w:type="gramStart"/>
      <w:r w:rsidRPr="004717A6">
        <w:rPr>
          <w:sz w:val="24"/>
          <w:szCs w:val="28"/>
        </w:rPr>
        <w:t>Cep,nr</w:t>
      </w:r>
      <w:proofErr w:type="spellEnd"/>
      <w:proofErr w:type="gramEnd"/>
      <w:r w:rsidRPr="004717A6">
        <w:rPr>
          <w:sz w:val="24"/>
          <w:szCs w:val="28"/>
        </w:rPr>
        <w:t xml:space="preserve"> et </w:t>
      </w:r>
      <w:proofErr w:type="spellStart"/>
      <w:r w:rsidRPr="004717A6">
        <w:rPr>
          <w:sz w:val="24"/>
          <w:szCs w:val="28"/>
        </w:rPr>
        <w:t>Ic_energie</w:t>
      </w:r>
      <w:proofErr w:type="spellEnd"/>
      <w:r w:rsidRPr="004717A6">
        <w:rPr>
          <w:sz w:val="24"/>
          <w:szCs w:val="28"/>
        </w:rPr>
        <w:t xml:space="preserve"> relatives à la hauteur sous plafond moyenne pour les bâtiments résidentiels.</w:t>
      </w:r>
    </w:p>
    <w:p w14:paraId="1255E476" w14:textId="1B01FEB4" w:rsidR="00104669" w:rsidRPr="004717A6" w:rsidRDefault="00104669" w:rsidP="0068281D">
      <w:pPr>
        <w:rPr>
          <w:sz w:val="24"/>
          <w:szCs w:val="28"/>
        </w:rPr>
      </w:pPr>
    </w:p>
    <w:p w14:paraId="0000001E" w14:textId="439F4C53" w:rsidR="00D03470" w:rsidRPr="004717A6" w:rsidRDefault="00543FAD" w:rsidP="00542D49">
      <w:pPr>
        <w:rPr>
          <w:sz w:val="24"/>
          <w:szCs w:val="28"/>
        </w:rPr>
      </w:pPr>
      <w:r w:rsidRPr="004717A6">
        <w:rPr>
          <w:b/>
          <w:sz w:val="24"/>
          <w:szCs w:val="28"/>
        </w:rPr>
        <w:t xml:space="preserve">L’article </w:t>
      </w:r>
      <w:r w:rsidR="00110BC1" w:rsidRPr="004717A6">
        <w:rPr>
          <w:b/>
          <w:sz w:val="24"/>
          <w:szCs w:val="28"/>
        </w:rPr>
        <w:t>3</w:t>
      </w:r>
      <w:r w:rsidR="000F09EC" w:rsidRPr="004717A6">
        <w:rPr>
          <w:sz w:val="24"/>
          <w:szCs w:val="28"/>
        </w:rPr>
        <w:t xml:space="preserve"> </w:t>
      </w:r>
      <w:r w:rsidRPr="004717A6">
        <w:rPr>
          <w:sz w:val="24"/>
          <w:szCs w:val="28"/>
        </w:rPr>
        <w:t xml:space="preserve">définit les conditions d’entrée en vigueur </w:t>
      </w:r>
      <w:r w:rsidR="00C807BA" w:rsidRPr="004717A6">
        <w:rPr>
          <w:sz w:val="24"/>
          <w:szCs w:val="28"/>
        </w:rPr>
        <w:t>d</w:t>
      </w:r>
      <w:r w:rsidR="00BE0416" w:rsidRPr="004717A6">
        <w:rPr>
          <w:sz w:val="24"/>
          <w:szCs w:val="28"/>
        </w:rPr>
        <w:t>u décret</w:t>
      </w:r>
      <w:r w:rsidR="00C807BA" w:rsidRPr="004717A6">
        <w:rPr>
          <w:sz w:val="24"/>
          <w:szCs w:val="28"/>
        </w:rPr>
        <w:t xml:space="preserve">, </w:t>
      </w:r>
      <w:r w:rsidR="00C807BA" w:rsidRPr="004717A6">
        <w:rPr>
          <w:i/>
          <w:sz w:val="24"/>
          <w:szCs w:val="28"/>
        </w:rPr>
        <w:t>i.e.</w:t>
      </w:r>
      <w:r w:rsidR="00C807BA" w:rsidRPr="004717A6">
        <w:rPr>
          <w:sz w:val="24"/>
          <w:szCs w:val="28"/>
        </w:rPr>
        <w:t xml:space="preserve"> le </w:t>
      </w:r>
      <w:r w:rsidR="00652C2B" w:rsidRPr="004717A6">
        <w:rPr>
          <w:sz w:val="24"/>
          <w:szCs w:val="28"/>
        </w:rPr>
        <w:t>1</w:t>
      </w:r>
      <w:r w:rsidR="00652C2B" w:rsidRPr="004717A6">
        <w:rPr>
          <w:sz w:val="24"/>
          <w:szCs w:val="28"/>
          <w:vertAlign w:val="superscript"/>
        </w:rPr>
        <w:t>er</w:t>
      </w:r>
      <w:r w:rsidR="00652C2B" w:rsidRPr="004717A6">
        <w:rPr>
          <w:sz w:val="24"/>
          <w:szCs w:val="28"/>
        </w:rPr>
        <w:t xml:space="preserve"> </w:t>
      </w:r>
      <w:r w:rsidR="00EE4D0F" w:rsidRPr="004717A6">
        <w:rPr>
          <w:sz w:val="24"/>
          <w:szCs w:val="28"/>
        </w:rPr>
        <w:t>juillet</w:t>
      </w:r>
      <w:r w:rsidR="00652C2B" w:rsidRPr="004717A6">
        <w:rPr>
          <w:sz w:val="24"/>
          <w:szCs w:val="28"/>
        </w:rPr>
        <w:t xml:space="preserve"> 2026</w:t>
      </w:r>
    </w:p>
    <w:p w14:paraId="3DC90FC0" w14:textId="77777777" w:rsidR="00104669" w:rsidRPr="004717A6" w:rsidRDefault="00104669" w:rsidP="00542D49">
      <w:pPr>
        <w:rPr>
          <w:b/>
          <w:sz w:val="24"/>
          <w:szCs w:val="28"/>
        </w:rPr>
      </w:pPr>
    </w:p>
    <w:p w14:paraId="59EC8D29" w14:textId="1965D0A0" w:rsidR="00C807BA" w:rsidRPr="004717A6" w:rsidRDefault="008E53FB" w:rsidP="00542D49">
      <w:pPr>
        <w:rPr>
          <w:sz w:val="24"/>
          <w:szCs w:val="28"/>
        </w:rPr>
      </w:pPr>
      <w:r w:rsidRPr="004717A6">
        <w:rPr>
          <w:b/>
          <w:sz w:val="24"/>
          <w:szCs w:val="28"/>
        </w:rPr>
        <w:t xml:space="preserve">L’article </w:t>
      </w:r>
      <w:r w:rsidR="00110BC1" w:rsidRPr="004717A6">
        <w:rPr>
          <w:b/>
          <w:sz w:val="24"/>
          <w:szCs w:val="28"/>
        </w:rPr>
        <w:t>4</w:t>
      </w:r>
      <w:r w:rsidR="000F09EC" w:rsidRPr="004717A6">
        <w:rPr>
          <w:b/>
          <w:sz w:val="24"/>
          <w:szCs w:val="28"/>
        </w:rPr>
        <w:t xml:space="preserve"> </w:t>
      </w:r>
      <w:r w:rsidR="00C807BA" w:rsidRPr="004717A6">
        <w:rPr>
          <w:sz w:val="24"/>
          <w:szCs w:val="28"/>
        </w:rPr>
        <w:t>est l’article d’exécution.</w:t>
      </w:r>
    </w:p>
    <w:p w14:paraId="72015A72" w14:textId="38F7BCD4" w:rsidR="007D3BE9" w:rsidRPr="00590D23" w:rsidRDefault="007D3BE9" w:rsidP="00542D49">
      <w:pPr>
        <w:rPr>
          <w:sz w:val="24"/>
          <w:szCs w:val="28"/>
        </w:rPr>
      </w:pPr>
    </w:p>
    <w:p w14:paraId="7C093D8A" w14:textId="4BF682B3" w:rsidR="007D3BE9" w:rsidRDefault="007D3BE9" w:rsidP="007D3BE9">
      <w:pPr>
        <w:pStyle w:val="Titre2"/>
      </w:pPr>
      <w:r>
        <w:t>Contenu de l’arrêté</w:t>
      </w:r>
    </w:p>
    <w:p w14:paraId="4B00E9F0" w14:textId="7D1B7F04" w:rsidR="007D3BE9" w:rsidRDefault="007D3BE9" w:rsidP="007D3BE9"/>
    <w:p w14:paraId="22E4ACB3" w14:textId="3BA04628" w:rsidR="007D3BE9" w:rsidRPr="004717A6" w:rsidRDefault="007D3BE9" w:rsidP="007D3BE9">
      <w:pPr>
        <w:rPr>
          <w:sz w:val="24"/>
          <w:szCs w:val="28"/>
        </w:rPr>
      </w:pPr>
      <w:r w:rsidRPr="004717A6">
        <w:rPr>
          <w:b/>
          <w:bCs/>
          <w:sz w:val="24"/>
          <w:szCs w:val="28"/>
        </w:rPr>
        <w:t>L’article 1</w:t>
      </w:r>
      <w:r w:rsidRPr="004717A6">
        <w:rPr>
          <w:b/>
          <w:bCs/>
          <w:sz w:val="24"/>
          <w:szCs w:val="28"/>
          <w:vertAlign w:val="superscript"/>
        </w:rPr>
        <w:t>er</w:t>
      </w:r>
      <w:r w:rsidRPr="004717A6">
        <w:rPr>
          <w:sz w:val="24"/>
          <w:szCs w:val="28"/>
        </w:rPr>
        <w:t xml:space="preserve"> introduit de nouvelles exigences adaptées pour les surélévations de bâtiment.</w:t>
      </w:r>
    </w:p>
    <w:p w14:paraId="0EB037B0" w14:textId="19551589" w:rsidR="007D3BE9" w:rsidRPr="004717A6" w:rsidRDefault="007D3BE9" w:rsidP="007D3BE9">
      <w:pPr>
        <w:rPr>
          <w:sz w:val="24"/>
          <w:szCs w:val="28"/>
        </w:rPr>
      </w:pPr>
    </w:p>
    <w:p w14:paraId="7027DDE4" w14:textId="08302D4F" w:rsidR="007D3BE9" w:rsidRPr="004717A6" w:rsidRDefault="007D3BE9" w:rsidP="007D3BE9">
      <w:pPr>
        <w:rPr>
          <w:sz w:val="24"/>
          <w:szCs w:val="28"/>
        </w:rPr>
      </w:pPr>
      <w:r w:rsidRPr="004717A6">
        <w:rPr>
          <w:b/>
          <w:bCs/>
          <w:sz w:val="24"/>
          <w:szCs w:val="28"/>
        </w:rPr>
        <w:t>L’article 2</w:t>
      </w:r>
      <w:r w:rsidRPr="004717A6">
        <w:rPr>
          <w:sz w:val="24"/>
          <w:szCs w:val="28"/>
        </w:rPr>
        <w:t xml:space="preserve"> définit les conditions d’entrée en vigueur de l’arrêté, </w:t>
      </w:r>
      <w:r w:rsidRPr="004717A6">
        <w:rPr>
          <w:i/>
          <w:iCs/>
          <w:sz w:val="24"/>
          <w:szCs w:val="28"/>
        </w:rPr>
        <w:t>i.e.</w:t>
      </w:r>
      <w:r w:rsidRPr="004717A6">
        <w:rPr>
          <w:sz w:val="24"/>
          <w:szCs w:val="28"/>
        </w:rPr>
        <w:t xml:space="preserve"> le 1</w:t>
      </w:r>
      <w:r w:rsidRPr="004717A6">
        <w:rPr>
          <w:sz w:val="24"/>
          <w:szCs w:val="28"/>
          <w:vertAlign w:val="superscript"/>
        </w:rPr>
        <w:t>er</w:t>
      </w:r>
      <w:r w:rsidRPr="004717A6">
        <w:rPr>
          <w:sz w:val="24"/>
          <w:szCs w:val="28"/>
        </w:rPr>
        <w:t xml:space="preserve"> </w:t>
      </w:r>
      <w:r w:rsidR="00EE4D0F" w:rsidRPr="004717A6">
        <w:rPr>
          <w:sz w:val="24"/>
          <w:szCs w:val="28"/>
        </w:rPr>
        <w:t>juillet</w:t>
      </w:r>
      <w:r w:rsidRPr="004717A6">
        <w:rPr>
          <w:sz w:val="24"/>
          <w:szCs w:val="28"/>
        </w:rPr>
        <w:t xml:space="preserve"> 2026</w:t>
      </w:r>
    </w:p>
    <w:p w14:paraId="6079BE9F" w14:textId="3992C343" w:rsidR="007D3BE9" w:rsidRPr="004717A6" w:rsidRDefault="007D3BE9" w:rsidP="007D3BE9">
      <w:pPr>
        <w:rPr>
          <w:sz w:val="24"/>
          <w:szCs w:val="28"/>
        </w:rPr>
      </w:pPr>
    </w:p>
    <w:p w14:paraId="4E59B196" w14:textId="5AD41DC5" w:rsidR="007D3BE9" w:rsidRPr="004717A6" w:rsidRDefault="007D3BE9" w:rsidP="007D3BE9">
      <w:pPr>
        <w:rPr>
          <w:sz w:val="24"/>
          <w:szCs w:val="28"/>
        </w:rPr>
      </w:pPr>
      <w:r w:rsidRPr="004717A6">
        <w:rPr>
          <w:b/>
          <w:bCs/>
          <w:sz w:val="24"/>
          <w:szCs w:val="28"/>
        </w:rPr>
        <w:t>L’article 3</w:t>
      </w:r>
      <w:r w:rsidRPr="004717A6">
        <w:rPr>
          <w:sz w:val="24"/>
          <w:szCs w:val="28"/>
        </w:rPr>
        <w:t xml:space="preserve"> est l’article d’exécution</w:t>
      </w:r>
    </w:p>
    <w:bookmarkEnd w:id="1"/>
    <w:p w14:paraId="1313DCC5" w14:textId="71C5AC51" w:rsidR="007D3BE9" w:rsidRPr="004717A6" w:rsidRDefault="007D3BE9" w:rsidP="00542D49">
      <w:pPr>
        <w:rPr>
          <w:sz w:val="24"/>
          <w:szCs w:val="28"/>
        </w:rPr>
      </w:pPr>
    </w:p>
    <w:p w14:paraId="47708ADF" w14:textId="438C7922" w:rsidR="004717A6" w:rsidRPr="004717A6" w:rsidRDefault="004717A6" w:rsidP="00542D49">
      <w:pPr>
        <w:rPr>
          <w:sz w:val="24"/>
          <w:szCs w:val="28"/>
        </w:rPr>
      </w:pPr>
    </w:p>
    <w:p w14:paraId="7F0FEB4F" w14:textId="65332D1A" w:rsidR="004717A6" w:rsidRPr="004717A6" w:rsidRDefault="004717A6" w:rsidP="00542D49">
      <w:pPr>
        <w:rPr>
          <w:sz w:val="24"/>
          <w:szCs w:val="28"/>
        </w:rPr>
      </w:pPr>
      <w:r w:rsidRPr="004717A6">
        <w:rPr>
          <w:sz w:val="24"/>
          <w:szCs w:val="28"/>
        </w:rPr>
        <w:t xml:space="preserve">Ces projets de texte sont soumis à la consultation du public sur le fondement de l’article </w:t>
      </w:r>
      <w:r w:rsidRPr="004717A6">
        <w:rPr>
          <w:sz w:val="24"/>
          <w:szCs w:val="28"/>
        </w:rPr>
        <w:t>L. 123-19-1 du code de l’environnement</w:t>
      </w:r>
    </w:p>
    <w:sectPr w:rsidR="004717A6" w:rsidRPr="004717A6">
      <w:foot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323B" w14:textId="77777777" w:rsidR="00781A02" w:rsidRDefault="00781A02" w:rsidP="00542D49">
      <w:r>
        <w:separator/>
      </w:r>
    </w:p>
    <w:p w14:paraId="62A4E9A8" w14:textId="77777777" w:rsidR="00781A02" w:rsidRDefault="00781A02" w:rsidP="00542D49"/>
  </w:endnote>
  <w:endnote w:type="continuationSeparator" w:id="0">
    <w:p w14:paraId="2B33AFB7" w14:textId="77777777" w:rsidR="00781A02" w:rsidRDefault="00781A02" w:rsidP="00542D49">
      <w:r>
        <w:continuationSeparator/>
      </w:r>
    </w:p>
    <w:p w14:paraId="78E8C4F0" w14:textId="77777777" w:rsidR="00781A02" w:rsidRDefault="00781A02" w:rsidP="00542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3462B363" w:rsidR="003454A1" w:rsidRDefault="003454A1" w:rsidP="00542D49">
    <w:r>
      <w:fldChar w:fldCharType="begin"/>
    </w:r>
    <w:r>
      <w:instrText>PAGE</w:instrText>
    </w:r>
    <w:r>
      <w:fldChar w:fldCharType="separate"/>
    </w:r>
    <w:r w:rsidR="00A01969">
      <w:rPr>
        <w:noProof/>
      </w:rPr>
      <w:t>1</w:t>
    </w:r>
    <w:r>
      <w:fldChar w:fldCharType="end"/>
    </w:r>
  </w:p>
  <w:p w14:paraId="40DB1C49" w14:textId="77777777" w:rsidR="003454A1" w:rsidRDefault="003454A1" w:rsidP="00542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2DB2" w14:textId="77777777" w:rsidR="00781A02" w:rsidRDefault="00781A02" w:rsidP="00542D49">
      <w:r>
        <w:separator/>
      </w:r>
    </w:p>
    <w:p w14:paraId="4EDBE92B" w14:textId="77777777" w:rsidR="00781A02" w:rsidRDefault="00781A02" w:rsidP="00542D49"/>
  </w:footnote>
  <w:footnote w:type="continuationSeparator" w:id="0">
    <w:p w14:paraId="6C33A20D" w14:textId="77777777" w:rsidR="00781A02" w:rsidRDefault="00781A02" w:rsidP="00542D49">
      <w:r>
        <w:continuationSeparator/>
      </w:r>
    </w:p>
    <w:p w14:paraId="13DCCB48" w14:textId="77777777" w:rsidR="00781A02" w:rsidRDefault="00781A02" w:rsidP="00542D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7F"/>
    <w:multiLevelType w:val="multilevel"/>
    <w:tmpl w:val="47AA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376DAD"/>
    <w:multiLevelType w:val="hybridMultilevel"/>
    <w:tmpl w:val="BDF63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8C4312"/>
    <w:multiLevelType w:val="hybridMultilevel"/>
    <w:tmpl w:val="A89AA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9B2408"/>
    <w:multiLevelType w:val="hybridMultilevel"/>
    <w:tmpl w:val="B2142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BB1817"/>
    <w:multiLevelType w:val="multilevel"/>
    <w:tmpl w:val="C3AC3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C806B4"/>
    <w:multiLevelType w:val="multilevel"/>
    <w:tmpl w:val="118CAC88"/>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28B7170"/>
    <w:multiLevelType w:val="multilevel"/>
    <w:tmpl w:val="66703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3C6B16"/>
    <w:multiLevelType w:val="hybridMultilevel"/>
    <w:tmpl w:val="DDA6C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AA55B3"/>
    <w:multiLevelType w:val="hybridMultilevel"/>
    <w:tmpl w:val="F09C246E"/>
    <w:lvl w:ilvl="0" w:tplc="9028B6B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1AD73B9"/>
    <w:multiLevelType w:val="multilevel"/>
    <w:tmpl w:val="AE9C4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7437A6"/>
    <w:multiLevelType w:val="multilevel"/>
    <w:tmpl w:val="1CF40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65C1B"/>
    <w:multiLevelType w:val="hybridMultilevel"/>
    <w:tmpl w:val="A0429368"/>
    <w:lvl w:ilvl="0" w:tplc="9028B6B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A80CDE"/>
    <w:multiLevelType w:val="hybridMultilevel"/>
    <w:tmpl w:val="B70E4B1C"/>
    <w:lvl w:ilvl="0" w:tplc="9028B6BC">
      <w:start w:val="1"/>
      <w:numFmt w:val="upperRoman"/>
      <w:lvlText w:val="%1°"/>
      <w:lvlJc w:val="left"/>
      <w:pPr>
        <w:ind w:left="720" w:hanging="360"/>
      </w:pPr>
      <w:rPr>
        <w:rFonts w:hint="default"/>
      </w:rPr>
    </w:lvl>
    <w:lvl w:ilvl="1" w:tplc="CE44ACA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793788"/>
    <w:multiLevelType w:val="hybridMultilevel"/>
    <w:tmpl w:val="6CBAB6E0"/>
    <w:lvl w:ilvl="0" w:tplc="D1BCC2E6">
      <w:numFmt w:val="bullet"/>
      <w:lvlText w:val="-"/>
      <w:lvlJc w:val="left"/>
      <w:pPr>
        <w:ind w:left="430" w:hanging="43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67709F6"/>
    <w:multiLevelType w:val="hybridMultilevel"/>
    <w:tmpl w:val="004CE028"/>
    <w:lvl w:ilvl="0" w:tplc="472E44A6">
      <w:numFmt w:val="bullet"/>
      <w:lvlText w:val="-"/>
      <w:lvlJc w:val="left"/>
      <w:pPr>
        <w:ind w:left="792" w:hanging="432"/>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3C7D41"/>
    <w:multiLevelType w:val="hybridMultilevel"/>
    <w:tmpl w:val="F4A06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8E4C87"/>
    <w:multiLevelType w:val="hybridMultilevel"/>
    <w:tmpl w:val="3AC0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10"/>
  </w:num>
  <w:num w:numId="6">
    <w:abstractNumId w:val="5"/>
  </w:num>
  <w:num w:numId="7">
    <w:abstractNumId w:val="11"/>
  </w:num>
  <w:num w:numId="8">
    <w:abstractNumId w:val="8"/>
  </w:num>
  <w:num w:numId="9">
    <w:abstractNumId w:val="12"/>
  </w:num>
  <w:num w:numId="10">
    <w:abstractNumId w:val="1"/>
  </w:num>
  <w:num w:numId="11">
    <w:abstractNumId w:val="13"/>
  </w:num>
  <w:num w:numId="12">
    <w:abstractNumId w:val="16"/>
  </w:num>
  <w:num w:numId="13">
    <w:abstractNumId w:val="2"/>
  </w:num>
  <w:num w:numId="14">
    <w:abstractNumId w:val="15"/>
  </w:num>
  <w:num w:numId="15">
    <w:abstractNumId w:val="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0"/>
    <w:rsid w:val="00012B0C"/>
    <w:rsid w:val="00033074"/>
    <w:rsid w:val="000C06F9"/>
    <w:rsid w:val="000F09EC"/>
    <w:rsid w:val="000F7930"/>
    <w:rsid w:val="00104669"/>
    <w:rsid w:val="00110BC1"/>
    <w:rsid w:val="00111232"/>
    <w:rsid w:val="001431E7"/>
    <w:rsid w:val="00155117"/>
    <w:rsid w:val="001633FD"/>
    <w:rsid w:val="00166CDF"/>
    <w:rsid w:val="00193B14"/>
    <w:rsid w:val="001B2B08"/>
    <w:rsid w:val="001D29D4"/>
    <w:rsid w:val="00217A07"/>
    <w:rsid w:val="00235E1B"/>
    <w:rsid w:val="002467D6"/>
    <w:rsid w:val="00247EBA"/>
    <w:rsid w:val="002934F1"/>
    <w:rsid w:val="00327E16"/>
    <w:rsid w:val="00336404"/>
    <w:rsid w:val="003454A1"/>
    <w:rsid w:val="0035199A"/>
    <w:rsid w:val="00353BE9"/>
    <w:rsid w:val="00356F04"/>
    <w:rsid w:val="003C4532"/>
    <w:rsid w:val="00416501"/>
    <w:rsid w:val="004234E0"/>
    <w:rsid w:val="00433EE0"/>
    <w:rsid w:val="004717A6"/>
    <w:rsid w:val="0049439C"/>
    <w:rsid w:val="004C196B"/>
    <w:rsid w:val="004C53DF"/>
    <w:rsid w:val="00542D49"/>
    <w:rsid w:val="00543FAD"/>
    <w:rsid w:val="005558BC"/>
    <w:rsid w:val="005757DA"/>
    <w:rsid w:val="00590D23"/>
    <w:rsid w:val="005B24CD"/>
    <w:rsid w:val="00602202"/>
    <w:rsid w:val="00605890"/>
    <w:rsid w:val="0062453B"/>
    <w:rsid w:val="00631D9A"/>
    <w:rsid w:val="00637A02"/>
    <w:rsid w:val="00652670"/>
    <w:rsid w:val="00652C2B"/>
    <w:rsid w:val="00656B7E"/>
    <w:rsid w:val="006644C8"/>
    <w:rsid w:val="0068281D"/>
    <w:rsid w:val="00690EAB"/>
    <w:rsid w:val="006C2350"/>
    <w:rsid w:val="007254AD"/>
    <w:rsid w:val="007371BE"/>
    <w:rsid w:val="00781A02"/>
    <w:rsid w:val="00784D47"/>
    <w:rsid w:val="00791A58"/>
    <w:rsid w:val="00794322"/>
    <w:rsid w:val="0079519A"/>
    <w:rsid w:val="007D0E30"/>
    <w:rsid w:val="007D3BE9"/>
    <w:rsid w:val="007D7507"/>
    <w:rsid w:val="007F086A"/>
    <w:rsid w:val="00807BA2"/>
    <w:rsid w:val="00823831"/>
    <w:rsid w:val="00824D9F"/>
    <w:rsid w:val="00832C79"/>
    <w:rsid w:val="0084065F"/>
    <w:rsid w:val="00845E42"/>
    <w:rsid w:val="008B1A73"/>
    <w:rsid w:val="008C4B67"/>
    <w:rsid w:val="008C6F73"/>
    <w:rsid w:val="008E203A"/>
    <w:rsid w:val="008E53FB"/>
    <w:rsid w:val="00912BAB"/>
    <w:rsid w:val="00956CFE"/>
    <w:rsid w:val="0097077E"/>
    <w:rsid w:val="009762E2"/>
    <w:rsid w:val="0098131A"/>
    <w:rsid w:val="009E6169"/>
    <w:rsid w:val="00A01969"/>
    <w:rsid w:val="00A31AFB"/>
    <w:rsid w:val="00A344EE"/>
    <w:rsid w:val="00A37E71"/>
    <w:rsid w:val="00A60E36"/>
    <w:rsid w:val="00AC10CA"/>
    <w:rsid w:val="00AC2FA3"/>
    <w:rsid w:val="00AF4AC4"/>
    <w:rsid w:val="00AF7BED"/>
    <w:rsid w:val="00B544EE"/>
    <w:rsid w:val="00B6631D"/>
    <w:rsid w:val="00BE0416"/>
    <w:rsid w:val="00BE0D80"/>
    <w:rsid w:val="00C269CA"/>
    <w:rsid w:val="00C27B0D"/>
    <w:rsid w:val="00C5311A"/>
    <w:rsid w:val="00C807BA"/>
    <w:rsid w:val="00CA1B47"/>
    <w:rsid w:val="00CD6E41"/>
    <w:rsid w:val="00D03470"/>
    <w:rsid w:val="00D4678D"/>
    <w:rsid w:val="00D50667"/>
    <w:rsid w:val="00D56335"/>
    <w:rsid w:val="00DA3D7D"/>
    <w:rsid w:val="00DF51A5"/>
    <w:rsid w:val="00E3253F"/>
    <w:rsid w:val="00E41B6B"/>
    <w:rsid w:val="00E84D32"/>
    <w:rsid w:val="00E97DA5"/>
    <w:rsid w:val="00EB3EB4"/>
    <w:rsid w:val="00ED2C37"/>
    <w:rsid w:val="00EE4D0F"/>
    <w:rsid w:val="00F020A1"/>
    <w:rsid w:val="00F20800"/>
    <w:rsid w:val="00F27A1A"/>
    <w:rsid w:val="00F37C9C"/>
    <w:rsid w:val="00F40CFC"/>
    <w:rsid w:val="00F765A7"/>
    <w:rsid w:val="00FD5694"/>
    <w:rsid w:val="00FE02C8"/>
    <w:rsid w:val="00FF73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FCCA"/>
  <w15:docId w15:val="{EE3EAF3A-A803-4067-9C8C-2A0A435D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1A5"/>
    <w:pPr>
      <w:tabs>
        <w:tab w:val="left" w:pos="426"/>
      </w:tabs>
      <w:spacing w:after="0"/>
      <w:jc w:val="both"/>
    </w:pPr>
    <w:rPr>
      <w:rFonts w:ascii="Times New Roman" w:eastAsia="Times New Roman" w:hAnsi="Times New Roman" w:cs="Times New Roman"/>
      <w:szCs w:val="24"/>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Paragraphedeliste"/>
    <w:next w:val="Normal"/>
    <w:link w:val="Titre2Car"/>
    <w:uiPriority w:val="9"/>
    <w:unhideWhenUsed/>
    <w:qFormat/>
    <w:rsid w:val="00542D49"/>
    <w:pPr>
      <w:numPr>
        <w:numId w:val="6"/>
      </w:numPr>
      <w:outlineLvl w:val="1"/>
    </w:pPr>
    <w:rPr>
      <w:b/>
      <w:iCs/>
      <w:sz w:val="24"/>
      <w:u w:val="single"/>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rsid w:val="00542D49"/>
    <w:pPr>
      <w:jc w:val="center"/>
    </w:pPr>
    <w:rPr>
      <w:b/>
      <w:sz w:val="24"/>
      <w:u w:val="single"/>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4C4240"/>
    <w:pPr>
      <w:ind w:left="720"/>
      <w:contextualSpacing/>
    </w:pPr>
  </w:style>
  <w:style w:type="paragraph" w:styleId="Textedebulles">
    <w:name w:val="Balloon Text"/>
    <w:basedOn w:val="Normal"/>
    <w:link w:val="TextedebullesCar"/>
    <w:uiPriority w:val="99"/>
    <w:semiHidden/>
    <w:unhideWhenUsed/>
    <w:rsid w:val="0023445E"/>
    <w:pPr>
      <w:spacing w:line="240" w:lineRule="auto"/>
    </w:pPr>
    <w:rPr>
      <w:sz w:val="18"/>
      <w:szCs w:val="18"/>
    </w:rPr>
  </w:style>
  <w:style w:type="character" w:customStyle="1" w:styleId="TextedebullesCar">
    <w:name w:val="Texte de bulles Car"/>
    <w:basedOn w:val="Policepardfaut"/>
    <w:link w:val="Textedebulles"/>
    <w:uiPriority w:val="99"/>
    <w:semiHidden/>
    <w:rsid w:val="0023445E"/>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1E6391"/>
    <w:rPr>
      <w:sz w:val="16"/>
      <w:szCs w:val="16"/>
    </w:rPr>
  </w:style>
  <w:style w:type="paragraph" w:styleId="Commentaire">
    <w:name w:val="annotation text"/>
    <w:basedOn w:val="Normal"/>
    <w:link w:val="CommentaireCar"/>
    <w:uiPriority w:val="99"/>
    <w:semiHidden/>
    <w:unhideWhenUsed/>
    <w:rsid w:val="001E6391"/>
    <w:pPr>
      <w:spacing w:line="240" w:lineRule="auto"/>
    </w:pPr>
    <w:rPr>
      <w:sz w:val="20"/>
      <w:szCs w:val="20"/>
    </w:rPr>
  </w:style>
  <w:style w:type="character" w:customStyle="1" w:styleId="CommentaireCar">
    <w:name w:val="Commentaire Car"/>
    <w:basedOn w:val="Policepardfaut"/>
    <w:link w:val="Commentaire"/>
    <w:uiPriority w:val="99"/>
    <w:semiHidden/>
    <w:rsid w:val="001E6391"/>
    <w:rPr>
      <w:sz w:val="20"/>
      <w:szCs w:val="20"/>
    </w:rPr>
  </w:style>
  <w:style w:type="paragraph" w:styleId="Objetducommentaire">
    <w:name w:val="annotation subject"/>
    <w:basedOn w:val="Commentaire"/>
    <w:next w:val="Commentaire"/>
    <w:link w:val="ObjetducommentaireCar"/>
    <w:uiPriority w:val="99"/>
    <w:semiHidden/>
    <w:unhideWhenUsed/>
    <w:rsid w:val="001E6391"/>
    <w:rPr>
      <w:b/>
      <w:bCs/>
    </w:rPr>
  </w:style>
  <w:style w:type="character" w:customStyle="1" w:styleId="ObjetducommentaireCar">
    <w:name w:val="Objet du commentaire Car"/>
    <w:basedOn w:val="CommentaireCar"/>
    <w:link w:val="Objetducommentaire"/>
    <w:uiPriority w:val="99"/>
    <w:semiHidden/>
    <w:rsid w:val="001E6391"/>
    <w:rPr>
      <w:b/>
      <w:bCs/>
      <w:sz w:val="20"/>
      <w:szCs w:val="20"/>
    </w:rPr>
  </w:style>
  <w:style w:type="paragraph" w:styleId="Rvision">
    <w:name w:val="Revision"/>
    <w:hidden/>
    <w:uiPriority w:val="99"/>
    <w:semiHidden/>
    <w:rsid w:val="001E6391"/>
    <w:pPr>
      <w:spacing w:after="0" w:line="240" w:lineRule="auto"/>
    </w:pPr>
  </w:style>
  <w:style w:type="character" w:customStyle="1" w:styleId="Titre2Car">
    <w:name w:val="Titre 2 Car"/>
    <w:basedOn w:val="Policepardfaut"/>
    <w:link w:val="Titre2"/>
    <w:uiPriority w:val="9"/>
    <w:rsid w:val="00542D49"/>
    <w:rPr>
      <w:rFonts w:ascii="Times New Roman" w:eastAsia="Times New Roman" w:hAnsi="Times New Roman" w:cs="Times New Roman"/>
      <w:b/>
      <w:iCs/>
      <w:sz w:val="24"/>
      <w:szCs w:val="24"/>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1633FD"/>
    <w:rPr>
      <w:color w:val="0563C1" w:themeColor="hyperlink"/>
      <w:u w:val="single"/>
    </w:rPr>
  </w:style>
  <w:style w:type="character" w:customStyle="1" w:styleId="Mentionnonrsolue1">
    <w:name w:val="Mention non résolue1"/>
    <w:basedOn w:val="Policepardfaut"/>
    <w:uiPriority w:val="99"/>
    <w:semiHidden/>
    <w:unhideWhenUsed/>
    <w:rsid w:val="001633FD"/>
    <w:rPr>
      <w:color w:val="605E5C"/>
      <w:shd w:val="clear" w:color="auto" w:fill="E1DFDD"/>
    </w:rPr>
  </w:style>
  <w:style w:type="paragraph" w:customStyle="1" w:styleId="SNtitre">
    <w:name w:val="SNtitre"/>
    <w:basedOn w:val="Normal"/>
    <w:next w:val="Normal"/>
    <w:autoRedefine/>
    <w:rsid w:val="007D3BE9"/>
    <w:pPr>
      <w:widowControl w:val="0"/>
      <w:suppressLineNumbers/>
      <w:tabs>
        <w:tab w:val="clear" w:pos="426"/>
      </w:tabs>
      <w:suppressAutoHyphens/>
      <w:spacing w:after="360" w:line="240" w:lineRule="auto"/>
      <w:jc w:val="center"/>
    </w:pPr>
    <w:rPr>
      <w:rFonts w:eastAsia="Lucida Sans Unicod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97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2Y3lav9a5h4zWbzb6R4diDwsg==">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C7A196-55E0-4672-AFC6-B49A2C77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1090</Words>
  <Characters>6001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GIULY Jordan</dc:creator>
  <cp:lastModifiedBy>Brunilde Bachelet (Externe)</cp:lastModifiedBy>
  <cp:revision>4</cp:revision>
  <dcterms:created xsi:type="dcterms:W3CDTF">2026-01-16T16:25:00Z</dcterms:created>
  <dcterms:modified xsi:type="dcterms:W3CDTF">2026-01-16T16:38:00Z</dcterms:modified>
</cp:coreProperties>
</file>