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283F" w14:textId="7C0AFE27" w:rsidR="00B9051A" w:rsidRPr="00241C8D" w:rsidRDefault="00E714BF" w:rsidP="00FD690E">
      <w:pPr>
        <w:jc w:val="center"/>
        <w:rPr>
          <w:rFonts w:ascii="Times New Roman" w:hAnsi="Times New Roman"/>
          <w:b/>
          <w:sz w:val="24"/>
        </w:rPr>
      </w:pPr>
      <w:r w:rsidRPr="00241C8D">
        <w:rPr>
          <w:rFonts w:ascii="Times New Roman" w:hAnsi="Times New Roman" w:cs="Times New Roman"/>
          <w:b/>
          <w:sz w:val="28"/>
        </w:rPr>
        <w:t>Not</w:t>
      </w:r>
      <w:r w:rsidR="00241C8D" w:rsidRPr="00241C8D">
        <w:rPr>
          <w:rFonts w:ascii="Times New Roman" w:hAnsi="Times New Roman" w:cs="Times New Roman"/>
          <w:b/>
          <w:sz w:val="28"/>
        </w:rPr>
        <w:t xml:space="preserve">e de présentation </w:t>
      </w:r>
      <w:r w:rsidR="00DD660C">
        <w:rPr>
          <w:rFonts w:ascii="Times New Roman" w:hAnsi="Times New Roman" w:cs="Times New Roman"/>
          <w:b/>
          <w:sz w:val="28"/>
        </w:rPr>
        <w:t>de l’arrêté</w:t>
      </w:r>
      <w:r w:rsidRPr="00241C8D">
        <w:rPr>
          <w:rFonts w:ascii="Times New Roman" w:hAnsi="Times New Roman" w:cs="Times New Roman"/>
          <w:b/>
          <w:sz w:val="28"/>
        </w:rPr>
        <w:t xml:space="preserve"> </w:t>
      </w:r>
      <w:r w:rsidR="003850D3" w:rsidRPr="003850D3">
        <w:rPr>
          <w:rFonts w:ascii="Times New Roman" w:hAnsi="Times New Roman" w:cs="Times New Roman"/>
          <w:b/>
          <w:sz w:val="28"/>
        </w:rPr>
        <w:t>modifiant l’arrêté du 10 avril 2020 relatif aux obligations d’actions de réduction des consommations d’énergie finale dans des bâtiments à usage tertiaire</w:t>
      </w:r>
    </w:p>
    <w:p w14:paraId="0FCEC5F9" w14:textId="77777777" w:rsidR="00040C25" w:rsidRPr="00040C25" w:rsidRDefault="00040C25" w:rsidP="00B9051A">
      <w:pPr>
        <w:pStyle w:val="m-BlocReference"/>
        <w:rPr>
          <w:rFonts w:ascii="Times New Roman" w:hAnsi="Times New Roman"/>
          <w:sz w:val="24"/>
        </w:rPr>
      </w:pPr>
    </w:p>
    <w:p w14:paraId="7489E13E" w14:textId="5FBE0D2C" w:rsidR="00040C25" w:rsidRDefault="000A63C1" w:rsidP="00B9051A">
      <w:pPr>
        <w:pStyle w:val="m-BlocReference"/>
        <w:rPr>
          <w:rFonts w:ascii="Times New Roman" w:hAnsi="Times New Roman"/>
          <w:bCs/>
          <w:sz w:val="24"/>
        </w:rPr>
      </w:pPr>
      <w:r w:rsidRPr="000A63C1">
        <w:rPr>
          <w:rFonts w:ascii="Times New Roman" w:hAnsi="Times New Roman"/>
          <w:bCs/>
          <w:sz w:val="24"/>
        </w:rPr>
        <w:t xml:space="preserve">La présente consultation se déroulera du </w:t>
      </w:r>
      <w:r w:rsidR="00A46863">
        <w:rPr>
          <w:rFonts w:ascii="Times New Roman" w:hAnsi="Times New Roman"/>
          <w:bCs/>
          <w:sz w:val="24"/>
        </w:rPr>
        <w:t>13 mai 2025 au 3 juin 2025</w:t>
      </w:r>
      <w:r w:rsidRPr="000A63C1">
        <w:rPr>
          <w:rFonts w:ascii="Times New Roman" w:hAnsi="Times New Roman"/>
          <w:bCs/>
          <w:sz w:val="24"/>
        </w:rPr>
        <w:t xml:space="preserve"> inclus. Elle est réalisée en application de l’article L123-19-1 du code de l’environnement.</w:t>
      </w:r>
    </w:p>
    <w:p w14:paraId="0B8E555C" w14:textId="77777777" w:rsidR="000A63C1" w:rsidRDefault="000A63C1" w:rsidP="00B9051A">
      <w:pPr>
        <w:pStyle w:val="m-BlocReference"/>
        <w:rPr>
          <w:rFonts w:ascii="Times New Roman" w:hAnsi="Times New Roman"/>
          <w:b/>
          <w:sz w:val="24"/>
          <w:u w:val="single"/>
        </w:rPr>
      </w:pPr>
    </w:p>
    <w:p w14:paraId="0B99DA6C" w14:textId="555337A0" w:rsidR="00B9051A" w:rsidRPr="0056033E" w:rsidRDefault="00B9051A" w:rsidP="00B9051A">
      <w:pPr>
        <w:pStyle w:val="m-BlocReference"/>
        <w:rPr>
          <w:rFonts w:ascii="Times New Roman" w:hAnsi="Times New Roman"/>
          <w:sz w:val="24"/>
          <w:u w:val="single"/>
        </w:rPr>
      </w:pPr>
      <w:r w:rsidRPr="0056033E">
        <w:rPr>
          <w:rFonts w:ascii="Times New Roman" w:hAnsi="Times New Roman"/>
          <w:b/>
          <w:sz w:val="24"/>
          <w:u w:val="single"/>
        </w:rPr>
        <w:t>Contexte </w:t>
      </w:r>
    </w:p>
    <w:p w14:paraId="58ECEED6" w14:textId="499DB3A1" w:rsidR="00360922" w:rsidRPr="00360922" w:rsidRDefault="00360922" w:rsidP="00360922">
      <w:pPr>
        <w:pStyle w:val="Corpsdetexte"/>
        <w:spacing w:after="0"/>
        <w:rPr>
          <w:rStyle w:val="normal1"/>
        </w:rPr>
      </w:pPr>
      <w:r w:rsidRPr="00360922">
        <w:rPr>
          <w:rStyle w:val="normal1"/>
        </w:rPr>
        <w:t>Le s</w:t>
      </w:r>
      <w:r w:rsidR="001A449F">
        <w:rPr>
          <w:rStyle w:val="normal1"/>
        </w:rPr>
        <w:t>ecteur tertiaire, avec plus de 1 0</w:t>
      </w:r>
      <w:r w:rsidRPr="00360922">
        <w:rPr>
          <w:rStyle w:val="normal1"/>
        </w:rPr>
        <w:t>00 millions de mètres carrés</w:t>
      </w:r>
      <w:r w:rsidR="001A449F">
        <w:rPr>
          <w:rStyle w:val="normal1"/>
        </w:rPr>
        <w:t xml:space="preserve"> de surface de plancher</w:t>
      </w:r>
      <w:r w:rsidRPr="00360922">
        <w:rPr>
          <w:rStyle w:val="normal1"/>
        </w:rPr>
        <w:t>, représente un gisement important d’économie</w:t>
      </w:r>
      <w:r w:rsidR="001A449F">
        <w:rPr>
          <w:rStyle w:val="normal1"/>
        </w:rPr>
        <w:t>s</w:t>
      </w:r>
      <w:r w:rsidRPr="00360922">
        <w:rPr>
          <w:rStyle w:val="normal1"/>
        </w:rPr>
        <w:t xml:space="preserve"> d’énergie.</w:t>
      </w:r>
    </w:p>
    <w:p w14:paraId="14937178" w14:textId="77777777" w:rsidR="00360922" w:rsidRPr="00360922" w:rsidRDefault="00360922" w:rsidP="00360922">
      <w:pPr>
        <w:pStyle w:val="Corpsdetexte"/>
        <w:spacing w:after="0"/>
        <w:rPr>
          <w:rStyle w:val="normal1"/>
        </w:rPr>
      </w:pPr>
    </w:p>
    <w:p w14:paraId="064BF693" w14:textId="26698BE0" w:rsidR="00360922" w:rsidRPr="00360922" w:rsidRDefault="00360922" w:rsidP="001A449F">
      <w:pPr>
        <w:pStyle w:val="Corpsdetexte"/>
        <w:spacing w:after="0"/>
        <w:rPr>
          <w:rStyle w:val="normal1"/>
        </w:rPr>
      </w:pPr>
      <w:r w:rsidRPr="00360922">
        <w:rPr>
          <w:rStyle w:val="normal1"/>
        </w:rPr>
        <w:t xml:space="preserve">La loi n°2018-1021 du 23 novembre 2018 portant évolution du logement, de l’aménagement et du numérique (ELAN – article 175) a modifié l’article L.111-10-3 du code de la construction et de l’habitation portant sur les actions de réduction des consommations d’énergie dans le secteur tertiaire. </w:t>
      </w:r>
    </w:p>
    <w:p w14:paraId="2B3F2671" w14:textId="77777777" w:rsidR="00360922" w:rsidRPr="00360922" w:rsidRDefault="00360922" w:rsidP="00360922">
      <w:pPr>
        <w:pStyle w:val="Corpsdetexte"/>
        <w:spacing w:after="0"/>
        <w:rPr>
          <w:rStyle w:val="normal1"/>
        </w:rPr>
      </w:pPr>
    </w:p>
    <w:p w14:paraId="30B28A01" w14:textId="7FF6C7E9" w:rsidR="00360922" w:rsidRPr="00360922" w:rsidRDefault="00360922" w:rsidP="00360922">
      <w:pPr>
        <w:pStyle w:val="Corpsdetexte"/>
        <w:spacing w:after="0"/>
        <w:rPr>
          <w:rStyle w:val="normal1"/>
        </w:rPr>
      </w:pPr>
      <w:r w:rsidRPr="00360922">
        <w:rPr>
          <w:rStyle w:val="normal1"/>
        </w:rPr>
        <w:t xml:space="preserve">Les travaux de concertation se sont poursuivis pour l’élaboration de l’arrêté qui précise les modalités d’application de l’obligation d’actions de réduction des consommations d’énergie dans des bâtiments à usage tertiaire. </w:t>
      </w:r>
      <w:r w:rsidR="00DA75D5" w:rsidRPr="00DA75D5">
        <w:rPr>
          <w:rStyle w:val="normal1"/>
        </w:rPr>
        <w:t>Suite à quatre arrêtés pris en 2020, 2022, 2023 et 2024 (modifiant l'arrêté initial du 10 avril 2020), l</w:t>
      </w:r>
      <w:r w:rsidR="00DA75D5">
        <w:rPr>
          <w:rStyle w:val="normal1"/>
        </w:rPr>
        <w:t>a plupart des</w:t>
      </w:r>
      <w:r w:rsidR="00DA75D5" w:rsidRPr="00DA75D5">
        <w:rPr>
          <w:rStyle w:val="normal1"/>
        </w:rPr>
        <w:t xml:space="preserve"> secteurs dispos</w:t>
      </w:r>
      <w:r w:rsidR="00DA75D5">
        <w:rPr>
          <w:rStyle w:val="normal1"/>
        </w:rPr>
        <w:t>e</w:t>
      </w:r>
      <w:r w:rsidR="00DA75D5" w:rsidRPr="00DA75D5">
        <w:rPr>
          <w:rStyle w:val="normal1"/>
        </w:rPr>
        <w:t xml:space="preserve">nt déjà d'objectifs réglementaires en valeur absolue, pour un total d’environ 80% des consommations et surfaces tertiaires assujetties. </w:t>
      </w:r>
    </w:p>
    <w:p w14:paraId="4C6510BE" w14:textId="374F5F48" w:rsidR="00360922" w:rsidRDefault="00360922" w:rsidP="00360922">
      <w:pPr>
        <w:pStyle w:val="Corpsdetexte"/>
        <w:spacing w:after="0"/>
        <w:rPr>
          <w:rStyle w:val="normal1"/>
        </w:rPr>
      </w:pPr>
    </w:p>
    <w:p w14:paraId="7B071D07" w14:textId="6A4EB93B" w:rsidR="003850D3" w:rsidRPr="0056033E" w:rsidRDefault="003850D3" w:rsidP="00360922">
      <w:pPr>
        <w:pStyle w:val="Corpsdetexte"/>
        <w:spacing w:after="0"/>
        <w:rPr>
          <w:rStyle w:val="normal1"/>
          <w:b/>
          <w:u w:val="single"/>
        </w:rPr>
      </w:pPr>
      <w:r w:rsidRPr="0056033E">
        <w:rPr>
          <w:rStyle w:val="normal1"/>
          <w:b/>
          <w:u w:val="single"/>
        </w:rPr>
        <w:t>Objet du projet d’arrêté</w:t>
      </w:r>
    </w:p>
    <w:p w14:paraId="65F4DAA5" w14:textId="26B12EC1" w:rsidR="00DA75D5" w:rsidRDefault="00360922" w:rsidP="00360922">
      <w:pPr>
        <w:pStyle w:val="Corpsdetexte"/>
        <w:spacing w:after="0"/>
        <w:rPr>
          <w:rStyle w:val="normal1"/>
        </w:rPr>
      </w:pPr>
      <w:r w:rsidRPr="0056033E">
        <w:rPr>
          <w:rStyle w:val="normal1"/>
          <w:b/>
        </w:rPr>
        <w:t xml:space="preserve">Le présent </w:t>
      </w:r>
      <w:r w:rsidR="003850D3" w:rsidRPr="0056033E">
        <w:rPr>
          <w:rStyle w:val="normal1"/>
          <w:b/>
        </w:rPr>
        <w:t>projet d’</w:t>
      </w:r>
      <w:r w:rsidRPr="0056033E">
        <w:rPr>
          <w:rStyle w:val="normal1"/>
          <w:b/>
        </w:rPr>
        <w:t xml:space="preserve">arrêté </w:t>
      </w:r>
      <w:r w:rsidR="0056033E" w:rsidRPr="0056033E">
        <w:rPr>
          <w:rStyle w:val="normal1"/>
          <w:b/>
        </w:rPr>
        <w:t>a pour principal objet la précision d</w:t>
      </w:r>
      <w:r w:rsidRPr="0056033E">
        <w:rPr>
          <w:rStyle w:val="normal1"/>
          <w:b/>
        </w:rPr>
        <w:t xml:space="preserve">es objectifs exprimés en valeur absolue pour </w:t>
      </w:r>
      <w:r w:rsidR="00F74EB7">
        <w:rPr>
          <w:rStyle w:val="normal1"/>
          <w:b/>
        </w:rPr>
        <w:t>l</w:t>
      </w:r>
      <w:r w:rsidRPr="0056033E">
        <w:rPr>
          <w:rStyle w:val="normal1"/>
          <w:b/>
        </w:rPr>
        <w:t>es activités du tertiaire</w:t>
      </w:r>
      <w:r w:rsidR="00F74EB7">
        <w:rPr>
          <w:rStyle w:val="normal1"/>
          <w:b/>
        </w:rPr>
        <w:t xml:space="preserve"> pour lesquelles ils sont manquants </w:t>
      </w:r>
      <w:r w:rsidRPr="00DA75D5">
        <w:rPr>
          <w:rStyle w:val="normal1"/>
        </w:rPr>
        <w:t>(</w:t>
      </w:r>
      <w:r w:rsidR="006C7301">
        <w:rPr>
          <w:rStyle w:val="normal1"/>
        </w:rPr>
        <w:t xml:space="preserve">commerces, </w:t>
      </w:r>
      <w:r w:rsidR="003E28B8" w:rsidRPr="009F27AE">
        <w:rPr>
          <w:rStyle w:val="normal1"/>
        </w:rPr>
        <w:t>cinéma</w:t>
      </w:r>
      <w:r w:rsidR="009B7003">
        <w:rPr>
          <w:rStyle w:val="normal1"/>
        </w:rPr>
        <w:t>s</w:t>
      </w:r>
      <w:r w:rsidR="003E28B8" w:rsidRPr="009F27AE">
        <w:rPr>
          <w:rStyle w:val="normal1"/>
        </w:rPr>
        <w:t>, service</w:t>
      </w:r>
      <w:r w:rsidR="009B7003">
        <w:rPr>
          <w:rStyle w:val="normal1"/>
        </w:rPr>
        <w:t>s</w:t>
      </w:r>
      <w:r w:rsidR="003E28B8" w:rsidRPr="009F27AE">
        <w:rPr>
          <w:rStyle w:val="normal1"/>
        </w:rPr>
        <w:t xml:space="preserve"> funéraire</w:t>
      </w:r>
      <w:r w:rsidR="009B7003">
        <w:rPr>
          <w:rStyle w:val="normal1"/>
        </w:rPr>
        <w:t>s</w:t>
      </w:r>
      <w:r w:rsidR="003E28B8">
        <w:rPr>
          <w:rStyle w:val="normal1"/>
        </w:rPr>
        <w:t>,</w:t>
      </w:r>
      <w:r w:rsidR="001A1366">
        <w:rPr>
          <w:rStyle w:val="normal1"/>
        </w:rPr>
        <w:t xml:space="preserve"> banques,</w:t>
      </w:r>
      <w:r w:rsidR="003E28B8">
        <w:rPr>
          <w:rStyle w:val="normal1"/>
        </w:rPr>
        <w:t xml:space="preserve"> </w:t>
      </w:r>
      <w:r w:rsidR="003E28B8" w:rsidRPr="009F27AE">
        <w:rPr>
          <w:rStyle w:val="normal1"/>
        </w:rPr>
        <w:t>et</w:t>
      </w:r>
      <w:r w:rsidR="003E28B8">
        <w:rPr>
          <w:rStyle w:val="normal1"/>
        </w:rPr>
        <w:t xml:space="preserve"> sous-catégories </w:t>
      </w:r>
      <w:r w:rsidR="009B7003">
        <w:rPr>
          <w:rStyle w:val="normal1"/>
        </w:rPr>
        <w:t>« </w:t>
      </w:r>
      <w:r w:rsidR="003E28B8">
        <w:rPr>
          <w:rStyle w:val="normal1"/>
        </w:rPr>
        <w:t>Administration et Bureaux</w:t>
      </w:r>
      <w:r w:rsidR="009B7003">
        <w:rPr>
          <w:rStyle w:val="normal1"/>
        </w:rPr>
        <w:t> »</w:t>
      </w:r>
      <w:r w:rsidR="003E28B8">
        <w:rPr>
          <w:rStyle w:val="normal1"/>
        </w:rPr>
        <w:t xml:space="preserve"> de chaque catégorie</w:t>
      </w:r>
      <w:r w:rsidRPr="00DA75D5">
        <w:rPr>
          <w:rStyle w:val="normal1"/>
        </w:rPr>
        <w:t>).</w:t>
      </w:r>
      <w:r w:rsidR="00DA75D5">
        <w:rPr>
          <w:rStyle w:val="normal1"/>
        </w:rPr>
        <w:t xml:space="preserve"> Il intègre également</w:t>
      </w:r>
      <w:r w:rsidR="00DA75D5" w:rsidRPr="00DA75D5">
        <w:rPr>
          <w:rStyle w:val="normal1"/>
        </w:rPr>
        <w:t xml:space="preserve"> la déclinaison des valeurs absolues dans les départements d’outre-mer, pour </w:t>
      </w:r>
      <w:r w:rsidR="009B7003">
        <w:rPr>
          <w:rStyle w:val="normal1"/>
        </w:rPr>
        <w:t>les dernières</w:t>
      </w:r>
      <w:r w:rsidR="00DA75D5" w:rsidRPr="00DA75D5">
        <w:rPr>
          <w:rStyle w:val="normal1"/>
        </w:rPr>
        <w:t xml:space="preserve"> catégories.</w:t>
      </w:r>
      <w:r w:rsidR="00A945D7">
        <w:rPr>
          <w:rStyle w:val="normal1"/>
        </w:rPr>
        <w:t xml:space="preserve"> </w:t>
      </w:r>
    </w:p>
    <w:p w14:paraId="04B7711E" w14:textId="77777777" w:rsidR="00DA75D5" w:rsidRDefault="00DA75D5" w:rsidP="00360922">
      <w:pPr>
        <w:pStyle w:val="Corpsdetexte"/>
        <w:spacing w:after="0"/>
        <w:rPr>
          <w:rStyle w:val="normal1"/>
        </w:rPr>
      </w:pPr>
    </w:p>
    <w:p w14:paraId="7746875E" w14:textId="7D74CBB2" w:rsidR="00360922" w:rsidRDefault="00A945D7" w:rsidP="00360922">
      <w:pPr>
        <w:pStyle w:val="Corpsdetexte"/>
        <w:spacing w:after="0"/>
        <w:rPr>
          <w:rStyle w:val="normal1"/>
        </w:rPr>
      </w:pPr>
      <w:r>
        <w:rPr>
          <w:rStyle w:val="normal1"/>
        </w:rPr>
        <w:t>Ces valeurs absolues se veulent représentatives des bâtiments performants de la catégorie d’activité, à la fois en termes de performance intrinsèque du bâti (isolation, performance des systèmes) et de sobriété d’usage. Elles reposent</w:t>
      </w:r>
      <w:r w:rsidR="00D762DA">
        <w:rPr>
          <w:rStyle w:val="normal1"/>
        </w:rPr>
        <w:t>, pour chaque catégorie d’activité,</w:t>
      </w:r>
      <w:r>
        <w:rPr>
          <w:rStyle w:val="normal1"/>
        </w:rPr>
        <w:t xml:space="preserve"> sur deux sous-ensembles de valeur</w:t>
      </w:r>
      <w:r w:rsidR="00D762DA">
        <w:rPr>
          <w:rStyle w:val="normal1"/>
        </w:rPr>
        <w:t>s</w:t>
      </w:r>
      <w:r>
        <w:rPr>
          <w:rStyle w:val="normal1"/>
        </w:rPr>
        <w:t> :</w:t>
      </w:r>
    </w:p>
    <w:p w14:paraId="441093DF" w14:textId="08116202" w:rsidR="00A945D7" w:rsidRDefault="00A945D7" w:rsidP="00A945D7">
      <w:pPr>
        <w:pStyle w:val="Corpsdetexte"/>
        <w:numPr>
          <w:ilvl w:val="0"/>
          <w:numId w:val="8"/>
        </w:numPr>
        <w:spacing w:after="0"/>
        <w:rPr>
          <w:rStyle w:val="normal1"/>
        </w:rPr>
      </w:pPr>
      <w:r>
        <w:rPr>
          <w:rStyle w:val="normal1"/>
        </w:rPr>
        <w:t xml:space="preserve">Des valeurs « CVC » (représentatives des consommations de chauffage, ventilation, climatisation), établies pour </w:t>
      </w:r>
      <w:r w:rsidR="00F74EB7">
        <w:rPr>
          <w:rStyle w:val="normal1"/>
        </w:rPr>
        <w:t xml:space="preserve">13 </w:t>
      </w:r>
      <w:r>
        <w:rPr>
          <w:rStyle w:val="normal1"/>
        </w:rPr>
        <w:t>zones climatiques et 5 catégories d’altitude, avec un climat de référence ;</w:t>
      </w:r>
    </w:p>
    <w:p w14:paraId="088D3A91" w14:textId="57AA195B" w:rsidR="00A945D7" w:rsidRDefault="00A945D7" w:rsidP="00A945D7">
      <w:pPr>
        <w:pStyle w:val="Corpsdetexte"/>
        <w:numPr>
          <w:ilvl w:val="0"/>
          <w:numId w:val="8"/>
        </w:numPr>
        <w:spacing w:after="0"/>
        <w:rPr>
          <w:rStyle w:val="normal1"/>
        </w:rPr>
      </w:pPr>
      <w:r>
        <w:rPr>
          <w:rStyle w:val="normal1"/>
        </w:rPr>
        <w:t>Des valeurs « USE » (autres postes de consommation, généralement dépendant</w:t>
      </w:r>
      <w:r w:rsidR="00D762DA">
        <w:rPr>
          <w:rStyle w:val="normal1"/>
        </w:rPr>
        <w:t>s</w:t>
      </w:r>
      <w:r>
        <w:rPr>
          <w:rStyle w:val="normal1"/>
        </w:rPr>
        <w:t xml:space="preserve"> de l’intensité d’</w:t>
      </w:r>
      <w:r w:rsidR="00D762DA">
        <w:rPr>
          <w:rStyle w:val="normal1"/>
        </w:rPr>
        <w:t>usage du bâtiment), assorties d’une formule de modulation pour tenir compte de l’intensité d’usage du bâtiment.</w:t>
      </w:r>
    </w:p>
    <w:p w14:paraId="6E6F9370" w14:textId="49780F85" w:rsidR="00A945D7" w:rsidRDefault="00A945D7" w:rsidP="00360922">
      <w:pPr>
        <w:pStyle w:val="Corpsdetexte"/>
        <w:spacing w:after="0"/>
        <w:rPr>
          <w:rStyle w:val="normal1"/>
        </w:rPr>
      </w:pPr>
    </w:p>
    <w:p w14:paraId="1DF84772" w14:textId="174B5145" w:rsidR="00A945D7" w:rsidRDefault="00A945D7" w:rsidP="00360922">
      <w:pPr>
        <w:pStyle w:val="Corpsdetexte"/>
        <w:spacing w:after="0"/>
        <w:rPr>
          <w:rStyle w:val="normal1"/>
        </w:rPr>
      </w:pPr>
      <w:r>
        <w:rPr>
          <w:rStyle w:val="normal1"/>
        </w:rPr>
        <w:t xml:space="preserve">Ces objectifs ont été établis sur la base de différentes sources d’informations, et à l’aide de nombreuses </w:t>
      </w:r>
      <w:r w:rsidR="001A449F">
        <w:rPr>
          <w:rStyle w:val="normal1"/>
        </w:rPr>
        <w:t>contributions</w:t>
      </w:r>
      <w:r>
        <w:rPr>
          <w:rStyle w:val="normal1"/>
        </w:rPr>
        <w:t xml:space="preserve"> d’acteurs réalisées dans le cadre de la concertation, que ce soit par écrit ou lors des réunions de concertation.</w:t>
      </w:r>
    </w:p>
    <w:p w14:paraId="59A48D2C" w14:textId="68FFE7C6" w:rsidR="00A945D7" w:rsidRPr="00467551" w:rsidRDefault="00A945D7" w:rsidP="00360922">
      <w:pPr>
        <w:pStyle w:val="Corpsdetexte"/>
        <w:spacing w:after="0"/>
        <w:rPr>
          <w:rStyle w:val="normal1"/>
        </w:rPr>
      </w:pPr>
    </w:p>
    <w:p w14:paraId="44EB27D3" w14:textId="77777777" w:rsidR="006B1624" w:rsidRDefault="006B1624" w:rsidP="00467551">
      <w:pPr>
        <w:pStyle w:val="m-BlocReference"/>
        <w:rPr>
          <w:rStyle w:val="normal1"/>
          <w:rFonts w:ascii="Times New Roman" w:eastAsia="Times New Roman" w:hAnsi="Times New Roman"/>
          <w:sz w:val="24"/>
          <w:lang w:eastAsia="fr-FR"/>
        </w:rPr>
      </w:pPr>
      <w:r w:rsidRPr="006B1624">
        <w:rPr>
          <w:rStyle w:val="normal1"/>
          <w:rFonts w:ascii="Times New Roman" w:eastAsia="Times New Roman" w:hAnsi="Times New Roman"/>
          <w:sz w:val="24"/>
          <w:lang w:eastAsia="fr-FR"/>
        </w:rPr>
        <w:t>La méthodologie poursuivie dépend des sources de données disponibles :</w:t>
      </w:r>
    </w:p>
    <w:p w14:paraId="0996819C" w14:textId="6B515A97" w:rsidR="006B1624" w:rsidRDefault="00467551" w:rsidP="006B1624">
      <w:pPr>
        <w:pStyle w:val="m-BlocReference"/>
        <w:numPr>
          <w:ilvl w:val="0"/>
          <w:numId w:val="8"/>
        </w:numPr>
        <w:rPr>
          <w:rStyle w:val="normal1"/>
          <w:rFonts w:ascii="Times New Roman" w:eastAsia="Times New Roman" w:hAnsi="Times New Roman"/>
          <w:sz w:val="24"/>
          <w:lang w:eastAsia="fr-FR"/>
        </w:rPr>
      </w:pPr>
      <w:r w:rsidRPr="00467551">
        <w:rPr>
          <w:rStyle w:val="normal1"/>
          <w:rFonts w:ascii="Times New Roman" w:eastAsia="Times New Roman" w:hAnsi="Times New Roman"/>
          <w:sz w:val="24"/>
          <w:lang w:eastAsia="fr-FR"/>
        </w:rPr>
        <w:t xml:space="preserve">Pour </w:t>
      </w:r>
      <w:r w:rsidR="006B1624">
        <w:rPr>
          <w:rStyle w:val="normal1"/>
          <w:rFonts w:ascii="Times New Roman" w:eastAsia="Times New Roman" w:hAnsi="Times New Roman"/>
          <w:sz w:val="24"/>
          <w:lang w:eastAsia="fr-FR"/>
        </w:rPr>
        <w:t>les cinémas et services funéraires</w:t>
      </w:r>
      <w:r w:rsidRPr="00467551">
        <w:rPr>
          <w:rStyle w:val="normal1"/>
          <w:rFonts w:ascii="Times New Roman" w:eastAsia="Times New Roman" w:hAnsi="Times New Roman"/>
          <w:sz w:val="24"/>
          <w:lang w:eastAsia="fr-FR"/>
        </w:rPr>
        <w:t xml:space="preserve">, </w:t>
      </w:r>
      <w:r w:rsidR="00F74EB7">
        <w:rPr>
          <w:rStyle w:val="normal1"/>
          <w:rFonts w:ascii="Times New Roman" w:eastAsia="Times New Roman" w:hAnsi="Times New Roman"/>
          <w:sz w:val="24"/>
          <w:lang w:eastAsia="fr-FR"/>
        </w:rPr>
        <w:t>les</w:t>
      </w:r>
      <w:r w:rsidRPr="00467551">
        <w:rPr>
          <w:rStyle w:val="normal1"/>
          <w:rFonts w:ascii="Times New Roman" w:eastAsia="Times New Roman" w:hAnsi="Times New Roman"/>
          <w:sz w:val="24"/>
          <w:lang w:eastAsia="fr-FR"/>
        </w:rPr>
        <w:t xml:space="preserve"> valeurs </w:t>
      </w:r>
      <w:r w:rsidR="00F74EB7">
        <w:rPr>
          <w:rStyle w:val="normal1"/>
          <w:rFonts w:ascii="Times New Roman" w:eastAsia="Times New Roman" w:hAnsi="Times New Roman"/>
          <w:sz w:val="24"/>
          <w:lang w:eastAsia="fr-FR"/>
        </w:rPr>
        <w:t xml:space="preserve">CVC </w:t>
      </w:r>
      <w:r w:rsidRPr="00467551">
        <w:rPr>
          <w:rStyle w:val="normal1"/>
          <w:rFonts w:ascii="Times New Roman" w:eastAsia="Times New Roman" w:hAnsi="Times New Roman"/>
          <w:sz w:val="24"/>
          <w:lang w:eastAsia="fr-FR"/>
        </w:rPr>
        <w:t xml:space="preserve">ont été déterminées à partir des valeurs de catégories pour lesquelles les valeurs absolues ont déjà été établies dont les </w:t>
      </w:r>
      <w:r w:rsidRPr="00467551">
        <w:rPr>
          <w:rStyle w:val="normal1"/>
          <w:rFonts w:ascii="Times New Roman" w:eastAsia="Times New Roman" w:hAnsi="Times New Roman"/>
          <w:sz w:val="24"/>
          <w:lang w:eastAsia="fr-FR"/>
        </w:rPr>
        <w:lastRenderedPageBreak/>
        <w:t xml:space="preserve">modalités d’occupation sont similaires, si nécessaire corrigées en fonction de caractéristiques communes à la catégorie. </w:t>
      </w:r>
    </w:p>
    <w:p w14:paraId="5C33E913" w14:textId="149DC1BE" w:rsidR="006B1624" w:rsidRPr="006B1624" w:rsidRDefault="006B1624" w:rsidP="006B1624">
      <w:pPr>
        <w:pStyle w:val="m-BlocReference"/>
        <w:numPr>
          <w:ilvl w:val="0"/>
          <w:numId w:val="8"/>
        </w:numPr>
        <w:rPr>
          <w:rStyle w:val="normal1"/>
          <w:rFonts w:ascii="Times New Roman" w:eastAsia="Times New Roman" w:hAnsi="Times New Roman"/>
          <w:sz w:val="24"/>
          <w:lang w:eastAsia="fr-FR"/>
        </w:rPr>
      </w:pPr>
      <w:r w:rsidRPr="006B1624">
        <w:rPr>
          <w:rStyle w:val="normal1"/>
          <w:rFonts w:ascii="Times New Roman" w:eastAsia="Times New Roman" w:hAnsi="Times New Roman"/>
          <w:sz w:val="24"/>
          <w:lang w:eastAsia="fr-FR"/>
        </w:rPr>
        <w:t>Pour les consommations de chauffage, ventilation, climatisation (poste « CVC »), et d’éclairage et d’ECS (représentant une partie du poste « USE »)</w:t>
      </w:r>
      <w:r>
        <w:rPr>
          <w:rStyle w:val="normal1"/>
          <w:rFonts w:ascii="Times New Roman" w:eastAsia="Times New Roman" w:hAnsi="Times New Roman"/>
          <w:sz w:val="24"/>
          <w:lang w:eastAsia="fr-FR"/>
        </w:rPr>
        <w:t xml:space="preserve"> des autres activités</w:t>
      </w:r>
      <w:r w:rsidRPr="006B1624">
        <w:rPr>
          <w:rStyle w:val="normal1"/>
          <w:rFonts w:ascii="Times New Roman" w:eastAsia="Times New Roman" w:hAnsi="Times New Roman"/>
          <w:sz w:val="24"/>
          <w:lang w:eastAsia="fr-FR"/>
        </w:rPr>
        <w:t>, la principale source de données est la base de données des bâtiments soumis à la RT2012 (bâtiments construits au cours des dernières années). Le principe a été de retenir le dernier quartile des consommation (seuil de consommation dépassé par 25% des bâtiments soumis à la RT2012), en se basant sur le sous-ensemble des bâtiments à chauffage ou production d’ECS au gaz lorsqu’ils représentent une part significative (&gt;15%) –en effet, ils ont généralement des consommations en énergie finale plus élevées que les bâtiments chauffés à l’électricité. Cela permet de s’assurer qu’une très large majorité des bâtiments récents pourra respecter les valeurs absolues fixées, sous réserve d’un usage sobre.</w:t>
      </w:r>
    </w:p>
    <w:p w14:paraId="3AA92DC4" w14:textId="4E816B39" w:rsidR="006B1624" w:rsidRDefault="006B1624" w:rsidP="006B1624">
      <w:pPr>
        <w:pStyle w:val="m-BlocReference"/>
        <w:ind w:left="720"/>
        <w:rPr>
          <w:rStyle w:val="normal1"/>
          <w:rFonts w:ascii="Times New Roman" w:eastAsia="Times New Roman" w:hAnsi="Times New Roman"/>
          <w:sz w:val="24"/>
          <w:lang w:eastAsia="fr-FR"/>
        </w:rPr>
      </w:pPr>
      <w:r w:rsidRPr="006B1624">
        <w:rPr>
          <w:rStyle w:val="normal1"/>
          <w:rFonts w:ascii="Times New Roman" w:eastAsia="Times New Roman" w:hAnsi="Times New Roman"/>
          <w:sz w:val="24"/>
          <w:lang w:eastAsia="fr-FR"/>
        </w:rPr>
        <w:t>Ces valeurs ont été modifiées pour certains systèmes énergétiques ayant bénéficié récemment d’un saut technologique, généralisable dans les bâtiments existants à un horizon 10 ans (par exemple l’éclairage LED).</w:t>
      </w:r>
    </w:p>
    <w:p w14:paraId="69675C6D" w14:textId="1B2FF226" w:rsidR="00467551" w:rsidRPr="00467551" w:rsidRDefault="00467551" w:rsidP="006B1624">
      <w:pPr>
        <w:pStyle w:val="m-BlocReference"/>
        <w:numPr>
          <w:ilvl w:val="0"/>
          <w:numId w:val="8"/>
        </w:numPr>
        <w:rPr>
          <w:rStyle w:val="normal1"/>
          <w:rFonts w:ascii="Times New Roman" w:eastAsia="Times New Roman" w:hAnsi="Times New Roman"/>
          <w:sz w:val="24"/>
          <w:lang w:eastAsia="fr-FR"/>
        </w:rPr>
      </w:pPr>
      <w:r w:rsidRPr="00467551">
        <w:rPr>
          <w:rStyle w:val="normal1"/>
          <w:rFonts w:ascii="Times New Roman" w:eastAsia="Times New Roman" w:hAnsi="Times New Roman"/>
          <w:sz w:val="24"/>
          <w:lang w:eastAsia="fr-FR"/>
        </w:rPr>
        <w:t xml:space="preserve">Concernant </w:t>
      </w:r>
      <w:r w:rsidR="00F74EB7">
        <w:rPr>
          <w:rStyle w:val="normal1"/>
          <w:rFonts w:ascii="Times New Roman" w:eastAsia="Times New Roman" w:hAnsi="Times New Roman"/>
          <w:sz w:val="24"/>
          <w:lang w:eastAsia="fr-FR"/>
        </w:rPr>
        <w:t>les valeurs</w:t>
      </w:r>
      <w:r w:rsidRPr="00467551">
        <w:rPr>
          <w:rStyle w:val="normal1"/>
          <w:rFonts w:ascii="Times New Roman" w:eastAsia="Times New Roman" w:hAnsi="Times New Roman"/>
          <w:sz w:val="24"/>
          <w:lang w:eastAsia="fr-FR"/>
        </w:rPr>
        <w:t xml:space="preserve"> USE, l’établissement de ces valeurs est fait sur la base de recherches bibliographiques pour identifier les meilleures techniques disponibles, ou bien sur la base de catégories de comportement similaire, ou, en l’absence de telles catégories, sur une analyse des données de la base de données OPERAT relatives à la catégorie.</w:t>
      </w:r>
    </w:p>
    <w:p w14:paraId="02C9C5CA" w14:textId="2B0B3033" w:rsidR="0056033E" w:rsidRPr="00467551" w:rsidRDefault="00467551" w:rsidP="00467551">
      <w:pPr>
        <w:pStyle w:val="m-BlocReference"/>
        <w:rPr>
          <w:rStyle w:val="normal1"/>
          <w:rFonts w:ascii="Times New Roman" w:eastAsia="Times New Roman" w:hAnsi="Times New Roman"/>
          <w:sz w:val="24"/>
          <w:lang w:eastAsia="fr-FR"/>
        </w:rPr>
      </w:pPr>
      <w:r w:rsidRPr="00467551">
        <w:rPr>
          <w:rStyle w:val="normal1"/>
          <w:rFonts w:ascii="Times New Roman" w:eastAsia="Times New Roman" w:hAnsi="Times New Roman"/>
          <w:sz w:val="24"/>
          <w:lang w:eastAsia="fr-FR"/>
        </w:rPr>
        <w:t xml:space="preserve">L’établissement de ces valeurs fait l’objet de supports de présentation par catégorie d’activité, expliquant les hypothèses retenues et calculs éventuels. Ces supports sont utilisés comme base pour la concertation avec les acteurs, permettant des retours détaillés sur les valeurs retenues, leurs hypothèses sous-jacentes, les indicateurs d’intensité d’usage et les formules de modulation permettant d’adapter les objectifs en fonction du volume d’activité. </w:t>
      </w:r>
    </w:p>
    <w:p w14:paraId="35A815BD" w14:textId="730A1568" w:rsidR="00467551" w:rsidRDefault="009B7003" w:rsidP="00467551">
      <w:pPr>
        <w:pStyle w:val="m-BlocReference"/>
        <w:rPr>
          <w:rFonts w:ascii="Times New Roman" w:hAnsi="Times New Roman"/>
          <w:bCs/>
          <w:sz w:val="24"/>
        </w:rPr>
      </w:pPr>
      <w:r>
        <w:rPr>
          <w:rFonts w:ascii="Times New Roman" w:hAnsi="Times New Roman"/>
          <w:bCs/>
          <w:sz w:val="24"/>
        </w:rPr>
        <w:t xml:space="preserve">Enfin, l’arrêté remplace l’annexe </w:t>
      </w:r>
      <w:r w:rsidR="00AE052C">
        <w:rPr>
          <w:rFonts w:ascii="Times New Roman" w:hAnsi="Times New Roman"/>
          <w:bCs/>
          <w:sz w:val="24"/>
        </w:rPr>
        <w:t xml:space="preserve">II </w:t>
      </w:r>
      <w:r>
        <w:rPr>
          <w:rFonts w:ascii="Times New Roman" w:hAnsi="Times New Roman"/>
          <w:bCs/>
          <w:sz w:val="24"/>
        </w:rPr>
        <w:t>de l’arrêté du 10 avril 2020, avec l’intégralité des valeurs absolues déjà publiées, pour en faciliter la lecture globale au vu des différents arrêtés modificatifs successifs sur le sujet.</w:t>
      </w:r>
    </w:p>
    <w:p w14:paraId="4FC4D1B0" w14:textId="77777777" w:rsidR="00E714BF" w:rsidRPr="00241C8D" w:rsidRDefault="00E714BF" w:rsidP="00360922">
      <w:pPr>
        <w:pStyle w:val="Corpsdetexte"/>
        <w:spacing w:after="0"/>
        <w:rPr>
          <w:b/>
          <w:bCs/>
        </w:rPr>
      </w:pPr>
    </w:p>
    <w:p w14:paraId="4CAD3949" w14:textId="5F0F2321" w:rsidR="00E714BF" w:rsidRPr="0056033E" w:rsidRDefault="00E714BF" w:rsidP="00E714BF">
      <w:pPr>
        <w:pStyle w:val="Corpsdetexte"/>
        <w:spacing w:after="0"/>
        <w:rPr>
          <w:b/>
          <w:bCs/>
          <w:u w:val="single"/>
        </w:rPr>
      </w:pPr>
      <w:r w:rsidRPr="0056033E">
        <w:rPr>
          <w:b/>
          <w:bCs/>
          <w:u w:val="single"/>
        </w:rPr>
        <w:t xml:space="preserve">Présentation </w:t>
      </w:r>
      <w:r w:rsidR="00DD660C" w:rsidRPr="0056033E">
        <w:rPr>
          <w:b/>
          <w:bCs/>
          <w:u w:val="single"/>
        </w:rPr>
        <w:t>de l’arrêté</w:t>
      </w:r>
      <w:r w:rsidRPr="0056033E">
        <w:rPr>
          <w:b/>
          <w:bCs/>
          <w:u w:val="single"/>
        </w:rPr>
        <w:t> </w:t>
      </w:r>
    </w:p>
    <w:p w14:paraId="2C7B7206" w14:textId="04BD22E4" w:rsidR="00E714BF" w:rsidRDefault="00E714BF" w:rsidP="00E714BF">
      <w:pPr>
        <w:pStyle w:val="Corpsdetexte"/>
        <w:spacing w:after="0"/>
        <w:rPr>
          <w:b/>
          <w:bCs/>
        </w:rPr>
      </w:pPr>
    </w:p>
    <w:p w14:paraId="6A1EAA0A" w14:textId="1342628C" w:rsidR="00595322" w:rsidRPr="00DA0D13" w:rsidRDefault="00B96C86" w:rsidP="00A945D7">
      <w:pPr>
        <w:pStyle w:val="Corpsdetexte"/>
        <w:spacing w:after="0"/>
        <w:rPr>
          <w:rStyle w:val="normal1"/>
        </w:rPr>
      </w:pPr>
      <w:r w:rsidRPr="00DA0D13">
        <w:rPr>
          <w:rStyle w:val="normal1"/>
          <w:b/>
        </w:rPr>
        <w:t xml:space="preserve">L’article 1 </w:t>
      </w:r>
      <w:r w:rsidRPr="00DA0D13">
        <w:rPr>
          <w:rStyle w:val="normal1"/>
        </w:rPr>
        <w:t xml:space="preserve">indique </w:t>
      </w:r>
      <w:r w:rsidR="00D966B3" w:rsidRPr="00DA0D13">
        <w:rPr>
          <w:rStyle w:val="normal1"/>
        </w:rPr>
        <w:t>que les articles suivants modifient l’arrêté du 10 avril 2020 relatif aux obligations d’actions de réduction des consommations d’énergie finale dans des bâtiments à usage tertiaire</w:t>
      </w:r>
      <w:r w:rsidR="001A449F" w:rsidRPr="00DA0D13">
        <w:rPr>
          <w:rStyle w:val="normal1"/>
        </w:rPr>
        <w:t>.</w:t>
      </w:r>
    </w:p>
    <w:p w14:paraId="72449285" w14:textId="4BB5EE41" w:rsidR="00D966B3" w:rsidRPr="0015621E" w:rsidRDefault="00D966B3" w:rsidP="00A945D7">
      <w:pPr>
        <w:pStyle w:val="Corpsdetexte"/>
        <w:spacing w:after="0"/>
        <w:rPr>
          <w:rStyle w:val="normal1"/>
          <w:highlight w:val="yellow"/>
        </w:rPr>
      </w:pPr>
    </w:p>
    <w:p w14:paraId="6B03B120" w14:textId="7D7EF7AE" w:rsidR="00061A3B" w:rsidRPr="009F27AE" w:rsidRDefault="00D966B3" w:rsidP="00061A3B">
      <w:pPr>
        <w:pStyle w:val="Corpsdetexte"/>
        <w:spacing w:after="0"/>
        <w:rPr>
          <w:rStyle w:val="normal1"/>
          <w:b/>
        </w:rPr>
      </w:pPr>
      <w:r w:rsidRPr="00DA0D13">
        <w:rPr>
          <w:rStyle w:val="normal1"/>
          <w:b/>
        </w:rPr>
        <w:t xml:space="preserve">L’article 2 </w:t>
      </w:r>
      <w:r w:rsidR="00061A3B" w:rsidRPr="009F27AE">
        <w:rPr>
          <w:rStyle w:val="normal1"/>
          <w:bCs/>
        </w:rPr>
        <w:t>indique que le modèle d’attestation ne sera plus présenté dans la l’arrêté du 10 avril 2020 mais directement sur la plateforme OPERAT</w:t>
      </w:r>
      <w:r w:rsidR="00061A3B">
        <w:rPr>
          <w:rStyle w:val="normal1"/>
          <w:bCs/>
        </w:rPr>
        <w:t>.</w:t>
      </w:r>
      <w:r w:rsidR="00061A3B">
        <w:rPr>
          <w:rStyle w:val="normal1"/>
          <w:b/>
        </w:rPr>
        <w:t xml:space="preserve"> </w:t>
      </w:r>
      <w:r w:rsidR="006C7301" w:rsidRPr="00906C29">
        <w:rPr>
          <w:rStyle w:val="normal1"/>
          <w:bCs/>
        </w:rPr>
        <w:t>L’article 2 rend également l’attestation numérique provisoire jusqu’au 1</w:t>
      </w:r>
      <w:r w:rsidR="006C7301" w:rsidRPr="00906C29">
        <w:rPr>
          <w:rStyle w:val="normal1"/>
          <w:bCs/>
          <w:vertAlign w:val="superscript"/>
        </w:rPr>
        <w:t>er</w:t>
      </w:r>
      <w:r w:rsidR="006C7301" w:rsidRPr="00906C29">
        <w:rPr>
          <w:rStyle w:val="normal1"/>
          <w:bCs/>
        </w:rPr>
        <w:t xml:space="preserve"> juillet 2025.</w:t>
      </w:r>
    </w:p>
    <w:p w14:paraId="28BFF43C" w14:textId="67097591" w:rsidR="00D966B3" w:rsidRPr="0015621E" w:rsidRDefault="00D966B3" w:rsidP="00A945D7">
      <w:pPr>
        <w:pStyle w:val="Corpsdetexte"/>
        <w:spacing w:after="0"/>
        <w:rPr>
          <w:rStyle w:val="normal1"/>
          <w:highlight w:val="yellow"/>
        </w:rPr>
      </w:pPr>
    </w:p>
    <w:p w14:paraId="4FFAA156" w14:textId="631A7604" w:rsidR="00CC6469" w:rsidRDefault="00D966B3" w:rsidP="003F577A">
      <w:pPr>
        <w:pStyle w:val="Corpsdetexte"/>
        <w:spacing w:after="0"/>
        <w:rPr>
          <w:rStyle w:val="normal1"/>
        </w:rPr>
      </w:pPr>
      <w:r w:rsidRPr="00012A6B">
        <w:rPr>
          <w:rStyle w:val="normal1"/>
          <w:b/>
        </w:rPr>
        <w:t>L</w:t>
      </w:r>
      <w:r w:rsidR="00716E4D" w:rsidRPr="00012A6B">
        <w:rPr>
          <w:rStyle w:val="normal1"/>
          <w:b/>
        </w:rPr>
        <w:t>’</w:t>
      </w:r>
      <w:r w:rsidRPr="00012A6B">
        <w:rPr>
          <w:rStyle w:val="normal1"/>
          <w:b/>
        </w:rPr>
        <w:t>article 3</w:t>
      </w:r>
      <w:r w:rsidRPr="00012A6B">
        <w:rPr>
          <w:rStyle w:val="normal1"/>
        </w:rPr>
        <w:t xml:space="preserve"> </w:t>
      </w:r>
      <w:r w:rsidR="00061A3B">
        <w:rPr>
          <w:rStyle w:val="normal1"/>
        </w:rPr>
        <w:t xml:space="preserve">supprime l’annexe II pour la remplacer par la </w:t>
      </w:r>
      <w:r w:rsidR="009F27AE">
        <w:rPr>
          <w:rStyle w:val="normal1"/>
        </w:rPr>
        <w:t>c</w:t>
      </w:r>
      <w:r w:rsidR="009F27AE" w:rsidRPr="009F27AE">
        <w:rPr>
          <w:rStyle w:val="normal1"/>
        </w:rPr>
        <w:t>ompil</w:t>
      </w:r>
      <w:r w:rsidR="00061A3B">
        <w:rPr>
          <w:rStyle w:val="normal1"/>
        </w:rPr>
        <w:t>ation de</w:t>
      </w:r>
      <w:r w:rsidR="009F27AE" w:rsidRPr="009F27AE">
        <w:rPr>
          <w:rStyle w:val="normal1"/>
        </w:rPr>
        <w:t xml:space="preserve"> toutes les valeurs absolues</w:t>
      </w:r>
      <w:r w:rsidR="009F27AE">
        <w:rPr>
          <w:rStyle w:val="normal1"/>
        </w:rPr>
        <w:t xml:space="preserve"> déjà publiées</w:t>
      </w:r>
      <w:r w:rsidR="009F27AE" w:rsidRPr="009F27AE">
        <w:rPr>
          <w:rStyle w:val="normal1"/>
        </w:rPr>
        <w:t xml:space="preserve">, avec l’ajout </w:t>
      </w:r>
      <w:r w:rsidR="00061A3B">
        <w:rPr>
          <w:rStyle w:val="normal1"/>
        </w:rPr>
        <w:t>d</w:t>
      </w:r>
      <w:r w:rsidR="009F27AE" w:rsidRPr="009F27AE">
        <w:rPr>
          <w:rStyle w:val="normal1"/>
        </w:rPr>
        <w:t>es catégories de</w:t>
      </w:r>
      <w:r w:rsidR="00AC30A2">
        <w:rPr>
          <w:rStyle w:val="normal1"/>
        </w:rPr>
        <w:t xml:space="preserve"> commerces,</w:t>
      </w:r>
      <w:r w:rsidR="009F27AE" w:rsidRPr="009F27AE">
        <w:rPr>
          <w:rStyle w:val="normal1"/>
        </w:rPr>
        <w:t xml:space="preserve"> cinéma</w:t>
      </w:r>
      <w:r w:rsidR="009B7003">
        <w:rPr>
          <w:rStyle w:val="normal1"/>
        </w:rPr>
        <w:t>s</w:t>
      </w:r>
      <w:r w:rsidR="009F27AE" w:rsidRPr="009F27AE">
        <w:rPr>
          <w:rStyle w:val="normal1"/>
        </w:rPr>
        <w:t>, service</w:t>
      </w:r>
      <w:r w:rsidR="009B7003">
        <w:rPr>
          <w:rStyle w:val="normal1"/>
        </w:rPr>
        <w:t>s</w:t>
      </w:r>
      <w:r w:rsidR="009F27AE" w:rsidRPr="009F27AE">
        <w:rPr>
          <w:rStyle w:val="normal1"/>
        </w:rPr>
        <w:t xml:space="preserve"> funéraire</w:t>
      </w:r>
      <w:r w:rsidR="009B7003">
        <w:rPr>
          <w:rStyle w:val="normal1"/>
        </w:rPr>
        <w:t>s</w:t>
      </w:r>
      <w:r w:rsidR="00CC6469">
        <w:rPr>
          <w:rStyle w:val="normal1"/>
        </w:rPr>
        <w:t>,</w:t>
      </w:r>
      <w:r w:rsidR="001A1366">
        <w:rPr>
          <w:rStyle w:val="normal1"/>
        </w:rPr>
        <w:t xml:space="preserve"> banques</w:t>
      </w:r>
      <w:r w:rsidR="00AC30A2">
        <w:rPr>
          <w:rStyle w:val="normal1"/>
        </w:rPr>
        <w:t xml:space="preserve"> </w:t>
      </w:r>
      <w:r w:rsidR="009F27AE" w:rsidRPr="009F27AE">
        <w:rPr>
          <w:rStyle w:val="normal1"/>
        </w:rPr>
        <w:t xml:space="preserve">et </w:t>
      </w:r>
      <w:r w:rsidR="00061A3B">
        <w:rPr>
          <w:rStyle w:val="normal1"/>
        </w:rPr>
        <w:t>d</w:t>
      </w:r>
      <w:r w:rsidR="009F27AE" w:rsidRPr="009F27AE">
        <w:rPr>
          <w:rStyle w:val="normal1"/>
        </w:rPr>
        <w:t>es départements d’Outre-Mer</w:t>
      </w:r>
      <w:r w:rsidR="009B7003">
        <w:rPr>
          <w:rStyle w:val="normal1"/>
        </w:rPr>
        <w:t xml:space="preserve"> restants</w:t>
      </w:r>
      <w:r w:rsidR="00061A3B">
        <w:rPr>
          <w:rStyle w:val="normal1"/>
        </w:rPr>
        <w:t>,</w:t>
      </w:r>
      <w:r w:rsidR="00CC6469">
        <w:rPr>
          <w:rStyle w:val="normal1"/>
        </w:rPr>
        <w:t xml:space="preserve"> les sous-catégories </w:t>
      </w:r>
      <w:r w:rsidR="009B7003">
        <w:rPr>
          <w:rStyle w:val="normal1"/>
        </w:rPr>
        <w:t>« </w:t>
      </w:r>
      <w:r w:rsidR="00CC6469">
        <w:rPr>
          <w:rStyle w:val="normal1"/>
        </w:rPr>
        <w:t>Administration et Bureaux</w:t>
      </w:r>
      <w:r w:rsidR="009B7003">
        <w:rPr>
          <w:rStyle w:val="normal1"/>
        </w:rPr>
        <w:t> »</w:t>
      </w:r>
      <w:r w:rsidR="00CC6469">
        <w:rPr>
          <w:rStyle w:val="normal1"/>
        </w:rPr>
        <w:t xml:space="preserve"> de chaque catégorie</w:t>
      </w:r>
      <w:r w:rsidR="00061A3B">
        <w:rPr>
          <w:rStyle w:val="normal1"/>
        </w:rPr>
        <w:t xml:space="preserve"> ainsi que les modifications suivantes</w:t>
      </w:r>
      <w:r w:rsidR="009B7003">
        <w:rPr>
          <w:rStyle w:val="normal1"/>
        </w:rPr>
        <w:t>, pour la plupart des corrections de coquilles</w:t>
      </w:r>
      <w:r w:rsidR="00061A3B">
        <w:rPr>
          <w:rStyle w:val="normal1"/>
        </w:rPr>
        <w:t xml:space="preserve"> : </w:t>
      </w:r>
    </w:p>
    <w:p w14:paraId="2B5DB79C" w14:textId="3BCB6A97" w:rsidR="008268CA" w:rsidRDefault="008268CA" w:rsidP="008268CA">
      <w:pPr>
        <w:pStyle w:val="Corpsdetexte"/>
        <w:numPr>
          <w:ilvl w:val="0"/>
          <w:numId w:val="9"/>
        </w:numPr>
        <w:spacing w:after="0"/>
        <w:rPr>
          <w:rStyle w:val="normal1"/>
        </w:rPr>
      </w:pPr>
      <w:r w:rsidRPr="00DE340D">
        <w:rPr>
          <w:rStyle w:val="normal1"/>
        </w:rPr>
        <w:t>Modification de la formule de modulation</w:t>
      </w:r>
      <w:r>
        <w:rPr>
          <w:rStyle w:val="normal1"/>
        </w:rPr>
        <w:t xml:space="preserve"> des Bureaux</w:t>
      </w:r>
      <w:r w:rsidRPr="00DE340D">
        <w:rPr>
          <w:rStyle w:val="normal1"/>
        </w:rPr>
        <w:t xml:space="preserve"> pour </w:t>
      </w:r>
      <w:r w:rsidR="009B7003">
        <w:rPr>
          <w:rStyle w:val="normal1"/>
        </w:rPr>
        <w:t>prendre en compte les impacts sur le CVC d’une amplitude horaire différente de la valeur étalon.</w:t>
      </w:r>
    </w:p>
    <w:p w14:paraId="28E422C7" w14:textId="77777777" w:rsidR="003F577A" w:rsidRDefault="003F577A" w:rsidP="003F577A">
      <w:pPr>
        <w:pStyle w:val="Corpsdetexte"/>
        <w:numPr>
          <w:ilvl w:val="0"/>
          <w:numId w:val="9"/>
        </w:numPr>
        <w:spacing w:after="0"/>
        <w:rPr>
          <w:rStyle w:val="normal1"/>
        </w:rPr>
      </w:pPr>
      <w:r>
        <w:rPr>
          <w:rStyle w:val="normal1"/>
        </w:rPr>
        <w:t>Mise à jour des catégories de « conservation avec et sans contrainte hygrométrique » dans les catégories tribunal, musée et centre d’art et salle de spectacle sur la base de la catégorie de la catégorie</w:t>
      </w:r>
      <w:r>
        <w:t> « b</w:t>
      </w:r>
      <w:r w:rsidRPr="00DB3E0C">
        <w:t>ibliothèque, médiathèque et service d’archives</w:t>
      </w:r>
      <w:r>
        <w:t> »</w:t>
      </w:r>
    </w:p>
    <w:p w14:paraId="41BA4381" w14:textId="77777777" w:rsidR="003F577A" w:rsidRPr="003F577A" w:rsidRDefault="003F577A" w:rsidP="003F577A">
      <w:pPr>
        <w:pStyle w:val="Corpsdetexte"/>
        <w:numPr>
          <w:ilvl w:val="0"/>
          <w:numId w:val="9"/>
        </w:numPr>
        <w:spacing w:after="0"/>
        <w:rPr>
          <w:rStyle w:val="normal1"/>
        </w:rPr>
      </w:pPr>
      <w:r>
        <w:rPr>
          <w:rStyle w:val="normal1"/>
        </w:rPr>
        <w:lastRenderedPageBreak/>
        <w:t>Fusion des</w:t>
      </w:r>
      <w:r w:rsidRPr="003F577A">
        <w:rPr>
          <w:rStyle w:val="normal1"/>
        </w:rPr>
        <w:t xml:space="preserve"> sous-catégories </w:t>
      </w:r>
      <w:r w:rsidRPr="00C43CB4">
        <w:rPr>
          <w:rStyle w:val="normal1"/>
        </w:rPr>
        <w:t>« piscine intérieure » et « piscine extérieure chauffée »</w:t>
      </w:r>
      <w:r>
        <w:rPr>
          <w:rStyle w:val="normal1"/>
        </w:rPr>
        <w:t xml:space="preserve"> des hôtels</w:t>
      </w:r>
      <w:r w:rsidRPr="00C43CB4">
        <w:rPr>
          <w:rStyle w:val="normal1"/>
        </w:rPr>
        <w:t xml:space="preserve"> dans une </w:t>
      </w:r>
      <w:r>
        <w:rPr>
          <w:rStyle w:val="normal1"/>
        </w:rPr>
        <w:t>même</w:t>
      </w:r>
      <w:r w:rsidRPr="00C43CB4">
        <w:rPr>
          <w:rStyle w:val="normal1"/>
        </w:rPr>
        <w:t xml:space="preserve"> sous-catégorie</w:t>
      </w:r>
      <w:r>
        <w:rPr>
          <w:rStyle w:val="normal1"/>
        </w:rPr>
        <w:t>, afin de pouvoir moduler correctement sur le volume d’activité</w:t>
      </w:r>
    </w:p>
    <w:p w14:paraId="44497695" w14:textId="1D9C818A" w:rsidR="008268CA" w:rsidRDefault="009B7003" w:rsidP="008268CA">
      <w:pPr>
        <w:pStyle w:val="Corpsdetexte"/>
        <w:numPr>
          <w:ilvl w:val="0"/>
          <w:numId w:val="9"/>
        </w:numPr>
        <w:spacing w:after="0"/>
        <w:rPr>
          <w:rStyle w:val="normal1"/>
        </w:rPr>
      </w:pPr>
      <w:r>
        <w:rPr>
          <w:rStyle w:val="normal1"/>
        </w:rPr>
        <w:t>Correction de</w:t>
      </w:r>
      <w:r w:rsidR="008268CA" w:rsidRPr="00D2025D">
        <w:rPr>
          <w:rStyle w:val="normal1"/>
        </w:rPr>
        <w:t xml:space="preserve"> l</w:t>
      </w:r>
      <w:r>
        <w:rPr>
          <w:rStyle w:val="normal1"/>
        </w:rPr>
        <w:t>a</w:t>
      </w:r>
      <w:r w:rsidR="008268CA" w:rsidRPr="00D2025D">
        <w:rPr>
          <w:rStyle w:val="normal1"/>
        </w:rPr>
        <w:t xml:space="preserve"> formule du CVC saisonnalisé </w:t>
      </w:r>
      <w:r>
        <w:rPr>
          <w:rStyle w:val="normal1"/>
        </w:rPr>
        <w:t>afin de</w:t>
      </w:r>
      <w:r w:rsidR="008268CA" w:rsidRPr="00D2025D">
        <w:rPr>
          <w:rStyle w:val="normal1"/>
        </w:rPr>
        <w:t xml:space="preserve"> ne pas appliquer doublement la modulation</w:t>
      </w:r>
    </w:p>
    <w:p w14:paraId="607F7ABF" w14:textId="345B2F75" w:rsidR="00CC6469" w:rsidRDefault="009B7003" w:rsidP="003F577A">
      <w:pPr>
        <w:pStyle w:val="Corpsdetexte"/>
        <w:numPr>
          <w:ilvl w:val="0"/>
          <w:numId w:val="9"/>
        </w:numPr>
        <w:spacing w:after="0"/>
        <w:rPr>
          <w:rStyle w:val="normal1"/>
        </w:rPr>
      </w:pPr>
      <w:r>
        <w:rPr>
          <w:rStyle w:val="normal1"/>
        </w:rPr>
        <w:t xml:space="preserve">Correction </w:t>
      </w:r>
      <w:r w:rsidR="003F577A">
        <w:rPr>
          <w:rStyle w:val="normal1"/>
        </w:rPr>
        <w:t xml:space="preserve">de diverses coquilles, ou modifications </w:t>
      </w:r>
      <w:r w:rsidR="00441C40" w:rsidRPr="003F577A">
        <w:rPr>
          <w:rStyle w:val="normal1"/>
        </w:rPr>
        <w:t>mineures diverses dans les intitulés</w:t>
      </w:r>
      <w:r w:rsidR="00C43CB4">
        <w:rPr>
          <w:rStyle w:val="normal1"/>
        </w:rPr>
        <w:t>, dénominations ou nota pour cohérence</w:t>
      </w:r>
    </w:p>
    <w:p w14:paraId="0041AA4A" w14:textId="4F519BB3" w:rsidR="00CC6469" w:rsidRPr="003F577A" w:rsidRDefault="00CC6469" w:rsidP="003F577A">
      <w:pPr>
        <w:pStyle w:val="Corpsdetexte"/>
        <w:spacing w:after="0"/>
        <w:rPr>
          <w:rStyle w:val="normal1"/>
        </w:rPr>
      </w:pPr>
      <w:r>
        <w:rPr>
          <w:rStyle w:val="normal1"/>
        </w:rPr>
        <w:t xml:space="preserve">La liste </w:t>
      </w:r>
      <w:r w:rsidR="00DE40AA">
        <w:rPr>
          <w:rStyle w:val="normal1"/>
        </w:rPr>
        <w:t>plus détaillée</w:t>
      </w:r>
      <w:r>
        <w:rPr>
          <w:rStyle w:val="normal1"/>
        </w:rPr>
        <w:t xml:space="preserve"> de ces modifications est en annexe</w:t>
      </w:r>
      <w:r w:rsidR="003F577A">
        <w:rPr>
          <w:rStyle w:val="normal1"/>
        </w:rPr>
        <w:t xml:space="preserve"> de cette note</w:t>
      </w:r>
      <w:r>
        <w:rPr>
          <w:rStyle w:val="normal1"/>
        </w:rPr>
        <w:t xml:space="preserve">. </w:t>
      </w:r>
    </w:p>
    <w:p w14:paraId="09275FBA" w14:textId="77777777" w:rsidR="00C43CB4" w:rsidRPr="00441C40" w:rsidRDefault="00C43CB4" w:rsidP="003F577A">
      <w:pPr>
        <w:pStyle w:val="Corpsdetexte"/>
        <w:spacing w:after="0"/>
        <w:rPr>
          <w:rStyle w:val="normal1"/>
          <w:highlight w:val="yellow"/>
        </w:rPr>
      </w:pPr>
    </w:p>
    <w:p w14:paraId="5B60E3A9" w14:textId="536CBF56" w:rsidR="00061A3B" w:rsidRPr="00012A6B" w:rsidRDefault="00061A3B" w:rsidP="00441C40">
      <w:pPr>
        <w:pStyle w:val="Corpsdetexte"/>
        <w:spacing w:after="0"/>
        <w:rPr>
          <w:rStyle w:val="normal1"/>
        </w:rPr>
      </w:pPr>
      <w:r w:rsidRPr="00012A6B">
        <w:rPr>
          <w:rStyle w:val="normal1"/>
          <w:b/>
        </w:rPr>
        <w:t xml:space="preserve">L’article </w:t>
      </w:r>
      <w:r>
        <w:rPr>
          <w:rStyle w:val="normal1"/>
          <w:b/>
        </w:rPr>
        <w:t>4</w:t>
      </w:r>
      <w:r w:rsidRPr="00012A6B">
        <w:rPr>
          <w:rStyle w:val="normal1"/>
        </w:rPr>
        <w:t xml:space="preserve"> </w:t>
      </w:r>
      <w:r w:rsidR="00473577">
        <w:rPr>
          <w:rStyle w:val="normal1"/>
        </w:rPr>
        <w:t xml:space="preserve">supprime </w:t>
      </w:r>
      <w:r w:rsidR="008C4D15">
        <w:rPr>
          <w:rStyle w:val="normal1"/>
        </w:rPr>
        <w:t xml:space="preserve">et remplace </w:t>
      </w:r>
      <w:r w:rsidR="00473577">
        <w:rPr>
          <w:rStyle w:val="normal1"/>
        </w:rPr>
        <w:t>le tableau des coefficients</w:t>
      </w:r>
      <w:r w:rsidR="008C4D15">
        <w:rPr>
          <w:rStyle w:val="normal1"/>
        </w:rPr>
        <w:t xml:space="preserve"> pour le calcul de l’ajustement climatique</w:t>
      </w:r>
      <w:r w:rsidR="009B7003">
        <w:rPr>
          <w:rStyle w:val="normal1"/>
        </w:rPr>
        <w:t xml:space="preserve"> afin d’y ajouter</w:t>
      </w:r>
      <w:r w:rsidR="008B7834">
        <w:rPr>
          <w:rStyle w:val="normal1"/>
        </w:rPr>
        <w:t xml:space="preserve"> c</w:t>
      </w:r>
      <w:r w:rsidR="008C4D15">
        <w:rPr>
          <w:rStyle w:val="normal1"/>
        </w:rPr>
        <w:t>ertaines valeurs manquantes</w:t>
      </w:r>
      <w:r w:rsidR="003F577A">
        <w:rPr>
          <w:rStyle w:val="normal1"/>
        </w:rPr>
        <w:t xml:space="preserve"> </w:t>
      </w:r>
      <w:r w:rsidR="00DE7125">
        <w:rPr>
          <w:rStyle w:val="normal1"/>
        </w:rPr>
        <w:t xml:space="preserve">: </w:t>
      </w:r>
      <w:r w:rsidR="00441C40">
        <w:rPr>
          <w:rStyle w:val="normal1"/>
        </w:rPr>
        <w:t>é</w:t>
      </w:r>
      <w:r w:rsidR="00441C40" w:rsidRPr="00441C40">
        <w:rPr>
          <w:rStyle w:val="normal1"/>
        </w:rPr>
        <w:t xml:space="preserve">tablissement de </w:t>
      </w:r>
      <w:r w:rsidR="00441C40">
        <w:rPr>
          <w:rStyle w:val="normal1"/>
        </w:rPr>
        <w:t>b</w:t>
      </w:r>
      <w:r w:rsidR="00441C40" w:rsidRPr="00441C40">
        <w:rPr>
          <w:rStyle w:val="normal1"/>
        </w:rPr>
        <w:t xml:space="preserve">alnéothérapie – </w:t>
      </w:r>
      <w:r w:rsidR="00441C40">
        <w:rPr>
          <w:rStyle w:val="normal1"/>
        </w:rPr>
        <w:t>b</w:t>
      </w:r>
      <w:r w:rsidR="00441C40" w:rsidRPr="00441C40">
        <w:rPr>
          <w:rStyle w:val="normal1"/>
        </w:rPr>
        <w:t>assins et piscines (dont vestiaires et douches)</w:t>
      </w:r>
      <w:r w:rsidR="00441C40">
        <w:rPr>
          <w:rStyle w:val="normal1"/>
        </w:rPr>
        <w:t>, b</w:t>
      </w:r>
      <w:r w:rsidR="00441C40" w:rsidRPr="00441C40">
        <w:rPr>
          <w:rStyle w:val="normal1"/>
        </w:rPr>
        <w:t>lanchisseries</w:t>
      </w:r>
      <w:r w:rsidR="00441C40">
        <w:rPr>
          <w:rStyle w:val="normal1"/>
        </w:rPr>
        <w:t>, g</w:t>
      </w:r>
      <w:r w:rsidR="00441C40" w:rsidRPr="00441C40">
        <w:rPr>
          <w:rStyle w:val="normal1"/>
        </w:rPr>
        <w:t xml:space="preserve">rands </w:t>
      </w:r>
      <w:r w:rsidR="00441C40">
        <w:rPr>
          <w:rStyle w:val="normal1"/>
        </w:rPr>
        <w:t>m</w:t>
      </w:r>
      <w:r w:rsidR="00441C40" w:rsidRPr="00441C40">
        <w:rPr>
          <w:rStyle w:val="normal1"/>
        </w:rPr>
        <w:t>agasins</w:t>
      </w:r>
      <w:r w:rsidR="00441C40">
        <w:rPr>
          <w:rStyle w:val="normal1"/>
        </w:rPr>
        <w:t xml:space="preserve"> et</w:t>
      </w:r>
      <w:r w:rsidR="00441C40" w:rsidRPr="00441C40">
        <w:rPr>
          <w:rStyle w:val="normal1"/>
        </w:rPr>
        <w:t xml:space="preserve"> drive</w:t>
      </w:r>
      <w:r w:rsidR="00AE052C">
        <w:rPr>
          <w:rStyle w:val="normal1"/>
        </w:rPr>
        <w:t>, Service funéraire,</w:t>
      </w:r>
      <w:r w:rsidR="00C43CB4">
        <w:rPr>
          <w:rStyle w:val="normal1"/>
        </w:rPr>
        <w:t xml:space="preserve"> et modifi</w:t>
      </w:r>
      <w:r w:rsidR="00AE052C">
        <w:rPr>
          <w:rStyle w:val="normal1"/>
        </w:rPr>
        <w:t>er</w:t>
      </w:r>
      <w:r w:rsidR="00C43CB4">
        <w:rPr>
          <w:rStyle w:val="normal1"/>
        </w:rPr>
        <w:t xml:space="preserve"> : </w:t>
      </w:r>
      <w:r w:rsidR="00C43CB4" w:rsidRPr="00C43CB4">
        <w:rPr>
          <w:rStyle w:val="normal1"/>
        </w:rPr>
        <w:t>Etablissement de nuit et de loisirs – espace aqua ludique</w:t>
      </w:r>
      <w:r w:rsidR="008C4D15">
        <w:rPr>
          <w:rStyle w:val="normal1"/>
        </w:rPr>
        <w:t xml:space="preserve">. </w:t>
      </w:r>
    </w:p>
    <w:p w14:paraId="4619806E" w14:textId="316BED7D" w:rsidR="00061A3B" w:rsidRDefault="00061A3B" w:rsidP="00A945D7">
      <w:pPr>
        <w:pStyle w:val="Corpsdetexte"/>
        <w:spacing w:after="0"/>
        <w:rPr>
          <w:rStyle w:val="normal1"/>
          <w:highlight w:val="yellow"/>
        </w:rPr>
      </w:pPr>
    </w:p>
    <w:p w14:paraId="1482B1B3" w14:textId="423746EA" w:rsidR="008C4D15" w:rsidRDefault="008C4D15" w:rsidP="003F577A">
      <w:pPr>
        <w:spacing w:after="0"/>
        <w:jc w:val="both"/>
        <w:rPr>
          <w:rStyle w:val="normal1"/>
          <w:highlight w:val="yellow"/>
        </w:rPr>
      </w:pPr>
      <w:r w:rsidRPr="005B20B4">
        <w:rPr>
          <w:rStyle w:val="normal1"/>
          <w:rFonts w:ascii="Times New Roman" w:hAnsi="Times New Roman" w:cs="Times New Roman"/>
          <w:b/>
          <w:sz w:val="24"/>
          <w:szCs w:val="24"/>
        </w:rPr>
        <w:t>L’</w:t>
      </w:r>
      <w:r w:rsidRPr="00DA0D13">
        <w:rPr>
          <w:rStyle w:val="normal1"/>
          <w:rFonts w:ascii="Times New Roman" w:hAnsi="Times New Roman" w:cs="Times New Roman"/>
          <w:b/>
          <w:bCs/>
          <w:sz w:val="24"/>
          <w:szCs w:val="24"/>
        </w:rPr>
        <w:t xml:space="preserve">article </w:t>
      </w:r>
      <w:r>
        <w:rPr>
          <w:rStyle w:val="normal1"/>
          <w:rFonts w:ascii="Times New Roman" w:hAnsi="Times New Roman" w:cs="Times New Roman"/>
          <w:b/>
          <w:bCs/>
          <w:sz w:val="24"/>
          <w:szCs w:val="24"/>
        </w:rPr>
        <w:t>5</w:t>
      </w:r>
      <w:r w:rsidRPr="00DA0D13">
        <w:rPr>
          <w:rStyle w:val="normal1"/>
          <w:rFonts w:ascii="Times New Roman" w:hAnsi="Times New Roman" w:cs="Times New Roman"/>
          <w:b/>
          <w:bCs/>
          <w:sz w:val="24"/>
          <w:szCs w:val="24"/>
        </w:rPr>
        <w:t xml:space="preserve"> </w:t>
      </w:r>
      <w:r>
        <w:rPr>
          <w:rStyle w:val="normal1"/>
          <w:rFonts w:ascii="Times New Roman" w:hAnsi="Times New Roman" w:cs="Times New Roman"/>
          <w:bCs/>
          <w:sz w:val="24"/>
          <w:szCs w:val="24"/>
        </w:rPr>
        <w:t xml:space="preserve">supprime le modèle de l’attestation, devenu obsolète. </w:t>
      </w:r>
      <w:r w:rsidR="008A0DBD">
        <w:rPr>
          <w:rStyle w:val="normal1"/>
          <w:rFonts w:ascii="Times New Roman" w:hAnsi="Times New Roman" w:cs="Times New Roman"/>
          <w:bCs/>
          <w:sz w:val="24"/>
          <w:szCs w:val="24"/>
        </w:rPr>
        <w:t>L’article</w:t>
      </w:r>
      <w:r>
        <w:rPr>
          <w:rStyle w:val="normal1"/>
          <w:rFonts w:ascii="Times New Roman" w:hAnsi="Times New Roman" w:cs="Times New Roman"/>
          <w:bCs/>
          <w:sz w:val="24"/>
          <w:szCs w:val="24"/>
        </w:rPr>
        <w:t xml:space="preserve"> ajoute</w:t>
      </w:r>
      <w:r w:rsidR="008A0DBD">
        <w:rPr>
          <w:rStyle w:val="normal1"/>
          <w:rFonts w:ascii="Times New Roman" w:hAnsi="Times New Roman" w:cs="Times New Roman"/>
          <w:bCs/>
          <w:sz w:val="24"/>
          <w:szCs w:val="24"/>
        </w:rPr>
        <w:t xml:space="preserve"> également</w:t>
      </w:r>
      <w:r>
        <w:rPr>
          <w:rStyle w:val="normal1"/>
          <w:rFonts w:ascii="Times New Roman" w:hAnsi="Times New Roman" w:cs="Times New Roman"/>
          <w:bCs/>
          <w:sz w:val="24"/>
          <w:szCs w:val="24"/>
        </w:rPr>
        <w:t xml:space="preserve"> le coefficient de conversion du gaz naturel liquéfié (GNL) pour l’évaluation des émissions de gaz à effet de serre.</w:t>
      </w:r>
    </w:p>
    <w:p w14:paraId="333B8247" w14:textId="77777777" w:rsidR="00F40E37" w:rsidRPr="0015621E" w:rsidRDefault="00F40E37" w:rsidP="00A945D7">
      <w:pPr>
        <w:pStyle w:val="Corpsdetexte"/>
        <w:spacing w:after="0"/>
        <w:rPr>
          <w:rStyle w:val="normal1"/>
          <w:highlight w:val="yellow"/>
        </w:rPr>
      </w:pPr>
    </w:p>
    <w:p w14:paraId="4B941D29" w14:textId="75B1888B" w:rsidR="00B9051A" w:rsidRPr="0015621E" w:rsidRDefault="00595322" w:rsidP="0056033E">
      <w:pPr>
        <w:spacing w:after="0"/>
        <w:jc w:val="both"/>
        <w:rPr>
          <w:rStyle w:val="normal1"/>
          <w:rFonts w:ascii="Times New Roman" w:hAnsi="Times New Roman" w:cs="Times New Roman"/>
          <w:bCs/>
          <w:sz w:val="24"/>
          <w:szCs w:val="24"/>
          <w:lang w:eastAsia="fr-FR"/>
        </w:rPr>
      </w:pPr>
      <w:r w:rsidRPr="003F577A">
        <w:rPr>
          <w:rStyle w:val="normal1"/>
          <w:rFonts w:ascii="Times New Roman" w:hAnsi="Times New Roman" w:cs="Times New Roman"/>
          <w:b/>
          <w:sz w:val="24"/>
          <w:szCs w:val="24"/>
        </w:rPr>
        <w:t>L’</w:t>
      </w:r>
      <w:r w:rsidRPr="00DA0D13">
        <w:rPr>
          <w:rStyle w:val="normal1"/>
          <w:rFonts w:ascii="Times New Roman" w:hAnsi="Times New Roman" w:cs="Times New Roman"/>
          <w:b/>
          <w:bCs/>
          <w:sz w:val="24"/>
          <w:szCs w:val="24"/>
        </w:rPr>
        <w:t xml:space="preserve">article </w:t>
      </w:r>
      <w:r w:rsidR="00061A3B">
        <w:rPr>
          <w:rStyle w:val="normal1"/>
          <w:rFonts w:ascii="Times New Roman" w:hAnsi="Times New Roman" w:cs="Times New Roman"/>
          <w:b/>
          <w:bCs/>
          <w:sz w:val="24"/>
          <w:szCs w:val="24"/>
        </w:rPr>
        <w:t>6</w:t>
      </w:r>
      <w:r w:rsidR="00061A3B" w:rsidRPr="00DA0D13">
        <w:rPr>
          <w:rStyle w:val="normal1"/>
          <w:rFonts w:ascii="Times New Roman" w:hAnsi="Times New Roman" w:cs="Times New Roman"/>
          <w:b/>
          <w:bCs/>
          <w:sz w:val="24"/>
          <w:szCs w:val="24"/>
        </w:rPr>
        <w:t xml:space="preserve"> </w:t>
      </w:r>
      <w:r w:rsidRPr="00DA0D13">
        <w:rPr>
          <w:rStyle w:val="normal1"/>
          <w:rFonts w:ascii="Times New Roman" w:hAnsi="Times New Roman" w:cs="Times New Roman"/>
          <w:bCs/>
          <w:sz w:val="24"/>
          <w:szCs w:val="24"/>
        </w:rPr>
        <w:t>est l’article d’exécution.</w:t>
      </w:r>
    </w:p>
    <w:p w14:paraId="741D4310" w14:textId="0D01A3C8" w:rsidR="0056033E" w:rsidRDefault="0056033E" w:rsidP="0056033E">
      <w:pPr>
        <w:spacing w:after="0"/>
        <w:jc w:val="both"/>
        <w:rPr>
          <w:rStyle w:val="normal1"/>
          <w:rFonts w:ascii="Times New Roman" w:hAnsi="Times New Roman" w:cs="Times New Roman"/>
          <w:bCs/>
          <w:sz w:val="24"/>
          <w:szCs w:val="24"/>
          <w:highlight w:val="yellow"/>
        </w:rPr>
      </w:pPr>
    </w:p>
    <w:p w14:paraId="12F4D5CC" w14:textId="77777777" w:rsidR="00F40E37" w:rsidRPr="0015621E" w:rsidRDefault="00F40E37" w:rsidP="0056033E">
      <w:pPr>
        <w:spacing w:after="0"/>
        <w:jc w:val="both"/>
        <w:rPr>
          <w:rStyle w:val="normal1"/>
          <w:rFonts w:ascii="Times New Roman" w:hAnsi="Times New Roman" w:cs="Times New Roman"/>
          <w:bCs/>
          <w:sz w:val="24"/>
          <w:szCs w:val="24"/>
          <w:highlight w:val="yellow"/>
        </w:rPr>
      </w:pPr>
    </w:p>
    <w:p w14:paraId="314984C9" w14:textId="0DF5299A" w:rsidR="00715679" w:rsidRDefault="00715679" w:rsidP="0056033E">
      <w:pPr>
        <w:spacing w:after="0"/>
        <w:jc w:val="both"/>
        <w:rPr>
          <w:rStyle w:val="normal1"/>
          <w:rFonts w:ascii="Times New Roman" w:hAnsi="Times New Roman" w:cs="Times New Roman"/>
          <w:bCs/>
          <w:sz w:val="24"/>
          <w:szCs w:val="24"/>
        </w:rPr>
      </w:pPr>
      <w:r w:rsidRPr="00DA0D13">
        <w:rPr>
          <w:rStyle w:val="normal1"/>
          <w:rFonts w:ascii="Times New Roman" w:hAnsi="Times New Roman" w:cs="Times New Roman"/>
          <w:b/>
          <w:bCs/>
          <w:sz w:val="24"/>
          <w:szCs w:val="24"/>
        </w:rPr>
        <w:t>L’annexe</w:t>
      </w:r>
      <w:r w:rsidR="00086C18">
        <w:rPr>
          <w:rStyle w:val="normal1"/>
          <w:rFonts w:ascii="Times New Roman" w:hAnsi="Times New Roman" w:cs="Times New Roman"/>
          <w:b/>
          <w:bCs/>
          <w:sz w:val="24"/>
          <w:szCs w:val="24"/>
        </w:rPr>
        <w:t xml:space="preserve"> I</w:t>
      </w:r>
      <w:r w:rsidRPr="00DA0D13">
        <w:rPr>
          <w:rStyle w:val="normal1"/>
          <w:rFonts w:ascii="Times New Roman" w:hAnsi="Times New Roman" w:cs="Times New Roman"/>
          <w:bCs/>
          <w:sz w:val="24"/>
          <w:szCs w:val="24"/>
        </w:rPr>
        <w:t xml:space="preserve"> définit les valeurs absolues 2030 pour </w:t>
      </w:r>
      <w:r w:rsidR="008C4D15">
        <w:rPr>
          <w:rStyle w:val="normal1"/>
          <w:rFonts w:ascii="Times New Roman" w:hAnsi="Times New Roman" w:cs="Times New Roman"/>
          <w:bCs/>
          <w:sz w:val="24"/>
          <w:szCs w:val="24"/>
        </w:rPr>
        <w:t xml:space="preserve">toutes les catégories déjà publiées ainsi que pour </w:t>
      </w:r>
      <w:r w:rsidR="008B7834">
        <w:rPr>
          <w:rStyle w:val="normal1"/>
          <w:rFonts w:ascii="Times New Roman" w:hAnsi="Times New Roman" w:cs="Times New Roman"/>
          <w:bCs/>
          <w:sz w:val="24"/>
          <w:szCs w:val="24"/>
        </w:rPr>
        <w:t>les</w:t>
      </w:r>
      <w:r w:rsidR="00D556E9">
        <w:rPr>
          <w:rStyle w:val="normal1"/>
          <w:rFonts w:ascii="Times New Roman" w:hAnsi="Times New Roman" w:cs="Times New Roman"/>
          <w:bCs/>
          <w:sz w:val="24"/>
          <w:szCs w:val="24"/>
        </w:rPr>
        <w:t xml:space="preserve"> commerces,</w:t>
      </w:r>
      <w:r w:rsidR="008B7834">
        <w:rPr>
          <w:rStyle w:val="normal1"/>
          <w:rFonts w:ascii="Times New Roman" w:hAnsi="Times New Roman" w:cs="Times New Roman"/>
          <w:bCs/>
          <w:sz w:val="24"/>
          <w:szCs w:val="24"/>
        </w:rPr>
        <w:t xml:space="preserve"> </w:t>
      </w:r>
      <w:r w:rsidR="00D556E9">
        <w:rPr>
          <w:rStyle w:val="normal1"/>
          <w:rFonts w:ascii="Times New Roman" w:hAnsi="Times New Roman" w:cs="Times New Roman"/>
          <w:bCs/>
          <w:sz w:val="24"/>
          <w:szCs w:val="24"/>
        </w:rPr>
        <w:t xml:space="preserve">les </w:t>
      </w:r>
      <w:r w:rsidR="008C4D15">
        <w:rPr>
          <w:rStyle w:val="normal1"/>
          <w:rFonts w:ascii="Times New Roman" w:hAnsi="Times New Roman" w:cs="Times New Roman"/>
          <w:bCs/>
          <w:sz w:val="24"/>
          <w:szCs w:val="24"/>
        </w:rPr>
        <w:t xml:space="preserve">cinémas, </w:t>
      </w:r>
      <w:r w:rsidR="008B7834">
        <w:rPr>
          <w:rStyle w:val="normal1"/>
          <w:rFonts w:ascii="Times New Roman" w:hAnsi="Times New Roman" w:cs="Times New Roman"/>
          <w:bCs/>
          <w:sz w:val="24"/>
          <w:szCs w:val="24"/>
        </w:rPr>
        <w:t xml:space="preserve">les </w:t>
      </w:r>
      <w:r w:rsidR="008C4D15">
        <w:rPr>
          <w:rStyle w:val="normal1"/>
          <w:rFonts w:ascii="Times New Roman" w:hAnsi="Times New Roman" w:cs="Times New Roman"/>
          <w:bCs/>
          <w:sz w:val="24"/>
          <w:szCs w:val="24"/>
        </w:rPr>
        <w:t xml:space="preserve">services funéraires, </w:t>
      </w:r>
      <w:r w:rsidR="00D556E9">
        <w:rPr>
          <w:rStyle w:val="normal1"/>
          <w:rFonts w:ascii="Times New Roman" w:hAnsi="Times New Roman" w:cs="Times New Roman"/>
          <w:bCs/>
          <w:sz w:val="24"/>
          <w:szCs w:val="24"/>
        </w:rPr>
        <w:t xml:space="preserve">les banques, </w:t>
      </w:r>
      <w:r w:rsidR="008C4D15">
        <w:rPr>
          <w:rStyle w:val="normal1"/>
          <w:rFonts w:ascii="Times New Roman" w:hAnsi="Times New Roman" w:cs="Times New Roman"/>
          <w:bCs/>
          <w:sz w:val="24"/>
          <w:szCs w:val="24"/>
        </w:rPr>
        <w:t xml:space="preserve">les valeurs CVC des départements d’Outre-Mer et </w:t>
      </w:r>
      <w:r w:rsidR="008B7834">
        <w:rPr>
          <w:rStyle w:val="normal1"/>
          <w:rFonts w:ascii="Times New Roman" w:hAnsi="Times New Roman" w:cs="Times New Roman"/>
          <w:bCs/>
          <w:sz w:val="24"/>
          <w:szCs w:val="24"/>
        </w:rPr>
        <w:t>les</w:t>
      </w:r>
      <w:r w:rsidR="008C4D15">
        <w:rPr>
          <w:rStyle w:val="normal1"/>
          <w:rFonts w:ascii="Times New Roman" w:hAnsi="Times New Roman" w:cs="Times New Roman"/>
          <w:bCs/>
          <w:sz w:val="24"/>
          <w:szCs w:val="24"/>
        </w:rPr>
        <w:t xml:space="preserve"> </w:t>
      </w:r>
      <w:r w:rsidR="00D556E9">
        <w:rPr>
          <w:rStyle w:val="normal1"/>
          <w:rFonts w:ascii="Times New Roman" w:hAnsi="Times New Roman" w:cs="Times New Roman"/>
          <w:bCs/>
          <w:sz w:val="24"/>
          <w:szCs w:val="24"/>
        </w:rPr>
        <w:t xml:space="preserve">sous-catégories </w:t>
      </w:r>
      <w:r w:rsidR="008C4D15">
        <w:rPr>
          <w:rStyle w:val="normal1"/>
          <w:rFonts w:ascii="Times New Roman" w:hAnsi="Times New Roman" w:cs="Times New Roman"/>
          <w:bCs/>
          <w:sz w:val="24"/>
          <w:szCs w:val="24"/>
        </w:rPr>
        <w:t>bureaux</w:t>
      </w:r>
      <w:r w:rsidR="008B7834">
        <w:rPr>
          <w:rStyle w:val="normal1"/>
          <w:rFonts w:ascii="Times New Roman" w:hAnsi="Times New Roman" w:cs="Times New Roman"/>
          <w:bCs/>
          <w:sz w:val="24"/>
          <w:szCs w:val="24"/>
        </w:rPr>
        <w:t xml:space="preserve"> au sein de chaque catégorie</w:t>
      </w:r>
      <w:r w:rsidR="008C4D15">
        <w:rPr>
          <w:rStyle w:val="normal1"/>
          <w:rFonts w:ascii="Times New Roman" w:hAnsi="Times New Roman" w:cs="Times New Roman"/>
          <w:bCs/>
          <w:sz w:val="24"/>
          <w:szCs w:val="24"/>
        </w:rPr>
        <w:t xml:space="preserve">. L’annexe I constitue la compilation de toutes les valeurs absolues pour 2030 et </w:t>
      </w:r>
      <w:r w:rsidR="00680D76">
        <w:rPr>
          <w:rStyle w:val="normal1"/>
          <w:rFonts w:ascii="Times New Roman" w:hAnsi="Times New Roman" w:cs="Times New Roman"/>
          <w:bCs/>
          <w:sz w:val="24"/>
          <w:szCs w:val="24"/>
        </w:rPr>
        <w:t>met</w:t>
      </w:r>
      <w:r w:rsidR="008C4D15">
        <w:rPr>
          <w:rStyle w:val="normal1"/>
          <w:rFonts w:ascii="Times New Roman" w:hAnsi="Times New Roman" w:cs="Times New Roman"/>
          <w:bCs/>
          <w:sz w:val="24"/>
          <w:szCs w:val="24"/>
        </w:rPr>
        <w:t xml:space="preserve"> fin </w:t>
      </w:r>
      <w:r w:rsidR="00680D76">
        <w:rPr>
          <w:rStyle w:val="normal1"/>
          <w:rFonts w:ascii="Times New Roman" w:hAnsi="Times New Roman" w:cs="Times New Roman"/>
          <w:bCs/>
          <w:sz w:val="24"/>
          <w:szCs w:val="24"/>
        </w:rPr>
        <w:t>à</w:t>
      </w:r>
      <w:r w:rsidR="008C4D15">
        <w:rPr>
          <w:rStyle w:val="normal1"/>
          <w:rFonts w:ascii="Times New Roman" w:hAnsi="Times New Roman" w:cs="Times New Roman"/>
          <w:bCs/>
          <w:sz w:val="24"/>
          <w:szCs w:val="24"/>
        </w:rPr>
        <w:t xml:space="preserve"> ce travail de définition</w:t>
      </w:r>
      <w:r w:rsidR="00680D76">
        <w:rPr>
          <w:rStyle w:val="normal1"/>
          <w:rFonts w:ascii="Times New Roman" w:hAnsi="Times New Roman" w:cs="Times New Roman"/>
          <w:bCs/>
          <w:sz w:val="24"/>
          <w:szCs w:val="24"/>
        </w:rPr>
        <w:t xml:space="preserve"> pour 2030</w:t>
      </w:r>
      <w:r w:rsidR="008C4D15">
        <w:rPr>
          <w:rStyle w:val="normal1"/>
          <w:rFonts w:ascii="Times New Roman" w:hAnsi="Times New Roman" w:cs="Times New Roman"/>
          <w:bCs/>
          <w:sz w:val="24"/>
          <w:szCs w:val="24"/>
        </w:rPr>
        <w:t>.</w:t>
      </w:r>
    </w:p>
    <w:p w14:paraId="7E455BD9" w14:textId="45E1995B" w:rsidR="00086C18" w:rsidRDefault="00086C18" w:rsidP="0056033E">
      <w:pPr>
        <w:spacing w:after="0"/>
        <w:jc w:val="both"/>
        <w:rPr>
          <w:rStyle w:val="normal1"/>
          <w:rFonts w:ascii="Times New Roman" w:hAnsi="Times New Roman" w:cs="Times New Roman"/>
          <w:bCs/>
          <w:sz w:val="24"/>
          <w:szCs w:val="24"/>
        </w:rPr>
      </w:pPr>
    </w:p>
    <w:p w14:paraId="7AC505E8" w14:textId="1AAB83FB" w:rsidR="00086C18" w:rsidRDefault="00086C18" w:rsidP="0056033E">
      <w:pPr>
        <w:spacing w:after="0"/>
        <w:jc w:val="both"/>
        <w:rPr>
          <w:rStyle w:val="normal1"/>
          <w:rFonts w:ascii="Times New Roman" w:hAnsi="Times New Roman" w:cs="Times New Roman"/>
          <w:bCs/>
          <w:sz w:val="24"/>
          <w:szCs w:val="24"/>
        </w:rPr>
      </w:pPr>
      <w:r>
        <w:rPr>
          <w:rStyle w:val="normal1"/>
          <w:rFonts w:ascii="Times New Roman" w:hAnsi="Times New Roman" w:cs="Times New Roman"/>
          <w:b/>
          <w:bCs/>
          <w:sz w:val="24"/>
          <w:szCs w:val="24"/>
        </w:rPr>
        <w:t>L’annexe II</w:t>
      </w:r>
      <w:r>
        <w:rPr>
          <w:rStyle w:val="normal1"/>
          <w:rFonts w:ascii="Times New Roman" w:hAnsi="Times New Roman" w:cs="Times New Roman"/>
          <w:bCs/>
          <w:sz w:val="24"/>
          <w:szCs w:val="24"/>
        </w:rPr>
        <w:t xml:space="preserve"> </w:t>
      </w:r>
      <w:r w:rsidR="009A149F">
        <w:rPr>
          <w:rStyle w:val="normal1"/>
          <w:rFonts w:ascii="Times New Roman" w:hAnsi="Times New Roman" w:cs="Times New Roman"/>
          <w:bCs/>
          <w:sz w:val="24"/>
          <w:szCs w:val="24"/>
        </w:rPr>
        <w:t>définit les coefficients applicables pour la méthode d’ajustement climatique.</w:t>
      </w:r>
    </w:p>
    <w:p w14:paraId="40F2F5E5" w14:textId="43D0377F" w:rsidR="00A46863" w:rsidRDefault="00A46863" w:rsidP="0056033E">
      <w:pPr>
        <w:spacing w:after="0"/>
        <w:jc w:val="both"/>
        <w:rPr>
          <w:rStyle w:val="normal1"/>
          <w:rFonts w:ascii="Times New Roman" w:hAnsi="Times New Roman" w:cs="Times New Roman"/>
          <w:bCs/>
          <w:sz w:val="24"/>
          <w:szCs w:val="24"/>
        </w:rPr>
      </w:pPr>
    </w:p>
    <w:p w14:paraId="2ED6506E" w14:textId="67376CF1" w:rsidR="00A46863" w:rsidRDefault="0044630D" w:rsidP="00A46863">
      <w:pPr>
        <w:pStyle w:val="m-BlocReference"/>
        <w:rPr>
          <w:rFonts w:ascii="Times New Roman" w:hAnsi="Times New Roman"/>
          <w:bCs/>
          <w:sz w:val="24"/>
        </w:rPr>
      </w:pPr>
      <w:r>
        <w:rPr>
          <w:rFonts w:ascii="Times New Roman" w:hAnsi="Times New Roman"/>
          <w:bCs/>
          <w:sz w:val="24"/>
        </w:rPr>
        <w:t>Le document « </w:t>
      </w:r>
      <w:r w:rsidRPr="0044630D">
        <w:rPr>
          <w:rFonts w:ascii="Times New Roman" w:hAnsi="Times New Roman"/>
          <w:bCs/>
          <w:sz w:val="24"/>
        </w:rPr>
        <w:t>Liste des ajouts et modifications apportées par les Annexes I et II</w:t>
      </w:r>
      <w:r>
        <w:rPr>
          <w:rFonts w:ascii="Times New Roman" w:hAnsi="Times New Roman"/>
          <w:bCs/>
          <w:sz w:val="24"/>
        </w:rPr>
        <w:t> »</w:t>
      </w:r>
      <w:r w:rsidR="00A46863">
        <w:rPr>
          <w:rFonts w:ascii="Times New Roman" w:hAnsi="Times New Roman"/>
          <w:bCs/>
          <w:sz w:val="24"/>
        </w:rPr>
        <w:t xml:space="preserve">, téléchargeable ci-dessous, présente plus en détail les </w:t>
      </w:r>
      <w:r w:rsidR="00A46863" w:rsidRPr="00DE340D">
        <w:rPr>
          <w:rFonts w:ascii="Times New Roman" w:hAnsi="Times New Roman"/>
          <w:bCs/>
          <w:sz w:val="24"/>
        </w:rPr>
        <w:t>modifications et ajouts</w:t>
      </w:r>
      <w:r w:rsidR="00A46863">
        <w:rPr>
          <w:rFonts w:ascii="Times New Roman" w:hAnsi="Times New Roman"/>
          <w:bCs/>
          <w:sz w:val="24"/>
        </w:rPr>
        <w:t xml:space="preserve"> apportés par ces annexes.</w:t>
      </w:r>
    </w:p>
    <w:p w14:paraId="17E1FB6E" w14:textId="537764F4" w:rsidR="00A46863" w:rsidRDefault="00A46863" w:rsidP="00A46863">
      <w:pPr>
        <w:pStyle w:val="m-BlocReference"/>
        <w:rPr>
          <w:rFonts w:ascii="Times New Roman" w:hAnsi="Times New Roman"/>
          <w:bCs/>
          <w:sz w:val="24"/>
        </w:rPr>
      </w:pPr>
    </w:p>
    <w:p w14:paraId="2668D51C" w14:textId="11A59E4F" w:rsidR="00A46863" w:rsidRPr="000A63C1" w:rsidRDefault="00A46863" w:rsidP="00A46863">
      <w:pPr>
        <w:pStyle w:val="m-BlocReference"/>
        <w:rPr>
          <w:rFonts w:ascii="Times New Roman" w:hAnsi="Times New Roman"/>
          <w:bCs/>
          <w:sz w:val="24"/>
        </w:rPr>
      </w:pPr>
      <w:r>
        <w:rPr>
          <w:rFonts w:ascii="Times New Roman" w:hAnsi="Times New Roman"/>
          <w:bCs/>
          <w:sz w:val="24"/>
        </w:rPr>
        <w:t xml:space="preserve">Le contenu des annexes I et II est disponible au lien suivant : </w:t>
      </w:r>
      <w:hyperlink r:id="rId6" w:history="1">
        <w:r w:rsidRPr="00AC0373">
          <w:rPr>
            <w:rStyle w:val="Lienhypertexte"/>
            <w:rFonts w:ascii="Times New Roman" w:hAnsi="Times New Roman"/>
            <w:bCs/>
            <w:sz w:val="24"/>
          </w:rPr>
          <w:t>https://rt-re-batiment.developpement-durable.gouv.fr/batiments-tertiaires-obligations-d-actions-de-r477.html</w:t>
        </w:r>
      </w:hyperlink>
      <w:r>
        <w:rPr>
          <w:rFonts w:ascii="Times New Roman" w:hAnsi="Times New Roman"/>
          <w:bCs/>
          <w:sz w:val="24"/>
        </w:rPr>
        <w:t xml:space="preserve"> </w:t>
      </w:r>
    </w:p>
    <w:p w14:paraId="25EDCCCB" w14:textId="77777777" w:rsidR="00A46863" w:rsidRDefault="00A46863" w:rsidP="0056033E">
      <w:pPr>
        <w:spacing w:after="0"/>
        <w:jc w:val="both"/>
        <w:rPr>
          <w:rStyle w:val="normal1"/>
          <w:rFonts w:ascii="Times New Roman" w:hAnsi="Times New Roman" w:cs="Times New Roman"/>
          <w:bCs/>
          <w:sz w:val="24"/>
          <w:szCs w:val="24"/>
        </w:rPr>
      </w:pPr>
    </w:p>
    <w:p w14:paraId="3788B4EE" w14:textId="19B7005D" w:rsidR="00DE340D" w:rsidRDefault="00DE340D">
      <w:pPr>
        <w:rPr>
          <w:rStyle w:val="normal1"/>
          <w:rFonts w:ascii="Times New Roman" w:hAnsi="Times New Roman" w:cs="Times New Roman"/>
          <w:bCs/>
          <w:sz w:val="24"/>
          <w:szCs w:val="24"/>
        </w:rPr>
      </w:pPr>
    </w:p>
    <w:sectPr w:rsidR="00DE34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52">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BB9"/>
    <w:multiLevelType w:val="hybridMultilevel"/>
    <w:tmpl w:val="35E2B05C"/>
    <w:lvl w:ilvl="0" w:tplc="9C223E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B4D83"/>
    <w:multiLevelType w:val="hybridMultilevel"/>
    <w:tmpl w:val="B70E2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3C49A4"/>
    <w:multiLevelType w:val="hybridMultilevel"/>
    <w:tmpl w:val="AA40F74E"/>
    <w:lvl w:ilvl="0" w:tplc="BA2CCB30">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4724FE"/>
    <w:multiLevelType w:val="hybridMultilevel"/>
    <w:tmpl w:val="B3927834"/>
    <w:lvl w:ilvl="0" w:tplc="83E21978">
      <w:start w:val="1"/>
      <w:numFmt w:val="bullet"/>
      <w:lvlText w:val=""/>
      <w:lvlJc w:val="left"/>
      <w:pPr>
        <w:tabs>
          <w:tab w:val="num" w:pos="780"/>
        </w:tabs>
        <w:ind w:left="780" w:hanging="360"/>
      </w:pPr>
      <w:rPr>
        <w:rFonts w:ascii="Symbol" w:hAnsi="Symbol"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start w:val="1"/>
      <w:numFmt w:val="bullet"/>
      <w:lvlText w:val=""/>
      <w:lvlJc w:val="left"/>
      <w:pPr>
        <w:tabs>
          <w:tab w:val="num" w:pos="2220"/>
        </w:tabs>
        <w:ind w:left="2220" w:hanging="360"/>
      </w:pPr>
      <w:rPr>
        <w:rFonts w:ascii="Wingdings" w:hAnsi="Wingdings" w:hint="default"/>
      </w:rPr>
    </w:lvl>
    <w:lvl w:ilvl="3" w:tplc="040C0001">
      <w:start w:val="1"/>
      <w:numFmt w:val="bullet"/>
      <w:lvlText w:val=""/>
      <w:lvlJc w:val="left"/>
      <w:pPr>
        <w:tabs>
          <w:tab w:val="num" w:pos="2940"/>
        </w:tabs>
        <w:ind w:left="2940" w:hanging="360"/>
      </w:pPr>
      <w:rPr>
        <w:rFonts w:ascii="Symbol" w:hAnsi="Symbol" w:hint="default"/>
      </w:rPr>
    </w:lvl>
    <w:lvl w:ilvl="4" w:tplc="040C0003">
      <w:start w:val="1"/>
      <w:numFmt w:val="bullet"/>
      <w:lvlText w:val="o"/>
      <w:lvlJc w:val="left"/>
      <w:pPr>
        <w:tabs>
          <w:tab w:val="num" w:pos="3660"/>
        </w:tabs>
        <w:ind w:left="3660" w:hanging="360"/>
      </w:pPr>
      <w:rPr>
        <w:rFonts w:ascii="Courier New" w:hAnsi="Courier New" w:cs="Courier New" w:hint="default"/>
      </w:rPr>
    </w:lvl>
    <w:lvl w:ilvl="5" w:tplc="040C0005">
      <w:start w:val="1"/>
      <w:numFmt w:val="bullet"/>
      <w:lvlText w:val=""/>
      <w:lvlJc w:val="left"/>
      <w:pPr>
        <w:tabs>
          <w:tab w:val="num" w:pos="4380"/>
        </w:tabs>
        <w:ind w:left="4380" w:hanging="360"/>
      </w:pPr>
      <w:rPr>
        <w:rFonts w:ascii="Wingdings" w:hAnsi="Wingdings" w:hint="default"/>
      </w:rPr>
    </w:lvl>
    <w:lvl w:ilvl="6" w:tplc="040C0001">
      <w:start w:val="1"/>
      <w:numFmt w:val="bullet"/>
      <w:lvlText w:val=""/>
      <w:lvlJc w:val="left"/>
      <w:pPr>
        <w:tabs>
          <w:tab w:val="num" w:pos="5100"/>
        </w:tabs>
        <w:ind w:left="5100" w:hanging="360"/>
      </w:pPr>
      <w:rPr>
        <w:rFonts w:ascii="Symbol" w:hAnsi="Symbol" w:hint="default"/>
      </w:rPr>
    </w:lvl>
    <w:lvl w:ilvl="7" w:tplc="040C0003">
      <w:start w:val="1"/>
      <w:numFmt w:val="bullet"/>
      <w:lvlText w:val="o"/>
      <w:lvlJc w:val="left"/>
      <w:pPr>
        <w:tabs>
          <w:tab w:val="num" w:pos="5820"/>
        </w:tabs>
        <w:ind w:left="5820" w:hanging="360"/>
      </w:pPr>
      <w:rPr>
        <w:rFonts w:ascii="Courier New" w:hAnsi="Courier New" w:cs="Courier New" w:hint="default"/>
      </w:rPr>
    </w:lvl>
    <w:lvl w:ilvl="8" w:tplc="040C0005">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2E14333"/>
    <w:multiLevelType w:val="hybridMultilevel"/>
    <w:tmpl w:val="947E1916"/>
    <w:lvl w:ilvl="0" w:tplc="515825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8612A"/>
    <w:multiLevelType w:val="hybridMultilevel"/>
    <w:tmpl w:val="596E649E"/>
    <w:lvl w:ilvl="0" w:tplc="DC8EE016">
      <w:start w:val="2"/>
      <w:numFmt w:val="bullet"/>
      <w:lvlText w:val="-"/>
      <w:lvlJc w:val="left"/>
      <w:pPr>
        <w:ind w:left="720" w:hanging="360"/>
      </w:pPr>
      <w:rPr>
        <w:rFonts w:ascii="Times New Roman" w:eastAsia="font452"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7C5743"/>
    <w:multiLevelType w:val="hybridMultilevel"/>
    <w:tmpl w:val="91D8945C"/>
    <w:lvl w:ilvl="0" w:tplc="9F3AFE5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C175B0"/>
    <w:multiLevelType w:val="hybridMultilevel"/>
    <w:tmpl w:val="CEE48534"/>
    <w:lvl w:ilvl="0" w:tplc="D7FCA19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C3F5983"/>
    <w:multiLevelType w:val="hybridMultilevel"/>
    <w:tmpl w:val="920C45B0"/>
    <w:lvl w:ilvl="0" w:tplc="28B4E840">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5"/>
  </w:num>
  <w:num w:numId="5">
    <w:abstractNumId w:val="6"/>
  </w:num>
  <w:num w:numId="6">
    <w:abstractNumId w:val="7"/>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4BF"/>
    <w:rsid w:val="00012A6B"/>
    <w:rsid w:val="00040C25"/>
    <w:rsid w:val="00061A3B"/>
    <w:rsid w:val="00070B53"/>
    <w:rsid w:val="0008500B"/>
    <w:rsid w:val="00086C18"/>
    <w:rsid w:val="000A02CD"/>
    <w:rsid w:val="000A63C1"/>
    <w:rsid w:val="000B0E87"/>
    <w:rsid w:val="000B799F"/>
    <w:rsid w:val="00112E07"/>
    <w:rsid w:val="0015148A"/>
    <w:rsid w:val="0015621E"/>
    <w:rsid w:val="00177F04"/>
    <w:rsid w:val="00187FCA"/>
    <w:rsid w:val="001A1084"/>
    <w:rsid w:val="001A1366"/>
    <w:rsid w:val="001A449F"/>
    <w:rsid w:val="001A45ED"/>
    <w:rsid w:val="00233F3B"/>
    <w:rsid w:val="00241C8D"/>
    <w:rsid w:val="00281FFC"/>
    <w:rsid w:val="002B669C"/>
    <w:rsid w:val="002F137A"/>
    <w:rsid w:val="003032B1"/>
    <w:rsid w:val="00310F1E"/>
    <w:rsid w:val="00360922"/>
    <w:rsid w:val="003718FF"/>
    <w:rsid w:val="003850D3"/>
    <w:rsid w:val="003B173D"/>
    <w:rsid w:val="003D0C9C"/>
    <w:rsid w:val="003E28B8"/>
    <w:rsid w:val="003F577A"/>
    <w:rsid w:val="004076FC"/>
    <w:rsid w:val="00441C40"/>
    <w:rsid w:val="0044630D"/>
    <w:rsid w:val="00446D72"/>
    <w:rsid w:val="004567F5"/>
    <w:rsid w:val="004606A5"/>
    <w:rsid w:val="00462530"/>
    <w:rsid w:val="00467551"/>
    <w:rsid w:val="00473577"/>
    <w:rsid w:val="00483C82"/>
    <w:rsid w:val="0048728A"/>
    <w:rsid w:val="0049310A"/>
    <w:rsid w:val="00495D3D"/>
    <w:rsid w:val="004A534A"/>
    <w:rsid w:val="004A6630"/>
    <w:rsid w:val="004C16B1"/>
    <w:rsid w:val="004C7160"/>
    <w:rsid w:val="00513995"/>
    <w:rsid w:val="0052233E"/>
    <w:rsid w:val="00530241"/>
    <w:rsid w:val="00541AFF"/>
    <w:rsid w:val="00551B5F"/>
    <w:rsid w:val="0056033E"/>
    <w:rsid w:val="00595322"/>
    <w:rsid w:val="005B2D54"/>
    <w:rsid w:val="005B5D79"/>
    <w:rsid w:val="005C4BE0"/>
    <w:rsid w:val="005F246B"/>
    <w:rsid w:val="0060302C"/>
    <w:rsid w:val="006069B9"/>
    <w:rsid w:val="006102DE"/>
    <w:rsid w:val="00626549"/>
    <w:rsid w:val="006322E7"/>
    <w:rsid w:val="00653676"/>
    <w:rsid w:val="00674D4B"/>
    <w:rsid w:val="00680D76"/>
    <w:rsid w:val="006B1624"/>
    <w:rsid w:val="006C3259"/>
    <w:rsid w:val="006C7301"/>
    <w:rsid w:val="007134B6"/>
    <w:rsid w:val="00715679"/>
    <w:rsid w:val="00716E4D"/>
    <w:rsid w:val="007419F9"/>
    <w:rsid w:val="00746648"/>
    <w:rsid w:val="00753C18"/>
    <w:rsid w:val="00753E2D"/>
    <w:rsid w:val="0076568C"/>
    <w:rsid w:val="007702A6"/>
    <w:rsid w:val="007950FD"/>
    <w:rsid w:val="007D63AC"/>
    <w:rsid w:val="007F5A6E"/>
    <w:rsid w:val="00805630"/>
    <w:rsid w:val="008072DD"/>
    <w:rsid w:val="008268CA"/>
    <w:rsid w:val="00835E51"/>
    <w:rsid w:val="0084562A"/>
    <w:rsid w:val="00851130"/>
    <w:rsid w:val="00860D8B"/>
    <w:rsid w:val="00874455"/>
    <w:rsid w:val="008754EA"/>
    <w:rsid w:val="00887C53"/>
    <w:rsid w:val="008A0DBD"/>
    <w:rsid w:val="008B7834"/>
    <w:rsid w:val="008C1259"/>
    <w:rsid w:val="008C4D15"/>
    <w:rsid w:val="008E4502"/>
    <w:rsid w:val="0090155E"/>
    <w:rsid w:val="00906C29"/>
    <w:rsid w:val="00925CFD"/>
    <w:rsid w:val="00925DAE"/>
    <w:rsid w:val="00956A38"/>
    <w:rsid w:val="00967EAD"/>
    <w:rsid w:val="009933BF"/>
    <w:rsid w:val="009A149F"/>
    <w:rsid w:val="009B7003"/>
    <w:rsid w:val="009C3E9E"/>
    <w:rsid w:val="009D1203"/>
    <w:rsid w:val="009F27AE"/>
    <w:rsid w:val="00A0376E"/>
    <w:rsid w:val="00A16372"/>
    <w:rsid w:val="00A46863"/>
    <w:rsid w:val="00A6313F"/>
    <w:rsid w:val="00A945D7"/>
    <w:rsid w:val="00AB00AD"/>
    <w:rsid w:val="00AC00AE"/>
    <w:rsid w:val="00AC30A2"/>
    <w:rsid w:val="00AD6915"/>
    <w:rsid w:val="00AE052C"/>
    <w:rsid w:val="00AE0A98"/>
    <w:rsid w:val="00AE39DE"/>
    <w:rsid w:val="00AF524C"/>
    <w:rsid w:val="00B0762B"/>
    <w:rsid w:val="00B24085"/>
    <w:rsid w:val="00B34A14"/>
    <w:rsid w:val="00B417A7"/>
    <w:rsid w:val="00B879E0"/>
    <w:rsid w:val="00B9051A"/>
    <w:rsid w:val="00B96C86"/>
    <w:rsid w:val="00BA33CE"/>
    <w:rsid w:val="00BB192E"/>
    <w:rsid w:val="00BF0428"/>
    <w:rsid w:val="00BF24F8"/>
    <w:rsid w:val="00C06603"/>
    <w:rsid w:val="00C07FD6"/>
    <w:rsid w:val="00C43CB4"/>
    <w:rsid w:val="00C51EA6"/>
    <w:rsid w:val="00C707D6"/>
    <w:rsid w:val="00C91D51"/>
    <w:rsid w:val="00CA4D91"/>
    <w:rsid w:val="00CA60D6"/>
    <w:rsid w:val="00CC22A5"/>
    <w:rsid w:val="00CC6469"/>
    <w:rsid w:val="00CD5B44"/>
    <w:rsid w:val="00CE50DA"/>
    <w:rsid w:val="00D15741"/>
    <w:rsid w:val="00D3457E"/>
    <w:rsid w:val="00D40469"/>
    <w:rsid w:val="00D4183F"/>
    <w:rsid w:val="00D50073"/>
    <w:rsid w:val="00D556E9"/>
    <w:rsid w:val="00D57859"/>
    <w:rsid w:val="00D762DA"/>
    <w:rsid w:val="00D94E50"/>
    <w:rsid w:val="00D966B3"/>
    <w:rsid w:val="00DA0D13"/>
    <w:rsid w:val="00DA1368"/>
    <w:rsid w:val="00DA75D5"/>
    <w:rsid w:val="00DD35A9"/>
    <w:rsid w:val="00DD660C"/>
    <w:rsid w:val="00DE340D"/>
    <w:rsid w:val="00DE40AA"/>
    <w:rsid w:val="00DE7125"/>
    <w:rsid w:val="00E13F24"/>
    <w:rsid w:val="00E2481B"/>
    <w:rsid w:val="00E2513C"/>
    <w:rsid w:val="00E359A5"/>
    <w:rsid w:val="00E37064"/>
    <w:rsid w:val="00E4057D"/>
    <w:rsid w:val="00E56C97"/>
    <w:rsid w:val="00E714BF"/>
    <w:rsid w:val="00E80D92"/>
    <w:rsid w:val="00E83615"/>
    <w:rsid w:val="00E9212F"/>
    <w:rsid w:val="00E97D5F"/>
    <w:rsid w:val="00EB0D0E"/>
    <w:rsid w:val="00EB486B"/>
    <w:rsid w:val="00EC072A"/>
    <w:rsid w:val="00ED73D0"/>
    <w:rsid w:val="00EE4354"/>
    <w:rsid w:val="00EF0496"/>
    <w:rsid w:val="00F02E98"/>
    <w:rsid w:val="00F23C73"/>
    <w:rsid w:val="00F36ADF"/>
    <w:rsid w:val="00F40E37"/>
    <w:rsid w:val="00F45DA1"/>
    <w:rsid w:val="00F475DC"/>
    <w:rsid w:val="00F704B4"/>
    <w:rsid w:val="00F716F9"/>
    <w:rsid w:val="00F74EB7"/>
    <w:rsid w:val="00F94FE1"/>
    <w:rsid w:val="00FB5E55"/>
    <w:rsid w:val="00FD690E"/>
    <w:rsid w:val="00FF67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ADD3"/>
  <w15:chartTrackingRefBased/>
  <w15:docId w15:val="{A12E8895-67C7-4F86-A87D-54F0B904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D35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714BF"/>
    <w:pPr>
      <w:keepNext/>
      <w:keepLines/>
      <w:spacing w:before="40" w:after="0"/>
      <w:outlineLvl w:val="1"/>
    </w:pPr>
    <w:rPr>
      <w:rFonts w:asciiTheme="majorHAnsi" w:eastAsiaTheme="majorEastAsia" w:hAnsiTheme="majorHAnsi" w:cstheme="majorBidi"/>
      <w:sz w:val="26"/>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E714BF"/>
    <w:pPr>
      <w:spacing w:after="12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E714BF"/>
    <w:rPr>
      <w:rFonts w:ascii="Times New Roman" w:eastAsia="Times New Roman" w:hAnsi="Times New Roman" w:cs="Times New Roman"/>
      <w:sz w:val="24"/>
      <w:szCs w:val="24"/>
      <w:lang w:eastAsia="fr-FR"/>
    </w:rPr>
  </w:style>
  <w:style w:type="paragraph" w:customStyle="1" w:styleId="m-BlocReference">
    <w:name w:val="m-BlocReference"/>
    <w:basedOn w:val="Normal"/>
    <w:rsid w:val="00E714BF"/>
    <w:pPr>
      <w:suppressAutoHyphens/>
      <w:spacing w:after="0" w:line="240" w:lineRule="auto"/>
      <w:jc w:val="both"/>
    </w:pPr>
    <w:rPr>
      <w:rFonts w:ascii="Liberation Sans" w:eastAsia="Arial Unicode MS" w:hAnsi="Liberation Sans" w:cs="Times New Roman"/>
      <w:sz w:val="16"/>
      <w:szCs w:val="24"/>
      <w:lang w:eastAsia="ar-SA"/>
    </w:rPr>
  </w:style>
  <w:style w:type="character" w:customStyle="1" w:styleId="normal1">
    <w:name w:val="normal1"/>
    <w:basedOn w:val="Policepardfaut"/>
    <w:rsid w:val="00E714BF"/>
  </w:style>
  <w:style w:type="character" w:customStyle="1" w:styleId="Titre2Car">
    <w:name w:val="Titre 2 Car"/>
    <w:basedOn w:val="Policepardfaut"/>
    <w:link w:val="Titre2"/>
    <w:uiPriority w:val="9"/>
    <w:rsid w:val="00E714BF"/>
    <w:rPr>
      <w:rFonts w:asciiTheme="majorHAnsi" w:eastAsiaTheme="majorEastAsia" w:hAnsiTheme="majorHAnsi" w:cstheme="majorBidi"/>
      <w:sz w:val="26"/>
      <w:szCs w:val="26"/>
      <w:u w:val="single"/>
    </w:rPr>
  </w:style>
  <w:style w:type="character" w:styleId="Lienhypertexte">
    <w:name w:val="Hyperlink"/>
    <w:basedOn w:val="Policepardfaut"/>
    <w:uiPriority w:val="99"/>
    <w:unhideWhenUsed/>
    <w:rsid w:val="00E714BF"/>
    <w:rPr>
      <w:color w:val="0563C1" w:themeColor="hyperlink"/>
      <w:u w:val="single"/>
    </w:rPr>
  </w:style>
  <w:style w:type="character" w:styleId="Lienhypertextesuivivisit">
    <w:name w:val="FollowedHyperlink"/>
    <w:basedOn w:val="Policepardfaut"/>
    <w:uiPriority w:val="99"/>
    <w:semiHidden/>
    <w:unhideWhenUsed/>
    <w:rsid w:val="00E714BF"/>
    <w:rPr>
      <w:color w:val="954F72" w:themeColor="followedHyperlink"/>
      <w:u w:val="single"/>
    </w:rPr>
  </w:style>
  <w:style w:type="paragraph" w:styleId="Paragraphedeliste">
    <w:name w:val="List Paragraph"/>
    <w:basedOn w:val="Normal"/>
    <w:uiPriority w:val="34"/>
    <w:qFormat/>
    <w:rsid w:val="00E714BF"/>
    <w:pPr>
      <w:ind w:left="720"/>
      <w:contextualSpacing/>
    </w:pPr>
  </w:style>
  <w:style w:type="character" w:styleId="Marquedecommentaire">
    <w:name w:val="annotation reference"/>
    <w:basedOn w:val="Policepardfaut"/>
    <w:uiPriority w:val="99"/>
    <w:semiHidden/>
    <w:unhideWhenUsed/>
    <w:rsid w:val="00E714BF"/>
    <w:rPr>
      <w:sz w:val="16"/>
      <w:szCs w:val="16"/>
    </w:rPr>
  </w:style>
  <w:style w:type="paragraph" w:styleId="Commentaire">
    <w:name w:val="annotation text"/>
    <w:basedOn w:val="Normal"/>
    <w:link w:val="CommentaireCar"/>
    <w:uiPriority w:val="99"/>
    <w:semiHidden/>
    <w:unhideWhenUsed/>
    <w:rsid w:val="00E714BF"/>
    <w:pPr>
      <w:spacing w:line="240" w:lineRule="auto"/>
    </w:pPr>
    <w:rPr>
      <w:sz w:val="20"/>
      <w:szCs w:val="20"/>
    </w:rPr>
  </w:style>
  <w:style w:type="character" w:customStyle="1" w:styleId="CommentaireCar">
    <w:name w:val="Commentaire Car"/>
    <w:basedOn w:val="Policepardfaut"/>
    <w:link w:val="Commentaire"/>
    <w:uiPriority w:val="99"/>
    <w:semiHidden/>
    <w:rsid w:val="00E714BF"/>
    <w:rPr>
      <w:sz w:val="20"/>
      <w:szCs w:val="20"/>
    </w:rPr>
  </w:style>
  <w:style w:type="paragraph" w:styleId="Objetducommentaire">
    <w:name w:val="annotation subject"/>
    <w:basedOn w:val="Commentaire"/>
    <w:next w:val="Commentaire"/>
    <w:link w:val="ObjetducommentaireCar"/>
    <w:uiPriority w:val="99"/>
    <w:semiHidden/>
    <w:unhideWhenUsed/>
    <w:rsid w:val="00E714BF"/>
    <w:rPr>
      <w:b/>
      <w:bCs/>
    </w:rPr>
  </w:style>
  <w:style w:type="character" w:customStyle="1" w:styleId="ObjetducommentaireCar">
    <w:name w:val="Objet du commentaire Car"/>
    <w:basedOn w:val="CommentaireCar"/>
    <w:link w:val="Objetducommentaire"/>
    <w:uiPriority w:val="99"/>
    <w:semiHidden/>
    <w:rsid w:val="00E714BF"/>
    <w:rPr>
      <w:b/>
      <w:bCs/>
      <w:sz w:val="20"/>
      <w:szCs w:val="20"/>
    </w:rPr>
  </w:style>
  <w:style w:type="paragraph" w:styleId="Textedebulles">
    <w:name w:val="Balloon Text"/>
    <w:basedOn w:val="Normal"/>
    <w:link w:val="TextedebullesCar"/>
    <w:uiPriority w:val="99"/>
    <w:semiHidden/>
    <w:unhideWhenUsed/>
    <w:rsid w:val="00E714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14BF"/>
    <w:rPr>
      <w:rFonts w:ascii="Segoe UI" w:hAnsi="Segoe UI" w:cs="Segoe UI"/>
      <w:sz w:val="18"/>
      <w:szCs w:val="18"/>
    </w:rPr>
  </w:style>
  <w:style w:type="table" w:styleId="Grilledutableau">
    <w:name w:val="Table Grid"/>
    <w:basedOn w:val="TableauNormal"/>
    <w:uiPriority w:val="39"/>
    <w:rsid w:val="00770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D35A9"/>
    <w:rPr>
      <w:rFonts w:asciiTheme="majorHAnsi" w:eastAsiaTheme="majorEastAsia" w:hAnsiTheme="majorHAnsi" w:cstheme="majorBidi"/>
      <w:color w:val="2E74B5" w:themeColor="accent1" w:themeShade="BF"/>
      <w:sz w:val="32"/>
      <w:szCs w:val="32"/>
    </w:rPr>
  </w:style>
  <w:style w:type="character" w:styleId="Mentionnonrsolue">
    <w:name w:val="Unresolved Mention"/>
    <w:basedOn w:val="Policepardfaut"/>
    <w:uiPriority w:val="99"/>
    <w:semiHidden/>
    <w:unhideWhenUsed/>
    <w:rsid w:val="00A46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4527">
      <w:bodyDiv w:val="1"/>
      <w:marLeft w:val="0"/>
      <w:marRight w:val="0"/>
      <w:marTop w:val="0"/>
      <w:marBottom w:val="0"/>
      <w:divBdr>
        <w:top w:val="none" w:sz="0" w:space="0" w:color="auto"/>
        <w:left w:val="none" w:sz="0" w:space="0" w:color="auto"/>
        <w:bottom w:val="none" w:sz="0" w:space="0" w:color="auto"/>
        <w:right w:val="none" w:sz="0" w:space="0" w:color="auto"/>
      </w:divBdr>
    </w:div>
    <w:div w:id="487214306">
      <w:bodyDiv w:val="1"/>
      <w:marLeft w:val="0"/>
      <w:marRight w:val="0"/>
      <w:marTop w:val="0"/>
      <w:marBottom w:val="0"/>
      <w:divBdr>
        <w:top w:val="none" w:sz="0" w:space="0" w:color="auto"/>
        <w:left w:val="none" w:sz="0" w:space="0" w:color="auto"/>
        <w:bottom w:val="none" w:sz="0" w:space="0" w:color="auto"/>
        <w:right w:val="none" w:sz="0" w:space="0" w:color="auto"/>
      </w:divBdr>
    </w:div>
    <w:div w:id="675960396">
      <w:bodyDiv w:val="1"/>
      <w:marLeft w:val="0"/>
      <w:marRight w:val="0"/>
      <w:marTop w:val="0"/>
      <w:marBottom w:val="0"/>
      <w:divBdr>
        <w:top w:val="none" w:sz="0" w:space="0" w:color="auto"/>
        <w:left w:val="none" w:sz="0" w:space="0" w:color="auto"/>
        <w:bottom w:val="none" w:sz="0" w:space="0" w:color="auto"/>
        <w:right w:val="none" w:sz="0" w:space="0" w:color="auto"/>
      </w:divBdr>
    </w:div>
    <w:div w:id="680619840">
      <w:bodyDiv w:val="1"/>
      <w:marLeft w:val="0"/>
      <w:marRight w:val="0"/>
      <w:marTop w:val="0"/>
      <w:marBottom w:val="0"/>
      <w:divBdr>
        <w:top w:val="none" w:sz="0" w:space="0" w:color="auto"/>
        <w:left w:val="none" w:sz="0" w:space="0" w:color="auto"/>
        <w:bottom w:val="none" w:sz="0" w:space="0" w:color="auto"/>
        <w:right w:val="none" w:sz="0" w:space="0" w:color="auto"/>
      </w:divBdr>
    </w:div>
    <w:div w:id="736051123">
      <w:bodyDiv w:val="1"/>
      <w:marLeft w:val="0"/>
      <w:marRight w:val="0"/>
      <w:marTop w:val="0"/>
      <w:marBottom w:val="0"/>
      <w:divBdr>
        <w:top w:val="none" w:sz="0" w:space="0" w:color="auto"/>
        <w:left w:val="none" w:sz="0" w:space="0" w:color="auto"/>
        <w:bottom w:val="none" w:sz="0" w:space="0" w:color="auto"/>
        <w:right w:val="none" w:sz="0" w:space="0" w:color="auto"/>
      </w:divBdr>
    </w:div>
    <w:div w:id="748619862">
      <w:bodyDiv w:val="1"/>
      <w:marLeft w:val="0"/>
      <w:marRight w:val="0"/>
      <w:marTop w:val="0"/>
      <w:marBottom w:val="0"/>
      <w:divBdr>
        <w:top w:val="none" w:sz="0" w:space="0" w:color="auto"/>
        <w:left w:val="none" w:sz="0" w:space="0" w:color="auto"/>
        <w:bottom w:val="none" w:sz="0" w:space="0" w:color="auto"/>
        <w:right w:val="none" w:sz="0" w:space="0" w:color="auto"/>
      </w:divBdr>
    </w:div>
    <w:div w:id="1165781613">
      <w:bodyDiv w:val="1"/>
      <w:marLeft w:val="0"/>
      <w:marRight w:val="0"/>
      <w:marTop w:val="0"/>
      <w:marBottom w:val="0"/>
      <w:divBdr>
        <w:top w:val="none" w:sz="0" w:space="0" w:color="auto"/>
        <w:left w:val="none" w:sz="0" w:space="0" w:color="auto"/>
        <w:bottom w:val="none" w:sz="0" w:space="0" w:color="auto"/>
        <w:right w:val="none" w:sz="0" w:space="0" w:color="auto"/>
      </w:divBdr>
    </w:div>
    <w:div w:id="1235747460">
      <w:bodyDiv w:val="1"/>
      <w:marLeft w:val="0"/>
      <w:marRight w:val="0"/>
      <w:marTop w:val="0"/>
      <w:marBottom w:val="0"/>
      <w:divBdr>
        <w:top w:val="none" w:sz="0" w:space="0" w:color="auto"/>
        <w:left w:val="none" w:sz="0" w:space="0" w:color="auto"/>
        <w:bottom w:val="none" w:sz="0" w:space="0" w:color="auto"/>
        <w:right w:val="none" w:sz="0" w:space="0" w:color="auto"/>
      </w:divBdr>
    </w:div>
    <w:div w:id="1328943152">
      <w:bodyDiv w:val="1"/>
      <w:marLeft w:val="0"/>
      <w:marRight w:val="0"/>
      <w:marTop w:val="0"/>
      <w:marBottom w:val="0"/>
      <w:divBdr>
        <w:top w:val="none" w:sz="0" w:space="0" w:color="auto"/>
        <w:left w:val="none" w:sz="0" w:space="0" w:color="auto"/>
        <w:bottom w:val="none" w:sz="0" w:space="0" w:color="auto"/>
        <w:right w:val="none" w:sz="0" w:space="0" w:color="auto"/>
      </w:divBdr>
    </w:div>
    <w:div w:id="1408381297">
      <w:bodyDiv w:val="1"/>
      <w:marLeft w:val="0"/>
      <w:marRight w:val="0"/>
      <w:marTop w:val="0"/>
      <w:marBottom w:val="0"/>
      <w:divBdr>
        <w:top w:val="none" w:sz="0" w:space="0" w:color="auto"/>
        <w:left w:val="none" w:sz="0" w:space="0" w:color="auto"/>
        <w:bottom w:val="none" w:sz="0" w:space="0" w:color="auto"/>
        <w:right w:val="none" w:sz="0" w:space="0" w:color="auto"/>
      </w:divBdr>
    </w:div>
    <w:div w:id="1443652587">
      <w:bodyDiv w:val="1"/>
      <w:marLeft w:val="0"/>
      <w:marRight w:val="0"/>
      <w:marTop w:val="0"/>
      <w:marBottom w:val="0"/>
      <w:divBdr>
        <w:top w:val="none" w:sz="0" w:space="0" w:color="auto"/>
        <w:left w:val="none" w:sz="0" w:space="0" w:color="auto"/>
        <w:bottom w:val="none" w:sz="0" w:space="0" w:color="auto"/>
        <w:right w:val="none" w:sz="0" w:space="0" w:color="auto"/>
      </w:divBdr>
    </w:div>
    <w:div w:id="1597901959">
      <w:bodyDiv w:val="1"/>
      <w:marLeft w:val="0"/>
      <w:marRight w:val="0"/>
      <w:marTop w:val="0"/>
      <w:marBottom w:val="0"/>
      <w:divBdr>
        <w:top w:val="none" w:sz="0" w:space="0" w:color="auto"/>
        <w:left w:val="none" w:sz="0" w:space="0" w:color="auto"/>
        <w:bottom w:val="none" w:sz="0" w:space="0" w:color="auto"/>
        <w:right w:val="none" w:sz="0" w:space="0" w:color="auto"/>
      </w:divBdr>
    </w:div>
    <w:div w:id="1710177830">
      <w:bodyDiv w:val="1"/>
      <w:marLeft w:val="0"/>
      <w:marRight w:val="0"/>
      <w:marTop w:val="0"/>
      <w:marBottom w:val="0"/>
      <w:divBdr>
        <w:top w:val="none" w:sz="0" w:space="0" w:color="auto"/>
        <w:left w:val="none" w:sz="0" w:space="0" w:color="auto"/>
        <w:bottom w:val="none" w:sz="0" w:space="0" w:color="auto"/>
        <w:right w:val="none" w:sz="0" w:space="0" w:color="auto"/>
      </w:divBdr>
    </w:div>
    <w:div w:id="1902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t-re-batiment.developpement-durable.gouv.fr/batiments-tertiaires-obligations-d-actions-de-r477.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2C128-E2C8-4B4D-9142-6F27EFF0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1312</Words>
  <Characters>7217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ALBERGE Lara</dc:creator>
  <cp:keywords/>
  <dc:description/>
  <cp:lastModifiedBy>THIEBAUT Aloïs</cp:lastModifiedBy>
  <cp:revision>2</cp:revision>
  <dcterms:created xsi:type="dcterms:W3CDTF">2025-05-13T08:44:00Z</dcterms:created>
  <dcterms:modified xsi:type="dcterms:W3CDTF">2025-05-13T08:44:00Z</dcterms:modified>
</cp:coreProperties>
</file>