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A14553" w14:paraId="7000D72D" w14:textId="77777777">
        <w:trPr>
          <w:cantSplit/>
        </w:trPr>
        <w:tc>
          <w:tcPr>
            <w:tcW w:w="3982" w:type="dxa"/>
            <w:gridSpan w:val="3"/>
            <w:shd w:val="clear" w:color="auto" w:fill="auto"/>
          </w:tcPr>
          <w:p w14:paraId="614A0724" w14:textId="77777777" w:rsidR="00A14553" w:rsidRDefault="003B7692">
            <w:pPr>
              <w:pStyle w:val="SNREPUBLIQUE"/>
            </w:pPr>
            <w:r>
              <w:t>RÉPUBLIQUE FRANÇAISE</w:t>
            </w:r>
          </w:p>
        </w:tc>
      </w:tr>
      <w:tr w:rsidR="00A14553" w14:paraId="2094E6A1" w14:textId="77777777">
        <w:trPr>
          <w:cantSplit/>
          <w:trHeight w:hRule="exact" w:val="113"/>
        </w:trPr>
        <w:tc>
          <w:tcPr>
            <w:tcW w:w="1527" w:type="dxa"/>
            <w:shd w:val="clear" w:color="auto" w:fill="auto"/>
          </w:tcPr>
          <w:p w14:paraId="6B4BD726" w14:textId="77777777" w:rsidR="00A14553" w:rsidRDefault="00A14553">
            <w:pPr>
              <w:snapToGrid w:val="0"/>
              <w:rPr>
                <w:rFonts w:cs="Tahoma"/>
              </w:rPr>
            </w:pPr>
          </w:p>
        </w:tc>
        <w:tc>
          <w:tcPr>
            <w:tcW w:w="968" w:type="dxa"/>
            <w:tcBorders>
              <w:bottom w:val="single" w:sz="1" w:space="0" w:color="000000"/>
            </w:tcBorders>
            <w:shd w:val="clear" w:color="auto" w:fill="auto"/>
          </w:tcPr>
          <w:p w14:paraId="5789CC1B" w14:textId="77777777" w:rsidR="00A14553" w:rsidRDefault="00A14553">
            <w:pPr>
              <w:snapToGrid w:val="0"/>
              <w:rPr>
                <w:rFonts w:cs="Tahoma"/>
              </w:rPr>
            </w:pPr>
          </w:p>
        </w:tc>
        <w:tc>
          <w:tcPr>
            <w:tcW w:w="1487" w:type="dxa"/>
            <w:shd w:val="clear" w:color="auto" w:fill="auto"/>
          </w:tcPr>
          <w:p w14:paraId="5C681906" w14:textId="77777777" w:rsidR="00A14553" w:rsidRDefault="00A14553">
            <w:pPr>
              <w:snapToGrid w:val="0"/>
              <w:rPr>
                <w:rFonts w:cs="Tahoma"/>
              </w:rPr>
            </w:pPr>
          </w:p>
        </w:tc>
      </w:tr>
      <w:tr w:rsidR="00A14553" w14:paraId="0E52B31C" w14:textId="77777777">
        <w:trPr>
          <w:cantSplit/>
        </w:trPr>
        <w:tc>
          <w:tcPr>
            <w:tcW w:w="3982" w:type="dxa"/>
            <w:gridSpan w:val="3"/>
            <w:shd w:val="clear" w:color="auto" w:fill="auto"/>
          </w:tcPr>
          <w:p w14:paraId="0B60741A" w14:textId="679155E7" w:rsidR="00A14553" w:rsidRDefault="003B7692">
            <w:pPr>
              <w:pStyle w:val="SNTimbre"/>
            </w:pPr>
            <w:r>
              <w:t>Ministère de la transition écologique</w:t>
            </w:r>
            <w:r w:rsidR="00EB2721">
              <w:t xml:space="preserve"> et de la cohésion des </w:t>
            </w:r>
            <w:r w:rsidR="00F86479">
              <w:t>territoires</w:t>
            </w:r>
          </w:p>
        </w:tc>
      </w:tr>
      <w:tr w:rsidR="00A14553" w14:paraId="6B154A07" w14:textId="77777777">
        <w:trPr>
          <w:cantSplit/>
          <w:trHeight w:hRule="exact" w:val="227"/>
        </w:trPr>
        <w:tc>
          <w:tcPr>
            <w:tcW w:w="1527" w:type="dxa"/>
            <w:shd w:val="clear" w:color="auto" w:fill="auto"/>
          </w:tcPr>
          <w:p w14:paraId="15ADEC5A" w14:textId="77777777" w:rsidR="00A14553" w:rsidRDefault="00A14553">
            <w:pPr>
              <w:snapToGrid w:val="0"/>
            </w:pPr>
          </w:p>
        </w:tc>
        <w:tc>
          <w:tcPr>
            <w:tcW w:w="968" w:type="dxa"/>
            <w:tcBorders>
              <w:bottom w:val="single" w:sz="1" w:space="0" w:color="000000"/>
            </w:tcBorders>
            <w:shd w:val="clear" w:color="auto" w:fill="auto"/>
          </w:tcPr>
          <w:p w14:paraId="4C50EE7E" w14:textId="77777777" w:rsidR="00A14553" w:rsidRDefault="00A14553">
            <w:pPr>
              <w:snapToGrid w:val="0"/>
            </w:pPr>
          </w:p>
        </w:tc>
        <w:tc>
          <w:tcPr>
            <w:tcW w:w="1487" w:type="dxa"/>
            <w:shd w:val="clear" w:color="auto" w:fill="auto"/>
          </w:tcPr>
          <w:p w14:paraId="57DA41A5" w14:textId="77777777" w:rsidR="00A14553" w:rsidRDefault="00A14553">
            <w:pPr>
              <w:snapToGrid w:val="0"/>
            </w:pPr>
          </w:p>
        </w:tc>
      </w:tr>
      <w:tr w:rsidR="00A14553" w14:paraId="78438738" w14:textId="77777777">
        <w:trPr>
          <w:cantSplit/>
          <w:trHeight w:hRule="exact" w:val="227"/>
        </w:trPr>
        <w:tc>
          <w:tcPr>
            <w:tcW w:w="1527" w:type="dxa"/>
            <w:shd w:val="clear" w:color="auto" w:fill="auto"/>
          </w:tcPr>
          <w:p w14:paraId="2AC5EEBF" w14:textId="77777777" w:rsidR="00A14553" w:rsidRDefault="00A14553">
            <w:pPr>
              <w:snapToGrid w:val="0"/>
            </w:pPr>
          </w:p>
        </w:tc>
        <w:tc>
          <w:tcPr>
            <w:tcW w:w="968" w:type="dxa"/>
            <w:shd w:val="clear" w:color="auto" w:fill="auto"/>
          </w:tcPr>
          <w:p w14:paraId="0664E723" w14:textId="77777777" w:rsidR="00A14553" w:rsidRDefault="00A14553">
            <w:pPr>
              <w:snapToGrid w:val="0"/>
            </w:pPr>
          </w:p>
        </w:tc>
        <w:tc>
          <w:tcPr>
            <w:tcW w:w="1487" w:type="dxa"/>
            <w:shd w:val="clear" w:color="auto" w:fill="auto"/>
          </w:tcPr>
          <w:p w14:paraId="6803E3B5" w14:textId="77777777" w:rsidR="00A14553" w:rsidRDefault="00A14553">
            <w:pPr>
              <w:snapToGrid w:val="0"/>
            </w:pPr>
          </w:p>
        </w:tc>
      </w:tr>
    </w:tbl>
    <w:p w14:paraId="51A761D5" w14:textId="77777777" w:rsidR="00A14553" w:rsidRDefault="003B7692">
      <w:pPr>
        <w:pStyle w:val="SNNature"/>
      </w:pPr>
      <w:r>
        <w:t xml:space="preserve">Arrêté du </w:t>
      </w:r>
    </w:p>
    <w:p w14:paraId="1D611733" w14:textId="1429DE2C" w:rsidR="00A14553" w:rsidRDefault="003B7692">
      <w:pPr>
        <w:pStyle w:val="SNNature"/>
        <w:spacing w:before="0" w:after="0"/>
      </w:pPr>
      <w:r>
        <w:rPr>
          <w:color w:val="000000"/>
        </w:rPr>
        <w:t>relatif aux modalités d’affichage, à la signalétique et aux paramètres généraux de calcul de l’indice de durabilité</w:t>
      </w:r>
      <w:r w:rsidR="00D727B4">
        <w:rPr>
          <w:color w:val="000000"/>
        </w:rPr>
        <w:t xml:space="preserve"> des équipements électriques et électroniques</w:t>
      </w:r>
    </w:p>
    <w:p w14:paraId="30C3CBCE" w14:textId="77777777" w:rsidR="00A14553" w:rsidRDefault="00A14553">
      <w:pPr>
        <w:widowControl w:val="0"/>
        <w:autoSpaceDE w:val="0"/>
        <w:jc w:val="center"/>
      </w:pPr>
    </w:p>
    <w:p w14:paraId="626E743A" w14:textId="77777777" w:rsidR="00A14553" w:rsidRDefault="003B7692">
      <w:pPr>
        <w:widowControl w:val="0"/>
        <w:autoSpaceDE w:val="0"/>
        <w:jc w:val="center"/>
      </w:pPr>
      <w:r>
        <w:rPr>
          <w:color w:val="000000"/>
          <w:shd w:val="clear" w:color="auto" w:fill="FFFF00"/>
        </w:rPr>
        <w:t xml:space="preserve">NOR : </w:t>
      </w:r>
    </w:p>
    <w:p w14:paraId="426DBF78" w14:textId="77777777" w:rsidR="00A14553" w:rsidRDefault="00A14553">
      <w:pPr>
        <w:widowControl w:val="0"/>
        <w:autoSpaceDE w:val="0"/>
        <w:rPr>
          <w:color w:val="000000"/>
        </w:rPr>
      </w:pPr>
    </w:p>
    <w:p w14:paraId="075735BD" w14:textId="584F06A1" w:rsidR="00A14553" w:rsidRDefault="003B7692">
      <w:pPr>
        <w:widowControl w:val="0"/>
        <w:autoSpaceDE w:val="0"/>
        <w:ind w:firstLine="680"/>
        <w:jc w:val="both"/>
      </w:pPr>
      <w:r>
        <w:rPr>
          <w:b/>
          <w:i/>
          <w:color w:val="000000"/>
        </w:rPr>
        <w:t xml:space="preserve">Publics concernés : </w:t>
      </w:r>
      <w:r>
        <w:rPr>
          <w:i/>
          <w:color w:val="000000"/>
        </w:rPr>
        <w:t>les producteurs, importateurs, distributeurs ou autres metteurs sur le marché d’équipements</w:t>
      </w:r>
      <w:r w:rsidR="00D727B4">
        <w:rPr>
          <w:i/>
          <w:color w:val="000000"/>
        </w:rPr>
        <w:t xml:space="preserve"> électriques et électroniques</w:t>
      </w:r>
      <w:r>
        <w:rPr>
          <w:i/>
          <w:color w:val="000000"/>
        </w:rPr>
        <w:t xml:space="preserve"> et les vendeurs de ces mêmes équipements ainsi que ceux utilisant un site internet, une plateforme ou toute autre voie de distribution en ligne dans le cadre de leur activité commerciale en France.</w:t>
      </w:r>
    </w:p>
    <w:p w14:paraId="37B550A7" w14:textId="77777777" w:rsidR="00A14553" w:rsidRDefault="003B7692">
      <w:pPr>
        <w:spacing w:before="120" w:after="240"/>
        <w:ind w:firstLine="720"/>
        <w:jc w:val="both"/>
      </w:pPr>
      <w:r>
        <w:rPr>
          <w:b/>
          <w:i/>
          <w:color w:val="000000"/>
        </w:rPr>
        <w:t xml:space="preserve">Objet : </w:t>
      </w:r>
      <w:r>
        <w:rPr>
          <w:i/>
          <w:color w:val="000000"/>
        </w:rPr>
        <w:t xml:space="preserve">modalités d’affichage, signalétique et paramètres généraux de calcul de l’indice de </w:t>
      </w:r>
      <w:r w:rsidR="00536F63">
        <w:rPr>
          <w:i/>
          <w:color w:val="000000"/>
        </w:rPr>
        <w:t>durabilité</w:t>
      </w:r>
      <w:r>
        <w:rPr>
          <w:i/>
          <w:color w:val="000000"/>
        </w:rPr>
        <w:t>.</w:t>
      </w:r>
    </w:p>
    <w:p w14:paraId="41E3EAF6" w14:textId="6ABE434D" w:rsidR="00A14553" w:rsidRPr="00F86479" w:rsidRDefault="003B7692">
      <w:pPr>
        <w:spacing w:before="120" w:after="240"/>
        <w:ind w:firstLine="720"/>
        <w:jc w:val="both"/>
      </w:pPr>
      <w:r w:rsidRPr="00EB2721">
        <w:rPr>
          <w:b/>
          <w:i/>
          <w:color w:val="000000"/>
        </w:rPr>
        <w:t xml:space="preserve">Entrée en vigueur : </w:t>
      </w:r>
      <w:r w:rsidRPr="00F86479">
        <w:rPr>
          <w:i/>
          <w:color w:val="000000"/>
        </w:rPr>
        <w:t>le texte entre en vigueur le 1</w:t>
      </w:r>
      <w:r w:rsidRPr="00F86479">
        <w:rPr>
          <w:i/>
          <w:color w:val="000000"/>
          <w:vertAlign w:val="superscript"/>
        </w:rPr>
        <w:t>er</w:t>
      </w:r>
      <w:r w:rsidRPr="00F86479">
        <w:rPr>
          <w:i/>
          <w:color w:val="000000"/>
        </w:rPr>
        <w:t xml:space="preserve"> janvier 202</w:t>
      </w:r>
      <w:r w:rsidR="00841EBD" w:rsidRPr="00F86479">
        <w:rPr>
          <w:i/>
          <w:color w:val="000000"/>
        </w:rPr>
        <w:t>4</w:t>
      </w:r>
      <w:r w:rsidRPr="00F86479">
        <w:rPr>
          <w:i/>
          <w:color w:val="000000"/>
        </w:rPr>
        <w:t>.</w:t>
      </w:r>
    </w:p>
    <w:p w14:paraId="5FB9C678" w14:textId="77777777" w:rsidR="00A14553" w:rsidRDefault="003B7692">
      <w:pPr>
        <w:spacing w:before="120" w:after="240"/>
        <w:ind w:firstLine="720"/>
        <w:jc w:val="both"/>
      </w:pPr>
      <w:r w:rsidRPr="00F86479">
        <w:rPr>
          <w:b/>
          <w:i/>
          <w:color w:val="000000"/>
        </w:rPr>
        <w:t xml:space="preserve">Notice : </w:t>
      </w:r>
      <w:r w:rsidRPr="00F86479">
        <w:rPr>
          <w:i/>
          <w:color w:val="000000"/>
        </w:rPr>
        <w:t>le présent arrêté fixe les modalités d’affichage, la signalétique</w:t>
      </w:r>
      <w:r>
        <w:rPr>
          <w:i/>
          <w:color w:val="000000"/>
        </w:rPr>
        <w:t xml:space="preserve"> et les paramètres généraux de calcul de l’indice de </w:t>
      </w:r>
      <w:r w:rsidR="00536F63">
        <w:rPr>
          <w:i/>
          <w:color w:val="000000"/>
        </w:rPr>
        <w:t>durabilité</w:t>
      </w:r>
      <w:r>
        <w:rPr>
          <w:i/>
          <w:color w:val="000000"/>
        </w:rPr>
        <w:t>.</w:t>
      </w:r>
    </w:p>
    <w:p w14:paraId="74FFC108" w14:textId="3285013B" w:rsidR="00A14553" w:rsidRDefault="003B7692">
      <w:pPr>
        <w:spacing w:before="120" w:after="240"/>
        <w:ind w:firstLine="720"/>
        <w:jc w:val="both"/>
      </w:pPr>
      <w:r>
        <w:rPr>
          <w:b/>
          <w:i/>
          <w:color w:val="000000"/>
        </w:rPr>
        <w:t xml:space="preserve">Références : </w:t>
      </w:r>
      <w:r>
        <w:rPr>
          <w:i/>
          <w:color w:val="000000"/>
        </w:rPr>
        <w:t xml:space="preserve">le présent </w:t>
      </w:r>
      <w:r w:rsidR="00EB2721">
        <w:rPr>
          <w:i/>
          <w:color w:val="000000"/>
        </w:rPr>
        <w:t xml:space="preserve">arrêté </w:t>
      </w:r>
      <w:r>
        <w:rPr>
          <w:i/>
          <w:color w:val="000000"/>
        </w:rPr>
        <w:t>pourra être consulté sur le site Légifrance (</w:t>
      </w:r>
      <w:r>
        <w:rPr>
          <w:i/>
          <w:color w:val="000000"/>
          <w:u w:val="single"/>
        </w:rPr>
        <w:t>http://www.legifrance.gouv.fr</w:t>
      </w:r>
      <w:r w:rsidR="003620FC">
        <w:rPr>
          <w:i/>
          <w:color w:val="000000"/>
        </w:rPr>
        <w:t>).</w:t>
      </w:r>
    </w:p>
    <w:p w14:paraId="129D4F23" w14:textId="77777777" w:rsidR="00A14553" w:rsidRDefault="00A14553">
      <w:pPr>
        <w:widowControl w:val="0"/>
        <w:autoSpaceDE w:val="0"/>
      </w:pPr>
    </w:p>
    <w:p w14:paraId="37F1B5AD" w14:textId="77777777" w:rsidR="00A14553" w:rsidRDefault="00A14553">
      <w:pPr>
        <w:widowControl w:val="0"/>
        <w:autoSpaceDE w:val="0"/>
      </w:pPr>
    </w:p>
    <w:p w14:paraId="4ED37E05" w14:textId="1281AE51" w:rsidR="00A14553" w:rsidRDefault="003B7692">
      <w:pPr>
        <w:widowControl w:val="0"/>
        <w:autoSpaceDE w:val="0"/>
        <w:ind w:firstLine="624"/>
      </w:pPr>
      <w:r>
        <w:rPr>
          <w:color w:val="000000"/>
        </w:rPr>
        <w:t>L</w:t>
      </w:r>
      <w:r w:rsidR="00D727B4">
        <w:rPr>
          <w:color w:val="000000"/>
        </w:rPr>
        <w:t>e</w:t>
      </w:r>
      <w:r>
        <w:rPr>
          <w:color w:val="000000"/>
        </w:rPr>
        <w:t xml:space="preserve"> ministre de la transition écologique</w:t>
      </w:r>
      <w:r w:rsidR="00536F63">
        <w:rPr>
          <w:color w:val="000000"/>
        </w:rPr>
        <w:t xml:space="preserve"> et de la cohésion des territoires</w:t>
      </w:r>
      <w:r>
        <w:rPr>
          <w:color w:val="000000"/>
        </w:rPr>
        <w:t xml:space="preserve"> et le ministre </w:t>
      </w:r>
      <w:r w:rsidR="00D727B4" w:rsidRPr="00D727B4">
        <w:rPr>
          <w:color w:val="000000"/>
        </w:rPr>
        <w:t>des finances et de la souveraineté industrielle et numérique</w:t>
      </w:r>
      <w:r>
        <w:rPr>
          <w:color w:val="000000"/>
        </w:rPr>
        <w:t>;</w:t>
      </w:r>
    </w:p>
    <w:p w14:paraId="22966D4B" w14:textId="77777777" w:rsidR="00A14553" w:rsidRDefault="00A14553">
      <w:pPr>
        <w:widowControl w:val="0"/>
        <w:autoSpaceDE w:val="0"/>
        <w:ind w:firstLine="624"/>
      </w:pPr>
    </w:p>
    <w:p w14:paraId="7FEBAA2A" w14:textId="77777777" w:rsidR="00A14553" w:rsidRDefault="003B7692">
      <w:pPr>
        <w:widowControl w:val="0"/>
        <w:autoSpaceDE w:val="0"/>
        <w:ind w:firstLine="624"/>
      </w:pPr>
      <w:r>
        <w:rPr>
          <w:color w:val="000000"/>
        </w:rPr>
        <w:t>Vu le règlement (UE) 2019/2021 de la commission du 1</w:t>
      </w:r>
      <w:r>
        <w:rPr>
          <w:color w:val="000000"/>
          <w:vertAlign w:val="superscript"/>
        </w:rPr>
        <w:t xml:space="preserve">er </w:t>
      </w:r>
      <w:r>
        <w:rPr>
          <w:color w:val="000000"/>
        </w:rPr>
        <w:t xml:space="preserve">octobre 2019 fixant des exigences d’écoconception pour les dispositifs d’affichage électroniques conformément à la directive 2009/125/CE du Parlement européen et du Conseil, modifiant le règlement (CE) </w:t>
      </w:r>
      <w:r>
        <w:rPr>
          <w:color w:val="000000"/>
          <w:sz w:val="23"/>
        </w:rPr>
        <w:t>n</w:t>
      </w:r>
      <w:r>
        <w:rPr>
          <w:color w:val="000000"/>
          <w:sz w:val="15"/>
        </w:rPr>
        <w:t xml:space="preserve">o </w:t>
      </w:r>
      <w:r>
        <w:rPr>
          <w:color w:val="000000"/>
        </w:rPr>
        <w:t xml:space="preserve">1275/2008 de la Commission et abrogeant le règlement (CE) </w:t>
      </w:r>
      <w:r>
        <w:rPr>
          <w:color w:val="000000"/>
          <w:sz w:val="23"/>
        </w:rPr>
        <w:t>n</w:t>
      </w:r>
      <w:r>
        <w:rPr>
          <w:color w:val="000000"/>
          <w:sz w:val="15"/>
        </w:rPr>
        <w:t xml:space="preserve">o </w:t>
      </w:r>
      <w:r>
        <w:rPr>
          <w:color w:val="000000"/>
        </w:rPr>
        <w:t>642 /2009 de la Commission ;</w:t>
      </w:r>
    </w:p>
    <w:p w14:paraId="0EEBF7E2" w14:textId="77777777" w:rsidR="00A14553" w:rsidRDefault="00A14553">
      <w:pPr>
        <w:widowControl w:val="0"/>
        <w:autoSpaceDE w:val="0"/>
        <w:ind w:firstLine="624"/>
        <w:rPr>
          <w:color w:val="000000"/>
        </w:rPr>
      </w:pPr>
    </w:p>
    <w:p w14:paraId="0D915EDD" w14:textId="77777777" w:rsidR="00A14553" w:rsidRDefault="003B7692">
      <w:pPr>
        <w:widowControl w:val="0"/>
        <w:autoSpaceDE w:val="0"/>
        <w:ind w:firstLine="624"/>
      </w:pPr>
      <w:r>
        <w:rPr>
          <w:color w:val="000000"/>
        </w:rPr>
        <w:t>Vu le code de l’environnement notamment son article L. 541-9-2 ;</w:t>
      </w:r>
    </w:p>
    <w:p w14:paraId="1CF0FBE2" w14:textId="77777777" w:rsidR="00A14553" w:rsidRDefault="00A14553">
      <w:pPr>
        <w:widowControl w:val="0"/>
        <w:autoSpaceDE w:val="0"/>
        <w:ind w:firstLine="624"/>
        <w:rPr>
          <w:color w:val="000000"/>
        </w:rPr>
      </w:pPr>
    </w:p>
    <w:p w14:paraId="63FBDE66" w14:textId="017CBE04" w:rsidR="00A14553" w:rsidRDefault="003B7692">
      <w:pPr>
        <w:widowControl w:val="0"/>
        <w:autoSpaceDE w:val="0"/>
        <w:ind w:firstLine="624"/>
        <w:rPr>
          <w:color w:val="000000"/>
        </w:rPr>
      </w:pPr>
      <w:r>
        <w:rPr>
          <w:color w:val="000000"/>
        </w:rPr>
        <w:t xml:space="preserve">Vu le décret n°     du     relatif aux modalités d’application de l’indice de </w:t>
      </w:r>
      <w:r w:rsidR="00536F63">
        <w:rPr>
          <w:color w:val="000000"/>
        </w:rPr>
        <w:t>durabilité</w:t>
      </w:r>
      <w:r>
        <w:rPr>
          <w:color w:val="000000"/>
        </w:rPr>
        <w:t xml:space="preserve"> pour les </w:t>
      </w:r>
      <w:r w:rsidR="00536F63">
        <w:rPr>
          <w:color w:val="000000"/>
        </w:rPr>
        <w:t>équipements</w:t>
      </w:r>
      <w:r w:rsidR="00D727B4">
        <w:rPr>
          <w:color w:val="000000"/>
        </w:rPr>
        <w:t xml:space="preserve"> électriques et électroniques</w:t>
      </w:r>
      <w:r w:rsidR="006D309E">
        <w:rPr>
          <w:color w:val="000000"/>
        </w:rPr>
        <w:t xml:space="preserve"> ; </w:t>
      </w:r>
    </w:p>
    <w:p w14:paraId="37B90FF6" w14:textId="701F9702" w:rsidR="006D309E" w:rsidRDefault="006D309E" w:rsidP="006D309E">
      <w:pPr>
        <w:widowControl w:val="0"/>
        <w:spacing w:before="120" w:after="120"/>
        <w:ind w:firstLine="709"/>
        <w:jc w:val="both"/>
        <w:rPr>
          <w:color w:val="000000"/>
        </w:rPr>
      </w:pPr>
      <w:r>
        <w:rPr>
          <w:color w:val="000000"/>
        </w:rPr>
        <w:t xml:space="preserve">Vu la notification adressée à la Commission européenne </w:t>
      </w:r>
      <w:r>
        <w:t xml:space="preserve">le </w:t>
      </w:r>
      <w:r w:rsidR="00710C59">
        <w:t xml:space="preserve">2 août 2023 </w:t>
      </w:r>
      <w:bookmarkStart w:id="0" w:name="_GoBack"/>
      <w:bookmarkEnd w:id="0"/>
      <w:r>
        <w:rPr>
          <w:color w:val="000000"/>
        </w:rPr>
        <w:t>;</w:t>
      </w:r>
    </w:p>
    <w:p w14:paraId="28FE2098" w14:textId="5ED3E172" w:rsidR="006D309E" w:rsidRDefault="006D309E" w:rsidP="006D309E">
      <w:pPr>
        <w:widowControl w:val="0"/>
        <w:spacing w:before="120" w:after="120"/>
        <w:ind w:firstLine="709"/>
        <w:jc w:val="both"/>
        <w:rPr>
          <w:color w:val="000000"/>
        </w:rPr>
      </w:pPr>
      <w:r>
        <w:t xml:space="preserve">Vu les observations formulées lors de la </w:t>
      </w:r>
      <w:r>
        <w:rPr>
          <w:rStyle w:val="surlignage"/>
        </w:rPr>
        <w:t>consultation</w:t>
      </w:r>
      <w:r>
        <w:t xml:space="preserve"> du public réalisée du au, en application de l'article L. 123-19-1 du code de l'environnement,</w:t>
      </w:r>
    </w:p>
    <w:p w14:paraId="2EB1C979" w14:textId="77777777" w:rsidR="006D309E" w:rsidRDefault="006D309E">
      <w:pPr>
        <w:widowControl w:val="0"/>
        <w:autoSpaceDE w:val="0"/>
        <w:ind w:firstLine="624"/>
      </w:pPr>
    </w:p>
    <w:p w14:paraId="508FCBF7" w14:textId="77777777" w:rsidR="00A14553" w:rsidRDefault="00A14553">
      <w:pPr>
        <w:widowControl w:val="0"/>
        <w:autoSpaceDE w:val="0"/>
        <w:rPr>
          <w:color w:val="000000"/>
        </w:rPr>
      </w:pPr>
    </w:p>
    <w:p w14:paraId="3790A590" w14:textId="77777777" w:rsidR="00A14553" w:rsidRDefault="00A14553">
      <w:pPr>
        <w:widowControl w:val="0"/>
        <w:autoSpaceDE w:val="0"/>
        <w:rPr>
          <w:color w:val="000000"/>
        </w:rPr>
      </w:pPr>
    </w:p>
    <w:p w14:paraId="432C4F31" w14:textId="77777777" w:rsidR="00A14553" w:rsidRDefault="003B7692">
      <w:pPr>
        <w:widowControl w:val="0"/>
        <w:autoSpaceDE w:val="0"/>
        <w:jc w:val="center"/>
      </w:pPr>
      <w:r>
        <w:rPr>
          <w:color w:val="000000"/>
        </w:rPr>
        <w:t>Arrêtent :</w:t>
      </w:r>
    </w:p>
    <w:p w14:paraId="15E6E864" w14:textId="77777777" w:rsidR="00A14553" w:rsidRDefault="00A14553">
      <w:pPr>
        <w:widowControl w:val="0"/>
        <w:autoSpaceDE w:val="0"/>
        <w:rPr>
          <w:color w:val="000000"/>
        </w:rPr>
      </w:pPr>
    </w:p>
    <w:p w14:paraId="566DF2C8" w14:textId="77777777" w:rsidR="00A14553" w:rsidRDefault="00A14553">
      <w:pPr>
        <w:widowControl w:val="0"/>
        <w:autoSpaceDE w:val="0"/>
        <w:rPr>
          <w:b/>
          <w:bCs/>
          <w:color w:val="000000"/>
        </w:rPr>
      </w:pPr>
    </w:p>
    <w:p w14:paraId="5307D42C" w14:textId="77777777" w:rsidR="00A14553" w:rsidRDefault="003B7692">
      <w:pPr>
        <w:widowControl w:val="0"/>
        <w:autoSpaceDE w:val="0"/>
        <w:jc w:val="center"/>
      </w:pPr>
      <w:r>
        <w:rPr>
          <w:b/>
          <w:bCs/>
          <w:color w:val="000000"/>
        </w:rPr>
        <w:t>Article 1</w:t>
      </w:r>
      <w:r>
        <w:rPr>
          <w:b/>
          <w:bCs/>
          <w:color w:val="000000"/>
          <w:vertAlign w:val="superscript"/>
        </w:rPr>
        <w:t>er</w:t>
      </w:r>
      <w:r>
        <w:rPr>
          <w:b/>
          <w:bCs/>
          <w:color w:val="000000"/>
        </w:rPr>
        <w:t> </w:t>
      </w:r>
    </w:p>
    <w:p w14:paraId="6E637CF0" w14:textId="77777777" w:rsidR="00A14553" w:rsidRDefault="00A14553">
      <w:pPr>
        <w:widowControl w:val="0"/>
        <w:autoSpaceDE w:val="0"/>
        <w:rPr>
          <w:color w:val="000000"/>
        </w:rPr>
      </w:pPr>
    </w:p>
    <w:p w14:paraId="6377223A" w14:textId="140906E9" w:rsidR="00A14553" w:rsidRDefault="003B7692" w:rsidP="00EB343A">
      <w:pPr>
        <w:widowControl w:val="0"/>
        <w:autoSpaceDE w:val="0"/>
        <w:jc w:val="both"/>
        <w:rPr>
          <w:color w:val="000000"/>
        </w:rPr>
      </w:pPr>
      <w:r>
        <w:rPr>
          <w:color w:val="000000"/>
        </w:rPr>
        <w:t xml:space="preserve">Le présent arrêté s’applique à tous les équipements faisant l’objet d’un calcul et d’un affichage de l’indice de </w:t>
      </w:r>
      <w:r w:rsidR="00536F63">
        <w:rPr>
          <w:color w:val="000000"/>
        </w:rPr>
        <w:t>durabilité</w:t>
      </w:r>
      <w:r>
        <w:rPr>
          <w:color w:val="000000"/>
        </w:rPr>
        <w:t xml:space="preserve"> selon les dispositions des articles </w:t>
      </w:r>
      <w:r w:rsidR="00536F63">
        <w:rPr>
          <w:color w:val="000000"/>
        </w:rPr>
        <w:t>R</w:t>
      </w:r>
      <w:r w:rsidR="00216363">
        <w:rPr>
          <w:color w:val="000000"/>
        </w:rPr>
        <w:t>.</w:t>
      </w:r>
      <w:r w:rsidR="00536F63">
        <w:rPr>
          <w:color w:val="000000"/>
        </w:rPr>
        <w:t xml:space="preserve"> 541-234 à R. 541-238</w:t>
      </w:r>
      <w:r>
        <w:rPr>
          <w:color w:val="000000"/>
        </w:rPr>
        <w:t xml:space="preserve"> du code de l’environnement.</w:t>
      </w:r>
    </w:p>
    <w:p w14:paraId="6B361104" w14:textId="77777777" w:rsidR="00216363" w:rsidRDefault="00216363">
      <w:pPr>
        <w:widowControl w:val="0"/>
        <w:autoSpaceDE w:val="0"/>
        <w:rPr>
          <w:color w:val="000000"/>
        </w:rPr>
      </w:pPr>
    </w:p>
    <w:p w14:paraId="6C6903ED" w14:textId="77777777" w:rsidR="00A14553" w:rsidRDefault="003B7692">
      <w:pPr>
        <w:widowControl w:val="0"/>
        <w:autoSpaceDE w:val="0"/>
        <w:jc w:val="center"/>
      </w:pPr>
      <w:r>
        <w:rPr>
          <w:b/>
          <w:bCs/>
          <w:color w:val="000000"/>
        </w:rPr>
        <w:t>Article 2 </w:t>
      </w:r>
    </w:p>
    <w:p w14:paraId="13C89AC7" w14:textId="77777777" w:rsidR="00A14553" w:rsidRDefault="00A14553">
      <w:pPr>
        <w:widowControl w:val="0"/>
        <w:autoSpaceDE w:val="0"/>
        <w:jc w:val="center"/>
        <w:rPr>
          <w:b/>
          <w:bCs/>
          <w:color w:val="000000"/>
        </w:rPr>
      </w:pPr>
    </w:p>
    <w:p w14:paraId="11E68B8E" w14:textId="77777777" w:rsidR="00A14553" w:rsidRDefault="003B7692">
      <w:pPr>
        <w:widowControl w:val="0"/>
        <w:autoSpaceDE w:val="0"/>
        <w:jc w:val="both"/>
      </w:pPr>
      <w:r>
        <w:rPr>
          <w:color w:val="000000"/>
        </w:rPr>
        <w:t xml:space="preserve">Pour tous les </w:t>
      </w:r>
      <w:r w:rsidR="00536F63">
        <w:rPr>
          <w:color w:val="000000"/>
        </w:rPr>
        <w:t>équipements</w:t>
      </w:r>
      <w:r>
        <w:rPr>
          <w:color w:val="000000"/>
        </w:rPr>
        <w:t xml:space="preserve"> mentionnés à l’article premier, l’indice</w:t>
      </w:r>
      <w:r w:rsidR="00536F63">
        <w:rPr>
          <w:color w:val="000000"/>
        </w:rPr>
        <w:t xml:space="preserve"> de dura</w:t>
      </w:r>
      <w:r>
        <w:rPr>
          <w:color w:val="000000"/>
        </w:rPr>
        <w:t>bilité est présenté sous la forme d’une note sur 10 pouvant comporter une décimale après la virgule.</w:t>
      </w:r>
    </w:p>
    <w:p w14:paraId="54847018" w14:textId="77777777" w:rsidR="00A14553" w:rsidRDefault="00A14553">
      <w:pPr>
        <w:widowControl w:val="0"/>
        <w:autoSpaceDE w:val="0"/>
        <w:jc w:val="both"/>
        <w:rPr>
          <w:color w:val="000000"/>
        </w:rPr>
      </w:pPr>
    </w:p>
    <w:p w14:paraId="77CD3AAE" w14:textId="77777777" w:rsidR="00A14553" w:rsidRDefault="003B7692">
      <w:pPr>
        <w:widowControl w:val="0"/>
        <w:autoSpaceDE w:val="0"/>
        <w:jc w:val="both"/>
      </w:pPr>
      <w:r>
        <w:rPr>
          <w:color w:val="000000"/>
        </w:rPr>
        <w:t>Si le chiffre après la première décimale est inférieur à 5, la note est arrondie à la décimale inférieure.</w:t>
      </w:r>
    </w:p>
    <w:p w14:paraId="17512FFB" w14:textId="77777777" w:rsidR="00A14553" w:rsidRDefault="00A14553">
      <w:pPr>
        <w:widowControl w:val="0"/>
        <w:autoSpaceDE w:val="0"/>
        <w:jc w:val="both"/>
        <w:rPr>
          <w:color w:val="000000"/>
        </w:rPr>
      </w:pPr>
    </w:p>
    <w:p w14:paraId="20AA72F2" w14:textId="77777777" w:rsidR="00A14553" w:rsidRDefault="003B7692">
      <w:pPr>
        <w:pStyle w:val="Paragraphedeliste"/>
        <w:suppressAutoHyphens w:val="0"/>
        <w:spacing w:after="0"/>
        <w:ind w:left="0"/>
        <w:jc w:val="both"/>
      </w:pPr>
      <w:r>
        <w:rPr>
          <w:color w:val="000000"/>
        </w:rPr>
        <w:t>Si le chiffre après la première décimale est supérieur ou égal à 5, la note est arrondie à la décimale supérieure.</w:t>
      </w:r>
    </w:p>
    <w:p w14:paraId="460881AF" w14:textId="77777777" w:rsidR="00A14553" w:rsidRDefault="00A14553">
      <w:pPr>
        <w:pStyle w:val="Paragraphedeliste"/>
        <w:suppressAutoHyphens w:val="0"/>
        <w:spacing w:after="0"/>
        <w:ind w:left="0"/>
        <w:jc w:val="both"/>
        <w:rPr>
          <w:color w:val="000000"/>
        </w:rPr>
      </w:pPr>
    </w:p>
    <w:p w14:paraId="4F63F343" w14:textId="77777777" w:rsidR="00A14553" w:rsidRDefault="003B7692">
      <w:pPr>
        <w:widowControl w:val="0"/>
        <w:autoSpaceDE w:val="0"/>
        <w:jc w:val="center"/>
      </w:pPr>
      <w:r>
        <w:rPr>
          <w:b/>
          <w:bCs/>
          <w:color w:val="000000"/>
        </w:rPr>
        <w:t>Article 3</w:t>
      </w:r>
      <w:r>
        <w:rPr>
          <w:b/>
          <w:color w:val="000000"/>
        </w:rPr>
        <w:t> </w:t>
      </w:r>
    </w:p>
    <w:p w14:paraId="48781F44" w14:textId="77777777" w:rsidR="00A14553" w:rsidRDefault="00A14553">
      <w:pPr>
        <w:pStyle w:val="Paragraphedeliste"/>
        <w:suppressAutoHyphens w:val="0"/>
        <w:spacing w:after="0"/>
        <w:ind w:left="0"/>
        <w:jc w:val="both"/>
        <w:rPr>
          <w:b/>
          <w:color w:val="000000"/>
        </w:rPr>
      </w:pPr>
    </w:p>
    <w:p w14:paraId="435449F2" w14:textId="77777777" w:rsidR="00A14553" w:rsidRDefault="003B7692">
      <w:pPr>
        <w:pStyle w:val="Paragraphedeliste"/>
        <w:suppressAutoHyphens w:val="0"/>
        <w:spacing w:after="0"/>
        <w:ind w:left="0"/>
        <w:jc w:val="both"/>
      </w:pPr>
      <w:r>
        <w:rPr>
          <w:color w:val="000000"/>
        </w:rPr>
        <w:t>Selon la note ainsi obtenue, les codes couleurs suivants sont utilisés pour l’affichage de l’indice :</w:t>
      </w:r>
    </w:p>
    <w:p w14:paraId="13A5A561" w14:textId="5693F7D6" w:rsidR="00A14553" w:rsidRDefault="003B7692">
      <w:pPr>
        <w:pStyle w:val="Paragraphedeliste"/>
        <w:numPr>
          <w:ilvl w:val="0"/>
          <w:numId w:val="2"/>
        </w:numPr>
        <w:suppressAutoHyphens w:val="0"/>
        <w:spacing w:after="0"/>
        <w:jc w:val="both"/>
      </w:pPr>
      <w:r>
        <w:rPr>
          <w:color w:val="000000"/>
        </w:rPr>
        <w:t xml:space="preserve">Note supérieure ou égale </w:t>
      </w:r>
      <w:r w:rsidR="0073643C">
        <w:rPr>
          <w:color w:val="000000"/>
        </w:rPr>
        <w:t xml:space="preserve">à 0 et inférieure ou égale à </w:t>
      </w:r>
      <w:r w:rsidR="005754D9">
        <w:rPr>
          <w:color w:val="000000"/>
        </w:rPr>
        <w:t>1,9</w:t>
      </w:r>
      <w:r>
        <w:rPr>
          <w:color w:val="000000"/>
        </w:rPr>
        <w:t> : rouge</w:t>
      </w:r>
      <w:r w:rsidR="005754D9">
        <w:rPr>
          <w:color w:val="000000"/>
        </w:rPr>
        <w:t xml:space="preserve"> foncé</w:t>
      </w:r>
      <w:r>
        <w:rPr>
          <w:color w:val="000000"/>
        </w:rPr>
        <w:t xml:space="preserve">, référence Pantone </w:t>
      </w:r>
      <w:r w:rsidR="005754D9">
        <w:t>7427 C</w:t>
      </w:r>
      <w:r>
        <w:rPr>
          <w:color w:val="000000"/>
        </w:rPr>
        <w:t> ; </w:t>
      </w:r>
    </w:p>
    <w:p w14:paraId="29247F9A" w14:textId="55FAE697" w:rsidR="005754D9" w:rsidRPr="00027E5B" w:rsidRDefault="005754D9" w:rsidP="00511A37">
      <w:pPr>
        <w:pStyle w:val="Paragraphedeliste"/>
        <w:numPr>
          <w:ilvl w:val="0"/>
          <w:numId w:val="2"/>
        </w:numPr>
        <w:suppressAutoHyphens w:val="0"/>
        <w:spacing w:after="0"/>
        <w:jc w:val="both"/>
      </w:pPr>
      <w:r>
        <w:rPr>
          <w:color w:val="000000"/>
        </w:rPr>
        <w:t xml:space="preserve">Note supérieure ou égale </w:t>
      </w:r>
      <w:r w:rsidR="00511A37">
        <w:rPr>
          <w:color w:val="000000"/>
        </w:rPr>
        <w:t>à 2 et inférieure ou égale à 3,9</w:t>
      </w:r>
      <w:r>
        <w:rPr>
          <w:color w:val="000000"/>
        </w:rPr>
        <w:t xml:space="preserve"> : rouge, référence Pantone </w:t>
      </w:r>
      <w:r w:rsidR="00511A37" w:rsidRPr="00511A37">
        <w:t>186 C</w:t>
      </w:r>
      <w:r>
        <w:rPr>
          <w:color w:val="000000"/>
        </w:rPr>
        <w:t> ; </w:t>
      </w:r>
    </w:p>
    <w:p w14:paraId="54C63342" w14:textId="5B9DFE07" w:rsidR="00A14553" w:rsidRDefault="003B7692">
      <w:pPr>
        <w:pStyle w:val="Paragraphedeliste"/>
        <w:numPr>
          <w:ilvl w:val="0"/>
          <w:numId w:val="2"/>
        </w:numPr>
        <w:suppressAutoHyphens w:val="0"/>
        <w:spacing w:after="0"/>
        <w:jc w:val="both"/>
      </w:pPr>
      <w:r>
        <w:rPr>
          <w:color w:val="000000"/>
        </w:rPr>
        <w:t xml:space="preserve">Note supérieure ou égale à </w:t>
      </w:r>
      <w:r w:rsidR="00511A37">
        <w:rPr>
          <w:color w:val="000000"/>
        </w:rPr>
        <w:t>4</w:t>
      </w:r>
      <w:r>
        <w:rPr>
          <w:color w:val="000000"/>
        </w:rPr>
        <w:t xml:space="preserve"> et inférieure ou égale à </w:t>
      </w:r>
      <w:r w:rsidR="00511A37">
        <w:rPr>
          <w:color w:val="000000"/>
        </w:rPr>
        <w:t>5</w:t>
      </w:r>
      <w:r w:rsidR="0073643C">
        <w:rPr>
          <w:color w:val="000000"/>
        </w:rPr>
        <w:t>,9</w:t>
      </w:r>
      <w:r>
        <w:rPr>
          <w:color w:val="000000"/>
        </w:rPr>
        <w:t> : orange, référence Pantone 1 585 C ;</w:t>
      </w:r>
    </w:p>
    <w:p w14:paraId="52A94D95" w14:textId="17767F67" w:rsidR="00A14553" w:rsidRDefault="003B7692">
      <w:pPr>
        <w:pStyle w:val="Paragraphedeliste"/>
        <w:numPr>
          <w:ilvl w:val="0"/>
          <w:numId w:val="2"/>
        </w:numPr>
        <w:suppressAutoHyphens w:val="0"/>
        <w:spacing w:after="0"/>
        <w:jc w:val="both"/>
      </w:pPr>
      <w:r>
        <w:rPr>
          <w:color w:val="000000"/>
        </w:rPr>
        <w:t xml:space="preserve">Note supérieure ou égale à </w:t>
      </w:r>
      <w:r w:rsidR="00511A37">
        <w:rPr>
          <w:color w:val="000000"/>
        </w:rPr>
        <w:t>6</w:t>
      </w:r>
      <w:r>
        <w:rPr>
          <w:color w:val="000000"/>
        </w:rPr>
        <w:t xml:space="preserve"> et inférieure ou égale à </w:t>
      </w:r>
      <w:r w:rsidR="00511A37">
        <w:rPr>
          <w:color w:val="000000"/>
        </w:rPr>
        <w:t>7,9</w:t>
      </w:r>
      <w:r>
        <w:rPr>
          <w:color w:val="000000"/>
        </w:rPr>
        <w:t> : jaune, référence Pantone 7 548 C ;</w:t>
      </w:r>
    </w:p>
    <w:p w14:paraId="07A7472F" w14:textId="38024C90" w:rsidR="00A14553" w:rsidRDefault="0073643C">
      <w:pPr>
        <w:pStyle w:val="Paragraphedeliste"/>
        <w:numPr>
          <w:ilvl w:val="0"/>
          <w:numId w:val="2"/>
        </w:numPr>
        <w:suppressAutoHyphens w:val="0"/>
        <w:spacing w:after="0"/>
        <w:jc w:val="both"/>
      </w:pPr>
      <w:r>
        <w:rPr>
          <w:color w:val="000000"/>
        </w:rPr>
        <w:t xml:space="preserve">Note supérieure ou égale à </w:t>
      </w:r>
      <w:r w:rsidR="00511A37">
        <w:rPr>
          <w:color w:val="000000"/>
        </w:rPr>
        <w:t>8</w:t>
      </w:r>
      <w:r w:rsidR="003B7692">
        <w:rPr>
          <w:color w:val="000000"/>
        </w:rPr>
        <w:t xml:space="preserve"> et inférieure ou égale à 10 : vert foncé, référence Pantone 347 C ;</w:t>
      </w:r>
    </w:p>
    <w:p w14:paraId="37628368" w14:textId="77777777" w:rsidR="00A14553" w:rsidRDefault="00A14553">
      <w:pPr>
        <w:pStyle w:val="Paragraphedeliste"/>
        <w:suppressAutoHyphens w:val="0"/>
        <w:spacing w:after="0"/>
        <w:ind w:left="0"/>
        <w:jc w:val="both"/>
        <w:rPr>
          <w:color w:val="000000"/>
        </w:rPr>
      </w:pPr>
    </w:p>
    <w:p w14:paraId="5958027F" w14:textId="4B40085A" w:rsidR="00A14553" w:rsidRDefault="003B7692">
      <w:pPr>
        <w:pStyle w:val="Paragraphedeliste"/>
        <w:suppressAutoHyphens w:val="0"/>
        <w:spacing w:after="0"/>
        <w:ind w:left="0"/>
        <w:jc w:val="both"/>
      </w:pPr>
      <w:r>
        <w:rPr>
          <w:color w:val="000000"/>
        </w:rPr>
        <w:t xml:space="preserve">La signalétique obligatoire pour l’affichage de l’indice de </w:t>
      </w:r>
      <w:r w:rsidR="00536F63">
        <w:rPr>
          <w:color w:val="000000"/>
        </w:rPr>
        <w:t>durabilité</w:t>
      </w:r>
      <w:r>
        <w:rPr>
          <w:color w:val="000000"/>
        </w:rPr>
        <w:t xml:space="preserve"> est la représentation graphique constituée de la mention « indice de </w:t>
      </w:r>
      <w:r w:rsidR="00536F63">
        <w:rPr>
          <w:color w:val="000000"/>
        </w:rPr>
        <w:t>durabilit</w:t>
      </w:r>
      <w:r>
        <w:rPr>
          <w:color w:val="000000"/>
        </w:rPr>
        <w:t>é » et du pictogramme indiquant la note de l’indice ci-dessous</w:t>
      </w:r>
    </w:p>
    <w:p w14:paraId="169458B8" w14:textId="5AB2D831" w:rsidR="00EB2721" w:rsidRDefault="00EB2721">
      <w:pPr>
        <w:pStyle w:val="Paragraphedeliste"/>
        <w:suppressAutoHyphens w:val="0"/>
        <w:spacing w:after="0"/>
        <w:ind w:left="0"/>
        <w:jc w:val="both"/>
        <w:rPr>
          <w:color w:val="000000"/>
          <w:lang w:eastAsia="fr-FR"/>
        </w:rPr>
      </w:pPr>
    </w:p>
    <w:p w14:paraId="61B569CF" w14:textId="23BEA669" w:rsidR="00BF1B79" w:rsidRDefault="00BF1B79" w:rsidP="0059370F">
      <w:pPr>
        <w:pStyle w:val="Paragraphedeliste"/>
        <w:suppressAutoHyphens w:val="0"/>
        <w:spacing w:after="0"/>
        <w:ind w:left="0"/>
        <w:jc w:val="center"/>
        <w:rPr>
          <w:color w:val="000000"/>
          <w:lang w:eastAsia="fr-FR"/>
        </w:rPr>
      </w:pPr>
      <w:r>
        <w:rPr>
          <w:noProof/>
          <w:lang w:eastAsia="fr-FR"/>
        </w:rPr>
        <w:drawing>
          <wp:inline distT="0" distB="0" distL="0" distR="0" wp14:anchorId="6402BD9E" wp14:editId="58314E6F">
            <wp:extent cx="2105025" cy="117021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8788" cy="1283491"/>
                    </a:xfrm>
                    <a:prstGeom prst="rect">
                      <a:avLst/>
                    </a:prstGeom>
                  </pic:spPr>
                </pic:pic>
              </a:graphicData>
            </a:graphic>
          </wp:inline>
        </w:drawing>
      </w:r>
    </w:p>
    <w:p w14:paraId="7B1DB708" w14:textId="77777777" w:rsidR="00EB2721" w:rsidRDefault="00EB2721">
      <w:pPr>
        <w:pStyle w:val="Paragraphedeliste"/>
        <w:suppressAutoHyphens w:val="0"/>
        <w:spacing w:after="0"/>
        <w:ind w:left="0"/>
        <w:jc w:val="both"/>
        <w:rPr>
          <w:color w:val="000000"/>
          <w:lang w:eastAsia="fr-FR"/>
        </w:rPr>
      </w:pPr>
    </w:p>
    <w:p w14:paraId="2F0A309C" w14:textId="77777777" w:rsidR="00EB2721" w:rsidRDefault="00EB2721">
      <w:pPr>
        <w:pStyle w:val="Paragraphedeliste"/>
        <w:suppressAutoHyphens w:val="0"/>
        <w:spacing w:after="0"/>
        <w:ind w:left="0"/>
        <w:jc w:val="both"/>
        <w:rPr>
          <w:color w:val="000000"/>
          <w:lang w:eastAsia="fr-FR"/>
        </w:rPr>
      </w:pPr>
    </w:p>
    <w:p w14:paraId="535562BA" w14:textId="5BBA2D07" w:rsidR="00A14553" w:rsidRDefault="00A14553">
      <w:pPr>
        <w:pStyle w:val="Paragraphedeliste"/>
        <w:suppressAutoHyphens w:val="0"/>
        <w:spacing w:after="0"/>
        <w:ind w:left="0"/>
        <w:jc w:val="both"/>
        <w:rPr>
          <w:color w:val="000000"/>
          <w:lang w:eastAsia="fr-FR"/>
        </w:rPr>
      </w:pPr>
    </w:p>
    <w:p w14:paraId="0DB9598F" w14:textId="77777777" w:rsidR="00A14553" w:rsidRDefault="003B7692">
      <w:pPr>
        <w:pStyle w:val="Paragraphedeliste"/>
        <w:suppressAutoHyphens w:val="0"/>
        <w:spacing w:after="0"/>
        <w:ind w:left="0"/>
        <w:jc w:val="both"/>
      </w:pPr>
      <w:r>
        <w:rPr>
          <w:color w:val="000000"/>
        </w:rPr>
        <w:t>La taille de police des chiffres de la note sur 10 doit être au moins équivalente à la taille de police des chiffres du prix en rayon. Tout ajustement de la taille de cette signalétique doit s’effectuer de façon homothétique.</w:t>
      </w:r>
    </w:p>
    <w:p w14:paraId="1AAD6A37" w14:textId="77777777" w:rsidR="00A14553" w:rsidRDefault="00A14553">
      <w:pPr>
        <w:pStyle w:val="Paragraphedeliste"/>
        <w:suppressAutoHyphens w:val="0"/>
        <w:spacing w:after="0"/>
        <w:ind w:left="0"/>
        <w:jc w:val="both"/>
        <w:rPr>
          <w:color w:val="000000"/>
        </w:rPr>
      </w:pPr>
    </w:p>
    <w:p w14:paraId="09D07A5A" w14:textId="77777777" w:rsidR="00A14553" w:rsidRDefault="003B7692">
      <w:pPr>
        <w:pStyle w:val="Paragraphedeliste"/>
        <w:suppressAutoHyphens w:val="0"/>
        <w:spacing w:after="0"/>
        <w:ind w:left="0"/>
        <w:jc w:val="both"/>
      </w:pPr>
      <w:r>
        <w:rPr>
          <w:color w:val="000000"/>
        </w:rPr>
        <w:t>Dans le cas où l’indice est également apposé directement sur chaque unité de modèle ou sur l’emballage par voie d’étiquetage ou de marquage, la taille de la représentation graphique doit être visible et lisible.</w:t>
      </w:r>
    </w:p>
    <w:p w14:paraId="1DF29548" w14:textId="77777777" w:rsidR="00A14553" w:rsidRDefault="00A14553">
      <w:pPr>
        <w:pStyle w:val="Paragraphedeliste"/>
        <w:suppressAutoHyphens w:val="0"/>
        <w:spacing w:after="0"/>
        <w:ind w:left="0"/>
        <w:jc w:val="both"/>
      </w:pPr>
    </w:p>
    <w:p w14:paraId="7E55A2AD" w14:textId="77777777" w:rsidR="00A14553" w:rsidRDefault="003B7692">
      <w:pPr>
        <w:pStyle w:val="Paragraphedeliste"/>
        <w:suppressAutoHyphens w:val="0"/>
        <w:spacing w:after="0"/>
        <w:ind w:left="0"/>
        <w:jc w:val="center"/>
      </w:pPr>
      <w:r>
        <w:rPr>
          <w:b/>
          <w:bCs/>
          <w:color w:val="000000"/>
        </w:rPr>
        <w:t>Article 4</w:t>
      </w:r>
      <w:r>
        <w:rPr>
          <w:b/>
          <w:color w:val="000000"/>
        </w:rPr>
        <w:t> </w:t>
      </w:r>
    </w:p>
    <w:p w14:paraId="3B66CFB7" w14:textId="037F53E5" w:rsidR="00A14553" w:rsidRDefault="00A14553">
      <w:pPr>
        <w:widowControl w:val="0"/>
        <w:autoSpaceDE w:val="0"/>
        <w:jc w:val="both"/>
        <w:rPr>
          <w:color w:val="000000"/>
        </w:rPr>
      </w:pPr>
    </w:p>
    <w:p w14:paraId="723B6CE1" w14:textId="224C10AB" w:rsidR="00A14553" w:rsidRDefault="003B7692">
      <w:pPr>
        <w:pStyle w:val="SNSignatureGauche0"/>
        <w:spacing w:before="0" w:after="0"/>
        <w:ind w:left="0" w:right="0" w:firstLine="0"/>
        <w:jc w:val="both"/>
      </w:pPr>
      <w:r>
        <w:rPr>
          <w:color w:val="000000"/>
        </w:rPr>
        <w:t>La communicat</w:t>
      </w:r>
      <w:r w:rsidR="00536F63">
        <w:rPr>
          <w:color w:val="000000"/>
        </w:rPr>
        <w:t xml:space="preserve">ion et la mise à disposition </w:t>
      </w:r>
      <w:r w:rsidR="003620FC">
        <w:rPr>
          <w:color w:val="000000"/>
        </w:rPr>
        <w:t>du tableau présentant le</w:t>
      </w:r>
      <w:r w:rsidR="000227CE">
        <w:rPr>
          <w:color w:val="000000"/>
        </w:rPr>
        <w:t xml:space="preserve"> détail de la notation de</w:t>
      </w:r>
      <w:r>
        <w:rPr>
          <w:color w:val="000000"/>
        </w:rPr>
        <w:t xml:space="preserve"> l’indice de </w:t>
      </w:r>
      <w:r w:rsidR="00536F63">
        <w:rPr>
          <w:color w:val="000000"/>
        </w:rPr>
        <w:t>durabilit</w:t>
      </w:r>
      <w:r>
        <w:rPr>
          <w:color w:val="000000"/>
        </w:rPr>
        <w:t>é de chaque équipement sont présentées conformément au</w:t>
      </w:r>
      <w:r w:rsidR="00216363">
        <w:rPr>
          <w:color w:val="000000"/>
        </w:rPr>
        <w:t xml:space="preserve"> </w:t>
      </w:r>
      <w:r>
        <w:rPr>
          <w:color w:val="000000"/>
        </w:rPr>
        <w:t>tableau ci-dessous, au format numérique non modif</w:t>
      </w:r>
      <w:r w:rsidR="009B219E">
        <w:rPr>
          <w:color w:val="000000"/>
        </w:rPr>
        <w:t>iable, aux dimensions 21 × 29,7</w:t>
      </w:r>
      <w:r>
        <w:rPr>
          <w:color w:val="000000"/>
        </w:rPr>
        <w:t xml:space="preserve"> cm.</w:t>
      </w:r>
    </w:p>
    <w:p w14:paraId="0B9DAE69" w14:textId="77777777" w:rsidR="00A14553" w:rsidRDefault="00A14553">
      <w:pPr>
        <w:pStyle w:val="SNSignatureGauche0"/>
        <w:spacing w:before="0" w:after="0"/>
        <w:ind w:left="0" w:right="0" w:firstLine="0"/>
        <w:jc w:val="both"/>
        <w:rPr>
          <w:color w:val="000000"/>
        </w:rPr>
      </w:pPr>
    </w:p>
    <w:tbl>
      <w:tblPr>
        <w:tblStyle w:val="Grilledutableau"/>
        <w:tblW w:w="9417" w:type="dxa"/>
        <w:tblLook w:val="04A0" w:firstRow="1" w:lastRow="0" w:firstColumn="1" w:lastColumn="0" w:noHBand="0" w:noVBand="1"/>
      </w:tblPr>
      <w:tblGrid>
        <w:gridCol w:w="1225"/>
        <w:gridCol w:w="2285"/>
        <w:gridCol w:w="1265"/>
        <w:gridCol w:w="1265"/>
        <w:gridCol w:w="1264"/>
        <w:gridCol w:w="1186"/>
        <w:gridCol w:w="927"/>
      </w:tblGrid>
      <w:tr w:rsidR="00E63D3B" w14:paraId="1C33FD56" w14:textId="77777777" w:rsidTr="00E63D3B">
        <w:trPr>
          <w:trHeight w:val="780"/>
        </w:trPr>
        <w:tc>
          <w:tcPr>
            <w:tcW w:w="1225" w:type="dxa"/>
          </w:tcPr>
          <w:p w14:paraId="3B38A89E" w14:textId="261F3F51" w:rsidR="00E63D3B" w:rsidRPr="00521A25" w:rsidRDefault="00E63D3B" w:rsidP="00E63D3B">
            <w:pPr>
              <w:spacing w:after="160" w:line="259" w:lineRule="auto"/>
              <w:rPr>
                <w:b/>
                <w:bCs/>
                <w:sz w:val="18"/>
              </w:rPr>
            </w:pPr>
            <w:r>
              <w:rPr>
                <w:b/>
                <w:bCs/>
                <w:sz w:val="18"/>
              </w:rPr>
              <w:t>C</w:t>
            </w:r>
            <w:r w:rsidRPr="00521A25">
              <w:rPr>
                <w:b/>
                <w:bCs/>
                <w:sz w:val="18"/>
              </w:rPr>
              <w:t>ritères</w:t>
            </w:r>
          </w:p>
        </w:tc>
        <w:tc>
          <w:tcPr>
            <w:tcW w:w="2285" w:type="dxa"/>
          </w:tcPr>
          <w:p w14:paraId="07A99144" w14:textId="281535C7" w:rsidR="00E63D3B" w:rsidRPr="00521A25" w:rsidRDefault="00E63D3B" w:rsidP="00E63D3B">
            <w:pPr>
              <w:spacing w:after="160" w:line="259" w:lineRule="auto"/>
              <w:rPr>
                <w:b/>
                <w:bCs/>
                <w:sz w:val="18"/>
              </w:rPr>
            </w:pPr>
            <w:r>
              <w:rPr>
                <w:b/>
                <w:bCs/>
                <w:sz w:val="18"/>
              </w:rPr>
              <w:t>Sous-c</w:t>
            </w:r>
            <w:r w:rsidRPr="00521A25">
              <w:rPr>
                <w:b/>
                <w:bCs/>
                <w:sz w:val="18"/>
              </w:rPr>
              <w:t>ritères</w:t>
            </w:r>
          </w:p>
        </w:tc>
        <w:tc>
          <w:tcPr>
            <w:tcW w:w="1265" w:type="dxa"/>
          </w:tcPr>
          <w:p w14:paraId="0F368558" w14:textId="75B7BE83" w:rsidR="00E63D3B" w:rsidRPr="00521A25" w:rsidRDefault="00E63D3B" w:rsidP="00E63D3B">
            <w:pPr>
              <w:spacing w:after="160" w:line="259" w:lineRule="auto"/>
              <w:rPr>
                <w:b/>
                <w:bCs/>
                <w:sz w:val="18"/>
              </w:rPr>
            </w:pPr>
            <w:r w:rsidRPr="00521A25">
              <w:rPr>
                <w:b/>
                <w:bCs/>
                <w:sz w:val="18"/>
              </w:rPr>
              <w:t xml:space="preserve">Notes </w:t>
            </w:r>
            <w:r>
              <w:rPr>
                <w:b/>
                <w:bCs/>
                <w:sz w:val="18"/>
              </w:rPr>
              <w:t>des sous-</w:t>
            </w:r>
            <w:r w:rsidRPr="00521A25">
              <w:rPr>
                <w:b/>
                <w:bCs/>
                <w:sz w:val="18"/>
              </w:rPr>
              <w:t xml:space="preserve">critères </w:t>
            </w:r>
          </w:p>
        </w:tc>
        <w:tc>
          <w:tcPr>
            <w:tcW w:w="1265" w:type="dxa"/>
          </w:tcPr>
          <w:p w14:paraId="39A637D1" w14:textId="21065012" w:rsidR="00E63D3B" w:rsidRPr="00521A25" w:rsidRDefault="00E63D3B" w:rsidP="00E63D3B">
            <w:pPr>
              <w:spacing w:after="160" w:line="259" w:lineRule="auto"/>
              <w:rPr>
                <w:b/>
                <w:bCs/>
                <w:sz w:val="18"/>
              </w:rPr>
            </w:pPr>
            <w:r w:rsidRPr="00521A25">
              <w:rPr>
                <w:b/>
                <w:bCs/>
                <w:sz w:val="18"/>
              </w:rPr>
              <w:t xml:space="preserve">Coefficients </w:t>
            </w:r>
            <w:r>
              <w:rPr>
                <w:b/>
                <w:bCs/>
                <w:sz w:val="18"/>
              </w:rPr>
              <w:t xml:space="preserve"> </w:t>
            </w:r>
            <w:r w:rsidRPr="00521A25">
              <w:rPr>
                <w:b/>
                <w:bCs/>
                <w:sz w:val="18"/>
              </w:rPr>
              <w:t xml:space="preserve">des </w:t>
            </w:r>
            <w:r>
              <w:rPr>
                <w:b/>
                <w:bCs/>
                <w:sz w:val="18"/>
              </w:rPr>
              <w:t>sous-</w:t>
            </w:r>
            <w:r w:rsidRPr="00521A25">
              <w:rPr>
                <w:b/>
                <w:bCs/>
                <w:sz w:val="18"/>
              </w:rPr>
              <w:t>critères</w:t>
            </w:r>
          </w:p>
        </w:tc>
        <w:tc>
          <w:tcPr>
            <w:tcW w:w="1264" w:type="dxa"/>
          </w:tcPr>
          <w:p w14:paraId="38B82544" w14:textId="000AA66A" w:rsidR="00E63D3B" w:rsidRPr="00521A25" w:rsidRDefault="00E63D3B" w:rsidP="00E63D3B">
            <w:pPr>
              <w:spacing w:after="160" w:line="259" w:lineRule="auto"/>
              <w:rPr>
                <w:b/>
                <w:bCs/>
                <w:sz w:val="18"/>
              </w:rPr>
            </w:pPr>
            <w:r w:rsidRPr="00521A25">
              <w:rPr>
                <w:b/>
                <w:bCs/>
                <w:sz w:val="18"/>
              </w:rPr>
              <w:t xml:space="preserve">Notes </w:t>
            </w:r>
            <w:r>
              <w:rPr>
                <w:b/>
                <w:bCs/>
                <w:sz w:val="18"/>
              </w:rPr>
              <w:t xml:space="preserve">des </w:t>
            </w:r>
            <w:r w:rsidRPr="00521A25">
              <w:rPr>
                <w:b/>
                <w:bCs/>
                <w:sz w:val="18"/>
              </w:rPr>
              <w:t xml:space="preserve">critères </w:t>
            </w:r>
          </w:p>
        </w:tc>
        <w:tc>
          <w:tcPr>
            <w:tcW w:w="1182" w:type="dxa"/>
          </w:tcPr>
          <w:p w14:paraId="75C56AF3" w14:textId="502D2EE2" w:rsidR="00E63D3B" w:rsidRPr="00521A25" w:rsidRDefault="00E63D3B" w:rsidP="00E63D3B">
            <w:pPr>
              <w:spacing w:after="160" w:line="259" w:lineRule="auto"/>
              <w:rPr>
                <w:b/>
                <w:bCs/>
                <w:sz w:val="18"/>
              </w:rPr>
            </w:pPr>
            <w:r w:rsidRPr="00521A25">
              <w:rPr>
                <w:b/>
                <w:bCs/>
                <w:sz w:val="18"/>
              </w:rPr>
              <w:t>Coefficients de</w:t>
            </w:r>
            <w:r>
              <w:rPr>
                <w:b/>
                <w:bCs/>
                <w:sz w:val="18"/>
              </w:rPr>
              <w:t>s</w:t>
            </w:r>
            <w:r w:rsidRPr="00521A25">
              <w:rPr>
                <w:b/>
                <w:bCs/>
                <w:sz w:val="18"/>
              </w:rPr>
              <w:t xml:space="preserve"> critères</w:t>
            </w:r>
          </w:p>
        </w:tc>
        <w:tc>
          <w:tcPr>
            <w:tcW w:w="927" w:type="dxa"/>
          </w:tcPr>
          <w:p w14:paraId="31A4D960" w14:textId="2F722E1B" w:rsidR="00E63D3B" w:rsidRPr="00521A25" w:rsidRDefault="00E63D3B" w:rsidP="00E63D3B">
            <w:pPr>
              <w:spacing w:after="160" w:line="259" w:lineRule="auto"/>
              <w:rPr>
                <w:b/>
                <w:bCs/>
                <w:sz w:val="18"/>
              </w:rPr>
            </w:pPr>
            <w:r w:rsidRPr="00521A25">
              <w:rPr>
                <w:b/>
                <w:bCs/>
                <w:sz w:val="18"/>
              </w:rPr>
              <w:t xml:space="preserve">Total des notes de critères </w:t>
            </w:r>
          </w:p>
        </w:tc>
      </w:tr>
      <w:tr w:rsidR="00E63D3B" w14:paraId="0FA361B9" w14:textId="77777777" w:rsidTr="00E63D3B">
        <w:trPr>
          <w:trHeight w:val="365"/>
        </w:trPr>
        <w:tc>
          <w:tcPr>
            <w:tcW w:w="1225" w:type="dxa"/>
            <w:vMerge w:val="restart"/>
          </w:tcPr>
          <w:p w14:paraId="118A8E55" w14:textId="77777777" w:rsidR="00E63D3B" w:rsidRPr="00521A25" w:rsidRDefault="00E63D3B" w:rsidP="003E3270">
            <w:pPr>
              <w:spacing w:after="160" w:line="259" w:lineRule="auto"/>
              <w:rPr>
                <w:b/>
                <w:bCs/>
                <w:sz w:val="18"/>
              </w:rPr>
            </w:pPr>
            <w:r w:rsidRPr="00521A25">
              <w:rPr>
                <w:b/>
                <w:bCs/>
                <w:sz w:val="18"/>
              </w:rPr>
              <w:t>A. Réparabilité</w:t>
            </w:r>
          </w:p>
        </w:tc>
        <w:tc>
          <w:tcPr>
            <w:tcW w:w="2285" w:type="dxa"/>
          </w:tcPr>
          <w:p w14:paraId="0B830E4D" w14:textId="77777777" w:rsidR="00E63D3B" w:rsidRPr="00521A25" w:rsidRDefault="00E63D3B" w:rsidP="003E3270">
            <w:pPr>
              <w:spacing w:after="160" w:line="259" w:lineRule="auto"/>
              <w:rPr>
                <w:sz w:val="18"/>
              </w:rPr>
            </w:pPr>
            <w:r w:rsidRPr="00521A25">
              <w:rPr>
                <w:sz w:val="18"/>
              </w:rPr>
              <w:t>A.1 Documentation</w:t>
            </w:r>
          </w:p>
        </w:tc>
        <w:tc>
          <w:tcPr>
            <w:tcW w:w="1265" w:type="dxa"/>
          </w:tcPr>
          <w:p w14:paraId="3DC85506" w14:textId="77777777" w:rsidR="00E63D3B" w:rsidRPr="00521A25" w:rsidRDefault="00E63D3B" w:rsidP="003E3270">
            <w:pPr>
              <w:spacing w:after="160" w:line="259" w:lineRule="auto"/>
              <w:rPr>
                <w:sz w:val="18"/>
              </w:rPr>
            </w:pPr>
            <w:r w:rsidRPr="00DE4089">
              <w:rPr>
                <w:sz w:val="18"/>
              </w:rPr>
              <w:t>▀▀/10</w:t>
            </w:r>
          </w:p>
        </w:tc>
        <w:tc>
          <w:tcPr>
            <w:tcW w:w="1265" w:type="dxa"/>
          </w:tcPr>
          <w:p w14:paraId="497291BC" w14:textId="77777777" w:rsidR="00E63D3B" w:rsidRPr="00521A25" w:rsidRDefault="00E63D3B" w:rsidP="003E3270">
            <w:pPr>
              <w:spacing w:after="160" w:line="259" w:lineRule="auto"/>
              <w:rPr>
                <w:sz w:val="18"/>
              </w:rPr>
            </w:pPr>
            <w:r w:rsidRPr="00521A25">
              <w:rPr>
                <w:sz w:val="18"/>
              </w:rPr>
              <w:t>2,5</w:t>
            </w:r>
          </w:p>
        </w:tc>
        <w:tc>
          <w:tcPr>
            <w:tcW w:w="1264" w:type="dxa"/>
            <w:vMerge w:val="restart"/>
          </w:tcPr>
          <w:p w14:paraId="4B4DA8DF" w14:textId="77777777" w:rsidR="00E63D3B" w:rsidRPr="00521A25" w:rsidRDefault="00E63D3B" w:rsidP="003E3270">
            <w:pPr>
              <w:spacing w:after="160" w:line="259" w:lineRule="auto"/>
              <w:rPr>
                <w:sz w:val="18"/>
              </w:rPr>
            </w:pPr>
            <w:r w:rsidRPr="00DE4089">
              <w:rPr>
                <w:sz w:val="18"/>
              </w:rPr>
              <w:t>▀▀/10</w:t>
            </w:r>
          </w:p>
        </w:tc>
        <w:tc>
          <w:tcPr>
            <w:tcW w:w="1182" w:type="dxa"/>
            <w:vMerge w:val="restart"/>
          </w:tcPr>
          <w:p w14:paraId="25855F56" w14:textId="511AF83E" w:rsidR="00E63D3B" w:rsidRPr="00DE4089" w:rsidRDefault="00E63D3B" w:rsidP="003E3270">
            <w:pPr>
              <w:spacing w:after="160" w:line="259" w:lineRule="auto"/>
              <w:rPr>
                <w:sz w:val="18"/>
              </w:rPr>
            </w:pPr>
            <w:r w:rsidRPr="00521A25">
              <w:rPr>
                <w:sz w:val="18"/>
              </w:rPr>
              <w:t>4,5</w:t>
            </w:r>
          </w:p>
        </w:tc>
        <w:tc>
          <w:tcPr>
            <w:tcW w:w="927" w:type="dxa"/>
            <w:vMerge w:val="restart"/>
          </w:tcPr>
          <w:p w14:paraId="08A72782" w14:textId="77777777" w:rsidR="00E63D3B" w:rsidRPr="00521A25" w:rsidRDefault="00E63D3B" w:rsidP="003E3270">
            <w:pPr>
              <w:spacing w:after="160" w:line="259" w:lineRule="auto"/>
              <w:rPr>
                <w:sz w:val="18"/>
              </w:rPr>
            </w:pPr>
            <w:r w:rsidRPr="00DE4089">
              <w:rPr>
                <w:sz w:val="18"/>
              </w:rPr>
              <w:t>▀▀/100</w:t>
            </w:r>
          </w:p>
        </w:tc>
      </w:tr>
      <w:tr w:rsidR="00E63D3B" w14:paraId="7542A6AF" w14:textId="77777777" w:rsidTr="00E63D3B">
        <w:trPr>
          <w:trHeight w:val="240"/>
        </w:trPr>
        <w:tc>
          <w:tcPr>
            <w:tcW w:w="1225" w:type="dxa"/>
            <w:vMerge/>
          </w:tcPr>
          <w:p w14:paraId="09E8B23A" w14:textId="77777777" w:rsidR="00E63D3B" w:rsidRPr="00521A25" w:rsidRDefault="00E63D3B" w:rsidP="003E3270">
            <w:pPr>
              <w:spacing w:after="160" w:line="259" w:lineRule="auto"/>
              <w:rPr>
                <w:b/>
                <w:bCs/>
                <w:sz w:val="18"/>
              </w:rPr>
            </w:pPr>
          </w:p>
        </w:tc>
        <w:tc>
          <w:tcPr>
            <w:tcW w:w="2285" w:type="dxa"/>
          </w:tcPr>
          <w:p w14:paraId="3F0A2181" w14:textId="77777777" w:rsidR="00E63D3B" w:rsidRPr="00521A25" w:rsidRDefault="00E63D3B" w:rsidP="003E3270">
            <w:pPr>
              <w:spacing w:after="160" w:line="259" w:lineRule="auto"/>
              <w:rPr>
                <w:sz w:val="18"/>
              </w:rPr>
            </w:pPr>
            <w:r w:rsidRPr="00521A25">
              <w:rPr>
                <w:sz w:val="18"/>
              </w:rPr>
              <w:t>A.2 Démontabilité</w:t>
            </w:r>
          </w:p>
        </w:tc>
        <w:tc>
          <w:tcPr>
            <w:tcW w:w="1265" w:type="dxa"/>
          </w:tcPr>
          <w:p w14:paraId="02B421D1" w14:textId="77777777" w:rsidR="00E63D3B" w:rsidRPr="00521A25" w:rsidRDefault="00E63D3B" w:rsidP="003E3270">
            <w:pPr>
              <w:spacing w:after="160" w:line="259" w:lineRule="auto"/>
              <w:rPr>
                <w:sz w:val="18"/>
              </w:rPr>
            </w:pPr>
            <w:r w:rsidRPr="00DE4089">
              <w:rPr>
                <w:sz w:val="18"/>
              </w:rPr>
              <w:t>▀▀/10</w:t>
            </w:r>
          </w:p>
        </w:tc>
        <w:tc>
          <w:tcPr>
            <w:tcW w:w="1265" w:type="dxa"/>
          </w:tcPr>
          <w:p w14:paraId="5381FB22" w14:textId="77777777" w:rsidR="00E63D3B" w:rsidRPr="00521A25" w:rsidRDefault="00E63D3B" w:rsidP="003E3270">
            <w:pPr>
              <w:spacing w:after="160" w:line="259" w:lineRule="auto"/>
              <w:rPr>
                <w:sz w:val="18"/>
              </w:rPr>
            </w:pPr>
            <w:r w:rsidRPr="00521A25">
              <w:rPr>
                <w:sz w:val="18"/>
              </w:rPr>
              <w:t>2,5</w:t>
            </w:r>
          </w:p>
        </w:tc>
        <w:tc>
          <w:tcPr>
            <w:tcW w:w="1264" w:type="dxa"/>
            <w:vMerge/>
          </w:tcPr>
          <w:p w14:paraId="3C8C27A3" w14:textId="77777777" w:rsidR="00E63D3B" w:rsidRPr="00521A25" w:rsidRDefault="00E63D3B" w:rsidP="003E3270">
            <w:pPr>
              <w:spacing w:after="160" w:line="259" w:lineRule="auto"/>
              <w:rPr>
                <w:sz w:val="18"/>
              </w:rPr>
            </w:pPr>
          </w:p>
        </w:tc>
        <w:tc>
          <w:tcPr>
            <w:tcW w:w="1182" w:type="dxa"/>
            <w:vMerge/>
          </w:tcPr>
          <w:p w14:paraId="1C04D43E" w14:textId="77777777" w:rsidR="00E63D3B" w:rsidRPr="00521A25" w:rsidRDefault="00E63D3B" w:rsidP="003E3270">
            <w:pPr>
              <w:spacing w:after="160" w:line="259" w:lineRule="auto"/>
              <w:rPr>
                <w:sz w:val="18"/>
              </w:rPr>
            </w:pPr>
          </w:p>
        </w:tc>
        <w:tc>
          <w:tcPr>
            <w:tcW w:w="927" w:type="dxa"/>
            <w:vMerge/>
          </w:tcPr>
          <w:p w14:paraId="004F176F" w14:textId="77777777" w:rsidR="00E63D3B" w:rsidRPr="00521A25" w:rsidRDefault="00E63D3B" w:rsidP="003E3270">
            <w:pPr>
              <w:spacing w:after="160" w:line="259" w:lineRule="auto"/>
              <w:rPr>
                <w:sz w:val="18"/>
              </w:rPr>
            </w:pPr>
          </w:p>
        </w:tc>
      </w:tr>
      <w:tr w:rsidR="00E63D3B" w14:paraId="7C6654A4" w14:textId="77777777" w:rsidTr="00E63D3B">
        <w:trPr>
          <w:trHeight w:val="514"/>
        </w:trPr>
        <w:tc>
          <w:tcPr>
            <w:tcW w:w="1225" w:type="dxa"/>
            <w:vMerge/>
          </w:tcPr>
          <w:p w14:paraId="19016B9C" w14:textId="77777777" w:rsidR="00E63D3B" w:rsidRPr="00521A25" w:rsidRDefault="00E63D3B" w:rsidP="003E3270">
            <w:pPr>
              <w:spacing w:after="160" w:line="259" w:lineRule="auto"/>
              <w:rPr>
                <w:b/>
                <w:bCs/>
                <w:sz w:val="18"/>
              </w:rPr>
            </w:pPr>
          </w:p>
        </w:tc>
        <w:tc>
          <w:tcPr>
            <w:tcW w:w="2285" w:type="dxa"/>
          </w:tcPr>
          <w:p w14:paraId="6689EE0D" w14:textId="77777777" w:rsidR="00E63D3B" w:rsidRPr="00521A25" w:rsidRDefault="00E63D3B" w:rsidP="003E3270">
            <w:pPr>
              <w:spacing w:after="160" w:line="259" w:lineRule="auto"/>
              <w:rPr>
                <w:sz w:val="18"/>
              </w:rPr>
            </w:pPr>
            <w:r w:rsidRPr="00521A25">
              <w:rPr>
                <w:sz w:val="18"/>
              </w:rPr>
              <w:t>A.3 Disponibilités des pièces détachées</w:t>
            </w:r>
          </w:p>
        </w:tc>
        <w:tc>
          <w:tcPr>
            <w:tcW w:w="1265" w:type="dxa"/>
          </w:tcPr>
          <w:p w14:paraId="547E5345" w14:textId="77777777" w:rsidR="00E63D3B" w:rsidRPr="00521A25" w:rsidRDefault="00E63D3B" w:rsidP="003E3270">
            <w:pPr>
              <w:spacing w:after="160" w:line="259" w:lineRule="auto"/>
              <w:rPr>
                <w:sz w:val="18"/>
              </w:rPr>
            </w:pPr>
            <w:r w:rsidRPr="00DE4089">
              <w:rPr>
                <w:sz w:val="18"/>
              </w:rPr>
              <w:t>▀▀/10</w:t>
            </w:r>
          </w:p>
        </w:tc>
        <w:tc>
          <w:tcPr>
            <w:tcW w:w="1265" w:type="dxa"/>
          </w:tcPr>
          <w:p w14:paraId="0D4D6326" w14:textId="77777777" w:rsidR="00E63D3B" w:rsidRPr="00521A25" w:rsidRDefault="00E63D3B" w:rsidP="003E3270">
            <w:pPr>
              <w:spacing w:after="160" w:line="259" w:lineRule="auto"/>
              <w:rPr>
                <w:sz w:val="18"/>
              </w:rPr>
            </w:pPr>
            <w:r w:rsidRPr="00521A25">
              <w:rPr>
                <w:sz w:val="18"/>
              </w:rPr>
              <w:t>2,5</w:t>
            </w:r>
          </w:p>
        </w:tc>
        <w:tc>
          <w:tcPr>
            <w:tcW w:w="1264" w:type="dxa"/>
            <w:vMerge/>
          </w:tcPr>
          <w:p w14:paraId="6CE15D8D" w14:textId="77777777" w:rsidR="00E63D3B" w:rsidRPr="00521A25" w:rsidRDefault="00E63D3B" w:rsidP="003E3270">
            <w:pPr>
              <w:spacing w:after="160" w:line="259" w:lineRule="auto"/>
              <w:rPr>
                <w:sz w:val="18"/>
              </w:rPr>
            </w:pPr>
          </w:p>
        </w:tc>
        <w:tc>
          <w:tcPr>
            <w:tcW w:w="1182" w:type="dxa"/>
            <w:vMerge/>
          </w:tcPr>
          <w:p w14:paraId="484C319F" w14:textId="77777777" w:rsidR="00E63D3B" w:rsidRPr="00521A25" w:rsidRDefault="00E63D3B" w:rsidP="003E3270">
            <w:pPr>
              <w:spacing w:after="160" w:line="259" w:lineRule="auto"/>
              <w:rPr>
                <w:sz w:val="18"/>
              </w:rPr>
            </w:pPr>
          </w:p>
        </w:tc>
        <w:tc>
          <w:tcPr>
            <w:tcW w:w="927" w:type="dxa"/>
            <w:vMerge/>
          </w:tcPr>
          <w:p w14:paraId="2E187C53" w14:textId="77777777" w:rsidR="00E63D3B" w:rsidRPr="00521A25" w:rsidRDefault="00E63D3B" w:rsidP="003E3270">
            <w:pPr>
              <w:spacing w:after="160" w:line="259" w:lineRule="auto"/>
              <w:rPr>
                <w:sz w:val="18"/>
              </w:rPr>
            </w:pPr>
          </w:p>
        </w:tc>
      </w:tr>
      <w:tr w:rsidR="00E63D3B" w14:paraId="2074CE80" w14:textId="77777777" w:rsidTr="00E63D3B">
        <w:trPr>
          <w:trHeight w:val="373"/>
        </w:trPr>
        <w:tc>
          <w:tcPr>
            <w:tcW w:w="1225" w:type="dxa"/>
            <w:vMerge/>
          </w:tcPr>
          <w:p w14:paraId="7CCA0545" w14:textId="77777777" w:rsidR="00E63D3B" w:rsidRPr="00521A25" w:rsidRDefault="00E63D3B" w:rsidP="003E3270">
            <w:pPr>
              <w:spacing w:after="160" w:line="259" w:lineRule="auto"/>
              <w:rPr>
                <w:b/>
                <w:bCs/>
                <w:sz w:val="18"/>
              </w:rPr>
            </w:pPr>
          </w:p>
        </w:tc>
        <w:tc>
          <w:tcPr>
            <w:tcW w:w="2285" w:type="dxa"/>
          </w:tcPr>
          <w:p w14:paraId="6D392545" w14:textId="77777777" w:rsidR="00E63D3B" w:rsidRPr="00521A25" w:rsidRDefault="00E63D3B" w:rsidP="003E3270">
            <w:pPr>
              <w:spacing w:after="160" w:line="259" w:lineRule="auto"/>
              <w:rPr>
                <w:sz w:val="18"/>
              </w:rPr>
            </w:pPr>
            <w:r w:rsidRPr="00521A25">
              <w:rPr>
                <w:sz w:val="18"/>
              </w:rPr>
              <w:t>A.4 Prix des pièces détachées</w:t>
            </w:r>
          </w:p>
        </w:tc>
        <w:tc>
          <w:tcPr>
            <w:tcW w:w="1265" w:type="dxa"/>
          </w:tcPr>
          <w:p w14:paraId="4457B5FC" w14:textId="77777777" w:rsidR="00E63D3B" w:rsidRPr="00521A25" w:rsidRDefault="00E63D3B" w:rsidP="003E3270">
            <w:pPr>
              <w:spacing w:after="160" w:line="259" w:lineRule="auto"/>
              <w:rPr>
                <w:sz w:val="18"/>
              </w:rPr>
            </w:pPr>
            <w:r w:rsidRPr="00DE4089">
              <w:rPr>
                <w:sz w:val="18"/>
              </w:rPr>
              <w:t>▀▀/10</w:t>
            </w:r>
          </w:p>
        </w:tc>
        <w:tc>
          <w:tcPr>
            <w:tcW w:w="1265" w:type="dxa"/>
          </w:tcPr>
          <w:p w14:paraId="73ED705E" w14:textId="77777777" w:rsidR="00E63D3B" w:rsidRPr="00521A25" w:rsidRDefault="00E63D3B" w:rsidP="003E3270">
            <w:pPr>
              <w:spacing w:after="160" w:line="259" w:lineRule="auto"/>
              <w:rPr>
                <w:sz w:val="18"/>
              </w:rPr>
            </w:pPr>
            <w:r w:rsidRPr="00521A25">
              <w:rPr>
                <w:sz w:val="18"/>
              </w:rPr>
              <w:t>2,5</w:t>
            </w:r>
          </w:p>
        </w:tc>
        <w:tc>
          <w:tcPr>
            <w:tcW w:w="1264" w:type="dxa"/>
            <w:vMerge/>
          </w:tcPr>
          <w:p w14:paraId="76FCAE98" w14:textId="77777777" w:rsidR="00E63D3B" w:rsidRPr="00521A25" w:rsidRDefault="00E63D3B" w:rsidP="003E3270">
            <w:pPr>
              <w:spacing w:after="160" w:line="259" w:lineRule="auto"/>
              <w:rPr>
                <w:sz w:val="18"/>
              </w:rPr>
            </w:pPr>
          </w:p>
        </w:tc>
        <w:tc>
          <w:tcPr>
            <w:tcW w:w="1182" w:type="dxa"/>
            <w:vMerge/>
          </w:tcPr>
          <w:p w14:paraId="12B75C04" w14:textId="77777777" w:rsidR="00E63D3B" w:rsidRPr="00521A25" w:rsidRDefault="00E63D3B" w:rsidP="003E3270">
            <w:pPr>
              <w:spacing w:after="160" w:line="259" w:lineRule="auto"/>
              <w:rPr>
                <w:sz w:val="18"/>
              </w:rPr>
            </w:pPr>
          </w:p>
        </w:tc>
        <w:tc>
          <w:tcPr>
            <w:tcW w:w="927" w:type="dxa"/>
            <w:vMerge/>
          </w:tcPr>
          <w:p w14:paraId="1F51CEBC" w14:textId="77777777" w:rsidR="00E63D3B" w:rsidRPr="00521A25" w:rsidRDefault="00E63D3B" w:rsidP="003E3270">
            <w:pPr>
              <w:spacing w:after="160" w:line="259" w:lineRule="auto"/>
              <w:rPr>
                <w:sz w:val="18"/>
              </w:rPr>
            </w:pPr>
          </w:p>
        </w:tc>
      </w:tr>
      <w:tr w:rsidR="00E63D3B" w14:paraId="3EFC2A44" w14:textId="77777777" w:rsidTr="00E63D3B">
        <w:trPr>
          <w:trHeight w:val="506"/>
        </w:trPr>
        <w:tc>
          <w:tcPr>
            <w:tcW w:w="1225" w:type="dxa"/>
            <w:vMerge w:val="restart"/>
          </w:tcPr>
          <w:p w14:paraId="3C22D3ED" w14:textId="77777777" w:rsidR="00E63D3B" w:rsidRPr="00521A25" w:rsidRDefault="00E63D3B" w:rsidP="003E3270">
            <w:pPr>
              <w:spacing w:after="160" w:line="259" w:lineRule="auto"/>
              <w:rPr>
                <w:b/>
                <w:bCs/>
                <w:sz w:val="18"/>
              </w:rPr>
            </w:pPr>
            <w:r w:rsidRPr="00521A25">
              <w:rPr>
                <w:b/>
                <w:bCs/>
                <w:sz w:val="18"/>
              </w:rPr>
              <w:t>B. Fiabilité</w:t>
            </w:r>
          </w:p>
        </w:tc>
        <w:tc>
          <w:tcPr>
            <w:tcW w:w="2285" w:type="dxa"/>
          </w:tcPr>
          <w:p w14:paraId="1F28F342" w14:textId="77777777" w:rsidR="00E63D3B" w:rsidRPr="00521A25" w:rsidRDefault="00E63D3B" w:rsidP="003E3270">
            <w:pPr>
              <w:spacing w:after="160" w:line="259" w:lineRule="auto"/>
              <w:rPr>
                <w:sz w:val="18"/>
              </w:rPr>
            </w:pPr>
            <w:r w:rsidRPr="00521A25">
              <w:rPr>
                <w:sz w:val="18"/>
              </w:rPr>
              <w:t>B.1 Résistance aux contraintes et/ou à l’usure</w:t>
            </w:r>
          </w:p>
        </w:tc>
        <w:tc>
          <w:tcPr>
            <w:tcW w:w="1265" w:type="dxa"/>
          </w:tcPr>
          <w:p w14:paraId="0108DB62" w14:textId="77777777" w:rsidR="00E63D3B" w:rsidRPr="00521A25" w:rsidRDefault="00E63D3B" w:rsidP="003E3270">
            <w:pPr>
              <w:spacing w:after="160" w:line="259" w:lineRule="auto"/>
              <w:rPr>
                <w:sz w:val="18"/>
              </w:rPr>
            </w:pPr>
            <w:r w:rsidRPr="00DE4089">
              <w:rPr>
                <w:sz w:val="18"/>
              </w:rPr>
              <w:t>▀▀/10</w:t>
            </w:r>
          </w:p>
        </w:tc>
        <w:tc>
          <w:tcPr>
            <w:tcW w:w="1265" w:type="dxa"/>
          </w:tcPr>
          <w:p w14:paraId="4BD4FF1D" w14:textId="77777777" w:rsidR="00E63D3B" w:rsidRPr="00521A25" w:rsidRDefault="00E63D3B" w:rsidP="003E3270">
            <w:pPr>
              <w:spacing w:after="160" w:line="259" w:lineRule="auto"/>
              <w:rPr>
                <w:sz w:val="18"/>
              </w:rPr>
            </w:pPr>
            <w:r w:rsidRPr="00521A25">
              <w:rPr>
                <w:sz w:val="18"/>
              </w:rPr>
              <w:t>5</w:t>
            </w:r>
          </w:p>
        </w:tc>
        <w:tc>
          <w:tcPr>
            <w:tcW w:w="1264" w:type="dxa"/>
            <w:vMerge w:val="restart"/>
          </w:tcPr>
          <w:p w14:paraId="454BE470" w14:textId="77777777" w:rsidR="00E63D3B" w:rsidRPr="00521A25" w:rsidRDefault="00E63D3B" w:rsidP="003E3270">
            <w:pPr>
              <w:spacing w:after="160" w:line="259" w:lineRule="auto"/>
              <w:rPr>
                <w:sz w:val="18"/>
              </w:rPr>
            </w:pPr>
            <w:r w:rsidRPr="00DE4089">
              <w:rPr>
                <w:sz w:val="18"/>
              </w:rPr>
              <w:t>▀▀/10</w:t>
            </w:r>
          </w:p>
        </w:tc>
        <w:tc>
          <w:tcPr>
            <w:tcW w:w="1182" w:type="dxa"/>
            <w:vMerge w:val="restart"/>
          </w:tcPr>
          <w:p w14:paraId="6487E57C" w14:textId="7BC0E1B5" w:rsidR="00E63D3B" w:rsidRPr="00521A25" w:rsidRDefault="00E63D3B" w:rsidP="003E3270">
            <w:pPr>
              <w:spacing w:after="160" w:line="259" w:lineRule="auto"/>
              <w:rPr>
                <w:sz w:val="18"/>
              </w:rPr>
            </w:pPr>
            <w:r w:rsidRPr="00521A25">
              <w:rPr>
                <w:sz w:val="18"/>
              </w:rPr>
              <w:t>4,5</w:t>
            </w:r>
          </w:p>
        </w:tc>
        <w:tc>
          <w:tcPr>
            <w:tcW w:w="927" w:type="dxa"/>
            <w:vMerge/>
          </w:tcPr>
          <w:p w14:paraId="4C7BA881" w14:textId="77777777" w:rsidR="00E63D3B" w:rsidRPr="00521A25" w:rsidRDefault="00E63D3B" w:rsidP="003E3270">
            <w:pPr>
              <w:spacing w:after="160" w:line="259" w:lineRule="auto"/>
              <w:rPr>
                <w:sz w:val="18"/>
              </w:rPr>
            </w:pPr>
          </w:p>
        </w:tc>
      </w:tr>
      <w:tr w:rsidR="00E63D3B" w14:paraId="6C4BC28A" w14:textId="77777777" w:rsidTr="00E63D3B">
        <w:trPr>
          <w:trHeight w:val="382"/>
        </w:trPr>
        <w:tc>
          <w:tcPr>
            <w:tcW w:w="1225" w:type="dxa"/>
            <w:vMerge/>
          </w:tcPr>
          <w:p w14:paraId="6AEE3E87" w14:textId="77777777" w:rsidR="00E63D3B" w:rsidRPr="00521A25" w:rsidRDefault="00E63D3B" w:rsidP="003E3270">
            <w:pPr>
              <w:spacing w:after="160" w:line="259" w:lineRule="auto"/>
              <w:rPr>
                <w:b/>
                <w:bCs/>
                <w:sz w:val="18"/>
              </w:rPr>
            </w:pPr>
          </w:p>
        </w:tc>
        <w:tc>
          <w:tcPr>
            <w:tcW w:w="2285" w:type="dxa"/>
          </w:tcPr>
          <w:p w14:paraId="50E1BA5A" w14:textId="77777777" w:rsidR="00E63D3B" w:rsidRPr="00521A25" w:rsidRDefault="00E63D3B" w:rsidP="003E3270">
            <w:pPr>
              <w:spacing w:after="160" w:line="259" w:lineRule="auto"/>
              <w:rPr>
                <w:sz w:val="18"/>
              </w:rPr>
            </w:pPr>
            <w:r w:rsidRPr="00521A25">
              <w:rPr>
                <w:sz w:val="18"/>
              </w:rPr>
              <w:t xml:space="preserve">B.2 Maintenance et entretien </w:t>
            </w:r>
          </w:p>
        </w:tc>
        <w:tc>
          <w:tcPr>
            <w:tcW w:w="1265" w:type="dxa"/>
          </w:tcPr>
          <w:p w14:paraId="7EB6EB87" w14:textId="77777777" w:rsidR="00E63D3B" w:rsidRPr="00521A25" w:rsidRDefault="00E63D3B" w:rsidP="003E3270">
            <w:pPr>
              <w:spacing w:after="160" w:line="259" w:lineRule="auto"/>
              <w:rPr>
                <w:sz w:val="18"/>
              </w:rPr>
            </w:pPr>
            <w:r w:rsidRPr="00DE4089">
              <w:rPr>
                <w:sz w:val="18"/>
              </w:rPr>
              <w:t>▀▀/10</w:t>
            </w:r>
          </w:p>
        </w:tc>
        <w:tc>
          <w:tcPr>
            <w:tcW w:w="1265" w:type="dxa"/>
          </w:tcPr>
          <w:p w14:paraId="4A769C45" w14:textId="77777777" w:rsidR="00E63D3B" w:rsidRPr="00521A25" w:rsidRDefault="00E63D3B" w:rsidP="003E3270">
            <w:pPr>
              <w:spacing w:after="160" w:line="259" w:lineRule="auto"/>
              <w:rPr>
                <w:sz w:val="18"/>
              </w:rPr>
            </w:pPr>
            <w:r w:rsidRPr="00521A25">
              <w:rPr>
                <w:sz w:val="18"/>
              </w:rPr>
              <w:t>4</w:t>
            </w:r>
          </w:p>
        </w:tc>
        <w:tc>
          <w:tcPr>
            <w:tcW w:w="1264" w:type="dxa"/>
            <w:vMerge/>
          </w:tcPr>
          <w:p w14:paraId="4355D137" w14:textId="77777777" w:rsidR="00E63D3B" w:rsidRPr="00521A25" w:rsidRDefault="00E63D3B" w:rsidP="003E3270">
            <w:pPr>
              <w:spacing w:after="160" w:line="259" w:lineRule="auto"/>
              <w:rPr>
                <w:sz w:val="18"/>
              </w:rPr>
            </w:pPr>
          </w:p>
        </w:tc>
        <w:tc>
          <w:tcPr>
            <w:tcW w:w="1182" w:type="dxa"/>
            <w:vMerge/>
          </w:tcPr>
          <w:p w14:paraId="3E85C016" w14:textId="77777777" w:rsidR="00E63D3B" w:rsidRPr="00521A25" w:rsidRDefault="00E63D3B" w:rsidP="003E3270">
            <w:pPr>
              <w:spacing w:after="160" w:line="259" w:lineRule="auto"/>
              <w:rPr>
                <w:sz w:val="18"/>
              </w:rPr>
            </w:pPr>
          </w:p>
        </w:tc>
        <w:tc>
          <w:tcPr>
            <w:tcW w:w="927" w:type="dxa"/>
            <w:vMerge/>
          </w:tcPr>
          <w:p w14:paraId="2C26EC80" w14:textId="77777777" w:rsidR="00E63D3B" w:rsidRPr="00521A25" w:rsidRDefault="00E63D3B" w:rsidP="003E3270">
            <w:pPr>
              <w:spacing w:after="160" w:line="259" w:lineRule="auto"/>
              <w:rPr>
                <w:sz w:val="18"/>
              </w:rPr>
            </w:pPr>
          </w:p>
        </w:tc>
      </w:tr>
      <w:tr w:rsidR="00E63D3B" w14:paraId="55320997" w14:textId="77777777" w:rsidTr="00E63D3B">
        <w:trPr>
          <w:trHeight w:val="506"/>
        </w:trPr>
        <w:tc>
          <w:tcPr>
            <w:tcW w:w="1225" w:type="dxa"/>
            <w:vMerge/>
          </w:tcPr>
          <w:p w14:paraId="31731262" w14:textId="77777777" w:rsidR="00E63D3B" w:rsidRPr="00521A25" w:rsidRDefault="00E63D3B" w:rsidP="003E3270">
            <w:pPr>
              <w:spacing w:after="160" w:line="259" w:lineRule="auto"/>
              <w:rPr>
                <w:b/>
                <w:bCs/>
                <w:sz w:val="18"/>
              </w:rPr>
            </w:pPr>
          </w:p>
        </w:tc>
        <w:tc>
          <w:tcPr>
            <w:tcW w:w="2285" w:type="dxa"/>
          </w:tcPr>
          <w:p w14:paraId="269502F5" w14:textId="77777777" w:rsidR="00E63D3B" w:rsidRPr="00521A25" w:rsidRDefault="00E63D3B" w:rsidP="003E3270">
            <w:pPr>
              <w:spacing w:after="160" w:line="259" w:lineRule="auto"/>
              <w:rPr>
                <w:sz w:val="18"/>
              </w:rPr>
            </w:pPr>
            <w:r w:rsidRPr="00521A25">
              <w:rPr>
                <w:sz w:val="18"/>
              </w:rPr>
              <w:t>B.3 Garantie de durabilité et processus qualité</w:t>
            </w:r>
          </w:p>
        </w:tc>
        <w:tc>
          <w:tcPr>
            <w:tcW w:w="1265" w:type="dxa"/>
          </w:tcPr>
          <w:p w14:paraId="3D9F442D" w14:textId="77777777" w:rsidR="00E63D3B" w:rsidRPr="00521A25" w:rsidRDefault="00E63D3B" w:rsidP="003E3270">
            <w:pPr>
              <w:spacing w:after="160" w:line="259" w:lineRule="auto"/>
              <w:rPr>
                <w:sz w:val="18"/>
              </w:rPr>
            </w:pPr>
            <w:r w:rsidRPr="00DE4089">
              <w:rPr>
                <w:sz w:val="18"/>
              </w:rPr>
              <w:t>▀▀/10</w:t>
            </w:r>
          </w:p>
        </w:tc>
        <w:tc>
          <w:tcPr>
            <w:tcW w:w="1265" w:type="dxa"/>
          </w:tcPr>
          <w:p w14:paraId="22073DA7" w14:textId="77777777" w:rsidR="00E63D3B" w:rsidRPr="00521A25" w:rsidRDefault="00E63D3B" w:rsidP="003E3270">
            <w:pPr>
              <w:spacing w:after="160" w:line="259" w:lineRule="auto"/>
              <w:rPr>
                <w:sz w:val="18"/>
              </w:rPr>
            </w:pPr>
            <w:r w:rsidRPr="00521A25">
              <w:rPr>
                <w:sz w:val="18"/>
              </w:rPr>
              <w:t>1</w:t>
            </w:r>
          </w:p>
        </w:tc>
        <w:tc>
          <w:tcPr>
            <w:tcW w:w="1264" w:type="dxa"/>
            <w:vMerge/>
          </w:tcPr>
          <w:p w14:paraId="0AD4F834" w14:textId="77777777" w:rsidR="00E63D3B" w:rsidRPr="00521A25" w:rsidRDefault="00E63D3B" w:rsidP="003E3270">
            <w:pPr>
              <w:spacing w:after="160" w:line="259" w:lineRule="auto"/>
              <w:rPr>
                <w:sz w:val="18"/>
              </w:rPr>
            </w:pPr>
          </w:p>
        </w:tc>
        <w:tc>
          <w:tcPr>
            <w:tcW w:w="1182" w:type="dxa"/>
            <w:vMerge/>
          </w:tcPr>
          <w:p w14:paraId="3F927134" w14:textId="77777777" w:rsidR="00E63D3B" w:rsidRPr="00521A25" w:rsidRDefault="00E63D3B" w:rsidP="003E3270">
            <w:pPr>
              <w:spacing w:after="160" w:line="259" w:lineRule="auto"/>
              <w:rPr>
                <w:sz w:val="18"/>
              </w:rPr>
            </w:pPr>
          </w:p>
        </w:tc>
        <w:tc>
          <w:tcPr>
            <w:tcW w:w="927" w:type="dxa"/>
            <w:vMerge/>
          </w:tcPr>
          <w:p w14:paraId="700D9C4C" w14:textId="77777777" w:rsidR="00E63D3B" w:rsidRPr="00521A25" w:rsidRDefault="00E63D3B" w:rsidP="003E3270">
            <w:pPr>
              <w:spacing w:after="160" w:line="259" w:lineRule="auto"/>
              <w:rPr>
                <w:sz w:val="18"/>
              </w:rPr>
            </w:pPr>
          </w:p>
        </w:tc>
      </w:tr>
      <w:tr w:rsidR="00E63D3B" w14:paraId="30C9C217" w14:textId="77777777" w:rsidTr="00E63D3B">
        <w:trPr>
          <w:trHeight w:val="373"/>
        </w:trPr>
        <w:tc>
          <w:tcPr>
            <w:tcW w:w="1225" w:type="dxa"/>
            <w:vMerge w:val="restart"/>
          </w:tcPr>
          <w:p w14:paraId="7BA6DAF7" w14:textId="77777777" w:rsidR="00E63D3B" w:rsidRPr="00521A25" w:rsidRDefault="00E63D3B" w:rsidP="003E3270">
            <w:pPr>
              <w:spacing w:after="160" w:line="259" w:lineRule="auto"/>
              <w:rPr>
                <w:b/>
                <w:bCs/>
                <w:sz w:val="18"/>
              </w:rPr>
            </w:pPr>
            <w:r w:rsidRPr="00521A25">
              <w:rPr>
                <w:b/>
                <w:bCs/>
                <w:sz w:val="18"/>
              </w:rPr>
              <w:t>C. Amélioration</w:t>
            </w:r>
          </w:p>
        </w:tc>
        <w:tc>
          <w:tcPr>
            <w:tcW w:w="2285" w:type="dxa"/>
          </w:tcPr>
          <w:p w14:paraId="4B2B3243" w14:textId="77777777" w:rsidR="00E63D3B" w:rsidRPr="00521A25" w:rsidRDefault="00E63D3B" w:rsidP="003E3270">
            <w:pPr>
              <w:spacing w:after="160" w:line="259" w:lineRule="auto"/>
              <w:rPr>
                <w:sz w:val="18"/>
              </w:rPr>
            </w:pPr>
            <w:r w:rsidRPr="00521A25">
              <w:rPr>
                <w:sz w:val="18"/>
              </w:rPr>
              <w:t>C.1 Amélioration logicielle</w:t>
            </w:r>
          </w:p>
        </w:tc>
        <w:tc>
          <w:tcPr>
            <w:tcW w:w="1265" w:type="dxa"/>
          </w:tcPr>
          <w:p w14:paraId="533409FB" w14:textId="77777777" w:rsidR="00E63D3B" w:rsidRPr="00521A25" w:rsidRDefault="00E63D3B" w:rsidP="003E3270">
            <w:pPr>
              <w:spacing w:after="160" w:line="259" w:lineRule="auto"/>
              <w:rPr>
                <w:sz w:val="18"/>
              </w:rPr>
            </w:pPr>
            <w:r w:rsidRPr="00DE4089">
              <w:rPr>
                <w:sz w:val="18"/>
              </w:rPr>
              <w:t>▀▀/10</w:t>
            </w:r>
          </w:p>
        </w:tc>
        <w:tc>
          <w:tcPr>
            <w:tcW w:w="1265" w:type="dxa"/>
          </w:tcPr>
          <w:p w14:paraId="0E6FD3A1" w14:textId="77777777" w:rsidR="00E63D3B" w:rsidRPr="00521A25" w:rsidRDefault="00E63D3B" w:rsidP="003E3270">
            <w:pPr>
              <w:spacing w:after="160" w:line="259" w:lineRule="auto"/>
              <w:rPr>
                <w:sz w:val="18"/>
              </w:rPr>
            </w:pPr>
            <w:r w:rsidRPr="00521A25">
              <w:rPr>
                <w:sz w:val="18"/>
              </w:rPr>
              <w:t>7,5</w:t>
            </w:r>
          </w:p>
        </w:tc>
        <w:tc>
          <w:tcPr>
            <w:tcW w:w="1264" w:type="dxa"/>
            <w:vMerge w:val="restart"/>
          </w:tcPr>
          <w:p w14:paraId="73167B1C" w14:textId="77777777" w:rsidR="00E63D3B" w:rsidRPr="00521A25" w:rsidRDefault="00E63D3B" w:rsidP="003E3270">
            <w:pPr>
              <w:spacing w:after="160" w:line="259" w:lineRule="auto"/>
              <w:rPr>
                <w:sz w:val="18"/>
              </w:rPr>
            </w:pPr>
            <w:r w:rsidRPr="00DE4089">
              <w:rPr>
                <w:sz w:val="18"/>
              </w:rPr>
              <w:t>▀▀/10</w:t>
            </w:r>
          </w:p>
        </w:tc>
        <w:tc>
          <w:tcPr>
            <w:tcW w:w="1182" w:type="dxa"/>
            <w:vMerge w:val="restart"/>
          </w:tcPr>
          <w:p w14:paraId="39194797" w14:textId="06D60EC2" w:rsidR="00E63D3B" w:rsidRPr="00521A25" w:rsidRDefault="00E63D3B" w:rsidP="003E3270">
            <w:pPr>
              <w:spacing w:after="160" w:line="259" w:lineRule="auto"/>
              <w:rPr>
                <w:sz w:val="18"/>
              </w:rPr>
            </w:pPr>
            <w:r w:rsidRPr="00521A25">
              <w:rPr>
                <w:sz w:val="18"/>
              </w:rPr>
              <w:t>1</w:t>
            </w:r>
          </w:p>
        </w:tc>
        <w:tc>
          <w:tcPr>
            <w:tcW w:w="927" w:type="dxa"/>
            <w:vMerge/>
          </w:tcPr>
          <w:p w14:paraId="19DC3AD5" w14:textId="77777777" w:rsidR="00E63D3B" w:rsidRPr="00521A25" w:rsidRDefault="00E63D3B" w:rsidP="003E3270">
            <w:pPr>
              <w:spacing w:after="160" w:line="259" w:lineRule="auto"/>
              <w:rPr>
                <w:sz w:val="18"/>
              </w:rPr>
            </w:pPr>
          </w:p>
        </w:tc>
      </w:tr>
      <w:tr w:rsidR="00E63D3B" w14:paraId="7D30E53F" w14:textId="77777777" w:rsidTr="00E63D3B">
        <w:trPr>
          <w:trHeight w:val="373"/>
        </w:trPr>
        <w:tc>
          <w:tcPr>
            <w:tcW w:w="1225" w:type="dxa"/>
            <w:vMerge/>
          </w:tcPr>
          <w:p w14:paraId="4727B57C" w14:textId="77777777" w:rsidR="00E63D3B" w:rsidRPr="00521A25" w:rsidRDefault="00E63D3B" w:rsidP="003E3270">
            <w:pPr>
              <w:spacing w:after="160" w:line="259" w:lineRule="auto"/>
              <w:rPr>
                <w:sz w:val="18"/>
              </w:rPr>
            </w:pPr>
          </w:p>
        </w:tc>
        <w:tc>
          <w:tcPr>
            <w:tcW w:w="2285" w:type="dxa"/>
          </w:tcPr>
          <w:p w14:paraId="596A3AAD" w14:textId="77777777" w:rsidR="00E63D3B" w:rsidRPr="00521A25" w:rsidRDefault="00E63D3B" w:rsidP="003E3270">
            <w:pPr>
              <w:spacing w:after="160" w:line="259" w:lineRule="auto"/>
              <w:rPr>
                <w:sz w:val="18"/>
              </w:rPr>
            </w:pPr>
            <w:r w:rsidRPr="00521A25">
              <w:rPr>
                <w:sz w:val="18"/>
              </w:rPr>
              <w:t>C.2 Amélioration des fonctionnalités</w:t>
            </w:r>
          </w:p>
        </w:tc>
        <w:tc>
          <w:tcPr>
            <w:tcW w:w="1265" w:type="dxa"/>
          </w:tcPr>
          <w:p w14:paraId="5B59D683" w14:textId="77777777" w:rsidR="00E63D3B" w:rsidRPr="00521A25" w:rsidRDefault="00E63D3B" w:rsidP="003E3270">
            <w:pPr>
              <w:spacing w:after="160" w:line="259" w:lineRule="auto"/>
              <w:rPr>
                <w:sz w:val="18"/>
              </w:rPr>
            </w:pPr>
            <w:r w:rsidRPr="00DE4089">
              <w:rPr>
                <w:sz w:val="18"/>
              </w:rPr>
              <w:t>▀▀/10</w:t>
            </w:r>
          </w:p>
        </w:tc>
        <w:tc>
          <w:tcPr>
            <w:tcW w:w="1265" w:type="dxa"/>
          </w:tcPr>
          <w:p w14:paraId="20874D5D" w14:textId="77777777" w:rsidR="00E63D3B" w:rsidRPr="00521A25" w:rsidRDefault="00E63D3B" w:rsidP="003E3270">
            <w:pPr>
              <w:spacing w:after="160" w:line="259" w:lineRule="auto"/>
              <w:rPr>
                <w:sz w:val="18"/>
              </w:rPr>
            </w:pPr>
            <w:r w:rsidRPr="00521A25">
              <w:rPr>
                <w:sz w:val="18"/>
              </w:rPr>
              <w:t>2,5</w:t>
            </w:r>
          </w:p>
        </w:tc>
        <w:tc>
          <w:tcPr>
            <w:tcW w:w="1264" w:type="dxa"/>
            <w:vMerge/>
          </w:tcPr>
          <w:p w14:paraId="01AFA03C" w14:textId="77777777" w:rsidR="00E63D3B" w:rsidRPr="00521A25" w:rsidRDefault="00E63D3B" w:rsidP="003E3270">
            <w:pPr>
              <w:spacing w:after="160" w:line="259" w:lineRule="auto"/>
              <w:rPr>
                <w:sz w:val="18"/>
              </w:rPr>
            </w:pPr>
          </w:p>
        </w:tc>
        <w:tc>
          <w:tcPr>
            <w:tcW w:w="1182" w:type="dxa"/>
            <w:vMerge/>
          </w:tcPr>
          <w:p w14:paraId="08A4A0B1" w14:textId="77777777" w:rsidR="00E63D3B" w:rsidRPr="00521A25" w:rsidRDefault="00E63D3B" w:rsidP="003E3270">
            <w:pPr>
              <w:spacing w:after="160" w:line="259" w:lineRule="auto"/>
              <w:rPr>
                <w:sz w:val="18"/>
              </w:rPr>
            </w:pPr>
          </w:p>
        </w:tc>
        <w:tc>
          <w:tcPr>
            <w:tcW w:w="927" w:type="dxa"/>
            <w:vMerge/>
          </w:tcPr>
          <w:p w14:paraId="2EB552A9" w14:textId="77777777" w:rsidR="00E63D3B" w:rsidRPr="00521A25" w:rsidRDefault="00E63D3B" w:rsidP="003E3270">
            <w:pPr>
              <w:spacing w:after="160" w:line="259" w:lineRule="auto"/>
              <w:rPr>
                <w:sz w:val="18"/>
              </w:rPr>
            </w:pPr>
          </w:p>
        </w:tc>
      </w:tr>
      <w:tr w:rsidR="00536F63" w14:paraId="540A35E7" w14:textId="77777777" w:rsidTr="00E63D3B">
        <w:trPr>
          <w:trHeight w:val="231"/>
        </w:trPr>
        <w:tc>
          <w:tcPr>
            <w:tcW w:w="1225" w:type="dxa"/>
          </w:tcPr>
          <w:p w14:paraId="57D7A981" w14:textId="77777777" w:rsidR="00536F63" w:rsidRPr="00521A25" w:rsidRDefault="00536F63" w:rsidP="003E3270">
            <w:pPr>
              <w:spacing w:after="160" w:line="259" w:lineRule="auto"/>
              <w:rPr>
                <w:sz w:val="18"/>
              </w:rPr>
            </w:pPr>
          </w:p>
        </w:tc>
        <w:tc>
          <w:tcPr>
            <w:tcW w:w="7265" w:type="dxa"/>
            <w:gridSpan w:val="5"/>
          </w:tcPr>
          <w:p w14:paraId="078EB161" w14:textId="77777777" w:rsidR="00536F63" w:rsidRPr="00DE4089" w:rsidRDefault="00536F63" w:rsidP="003E3270">
            <w:pPr>
              <w:spacing w:after="160" w:line="259" w:lineRule="auto"/>
              <w:rPr>
                <w:sz w:val="18"/>
              </w:rPr>
            </w:pPr>
            <w:r w:rsidRPr="00521A25">
              <w:rPr>
                <w:sz w:val="18"/>
              </w:rPr>
              <w:t>Note de l’indice de durabilité</w:t>
            </w:r>
          </w:p>
        </w:tc>
        <w:tc>
          <w:tcPr>
            <w:tcW w:w="927" w:type="dxa"/>
          </w:tcPr>
          <w:p w14:paraId="08377EDA" w14:textId="77777777" w:rsidR="00536F63" w:rsidRPr="00DE4089" w:rsidRDefault="00536F63" w:rsidP="003E3270">
            <w:pPr>
              <w:spacing w:after="160" w:line="259" w:lineRule="auto"/>
              <w:rPr>
                <w:sz w:val="18"/>
              </w:rPr>
            </w:pPr>
            <w:r w:rsidRPr="00DE4089">
              <w:rPr>
                <w:sz w:val="18"/>
              </w:rPr>
              <w:t>▀▀/10</w:t>
            </w:r>
          </w:p>
        </w:tc>
      </w:tr>
    </w:tbl>
    <w:p w14:paraId="26C2CE6A" w14:textId="1A5B5A98" w:rsidR="00536F63" w:rsidRDefault="00536F63">
      <w:pPr>
        <w:pStyle w:val="SNSignatureGauche0"/>
        <w:spacing w:before="0" w:after="0"/>
        <w:ind w:left="0" w:right="0" w:firstLine="0"/>
        <w:jc w:val="both"/>
        <w:rPr>
          <w:color w:val="000000"/>
        </w:rPr>
      </w:pPr>
    </w:p>
    <w:p w14:paraId="3DAF396F" w14:textId="4E314492" w:rsidR="00216363" w:rsidRDefault="00216363">
      <w:pPr>
        <w:pStyle w:val="SNSignatureGauche0"/>
        <w:spacing w:before="0" w:after="0"/>
        <w:ind w:left="0" w:right="0" w:firstLine="0"/>
        <w:jc w:val="both"/>
        <w:rPr>
          <w:color w:val="000000"/>
        </w:rPr>
      </w:pPr>
      <w:r>
        <w:rPr>
          <w:color w:val="000000"/>
        </w:rPr>
        <w:t xml:space="preserve">Pour les catégories d’équipements qui ne prennent pas en compte la famille de critères d’amélioration, la communication et la mise à disposition </w:t>
      </w:r>
      <w:r w:rsidR="003620FC">
        <w:rPr>
          <w:color w:val="000000"/>
        </w:rPr>
        <w:t>du tableau présentant le</w:t>
      </w:r>
      <w:r w:rsidR="000227CE">
        <w:rPr>
          <w:color w:val="000000"/>
        </w:rPr>
        <w:t xml:space="preserve"> détail de la notation de</w:t>
      </w:r>
      <w:r w:rsidR="000227CE" w:rsidDel="000227CE">
        <w:rPr>
          <w:color w:val="000000"/>
        </w:rPr>
        <w:t xml:space="preserve"> </w:t>
      </w:r>
      <w:r>
        <w:rPr>
          <w:color w:val="000000"/>
        </w:rPr>
        <w:t>l’indice de durabilité de chaque équipement sont présentées conformément au tableau ci-dessous, au format numérique non modif</w:t>
      </w:r>
      <w:r w:rsidR="009B219E">
        <w:rPr>
          <w:color w:val="000000"/>
        </w:rPr>
        <w:t>iable, aux dimensions 21 × 29,7</w:t>
      </w:r>
      <w:r>
        <w:rPr>
          <w:color w:val="000000"/>
        </w:rPr>
        <w:t xml:space="preserve"> cm</w:t>
      </w:r>
    </w:p>
    <w:p w14:paraId="25EE600C" w14:textId="77777777" w:rsidR="00216363" w:rsidRDefault="00216363">
      <w:pPr>
        <w:pStyle w:val="SNSignatureGauche0"/>
        <w:spacing w:before="0" w:after="0"/>
        <w:ind w:left="0" w:right="0" w:firstLine="0"/>
        <w:jc w:val="both"/>
        <w:rPr>
          <w:color w:val="000000"/>
        </w:rPr>
      </w:pPr>
    </w:p>
    <w:tbl>
      <w:tblPr>
        <w:tblStyle w:val="Grilledutableau"/>
        <w:tblW w:w="9551" w:type="dxa"/>
        <w:tblLook w:val="04A0" w:firstRow="1" w:lastRow="0" w:firstColumn="1" w:lastColumn="0" w:noHBand="0" w:noVBand="1"/>
      </w:tblPr>
      <w:tblGrid>
        <w:gridCol w:w="1239"/>
        <w:gridCol w:w="2607"/>
        <w:gridCol w:w="855"/>
        <w:gridCol w:w="1141"/>
        <w:gridCol w:w="1426"/>
        <w:gridCol w:w="1214"/>
        <w:gridCol w:w="1069"/>
      </w:tblGrid>
      <w:tr w:rsidR="00E63D3B" w14:paraId="272F4D74" w14:textId="77777777" w:rsidTr="00E63D3B">
        <w:trPr>
          <w:trHeight w:val="1055"/>
        </w:trPr>
        <w:tc>
          <w:tcPr>
            <w:tcW w:w="1239" w:type="dxa"/>
          </w:tcPr>
          <w:p w14:paraId="58E50C62" w14:textId="5C37D037" w:rsidR="00E63D3B" w:rsidRPr="00521A25" w:rsidRDefault="00E63D3B" w:rsidP="00E63D3B">
            <w:pPr>
              <w:spacing w:after="160" w:line="259" w:lineRule="auto"/>
              <w:rPr>
                <w:b/>
                <w:bCs/>
                <w:sz w:val="18"/>
              </w:rPr>
            </w:pPr>
            <w:r>
              <w:rPr>
                <w:b/>
                <w:bCs/>
                <w:sz w:val="18"/>
              </w:rPr>
              <w:t>C</w:t>
            </w:r>
            <w:r w:rsidRPr="00521A25">
              <w:rPr>
                <w:b/>
                <w:bCs/>
                <w:sz w:val="18"/>
              </w:rPr>
              <w:t>ritères</w:t>
            </w:r>
          </w:p>
        </w:tc>
        <w:tc>
          <w:tcPr>
            <w:tcW w:w="2607" w:type="dxa"/>
          </w:tcPr>
          <w:p w14:paraId="6618FA1E" w14:textId="61C13C84" w:rsidR="00E63D3B" w:rsidRPr="00521A25" w:rsidRDefault="00E63D3B" w:rsidP="00E63D3B">
            <w:pPr>
              <w:spacing w:after="160" w:line="259" w:lineRule="auto"/>
              <w:rPr>
                <w:b/>
                <w:bCs/>
                <w:sz w:val="18"/>
              </w:rPr>
            </w:pPr>
            <w:r>
              <w:rPr>
                <w:b/>
                <w:bCs/>
                <w:sz w:val="18"/>
              </w:rPr>
              <w:t>Sous-c</w:t>
            </w:r>
            <w:r w:rsidRPr="00521A25">
              <w:rPr>
                <w:b/>
                <w:bCs/>
                <w:sz w:val="18"/>
              </w:rPr>
              <w:t>ritères</w:t>
            </w:r>
          </w:p>
        </w:tc>
        <w:tc>
          <w:tcPr>
            <w:tcW w:w="855" w:type="dxa"/>
          </w:tcPr>
          <w:p w14:paraId="67404E07" w14:textId="7FE0C905" w:rsidR="00E63D3B" w:rsidRPr="00521A25" w:rsidRDefault="00E63D3B" w:rsidP="00E63D3B">
            <w:pPr>
              <w:spacing w:after="160" w:line="259" w:lineRule="auto"/>
              <w:rPr>
                <w:b/>
                <w:bCs/>
                <w:sz w:val="18"/>
              </w:rPr>
            </w:pPr>
            <w:r w:rsidRPr="00521A25">
              <w:rPr>
                <w:b/>
                <w:bCs/>
                <w:sz w:val="18"/>
              </w:rPr>
              <w:t xml:space="preserve">Notes </w:t>
            </w:r>
            <w:r>
              <w:rPr>
                <w:b/>
                <w:bCs/>
                <w:sz w:val="18"/>
              </w:rPr>
              <w:t>des sous-</w:t>
            </w:r>
            <w:r w:rsidRPr="00521A25">
              <w:rPr>
                <w:b/>
                <w:bCs/>
                <w:sz w:val="18"/>
              </w:rPr>
              <w:t xml:space="preserve">critères </w:t>
            </w:r>
          </w:p>
        </w:tc>
        <w:tc>
          <w:tcPr>
            <w:tcW w:w="1141" w:type="dxa"/>
          </w:tcPr>
          <w:p w14:paraId="28FE496C" w14:textId="4E0FEFBC" w:rsidR="00E63D3B" w:rsidRPr="00521A25" w:rsidRDefault="00E63D3B" w:rsidP="00E63D3B">
            <w:pPr>
              <w:spacing w:after="160" w:line="259" w:lineRule="auto"/>
              <w:rPr>
                <w:b/>
                <w:bCs/>
                <w:sz w:val="18"/>
              </w:rPr>
            </w:pPr>
            <w:r w:rsidRPr="00521A25">
              <w:rPr>
                <w:b/>
                <w:bCs/>
                <w:sz w:val="18"/>
              </w:rPr>
              <w:t xml:space="preserve">Coefficients </w:t>
            </w:r>
            <w:r>
              <w:rPr>
                <w:b/>
                <w:bCs/>
                <w:sz w:val="18"/>
              </w:rPr>
              <w:t xml:space="preserve"> </w:t>
            </w:r>
            <w:r w:rsidRPr="00521A25">
              <w:rPr>
                <w:b/>
                <w:bCs/>
                <w:sz w:val="18"/>
              </w:rPr>
              <w:t xml:space="preserve">des </w:t>
            </w:r>
            <w:r>
              <w:rPr>
                <w:b/>
                <w:bCs/>
                <w:sz w:val="18"/>
              </w:rPr>
              <w:t>sous-</w:t>
            </w:r>
            <w:r w:rsidRPr="00521A25">
              <w:rPr>
                <w:b/>
                <w:bCs/>
                <w:sz w:val="18"/>
              </w:rPr>
              <w:t>critères</w:t>
            </w:r>
          </w:p>
        </w:tc>
        <w:tc>
          <w:tcPr>
            <w:tcW w:w="1426" w:type="dxa"/>
          </w:tcPr>
          <w:p w14:paraId="3E5376C5" w14:textId="713449F8" w:rsidR="00E63D3B" w:rsidRPr="00521A25" w:rsidRDefault="00E63D3B" w:rsidP="00E63D3B">
            <w:pPr>
              <w:spacing w:after="160" w:line="259" w:lineRule="auto"/>
              <w:rPr>
                <w:b/>
                <w:bCs/>
                <w:sz w:val="18"/>
              </w:rPr>
            </w:pPr>
            <w:r w:rsidRPr="00521A25">
              <w:rPr>
                <w:b/>
                <w:bCs/>
                <w:sz w:val="18"/>
              </w:rPr>
              <w:t xml:space="preserve">Notes </w:t>
            </w:r>
            <w:r>
              <w:rPr>
                <w:b/>
                <w:bCs/>
                <w:sz w:val="18"/>
              </w:rPr>
              <w:t xml:space="preserve">des </w:t>
            </w:r>
            <w:r w:rsidRPr="00521A25">
              <w:rPr>
                <w:b/>
                <w:bCs/>
                <w:sz w:val="18"/>
              </w:rPr>
              <w:t xml:space="preserve">critères </w:t>
            </w:r>
          </w:p>
        </w:tc>
        <w:tc>
          <w:tcPr>
            <w:tcW w:w="1214" w:type="dxa"/>
          </w:tcPr>
          <w:p w14:paraId="5CF57CCB" w14:textId="5CFC3C58" w:rsidR="00E63D3B" w:rsidRPr="00521A25" w:rsidRDefault="00E63D3B" w:rsidP="00E63D3B">
            <w:pPr>
              <w:spacing w:after="160" w:line="259" w:lineRule="auto"/>
              <w:rPr>
                <w:b/>
                <w:bCs/>
                <w:sz w:val="18"/>
              </w:rPr>
            </w:pPr>
            <w:r w:rsidRPr="00521A25">
              <w:rPr>
                <w:b/>
                <w:bCs/>
                <w:sz w:val="18"/>
              </w:rPr>
              <w:t>Coefficients de</w:t>
            </w:r>
            <w:r>
              <w:rPr>
                <w:b/>
                <w:bCs/>
                <w:sz w:val="18"/>
              </w:rPr>
              <w:t>s</w:t>
            </w:r>
            <w:r w:rsidRPr="00521A25">
              <w:rPr>
                <w:b/>
                <w:bCs/>
                <w:sz w:val="18"/>
              </w:rPr>
              <w:t xml:space="preserve"> critères</w:t>
            </w:r>
          </w:p>
        </w:tc>
        <w:tc>
          <w:tcPr>
            <w:tcW w:w="1069" w:type="dxa"/>
          </w:tcPr>
          <w:p w14:paraId="50C16AE9" w14:textId="51596055" w:rsidR="00E63D3B" w:rsidRPr="00521A25" w:rsidRDefault="00E63D3B" w:rsidP="00E63D3B">
            <w:pPr>
              <w:spacing w:after="160" w:line="259" w:lineRule="auto"/>
              <w:rPr>
                <w:b/>
                <w:bCs/>
                <w:sz w:val="18"/>
              </w:rPr>
            </w:pPr>
            <w:r w:rsidRPr="00521A25">
              <w:rPr>
                <w:b/>
                <w:bCs/>
                <w:sz w:val="18"/>
              </w:rPr>
              <w:t xml:space="preserve">Total des notes de critères </w:t>
            </w:r>
          </w:p>
        </w:tc>
      </w:tr>
      <w:tr w:rsidR="00E63D3B" w14:paraId="693AA76F" w14:textId="77777777" w:rsidTr="00E63D3B">
        <w:trPr>
          <w:trHeight w:val="408"/>
        </w:trPr>
        <w:tc>
          <w:tcPr>
            <w:tcW w:w="1239" w:type="dxa"/>
            <w:vMerge w:val="restart"/>
          </w:tcPr>
          <w:p w14:paraId="5CBB28B1" w14:textId="77777777" w:rsidR="00E63D3B" w:rsidRPr="00521A25" w:rsidRDefault="00E63D3B" w:rsidP="003E3270">
            <w:pPr>
              <w:spacing w:after="160" w:line="259" w:lineRule="auto"/>
              <w:rPr>
                <w:b/>
                <w:bCs/>
                <w:sz w:val="18"/>
              </w:rPr>
            </w:pPr>
            <w:r w:rsidRPr="00521A25">
              <w:rPr>
                <w:b/>
                <w:bCs/>
                <w:sz w:val="18"/>
              </w:rPr>
              <w:t>A. Réparabilité</w:t>
            </w:r>
          </w:p>
        </w:tc>
        <w:tc>
          <w:tcPr>
            <w:tcW w:w="2607" w:type="dxa"/>
          </w:tcPr>
          <w:p w14:paraId="1314E811" w14:textId="77777777" w:rsidR="00E63D3B" w:rsidRPr="00521A25" w:rsidRDefault="00E63D3B" w:rsidP="003E3270">
            <w:pPr>
              <w:spacing w:after="160" w:line="259" w:lineRule="auto"/>
              <w:rPr>
                <w:sz w:val="18"/>
              </w:rPr>
            </w:pPr>
            <w:r w:rsidRPr="00521A25">
              <w:rPr>
                <w:sz w:val="18"/>
              </w:rPr>
              <w:t>A.1 Documentation</w:t>
            </w:r>
          </w:p>
        </w:tc>
        <w:tc>
          <w:tcPr>
            <w:tcW w:w="855" w:type="dxa"/>
          </w:tcPr>
          <w:p w14:paraId="24179EE2" w14:textId="77777777" w:rsidR="00E63D3B" w:rsidRPr="00521A25" w:rsidRDefault="00E63D3B" w:rsidP="003E3270">
            <w:pPr>
              <w:spacing w:after="160" w:line="259" w:lineRule="auto"/>
              <w:rPr>
                <w:sz w:val="18"/>
              </w:rPr>
            </w:pPr>
            <w:r w:rsidRPr="00DE4089">
              <w:rPr>
                <w:rFonts w:ascii="Arial" w:hAnsi="Arial" w:cs="Arial"/>
                <w:sz w:val="18"/>
              </w:rPr>
              <w:t>▀▀</w:t>
            </w:r>
            <w:r w:rsidRPr="00DE4089">
              <w:rPr>
                <w:sz w:val="18"/>
              </w:rPr>
              <w:t>/10</w:t>
            </w:r>
          </w:p>
        </w:tc>
        <w:tc>
          <w:tcPr>
            <w:tcW w:w="1141" w:type="dxa"/>
          </w:tcPr>
          <w:p w14:paraId="3936FB40" w14:textId="77777777" w:rsidR="00E63D3B" w:rsidRPr="00521A25" w:rsidRDefault="00E63D3B" w:rsidP="003E3270">
            <w:pPr>
              <w:spacing w:after="160" w:line="259" w:lineRule="auto"/>
              <w:rPr>
                <w:sz w:val="18"/>
              </w:rPr>
            </w:pPr>
            <w:r w:rsidRPr="00521A25">
              <w:rPr>
                <w:sz w:val="18"/>
              </w:rPr>
              <w:t>2,5</w:t>
            </w:r>
          </w:p>
        </w:tc>
        <w:tc>
          <w:tcPr>
            <w:tcW w:w="1426" w:type="dxa"/>
            <w:vMerge w:val="restart"/>
          </w:tcPr>
          <w:p w14:paraId="0D51941B" w14:textId="77777777" w:rsidR="00E63D3B" w:rsidRPr="00521A25" w:rsidRDefault="00E63D3B" w:rsidP="003E3270">
            <w:pPr>
              <w:spacing w:after="160" w:line="259" w:lineRule="auto"/>
              <w:rPr>
                <w:sz w:val="18"/>
              </w:rPr>
            </w:pPr>
            <w:r w:rsidRPr="00DE4089">
              <w:rPr>
                <w:rFonts w:ascii="Arial" w:hAnsi="Arial" w:cs="Arial"/>
                <w:sz w:val="18"/>
              </w:rPr>
              <w:t>▀▀</w:t>
            </w:r>
            <w:r w:rsidRPr="00DE4089">
              <w:rPr>
                <w:sz w:val="18"/>
              </w:rPr>
              <w:t>/10</w:t>
            </w:r>
          </w:p>
        </w:tc>
        <w:tc>
          <w:tcPr>
            <w:tcW w:w="1214" w:type="dxa"/>
            <w:vMerge w:val="restart"/>
          </w:tcPr>
          <w:p w14:paraId="06430B6E" w14:textId="62016AA1" w:rsidR="00E63D3B" w:rsidRPr="00DE4089" w:rsidRDefault="00E63D3B" w:rsidP="003E3270">
            <w:pPr>
              <w:spacing w:after="160" w:line="259" w:lineRule="auto"/>
              <w:rPr>
                <w:sz w:val="18"/>
              </w:rPr>
            </w:pPr>
            <w:r>
              <w:rPr>
                <w:sz w:val="18"/>
              </w:rPr>
              <w:t>5</w:t>
            </w:r>
          </w:p>
        </w:tc>
        <w:tc>
          <w:tcPr>
            <w:tcW w:w="1069" w:type="dxa"/>
            <w:vMerge w:val="restart"/>
          </w:tcPr>
          <w:p w14:paraId="551A339B" w14:textId="77777777" w:rsidR="00E63D3B" w:rsidRPr="00521A25" w:rsidRDefault="00E63D3B" w:rsidP="003E3270">
            <w:pPr>
              <w:spacing w:after="160" w:line="259" w:lineRule="auto"/>
              <w:rPr>
                <w:sz w:val="18"/>
              </w:rPr>
            </w:pPr>
            <w:r w:rsidRPr="00DE4089">
              <w:rPr>
                <w:rFonts w:ascii="Arial" w:hAnsi="Arial" w:cs="Arial"/>
                <w:sz w:val="18"/>
              </w:rPr>
              <w:t>▀▀</w:t>
            </w:r>
            <w:r w:rsidRPr="00DE4089">
              <w:rPr>
                <w:sz w:val="18"/>
              </w:rPr>
              <w:t>/100</w:t>
            </w:r>
          </w:p>
        </w:tc>
      </w:tr>
      <w:tr w:rsidR="00E63D3B" w14:paraId="586C7B91" w14:textId="77777777" w:rsidTr="00E63D3B">
        <w:trPr>
          <w:trHeight w:val="268"/>
        </w:trPr>
        <w:tc>
          <w:tcPr>
            <w:tcW w:w="1239" w:type="dxa"/>
            <w:vMerge/>
          </w:tcPr>
          <w:p w14:paraId="0A363D45" w14:textId="77777777" w:rsidR="00E63D3B" w:rsidRPr="00521A25" w:rsidRDefault="00E63D3B" w:rsidP="003E3270">
            <w:pPr>
              <w:spacing w:after="160" w:line="259" w:lineRule="auto"/>
              <w:rPr>
                <w:b/>
                <w:bCs/>
                <w:sz w:val="18"/>
              </w:rPr>
            </w:pPr>
          </w:p>
        </w:tc>
        <w:tc>
          <w:tcPr>
            <w:tcW w:w="2607" w:type="dxa"/>
          </w:tcPr>
          <w:p w14:paraId="5DD941C7" w14:textId="77777777" w:rsidR="00E63D3B" w:rsidRPr="00521A25" w:rsidRDefault="00E63D3B" w:rsidP="003E3270">
            <w:pPr>
              <w:spacing w:after="160" w:line="259" w:lineRule="auto"/>
              <w:rPr>
                <w:sz w:val="18"/>
              </w:rPr>
            </w:pPr>
            <w:r w:rsidRPr="00521A25">
              <w:rPr>
                <w:sz w:val="18"/>
              </w:rPr>
              <w:t>A.2 Démontabilité</w:t>
            </w:r>
          </w:p>
        </w:tc>
        <w:tc>
          <w:tcPr>
            <w:tcW w:w="855" w:type="dxa"/>
          </w:tcPr>
          <w:p w14:paraId="72BD5498" w14:textId="77777777" w:rsidR="00E63D3B" w:rsidRPr="00521A25" w:rsidRDefault="00E63D3B" w:rsidP="003E3270">
            <w:pPr>
              <w:spacing w:after="160" w:line="259" w:lineRule="auto"/>
              <w:rPr>
                <w:sz w:val="18"/>
              </w:rPr>
            </w:pPr>
            <w:r w:rsidRPr="00DE4089">
              <w:rPr>
                <w:rFonts w:ascii="Arial" w:hAnsi="Arial" w:cs="Arial"/>
                <w:sz w:val="18"/>
              </w:rPr>
              <w:t>▀▀</w:t>
            </w:r>
            <w:r w:rsidRPr="00DE4089">
              <w:rPr>
                <w:sz w:val="18"/>
              </w:rPr>
              <w:t>/10</w:t>
            </w:r>
          </w:p>
        </w:tc>
        <w:tc>
          <w:tcPr>
            <w:tcW w:w="1141" w:type="dxa"/>
          </w:tcPr>
          <w:p w14:paraId="64633B3C" w14:textId="77777777" w:rsidR="00E63D3B" w:rsidRPr="00521A25" w:rsidRDefault="00E63D3B" w:rsidP="003E3270">
            <w:pPr>
              <w:spacing w:after="160" w:line="259" w:lineRule="auto"/>
              <w:rPr>
                <w:sz w:val="18"/>
              </w:rPr>
            </w:pPr>
            <w:r w:rsidRPr="00521A25">
              <w:rPr>
                <w:sz w:val="18"/>
              </w:rPr>
              <w:t>2,5</w:t>
            </w:r>
          </w:p>
        </w:tc>
        <w:tc>
          <w:tcPr>
            <w:tcW w:w="1426" w:type="dxa"/>
            <w:vMerge/>
          </w:tcPr>
          <w:p w14:paraId="4DE45BEA" w14:textId="77777777" w:rsidR="00E63D3B" w:rsidRPr="00521A25" w:rsidRDefault="00E63D3B" w:rsidP="003E3270">
            <w:pPr>
              <w:spacing w:after="160" w:line="259" w:lineRule="auto"/>
              <w:rPr>
                <w:sz w:val="18"/>
              </w:rPr>
            </w:pPr>
          </w:p>
        </w:tc>
        <w:tc>
          <w:tcPr>
            <w:tcW w:w="1214" w:type="dxa"/>
            <w:vMerge/>
          </w:tcPr>
          <w:p w14:paraId="3EF0D2CE" w14:textId="77777777" w:rsidR="00E63D3B" w:rsidRPr="00521A25" w:rsidRDefault="00E63D3B" w:rsidP="003E3270">
            <w:pPr>
              <w:spacing w:after="160" w:line="259" w:lineRule="auto"/>
              <w:rPr>
                <w:sz w:val="18"/>
              </w:rPr>
            </w:pPr>
          </w:p>
        </w:tc>
        <w:tc>
          <w:tcPr>
            <w:tcW w:w="1069" w:type="dxa"/>
            <w:vMerge/>
          </w:tcPr>
          <w:p w14:paraId="37D3EE5F" w14:textId="77777777" w:rsidR="00E63D3B" w:rsidRPr="00521A25" w:rsidRDefault="00E63D3B" w:rsidP="003E3270">
            <w:pPr>
              <w:spacing w:after="160" w:line="259" w:lineRule="auto"/>
              <w:rPr>
                <w:sz w:val="18"/>
              </w:rPr>
            </w:pPr>
          </w:p>
        </w:tc>
      </w:tr>
      <w:tr w:rsidR="00E63D3B" w14:paraId="437F6221" w14:textId="77777777" w:rsidTr="00E63D3B">
        <w:trPr>
          <w:trHeight w:val="574"/>
        </w:trPr>
        <w:tc>
          <w:tcPr>
            <w:tcW w:w="1239" w:type="dxa"/>
            <w:vMerge/>
          </w:tcPr>
          <w:p w14:paraId="54CD4756" w14:textId="77777777" w:rsidR="00E63D3B" w:rsidRPr="00521A25" w:rsidRDefault="00E63D3B" w:rsidP="003E3270">
            <w:pPr>
              <w:spacing w:after="160" w:line="259" w:lineRule="auto"/>
              <w:rPr>
                <w:b/>
                <w:bCs/>
                <w:sz w:val="18"/>
              </w:rPr>
            </w:pPr>
          </w:p>
        </w:tc>
        <w:tc>
          <w:tcPr>
            <w:tcW w:w="2607" w:type="dxa"/>
          </w:tcPr>
          <w:p w14:paraId="62368A07" w14:textId="77777777" w:rsidR="00E63D3B" w:rsidRPr="00521A25" w:rsidRDefault="00E63D3B" w:rsidP="003E3270">
            <w:pPr>
              <w:spacing w:after="160" w:line="259" w:lineRule="auto"/>
              <w:rPr>
                <w:sz w:val="18"/>
              </w:rPr>
            </w:pPr>
            <w:r w:rsidRPr="00521A25">
              <w:rPr>
                <w:sz w:val="18"/>
              </w:rPr>
              <w:t>A.3 Disponibilités des pièces détachées</w:t>
            </w:r>
          </w:p>
        </w:tc>
        <w:tc>
          <w:tcPr>
            <w:tcW w:w="855" w:type="dxa"/>
          </w:tcPr>
          <w:p w14:paraId="615A1BF0" w14:textId="77777777" w:rsidR="00E63D3B" w:rsidRPr="00521A25" w:rsidRDefault="00E63D3B" w:rsidP="003E3270">
            <w:pPr>
              <w:spacing w:after="160" w:line="259" w:lineRule="auto"/>
              <w:rPr>
                <w:sz w:val="18"/>
              </w:rPr>
            </w:pPr>
            <w:r w:rsidRPr="00DE4089">
              <w:rPr>
                <w:rFonts w:ascii="Arial" w:hAnsi="Arial" w:cs="Arial"/>
                <w:sz w:val="18"/>
              </w:rPr>
              <w:t>▀▀</w:t>
            </w:r>
            <w:r w:rsidRPr="00DE4089">
              <w:rPr>
                <w:sz w:val="18"/>
              </w:rPr>
              <w:t>/10</w:t>
            </w:r>
          </w:p>
        </w:tc>
        <w:tc>
          <w:tcPr>
            <w:tcW w:w="1141" w:type="dxa"/>
          </w:tcPr>
          <w:p w14:paraId="58EEA785" w14:textId="77777777" w:rsidR="00E63D3B" w:rsidRPr="00521A25" w:rsidRDefault="00E63D3B" w:rsidP="003E3270">
            <w:pPr>
              <w:spacing w:after="160" w:line="259" w:lineRule="auto"/>
              <w:rPr>
                <w:sz w:val="18"/>
              </w:rPr>
            </w:pPr>
            <w:r w:rsidRPr="00521A25">
              <w:rPr>
                <w:sz w:val="18"/>
              </w:rPr>
              <w:t>2,5</w:t>
            </w:r>
          </w:p>
        </w:tc>
        <w:tc>
          <w:tcPr>
            <w:tcW w:w="1426" w:type="dxa"/>
            <w:vMerge/>
          </w:tcPr>
          <w:p w14:paraId="569D7148" w14:textId="77777777" w:rsidR="00E63D3B" w:rsidRPr="00521A25" w:rsidRDefault="00E63D3B" w:rsidP="003E3270">
            <w:pPr>
              <w:spacing w:after="160" w:line="259" w:lineRule="auto"/>
              <w:rPr>
                <w:sz w:val="18"/>
              </w:rPr>
            </w:pPr>
          </w:p>
        </w:tc>
        <w:tc>
          <w:tcPr>
            <w:tcW w:w="1214" w:type="dxa"/>
            <w:vMerge/>
          </w:tcPr>
          <w:p w14:paraId="03702804" w14:textId="77777777" w:rsidR="00E63D3B" w:rsidRPr="00521A25" w:rsidRDefault="00E63D3B" w:rsidP="003E3270">
            <w:pPr>
              <w:spacing w:after="160" w:line="259" w:lineRule="auto"/>
              <w:rPr>
                <w:sz w:val="18"/>
              </w:rPr>
            </w:pPr>
          </w:p>
        </w:tc>
        <w:tc>
          <w:tcPr>
            <w:tcW w:w="1069" w:type="dxa"/>
            <w:vMerge/>
          </w:tcPr>
          <w:p w14:paraId="00BBE651" w14:textId="77777777" w:rsidR="00E63D3B" w:rsidRPr="00521A25" w:rsidRDefault="00E63D3B" w:rsidP="003E3270">
            <w:pPr>
              <w:spacing w:after="160" w:line="259" w:lineRule="auto"/>
              <w:rPr>
                <w:sz w:val="18"/>
              </w:rPr>
            </w:pPr>
          </w:p>
        </w:tc>
      </w:tr>
      <w:tr w:rsidR="00E63D3B" w14:paraId="67028D1D" w14:textId="77777777" w:rsidTr="00E63D3B">
        <w:trPr>
          <w:trHeight w:val="417"/>
        </w:trPr>
        <w:tc>
          <w:tcPr>
            <w:tcW w:w="1239" w:type="dxa"/>
            <w:vMerge/>
          </w:tcPr>
          <w:p w14:paraId="08E46861" w14:textId="77777777" w:rsidR="00E63D3B" w:rsidRPr="00521A25" w:rsidRDefault="00E63D3B" w:rsidP="003E3270">
            <w:pPr>
              <w:spacing w:after="160" w:line="259" w:lineRule="auto"/>
              <w:rPr>
                <w:b/>
                <w:bCs/>
                <w:sz w:val="18"/>
              </w:rPr>
            </w:pPr>
          </w:p>
        </w:tc>
        <w:tc>
          <w:tcPr>
            <w:tcW w:w="2607" w:type="dxa"/>
          </w:tcPr>
          <w:p w14:paraId="3D850EC1" w14:textId="77777777" w:rsidR="00E63D3B" w:rsidRPr="00521A25" w:rsidRDefault="00E63D3B" w:rsidP="003E3270">
            <w:pPr>
              <w:spacing w:after="160" w:line="259" w:lineRule="auto"/>
              <w:rPr>
                <w:sz w:val="18"/>
              </w:rPr>
            </w:pPr>
            <w:r w:rsidRPr="00521A25">
              <w:rPr>
                <w:sz w:val="18"/>
              </w:rPr>
              <w:t>A.4 Prix des pièces détachées</w:t>
            </w:r>
          </w:p>
        </w:tc>
        <w:tc>
          <w:tcPr>
            <w:tcW w:w="855" w:type="dxa"/>
          </w:tcPr>
          <w:p w14:paraId="3493E0D3" w14:textId="77777777" w:rsidR="00E63D3B" w:rsidRPr="00521A25" w:rsidRDefault="00E63D3B" w:rsidP="003E3270">
            <w:pPr>
              <w:spacing w:after="160" w:line="259" w:lineRule="auto"/>
              <w:rPr>
                <w:sz w:val="18"/>
              </w:rPr>
            </w:pPr>
            <w:r w:rsidRPr="00DE4089">
              <w:rPr>
                <w:rFonts w:ascii="Arial" w:hAnsi="Arial" w:cs="Arial"/>
                <w:sz w:val="18"/>
              </w:rPr>
              <w:t>▀▀</w:t>
            </w:r>
            <w:r w:rsidRPr="00DE4089">
              <w:rPr>
                <w:sz w:val="18"/>
              </w:rPr>
              <w:t>/10</w:t>
            </w:r>
          </w:p>
        </w:tc>
        <w:tc>
          <w:tcPr>
            <w:tcW w:w="1141" w:type="dxa"/>
          </w:tcPr>
          <w:p w14:paraId="2824C8E8" w14:textId="77777777" w:rsidR="00E63D3B" w:rsidRPr="00521A25" w:rsidRDefault="00E63D3B" w:rsidP="003E3270">
            <w:pPr>
              <w:spacing w:after="160" w:line="259" w:lineRule="auto"/>
              <w:rPr>
                <w:sz w:val="18"/>
              </w:rPr>
            </w:pPr>
            <w:r w:rsidRPr="00521A25">
              <w:rPr>
                <w:sz w:val="18"/>
              </w:rPr>
              <w:t>2,5</w:t>
            </w:r>
          </w:p>
        </w:tc>
        <w:tc>
          <w:tcPr>
            <w:tcW w:w="1426" w:type="dxa"/>
            <w:vMerge/>
          </w:tcPr>
          <w:p w14:paraId="263C4659" w14:textId="77777777" w:rsidR="00E63D3B" w:rsidRPr="00521A25" w:rsidRDefault="00E63D3B" w:rsidP="003E3270">
            <w:pPr>
              <w:spacing w:after="160" w:line="259" w:lineRule="auto"/>
              <w:rPr>
                <w:sz w:val="18"/>
              </w:rPr>
            </w:pPr>
          </w:p>
        </w:tc>
        <w:tc>
          <w:tcPr>
            <w:tcW w:w="1214" w:type="dxa"/>
            <w:vMerge/>
          </w:tcPr>
          <w:p w14:paraId="11E0BBE4" w14:textId="77777777" w:rsidR="00E63D3B" w:rsidRPr="00521A25" w:rsidRDefault="00E63D3B" w:rsidP="003E3270">
            <w:pPr>
              <w:spacing w:after="160" w:line="259" w:lineRule="auto"/>
              <w:rPr>
                <w:sz w:val="18"/>
              </w:rPr>
            </w:pPr>
          </w:p>
        </w:tc>
        <w:tc>
          <w:tcPr>
            <w:tcW w:w="1069" w:type="dxa"/>
            <w:vMerge/>
          </w:tcPr>
          <w:p w14:paraId="7594C2D0" w14:textId="77777777" w:rsidR="00E63D3B" w:rsidRPr="00521A25" w:rsidRDefault="00E63D3B" w:rsidP="003E3270">
            <w:pPr>
              <w:spacing w:after="160" w:line="259" w:lineRule="auto"/>
              <w:rPr>
                <w:sz w:val="18"/>
              </w:rPr>
            </w:pPr>
          </w:p>
        </w:tc>
      </w:tr>
      <w:tr w:rsidR="00E63D3B" w14:paraId="06E8027A" w14:textId="77777777" w:rsidTr="00E63D3B">
        <w:trPr>
          <w:trHeight w:val="565"/>
        </w:trPr>
        <w:tc>
          <w:tcPr>
            <w:tcW w:w="1239" w:type="dxa"/>
            <w:vMerge w:val="restart"/>
          </w:tcPr>
          <w:p w14:paraId="67EC6C92" w14:textId="77777777" w:rsidR="00E63D3B" w:rsidRPr="00521A25" w:rsidRDefault="00E63D3B" w:rsidP="003E3270">
            <w:pPr>
              <w:spacing w:after="160" w:line="259" w:lineRule="auto"/>
              <w:rPr>
                <w:b/>
                <w:bCs/>
                <w:sz w:val="18"/>
              </w:rPr>
            </w:pPr>
            <w:r w:rsidRPr="00521A25">
              <w:rPr>
                <w:b/>
                <w:bCs/>
                <w:sz w:val="18"/>
              </w:rPr>
              <w:lastRenderedPageBreak/>
              <w:t>B. Fiabilité</w:t>
            </w:r>
          </w:p>
        </w:tc>
        <w:tc>
          <w:tcPr>
            <w:tcW w:w="2607" w:type="dxa"/>
          </w:tcPr>
          <w:p w14:paraId="740E117A" w14:textId="77777777" w:rsidR="00E63D3B" w:rsidRPr="00521A25" w:rsidRDefault="00E63D3B" w:rsidP="003E3270">
            <w:pPr>
              <w:spacing w:after="160" w:line="259" w:lineRule="auto"/>
              <w:rPr>
                <w:sz w:val="18"/>
              </w:rPr>
            </w:pPr>
            <w:r w:rsidRPr="00521A25">
              <w:rPr>
                <w:sz w:val="18"/>
              </w:rPr>
              <w:t>B.1 Résistance aux contraintes et/ou à l’usure</w:t>
            </w:r>
          </w:p>
        </w:tc>
        <w:tc>
          <w:tcPr>
            <w:tcW w:w="855" w:type="dxa"/>
          </w:tcPr>
          <w:p w14:paraId="5AC15980" w14:textId="77777777" w:rsidR="00E63D3B" w:rsidRPr="00521A25" w:rsidRDefault="00E63D3B" w:rsidP="003E3270">
            <w:pPr>
              <w:spacing w:after="160" w:line="259" w:lineRule="auto"/>
              <w:rPr>
                <w:sz w:val="18"/>
              </w:rPr>
            </w:pPr>
            <w:r w:rsidRPr="00DE4089">
              <w:rPr>
                <w:rFonts w:ascii="Arial" w:hAnsi="Arial" w:cs="Arial"/>
                <w:sz w:val="18"/>
              </w:rPr>
              <w:t>▀▀</w:t>
            </w:r>
            <w:r w:rsidRPr="00DE4089">
              <w:rPr>
                <w:sz w:val="18"/>
              </w:rPr>
              <w:t>/10</w:t>
            </w:r>
          </w:p>
        </w:tc>
        <w:tc>
          <w:tcPr>
            <w:tcW w:w="1141" w:type="dxa"/>
          </w:tcPr>
          <w:p w14:paraId="469357CB" w14:textId="77777777" w:rsidR="00E63D3B" w:rsidRPr="00521A25" w:rsidRDefault="00E63D3B" w:rsidP="003E3270">
            <w:pPr>
              <w:spacing w:after="160" w:line="259" w:lineRule="auto"/>
              <w:rPr>
                <w:sz w:val="18"/>
              </w:rPr>
            </w:pPr>
            <w:r w:rsidRPr="00521A25">
              <w:rPr>
                <w:sz w:val="18"/>
              </w:rPr>
              <w:t>5</w:t>
            </w:r>
          </w:p>
        </w:tc>
        <w:tc>
          <w:tcPr>
            <w:tcW w:w="1426" w:type="dxa"/>
            <w:vMerge w:val="restart"/>
          </w:tcPr>
          <w:p w14:paraId="1D9BEDDA" w14:textId="77777777" w:rsidR="00E63D3B" w:rsidRPr="00521A25" w:rsidRDefault="00E63D3B" w:rsidP="003E3270">
            <w:pPr>
              <w:spacing w:after="160" w:line="259" w:lineRule="auto"/>
              <w:rPr>
                <w:sz w:val="18"/>
              </w:rPr>
            </w:pPr>
            <w:r w:rsidRPr="00DE4089">
              <w:rPr>
                <w:rFonts w:ascii="Arial" w:hAnsi="Arial" w:cs="Arial"/>
                <w:sz w:val="18"/>
              </w:rPr>
              <w:t>▀▀</w:t>
            </w:r>
            <w:r w:rsidRPr="00DE4089">
              <w:rPr>
                <w:sz w:val="18"/>
              </w:rPr>
              <w:t>/10</w:t>
            </w:r>
          </w:p>
        </w:tc>
        <w:tc>
          <w:tcPr>
            <w:tcW w:w="1214" w:type="dxa"/>
            <w:vMerge w:val="restart"/>
          </w:tcPr>
          <w:p w14:paraId="669FD74B" w14:textId="5EE8779F" w:rsidR="00E63D3B" w:rsidRPr="00521A25" w:rsidRDefault="00E63D3B" w:rsidP="003E3270">
            <w:pPr>
              <w:spacing w:after="160" w:line="259" w:lineRule="auto"/>
              <w:rPr>
                <w:sz w:val="18"/>
              </w:rPr>
            </w:pPr>
            <w:r>
              <w:rPr>
                <w:sz w:val="18"/>
              </w:rPr>
              <w:t>5</w:t>
            </w:r>
          </w:p>
        </w:tc>
        <w:tc>
          <w:tcPr>
            <w:tcW w:w="1069" w:type="dxa"/>
            <w:vMerge/>
          </w:tcPr>
          <w:p w14:paraId="1D13426D" w14:textId="77777777" w:rsidR="00E63D3B" w:rsidRPr="00521A25" w:rsidRDefault="00E63D3B" w:rsidP="003E3270">
            <w:pPr>
              <w:spacing w:after="160" w:line="259" w:lineRule="auto"/>
              <w:rPr>
                <w:sz w:val="18"/>
              </w:rPr>
            </w:pPr>
          </w:p>
        </w:tc>
      </w:tr>
      <w:tr w:rsidR="00E63D3B" w14:paraId="5B6DB926" w14:textId="77777777" w:rsidTr="00E63D3B">
        <w:trPr>
          <w:trHeight w:val="426"/>
        </w:trPr>
        <w:tc>
          <w:tcPr>
            <w:tcW w:w="1239" w:type="dxa"/>
            <w:vMerge/>
          </w:tcPr>
          <w:p w14:paraId="0DB3C29D" w14:textId="77777777" w:rsidR="00E63D3B" w:rsidRPr="00521A25" w:rsidRDefault="00E63D3B" w:rsidP="003E3270">
            <w:pPr>
              <w:spacing w:after="160" w:line="259" w:lineRule="auto"/>
              <w:rPr>
                <w:b/>
                <w:bCs/>
                <w:sz w:val="18"/>
              </w:rPr>
            </w:pPr>
          </w:p>
        </w:tc>
        <w:tc>
          <w:tcPr>
            <w:tcW w:w="2607" w:type="dxa"/>
          </w:tcPr>
          <w:p w14:paraId="443DAEAB" w14:textId="77777777" w:rsidR="00E63D3B" w:rsidRPr="00521A25" w:rsidRDefault="00E63D3B" w:rsidP="003E3270">
            <w:pPr>
              <w:spacing w:after="160" w:line="259" w:lineRule="auto"/>
              <w:rPr>
                <w:sz w:val="18"/>
              </w:rPr>
            </w:pPr>
            <w:r w:rsidRPr="00521A25">
              <w:rPr>
                <w:sz w:val="18"/>
              </w:rPr>
              <w:t xml:space="preserve">B.2 Maintenance et entretien </w:t>
            </w:r>
          </w:p>
        </w:tc>
        <w:tc>
          <w:tcPr>
            <w:tcW w:w="855" w:type="dxa"/>
          </w:tcPr>
          <w:p w14:paraId="0D62A15A" w14:textId="77777777" w:rsidR="00E63D3B" w:rsidRPr="00521A25" w:rsidRDefault="00E63D3B" w:rsidP="003E3270">
            <w:pPr>
              <w:spacing w:after="160" w:line="259" w:lineRule="auto"/>
              <w:rPr>
                <w:sz w:val="18"/>
              </w:rPr>
            </w:pPr>
            <w:r w:rsidRPr="00DE4089">
              <w:rPr>
                <w:rFonts w:ascii="Arial" w:hAnsi="Arial" w:cs="Arial"/>
                <w:sz w:val="18"/>
              </w:rPr>
              <w:t>▀▀</w:t>
            </w:r>
            <w:r w:rsidRPr="00DE4089">
              <w:rPr>
                <w:sz w:val="18"/>
              </w:rPr>
              <w:t>/10</w:t>
            </w:r>
          </w:p>
        </w:tc>
        <w:tc>
          <w:tcPr>
            <w:tcW w:w="1141" w:type="dxa"/>
          </w:tcPr>
          <w:p w14:paraId="1BD4BB43" w14:textId="77777777" w:rsidR="00E63D3B" w:rsidRPr="00521A25" w:rsidRDefault="00E63D3B" w:rsidP="003E3270">
            <w:pPr>
              <w:spacing w:after="160" w:line="259" w:lineRule="auto"/>
              <w:rPr>
                <w:sz w:val="18"/>
              </w:rPr>
            </w:pPr>
            <w:r w:rsidRPr="00521A25">
              <w:rPr>
                <w:sz w:val="18"/>
              </w:rPr>
              <w:t>4</w:t>
            </w:r>
          </w:p>
        </w:tc>
        <w:tc>
          <w:tcPr>
            <w:tcW w:w="1426" w:type="dxa"/>
            <w:vMerge/>
          </w:tcPr>
          <w:p w14:paraId="4B20AA58" w14:textId="77777777" w:rsidR="00E63D3B" w:rsidRPr="00521A25" w:rsidRDefault="00E63D3B" w:rsidP="003E3270">
            <w:pPr>
              <w:spacing w:after="160" w:line="259" w:lineRule="auto"/>
              <w:rPr>
                <w:sz w:val="18"/>
              </w:rPr>
            </w:pPr>
          </w:p>
        </w:tc>
        <w:tc>
          <w:tcPr>
            <w:tcW w:w="1214" w:type="dxa"/>
            <w:vMerge/>
          </w:tcPr>
          <w:p w14:paraId="3FEDE394" w14:textId="77777777" w:rsidR="00E63D3B" w:rsidRPr="00521A25" w:rsidRDefault="00E63D3B" w:rsidP="003E3270">
            <w:pPr>
              <w:spacing w:after="160" w:line="259" w:lineRule="auto"/>
              <w:rPr>
                <w:sz w:val="18"/>
              </w:rPr>
            </w:pPr>
          </w:p>
        </w:tc>
        <w:tc>
          <w:tcPr>
            <w:tcW w:w="1069" w:type="dxa"/>
            <w:vMerge/>
          </w:tcPr>
          <w:p w14:paraId="24408CFE" w14:textId="77777777" w:rsidR="00E63D3B" w:rsidRPr="00521A25" w:rsidRDefault="00E63D3B" w:rsidP="003E3270">
            <w:pPr>
              <w:spacing w:after="160" w:line="259" w:lineRule="auto"/>
              <w:rPr>
                <w:sz w:val="18"/>
              </w:rPr>
            </w:pPr>
          </w:p>
        </w:tc>
      </w:tr>
      <w:tr w:rsidR="00E63D3B" w14:paraId="561B6ACB" w14:textId="77777777" w:rsidTr="00E63D3B">
        <w:trPr>
          <w:trHeight w:val="565"/>
        </w:trPr>
        <w:tc>
          <w:tcPr>
            <w:tcW w:w="1239" w:type="dxa"/>
            <w:vMerge/>
          </w:tcPr>
          <w:p w14:paraId="1B64CE95" w14:textId="77777777" w:rsidR="00E63D3B" w:rsidRPr="00521A25" w:rsidRDefault="00E63D3B" w:rsidP="003E3270">
            <w:pPr>
              <w:spacing w:after="160" w:line="259" w:lineRule="auto"/>
              <w:rPr>
                <w:b/>
                <w:bCs/>
                <w:sz w:val="18"/>
              </w:rPr>
            </w:pPr>
          </w:p>
        </w:tc>
        <w:tc>
          <w:tcPr>
            <w:tcW w:w="2607" w:type="dxa"/>
          </w:tcPr>
          <w:p w14:paraId="0555F390" w14:textId="77777777" w:rsidR="00E63D3B" w:rsidRPr="00521A25" w:rsidRDefault="00E63D3B" w:rsidP="003E3270">
            <w:pPr>
              <w:spacing w:after="160" w:line="259" w:lineRule="auto"/>
              <w:rPr>
                <w:sz w:val="18"/>
              </w:rPr>
            </w:pPr>
            <w:r w:rsidRPr="00521A25">
              <w:rPr>
                <w:sz w:val="18"/>
              </w:rPr>
              <w:t>B.3 Garantie de durabilité et processus qualité</w:t>
            </w:r>
          </w:p>
        </w:tc>
        <w:tc>
          <w:tcPr>
            <w:tcW w:w="855" w:type="dxa"/>
          </w:tcPr>
          <w:p w14:paraId="4D6D8F16" w14:textId="77777777" w:rsidR="00E63D3B" w:rsidRPr="00521A25" w:rsidRDefault="00E63D3B" w:rsidP="003E3270">
            <w:pPr>
              <w:spacing w:after="160" w:line="259" w:lineRule="auto"/>
              <w:rPr>
                <w:sz w:val="18"/>
              </w:rPr>
            </w:pPr>
            <w:r w:rsidRPr="00DE4089">
              <w:rPr>
                <w:rFonts w:ascii="Arial" w:hAnsi="Arial" w:cs="Arial"/>
                <w:sz w:val="18"/>
              </w:rPr>
              <w:t>▀▀</w:t>
            </w:r>
            <w:r w:rsidRPr="00DE4089">
              <w:rPr>
                <w:sz w:val="18"/>
              </w:rPr>
              <w:t>/10</w:t>
            </w:r>
          </w:p>
        </w:tc>
        <w:tc>
          <w:tcPr>
            <w:tcW w:w="1141" w:type="dxa"/>
          </w:tcPr>
          <w:p w14:paraId="7F172C89" w14:textId="77777777" w:rsidR="00E63D3B" w:rsidRPr="00521A25" w:rsidRDefault="00E63D3B" w:rsidP="003E3270">
            <w:pPr>
              <w:spacing w:after="160" w:line="259" w:lineRule="auto"/>
              <w:rPr>
                <w:sz w:val="18"/>
              </w:rPr>
            </w:pPr>
            <w:r w:rsidRPr="00521A25">
              <w:rPr>
                <w:sz w:val="18"/>
              </w:rPr>
              <w:t>1</w:t>
            </w:r>
          </w:p>
        </w:tc>
        <w:tc>
          <w:tcPr>
            <w:tcW w:w="1426" w:type="dxa"/>
            <w:vMerge/>
          </w:tcPr>
          <w:p w14:paraId="3714730A" w14:textId="77777777" w:rsidR="00E63D3B" w:rsidRPr="00521A25" w:rsidRDefault="00E63D3B" w:rsidP="003E3270">
            <w:pPr>
              <w:spacing w:after="160" w:line="259" w:lineRule="auto"/>
              <w:rPr>
                <w:sz w:val="18"/>
              </w:rPr>
            </w:pPr>
          </w:p>
        </w:tc>
        <w:tc>
          <w:tcPr>
            <w:tcW w:w="1214" w:type="dxa"/>
            <w:vMerge/>
          </w:tcPr>
          <w:p w14:paraId="33FF64F6" w14:textId="77777777" w:rsidR="00E63D3B" w:rsidRPr="00521A25" w:rsidRDefault="00E63D3B" w:rsidP="003E3270">
            <w:pPr>
              <w:spacing w:after="160" w:line="259" w:lineRule="auto"/>
              <w:rPr>
                <w:sz w:val="18"/>
              </w:rPr>
            </w:pPr>
          </w:p>
        </w:tc>
        <w:tc>
          <w:tcPr>
            <w:tcW w:w="1069" w:type="dxa"/>
            <w:vMerge/>
          </w:tcPr>
          <w:p w14:paraId="67D0F387" w14:textId="77777777" w:rsidR="00E63D3B" w:rsidRPr="00521A25" w:rsidRDefault="00E63D3B" w:rsidP="003E3270">
            <w:pPr>
              <w:spacing w:after="160" w:line="259" w:lineRule="auto"/>
              <w:rPr>
                <w:sz w:val="18"/>
              </w:rPr>
            </w:pPr>
          </w:p>
        </w:tc>
      </w:tr>
      <w:tr w:rsidR="00216363" w14:paraId="76F6D0FE" w14:textId="77777777" w:rsidTr="00E63D3B">
        <w:trPr>
          <w:trHeight w:val="258"/>
        </w:trPr>
        <w:tc>
          <w:tcPr>
            <w:tcW w:w="1239" w:type="dxa"/>
          </w:tcPr>
          <w:p w14:paraId="3F13BFD9" w14:textId="77777777" w:rsidR="00216363" w:rsidRPr="00521A25" w:rsidRDefault="00216363" w:rsidP="003E3270">
            <w:pPr>
              <w:spacing w:after="160" w:line="259" w:lineRule="auto"/>
              <w:rPr>
                <w:sz w:val="18"/>
              </w:rPr>
            </w:pPr>
          </w:p>
        </w:tc>
        <w:tc>
          <w:tcPr>
            <w:tcW w:w="7243" w:type="dxa"/>
            <w:gridSpan w:val="5"/>
          </w:tcPr>
          <w:p w14:paraId="73B3ABCA" w14:textId="77777777" w:rsidR="00216363" w:rsidRPr="00DE4089" w:rsidRDefault="00216363" w:rsidP="003E3270">
            <w:pPr>
              <w:spacing w:after="160" w:line="259" w:lineRule="auto"/>
              <w:rPr>
                <w:sz w:val="18"/>
              </w:rPr>
            </w:pPr>
            <w:r w:rsidRPr="00521A25">
              <w:rPr>
                <w:sz w:val="18"/>
              </w:rPr>
              <w:t>Note de l’indice de durabilité</w:t>
            </w:r>
          </w:p>
        </w:tc>
        <w:tc>
          <w:tcPr>
            <w:tcW w:w="1069" w:type="dxa"/>
          </w:tcPr>
          <w:p w14:paraId="4ED25AEB" w14:textId="77777777" w:rsidR="00216363" w:rsidRPr="00DE4089" w:rsidRDefault="00216363" w:rsidP="003E3270">
            <w:pPr>
              <w:spacing w:after="160" w:line="259" w:lineRule="auto"/>
              <w:rPr>
                <w:sz w:val="18"/>
              </w:rPr>
            </w:pPr>
            <w:r w:rsidRPr="00DE4089">
              <w:rPr>
                <w:rFonts w:ascii="Arial" w:hAnsi="Arial" w:cs="Arial"/>
                <w:sz w:val="18"/>
              </w:rPr>
              <w:t>▀▀</w:t>
            </w:r>
            <w:r w:rsidRPr="00DE4089">
              <w:rPr>
                <w:sz w:val="18"/>
              </w:rPr>
              <w:t>/10</w:t>
            </w:r>
          </w:p>
        </w:tc>
      </w:tr>
    </w:tbl>
    <w:p w14:paraId="122E26C9" w14:textId="6C74D38F" w:rsidR="00216363" w:rsidRDefault="00216363">
      <w:pPr>
        <w:rPr>
          <w:color w:val="000000"/>
        </w:rPr>
      </w:pPr>
    </w:p>
    <w:p w14:paraId="515EF1FD" w14:textId="3FABB413" w:rsidR="00A14553" w:rsidRDefault="009B219E" w:rsidP="009B219E">
      <w:pPr>
        <w:jc w:val="both"/>
      </w:pPr>
      <w:r>
        <w:rPr>
          <w:color w:val="000000"/>
        </w:rPr>
        <w:t>L</w:t>
      </w:r>
      <w:r w:rsidR="006C6002">
        <w:rPr>
          <w:color w:val="000000"/>
        </w:rPr>
        <w:t>es coefficients</w:t>
      </w:r>
      <w:r>
        <w:rPr>
          <w:color w:val="000000"/>
        </w:rPr>
        <w:t xml:space="preserve"> et pondérations</w:t>
      </w:r>
      <w:r w:rsidR="006C6002">
        <w:rPr>
          <w:color w:val="000000"/>
        </w:rPr>
        <w:t xml:space="preserve"> indiqués dans le</w:t>
      </w:r>
      <w:r w:rsidR="007D3E5D">
        <w:rPr>
          <w:color w:val="000000"/>
        </w:rPr>
        <w:t>s</w:t>
      </w:r>
      <w:r w:rsidR="006C6002">
        <w:rPr>
          <w:color w:val="000000"/>
        </w:rPr>
        <w:t xml:space="preserve"> tableau</w:t>
      </w:r>
      <w:r w:rsidR="007D3E5D">
        <w:rPr>
          <w:color w:val="000000"/>
        </w:rPr>
        <w:t>x</w:t>
      </w:r>
      <w:r w:rsidR="006C6002">
        <w:rPr>
          <w:color w:val="000000"/>
        </w:rPr>
        <w:t xml:space="preserve"> ci-dessus pour le calcul de l’indice de durabilité</w:t>
      </w:r>
      <w:r>
        <w:rPr>
          <w:color w:val="000000"/>
        </w:rPr>
        <w:t xml:space="preserve"> sont applicables à l’ensemble des équipements électriques et électroniques</w:t>
      </w:r>
      <w:r w:rsidR="006C6002">
        <w:rPr>
          <w:color w:val="000000"/>
        </w:rPr>
        <w:t xml:space="preserve">. </w:t>
      </w:r>
      <w:r>
        <w:rPr>
          <w:color w:val="000000"/>
        </w:rPr>
        <w:t>La méthode détaillée de calcul, applicable à chaque catégorie d’équipements, est précisée par arrêté.</w:t>
      </w:r>
    </w:p>
    <w:p w14:paraId="427654B8" w14:textId="77777777" w:rsidR="00A14553" w:rsidRDefault="00A14553">
      <w:pPr>
        <w:pStyle w:val="SNSignatureGauche0"/>
        <w:spacing w:before="0" w:after="0"/>
        <w:ind w:left="0" w:right="0" w:firstLine="0"/>
        <w:jc w:val="center"/>
      </w:pPr>
    </w:p>
    <w:p w14:paraId="509D0091" w14:textId="77777777" w:rsidR="00A14553" w:rsidRDefault="003B7692">
      <w:pPr>
        <w:pStyle w:val="SNSignatureGauche0"/>
        <w:spacing w:before="0" w:after="0"/>
        <w:ind w:left="0" w:right="0" w:firstLine="0"/>
        <w:jc w:val="center"/>
      </w:pPr>
      <w:r>
        <w:rPr>
          <w:b/>
          <w:color w:val="000000"/>
        </w:rPr>
        <w:t>Article 5 </w:t>
      </w:r>
    </w:p>
    <w:p w14:paraId="20A44DF3" w14:textId="525664AF" w:rsidR="00DB0A64" w:rsidRDefault="009230E8" w:rsidP="007D3E5D">
      <w:pPr>
        <w:pStyle w:val="SNSignatureGauche0"/>
        <w:spacing w:before="0" w:after="0"/>
        <w:ind w:left="0" w:right="0" w:firstLine="0"/>
        <w:jc w:val="both"/>
        <w:rPr>
          <w:color w:val="000000"/>
        </w:rPr>
      </w:pPr>
      <w:r>
        <w:rPr>
          <w:color w:val="000000"/>
        </w:rPr>
        <w:t>La méthodologie de calcul détaillée spécifique à chaque catégorie d’équipement est définie par arrêté</w:t>
      </w:r>
      <w:r w:rsidR="00EB2721">
        <w:rPr>
          <w:color w:val="000000"/>
        </w:rPr>
        <w:t xml:space="preserve">, dans le respect des définitions précisées </w:t>
      </w:r>
      <w:r w:rsidR="00DB0A64">
        <w:rPr>
          <w:color w:val="000000"/>
        </w:rPr>
        <w:t xml:space="preserve">aux annexes I, II et III. </w:t>
      </w:r>
    </w:p>
    <w:p w14:paraId="26E69EC3" w14:textId="77777777" w:rsidR="00DB0A64" w:rsidRDefault="00DB0A64" w:rsidP="009230E8">
      <w:pPr>
        <w:pStyle w:val="SNSignatureGauche0"/>
        <w:spacing w:before="0" w:after="0"/>
        <w:ind w:left="0" w:right="0" w:firstLine="0"/>
        <w:jc w:val="left"/>
        <w:rPr>
          <w:color w:val="000000"/>
        </w:rPr>
      </w:pPr>
    </w:p>
    <w:p w14:paraId="2586FEE0" w14:textId="39291C21" w:rsidR="00DB0A64" w:rsidRDefault="00DB0A64" w:rsidP="00DB0A64">
      <w:pPr>
        <w:suppressAutoHyphens w:val="0"/>
        <w:jc w:val="center"/>
      </w:pPr>
      <w:r>
        <w:rPr>
          <w:b/>
          <w:color w:val="000000"/>
          <w:lang w:eastAsia="fr-FR"/>
        </w:rPr>
        <w:t>Article 6</w:t>
      </w:r>
    </w:p>
    <w:p w14:paraId="46EC8B4D" w14:textId="77777777" w:rsidR="00DB0A64" w:rsidRDefault="00DB0A64" w:rsidP="00DB0A64">
      <w:pPr>
        <w:suppressAutoHyphens w:val="0"/>
        <w:jc w:val="both"/>
        <w:rPr>
          <w:color w:val="000000"/>
          <w:lang w:eastAsia="fr-FR"/>
        </w:rPr>
      </w:pPr>
    </w:p>
    <w:p w14:paraId="7BA8DE16" w14:textId="5ED9AF5A" w:rsidR="00DB0A64" w:rsidRDefault="00DB0A64" w:rsidP="00DB0A64">
      <w:pPr>
        <w:suppressAutoHyphens w:val="0"/>
        <w:jc w:val="both"/>
      </w:pPr>
      <w:r>
        <w:rPr>
          <w:color w:val="000000"/>
          <w:lang w:eastAsia="fr-FR"/>
        </w:rPr>
        <w:t xml:space="preserve">Les dispositions du présent arrêté </w:t>
      </w:r>
      <w:r w:rsidRPr="00F86479">
        <w:rPr>
          <w:color w:val="000000"/>
          <w:lang w:eastAsia="fr-FR"/>
        </w:rPr>
        <w:t xml:space="preserve">entrent </w:t>
      </w:r>
      <w:r w:rsidRPr="009B219E">
        <w:rPr>
          <w:color w:val="000000"/>
          <w:lang w:eastAsia="fr-FR"/>
        </w:rPr>
        <w:t>en vigueur à compter du 1</w:t>
      </w:r>
      <w:r w:rsidRPr="009B219E">
        <w:rPr>
          <w:color w:val="000000"/>
          <w:vertAlign w:val="superscript"/>
          <w:lang w:eastAsia="fr-FR"/>
        </w:rPr>
        <w:t>er</w:t>
      </w:r>
      <w:r w:rsidRPr="009B219E">
        <w:rPr>
          <w:color w:val="000000"/>
          <w:lang w:eastAsia="fr-FR"/>
        </w:rPr>
        <w:t xml:space="preserve"> janvier 202</w:t>
      </w:r>
      <w:r w:rsidR="00841EBD" w:rsidRPr="009B219E">
        <w:rPr>
          <w:color w:val="000000"/>
          <w:lang w:eastAsia="fr-FR"/>
        </w:rPr>
        <w:t>4</w:t>
      </w:r>
      <w:r w:rsidRPr="00F86479">
        <w:rPr>
          <w:color w:val="000000"/>
          <w:lang w:eastAsia="fr-FR"/>
        </w:rPr>
        <w:t>.</w:t>
      </w:r>
    </w:p>
    <w:p w14:paraId="185CFF62" w14:textId="77777777" w:rsidR="00DB0A64" w:rsidRDefault="00DB0A64" w:rsidP="00DB0A64">
      <w:pPr>
        <w:suppressAutoHyphens w:val="0"/>
        <w:jc w:val="both"/>
        <w:rPr>
          <w:color w:val="000000"/>
          <w:lang w:eastAsia="fr-FR"/>
        </w:rPr>
      </w:pPr>
    </w:p>
    <w:p w14:paraId="42BE2326" w14:textId="378114FA" w:rsidR="00DB0A64" w:rsidRDefault="00DB0A64" w:rsidP="00DB0A64">
      <w:pPr>
        <w:suppressAutoHyphens w:val="0"/>
        <w:jc w:val="center"/>
      </w:pPr>
      <w:r>
        <w:rPr>
          <w:b/>
          <w:color w:val="000000"/>
          <w:lang w:eastAsia="fr-FR"/>
        </w:rPr>
        <w:t xml:space="preserve">Article 7 </w:t>
      </w:r>
    </w:p>
    <w:p w14:paraId="13574CC3" w14:textId="77777777" w:rsidR="00DB0A64" w:rsidRDefault="00DB0A64" w:rsidP="00DB0A64">
      <w:pPr>
        <w:suppressAutoHyphens w:val="0"/>
        <w:jc w:val="both"/>
        <w:rPr>
          <w:color w:val="000000"/>
          <w:lang w:eastAsia="fr-FR"/>
        </w:rPr>
      </w:pPr>
    </w:p>
    <w:p w14:paraId="17289428" w14:textId="77777777" w:rsidR="00DB0A64" w:rsidRDefault="00DB0A64" w:rsidP="00DB0A64">
      <w:pPr>
        <w:pStyle w:val="Corpsdetexte"/>
        <w:suppressAutoHyphens w:val="0"/>
        <w:spacing w:after="0"/>
      </w:pPr>
      <w:r>
        <w:rPr>
          <w:color w:val="000000"/>
          <w:lang w:eastAsia="fr-FR"/>
        </w:rPr>
        <w:t xml:space="preserve">Le commissaire général au développement durable et la directrice générale de la concurrence, de la consommation, et de la répression des fraudes sont chargés, chacun en ce qui le concerne, de l’exécution du présent arrêté, qui sera publié au </w:t>
      </w:r>
      <w:r>
        <w:rPr>
          <w:i/>
          <w:color w:val="000000"/>
          <w:lang w:eastAsia="fr-FR"/>
        </w:rPr>
        <w:t>Journal officiel</w:t>
      </w:r>
      <w:r>
        <w:rPr>
          <w:color w:val="000000"/>
          <w:lang w:eastAsia="fr-FR"/>
        </w:rPr>
        <w:t xml:space="preserve"> de la République française.</w:t>
      </w:r>
    </w:p>
    <w:p w14:paraId="68BC9402" w14:textId="77777777" w:rsidR="00DB0A64" w:rsidRDefault="00DB0A64" w:rsidP="009230E8">
      <w:pPr>
        <w:pStyle w:val="SNSignatureGauche0"/>
        <w:spacing w:before="0" w:after="0"/>
        <w:ind w:left="0" w:right="0" w:firstLine="0"/>
        <w:jc w:val="left"/>
        <w:rPr>
          <w:b/>
          <w:color w:val="000000"/>
        </w:rPr>
      </w:pPr>
    </w:p>
    <w:p w14:paraId="2FB4F0E5" w14:textId="77777777" w:rsidR="00DB0A64" w:rsidRDefault="00DB0A64">
      <w:pPr>
        <w:suppressAutoHyphens w:val="0"/>
        <w:rPr>
          <w:b/>
          <w:color w:val="000000"/>
        </w:rPr>
      </w:pPr>
      <w:r>
        <w:rPr>
          <w:b/>
          <w:color w:val="000000"/>
        </w:rPr>
        <w:br w:type="page"/>
      </w:r>
    </w:p>
    <w:p w14:paraId="1B03184D" w14:textId="77777777" w:rsidR="00DB0A64" w:rsidRPr="00DB0A64" w:rsidRDefault="00DB0A64" w:rsidP="00DB0A64">
      <w:pPr>
        <w:suppressAutoHyphens w:val="0"/>
        <w:jc w:val="center"/>
        <w:rPr>
          <w:color w:val="000000"/>
        </w:rPr>
      </w:pPr>
      <w:r w:rsidRPr="00DB0A64">
        <w:rPr>
          <w:color w:val="000000"/>
        </w:rPr>
        <w:lastRenderedPageBreak/>
        <w:t xml:space="preserve">Annexe I </w:t>
      </w:r>
      <w:r w:rsidRPr="00DB0A64">
        <w:rPr>
          <w:color w:val="000000"/>
        </w:rPr>
        <w:br/>
      </w:r>
    </w:p>
    <w:p w14:paraId="09BF3C9C" w14:textId="77777777" w:rsidR="00DB0A64" w:rsidRDefault="00DB0A64" w:rsidP="00DB0A64">
      <w:pPr>
        <w:suppressAutoHyphens w:val="0"/>
        <w:jc w:val="center"/>
        <w:rPr>
          <w:b/>
          <w:color w:val="000000"/>
        </w:rPr>
      </w:pPr>
      <w:r>
        <w:rPr>
          <w:b/>
          <w:color w:val="000000"/>
        </w:rPr>
        <w:t xml:space="preserve">Définitions applicables aux annexes  </w:t>
      </w:r>
    </w:p>
    <w:p w14:paraId="6B7E3026" w14:textId="77777777" w:rsidR="00DB0A64" w:rsidRDefault="00DB0A64" w:rsidP="00DB0A64">
      <w:pPr>
        <w:suppressAutoHyphens w:val="0"/>
        <w:rPr>
          <w:b/>
          <w:color w:val="000000"/>
        </w:rPr>
      </w:pPr>
    </w:p>
    <w:p w14:paraId="64FB014C" w14:textId="350FE8B4" w:rsidR="000413C7" w:rsidRDefault="000413C7" w:rsidP="000413C7">
      <w:pPr>
        <w:pStyle w:val="SNSignatureGauche0"/>
        <w:spacing w:before="0" w:after="0"/>
        <w:ind w:left="0" w:right="0" w:firstLine="0"/>
        <w:jc w:val="both"/>
        <w:rPr>
          <w:color w:val="000000"/>
        </w:rPr>
      </w:pPr>
      <w:r>
        <w:rPr>
          <w:color w:val="000000"/>
        </w:rPr>
        <w:t xml:space="preserve">(1) </w:t>
      </w:r>
      <w:r w:rsidRPr="000413C7">
        <w:rPr>
          <w:color w:val="000000"/>
        </w:rPr>
        <w:t>« </w:t>
      </w:r>
      <w:r w:rsidR="00DB0A64" w:rsidRPr="000413C7">
        <w:rPr>
          <w:color w:val="000000"/>
        </w:rPr>
        <w:t>Listes de pièces</w:t>
      </w:r>
      <w:r w:rsidRPr="000413C7">
        <w:rPr>
          <w:color w:val="000000"/>
        </w:rPr>
        <w:t> » :</w:t>
      </w:r>
      <w:r>
        <w:rPr>
          <w:b/>
          <w:color w:val="000000"/>
        </w:rPr>
        <w:t xml:space="preserve"> </w:t>
      </w:r>
      <w:r w:rsidR="00DB0A64">
        <w:rPr>
          <w:color w:val="000000"/>
        </w:rPr>
        <w:t>Deux listes de pièces sont définies pour c</w:t>
      </w:r>
      <w:r>
        <w:rPr>
          <w:color w:val="000000"/>
        </w:rPr>
        <w:t>haque catégorie d’équipements :</w:t>
      </w:r>
    </w:p>
    <w:p w14:paraId="39ED5BFA" w14:textId="1516D9A8" w:rsidR="000413C7" w:rsidRDefault="00DB0A64" w:rsidP="000413C7">
      <w:pPr>
        <w:pStyle w:val="SNSignatureGauche0"/>
        <w:numPr>
          <w:ilvl w:val="0"/>
          <w:numId w:val="5"/>
        </w:numPr>
        <w:spacing w:before="0" w:after="0"/>
        <w:ind w:right="0"/>
        <w:jc w:val="both"/>
        <w:rPr>
          <w:color w:val="000000"/>
        </w:rPr>
      </w:pPr>
      <w:r>
        <w:rPr>
          <w:color w:val="000000"/>
        </w:rPr>
        <w:t>liste 2 : liste des trois à cinq pièces détachées au maximum (selon la catégorie d’équipements concernée) dont la casse ou les pa</w:t>
      </w:r>
      <w:r w:rsidR="000413C7">
        <w:rPr>
          <w:color w:val="000000"/>
        </w:rPr>
        <w:t>nnes sont les plus fréquentes ;</w:t>
      </w:r>
    </w:p>
    <w:p w14:paraId="5D507965" w14:textId="77777777" w:rsidR="000413C7" w:rsidRPr="000413C7" w:rsidRDefault="00DB0A64" w:rsidP="000413C7">
      <w:pPr>
        <w:pStyle w:val="SNSignatureGauche0"/>
        <w:numPr>
          <w:ilvl w:val="0"/>
          <w:numId w:val="5"/>
        </w:numPr>
        <w:spacing w:before="0" w:after="0"/>
        <w:ind w:right="0"/>
        <w:jc w:val="both"/>
      </w:pPr>
      <w:r>
        <w:rPr>
          <w:color w:val="000000"/>
        </w:rPr>
        <w:t xml:space="preserve">liste 1 : liste de dix autres pièces détachées au maximum (selon la catégorie d’équipements concernée) dont le bon état est nécessaire au </w:t>
      </w:r>
      <w:r w:rsidR="000413C7">
        <w:rPr>
          <w:color w:val="000000"/>
        </w:rPr>
        <w:t>fonctionnement de l’équipement.</w:t>
      </w:r>
    </w:p>
    <w:p w14:paraId="4779DF02" w14:textId="2DEE5441" w:rsidR="00DB0A64" w:rsidRDefault="00DB0A64" w:rsidP="000413C7">
      <w:pPr>
        <w:pStyle w:val="SNSignatureGauche0"/>
        <w:spacing w:before="0" w:after="0"/>
        <w:ind w:left="0" w:right="0" w:firstLine="0"/>
        <w:jc w:val="both"/>
      </w:pPr>
      <w:r w:rsidRPr="000413C7">
        <w:rPr>
          <w:color w:val="000000"/>
        </w:rPr>
        <w:t>Ces listes ne couvrent pas nécessairement l’ensemble des pièces composant l’équipement.</w:t>
      </w:r>
    </w:p>
    <w:p w14:paraId="5BD211FE" w14:textId="0263726A" w:rsidR="00DB0A64" w:rsidRDefault="00DB0A64" w:rsidP="00DB0A64">
      <w:pPr>
        <w:suppressAutoHyphens w:val="0"/>
        <w:jc w:val="both"/>
      </w:pPr>
      <w:r>
        <w:rPr>
          <w:b/>
          <w:color w:val="000000"/>
        </w:rPr>
        <w:br/>
      </w:r>
      <w:r w:rsidRPr="000413C7">
        <w:rPr>
          <w:color w:val="000000"/>
        </w:rPr>
        <w:t xml:space="preserve">(2) </w:t>
      </w:r>
      <w:r w:rsidR="000413C7">
        <w:rPr>
          <w:color w:val="000000"/>
        </w:rPr>
        <w:t>« </w:t>
      </w:r>
      <w:r w:rsidRPr="000413C7">
        <w:rPr>
          <w:color w:val="000000"/>
          <w:lang w:eastAsia="fr-FR"/>
        </w:rPr>
        <w:t>étape</w:t>
      </w:r>
      <w:r w:rsidR="000413C7">
        <w:rPr>
          <w:color w:val="000000"/>
          <w:lang w:eastAsia="fr-FR"/>
        </w:rPr>
        <w:t xml:space="preserve"> de démontage » : </w:t>
      </w:r>
      <w:r>
        <w:rPr>
          <w:color w:val="000000"/>
          <w:lang w:eastAsia="fr-FR"/>
        </w:rPr>
        <w:t>Une étape est une opération qui aboutit à la dépose d’un composant ou d’une pièce ou à un changement d’outil. Un composant peut comprendre une ou plusieurs pièces.</w:t>
      </w:r>
    </w:p>
    <w:p w14:paraId="6BCDC26A" w14:textId="3C2905C1" w:rsidR="00DB0A64" w:rsidRDefault="000413C7" w:rsidP="00DB0A64">
      <w:pPr>
        <w:suppressAutoHyphens w:val="0"/>
        <w:jc w:val="both"/>
      </w:pPr>
      <w:r>
        <w:rPr>
          <w:bCs/>
          <w:color w:val="000000"/>
        </w:rPr>
        <w:t>Ce</w:t>
      </w:r>
      <w:r w:rsidR="00DB0A64">
        <w:rPr>
          <w:bCs/>
          <w:color w:val="000000"/>
        </w:rPr>
        <w:t>tte définition générale peut admettre des exceptions justifiées par des considérations pratiques ou de sécurité. Ces exceptions sont précisées par arrêté du ministre chargé de l’environnement et du ministre chargé de l’économie et des finances pour chaque catégorie d’équipements.</w:t>
      </w:r>
    </w:p>
    <w:p w14:paraId="09809DDD" w14:textId="0CCE8E44" w:rsidR="00DB0A64" w:rsidRDefault="00DB0A64" w:rsidP="00DB0A64">
      <w:pPr>
        <w:suppressAutoHyphens w:val="0"/>
        <w:jc w:val="both"/>
      </w:pPr>
      <w:r>
        <w:rPr>
          <w:bCs/>
          <w:color w:val="000000"/>
        </w:rPr>
        <w:t>Les fixations ou liaisons sont définies comme des techniques d’assemblage, de fixation ou de scellage. Les éléments de fixation ou de liaison ne sont pas considérés comme des pièces.</w:t>
      </w:r>
    </w:p>
    <w:p w14:paraId="2634E660" w14:textId="77777777" w:rsidR="00DB0A64" w:rsidRPr="000413C7" w:rsidRDefault="00DB0A64" w:rsidP="00DB0A64">
      <w:pPr>
        <w:suppressAutoHyphens w:val="0"/>
        <w:jc w:val="both"/>
        <w:rPr>
          <w:bCs/>
          <w:color w:val="000000"/>
        </w:rPr>
      </w:pPr>
    </w:p>
    <w:p w14:paraId="5676C877" w14:textId="1A9AFD26" w:rsidR="00DB0A64" w:rsidRPr="000413C7" w:rsidRDefault="000413C7" w:rsidP="00DB0A64">
      <w:pPr>
        <w:suppressAutoHyphens w:val="0"/>
        <w:jc w:val="both"/>
        <w:rPr>
          <w:color w:val="000000"/>
          <w:lang w:eastAsia="fr-FR"/>
        </w:rPr>
      </w:pPr>
      <w:r w:rsidRPr="000413C7">
        <w:rPr>
          <w:bCs/>
          <w:color w:val="000000"/>
          <w:lang w:eastAsia="fr-FR"/>
        </w:rPr>
        <w:t>(3) « </w:t>
      </w:r>
      <w:r w:rsidRPr="000413C7">
        <w:rPr>
          <w:color w:val="000000"/>
          <w:lang w:eastAsia="fr-FR"/>
        </w:rPr>
        <w:t>t</w:t>
      </w:r>
      <w:r w:rsidR="00DB0A64" w:rsidRPr="000413C7">
        <w:rPr>
          <w:color w:val="000000"/>
          <w:lang w:eastAsia="fr-FR"/>
        </w:rPr>
        <w:t>ypes de fixations</w:t>
      </w:r>
      <w:r w:rsidRPr="000413C7">
        <w:rPr>
          <w:color w:val="000000"/>
          <w:lang w:eastAsia="fr-FR"/>
        </w:rPr>
        <w:t xml:space="preserve"> » : Une fixation peut être caractérisé par sa capacité ou non d’être réutilisable ou amovible. </w:t>
      </w:r>
    </w:p>
    <w:p w14:paraId="46EE68BB" w14:textId="4334A42D" w:rsidR="000413C7" w:rsidRPr="000413C7" w:rsidRDefault="000413C7" w:rsidP="00DB0A64">
      <w:pPr>
        <w:suppressAutoHyphens w:val="0"/>
        <w:jc w:val="both"/>
        <w:rPr>
          <w:color w:val="000000"/>
          <w:lang w:eastAsia="fr-FR"/>
        </w:rPr>
      </w:pPr>
    </w:p>
    <w:p w14:paraId="25F56409" w14:textId="690B815F" w:rsidR="00DB0A64" w:rsidRDefault="000413C7" w:rsidP="00DB0A64">
      <w:pPr>
        <w:suppressAutoHyphens w:val="0"/>
        <w:jc w:val="both"/>
      </w:pPr>
      <w:r w:rsidRPr="000413C7">
        <w:rPr>
          <w:color w:val="000000"/>
          <w:lang w:eastAsia="fr-FR"/>
        </w:rPr>
        <w:t>(4) « fixation</w:t>
      </w:r>
      <w:r>
        <w:rPr>
          <w:b/>
          <w:color w:val="000000"/>
          <w:lang w:eastAsia="fr-FR"/>
        </w:rPr>
        <w:t xml:space="preserve"> </w:t>
      </w:r>
      <w:r w:rsidRPr="000413C7">
        <w:rPr>
          <w:color w:val="000000"/>
          <w:lang w:eastAsia="fr-FR"/>
        </w:rPr>
        <w:t>a</w:t>
      </w:r>
      <w:r w:rsidR="00DB0A64" w:rsidRPr="000413C7">
        <w:rPr>
          <w:color w:val="000000"/>
          <w:lang w:eastAsia="fr-FR"/>
        </w:rPr>
        <w:t>movible</w:t>
      </w:r>
      <w:r w:rsidR="00DB0A64">
        <w:rPr>
          <w:color w:val="000000"/>
          <w:lang w:eastAsia="fr-FR"/>
        </w:rPr>
        <w:t xml:space="preserve"> et réutilisable</w:t>
      </w:r>
      <w:r>
        <w:rPr>
          <w:color w:val="000000"/>
          <w:lang w:eastAsia="fr-FR"/>
        </w:rPr>
        <w:t> »</w:t>
      </w:r>
      <w:r w:rsidR="00DB0A64">
        <w:rPr>
          <w:color w:val="000000"/>
          <w:lang w:eastAsia="fr-FR"/>
        </w:rPr>
        <w:t xml:space="preserve"> : </w:t>
      </w:r>
      <w:r>
        <w:rPr>
          <w:color w:val="000000"/>
          <w:lang w:eastAsia="fr-FR"/>
        </w:rPr>
        <w:t xml:space="preserve">On entend par fixation amovible et réutilisable </w:t>
      </w:r>
      <w:r w:rsidR="00DB0A64">
        <w:rPr>
          <w:color w:val="000000"/>
          <w:lang w:eastAsia="fr-FR"/>
        </w:rPr>
        <w:t>un système de fixations d’origine pouvant être complètement retiré sans causer de dommage à l’équipement ni laisser de résidus et pouvant être réutilisé.</w:t>
      </w:r>
    </w:p>
    <w:p w14:paraId="520B68D6" w14:textId="77777777" w:rsidR="00DB0A64" w:rsidRDefault="00DB0A64" w:rsidP="00DB0A64">
      <w:pPr>
        <w:suppressAutoHyphens w:val="0"/>
        <w:jc w:val="both"/>
        <w:rPr>
          <w:color w:val="000000"/>
          <w:lang w:eastAsia="fr-FR"/>
        </w:rPr>
      </w:pPr>
    </w:p>
    <w:p w14:paraId="1AC1C318" w14:textId="081B71D0" w:rsidR="00DB0A64" w:rsidRDefault="000413C7" w:rsidP="00DB0A64">
      <w:pPr>
        <w:suppressAutoHyphens w:val="0"/>
        <w:jc w:val="both"/>
      </w:pPr>
      <w:r>
        <w:rPr>
          <w:color w:val="000000"/>
          <w:lang w:eastAsia="fr-FR"/>
        </w:rPr>
        <w:t>(5) « fixation a</w:t>
      </w:r>
      <w:r w:rsidR="00DB0A64">
        <w:rPr>
          <w:color w:val="000000"/>
          <w:lang w:eastAsia="fr-FR"/>
        </w:rPr>
        <w:t>movible et non réutilisable</w:t>
      </w:r>
      <w:r>
        <w:rPr>
          <w:color w:val="000000"/>
          <w:lang w:eastAsia="fr-FR"/>
        </w:rPr>
        <w:t> »</w:t>
      </w:r>
      <w:r w:rsidR="00DB0A64">
        <w:rPr>
          <w:color w:val="000000"/>
          <w:lang w:eastAsia="fr-FR"/>
        </w:rPr>
        <w:t> :</w:t>
      </w:r>
      <w:r>
        <w:rPr>
          <w:color w:val="000000"/>
          <w:lang w:eastAsia="fr-FR"/>
        </w:rPr>
        <w:t xml:space="preserve"> On entend par fixation amovible non réutilisable</w:t>
      </w:r>
      <w:r w:rsidR="00DB0A64">
        <w:rPr>
          <w:color w:val="000000"/>
          <w:lang w:eastAsia="fr-FR"/>
        </w:rPr>
        <w:t xml:space="preserve"> un système de fixations d’origine pouvant être complètement retiré sans causer de dommage ni laisser de résidus, mais ne pouvant pas être réutilisé.</w:t>
      </w:r>
    </w:p>
    <w:p w14:paraId="16663208" w14:textId="77777777" w:rsidR="00DB0A64" w:rsidRDefault="00DB0A64" w:rsidP="00DB0A64">
      <w:pPr>
        <w:suppressAutoHyphens w:val="0"/>
        <w:jc w:val="both"/>
        <w:rPr>
          <w:color w:val="000000"/>
          <w:lang w:eastAsia="fr-FR"/>
        </w:rPr>
      </w:pPr>
    </w:p>
    <w:p w14:paraId="699A2D3A" w14:textId="4C522332" w:rsidR="00DB0A64" w:rsidRDefault="000413C7" w:rsidP="00DB0A64">
      <w:pPr>
        <w:suppressAutoHyphens w:val="0"/>
        <w:jc w:val="both"/>
      </w:pPr>
      <w:r>
        <w:rPr>
          <w:color w:val="000000"/>
        </w:rPr>
        <w:t>(6) « fixation n</w:t>
      </w:r>
      <w:r w:rsidR="00DB0A64">
        <w:rPr>
          <w:color w:val="000000"/>
        </w:rPr>
        <w:t>i amovible ni réutilisable</w:t>
      </w:r>
      <w:r>
        <w:rPr>
          <w:color w:val="000000"/>
        </w:rPr>
        <w:t> »</w:t>
      </w:r>
      <w:r w:rsidR="00DB0A64">
        <w:rPr>
          <w:color w:val="000000"/>
        </w:rPr>
        <w:t> :</w:t>
      </w:r>
      <w:r>
        <w:rPr>
          <w:color w:val="000000"/>
        </w:rPr>
        <w:t xml:space="preserve"> On entend par fixation ni amovible ni réutilisable</w:t>
      </w:r>
      <w:r w:rsidR="00DB0A64">
        <w:rPr>
          <w:color w:val="000000"/>
        </w:rPr>
        <w:t xml:space="preserve"> </w:t>
      </w:r>
      <w:r w:rsidR="00DB0A64">
        <w:rPr>
          <w:color w:val="000000"/>
          <w:lang w:eastAsia="fr-FR"/>
        </w:rPr>
        <w:t>un système de fixations d’origine ne pouvant pas être complètement retiré sans causer de dommage à l’équipement ni laisser de résidus et ne pouvant pas être réutilisé.</w:t>
      </w:r>
    </w:p>
    <w:p w14:paraId="5AC5FF7B" w14:textId="77777777" w:rsidR="00DB0A64" w:rsidRDefault="00DB0A64" w:rsidP="00DB0A64">
      <w:pPr>
        <w:suppressAutoHyphens w:val="0"/>
        <w:jc w:val="both"/>
        <w:rPr>
          <w:bCs/>
          <w:color w:val="000000"/>
          <w:lang w:eastAsia="fr-FR"/>
        </w:rPr>
      </w:pPr>
    </w:p>
    <w:p w14:paraId="2247FE46" w14:textId="116E7D47" w:rsidR="000413C7" w:rsidRDefault="000413C7" w:rsidP="000413C7">
      <w:pPr>
        <w:suppressAutoHyphens w:val="0"/>
        <w:jc w:val="both"/>
        <w:rPr>
          <w:color w:val="000000"/>
          <w:lang w:eastAsia="fr-FR"/>
        </w:rPr>
      </w:pPr>
      <w:r w:rsidRPr="000413C7">
        <w:rPr>
          <w:bCs/>
          <w:color w:val="000000"/>
          <w:lang w:eastAsia="fr-FR"/>
        </w:rPr>
        <w:t>(7)</w:t>
      </w:r>
      <w:r>
        <w:rPr>
          <w:b/>
          <w:bCs/>
          <w:color w:val="000000"/>
          <w:lang w:eastAsia="fr-FR"/>
        </w:rPr>
        <w:t xml:space="preserve"> </w:t>
      </w:r>
      <w:r w:rsidRPr="000413C7">
        <w:rPr>
          <w:bCs/>
          <w:color w:val="000000"/>
          <w:lang w:eastAsia="fr-FR"/>
        </w:rPr>
        <w:t>« </w:t>
      </w:r>
      <w:r w:rsidR="00DB0A64" w:rsidRPr="000413C7">
        <w:rPr>
          <w:color w:val="000000"/>
          <w:lang w:eastAsia="fr-FR"/>
        </w:rPr>
        <w:t>Types d’outils</w:t>
      </w:r>
      <w:r w:rsidRPr="000413C7">
        <w:rPr>
          <w:color w:val="000000"/>
          <w:lang w:eastAsia="fr-FR"/>
        </w:rPr>
        <w:t> »</w:t>
      </w:r>
      <w:r>
        <w:rPr>
          <w:color w:val="000000"/>
          <w:lang w:eastAsia="fr-FR"/>
        </w:rPr>
        <w:t xml:space="preserve"> : </w:t>
      </w:r>
      <w:r w:rsidRPr="000413C7">
        <w:rPr>
          <w:color w:val="000000"/>
          <w:lang w:eastAsia="fr-FR"/>
        </w:rPr>
        <w:t>Un</w:t>
      </w:r>
      <w:r>
        <w:rPr>
          <w:color w:val="000000"/>
          <w:lang w:eastAsia="fr-FR"/>
        </w:rPr>
        <w:t xml:space="preserve"> outil peut être commun, spécifique ou propriétaire </w:t>
      </w:r>
    </w:p>
    <w:p w14:paraId="56C8B4BB" w14:textId="6CCA3CA7" w:rsidR="000413C7" w:rsidRDefault="000413C7" w:rsidP="000413C7">
      <w:pPr>
        <w:suppressAutoHyphens w:val="0"/>
        <w:jc w:val="both"/>
        <w:rPr>
          <w:color w:val="000000"/>
          <w:lang w:eastAsia="fr-FR"/>
        </w:rPr>
      </w:pPr>
    </w:p>
    <w:p w14:paraId="5DC31C82" w14:textId="60F1028C" w:rsidR="00782EEA" w:rsidRDefault="000413C7" w:rsidP="00782EEA">
      <w:pPr>
        <w:suppressAutoHyphens w:val="0"/>
        <w:jc w:val="both"/>
      </w:pPr>
      <w:r>
        <w:rPr>
          <w:color w:val="000000"/>
          <w:lang w:eastAsia="fr-FR"/>
        </w:rPr>
        <w:t>(8) « outil commun » :</w:t>
      </w:r>
      <w:r w:rsidR="00782EEA">
        <w:rPr>
          <w:color w:val="000000"/>
          <w:lang w:eastAsia="fr-FR"/>
        </w:rPr>
        <w:t xml:space="preserve"> On entend par outil commun, </w:t>
      </w:r>
      <w:r w:rsidR="00D2465A">
        <w:rPr>
          <w:color w:val="000000"/>
          <w:lang w:eastAsia="fr-FR"/>
        </w:rPr>
        <w:t>un out</w:t>
      </w:r>
      <w:r w:rsidR="00511A37">
        <w:rPr>
          <w:color w:val="000000"/>
          <w:lang w:eastAsia="fr-FR"/>
        </w:rPr>
        <w:t>il disponible dans le commerce parmi la liste établie à la norme technique</w:t>
      </w:r>
      <w:r w:rsidR="00D2465A">
        <w:rPr>
          <w:color w:val="000000"/>
          <w:lang w:eastAsia="fr-FR"/>
        </w:rPr>
        <w:t xml:space="preserve"> EN 45554</w:t>
      </w:r>
    </w:p>
    <w:p w14:paraId="2129930D" w14:textId="77777777" w:rsidR="00782EEA" w:rsidRDefault="00782EEA" w:rsidP="00782EEA">
      <w:pPr>
        <w:pStyle w:val="Tabletitle"/>
        <w:spacing w:before="0" w:after="0" w:line="240" w:lineRule="auto"/>
        <w:jc w:val="left"/>
        <w:rPr>
          <w:rFonts w:ascii="Times New Roman" w:hAnsi="Times New Roman"/>
          <w:color w:val="000000"/>
          <w:sz w:val="24"/>
          <w:lang w:val="fr-FR" w:eastAsia="fr-FR"/>
        </w:rPr>
      </w:pPr>
    </w:p>
    <w:p w14:paraId="0C052850" w14:textId="1DAD23E8" w:rsidR="000413C7" w:rsidRDefault="000413C7" w:rsidP="000413C7">
      <w:pPr>
        <w:suppressAutoHyphens w:val="0"/>
        <w:jc w:val="both"/>
        <w:rPr>
          <w:color w:val="000000"/>
          <w:lang w:eastAsia="fr-FR"/>
        </w:rPr>
      </w:pPr>
    </w:p>
    <w:p w14:paraId="353247C5" w14:textId="43B65A8E" w:rsidR="000413C7" w:rsidRPr="000413C7" w:rsidRDefault="000413C7" w:rsidP="000413C7">
      <w:pPr>
        <w:suppressAutoHyphens w:val="0"/>
        <w:jc w:val="both"/>
        <w:rPr>
          <w:color w:val="000000"/>
          <w:lang w:eastAsia="fr-FR"/>
        </w:rPr>
      </w:pPr>
      <w:r>
        <w:rPr>
          <w:color w:val="000000"/>
          <w:lang w:eastAsia="fr-FR"/>
        </w:rPr>
        <w:t>(9) « outil spécifique » :</w:t>
      </w:r>
      <w:r w:rsidR="00782EEA">
        <w:rPr>
          <w:color w:val="000000"/>
          <w:lang w:eastAsia="fr-FR"/>
        </w:rPr>
        <w:t xml:space="preserve"> On entend par outil spécifique des outils qui ne figurent pas dans la liste des outils communs, sans être des outils propriétaires.</w:t>
      </w:r>
    </w:p>
    <w:p w14:paraId="78E703B9" w14:textId="5621DA33" w:rsidR="00DB0A64" w:rsidRDefault="00DB0A64" w:rsidP="00DB0A64">
      <w:pPr>
        <w:suppressAutoHyphens w:val="0"/>
        <w:jc w:val="both"/>
      </w:pPr>
    </w:p>
    <w:p w14:paraId="42A6E239" w14:textId="7BF9AE9F" w:rsidR="000413C7" w:rsidRPr="000413C7" w:rsidRDefault="000413C7" w:rsidP="000413C7">
      <w:pPr>
        <w:suppressAutoHyphens w:val="0"/>
        <w:jc w:val="both"/>
        <w:rPr>
          <w:color w:val="000000"/>
          <w:lang w:eastAsia="fr-FR"/>
        </w:rPr>
      </w:pPr>
      <w:r>
        <w:rPr>
          <w:color w:val="000000"/>
          <w:lang w:eastAsia="fr-FR"/>
        </w:rPr>
        <w:t>(10) « outil propriétaire » :</w:t>
      </w:r>
      <w:r w:rsidR="00782EEA">
        <w:rPr>
          <w:color w:val="000000"/>
          <w:lang w:eastAsia="fr-FR"/>
        </w:rPr>
        <w:t xml:space="preserve"> On entend par outil propriétaire des outils dont la propriété intellectuelle est détenue par le producteur ou un acteur spécifique.</w:t>
      </w:r>
    </w:p>
    <w:p w14:paraId="6BBCBCE1" w14:textId="77777777" w:rsidR="000413C7" w:rsidRDefault="000413C7" w:rsidP="00DB0A64">
      <w:pPr>
        <w:suppressAutoHyphens w:val="0"/>
        <w:jc w:val="both"/>
      </w:pPr>
    </w:p>
    <w:p w14:paraId="468BBE3B" w14:textId="0A2DCA73" w:rsidR="00DB0A64" w:rsidRPr="00782EEA" w:rsidRDefault="00782EEA" w:rsidP="00DB0A64">
      <w:pPr>
        <w:suppressAutoHyphens w:val="0"/>
        <w:jc w:val="both"/>
        <w:rPr>
          <w:color w:val="000000"/>
          <w:lang w:eastAsia="fr-FR"/>
        </w:rPr>
      </w:pPr>
      <w:r>
        <w:rPr>
          <w:color w:val="000000"/>
          <w:lang w:eastAsia="fr-FR"/>
        </w:rPr>
        <w:t>(11) « compteur d’usage » : On entend par compteur d’usage un d</w:t>
      </w:r>
      <w:r w:rsidR="00DB0A64">
        <w:rPr>
          <w:color w:val="000000"/>
          <w:lang w:eastAsia="fr-FR"/>
        </w:rPr>
        <w:t xml:space="preserve">ispositif qui enregistre de façon cumulative l’usage de l’équipement en nombre d’unités. Le compteur d’usage peut être visible directement par le consommateur lors de chaque mise en route de l’appareil ou nécessiter une </w:t>
      </w:r>
      <w:r w:rsidR="00DB0A64">
        <w:rPr>
          <w:color w:val="000000"/>
          <w:lang w:eastAsia="fr-FR"/>
        </w:rPr>
        <w:lastRenderedPageBreak/>
        <w:t>opération volontaire de la part de l’utilisateur pour prendre connaissance de la valeur affichée par le compteur d’usage.</w:t>
      </w:r>
    </w:p>
    <w:p w14:paraId="4F68E434" w14:textId="6B9C78B8" w:rsidR="00782EEA" w:rsidRDefault="00782EEA">
      <w:pPr>
        <w:suppressAutoHyphens w:val="0"/>
        <w:rPr>
          <w:b/>
          <w:color w:val="000000"/>
        </w:rPr>
      </w:pPr>
      <w:r>
        <w:rPr>
          <w:b/>
          <w:color w:val="000000"/>
        </w:rPr>
        <w:br w:type="page"/>
      </w:r>
    </w:p>
    <w:p w14:paraId="322B9FD5" w14:textId="7D69A952" w:rsidR="005A2237" w:rsidRPr="00DB0A64" w:rsidRDefault="00782EEA" w:rsidP="00DB0A64">
      <w:pPr>
        <w:pStyle w:val="SNSignatureGauche0"/>
        <w:spacing w:before="0" w:after="0"/>
        <w:ind w:left="0" w:right="0" w:firstLine="0"/>
        <w:jc w:val="center"/>
        <w:rPr>
          <w:color w:val="000000"/>
        </w:rPr>
      </w:pPr>
      <w:r>
        <w:rPr>
          <w:b/>
          <w:color w:val="000000"/>
        </w:rPr>
        <w:lastRenderedPageBreak/>
        <w:t>Annexe II</w:t>
      </w:r>
      <w:r w:rsidR="003B7692">
        <w:rPr>
          <w:b/>
          <w:color w:val="000000"/>
        </w:rPr>
        <w:br/>
      </w:r>
      <w:r w:rsidR="003B7692">
        <w:rPr>
          <w:color w:val="000000"/>
        </w:rPr>
        <w:br/>
      </w:r>
      <w:r w:rsidR="005A2237" w:rsidRPr="005A2237">
        <w:rPr>
          <w:b/>
          <w:color w:val="000000"/>
          <w:u w:val="single"/>
        </w:rPr>
        <w:t>Famille de critères A – Réparabilité</w:t>
      </w:r>
    </w:p>
    <w:p w14:paraId="4E9F6A19" w14:textId="0C239633" w:rsidR="005A2237" w:rsidRDefault="005A2237">
      <w:pPr>
        <w:pStyle w:val="SNSignatureGauche0"/>
        <w:spacing w:before="0" w:after="0"/>
        <w:ind w:left="0" w:right="0" w:firstLine="0"/>
        <w:jc w:val="both"/>
        <w:rPr>
          <w:b/>
          <w:color w:val="000000"/>
        </w:rPr>
      </w:pPr>
    </w:p>
    <w:p w14:paraId="4C45D554" w14:textId="372FC282" w:rsidR="00DB0A64" w:rsidRDefault="00DB0A64">
      <w:pPr>
        <w:pStyle w:val="SNSignatureGauche0"/>
        <w:spacing w:before="0" w:after="0"/>
        <w:ind w:left="0" w:right="0" w:firstLine="0"/>
        <w:jc w:val="both"/>
        <w:rPr>
          <w:color w:val="000000"/>
        </w:rPr>
      </w:pPr>
      <w:r w:rsidRPr="00DB0A64">
        <w:rPr>
          <w:color w:val="000000"/>
        </w:rPr>
        <w:t>La note de la famille de critères relat</w:t>
      </w:r>
      <w:r w:rsidR="00782EEA">
        <w:rPr>
          <w:color w:val="000000"/>
        </w:rPr>
        <w:t xml:space="preserve">ive à la réparabilité est </w:t>
      </w:r>
      <w:r w:rsidRPr="00DB0A64">
        <w:rPr>
          <w:color w:val="000000"/>
        </w:rPr>
        <w:t>déterm</w:t>
      </w:r>
      <w:r w:rsidR="00782EEA">
        <w:rPr>
          <w:color w:val="000000"/>
        </w:rPr>
        <w:t>inée selon les critères ci-dessous</w:t>
      </w:r>
      <w:r w:rsidRPr="00DB0A64">
        <w:rPr>
          <w:color w:val="000000"/>
        </w:rPr>
        <w:t xml:space="preserve">. </w:t>
      </w:r>
    </w:p>
    <w:p w14:paraId="2CFCF9F8" w14:textId="14820F3E" w:rsidR="00DB0A64" w:rsidRPr="00DB0A64" w:rsidRDefault="00DB0A64">
      <w:pPr>
        <w:pStyle w:val="SNSignatureGauche0"/>
        <w:spacing w:before="0" w:after="0"/>
        <w:ind w:left="0" w:right="0" w:firstLine="0"/>
        <w:jc w:val="both"/>
        <w:rPr>
          <w:color w:val="000000"/>
        </w:rPr>
      </w:pPr>
      <w:r>
        <w:rPr>
          <w:color w:val="000000"/>
        </w:rPr>
        <w:t>Les liste</w:t>
      </w:r>
      <w:r w:rsidR="00782EEA">
        <w:rPr>
          <w:color w:val="000000"/>
        </w:rPr>
        <w:t>s de pièces détachées</w:t>
      </w:r>
      <w:r>
        <w:rPr>
          <w:color w:val="000000"/>
        </w:rPr>
        <w:t xml:space="preserve"> et les sous critères sont précisés pour chaque catégorie concernées </w:t>
      </w:r>
    </w:p>
    <w:p w14:paraId="24B9EF71" w14:textId="77777777" w:rsidR="00DB0A64" w:rsidRDefault="00DB0A64">
      <w:pPr>
        <w:pStyle w:val="SNSignatureGauche0"/>
        <w:spacing w:before="0" w:after="0"/>
        <w:ind w:left="0" w:right="0" w:firstLine="0"/>
        <w:jc w:val="both"/>
        <w:rPr>
          <w:b/>
          <w:color w:val="000000"/>
        </w:rPr>
      </w:pPr>
    </w:p>
    <w:p w14:paraId="54B61201" w14:textId="77777777" w:rsidR="00A14553" w:rsidRDefault="003B7692">
      <w:pPr>
        <w:pStyle w:val="SNSignatureGauche0"/>
        <w:spacing w:before="0" w:after="0"/>
        <w:ind w:left="0" w:right="0" w:firstLine="0"/>
        <w:jc w:val="both"/>
      </w:pPr>
      <w:r>
        <w:rPr>
          <w:b/>
          <w:color w:val="000000"/>
        </w:rPr>
        <w:t>Critère n°1 – Documentation :</w:t>
      </w:r>
    </w:p>
    <w:p w14:paraId="67DD90CB" w14:textId="79BC0BC5" w:rsidR="00A14553" w:rsidRDefault="00C81F63">
      <w:pPr>
        <w:pStyle w:val="SNSignatureGauche0"/>
        <w:spacing w:before="0" w:after="0"/>
        <w:ind w:left="0" w:right="0" w:firstLine="0"/>
        <w:jc w:val="both"/>
      </w:pPr>
      <w:r>
        <w:rPr>
          <w:b/>
          <w:color w:val="000000"/>
        </w:rPr>
        <w:br/>
        <w:t>Sous critère 1.1 -</w:t>
      </w:r>
      <w:r w:rsidR="003B7692">
        <w:rPr>
          <w:b/>
          <w:color w:val="000000"/>
        </w:rPr>
        <w:t xml:space="preserve"> Durée de disponibilité de la documentation technique</w:t>
      </w:r>
      <w:r>
        <w:rPr>
          <w:b/>
          <w:color w:val="000000"/>
        </w:rPr>
        <w:t> :</w:t>
      </w:r>
    </w:p>
    <w:p w14:paraId="3A08B32F" w14:textId="66DA1676" w:rsidR="005A2237" w:rsidRDefault="003B7692">
      <w:pPr>
        <w:pStyle w:val="SNSignatureGauche0"/>
        <w:spacing w:before="0" w:after="0"/>
        <w:ind w:left="0" w:right="0" w:firstLine="0"/>
        <w:jc w:val="both"/>
        <w:rPr>
          <w:color w:val="000000"/>
        </w:rPr>
      </w:pPr>
      <w:r>
        <w:rPr>
          <w:color w:val="000000"/>
        </w:rPr>
        <w:t xml:space="preserve">Déterminé par l’engagement du producteur à rendre disponibles </w:t>
      </w:r>
      <w:r w:rsidR="00C81F63">
        <w:rPr>
          <w:color w:val="000000"/>
        </w:rPr>
        <w:t>sans frais</w:t>
      </w:r>
      <w:r>
        <w:rPr>
          <w:color w:val="000000"/>
        </w:rPr>
        <w:t xml:space="preserve">, en nombre d’années, des documents techniques auprès des réparateurs agréés et indépendants et auprès des consommateurs </w:t>
      </w:r>
    </w:p>
    <w:p w14:paraId="7ACEDA14" w14:textId="77777777" w:rsidR="005A2237" w:rsidRDefault="005A2237">
      <w:pPr>
        <w:pStyle w:val="SNSignatureGauche0"/>
        <w:spacing w:before="0" w:after="0"/>
        <w:ind w:left="0" w:right="0" w:firstLine="0"/>
        <w:jc w:val="both"/>
        <w:rPr>
          <w:color w:val="000000"/>
        </w:rPr>
      </w:pPr>
    </w:p>
    <w:p w14:paraId="6C912075" w14:textId="02257660" w:rsidR="005A2237" w:rsidRDefault="005A2237" w:rsidP="005A2237">
      <w:pPr>
        <w:pStyle w:val="SNSignatureGauche0"/>
        <w:spacing w:before="0" w:after="0"/>
        <w:ind w:left="0" w:right="0" w:firstLine="0"/>
        <w:jc w:val="both"/>
      </w:pPr>
      <w:r>
        <w:rPr>
          <w:b/>
          <w:color w:val="000000"/>
        </w:rPr>
        <w:t>Sous critère 1.2</w:t>
      </w:r>
      <w:r w:rsidR="00374D85">
        <w:rPr>
          <w:b/>
          <w:color w:val="000000"/>
        </w:rPr>
        <w:t> </w:t>
      </w:r>
      <w:r w:rsidR="00C81F63">
        <w:rPr>
          <w:b/>
          <w:color w:val="000000"/>
        </w:rPr>
        <w:t>-</w:t>
      </w:r>
      <w:r w:rsidR="00C81F63" w:rsidRPr="00C81F63">
        <w:t xml:space="preserve"> </w:t>
      </w:r>
      <w:r w:rsidR="00C81F63" w:rsidRPr="00C81F63">
        <w:rPr>
          <w:b/>
          <w:color w:val="000000"/>
        </w:rPr>
        <w:t>Accompagnement du consommateur pour le</w:t>
      </w:r>
      <w:r w:rsidR="00C81F63">
        <w:rPr>
          <w:b/>
          <w:color w:val="000000"/>
        </w:rPr>
        <w:t xml:space="preserve"> diagnostic et la réparation :</w:t>
      </w:r>
    </w:p>
    <w:p w14:paraId="169717A0" w14:textId="4553E87D" w:rsidR="005A2237" w:rsidRDefault="005A2237" w:rsidP="005A2237">
      <w:pPr>
        <w:pStyle w:val="SNSignatureGauche0"/>
        <w:spacing w:before="0" w:after="0"/>
        <w:ind w:left="0" w:right="0" w:firstLine="0"/>
        <w:jc w:val="both"/>
        <w:rPr>
          <w:color w:val="000000"/>
        </w:rPr>
      </w:pPr>
      <w:r>
        <w:rPr>
          <w:color w:val="000000"/>
        </w:rPr>
        <w:t>Déterminé par l’engagement du producte</w:t>
      </w:r>
      <w:r w:rsidR="00C81F63">
        <w:rPr>
          <w:color w:val="000000"/>
        </w:rPr>
        <w:t xml:space="preserve">ur à rendre disponibles sans frais des documents spécifiques pour que le consommateur répare lui-même l’équipement ainsi que la mise en place d’une assistance à distance sans frais. </w:t>
      </w:r>
    </w:p>
    <w:p w14:paraId="5CE8B4C9" w14:textId="4567B9A8" w:rsidR="00A14553" w:rsidRDefault="00A14553">
      <w:pPr>
        <w:pStyle w:val="SNSignatureGauche0"/>
        <w:spacing w:before="0" w:after="0"/>
        <w:ind w:left="0" w:right="0" w:firstLine="0"/>
        <w:jc w:val="left"/>
        <w:rPr>
          <w:b/>
          <w:color w:val="000000"/>
        </w:rPr>
      </w:pPr>
    </w:p>
    <w:p w14:paraId="2365C6E8" w14:textId="77777777" w:rsidR="00872DE4" w:rsidRDefault="00872DE4">
      <w:pPr>
        <w:pStyle w:val="SNSignatureGauche0"/>
        <w:spacing w:before="0" w:after="0"/>
        <w:ind w:left="0" w:right="0" w:firstLine="0"/>
        <w:jc w:val="left"/>
        <w:rPr>
          <w:b/>
          <w:color w:val="000000"/>
        </w:rPr>
      </w:pPr>
    </w:p>
    <w:p w14:paraId="666C6ACB" w14:textId="77777777" w:rsidR="00A14553" w:rsidRDefault="003B7692">
      <w:pPr>
        <w:suppressAutoHyphens w:val="0"/>
        <w:jc w:val="both"/>
      </w:pPr>
      <w:r>
        <w:rPr>
          <w:b/>
          <w:color w:val="000000"/>
          <w:lang w:eastAsia="fr-FR"/>
        </w:rPr>
        <w:t>Critère n°2 – Démontabilité et accès, outils, fixations :</w:t>
      </w:r>
    </w:p>
    <w:p w14:paraId="6849DD89" w14:textId="77777777" w:rsidR="00A14553" w:rsidRDefault="00A14553">
      <w:pPr>
        <w:suppressAutoHyphens w:val="0"/>
        <w:jc w:val="both"/>
        <w:rPr>
          <w:b/>
          <w:color w:val="000000"/>
          <w:lang w:eastAsia="fr-FR"/>
        </w:rPr>
      </w:pPr>
    </w:p>
    <w:p w14:paraId="74C4D145" w14:textId="77777777" w:rsidR="00A14553" w:rsidRDefault="003B7692">
      <w:pPr>
        <w:suppressAutoHyphens w:val="0"/>
        <w:jc w:val="both"/>
      </w:pPr>
      <w:r>
        <w:rPr>
          <w:b/>
          <w:color w:val="000000"/>
          <w:lang w:eastAsia="fr-FR"/>
        </w:rPr>
        <w:t>Sous-critère 2.1. Facilité de démontage des pièces de la liste 2 :</w:t>
      </w:r>
    </w:p>
    <w:p w14:paraId="3D9D319D" w14:textId="77777777" w:rsidR="00A14553" w:rsidRDefault="003B7692">
      <w:pPr>
        <w:suppressAutoHyphens w:val="0"/>
        <w:jc w:val="both"/>
      </w:pPr>
      <w:r>
        <w:rPr>
          <w:color w:val="000000"/>
          <w:lang w:eastAsia="fr-FR"/>
        </w:rPr>
        <w:t>Déterminé par le nombre d’étapes de démontage permettant, pour chaque pièce de la liste 2, d’accéder unitairement à cette pièce et de la désolidariser de l’équipement, en vue de son remplacement. Un lien est établi entre la notation de ce sous-critère et celle du sous-critère 3.1, dans le cas où une pièce n’est pas démontable : la note zéro se répercute alors d’un sous-critère à l’autre.</w:t>
      </w:r>
    </w:p>
    <w:p w14:paraId="52851D17" w14:textId="77777777" w:rsidR="00A14553" w:rsidRDefault="00A14553">
      <w:pPr>
        <w:suppressAutoHyphens w:val="0"/>
        <w:jc w:val="both"/>
        <w:rPr>
          <w:color w:val="000000"/>
          <w:lang w:eastAsia="fr-FR"/>
        </w:rPr>
      </w:pPr>
    </w:p>
    <w:p w14:paraId="57B9D904" w14:textId="77777777" w:rsidR="00A14553" w:rsidRDefault="003B7692">
      <w:pPr>
        <w:suppressAutoHyphens w:val="0"/>
        <w:jc w:val="both"/>
      </w:pPr>
      <w:r>
        <w:rPr>
          <w:b/>
          <w:color w:val="000000"/>
          <w:lang w:eastAsia="fr-FR"/>
        </w:rPr>
        <w:t>Sous-critère 2.2. Outils nécessaires :</w:t>
      </w:r>
    </w:p>
    <w:p w14:paraId="0FC74A3E" w14:textId="77777777" w:rsidR="00A14553" w:rsidRDefault="003B7692">
      <w:pPr>
        <w:suppressAutoHyphens w:val="0"/>
        <w:jc w:val="both"/>
      </w:pPr>
      <w:r>
        <w:rPr>
          <w:color w:val="000000"/>
          <w:lang w:eastAsia="fr-FR"/>
        </w:rPr>
        <w:t>Déterminé par le type d’outils nécessaires au démontage de chaque pièce de la liste 2, selon la typologie distinguant les outils « communs », « spécifiques » ou « propriétaires ».</w:t>
      </w:r>
    </w:p>
    <w:p w14:paraId="6B77F38E" w14:textId="77777777" w:rsidR="00A14553" w:rsidRDefault="00A14553">
      <w:pPr>
        <w:suppressAutoHyphens w:val="0"/>
        <w:jc w:val="both"/>
        <w:rPr>
          <w:color w:val="000000"/>
          <w:lang w:eastAsia="fr-FR"/>
        </w:rPr>
      </w:pPr>
    </w:p>
    <w:p w14:paraId="73C76FEA" w14:textId="77777777" w:rsidR="00A14553" w:rsidRDefault="003B7692">
      <w:pPr>
        <w:suppressAutoHyphens w:val="0"/>
        <w:jc w:val="both"/>
      </w:pPr>
      <w:r>
        <w:rPr>
          <w:b/>
          <w:color w:val="000000"/>
          <w:lang w:eastAsia="fr-FR"/>
        </w:rPr>
        <w:t>Sous-critère 2.3. Caractéristiques des fixations :</w:t>
      </w:r>
    </w:p>
    <w:p w14:paraId="451D6269" w14:textId="0744EF49" w:rsidR="00A14553" w:rsidRDefault="003B7692">
      <w:pPr>
        <w:suppressAutoHyphens w:val="0"/>
        <w:jc w:val="both"/>
      </w:pPr>
      <w:r>
        <w:rPr>
          <w:color w:val="000000"/>
          <w:lang w:eastAsia="fr-FR"/>
        </w:rPr>
        <w:t>Déterminé, pour chaque pièce des listes 1 et 2, par le type des fixations assurant leur assemblage aux autres pièces de l’équipement, selon la typologie distinguant les fixations « amovibles    et réutilisables », « amovibles et no</w:t>
      </w:r>
      <w:r w:rsidR="00782EEA">
        <w:rPr>
          <w:color w:val="000000"/>
          <w:lang w:eastAsia="fr-FR"/>
        </w:rPr>
        <w:t>n réutilisables </w:t>
      </w:r>
      <w:r>
        <w:rPr>
          <w:color w:val="000000"/>
          <w:lang w:eastAsia="fr-FR"/>
        </w:rPr>
        <w:t>», ou « ni amovibles ni réutilisables  ».</w:t>
      </w:r>
    </w:p>
    <w:p w14:paraId="13554079" w14:textId="77777777" w:rsidR="00A14553" w:rsidRDefault="00A14553">
      <w:pPr>
        <w:suppressAutoHyphens w:val="0"/>
        <w:jc w:val="both"/>
        <w:rPr>
          <w:color w:val="000000"/>
          <w:lang w:eastAsia="fr-FR"/>
        </w:rPr>
      </w:pPr>
    </w:p>
    <w:p w14:paraId="48970BC4" w14:textId="77777777" w:rsidR="00A14553" w:rsidRDefault="003B7692">
      <w:pPr>
        <w:suppressAutoHyphens w:val="0"/>
      </w:pPr>
      <w:r>
        <w:rPr>
          <w:b/>
          <w:color w:val="000000"/>
          <w:lang w:eastAsia="fr-FR"/>
        </w:rPr>
        <w:t>Critère n°3 – Disponibilité des pièces détachées :</w:t>
      </w:r>
    </w:p>
    <w:p w14:paraId="65AB45AD" w14:textId="77777777" w:rsidR="00A14553" w:rsidRDefault="00A14553">
      <w:pPr>
        <w:suppressAutoHyphens w:val="0"/>
        <w:rPr>
          <w:b/>
          <w:color w:val="000000"/>
          <w:lang w:eastAsia="fr-FR"/>
        </w:rPr>
      </w:pPr>
    </w:p>
    <w:p w14:paraId="769CF821" w14:textId="77777777" w:rsidR="00A14553" w:rsidRDefault="003B7692">
      <w:pPr>
        <w:suppressAutoHyphens w:val="0"/>
      </w:pPr>
      <w:r>
        <w:rPr>
          <w:b/>
          <w:color w:val="000000"/>
          <w:lang w:eastAsia="fr-FR"/>
        </w:rPr>
        <w:t>Sous-critère 3.1. Durée de disponibilité des pièces de la liste 2 :</w:t>
      </w:r>
    </w:p>
    <w:p w14:paraId="7EE7F49C" w14:textId="77777777" w:rsidR="00A14553" w:rsidRDefault="003B7692">
      <w:pPr>
        <w:suppressAutoHyphens w:val="0"/>
        <w:jc w:val="both"/>
      </w:pPr>
      <w:r>
        <w:rPr>
          <w:color w:val="000000"/>
          <w:lang w:eastAsia="fr-FR"/>
        </w:rPr>
        <w:t xml:space="preserve">Déterminé par l’engagement du producteur à rendre disponibles, en nombre d’années, les pièces de la liste 2, auprès des distributeurs en pièces détachées, des réparateurs agréés et indépendants et auprès des consommateurs, </w:t>
      </w:r>
      <w:r>
        <w:rPr>
          <w:color w:val="000000"/>
        </w:rPr>
        <w:t>à partir de la mise sur le marché de la dernière unité</w:t>
      </w:r>
      <w:r>
        <w:rPr>
          <w:color w:val="000000"/>
          <w:lang w:eastAsia="fr-FR"/>
        </w:rPr>
        <w:t>.</w:t>
      </w:r>
    </w:p>
    <w:p w14:paraId="239FF0CC" w14:textId="77777777" w:rsidR="00A14553" w:rsidRDefault="00A14553">
      <w:pPr>
        <w:suppressAutoHyphens w:val="0"/>
        <w:rPr>
          <w:b/>
          <w:color w:val="000000"/>
          <w:lang w:eastAsia="fr-FR"/>
        </w:rPr>
      </w:pPr>
    </w:p>
    <w:p w14:paraId="49E579C8" w14:textId="77777777" w:rsidR="00A14553" w:rsidRDefault="003B7692">
      <w:pPr>
        <w:suppressAutoHyphens w:val="0"/>
      </w:pPr>
      <w:r>
        <w:rPr>
          <w:b/>
          <w:color w:val="000000"/>
          <w:lang w:eastAsia="fr-FR"/>
        </w:rPr>
        <w:t>Sous-critère 3.2. Durée de disponibilité des pièces de la liste 1 :</w:t>
      </w:r>
    </w:p>
    <w:p w14:paraId="037DC5ED" w14:textId="77777777" w:rsidR="00A14553" w:rsidRDefault="003B7692">
      <w:pPr>
        <w:suppressAutoHyphens w:val="0"/>
        <w:jc w:val="both"/>
      </w:pPr>
      <w:r>
        <w:rPr>
          <w:color w:val="000000"/>
          <w:lang w:eastAsia="fr-FR"/>
        </w:rPr>
        <w:t xml:space="preserve">Déterminé par l’engagement du producteur à rendre disponible, en nombre d’années, les pièces de la liste 1, auprès des distributeurs en pièces détachées, des réparateurs agréés et indépendants et auprès des consommateurs, </w:t>
      </w:r>
      <w:r>
        <w:rPr>
          <w:color w:val="000000"/>
        </w:rPr>
        <w:t>à partir de la mise sur le marché de la dernière unité</w:t>
      </w:r>
      <w:r>
        <w:rPr>
          <w:color w:val="000000"/>
          <w:lang w:eastAsia="fr-FR"/>
        </w:rPr>
        <w:t>.</w:t>
      </w:r>
    </w:p>
    <w:p w14:paraId="0B1EC787" w14:textId="77777777" w:rsidR="00A14553" w:rsidRDefault="00A14553">
      <w:pPr>
        <w:suppressAutoHyphens w:val="0"/>
        <w:rPr>
          <w:color w:val="000000"/>
          <w:lang w:eastAsia="fr-FR"/>
        </w:rPr>
      </w:pPr>
    </w:p>
    <w:p w14:paraId="36D942E3" w14:textId="77777777" w:rsidR="00A14553" w:rsidRDefault="003B7692">
      <w:pPr>
        <w:suppressAutoHyphens w:val="0"/>
      </w:pPr>
      <w:r>
        <w:rPr>
          <w:b/>
          <w:color w:val="000000"/>
          <w:lang w:eastAsia="fr-FR"/>
        </w:rPr>
        <w:lastRenderedPageBreak/>
        <w:t>Sous-critère 3.3. Délai de livraison des pièces de la liste 2 :</w:t>
      </w:r>
    </w:p>
    <w:p w14:paraId="47E7C4D3" w14:textId="77777777" w:rsidR="00A14553" w:rsidRDefault="003B7692">
      <w:pPr>
        <w:suppressAutoHyphens w:val="0"/>
        <w:jc w:val="both"/>
      </w:pPr>
      <w:r>
        <w:rPr>
          <w:color w:val="000000"/>
          <w:lang w:eastAsia="fr-FR"/>
        </w:rPr>
        <w:t>Déterminé par l’engagement du producteur à respecter un délai de livraison, en nombre de jours ouvrables à compter du jour de la commande, des pièces de la liste 2, auprès des distributeurs en pièces détachées, des réparateurs agréés et indépendants et auprès des consommateurs.</w:t>
      </w:r>
    </w:p>
    <w:p w14:paraId="21769BA2" w14:textId="77777777" w:rsidR="00A14553" w:rsidRDefault="00A14553">
      <w:pPr>
        <w:suppressAutoHyphens w:val="0"/>
        <w:rPr>
          <w:color w:val="000000"/>
          <w:lang w:eastAsia="fr-FR"/>
        </w:rPr>
      </w:pPr>
    </w:p>
    <w:p w14:paraId="5E3D6C8B" w14:textId="77777777" w:rsidR="00A14553" w:rsidRDefault="003B7692">
      <w:pPr>
        <w:suppressAutoHyphens w:val="0"/>
      </w:pPr>
      <w:r>
        <w:rPr>
          <w:b/>
          <w:color w:val="000000"/>
          <w:lang w:eastAsia="fr-FR"/>
        </w:rPr>
        <w:t>Sous-critère 3.4. Délai de livraison des pièces de la liste 1 :</w:t>
      </w:r>
    </w:p>
    <w:p w14:paraId="7579F067" w14:textId="77777777" w:rsidR="00A14553" w:rsidRDefault="003B7692">
      <w:pPr>
        <w:suppressAutoHyphens w:val="0"/>
        <w:jc w:val="both"/>
      </w:pPr>
      <w:r>
        <w:rPr>
          <w:color w:val="000000"/>
          <w:lang w:eastAsia="fr-FR"/>
        </w:rPr>
        <w:t>Déterminé par l’engagement du producteur à respecter un délai de livraison, en nombre de jours ouvrables à compter du jour de la commande, des pièces de la liste 1, auprès des distributeurs en pièces détachées, des réparateurs agréés et indépendants et auprès des consommateurs.</w:t>
      </w:r>
    </w:p>
    <w:p w14:paraId="62088C70" w14:textId="77777777" w:rsidR="00A14553" w:rsidRDefault="00A14553">
      <w:pPr>
        <w:suppressAutoHyphens w:val="0"/>
        <w:jc w:val="both"/>
        <w:rPr>
          <w:b/>
          <w:color w:val="000000"/>
          <w:lang w:eastAsia="fr-FR"/>
        </w:rPr>
      </w:pPr>
    </w:p>
    <w:p w14:paraId="7D00899D" w14:textId="77777777" w:rsidR="00A14553" w:rsidRDefault="003B7692">
      <w:pPr>
        <w:suppressAutoHyphens w:val="0"/>
        <w:jc w:val="both"/>
      </w:pPr>
      <w:r>
        <w:rPr>
          <w:b/>
          <w:color w:val="000000"/>
          <w:lang w:eastAsia="fr-FR"/>
        </w:rPr>
        <w:t>Critère n°4 – Prix des pièces détachées :</w:t>
      </w:r>
    </w:p>
    <w:p w14:paraId="18AC3F94" w14:textId="77777777" w:rsidR="00A14553" w:rsidRDefault="00A14553">
      <w:pPr>
        <w:suppressAutoHyphens w:val="0"/>
        <w:jc w:val="both"/>
        <w:rPr>
          <w:b/>
          <w:color w:val="000000"/>
          <w:lang w:eastAsia="fr-FR"/>
        </w:rPr>
      </w:pPr>
    </w:p>
    <w:p w14:paraId="231639E1" w14:textId="77777777" w:rsidR="00667988" w:rsidRDefault="003B7692">
      <w:pPr>
        <w:suppressAutoHyphens w:val="0"/>
        <w:jc w:val="both"/>
        <w:rPr>
          <w:b/>
          <w:color w:val="000000"/>
        </w:rPr>
      </w:pPr>
      <w:r>
        <w:rPr>
          <w:b/>
          <w:color w:val="000000"/>
          <w:lang w:eastAsia="fr-FR"/>
        </w:rPr>
        <w:t xml:space="preserve">Sous-critère 4.1. </w:t>
      </w:r>
      <w:r>
        <w:rPr>
          <w:b/>
          <w:color w:val="000000"/>
        </w:rPr>
        <w:t>Rapport entre le prix de vente des pièces par le producteur ou l’importateur et le prix de vente des équipements par le producteur ou l’importateur :</w:t>
      </w:r>
    </w:p>
    <w:p w14:paraId="230FC7D7" w14:textId="1ACA128C" w:rsidR="00A14553" w:rsidRDefault="003B7692">
      <w:pPr>
        <w:suppressAutoHyphens w:val="0"/>
        <w:jc w:val="both"/>
        <w:rPr>
          <w:color w:val="000000"/>
        </w:rPr>
      </w:pPr>
      <w:r>
        <w:rPr>
          <w:color w:val="000000"/>
        </w:rPr>
        <w:br/>
        <w:t xml:space="preserve">Le critère </w:t>
      </w:r>
      <w:r w:rsidR="00667988">
        <w:rPr>
          <w:color w:val="000000"/>
        </w:rPr>
        <w:t xml:space="preserve">est établi en faisant le rapport entre le « prix_pièces » et le « prix_équipement ». </w:t>
      </w:r>
    </w:p>
    <w:p w14:paraId="393D1DC6" w14:textId="77777777" w:rsidR="00667988" w:rsidRDefault="00667988">
      <w:pPr>
        <w:suppressAutoHyphens w:val="0"/>
        <w:jc w:val="both"/>
        <w:rPr>
          <w:color w:val="000000"/>
        </w:rPr>
      </w:pPr>
    </w:p>
    <w:p w14:paraId="2F7249FD" w14:textId="559E7357" w:rsidR="00A14553" w:rsidRPr="00667988" w:rsidRDefault="00667988">
      <w:pPr>
        <w:suppressAutoHyphens w:val="0"/>
        <w:jc w:val="both"/>
        <w:rPr>
          <w:color w:val="000000"/>
        </w:rPr>
      </w:pPr>
      <w:r>
        <w:rPr>
          <w:color w:val="000000"/>
        </w:rPr>
        <w:t xml:space="preserve">« prix_pièces » est déterminé en faisant le calcul suivant : Le </w:t>
      </w:r>
      <w:r w:rsidR="003B7692">
        <w:rPr>
          <w:color w:val="000000"/>
        </w:rPr>
        <w:t>prix hors taxe de la pièce la plu</w:t>
      </w:r>
      <w:r>
        <w:rPr>
          <w:color w:val="000000"/>
        </w:rPr>
        <w:t xml:space="preserve">s chère de la liste 2 est additionné avec la </w:t>
      </w:r>
      <w:r w:rsidR="003B7692">
        <w:rPr>
          <w:color w:val="000000"/>
        </w:rPr>
        <w:t xml:space="preserve">moyenne des prix hors taxe </w:t>
      </w:r>
      <w:r>
        <w:rPr>
          <w:color w:val="000000"/>
        </w:rPr>
        <w:t xml:space="preserve">des autres pièces de la liste 2). Le tout est divisé par </w:t>
      </w:r>
      <w:r w:rsidR="003B7692">
        <w:rPr>
          <w:color w:val="000000"/>
        </w:rPr>
        <w:t>2</w:t>
      </w:r>
    </w:p>
    <w:p w14:paraId="4E8D424E" w14:textId="71130583" w:rsidR="00A14553" w:rsidRDefault="003B7692">
      <w:pPr>
        <w:suppressAutoHyphens w:val="0"/>
        <w:jc w:val="both"/>
      </w:pPr>
      <w:r>
        <w:rPr>
          <w:color w:val="000000"/>
        </w:rPr>
        <w:br/>
      </w:r>
      <w:r w:rsidR="00667988">
        <w:rPr>
          <w:color w:val="000000"/>
        </w:rPr>
        <w:t>« </w:t>
      </w:r>
      <w:r>
        <w:rPr>
          <w:color w:val="000000"/>
        </w:rPr>
        <w:t>prix</w:t>
      </w:r>
      <w:r w:rsidR="00667988">
        <w:rPr>
          <w:color w:val="000000"/>
        </w:rPr>
        <w:t>_équipement » est déterminé par le prix</w:t>
      </w:r>
      <w:r>
        <w:rPr>
          <w:color w:val="000000"/>
        </w:rPr>
        <w:t xml:space="preserve"> hors taxe du modèle de l’équipement concerné </w:t>
      </w:r>
    </w:p>
    <w:p w14:paraId="1C358A8C" w14:textId="77777777" w:rsidR="00A14553" w:rsidRDefault="00A14553">
      <w:pPr>
        <w:suppressAutoHyphens w:val="0"/>
        <w:jc w:val="both"/>
        <w:rPr>
          <w:color w:val="000000"/>
        </w:rPr>
      </w:pPr>
    </w:p>
    <w:p w14:paraId="4D10D907" w14:textId="1F712973" w:rsidR="00A14553" w:rsidRDefault="00667988">
      <w:pPr>
        <w:suppressAutoHyphens w:val="0"/>
        <w:jc w:val="both"/>
      </w:pPr>
      <w:r>
        <w:rPr>
          <w:color w:val="000000"/>
        </w:rPr>
        <w:t>Chaque</w:t>
      </w:r>
      <w:r w:rsidR="003B7692">
        <w:rPr>
          <w:color w:val="000000"/>
        </w:rPr>
        <w:t xml:space="preserve"> prix s’entend comme le prix hors taxes du barème tarifaire en vigueur au moment du calcul de l’indice et figurant dans les conditions générales de vente du producteur ou de l’importateur, ou à défaut dans tout document contractuel pertinent. </w:t>
      </w:r>
    </w:p>
    <w:p w14:paraId="1A62B5EA" w14:textId="77777777" w:rsidR="00A14553" w:rsidRDefault="00A14553">
      <w:pPr>
        <w:suppressAutoHyphens w:val="0"/>
        <w:jc w:val="both"/>
        <w:rPr>
          <w:color w:val="000000"/>
        </w:rPr>
      </w:pPr>
    </w:p>
    <w:p w14:paraId="57E999B7" w14:textId="77777777" w:rsidR="00A14553" w:rsidRDefault="003B7692">
      <w:pPr>
        <w:suppressAutoHyphens w:val="0"/>
        <w:jc w:val="both"/>
      </w:pPr>
      <w:r>
        <w:rPr>
          <w:color w:val="000000"/>
        </w:rPr>
        <w:t xml:space="preserve">Dans le cas où un producteur ou un importateur dispose, pour les pièces ou les équipements considérés, de plusieurs barèmes tarifaires selon les différentes catégories de clients distributeurs ou vendeurs, les prix retenus pour le calcul de l’indice sont ceux du barème ayant représenté la part la plus élevée du chiffre d’affaires du producteur ou de l’importateur pour les pièces ou l’équipement concernés, au cours du dernier exercice clos. Pour les équipements et pièces nouvellement mis sur le marché, en cas de pluralité de barèmes, les prix retenus sont ceux du barème où ils sont les plus bas. </w:t>
      </w:r>
    </w:p>
    <w:p w14:paraId="37BAD4CD" w14:textId="77777777" w:rsidR="00A14553" w:rsidRDefault="00A14553">
      <w:pPr>
        <w:suppressAutoHyphens w:val="0"/>
        <w:jc w:val="both"/>
        <w:rPr>
          <w:color w:val="000000"/>
        </w:rPr>
      </w:pPr>
    </w:p>
    <w:p w14:paraId="158295B7" w14:textId="567B5160" w:rsidR="00A14553" w:rsidRDefault="003B7692">
      <w:pPr>
        <w:suppressAutoHyphens w:val="0"/>
        <w:jc w:val="both"/>
        <w:rPr>
          <w:color w:val="000000"/>
        </w:rPr>
      </w:pPr>
      <w:r>
        <w:rPr>
          <w:color w:val="000000"/>
        </w:rPr>
        <w:t>Dans le cas où certaines de ces pièces sont indissociables ou bien dans le cas où la pièce visée est intégrée à un module, qui est seul disponible, le prix à prendre en compte est le prix cumulé des pièces ou le prix du module.</w:t>
      </w:r>
    </w:p>
    <w:p w14:paraId="53EDB268" w14:textId="60E21426" w:rsidR="00DB0A64" w:rsidRDefault="00DB0A64">
      <w:pPr>
        <w:suppressAutoHyphens w:val="0"/>
        <w:jc w:val="both"/>
        <w:rPr>
          <w:color w:val="000000"/>
        </w:rPr>
      </w:pPr>
    </w:p>
    <w:p w14:paraId="5C2BE3DF" w14:textId="5AAF8BBE" w:rsidR="00DB0A64" w:rsidRDefault="00DB0A64">
      <w:pPr>
        <w:suppressAutoHyphens w:val="0"/>
        <w:rPr>
          <w:b/>
          <w:color w:val="000000"/>
        </w:rPr>
      </w:pPr>
      <w:r w:rsidRPr="00782EEA">
        <w:rPr>
          <w:b/>
          <w:color w:val="000000"/>
        </w:rPr>
        <w:t>Règles de calcul applicables</w:t>
      </w:r>
      <w:r w:rsidR="00782EEA">
        <w:rPr>
          <w:b/>
          <w:color w:val="000000"/>
        </w:rPr>
        <w:t> :</w:t>
      </w:r>
    </w:p>
    <w:p w14:paraId="1B90CD85" w14:textId="1D292476" w:rsidR="00782EEA" w:rsidRDefault="00782EEA">
      <w:pPr>
        <w:suppressAutoHyphens w:val="0"/>
        <w:rPr>
          <w:b/>
          <w:color w:val="000000"/>
        </w:rPr>
      </w:pPr>
    </w:p>
    <w:p w14:paraId="3E991701" w14:textId="4DFBFDFC" w:rsidR="00782EEA" w:rsidRPr="00782EEA" w:rsidRDefault="00782EEA" w:rsidP="00782EEA">
      <w:pPr>
        <w:suppressAutoHyphens w:val="0"/>
        <w:jc w:val="both"/>
        <w:rPr>
          <w:color w:val="000000"/>
        </w:rPr>
      </w:pPr>
      <w:r w:rsidRPr="00782EEA">
        <w:rPr>
          <w:color w:val="000000"/>
        </w:rPr>
        <w:t>Un lien est établi entre la notation du sous critère 2</w:t>
      </w:r>
      <w:r>
        <w:rPr>
          <w:color w:val="000000"/>
        </w:rPr>
        <w:t xml:space="preserve">.1 et celle du sous critère 3.1, dans le cas </w:t>
      </w:r>
      <w:r w:rsidRPr="00782EEA">
        <w:rPr>
          <w:color w:val="000000"/>
        </w:rPr>
        <w:t>où une pièce n’est pas démontable : la note zéro se répercute alors d’un sous critère à l’autre</w:t>
      </w:r>
      <w:r>
        <w:rPr>
          <w:color w:val="000000"/>
        </w:rPr>
        <w:t>.</w:t>
      </w:r>
    </w:p>
    <w:p w14:paraId="3DE7DF9C" w14:textId="77777777" w:rsidR="00782EEA" w:rsidRDefault="00782EEA" w:rsidP="00782EEA">
      <w:pPr>
        <w:suppressAutoHyphens w:val="0"/>
        <w:jc w:val="both"/>
        <w:rPr>
          <w:color w:val="000000"/>
        </w:rPr>
      </w:pPr>
    </w:p>
    <w:p w14:paraId="593785A9" w14:textId="5095583B" w:rsidR="00782EEA" w:rsidRPr="00782EEA" w:rsidRDefault="00782EEA" w:rsidP="00782EEA">
      <w:pPr>
        <w:suppressAutoHyphens w:val="0"/>
        <w:jc w:val="both"/>
        <w:rPr>
          <w:color w:val="000000"/>
        </w:rPr>
      </w:pPr>
      <w:r>
        <w:rPr>
          <w:color w:val="000000"/>
        </w:rPr>
        <w:t xml:space="preserve">Un </w:t>
      </w:r>
      <w:r w:rsidRPr="00782EEA">
        <w:rPr>
          <w:color w:val="000000"/>
        </w:rPr>
        <w:t>lien est également établi entre la notation du sous critère 2.1 et</w:t>
      </w:r>
      <w:r>
        <w:rPr>
          <w:color w:val="000000"/>
        </w:rPr>
        <w:t xml:space="preserve"> celle des sous critères 2.2 et 2.3</w:t>
      </w:r>
      <w:r w:rsidRPr="00782EEA">
        <w:rPr>
          <w:color w:val="000000"/>
        </w:rPr>
        <w:t>, dans le cas où une pièce est non démontable, la note de z</w:t>
      </w:r>
      <w:r>
        <w:rPr>
          <w:color w:val="000000"/>
        </w:rPr>
        <w:t xml:space="preserve">éro attribuée au critère 2.1 se </w:t>
      </w:r>
      <w:r w:rsidRPr="00782EEA">
        <w:rPr>
          <w:color w:val="000000"/>
        </w:rPr>
        <w:t>répercute alors d’un sous critère à l’autre.</w:t>
      </w:r>
    </w:p>
    <w:p w14:paraId="1CA74C6E" w14:textId="77777777" w:rsidR="00782EEA" w:rsidRDefault="00782EEA" w:rsidP="00782EEA">
      <w:pPr>
        <w:suppressAutoHyphens w:val="0"/>
        <w:jc w:val="both"/>
        <w:rPr>
          <w:color w:val="000000"/>
        </w:rPr>
      </w:pPr>
    </w:p>
    <w:p w14:paraId="5953D35A" w14:textId="6F2572C2" w:rsidR="00782EEA" w:rsidRDefault="00782EEA" w:rsidP="00782EEA">
      <w:pPr>
        <w:suppressAutoHyphens w:val="0"/>
        <w:jc w:val="both"/>
        <w:rPr>
          <w:color w:val="000000"/>
        </w:rPr>
      </w:pPr>
      <w:r w:rsidRPr="00782EEA">
        <w:rPr>
          <w:color w:val="000000"/>
        </w:rPr>
        <w:t xml:space="preserve">Un lien </w:t>
      </w:r>
      <w:r>
        <w:rPr>
          <w:color w:val="000000"/>
        </w:rPr>
        <w:t xml:space="preserve">est établi entre la notation de </w:t>
      </w:r>
      <w:r w:rsidRPr="00782EEA">
        <w:rPr>
          <w:color w:val="000000"/>
        </w:rPr>
        <w:t>sous critère 3</w:t>
      </w:r>
      <w:r>
        <w:rPr>
          <w:color w:val="000000"/>
        </w:rPr>
        <w:t xml:space="preserve">.1 et celle du sous critère 3.3, dans le cas où </w:t>
      </w:r>
      <w:r w:rsidRPr="00782EEA">
        <w:rPr>
          <w:color w:val="000000"/>
        </w:rPr>
        <w:t>la pièce n’est pas disponible au critère 3.1 la note de zéro est att</w:t>
      </w:r>
      <w:r>
        <w:rPr>
          <w:color w:val="000000"/>
        </w:rPr>
        <w:t xml:space="preserve">ribuée. Cette note se répercute </w:t>
      </w:r>
      <w:r w:rsidRPr="00782EEA">
        <w:rPr>
          <w:color w:val="000000"/>
        </w:rPr>
        <w:t>d’un cri</w:t>
      </w:r>
      <w:r>
        <w:rPr>
          <w:color w:val="000000"/>
        </w:rPr>
        <w:t xml:space="preserve">tère à l’autre. </w:t>
      </w:r>
      <w:r w:rsidRPr="00782EEA">
        <w:rPr>
          <w:color w:val="000000"/>
        </w:rPr>
        <w:t>Ce lien est également appliqué entre les sous</w:t>
      </w:r>
      <w:r>
        <w:rPr>
          <w:color w:val="000000"/>
        </w:rPr>
        <w:t xml:space="preserve"> </w:t>
      </w:r>
      <w:r w:rsidRPr="00782EEA">
        <w:rPr>
          <w:color w:val="000000"/>
        </w:rPr>
        <w:t>critères 3.2 et 3.4.</w:t>
      </w:r>
    </w:p>
    <w:p w14:paraId="2CC65253" w14:textId="77777777" w:rsidR="00782EEA" w:rsidRDefault="00782EEA" w:rsidP="00782EEA">
      <w:pPr>
        <w:suppressAutoHyphens w:val="0"/>
        <w:jc w:val="both"/>
        <w:rPr>
          <w:color w:val="000000"/>
        </w:rPr>
      </w:pPr>
    </w:p>
    <w:p w14:paraId="70E07420" w14:textId="18FBACD3" w:rsidR="00DB0A64" w:rsidRDefault="00782EEA">
      <w:pPr>
        <w:suppressAutoHyphens w:val="0"/>
        <w:rPr>
          <w:color w:val="000000"/>
        </w:rPr>
      </w:pPr>
      <w:r w:rsidRPr="00782EEA">
        <w:rPr>
          <w:color w:val="000000"/>
        </w:rPr>
        <w:t>Si une pièce de la liste 2 est considérée comme non démontabl</w:t>
      </w:r>
      <w:r>
        <w:rPr>
          <w:color w:val="000000"/>
        </w:rPr>
        <w:t xml:space="preserve">e au critère 2.1, alors la note </w:t>
      </w:r>
      <w:r w:rsidRPr="00782EEA">
        <w:rPr>
          <w:color w:val="000000"/>
        </w:rPr>
        <w:t>obtenue au critère 4 est de 0</w:t>
      </w:r>
      <w:r>
        <w:rPr>
          <w:color w:val="000000"/>
        </w:rPr>
        <w:t>.</w:t>
      </w:r>
      <w:r w:rsidR="00B8794F">
        <w:rPr>
          <w:color w:val="000000"/>
        </w:rPr>
        <w:t xml:space="preserve"> Dans le cas où, la pièce de la liste 2 non démontable au critère 2.1, fait partie d’un</w:t>
      </w:r>
      <w:r w:rsidR="009B0B57">
        <w:rPr>
          <w:color w:val="000000"/>
        </w:rPr>
        <w:t xml:space="preserve"> sous-ensemble de pièces indissociables disponible à la vente</w:t>
      </w:r>
      <w:r w:rsidR="00B8794F">
        <w:rPr>
          <w:color w:val="000000"/>
        </w:rPr>
        <w:t xml:space="preserve">, alors le calcul du critère 4 se fait </w:t>
      </w:r>
      <w:r w:rsidR="009B0B57">
        <w:rPr>
          <w:color w:val="000000"/>
        </w:rPr>
        <w:t>en prenant comme prix de la pièce concernée, le prix de ce sous-</w:t>
      </w:r>
      <w:r w:rsidR="009B0B57" w:rsidRPr="009B0B57">
        <w:rPr>
          <w:color w:val="000000"/>
        </w:rPr>
        <w:t>ensemble</w:t>
      </w:r>
      <w:r w:rsidR="009B0B57">
        <w:rPr>
          <w:color w:val="000000"/>
        </w:rPr>
        <w:t>.</w:t>
      </w:r>
    </w:p>
    <w:p w14:paraId="1D08793F" w14:textId="77777777" w:rsidR="00DB0A64" w:rsidRDefault="00DB0A64">
      <w:pPr>
        <w:suppressAutoHyphens w:val="0"/>
      </w:pPr>
      <w:r>
        <w:br w:type="page"/>
      </w:r>
    </w:p>
    <w:p w14:paraId="7FE614E6" w14:textId="59919BF5" w:rsidR="00DB0A64" w:rsidRDefault="00DB0A64" w:rsidP="00DB0A64">
      <w:pPr>
        <w:suppressAutoHyphens w:val="0"/>
        <w:jc w:val="center"/>
      </w:pPr>
      <w:r>
        <w:lastRenderedPageBreak/>
        <w:t>Annexe II</w:t>
      </w:r>
      <w:r w:rsidR="00782EEA">
        <w:t>I</w:t>
      </w:r>
    </w:p>
    <w:p w14:paraId="4DB64DC5" w14:textId="77777777" w:rsidR="00A14553" w:rsidRDefault="00A14553">
      <w:pPr>
        <w:suppressAutoHyphens w:val="0"/>
        <w:jc w:val="both"/>
        <w:rPr>
          <w:b/>
          <w:color w:val="000000"/>
          <w:lang w:eastAsia="fr-FR"/>
        </w:rPr>
      </w:pPr>
    </w:p>
    <w:p w14:paraId="65D2528F" w14:textId="77777777" w:rsidR="00A14553" w:rsidRDefault="005A2237" w:rsidP="00DB0A64">
      <w:pPr>
        <w:pStyle w:val="SNSignatureGauche0"/>
        <w:spacing w:before="0" w:after="0"/>
        <w:ind w:left="0" w:right="0" w:firstLine="0"/>
        <w:jc w:val="center"/>
        <w:rPr>
          <w:b/>
          <w:color w:val="000000"/>
          <w:u w:val="single"/>
        </w:rPr>
      </w:pPr>
      <w:r>
        <w:rPr>
          <w:b/>
          <w:color w:val="000000"/>
          <w:u w:val="single"/>
        </w:rPr>
        <w:t>Famille de critères B</w:t>
      </w:r>
      <w:r w:rsidRPr="005A2237">
        <w:rPr>
          <w:b/>
          <w:color w:val="000000"/>
          <w:u w:val="single"/>
        </w:rPr>
        <w:t xml:space="preserve"> – </w:t>
      </w:r>
      <w:r>
        <w:rPr>
          <w:b/>
          <w:color w:val="000000"/>
          <w:u w:val="single"/>
        </w:rPr>
        <w:t>Fiabilité</w:t>
      </w:r>
    </w:p>
    <w:p w14:paraId="50B6298A" w14:textId="69202B58" w:rsidR="005A2237" w:rsidRDefault="005A2237">
      <w:pPr>
        <w:pStyle w:val="SNSignatureGauche0"/>
        <w:spacing w:before="0" w:after="0"/>
        <w:ind w:left="0" w:right="0" w:firstLine="0"/>
        <w:jc w:val="left"/>
        <w:rPr>
          <w:b/>
          <w:color w:val="000000"/>
          <w:u w:val="single"/>
        </w:rPr>
      </w:pPr>
    </w:p>
    <w:p w14:paraId="698FA50D" w14:textId="2FB2A501" w:rsidR="007D3E5D" w:rsidRDefault="007D3E5D" w:rsidP="00DB0A64">
      <w:pPr>
        <w:pStyle w:val="SNSignatureGauche0"/>
        <w:spacing w:before="0" w:after="0"/>
        <w:ind w:left="0" w:right="0" w:firstLine="0"/>
        <w:jc w:val="both"/>
        <w:rPr>
          <w:color w:val="000000"/>
        </w:rPr>
      </w:pPr>
      <w:r>
        <w:rPr>
          <w:color w:val="000000"/>
        </w:rPr>
        <w:t xml:space="preserve">La fiabilité s’entend comme la </w:t>
      </w:r>
      <w:r w:rsidR="00EF42AA">
        <w:rPr>
          <w:color w:val="000000"/>
        </w:rPr>
        <w:t>probabilité</w:t>
      </w:r>
      <w:r>
        <w:rPr>
          <w:color w:val="000000"/>
        </w:rPr>
        <w:t xml:space="preserve"> </w:t>
      </w:r>
      <w:r w:rsidR="00EF42AA">
        <w:rPr>
          <w:color w:val="000000"/>
        </w:rPr>
        <w:t>qu</w:t>
      </w:r>
      <w:r>
        <w:rPr>
          <w:color w:val="000000"/>
        </w:rPr>
        <w:t>’un équipement fonctionne</w:t>
      </w:r>
      <w:r w:rsidR="00CB2E89">
        <w:rPr>
          <w:color w:val="000000"/>
        </w:rPr>
        <w:t>, conformément</w:t>
      </w:r>
      <w:r w:rsidR="00CB2E89" w:rsidRPr="00E17BA6">
        <w:rPr>
          <w:color w:val="000000"/>
        </w:rPr>
        <w:t xml:space="preserve"> à l'usage attendu et à la description du vendeur</w:t>
      </w:r>
      <w:r w:rsidR="00CB2E89">
        <w:rPr>
          <w:color w:val="000000"/>
        </w:rPr>
        <w:t>,</w:t>
      </w:r>
      <w:r>
        <w:rPr>
          <w:color w:val="000000"/>
        </w:rPr>
        <w:t xml:space="preserve"> </w:t>
      </w:r>
      <w:r w:rsidR="00EF42AA">
        <w:rPr>
          <w:color w:val="000000"/>
        </w:rPr>
        <w:t xml:space="preserve">dans des conditions données </w:t>
      </w:r>
      <w:r>
        <w:rPr>
          <w:color w:val="000000"/>
        </w:rPr>
        <w:t>sur une période donnée</w:t>
      </w:r>
      <w:r w:rsidR="00CB2E89">
        <w:rPr>
          <w:color w:val="000000"/>
        </w:rPr>
        <w:t>,</w:t>
      </w:r>
      <w:r>
        <w:rPr>
          <w:color w:val="000000"/>
        </w:rPr>
        <w:t xml:space="preserve"> sans tomber en panne ou être cassé. </w:t>
      </w:r>
    </w:p>
    <w:p w14:paraId="26A7572F" w14:textId="3C38C94F" w:rsidR="00DB0A64" w:rsidRPr="00DB0A64" w:rsidRDefault="00DB0A64" w:rsidP="00DB0A64">
      <w:pPr>
        <w:pStyle w:val="SNSignatureGauche0"/>
        <w:spacing w:before="0" w:after="0"/>
        <w:ind w:left="0" w:right="0" w:firstLine="0"/>
        <w:jc w:val="both"/>
        <w:rPr>
          <w:color w:val="000000"/>
        </w:rPr>
      </w:pPr>
      <w:r w:rsidRPr="00DB0A64">
        <w:rPr>
          <w:color w:val="000000"/>
        </w:rPr>
        <w:t xml:space="preserve">La note de la famille de critères relative à la </w:t>
      </w:r>
      <w:r>
        <w:rPr>
          <w:color w:val="000000"/>
        </w:rPr>
        <w:t>fiabilité</w:t>
      </w:r>
      <w:r w:rsidRPr="00DB0A64">
        <w:rPr>
          <w:color w:val="000000"/>
        </w:rPr>
        <w:t xml:space="preserve"> doit être déterminée selon les critères suivants. </w:t>
      </w:r>
    </w:p>
    <w:p w14:paraId="52D09314" w14:textId="7CC875A5" w:rsidR="00DB0A64" w:rsidRDefault="00DB0A64">
      <w:pPr>
        <w:pStyle w:val="SNSignatureGauche0"/>
        <w:spacing w:before="0" w:after="0"/>
        <w:ind w:left="0" w:right="0" w:firstLine="0"/>
        <w:jc w:val="left"/>
        <w:rPr>
          <w:b/>
          <w:color w:val="000000"/>
          <w:u w:val="single"/>
        </w:rPr>
      </w:pPr>
    </w:p>
    <w:p w14:paraId="2F74E89B" w14:textId="0745ED1B" w:rsidR="00274A9E" w:rsidRDefault="005A2237" w:rsidP="005A2237">
      <w:pPr>
        <w:pStyle w:val="SNSignatureGauche0"/>
        <w:spacing w:before="0" w:after="0"/>
        <w:ind w:left="0" w:right="0" w:firstLine="0"/>
        <w:jc w:val="both"/>
      </w:pPr>
      <w:r>
        <w:rPr>
          <w:b/>
          <w:color w:val="000000"/>
        </w:rPr>
        <w:t xml:space="preserve">Critère n°1 – </w:t>
      </w:r>
      <w:r w:rsidRPr="005A2237">
        <w:rPr>
          <w:b/>
          <w:color w:val="000000"/>
        </w:rPr>
        <w:t>Résistance aux contraintes et/ou à l’usure</w:t>
      </w:r>
      <w:r>
        <w:rPr>
          <w:b/>
          <w:color w:val="000000"/>
        </w:rPr>
        <w:t> :</w:t>
      </w:r>
    </w:p>
    <w:p w14:paraId="293C3BD1" w14:textId="77777777" w:rsidR="00EE55DE" w:rsidRDefault="00EE55DE" w:rsidP="005A2237">
      <w:pPr>
        <w:pStyle w:val="SNSignatureGauche0"/>
        <w:spacing w:before="0" w:after="0"/>
        <w:ind w:left="0" w:right="0" w:firstLine="0"/>
        <w:jc w:val="both"/>
      </w:pPr>
    </w:p>
    <w:p w14:paraId="79F34999" w14:textId="50FD4503" w:rsidR="00274A9E" w:rsidRPr="00004EEF" w:rsidRDefault="00274A9E" w:rsidP="005A2237">
      <w:pPr>
        <w:pStyle w:val="SNSignatureGauche0"/>
        <w:spacing w:before="0" w:after="0"/>
        <w:ind w:left="0" w:right="0" w:firstLine="0"/>
        <w:jc w:val="both"/>
      </w:pPr>
      <w:r>
        <w:t xml:space="preserve">Déterminé par la capacité de l’équipement ou des sous-parties principales de l’équipement </w:t>
      </w:r>
      <w:r w:rsidR="00116787">
        <w:t xml:space="preserve">à être </w:t>
      </w:r>
      <w:r>
        <w:t>robuste et endurant. En fonction des catégories d’équipements, le critère peut renvoyer à un ou plusieurs tests de vieillissement à l’échelle de l’</w:t>
      </w:r>
      <w:r w:rsidR="00004EEF">
        <w:t>équipement ou des</w:t>
      </w:r>
      <w:r>
        <w:t xml:space="preserve"> sous-partie</w:t>
      </w:r>
      <w:r w:rsidR="00004EEF">
        <w:t>s</w:t>
      </w:r>
      <w:r>
        <w:t xml:space="preserve"> </w:t>
      </w:r>
      <w:r w:rsidR="00004EEF">
        <w:t xml:space="preserve">principales </w:t>
      </w:r>
      <w:r>
        <w:t xml:space="preserve">de l’équipement, </w:t>
      </w:r>
      <w:r w:rsidR="00116787">
        <w:t>ou à</w:t>
      </w:r>
      <w:r w:rsidR="00EB2721">
        <w:t xml:space="preserve"> </w:t>
      </w:r>
      <w:r w:rsidR="00116787">
        <w:t>des</w:t>
      </w:r>
      <w:r>
        <w:t xml:space="preserve"> sous-critères relatifs à la résistance aux contraintes extérieures, ou</w:t>
      </w:r>
      <w:r w:rsidR="00116787">
        <w:t xml:space="preserve"> à</w:t>
      </w:r>
      <w:r>
        <w:t xml:space="preserve"> de</w:t>
      </w:r>
      <w:r w:rsidR="00116787">
        <w:t>s</w:t>
      </w:r>
      <w:r>
        <w:t xml:space="preserve"> sous-critères relatifs à la résistance à l’usure de l’équipement ou de</w:t>
      </w:r>
      <w:r w:rsidR="00004EEF">
        <w:t>s</w:t>
      </w:r>
      <w:r>
        <w:t xml:space="preserve"> sous-parties</w:t>
      </w:r>
      <w:r w:rsidR="00004EEF">
        <w:t xml:space="preserve"> principales de l’équipement. </w:t>
      </w:r>
      <w:r>
        <w:t xml:space="preserve">  </w:t>
      </w:r>
    </w:p>
    <w:p w14:paraId="57A770D3" w14:textId="4DA03FCB" w:rsidR="00416694" w:rsidRDefault="00416694" w:rsidP="005A2237">
      <w:pPr>
        <w:pStyle w:val="SNSignatureGauche0"/>
        <w:spacing w:before="0" w:after="0"/>
        <w:ind w:left="0" w:right="0" w:firstLine="0"/>
        <w:jc w:val="left"/>
        <w:rPr>
          <w:color w:val="000000"/>
        </w:rPr>
      </w:pPr>
    </w:p>
    <w:p w14:paraId="007EA7AD" w14:textId="1F92D0CF" w:rsidR="00416694" w:rsidRDefault="00416694" w:rsidP="00416694">
      <w:pPr>
        <w:pStyle w:val="SNSignatureGauche0"/>
        <w:spacing w:before="0" w:after="0"/>
        <w:ind w:left="0" w:right="0" w:firstLine="0"/>
        <w:jc w:val="both"/>
      </w:pPr>
      <w:r>
        <w:rPr>
          <w:b/>
          <w:color w:val="000000"/>
        </w:rPr>
        <w:t xml:space="preserve">Critère n°2 – </w:t>
      </w:r>
      <w:r w:rsidR="0056380E">
        <w:rPr>
          <w:b/>
          <w:color w:val="000000"/>
        </w:rPr>
        <w:t>Maintenance et entretien</w:t>
      </w:r>
      <w:r>
        <w:rPr>
          <w:b/>
          <w:color w:val="000000"/>
        </w:rPr>
        <w:t> :</w:t>
      </w:r>
    </w:p>
    <w:p w14:paraId="15F34FAC" w14:textId="4F2D27A8" w:rsidR="00416694" w:rsidRDefault="00416694" w:rsidP="00416694">
      <w:pPr>
        <w:pStyle w:val="SNSignatureGauche0"/>
        <w:spacing w:before="0" w:after="0"/>
        <w:ind w:left="0" w:right="0" w:firstLine="0"/>
        <w:jc w:val="both"/>
      </w:pPr>
      <w:r>
        <w:rPr>
          <w:b/>
          <w:color w:val="000000"/>
        </w:rPr>
        <w:br/>
        <w:t>Sous critèr</w:t>
      </w:r>
      <w:r w:rsidR="0056380E">
        <w:rPr>
          <w:b/>
          <w:color w:val="000000"/>
        </w:rPr>
        <w:t>e 2</w:t>
      </w:r>
      <w:r>
        <w:rPr>
          <w:b/>
          <w:color w:val="000000"/>
        </w:rPr>
        <w:t>.1 </w:t>
      </w:r>
      <w:r w:rsidR="00004EEF">
        <w:rPr>
          <w:b/>
          <w:color w:val="000000"/>
        </w:rPr>
        <w:t>–</w:t>
      </w:r>
      <w:r>
        <w:rPr>
          <w:b/>
          <w:color w:val="000000"/>
        </w:rPr>
        <w:t xml:space="preserve"> </w:t>
      </w:r>
      <w:r w:rsidR="0056380E" w:rsidRPr="0056380E">
        <w:rPr>
          <w:b/>
          <w:color w:val="000000"/>
        </w:rPr>
        <w:t>Maintenance</w:t>
      </w:r>
      <w:r w:rsidR="00004EEF">
        <w:rPr>
          <w:b/>
          <w:color w:val="000000"/>
        </w:rPr>
        <w:t xml:space="preserve"> </w:t>
      </w:r>
      <w:r w:rsidR="0056380E" w:rsidRPr="0056380E">
        <w:rPr>
          <w:b/>
          <w:color w:val="000000"/>
        </w:rPr>
        <w:t>(y compris logicielle)</w:t>
      </w:r>
      <w:r w:rsidR="00004EEF">
        <w:rPr>
          <w:b/>
          <w:color w:val="000000"/>
        </w:rPr>
        <w:t xml:space="preserve"> </w:t>
      </w:r>
      <w:r>
        <w:rPr>
          <w:b/>
          <w:color w:val="000000"/>
        </w:rPr>
        <w:t>:</w:t>
      </w:r>
    </w:p>
    <w:p w14:paraId="32443953" w14:textId="1E09C3FC" w:rsidR="00416694" w:rsidRDefault="00416694" w:rsidP="00416694">
      <w:pPr>
        <w:pStyle w:val="SNSignatureGauche0"/>
        <w:spacing w:before="0" w:after="0"/>
        <w:ind w:left="0" w:right="0" w:firstLine="0"/>
        <w:jc w:val="left"/>
        <w:rPr>
          <w:color w:val="000000"/>
        </w:rPr>
      </w:pPr>
      <w:r>
        <w:rPr>
          <w:color w:val="000000"/>
        </w:rPr>
        <w:t xml:space="preserve">Déterminé par </w:t>
      </w:r>
      <w:r w:rsidR="00004EEF">
        <w:rPr>
          <w:color w:val="000000"/>
        </w:rPr>
        <w:t>la capacité de l’équipement ou des sous-parties principales de l’équipement à être maintenu dans un état fonctionnel conforme</w:t>
      </w:r>
      <w:r w:rsidR="00004EEF">
        <w:t xml:space="preserve"> à l'usage attendu et à la description du vendeur.</w:t>
      </w:r>
    </w:p>
    <w:p w14:paraId="43F2E237" w14:textId="68D01949" w:rsidR="0056380E" w:rsidRDefault="0056380E" w:rsidP="0056380E">
      <w:pPr>
        <w:pStyle w:val="SNSignatureGauche0"/>
        <w:spacing w:before="0" w:after="0"/>
        <w:ind w:left="0" w:right="0" w:firstLine="0"/>
        <w:jc w:val="left"/>
        <w:rPr>
          <w:color w:val="000000"/>
        </w:rPr>
      </w:pPr>
    </w:p>
    <w:p w14:paraId="5F6ABD5B" w14:textId="21CB0CAF" w:rsidR="0056380E" w:rsidRDefault="0056380E" w:rsidP="0056380E">
      <w:pPr>
        <w:pStyle w:val="SNSignatureGauche0"/>
        <w:spacing w:before="0" w:after="0"/>
        <w:ind w:left="0" w:right="0" w:firstLine="0"/>
        <w:jc w:val="both"/>
      </w:pPr>
      <w:r>
        <w:rPr>
          <w:b/>
          <w:color w:val="000000"/>
        </w:rPr>
        <w:t>Sous critère 2.2 </w:t>
      </w:r>
      <w:r w:rsidR="00004EEF">
        <w:rPr>
          <w:b/>
          <w:color w:val="000000"/>
        </w:rPr>
        <w:t>–</w:t>
      </w:r>
      <w:r>
        <w:rPr>
          <w:b/>
          <w:color w:val="000000"/>
        </w:rPr>
        <w:t xml:space="preserve"> Entretien</w:t>
      </w:r>
      <w:r w:rsidR="00004EEF">
        <w:rPr>
          <w:b/>
          <w:color w:val="000000"/>
        </w:rPr>
        <w:t xml:space="preserve"> </w:t>
      </w:r>
      <w:r>
        <w:rPr>
          <w:b/>
          <w:color w:val="000000"/>
        </w:rPr>
        <w:t>:</w:t>
      </w:r>
    </w:p>
    <w:p w14:paraId="389B7636" w14:textId="35189595" w:rsidR="00004EEF" w:rsidRPr="00004EEF" w:rsidRDefault="00004EEF" w:rsidP="00004EEF">
      <w:pPr>
        <w:pStyle w:val="SNSignatureGauche0"/>
        <w:spacing w:before="0" w:after="0"/>
        <w:ind w:left="0" w:right="0" w:firstLine="0"/>
        <w:jc w:val="both"/>
      </w:pPr>
      <w:r>
        <w:rPr>
          <w:color w:val="000000"/>
        </w:rPr>
        <w:t>Déterminé par la capacité de l’équipement ou des sous-parties principales de l’équipement à être entretenu dans un état fonctionnel conforme</w:t>
      </w:r>
      <w:r>
        <w:t xml:space="preserve"> à l'usage attendu et à la description du vendeur. En fonction des catégories d’équipement cela comprend notamment la facilité d’accès aux informations sur les gestes d’entretien, la qualité et le niveau de détail de l’information sur les gestes d’entretien ou la facilité de mise en œuvre des gestes d’entretien. </w:t>
      </w:r>
    </w:p>
    <w:p w14:paraId="2A64284C" w14:textId="77777777" w:rsidR="0056380E" w:rsidRDefault="0056380E" w:rsidP="0056380E">
      <w:pPr>
        <w:pStyle w:val="SNSignatureGauche0"/>
        <w:spacing w:before="0" w:after="0"/>
        <w:ind w:left="0" w:right="0" w:firstLine="0"/>
        <w:jc w:val="left"/>
        <w:rPr>
          <w:color w:val="000000"/>
        </w:rPr>
      </w:pPr>
    </w:p>
    <w:p w14:paraId="57DD3318" w14:textId="2A6085B1" w:rsidR="0056380E" w:rsidRDefault="0056380E" w:rsidP="0056380E">
      <w:pPr>
        <w:pStyle w:val="SNSignatureGauche0"/>
        <w:spacing w:before="0" w:after="0"/>
        <w:ind w:left="0" w:right="0" w:firstLine="0"/>
        <w:jc w:val="both"/>
      </w:pPr>
      <w:r>
        <w:rPr>
          <w:b/>
          <w:color w:val="000000"/>
        </w:rPr>
        <w:t>Critère n°3 – Garantie de durabilité et démarche qualité :</w:t>
      </w:r>
    </w:p>
    <w:p w14:paraId="53384E7E" w14:textId="322821CC" w:rsidR="00416694" w:rsidRDefault="00416694" w:rsidP="005A2237">
      <w:pPr>
        <w:pStyle w:val="SNSignatureGauche0"/>
        <w:spacing w:before="0" w:after="0"/>
        <w:ind w:left="0" w:right="0" w:firstLine="0"/>
        <w:jc w:val="left"/>
        <w:rPr>
          <w:color w:val="000000"/>
        </w:rPr>
      </w:pPr>
    </w:p>
    <w:p w14:paraId="049A022C" w14:textId="04BAA17D" w:rsidR="0056380E" w:rsidRDefault="0056380E" w:rsidP="0056380E">
      <w:pPr>
        <w:pStyle w:val="SNSignatureGauche0"/>
        <w:spacing w:before="0" w:after="0"/>
        <w:ind w:left="0" w:right="0" w:firstLine="0"/>
        <w:jc w:val="both"/>
      </w:pPr>
      <w:r>
        <w:rPr>
          <w:b/>
          <w:color w:val="000000"/>
        </w:rPr>
        <w:t xml:space="preserve">Sous critère 3.1 - </w:t>
      </w:r>
      <w:r w:rsidRPr="0056380E">
        <w:rPr>
          <w:b/>
          <w:color w:val="000000"/>
        </w:rPr>
        <w:t>Durée de la garantie commerciale de durabilité</w:t>
      </w:r>
      <w:r>
        <w:rPr>
          <w:b/>
          <w:color w:val="000000"/>
        </w:rPr>
        <w:t xml:space="preserve"> :</w:t>
      </w:r>
    </w:p>
    <w:p w14:paraId="23520889" w14:textId="65B8B5AE" w:rsidR="0056380E" w:rsidRDefault="0056380E" w:rsidP="00EE55DE">
      <w:pPr>
        <w:pStyle w:val="SNSignatureGauche0"/>
        <w:spacing w:before="0" w:after="0"/>
        <w:ind w:left="0" w:right="0" w:firstLine="0"/>
        <w:jc w:val="both"/>
        <w:rPr>
          <w:color w:val="000000"/>
        </w:rPr>
      </w:pPr>
      <w:r>
        <w:rPr>
          <w:color w:val="000000"/>
        </w:rPr>
        <w:t xml:space="preserve">Déterminé par </w:t>
      </w:r>
      <w:r w:rsidR="00004EEF">
        <w:rPr>
          <w:color w:val="000000"/>
        </w:rPr>
        <w:t>l</w:t>
      </w:r>
      <w:r w:rsidR="00D267EA">
        <w:rPr>
          <w:color w:val="000000"/>
        </w:rPr>
        <w:t>e consentement</w:t>
      </w:r>
      <w:r w:rsidR="00004EEF">
        <w:rPr>
          <w:color w:val="000000"/>
        </w:rPr>
        <w:t xml:space="preserve"> </w:t>
      </w:r>
      <w:r w:rsidR="00D267EA" w:rsidRPr="00D267EA">
        <w:rPr>
          <w:color w:val="000000"/>
        </w:rPr>
        <w:t xml:space="preserve">du producteur, ou </w:t>
      </w:r>
      <w:r w:rsidR="00D267EA">
        <w:rPr>
          <w:color w:val="000000"/>
        </w:rPr>
        <w:t xml:space="preserve">autre </w:t>
      </w:r>
      <w:r w:rsidR="00D267EA" w:rsidRPr="00D267EA">
        <w:rPr>
          <w:color w:val="000000"/>
        </w:rPr>
        <w:t>metteur sur marché, au consommateur d’une garantie commerciale de durabilité définie à l’article L</w:t>
      </w:r>
      <w:r w:rsidR="00116787">
        <w:rPr>
          <w:color w:val="000000"/>
        </w:rPr>
        <w:t xml:space="preserve">. </w:t>
      </w:r>
      <w:r w:rsidR="00D267EA" w:rsidRPr="00D267EA">
        <w:rPr>
          <w:color w:val="000000"/>
        </w:rPr>
        <w:t>217</w:t>
      </w:r>
      <w:r w:rsidR="00D267EA">
        <w:rPr>
          <w:color w:val="000000"/>
        </w:rPr>
        <w:t xml:space="preserve">-23 du code de la consommation, </w:t>
      </w:r>
      <w:r w:rsidR="00D267EA" w:rsidRPr="00D267EA">
        <w:rPr>
          <w:color w:val="000000"/>
        </w:rPr>
        <w:t>pendant une période donnée.</w:t>
      </w:r>
    </w:p>
    <w:p w14:paraId="3EDB56AC" w14:textId="7B4F00E9" w:rsidR="00D267EA" w:rsidRDefault="00D267EA" w:rsidP="00EE55DE">
      <w:pPr>
        <w:pStyle w:val="SNSignatureGauche0"/>
        <w:spacing w:before="0" w:after="0"/>
        <w:ind w:left="0" w:right="0" w:firstLine="0"/>
        <w:jc w:val="both"/>
        <w:rPr>
          <w:color w:val="000000"/>
        </w:rPr>
      </w:pPr>
      <w:r>
        <w:rPr>
          <w:color w:val="000000"/>
        </w:rPr>
        <w:t xml:space="preserve">Des conditions supplémentaires pour l’attribution des points du présent sous-critère peuvent être définies pour chaque catégorie d’équipement.  </w:t>
      </w:r>
    </w:p>
    <w:p w14:paraId="1D1E2C3D" w14:textId="77777777" w:rsidR="0056380E" w:rsidRDefault="0056380E" w:rsidP="00EE55DE">
      <w:pPr>
        <w:pStyle w:val="SNSignatureGauche0"/>
        <w:spacing w:before="0" w:after="0"/>
        <w:ind w:left="0" w:right="0" w:firstLine="0"/>
        <w:jc w:val="both"/>
        <w:rPr>
          <w:color w:val="000000"/>
        </w:rPr>
      </w:pPr>
    </w:p>
    <w:p w14:paraId="2993EA0B" w14:textId="122978C1" w:rsidR="0056380E" w:rsidRDefault="0056380E" w:rsidP="00EE55DE">
      <w:pPr>
        <w:pStyle w:val="SNSignatureGauche0"/>
        <w:spacing w:before="0" w:after="0"/>
        <w:ind w:left="0" w:right="0" w:firstLine="0"/>
        <w:jc w:val="both"/>
      </w:pPr>
      <w:r>
        <w:rPr>
          <w:b/>
          <w:color w:val="000000"/>
        </w:rPr>
        <w:t xml:space="preserve">Sous critère 3.2 - </w:t>
      </w:r>
      <w:r w:rsidRPr="0056380E">
        <w:rPr>
          <w:b/>
          <w:color w:val="000000"/>
        </w:rPr>
        <w:t>Mise en place d’un processus d’amélioration continue</w:t>
      </w:r>
      <w:r>
        <w:rPr>
          <w:b/>
          <w:color w:val="000000"/>
        </w:rPr>
        <w:t xml:space="preserve"> :</w:t>
      </w:r>
    </w:p>
    <w:p w14:paraId="4F292DA8" w14:textId="01D0CE7C" w:rsidR="00D267EA" w:rsidRDefault="0056380E" w:rsidP="00EE55DE">
      <w:pPr>
        <w:jc w:val="both"/>
      </w:pPr>
      <w:r>
        <w:rPr>
          <w:color w:val="000000"/>
        </w:rPr>
        <w:t xml:space="preserve">Déterminé par </w:t>
      </w:r>
      <w:r w:rsidR="00D267EA">
        <w:t xml:space="preserve">l’engagement du producteur ou autre metteur sur le marché de mettre en place sur la durée de mise sur le marché du modèle d’équipement concerné un processus d'amélioration continue documenté et démontrable permettant d'augmenter la durabilité des équipements concernés. </w:t>
      </w:r>
    </w:p>
    <w:p w14:paraId="3E2D7726" w14:textId="1B97A105" w:rsidR="00D267EA" w:rsidRDefault="00EE55DE" w:rsidP="00EE55DE">
      <w:pPr>
        <w:jc w:val="both"/>
      </w:pPr>
      <w:r>
        <w:t xml:space="preserve">Le processus d’amélioration doit concerner à minima l’indentification, le suivi et le traitement d’éventuelles défaillances du fonctionnement </w:t>
      </w:r>
      <w:r>
        <w:rPr>
          <w:color w:val="000000"/>
        </w:rPr>
        <w:t>conforme</w:t>
      </w:r>
      <w:r>
        <w:t xml:space="preserve"> à l'usage attendu et à la description du vendeur des équipements du modèle concerné. </w:t>
      </w:r>
    </w:p>
    <w:p w14:paraId="2E7C0967" w14:textId="4C4F5166" w:rsidR="00D267EA" w:rsidRDefault="00D267EA" w:rsidP="00D267EA">
      <w:pPr>
        <w:pStyle w:val="SNSignatureGauche0"/>
        <w:spacing w:before="0" w:after="0"/>
        <w:ind w:left="0" w:right="0" w:firstLine="0"/>
        <w:jc w:val="left"/>
        <w:rPr>
          <w:color w:val="000000"/>
        </w:rPr>
      </w:pPr>
      <w:r>
        <w:rPr>
          <w:color w:val="000000"/>
        </w:rPr>
        <w:br w:type="page"/>
      </w:r>
    </w:p>
    <w:p w14:paraId="7C22FE8A" w14:textId="18A2895A" w:rsidR="00782EEA" w:rsidRDefault="00782EEA" w:rsidP="00EE55DE">
      <w:pPr>
        <w:pStyle w:val="SNSignatureGauche0"/>
        <w:spacing w:before="0" w:after="0"/>
        <w:ind w:left="0" w:right="0" w:firstLine="0"/>
        <w:jc w:val="center"/>
        <w:rPr>
          <w:b/>
          <w:color w:val="000000"/>
          <w:u w:val="single"/>
        </w:rPr>
      </w:pPr>
      <w:r>
        <w:rPr>
          <w:color w:val="000000"/>
        </w:rPr>
        <w:lastRenderedPageBreak/>
        <w:t>Annexe IV</w:t>
      </w:r>
    </w:p>
    <w:p w14:paraId="09918A54" w14:textId="77777777" w:rsidR="005A2237" w:rsidRDefault="005A2237" w:rsidP="00EE55DE">
      <w:pPr>
        <w:pStyle w:val="SNSignatureGauche0"/>
        <w:spacing w:before="0" w:after="0"/>
        <w:ind w:left="0" w:right="0" w:firstLine="0"/>
        <w:jc w:val="center"/>
        <w:rPr>
          <w:b/>
          <w:color w:val="000000"/>
          <w:u w:val="single"/>
        </w:rPr>
      </w:pPr>
    </w:p>
    <w:p w14:paraId="2F747223" w14:textId="1C8733B7" w:rsidR="005A2237" w:rsidRDefault="005A2237" w:rsidP="00EE55DE">
      <w:pPr>
        <w:pStyle w:val="SNSignatureGauche0"/>
        <w:spacing w:before="0" w:after="0"/>
        <w:ind w:left="0" w:right="0" w:firstLine="0"/>
        <w:jc w:val="center"/>
        <w:rPr>
          <w:b/>
          <w:color w:val="000000"/>
          <w:u w:val="single"/>
        </w:rPr>
      </w:pPr>
      <w:r>
        <w:rPr>
          <w:b/>
          <w:color w:val="000000"/>
          <w:u w:val="single"/>
        </w:rPr>
        <w:t>Famille de critères C</w:t>
      </w:r>
      <w:r w:rsidRPr="005A2237">
        <w:rPr>
          <w:b/>
          <w:color w:val="000000"/>
          <w:u w:val="single"/>
        </w:rPr>
        <w:t xml:space="preserve"> –</w:t>
      </w:r>
      <w:r>
        <w:rPr>
          <w:b/>
          <w:color w:val="000000"/>
          <w:u w:val="single"/>
        </w:rPr>
        <w:t xml:space="preserve"> Amélioration</w:t>
      </w:r>
    </w:p>
    <w:p w14:paraId="214B7658" w14:textId="77777777" w:rsidR="005A2237" w:rsidRDefault="005A2237" w:rsidP="005A2237">
      <w:pPr>
        <w:pStyle w:val="SNSignatureGauche0"/>
        <w:spacing w:before="0" w:after="0"/>
        <w:ind w:left="0" w:right="0" w:firstLine="0"/>
        <w:jc w:val="both"/>
        <w:rPr>
          <w:b/>
          <w:color w:val="000000"/>
          <w:u w:val="single"/>
        </w:rPr>
      </w:pPr>
    </w:p>
    <w:p w14:paraId="6707C856" w14:textId="77777777" w:rsidR="005A2237" w:rsidRPr="005A2237" w:rsidRDefault="005A2237" w:rsidP="005A2237">
      <w:pPr>
        <w:pStyle w:val="SNSignatureGauche0"/>
        <w:spacing w:before="0" w:after="0"/>
        <w:ind w:left="0" w:right="0" w:firstLine="0"/>
        <w:jc w:val="both"/>
        <w:rPr>
          <w:b/>
          <w:color w:val="000000"/>
          <w:u w:val="single"/>
        </w:rPr>
      </w:pPr>
      <w:r w:rsidRPr="005A2237">
        <w:rPr>
          <w:b/>
          <w:color w:val="000000"/>
          <w:u w:val="single"/>
        </w:rPr>
        <w:t xml:space="preserve"> </w:t>
      </w:r>
    </w:p>
    <w:p w14:paraId="2DCB3EB7" w14:textId="12A547C5" w:rsidR="00EE55DE" w:rsidRDefault="00EE55DE" w:rsidP="00EE55DE">
      <w:pPr>
        <w:pStyle w:val="SNSignatureGauche0"/>
        <w:spacing w:before="0" w:after="0"/>
        <w:ind w:left="0" w:right="0" w:firstLine="0"/>
        <w:jc w:val="both"/>
        <w:rPr>
          <w:color w:val="000000"/>
        </w:rPr>
      </w:pPr>
      <w:r>
        <w:rPr>
          <w:color w:val="000000"/>
        </w:rPr>
        <w:t xml:space="preserve">La famille de critères relatifs à l’amélioration des équipements concerne certaines catégories de produits. </w:t>
      </w:r>
    </w:p>
    <w:p w14:paraId="0B6896B7" w14:textId="7358F86D" w:rsidR="00E17BA6" w:rsidRDefault="007D3E5D" w:rsidP="00EE55DE">
      <w:pPr>
        <w:pStyle w:val="SNSignatureGauche0"/>
        <w:spacing w:before="0" w:after="0"/>
        <w:ind w:left="0" w:right="0" w:firstLine="0"/>
        <w:jc w:val="both"/>
        <w:rPr>
          <w:color w:val="000000"/>
        </w:rPr>
      </w:pPr>
      <w:r>
        <w:rPr>
          <w:color w:val="000000"/>
        </w:rPr>
        <w:t>L’amélioration s’étend comme la capacité d’un équipement à faire l’objet d’améliorations</w:t>
      </w:r>
      <w:r w:rsidR="00E17BA6">
        <w:rPr>
          <w:color w:val="000000"/>
        </w:rPr>
        <w:t xml:space="preserve"> relatives aux </w:t>
      </w:r>
      <w:r>
        <w:rPr>
          <w:color w:val="000000"/>
        </w:rPr>
        <w:t xml:space="preserve">capacités </w:t>
      </w:r>
      <w:r w:rsidR="00EF42AA">
        <w:rPr>
          <w:color w:val="000000"/>
        </w:rPr>
        <w:t xml:space="preserve">ou performances </w:t>
      </w:r>
      <w:r>
        <w:rPr>
          <w:color w:val="000000"/>
        </w:rPr>
        <w:t>de l’</w:t>
      </w:r>
      <w:r w:rsidR="00E17BA6">
        <w:rPr>
          <w:color w:val="000000"/>
        </w:rPr>
        <w:t xml:space="preserve">équipements, </w:t>
      </w:r>
      <w:r>
        <w:rPr>
          <w:color w:val="000000"/>
        </w:rPr>
        <w:t>ses fonctionnalités</w:t>
      </w:r>
      <w:r w:rsidR="00E17BA6">
        <w:rPr>
          <w:color w:val="000000"/>
        </w:rPr>
        <w:t xml:space="preserve">, ou encore au développement de nouvelles fonctionnalités </w:t>
      </w:r>
      <w:r w:rsidR="00E17BA6" w:rsidRPr="00E17BA6">
        <w:rPr>
          <w:color w:val="000000"/>
        </w:rPr>
        <w:t>dans le respect du fonctionnement conforme à l'usage attendu et à la description du vendeur des équipements du modèle concerné</w:t>
      </w:r>
      <w:r w:rsidR="00E17BA6">
        <w:rPr>
          <w:color w:val="000000"/>
        </w:rPr>
        <w:t>.</w:t>
      </w:r>
    </w:p>
    <w:p w14:paraId="49760923" w14:textId="35AE78B5" w:rsidR="00EB2721" w:rsidRPr="00DB0A64" w:rsidRDefault="00EE55DE" w:rsidP="00EE55DE">
      <w:pPr>
        <w:pStyle w:val="SNSignatureGauche0"/>
        <w:spacing w:before="0" w:after="0"/>
        <w:ind w:left="0" w:right="0" w:firstLine="0"/>
        <w:jc w:val="both"/>
        <w:rPr>
          <w:color w:val="000000"/>
        </w:rPr>
      </w:pPr>
      <w:r>
        <w:rPr>
          <w:color w:val="000000"/>
        </w:rPr>
        <w:t>Le cas échéant, l</w:t>
      </w:r>
      <w:r w:rsidRPr="00DB0A64">
        <w:rPr>
          <w:color w:val="000000"/>
        </w:rPr>
        <w:t>a note de la fa</w:t>
      </w:r>
      <w:r w:rsidR="003620FC">
        <w:rPr>
          <w:color w:val="000000"/>
        </w:rPr>
        <w:t>mille de critères relative à l’amélioration/évolutivité</w:t>
      </w:r>
      <w:r w:rsidRPr="00DB0A64">
        <w:rPr>
          <w:color w:val="000000"/>
        </w:rPr>
        <w:t xml:space="preserve"> doit être déterminée selon les critères suivants. </w:t>
      </w:r>
    </w:p>
    <w:p w14:paraId="2E3F2248" w14:textId="77777777" w:rsidR="00EE55DE" w:rsidRDefault="00EE55DE">
      <w:pPr>
        <w:suppressAutoHyphens w:val="0"/>
        <w:jc w:val="both"/>
        <w:rPr>
          <w:color w:val="000000"/>
          <w:lang w:eastAsia="fr-FR"/>
        </w:rPr>
      </w:pPr>
    </w:p>
    <w:p w14:paraId="6D599DF0" w14:textId="75BDC274" w:rsidR="00EE55DE" w:rsidRPr="00EE55DE" w:rsidRDefault="00EE55DE" w:rsidP="00EE55DE">
      <w:pPr>
        <w:pStyle w:val="SNSignatureGauche0"/>
        <w:spacing w:before="0" w:after="0"/>
        <w:ind w:left="0" w:right="0" w:firstLine="0"/>
        <w:jc w:val="both"/>
        <w:rPr>
          <w:b/>
          <w:color w:val="000000"/>
        </w:rPr>
      </w:pPr>
      <w:r>
        <w:rPr>
          <w:b/>
          <w:color w:val="000000"/>
        </w:rPr>
        <w:t>Critère n°1 – Amélioration logicielle</w:t>
      </w:r>
      <w:r w:rsidR="005A084C">
        <w:rPr>
          <w:b/>
          <w:color w:val="000000"/>
        </w:rPr>
        <w:t xml:space="preserve"> </w:t>
      </w:r>
    </w:p>
    <w:p w14:paraId="64F7E8A4" w14:textId="77777777" w:rsidR="00EE55DE" w:rsidRDefault="00EE55DE" w:rsidP="00EE55DE">
      <w:pPr>
        <w:pStyle w:val="SNSignatureGauche0"/>
        <w:spacing w:before="0" w:after="0"/>
        <w:ind w:left="0" w:right="0" w:firstLine="0"/>
        <w:jc w:val="both"/>
      </w:pPr>
    </w:p>
    <w:p w14:paraId="117A742E" w14:textId="5BF929D9" w:rsidR="005A084C" w:rsidRPr="005A084C" w:rsidRDefault="00EE55DE" w:rsidP="00EE55DE">
      <w:pPr>
        <w:suppressAutoHyphens w:val="0"/>
        <w:jc w:val="both"/>
      </w:pPr>
      <w:r>
        <w:t xml:space="preserve">Déterminé par </w:t>
      </w:r>
      <w:r w:rsidR="005A084C">
        <w:t>l’engagement du producteur, ou autre metteur sur le marché, à fournir des améliorations de nature logicielle afin d</w:t>
      </w:r>
      <w:r w:rsidR="002F339D">
        <w:t xml:space="preserve">’améliorer les capacités, performances de l’équipement, </w:t>
      </w:r>
      <w:r w:rsidR="005A084C">
        <w:t>une fonctionnalité existante ou</w:t>
      </w:r>
      <w:r w:rsidR="002F339D">
        <w:t xml:space="preserve"> encore de développer</w:t>
      </w:r>
      <w:r w:rsidR="005A084C">
        <w:t xml:space="preserve"> une autre fonctionnalité, dans le respect du fonctionnement </w:t>
      </w:r>
      <w:r w:rsidR="005A084C">
        <w:rPr>
          <w:color w:val="000000"/>
        </w:rPr>
        <w:t>conforme</w:t>
      </w:r>
      <w:r w:rsidR="005A084C">
        <w:t xml:space="preserve"> à l'usage attendu et à la description du vendeur des équipements du modèle concerné.</w:t>
      </w:r>
    </w:p>
    <w:p w14:paraId="122AC105" w14:textId="77777777" w:rsidR="00A14553" w:rsidRDefault="00A14553">
      <w:pPr>
        <w:rPr>
          <w:color w:val="000000"/>
          <w:lang w:eastAsia="fr-FR"/>
        </w:rPr>
      </w:pPr>
    </w:p>
    <w:p w14:paraId="23D22E37" w14:textId="0A21D22E" w:rsidR="00EE55DE" w:rsidRPr="00EE55DE" w:rsidRDefault="00EE55DE" w:rsidP="00EE55DE">
      <w:pPr>
        <w:pStyle w:val="SNSignatureGauche0"/>
        <w:spacing w:before="0" w:after="0"/>
        <w:ind w:left="0" w:right="0" w:firstLine="0"/>
        <w:jc w:val="both"/>
        <w:rPr>
          <w:b/>
          <w:color w:val="000000"/>
        </w:rPr>
      </w:pPr>
      <w:r>
        <w:rPr>
          <w:b/>
          <w:color w:val="000000"/>
        </w:rPr>
        <w:t xml:space="preserve">Critère n°2 – Amélioration matérielle </w:t>
      </w:r>
    </w:p>
    <w:p w14:paraId="0D3BA487" w14:textId="2C2A8709" w:rsidR="00A14553" w:rsidRDefault="00A14553">
      <w:pPr>
        <w:suppressAutoHyphens w:val="0"/>
        <w:jc w:val="both"/>
        <w:rPr>
          <w:color w:val="000000"/>
          <w:lang w:eastAsia="fr-FR"/>
        </w:rPr>
      </w:pPr>
    </w:p>
    <w:p w14:paraId="2847CD8A" w14:textId="00C73FDB" w:rsidR="002F339D" w:rsidRPr="005A084C" w:rsidRDefault="002F339D" w:rsidP="002F339D">
      <w:pPr>
        <w:suppressAutoHyphens w:val="0"/>
        <w:jc w:val="both"/>
      </w:pPr>
      <w:r>
        <w:t xml:space="preserve">Déterminé par l’engagement du producteur, ou autre metteur sur le marché, à fournir des améliorations de nature matérielle afin d’améliorer les capacités, performances de l’équipement, une fonctionnalité existante ou encore de développer une autre fonctionnalité, dans le respect du fonctionnement </w:t>
      </w:r>
      <w:r>
        <w:rPr>
          <w:color w:val="000000"/>
        </w:rPr>
        <w:t>conforme</w:t>
      </w:r>
      <w:r>
        <w:t xml:space="preserve"> à l'usage attendu et à la description du vendeur des équipements du modèle concerné.</w:t>
      </w:r>
    </w:p>
    <w:p w14:paraId="768B3EDB" w14:textId="2AA40865" w:rsidR="005A084C" w:rsidRDefault="005A084C">
      <w:pPr>
        <w:suppressAutoHyphens w:val="0"/>
        <w:jc w:val="both"/>
        <w:rPr>
          <w:color w:val="000000"/>
          <w:lang w:eastAsia="fr-FR"/>
        </w:rPr>
      </w:pPr>
      <w:r>
        <w:t xml:space="preserve">. Lorsque cela est nécessaire, l’amélioration matérielle comprend également une ou plusieurs améliorations logicielles spécifiques à son intégration. </w:t>
      </w:r>
    </w:p>
    <w:p w14:paraId="44237C00" w14:textId="77777777" w:rsidR="00A14553" w:rsidRDefault="003B7692">
      <w:pPr>
        <w:pStyle w:val="SNDatearrt"/>
        <w:pageBreakBefore/>
      </w:pPr>
      <w:r>
        <w:lastRenderedPageBreak/>
        <w:t>Fait le</w:t>
      </w:r>
    </w:p>
    <w:p w14:paraId="2058E53E" w14:textId="56EF1EB8" w:rsidR="00A14553" w:rsidRDefault="003B7692">
      <w:pPr>
        <w:pStyle w:val="SNSignatureGauche"/>
      </w:pPr>
      <w:r>
        <w:t>L</w:t>
      </w:r>
      <w:r w:rsidR="00E17BA6">
        <w:t>e</w:t>
      </w:r>
      <w:r>
        <w:t xml:space="preserve"> ministre de la transition écologique,</w:t>
      </w:r>
    </w:p>
    <w:p w14:paraId="0D5F3BD1" w14:textId="454E0991" w:rsidR="00A14553" w:rsidRDefault="003620FC">
      <w:pPr>
        <w:pStyle w:val="SNSignatureGauche"/>
      </w:pPr>
      <w:r>
        <w:t>Pour le</w:t>
      </w:r>
      <w:r w:rsidR="003B7692">
        <w:t xml:space="preserve"> ministre et par délégation :</w:t>
      </w:r>
    </w:p>
    <w:p w14:paraId="19866E8F" w14:textId="77777777" w:rsidR="00A14553" w:rsidRDefault="003B7692">
      <w:pPr>
        <w:pStyle w:val="SNSignatureGauche"/>
      </w:pPr>
      <w:r>
        <w:rPr>
          <w:color w:val="000000"/>
        </w:rPr>
        <w:t>Le commissaire général au développement durable</w:t>
      </w:r>
    </w:p>
    <w:p w14:paraId="554C2F2D" w14:textId="77777777" w:rsidR="00A14553" w:rsidRDefault="003B7692">
      <w:pPr>
        <w:pStyle w:val="SNSignatureGauche"/>
      </w:pPr>
      <w:r>
        <w:t>T. LESUEUR</w:t>
      </w:r>
    </w:p>
    <w:p w14:paraId="66BAB945" w14:textId="77777777" w:rsidR="00A14553" w:rsidRDefault="00A14553">
      <w:pPr>
        <w:pStyle w:val="SNSignatureDroite"/>
        <w:rPr>
          <w:i/>
          <w:color w:val="0000FF"/>
        </w:rPr>
      </w:pPr>
    </w:p>
    <w:p w14:paraId="246289CC" w14:textId="77777777" w:rsidR="00A14553" w:rsidRDefault="00A14553">
      <w:pPr>
        <w:ind w:firstLine="720"/>
        <w:jc w:val="right"/>
        <w:rPr>
          <w:i/>
          <w:color w:val="0000FF"/>
        </w:rPr>
      </w:pPr>
    </w:p>
    <w:p w14:paraId="734D2901" w14:textId="36D2FADF" w:rsidR="00A14553" w:rsidRDefault="003B7692">
      <w:pPr>
        <w:pStyle w:val="SNSignatureDroite"/>
      </w:pPr>
      <w:r>
        <w:t xml:space="preserve">Le </w:t>
      </w:r>
      <w:r w:rsidR="00E17BA6">
        <w:t>ministre</w:t>
      </w:r>
      <w:r w:rsidR="00E17BA6" w:rsidRPr="00E17BA6">
        <w:t xml:space="preserve"> des finances et de la souveraineté industrielle et numérique</w:t>
      </w:r>
      <w:r>
        <w:t>,</w:t>
      </w:r>
    </w:p>
    <w:p w14:paraId="722AF9A8" w14:textId="77777777" w:rsidR="00A14553" w:rsidRDefault="003B7692">
      <w:pPr>
        <w:pStyle w:val="SNSignatureDroite"/>
      </w:pPr>
      <w:r>
        <w:t>Pour le ministre et par délégation :</w:t>
      </w:r>
    </w:p>
    <w:p w14:paraId="75B88A41" w14:textId="77777777" w:rsidR="00A14553" w:rsidRDefault="003B7692">
      <w:pPr>
        <w:pStyle w:val="SNSignatureDroite"/>
      </w:pPr>
      <w:r>
        <w:rPr>
          <w:color w:val="000000"/>
        </w:rPr>
        <w:t>La directrice générale</w:t>
      </w:r>
    </w:p>
    <w:p w14:paraId="439CD2EE" w14:textId="77777777" w:rsidR="00A14553" w:rsidRDefault="003B7692">
      <w:pPr>
        <w:pStyle w:val="SNSignatureDroite"/>
      </w:pPr>
      <w:r>
        <w:rPr>
          <w:color w:val="000000"/>
        </w:rPr>
        <w:t>de la concurrence, de la consommation,</w:t>
      </w:r>
    </w:p>
    <w:p w14:paraId="7254BCEA" w14:textId="77777777" w:rsidR="00A14553" w:rsidRDefault="003B7692">
      <w:pPr>
        <w:pStyle w:val="SNSignatureDroite"/>
      </w:pPr>
      <w:r>
        <w:rPr>
          <w:color w:val="000000"/>
        </w:rPr>
        <w:t>et de la répression des fraudes</w:t>
      </w:r>
      <w:r>
        <w:t>,</w:t>
      </w:r>
    </w:p>
    <w:p w14:paraId="37E04FA6" w14:textId="53F5A60D" w:rsidR="003B7692" w:rsidRDefault="003B7692">
      <w:pPr>
        <w:widowControl w:val="0"/>
        <w:autoSpaceDE w:val="0"/>
        <w:jc w:val="right"/>
      </w:pPr>
    </w:p>
    <w:sectPr w:rsidR="003B7692">
      <w:pgSz w:w="11906" w:h="16838"/>
      <w:pgMar w:top="1134" w:right="1418"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F6F55" w14:textId="77777777" w:rsidR="00304F2A" w:rsidRDefault="00304F2A" w:rsidP="00BF1B79">
      <w:r>
        <w:separator/>
      </w:r>
    </w:p>
  </w:endnote>
  <w:endnote w:type="continuationSeparator" w:id="0">
    <w:p w14:paraId="32434586" w14:textId="77777777" w:rsidR="00304F2A" w:rsidRDefault="00304F2A" w:rsidP="00BF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CB09B" w14:textId="77777777" w:rsidR="00304F2A" w:rsidRDefault="00304F2A" w:rsidP="00BF1B79">
      <w:r>
        <w:separator/>
      </w:r>
    </w:p>
  </w:footnote>
  <w:footnote w:type="continuationSeparator" w:id="0">
    <w:p w14:paraId="1F9D9820" w14:textId="77777777" w:rsidR="00304F2A" w:rsidRDefault="00304F2A" w:rsidP="00BF1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1492"/>
        </w:tabs>
        <w:ind w:left="1492" w:hanging="360"/>
      </w:pPr>
      <w:rPr>
        <w:rFonts w:cs="Times New Roman"/>
        <w:sz w:val="24"/>
        <w:szCs w:val="24"/>
      </w:rPr>
    </w:lvl>
  </w:abstractNum>
  <w:abstractNum w:abstractNumId="2" w15:restartNumberingAfterBreak="0">
    <w:nsid w:val="04252294"/>
    <w:multiLevelType w:val="hybridMultilevel"/>
    <w:tmpl w:val="82C09030"/>
    <w:lvl w:ilvl="0" w:tplc="CB8894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A86C83"/>
    <w:multiLevelType w:val="hybridMultilevel"/>
    <w:tmpl w:val="050E344E"/>
    <w:lvl w:ilvl="0" w:tplc="5AECA2D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FB5904"/>
    <w:multiLevelType w:val="hybridMultilevel"/>
    <w:tmpl w:val="529483AE"/>
    <w:lvl w:ilvl="0" w:tplc="A520392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2456F7"/>
    <w:multiLevelType w:val="hybridMultilevel"/>
    <w:tmpl w:val="23584784"/>
    <w:lvl w:ilvl="0" w:tplc="F2C05CE4">
      <w:start w:val="1"/>
      <w:numFmt w:val="decimal"/>
      <w:lvlText w:val="(%1)"/>
      <w:lvlJc w:val="left"/>
      <w:pPr>
        <w:ind w:left="825" w:hanging="465"/>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D40"/>
    <w:rsid w:val="00004EEF"/>
    <w:rsid w:val="0002116A"/>
    <w:rsid w:val="000227CE"/>
    <w:rsid w:val="00027E5B"/>
    <w:rsid w:val="000413C7"/>
    <w:rsid w:val="00100C2D"/>
    <w:rsid w:val="00116787"/>
    <w:rsid w:val="001E0870"/>
    <w:rsid w:val="00216363"/>
    <w:rsid w:val="00274A9E"/>
    <w:rsid w:val="002D526C"/>
    <w:rsid w:val="002F339D"/>
    <w:rsid w:val="00304F2A"/>
    <w:rsid w:val="003620FC"/>
    <w:rsid w:val="00374D85"/>
    <w:rsid w:val="0038354B"/>
    <w:rsid w:val="003B7692"/>
    <w:rsid w:val="003F1749"/>
    <w:rsid w:val="00416694"/>
    <w:rsid w:val="00511A37"/>
    <w:rsid w:val="00536F63"/>
    <w:rsid w:val="0056380E"/>
    <w:rsid w:val="005754D9"/>
    <w:rsid w:val="0059370F"/>
    <w:rsid w:val="00594A2B"/>
    <w:rsid w:val="005A084C"/>
    <w:rsid w:val="005A2237"/>
    <w:rsid w:val="005B10CD"/>
    <w:rsid w:val="00643D40"/>
    <w:rsid w:val="00667988"/>
    <w:rsid w:val="006920BE"/>
    <w:rsid w:val="006C6002"/>
    <w:rsid w:val="006D309E"/>
    <w:rsid w:val="006F2183"/>
    <w:rsid w:val="00710C59"/>
    <w:rsid w:val="0073643C"/>
    <w:rsid w:val="00742AC7"/>
    <w:rsid w:val="00782EEA"/>
    <w:rsid w:val="007D3E5D"/>
    <w:rsid w:val="0082734C"/>
    <w:rsid w:val="00841EBD"/>
    <w:rsid w:val="00872DE4"/>
    <w:rsid w:val="00891100"/>
    <w:rsid w:val="009230E8"/>
    <w:rsid w:val="009B0B57"/>
    <w:rsid w:val="009B219E"/>
    <w:rsid w:val="00A14553"/>
    <w:rsid w:val="00A86416"/>
    <w:rsid w:val="00B760F8"/>
    <w:rsid w:val="00B8794F"/>
    <w:rsid w:val="00BF1B79"/>
    <w:rsid w:val="00C81F63"/>
    <w:rsid w:val="00CB2E89"/>
    <w:rsid w:val="00D2465A"/>
    <w:rsid w:val="00D267EA"/>
    <w:rsid w:val="00D3358F"/>
    <w:rsid w:val="00D727B4"/>
    <w:rsid w:val="00DB0A64"/>
    <w:rsid w:val="00E17BA6"/>
    <w:rsid w:val="00E63D3B"/>
    <w:rsid w:val="00EB2721"/>
    <w:rsid w:val="00EB343A"/>
    <w:rsid w:val="00EE55DE"/>
    <w:rsid w:val="00EF42AA"/>
    <w:rsid w:val="00F5687C"/>
    <w:rsid w:val="00F864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678A5D"/>
  <w15:chartTrackingRefBased/>
  <w15:docId w15:val="{524B6234-929B-4684-ADF6-85331445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itre1">
    <w:name w:val="heading 1"/>
    <w:basedOn w:val="Normal"/>
    <w:next w:val="TITRE1OBJET"/>
    <w:qFormat/>
    <w:pPr>
      <w:keepNext/>
      <w:numPr>
        <w:numId w:val="1"/>
      </w:numPr>
      <w:spacing w:before="240"/>
      <w:jc w:val="center"/>
      <w:outlineLvl w:val="0"/>
    </w:pPr>
    <w:rPr>
      <w:rFonts w:cs="Arial"/>
      <w:bCs/>
      <w:caps/>
      <w:kern w:val="2"/>
    </w:rPr>
  </w:style>
  <w:style w:type="paragraph" w:styleId="Titre2">
    <w:name w:val="heading 2"/>
    <w:basedOn w:val="Normal"/>
    <w:next w:val="Titre2objet"/>
    <w:qFormat/>
    <w:pPr>
      <w:keepNext/>
      <w:numPr>
        <w:ilvl w:val="1"/>
        <w:numId w:val="1"/>
      </w:numPr>
      <w:spacing w:before="240"/>
      <w:jc w:val="center"/>
      <w:outlineLvl w:val="1"/>
    </w:pPr>
    <w:rPr>
      <w:bCs/>
      <w:iCs/>
      <w:smallCaps/>
    </w:rPr>
  </w:style>
  <w:style w:type="paragraph" w:styleId="Titre3">
    <w:name w:val="heading 3"/>
    <w:basedOn w:val="Normal"/>
    <w:next w:val="titre3objet"/>
    <w:qFormat/>
    <w:pPr>
      <w:keepNext/>
      <w:numPr>
        <w:ilvl w:val="2"/>
        <w:numId w:val="1"/>
      </w:numPr>
      <w:spacing w:before="120"/>
      <w:jc w:val="center"/>
      <w:outlineLvl w:val="2"/>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sz w:val="24"/>
      <w:szCs w:val="24"/>
    </w:rPr>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Policepardfaut1">
    <w:name w:val="Police par défaut1"/>
  </w:style>
  <w:style w:type="character" w:customStyle="1" w:styleId="SNTimbreCar">
    <w:name w:val="SNTimbre Car"/>
    <w:basedOn w:val="Policepardfaut1"/>
    <w:rPr>
      <w:rFonts w:eastAsia="Lucida Sans Unicode"/>
      <w:sz w:val="24"/>
      <w:szCs w:val="24"/>
      <w:lang w:val="fr-FR" w:bidi="ar-SA"/>
    </w:rPr>
  </w:style>
  <w:style w:type="character" w:customStyle="1" w:styleId="SNDatearrtCar">
    <w:name w:val="SNDate arrêté Car"/>
    <w:basedOn w:val="Policepardfaut1"/>
    <w:rPr>
      <w:sz w:val="24"/>
      <w:szCs w:val="24"/>
      <w:lang w:val="fr-FR" w:bidi="ar-SA"/>
    </w:rPr>
  </w:style>
  <w:style w:type="character" w:customStyle="1" w:styleId="SNArticleCar">
    <w:name w:val="SNArticle Car"/>
    <w:basedOn w:val="Policepardfaut1"/>
    <w:rPr>
      <w:b/>
      <w:sz w:val="24"/>
      <w:szCs w:val="24"/>
      <w:lang w:val="fr-FR" w:bidi="ar-SA"/>
    </w:rPr>
  </w:style>
  <w:style w:type="character" w:customStyle="1" w:styleId="CarCar">
    <w:name w:val="Car Car"/>
    <w:rPr>
      <w:sz w:val="24"/>
      <w:szCs w:val="24"/>
    </w:rPr>
  </w:style>
  <w:style w:type="character" w:customStyle="1" w:styleId="Puces">
    <w:name w:val="Puces"/>
    <w:rPr>
      <w:rFonts w:ascii="OpenSymbol" w:eastAsia="OpenSymbol" w:hAnsi="OpenSymbol" w:cs="OpenSymbol"/>
    </w:rPr>
  </w:style>
  <w:style w:type="character" w:customStyle="1" w:styleId="Policepardfaut2">
    <w:name w:val="Police par défaut2"/>
  </w:style>
  <w:style w:type="character" w:styleId="Lienhypertexte">
    <w:name w:val="Hyperlink"/>
    <w:rPr>
      <w:color w:val="000080"/>
      <w:u w:val="single"/>
    </w:rPr>
  </w:style>
  <w:style w:type="paragraph" w:customStyle="1" w:styleId="Titre10">
    <w:name w:val="Titre1"/>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20"/>
      <w:jc w:val="both"/>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SNREPUBLIQUE">
    <w:name w:val="SNREPUBLIQUE"/>
    <w:basedOn w:val="Normal"/>
    <w:pPr>
      <w:jc w:val="center"/>
    </w:pPr>
    <w:rPr>
      <w:b/>
      <w:bCs/>
      <w:szCs w:val="20"/>
    </w:rPr>
  </w:style>
  <w:style w:type="paragraph" w:customStyle="1" w:styleId="Ministre">
    <w:name w:val="Ministère"/>
    <w:basedOn w:val="Corpsdetexte"/>
    <w:pPr>
      <w:widowControl w:val="0"/>
      <w:snapToGrid w:val="0"/>
      <w:spacing w:before="120" w:after="0"/>
      <w:jc w:val="center"/>
    </w:pPr>
    <w:rPr>
      <w:rFonts w:eastAsia="Lucida Sans Unicode"/>
    </w:rPr>
  </w:style>
  <w:style w:type="paragraph" w:customStyle="1" w:styleId="puce1">
    <w:name w:val="puce1"/>
    <w:basedOn w:val="Normal"/>
    <w:pPr>
      <w:widowControl w:val="0"/>
      <w:tabs>
        <w:tab w:val="left" w:pos="1429"/>
      </w:tabs>
      <w:spacing w:before="240"/>
      <w:ind w:left="1429" w:hanging="360"/>
    </w:pPr>
    <w:rPr>
      <w:rFonts w:eastAsia="Lucida Sans Unicode"/>
    </w:rPr>
  </w:style>
  <w:style w:type="paragraph" w:customStyle="1" w:styleId="puce2">
    <w:name w:val="puce2"/>
    <w:basedOn w:val="Normal"/>
    <w:pPr>
      <w:widowControl w:val="0"/>
      <w:tabs>
        <w:tab w:val="left" w:pos="2149"/>
      </w:tabs>
      <w:spacing w:before="240"/>
      <w:ind w:left="2149" w:hanging="360"/>
    </w:pPr>
    <w:rPr>
      <w:rFonts w:eastAsia="Lucida Sans Unicode"/>
    </w:rPr>
  </w:style>
  <w:style w:type="paragraph" w:customStyle="1" w:styleId="puce3">
    <w:name w:val="puce3"/>
    <w:basedOn w:val="Normal"/>
    <w:pPr>
      <w:widowControl w:val="0"/>
      <w:tabs>
        <w:tab w:val="left" w:pos="2869"/>
      </w:tabs>
      <w:spacing w:before="240"/>
      <w:ind w:left="2869" w:hanging="360"/>
    </w:pPr>
    <w:rPr>
      <w:rFonts w:eastAsia="Lucida Sans Unicode"/>
    </w:rPr>
  </w:style>
  <w:style w:type="paragraph" w:customStyle="1" w:styleId="num1">
    <w:name w:val="num1"/>
    <w:basedOn w:val="Normal"/>
    <w:pPr>
      <w:widowControl w:val="0"/>
      <w:tabs>
        <w:tab w:val="left" w:pos="1429"/>
      </w:tabs>
      <w:spacing w:before="240"/>
      <w:ind w:left="1429" w:hanging="360"/>
    </w:pPr>
    <w:rPr>
      <w:rFonts w:eastAsia="Lucida Sans Unicode"/>
    </w:rPr>
  </w:style>
  <w:style w:type="paragraph" w:customStyle="1" w:styleId="num2">
    <w:name w:val="num2"/>
    <w:basedOn w:val="Normal"/>
    <w:pPr>
      <w:widowControl w:val="0"/>
      <w:tabs>
        <w:tab w:val="left" w:pos="2149"/>
      </w:tabs>
      <w:spacing w:before="240"/>
      <w:ind w:left="2149" w:hanging="360"/>
    </w:pPr>
    <w:rPr>
      <w:rFonts w:eastAsia="Lucida Sans Unicode"/>
    </w:rPr>
  </w:style>
  <w:style w:type="paragraph" w:customStyle="1" w:styleId="num3">
    <w:name w:val="num3"/>
    <w:basedOn w:val="Normal"/>
    <w:pPr>
      <w:widowControl w:val="0"/>
      <w:tabs>
        <w:tab w:val="left" w:pos="2869"/>
      </w:tabs>
      <w:spacing w:before="240"/>
      <w:ind w:left="2869" w:hanging="180"/>
    </w:pPr>
    <w:rPr>
      <w:rFonts w:eastAsia="Lucida Sans Unicode"/>
    </w:rPr>
  </w:style>
  <w:style w:type="paragraph" w:customStyle="1" w:styleId="Direction">
    <w:name w:val="Direction"/>
    <w:basedOn w:val="Normal"/>
    <w:pPr>
      <w:spacing w:before="720"/>
      <w:jc w:val="center"/>
    </w:pPr>
    <w:rPr>
      <w:b/>
    </w:rPr>
  </w:style>
  <w:style w:type="paragraph" w:customStyle="1" w:styleId="SNConsultation">
    <w:name w:val="SNConsultation"/>
    <w:basedOn w:val="Normal"/>
    <w:pPr>
      <w:widowControl w:val="0"/>
      <w:spacing w:before="120" w:after="120"/>
      <w:ind w:firstLine="709"/>
      <w:jc w:val="both"/>
    </w:pPr>
    <w:rPr>
      <w:rFonts w:eastAsia="Lucida Sans Unicode"/>
    </w:rPr>
  </w:style>
  <w:style w:type="paragraph" w:customStyle="1" w:styleId="SNNature">
    <w:name w:val="SNNature"/>
    <w:basedOn w:val="Normal"/>
    <w:next w:val="SNtitre"/>
    <w:pPr>
      <w:widowControl w:val="0"/>
      <w:suppressLineNumbers/>
      <w:spacing w:before="720" w:after="120"/>
      <w:jc w:val="center"/>
    </w:pPr>
    <w:rPr>
      <w:rFonts w:eastAsia="Lucida Sans Unicode"/>
      <w:b/>
      <w:bCs/>
    </w:rPr>
  </w:style>
  <w:style w:type="paragraph" w:customStyle="1" w:styleId="SNtitre">
    <w:name w:val="SNtitre"/>
    <w:basedOn w:val="Normal"/>
    <w:next w:val="SNNORCentr"/>
    <w:pPr>
      <w:widowControl w:val="0"/>
      <w:suppressLineNumbers/>
      <w:spacing w:after="360"/>
      <w:jc w:val="center"/>
    </w:pPr>
    <w:rPr>
      <w:rFonts w:eastAsia="Lucida Sans Unicode"/>
      <w:b/>
    </w:rPr>
  </w:style>
  <w:style w:type="paragraph" w:customStyle="1" w:styleId="SNNORCentr">
    <w:name w:val="SNNOR+Centré"/>
    <w:next w:val="SNAutorit"/>
    <w:pPr>
      <w:suppressAutoHyphens/>
      <w:jc w:val="center"/>
    </w:pPr>
    <w:rPr>
      <w:bCs/>
      <w:sz w:val="24"/>
      <w:lang w:eastAsia="zh-CN"/>
    </w:rPr>
  </w:style>
  <w:style w:type="paragraph" w:customStyle="1" w:styleId="SNAutorit">
    <w:name w:val="SNAutorité"/>
    <w:basedOn w:val="Normal"/>
    <w:pPr>
      <w:spacing w:before="720" w:after="240"/>
      <w:ind w:firstLine="720"/>
    </w:pPr>
    <w:rPr>
      <w:b/>
    </w:rPr>
  </w:style>
  <w:style w:type="paragraph" w:customStyle="1" w:styleId="SNTimbre">
    <w:name w:val="SNTimbre"/>
    <w:basedOn w:val="Normal"/>
    <w:pPr>
      <w:widowControl w:val="0"/>
      <w:snapToGrid w:val="0"/>
      <w:spacing w:before="120"/>
      <w:jc w:val="center"/>
    </w:pPr>
    <w:rPr>
      <w:rFonts w:eastAsia="Lucida Sans Unicode"/>
    </w:rPr>
  </w:style>
  <w:style w:type="paragraph" w:customStyle="1" w:styleId="SNRapport">
    <w:name w:val="SNRapport"/>
    <w:basedOn w:val="Normal"/>
    <w:pPr>
      <w:spacing w:before="240" w:after="120"/>
      <w:ind w:firstLine="720"/>
    </w:pPr>
  </w:style>
  <w:style w:type="paragraph" w:customStyle="1" w:styleId="SNVisa">
    <w:name w:val="SNVisa"/>
    <w:basedOn w:val="Normal"/>
    <w:pPr>
      <w:spacing w:before="120" w:after="120"/>
      <w:ind w:firstLine="720"/>
    </w:pPr>
  </w:style>
  <w:style w:type="paragraph" w:customStyle="1" w:styleId="SNDatearrt">
    <w:name w:val="SNDate arrêté"/>
    <w:basedOn w:val="Normal"/>
    <w:next w:val="Normal"/>
    <w:pPr>
      <w:spacing w:before="480" w:after="480"/>
      <w:ind w:firstLine="720"/>
    </w:pPr>
  </w:style>
  <w:style w:type="paragraph" w:customStyle="1" w:styleId="SNActe">
    <w:name w:val="SNActe"/>
    <w:basedOn w:val="Normal"/>
    <w:pPr>
      <w:spacing w:before="480" w:after="360"/>
      <w:jc w:val="center"/>
    </w:pPr>
    <w:rPr>
      <w:b/>
    </w:rPr>
  </w:style>
  <w:style w:type="paragraph" w:customStyle="1" w:styleId="SNArticle">
    <w:name w:val="SNArticle"/>
    <w:basedOn w:val="Normal"/>
    <w:next w:val="Corpsdetexte"/>
    <w:pPr>
      <w:spacing w:before="240" w:after="240"/>
      <w:jc w:val="center"/>
    </w:pPr>
    <w:rPr>
      <w:b/>
    </w:rPr>
  </w:style>
  <w:style w:type="paragraph" w:customStyle="1" w:styleId="SNConsidrant">
    <w:name w:val="SNConsidérant"/>
    <w:basedOn w:val="Normal"/>
    <w:pPr>
      <w:ind w:firstLine="720"/>
    </w:pPr>
  </w:style>
  <w:style w:type="paragraph" w:customStyle="1" w:styleId="SNConsultationCE">
    <w:name w:val="SNConsultationCE"/>
    <w:basedOn w:val="SNConsultation"/>
  </w:style>
  <w:style w:type="paragraph" w:customStyle="1" w:styleId="SNConsultationCM">
    <w:name w:val="SNConsultationCM"/>
    <w:basedOn w:val="SNConsultation"/>
  </w:style>
  <w:style w:type="paragraph" w:customStyle="1" w:styleId="SNDirection">
    <w:name w:val="SNDirection"/>
    <w:basedOn w:val="Normal"/>
    <w:pPr>
      <w:spacing w:before="720"/>
      <w:jc w:val="center"/>
    </w:pPr>
    <w:rPr>
      <w:b/>
    </w:rPr>
  </w:style>
  <w:style w:type="paragraph" w:customStyle="1" w:styleId="SNIntitul">
    <w:name w:val="SNIntitulé"/>
    <w:basedOn w:val="Normal"/>
    <w:pPr>
      <w:jc w:val="center"/>
    </w:pPr>
  </w:style>
  <w:style w:type="paragraph" w:customStyle="1" w:styleId="SNTitreRapport">
    <w:name w:val="SNTitreRapport"/>
    <w:basedOn w:val="SNActe"/>
  </w:style>
  <w:style w:type="paragraph" w:customStyle="1" w:styleId="SNExcution">
    <w:name w:val="SNExécution"/>
    <w:basedOn w:val="Normal"/>
  </w:style>
  <w:style w:type="paragraph" w:customStyle="1" w:styleId="SNLibell">
    <w:name w:val="SNLibellé"/>
    <w:basedOn w:val="Normal"/>
  </w:style>
  <w:style w:type="paragraph" w:customStyle="1" w:styleId="SNRfrence">
    <w:name w:val="SNRéférence"/>
    <w:basedOn w:val="Normal"/>
  </w:style>
  <w:style w:type="paragraph" w:styleId="Textedebulles">
    <w:name w:val="Balloon Text"/>
    <w:basedOn w:val="Normal"/>
    <w:rPr>
      <w:rFonts w:ascii="Tahoma" w:hAnsi="Tahoma" w:cs="Tahoma"/>
      <w:sz w:val="16"/>
      <w:szCs w:val="16"/>
    </w:rPr>
  </w:style>
  <w:style w:type="paragraph" w:customStyle="1" w:styleId="SNSignatureGauche">
    <w:name w:val="SNSignature Gauche"/>
    <w:basedOn w:val="Normal"/>
    <w:pPr>
      <w:ind w:firstLine="720"/>
    </w:pPr>
  </w:style>
  <w:style w:type="paragraph" w:customStyle="1" w:styleId="SNSignatureDroite">
    <w:name w:val="SNSignature Droite"/>
    <w:basedOn w:val="Normal"/>
    <w:pPr>
      <w:jc w:val="right"/>
    </w:pPr>
  </w:style>
  <w:style w:type="paragraph" w:customStyle="1" w:styleId="TITRE1OBJET">
    <w:name w:val="TITRE 1 OBJET"/>
    <w:basedOn w:val="Titre1"/>
    <w:next w:val="Normal"/>
    <w:pPr>
      <w:numPr>
        <w:numId w:val="0"/>
      </w:numPr>
      <w:spacing w:before="0" w:after="120"/>
      <w:outlineLvl w:val="9"/>
    </w:pPr>
    <w:rPr>
      <w:b/>
    </w:rPr>
  </w:style>
  <w:style w:type="paragraph" w:customStyle="1" w:styleId="Titre2objet">
    <w:name w:val="Titre 2 objet"/>
    <w:basedOn w:val="Titre2"/>
    <w:next w:val="Normal"/>
    <w:pPr>
      <w:numPr>
        <w:ilvl w:val="0"/>
        <w:numId w:val="0"/>
      </w:numPr>
      <w:spacing w:before="0" w:after="120"/>
      <w:outlineLvl w:val="9"/>
    </w:pPr>
    <w:rPr>
      <w:b/>
    </w:rPr>
  </w:style>
  <w:style w:type="paragraph" w:customStyle="1" w:styleId="titre3objet">
    <w:name w:val="titre 3 objet"/>
    <w:basedOn w:val="Titre3"/>
    <w:next w:val="Normal"/>
    <w:pPr>
      <w:numPr>
        <w:ilvl w:val="0"/>
        <w:numId w:val="0"/>
      </w:numPr>
      <w:spacing w:before="0"/>
      <w:outlineLvl w:val="9"/>
    </w:pPr>
    <w:rPr>
      <w:b/>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qFormat/>
    <w:pPr>
      <w:spacing w:after="160"/>
      <w:ind w:left="720"/>
      <w:contextualSpacing/>
    </w:pPr>
    <w:rPr>
      <w:rFonts w:eastAsia="Calibri"/>
    </w:rPr>
  </w:style>
  <w:style w:type="paragraph" w:customStyle="1" w:styleId="SNSignatureGauche0">
    <w:name w:val="SNSignatureGauche"/>
    <w:basedOn w:val="Normal"/>
    <w:pPr>
      <w:spacing w:before="120" w:after="1680"/>
      <w:ind w:left="720" w:right="-6" w:firstLine="1080"/>
      <w:jc w:val="right"/>
    </w:pPr>
  </w:style>
  <w:style w:type="paragraph" w:customStyle="1" w:styleId="Tabletitle">
    <w:name w:val="Table title"/>
    <w:basedOn w:val="Normal"/>
    <w:pPr>
      <w:keepNext/>
      <w:spacing w:before="120" w:after="120" w:line="240" w:lineRule="atLeast"/>
      <w:jc w:val="center"/>
    </w:pPr>
    <w:rPr>
      <w:rFonts w:ascii="Arial" w:eastAsia="Calibri" w:hAnsi="Arial"/>
      <w:b/>
      <w:sz w:val="20"/>
      <w:lang w:val="en-GB"/>
    </w:rPr>
  </w:style>
  <w:style w:type="paragraph" w:customStyle="1" w:styleId="Tablebody">
    <w:name w:val="Table body"/>
    <w:basedOn w:val="Normal"/>
    <w:pPr>
      <w:suppressAutoHyphens w:val="0"/>
      <w:spacing w:before="60" w:after="60" w:line="210" w:lineRule="atLeast"/>
    </w:pPr>
    <w:rPr>
      <w:rFonts w:ascii="Arial" w:eastAsia="Calibri" w:hAnsi="Arial"/>
      <w:sz w:val="20"/>
      <w:lang w:val="en-GB"/>
    </w:rPr>
  </w:style>
  <w:style w:type="paragraph" w:customStyle="1" w:styleId="Tableheader">
    <w:name w:val="Table header"/>
    <w:basedOn w:val="Tablebody"/>
  </w:style>
  <w:style w:type="paragraph" w:customStyle="1" w:styleId="DocumentMap">
    <w:name w:val="DocumentMap"/>
    <w:pPr>
      <w:suppressAutoHyphens/>
    </w:pPr>
    <w:rPr>
      <w:sz w:val="24"/>
      <w:szCs w:val="24"/>
    </w:rPr>
  </w:style>
  <w:style w:type="character" w:styleId="Marquedecommentaire">
    <w:name w:val="annotation reference"/>
    <w:basedOn w:val="Policepardfaut"/>
    <w:uiPriority w:val="99"/>
    <w:semiHidden/>
    <w:unhideWhenUsed/>
    <w:rsid w:val="00536F63"/>
    <w:rPr>
      <w:sz w:val="16"/>
      <w:szCs w:val="16"/>
    </w:rPr>
  </w:style>
  <w:style w:type="paragraph" w:styleId="Commentaire">
    <w:name w:val="annotation text"/>
    <w:basedOn w:val="Normal"/>
    <w:link w:val="CommentaireCar"/>
    <w:uiPriority w:val="99"/>
    <w:semiHidden/>
    <w:unhideWhenUsed/>
    <w:rsid w:val="00536F63"/>
    <w:rPr>
      <w:sz w:val="20"/>
      <w:szCs w:val="20"/>
    </w:rPr>
  </w:style>
  <w:style w:type="character" w:customStyle="1" w:styleId="CommentaireCar">
    <w:name w:val="Commentaire Car"/>
    <w:basedOn w:val="Policepardfaut"/>
    <w:link w:val="Commentaire"/>
    <w:uiPriority w:val="99"/>
    <w:semiHidden/>
    <w:rsid w:val="00536F63"/>
    <w:rPr>
      <w:lang w:eastAsia="zh-CN"/>
    </w:rPr>
  </w:style>
  <w:style w:type="paragraph" w:styleId="Objetducommentaire">
    <w:name w:val="annotation subject"/>
    <w:basedOn w:val="Commentaire"/>
    <w:next w:val="Commentaire"/>
    <w:link w:val="ObjetducommentaireCar"/>
    <w:uiPriority w:val="99"/>
    <w:semiHidden/>
    <w:unhideWhenUsed/>
    <w:rsid w:val="00536F63"/>
    <w:rPr>
      <w:b/>
      <w:bCs/>
    </w:rPr>
  </w:style>
  <w:style w:type="character" w:customStyle="1" w:styleId="ObjetducommentaireCar">
    <w:name w:val="Objet du commentaire Car"/>
    <w:basedOn w:val="CommentaireCar"/>
    <w:link w:val="Objetducommentaire"/>
    <w:uiPriority w:val="99"/>
    <w:semiHidden/>
    <w:rsid w:val="00536F63"/>
    <w:rPr>
      <w:b/>
      <w:bCs/>
      <w:lang w:eastAsia="zh-CN"/>
    </w:rPr>
  </w:style>
  <w:style w:type="table" w:styleId="Grilledutableau">
    <w:name w:val="Table Grid"/>
    <w:basedOn w:val="TableauNormal"/>
    <w:uiPriority w:val="39"/>
    <w:rsid w:val="00536F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2DE4"/>
    <w:pPr>
      <w:autoSpaceDE w:val="0"/>
      <w:autoSpaceDN w:val="0"/>
      <w:adjustRightInd w:val="0"/>
    </w:pPr>
    <w:rPr>
      <w:rFonts w:ascii="Arial" w:hAnsi="Arial" w:cs="Arial"/>
      <w:color w:val="000000"/>
      <w:sz w:val="24"/>
      <w:szCs w:val="24"/>
    </w:rPr>
  </w:style>
  <w:style w:type="table" w:customStyle="1" w:styleId="Grilledutableau1">
    <w:name w:val="Grille du tableau1"/>
    <w:basedOn w:val="TableauNormal"/>
    <w:next w:val="Grilledutableau"/>
    <w:uiPriority w:val="39"/>
    <w:rsid w:val="00100C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F1B79"/>
    <w:rPr>
      <w:sz w:val="20"/>
      <w:szCs w:val="20"/>
    </w:rPr>
  </w:style>
  <w:style w:type="character" w:customStyle="1" w:styleId="NotedebasdepageCar">
    <w:name w:val="Note de bas de page Car"/>
    <w:basedOn w:val="Policepardfaut"/>
    <w:link w:val="Notedebasdepage"/>
    <w:uiPriority w:val="99"/>
    <w:semiHidden/>
    <w:rsid w:val="00BF1B79"/>
    <w:rPr>
      <w:lang w:eastAsia="zh-CN"/>
    </w:rPr>
  </w:style>
  <w:style w:type="character" w:styleId="Appelnotedebasdep">
    <w:name w:val="footnote reference"/>
    <w:basedOn w:val="Policepardfaut"/>
    <w:uiPriority w:val="99"/>
    <w:semiHidden/>
    <w:unhideWhenUsed/>
    <w:rsid w:val="00BF1B79"/>
    <w:rPr>
      <w:vertAlign w:val="superscript"/>
    </w:rPr>
  </w:style>
  <w:style w:type="character" w:customStyle="1" w:styleId="surlignage">
    <w:name w:val="surlignage"/>
    <w:qFormat/>
    <w:rsid w:val="006D3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641822">
      <w:bodyDiv w:val="1"/>
      <w:marLeft w:val="0"/>
      <w:marRight w:val="0"/>
      <w:marTop w:val="0"/>
      <w:marBottom w:val="0"/>
      <w:divBdr>
        <w:top w:val="none" w:sz="0" w:space="0" w:color="auto"/>
        <w:left w:val="none" w:sz="0" w:space="0" w:color="auto"/>
        <w:bottom w:val="none" w:sz="0" w:space="0" w:color="auto"/>
        <w:right w:val="none" w:sz="0" w:space="0" w:color="auto"/>
      </w:divBdr>
    </w:div>
    <w:div w:id="196125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donata\SOLON\solon\Mod&#232;les_bis\sol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1E14C-4608-44BC-94E2-D02ADA1A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solon.dot</Template>
  <TotalTime>0</TotalTime>
  <Pages>12</Pages>
  <Words>3199</Words>
  <Characters>17600</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REPUBLIQUE FRANCAISE</vt:lpstr>
    </vt:vector>
  </TitlesOfParts>
  <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SPM</dc:creator>
  <cp:keywords/>
  <cp:lastModifiedBy>MOIZO Juliette</cp:lastModifiedBy>
  <cp:revision>3</cp:revision>
  <cp:lastPrinted>1899-12-31T23:00:00Z</cp:lastPrinted>
  <dcterms:created xsi:type="dcterms:W3CDTF">2023-08-28T14:42:00Z</dcterms:created>
  <dcterms:modified xsi:type="dcterms:W3CDTF">2023-08-28T14:59:00Z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-1365639153</vt:i4>
  </property>
  <property fmtid="{D5CDD505-2E9C-101B-9397-08002B2CF9AE}" pid="3" name="_AuthorEmail">
    <vt:lpwstr>stephane.bouchard@sgg.pm.gouv.fr</vt:lpwstr>
  </property>
  <property fmtid="{D5CDD505-2E9C-101B-9397-08002B2CF9AE}" pid="4" name="_AuthorEmailDisplayName">
    <vt:lpwstr>BOUCHARD Stephane</vt:lpwstr>
  </property>
  <property fmtid="{D5CDD505-2E9C-101B-9397-08002B2CF9AE}" pid="5" name="_EmailSubject">
    <vt:lpwstr>Feuilles de style définitives</vt:lpwstr>
  </property>
  <property fmtid="{D5CDD505-2E9C-101B-9397-08002B2CF9AE}" pid="6" name="_ReviewingToolsShownOnce">
    <vt:lpwstr/>
  </property>
</Properties>
</file>