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BD" w:rsidRDefault="007D09BD" w:rsidP="007D09BD">
      <w:pPr>
        <w:spacing w:before="100" w:beforeAutospacing="1" w:after="119" w:line="276" w:lineRule="auto"/>
        <w:rPr>
          <w:rFonts w:ascii="Marianne" w:eastAsia="Times New Roman" w:hAnsi="Marianne" w:cs="Calibri"/>
          <w:b/>
          <w:bCs/>
          <w:color w:val="000000"/>
          <w:sz w:val="28"/>
          <w:szCs w:val="28"/>
          <w:lang w:eastAsia="fr-FR"/>
        </w:rPr>
      </w:pPr>
      <w:r>
        <w:rPr>
          <w:rFonts w:ascii="Marianne" w:eastAsia="Times New Roman" w:hAnsi="Marianne" w:cs="Calibri"/>
          <w:b/>
          <w:bCs/>
          <w:color w:val="000000"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74.25pt">
            <v:imagedata r:id="rId5" o:title="MIN_Transition_Energetique_RVB"/>
          </v:shape>
        </w:pict>
      </w:r>
    </w:p>
    <w:p w:rsidR="008F4347" w:rsidRPr="008F4347" w:rsidRDefault="008F4347" w:rsidP="007D09BD">
      <w:pPr>
        <w:spacing w:before="100" w:beforeAutospacing="1" w:after="119" w:line="276" w:lineRule="auto"/>
        <w:jc w:val="center"/>
        <w:rPr>
          <w:rFonts w:ascii="Marianne" w:eastAsia="Times New Roman" w:hAnsi="Marianne" w:cs="Calibri"/>
          <w:color w:val="000000"/>
          <w:lang w:eastAsia="fr-FR"/>
        </w:rPr>
      </w:pPr>
      <w:r w:rsidRPr="008F4347">
        <w:rPr>
          <w:rFonts w:ascii="Marianne" w:eastAsia="Times New Roman" w:hAnsi="Marianne" w:cs="Calibri"/>
          <w:b/>
          <w:bCs/>
          <w:color w:val="000000"/>
          <w:sz w:val="28"/>
          <w:szCs w:val="28"/>
          <w:lang w:eastAsia="fr-FR"/>
        </w:rPr>
        <w:t>Motifs de la décision</w:t>
      </w:r>
    </w:p>
    <w:p w:rsidR="008F4347" w:rsidRPr="008F4347" w:rsidRDefault="008F4347" w:rsidP="008F4347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beforeAutospacing="1" w:after="119" w:line="276" w:lineRule="auto"/>
        <w:jc w:val="center"/>
        <w:rPr>
          <w:rFonts w:ascii="Calibri" w:eastAsia="Times New Roman" w:hAnsi="Calibri" w:cs="Calibri"/>
          <w:color w:val="000000"/>
          <w:lang w:eastAsia="fr-FR"/>
        </w:rPr>
      </w:pPr>
      <w:r w:rsidRPr="00151200">
        <w:rPr>
          <w:rFonts w:ascii="Marianne" w:eastAsia="Times New Roman" w:hAnsi="Marianne" w:cs="Calibri"/>
          <w:b/>
          <w:bCs/>
          <w:color w:val="000000"/>
          <w:sz w:val="30"/>
          <w:szCs w:val="30"/>
          <w:lang w:eastAsia="fr-FR"/>
        </w:rPr>
        <w:t xml:space="preserve">Projets de décret </w:t>
      </w:r>
      <w:r>
        <w:rPr>
          <w:rFonts w:ascii="Marianne" w:eastAsia="Times New Roman" w:hAnsi="Marianne" w:cs="Calibri"/>
          <w:b/>
          <w:bCs/>
          <w:color w:val="000000"/>
          <w:sz w:val="30"/>
          <w:szCs w:val="30"/>
          <w:lang w:eastAsia="fr-FR"/>
        </w:rPr>
        <w:t xml:space="preserve">et d’arrêté </w:t>
      </w:r>
      <w:r w:rsidRPr="00151200">
        <w:rPr>
          <w:rFonts w:ascii="Marianne" w:eastAsia="Times New Roman" w:hAnsi="Marianne" w:cs="Calibri"/>
          <w:b/>
          <w:bCs/>
          <w:color w:val="000000"/>
          <w:sz w:val="30"/>
          <w:szCs w:val="30"/>
          <w:lang w:eastAsia="fr-FR"/>
        </w:rPr>
        <w:t xml:space="preserve">relatifs </w:t>
      </w:r>
      <w:r w:rsidRPr="000D3F25">
        <w:rPr>
          <w:rFonts w:ascii="Marianne" w:eastAsia="Times New Roman" w:hAnsi="Marianne" w:cs="Calibri"/>
          <w:b/>
          <w:bCs/>
          <w:color w:val="000000"/>
          <w:sz w:val="30"/>
          <w:szCs w:val="30"/>
          <w:lang w:eastAsia="fr-FR"/>
        </w:rPr>
        <w:t>aux mesures d’urgence définies en application des articles L. 321-17-1 et L. 321-17-2 du code de l’énergie</w:t>
      </w:r>
    </w:p>
    <w:p w:rsidR="007D09BD" w:rsidRDefault="007D09BD" w:rsidP="008F4347">
      <w:pPr>
        <w:spacing w:before="238" w:after="119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</w:p>
    <w:p w:rsidR="008F4347" w:rsidRPr="00151200" w:rsidRDefault="008F4347" w:rsidP="008F4347">
      <w:pPr>
        <w:spacing w:before="238" w:after="119" w:line="276" w:lineRule="auto"/>
        <w:jc w:val="both"/>
        <w:rPr>
          <w:rFonts w:ascii="Marianne" w:eastAsia="Times New Roman" w:hAnsi="Marianne" w:cs="Calibri"/>
          <w:color w:val="000000"/>
          <w:lang w:eastAsia="fr-FR"/>
        </w:rPr>
      </w:pPr>
      <w:bookmarkStart w:id="0" w:name="_GoBack"/>
      <w:bookmarkEnd w:id="0"/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Une consultation du public a été menée par voie électronique sur le site Internet du ministère en charge de l’environnement du 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26 octobre 2022</w:t>
      </w: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au 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15 novembre 2022</w:t>
      </w: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inclus sur le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s</w:t>
      </w: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projet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s</w:t>
      </w: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de texte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s</w:t>
      </w: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susmentionné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s</w:t>
      </w: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.</w:t>
      </w:r>
    </w:p>
    <w:p w:rsidR="008F4347" w:rsidRPr="00151200" w:rsidRDefault="008F4347" w:rsidP="008F4347">
      <w:pPr>
        <w:spacing w:before="100" w:beforeAutospacing="1" w:after="120" w:line="276" w:lineRule="auto"/>
        <w:jc w:val="both"/>
        <w:rPr>
          <w:rFonts w:ascii="Marianne" w:eastAsia="Times New Roman" w:hAnsi="Marianne" w:cs="Calibri"/>
          <w:color w:val="000000"/>
          <w:lang w:eastAsia="fr-FR"/>
        </w:rPr>
      </w:pP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Le public pouvait déposer ses commentaires et avis en suivant le lien suivant :</w:t>
      </w:r>
    </w:p>
    <w:p w:rsidR="008F4347" w:rsidRDefault="007D09BD" w:rsidP="008F4347">
      <w:pPr>
        <w:spacing w:after="119" w:line="276" w:lineRule="auto"/>
        <w:jc w:val="both"/>
      </w:pPr>
      <w:hyperlink r:id="rId6" w:history="1">
        <w:r w:rsidR="008F4347">
          <w:rPr>
            <w:rStyle w:val="Lienhypertexte"/>
          </w:rPr>
          <w:t>https://www.consultations-publiques.developpement-durable.gouv.fr/projets-de-decret-et-d-arrete-relatifs-aux-mesures-a2754.html</w:t>
        </w:r>
      </w:hyperlink>
    </w:p>
    <w:p w:rsidR="008F4347" w:rsidRPr="00151200" w:rsidRDefault="008F4347" w:rsidP="008F4347">
      <w:pPr>
        <w:spacing w:before="238" w:after="119" w:line="276" w:lineRule="auto"/>
        <w:jc w:val="both"/>
        <w:rPr>
          <w:rFonts w:ascii="Marianne" w:eastAsia="Times New Roman" w:hAnsi="Marianne" w:cs="Calibri"/>
          <w:color w:val="000000"/>
          <w:lang w:eastAsia="fr-FR"/>
        </w:rPr>
      </w:pPr>
      <w:r w:rsidRPr="00E724DC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9</w:t>
      </w:r>
      <w:r w:rsidRPr="00151200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contributions ont été déposées sur le site de la consultation. </w:t>
      </w:r>
    </w:p>
    <w:p w:rsidR="008F4347" w:rsidRPr="008F4347" w:rsidRDefault="008F4347" w:rsidP="00831D1D">
      <w:pPr>
        <w:spacing w:before="100" w:beforeAutospacing="1" w:after="119" w:line="276" w:lineRule="auto"/>
        <w:jc w:val="both"/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</w:pPr>
      <w:r w:rsidRPr="008F4347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Les services de la DG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EC</w:t>
      </w:r>
      <w:r w:rsidRPr="008F4347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en charge</w:t>
      </w:r>
      <w:r w:rsidR="00831D1D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nt</w:t>
      </w:r>
      <w:r w:rsidRPr="008F4347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de l’élaboration du texte ont bien pris note des remarques reçues. </w:t>
      </w:r>
      <w:r w:rsidRPr="008F4347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Le texte soumis à </w:t>
      </w:r>
      <w:r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la </w:t>
      </w:r>
      <w:r w:rsidRPr="008F4347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consultation du public a été modifié </w:t>
      </w:r>
      <w:r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à la </w:t>
      </w:r>
      <w:r w:rsidRPr="008F4347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suite </w:t>
      </w:r>
      <w:r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de</w:t>
      </w:r>
      <w:r w:rsidRPr="008F4347"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 xml:space="preserve"> plusieurs propositions</w:t>
      </w:r>
      <w:r w:rsidRPr="008F4347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  <w:t>:</w:t>
      </w:r>
    </w:p>
    <w:p w:rsidR="008F4347" w:rsidRPr="008F4347" w:rsidRDefault="008F4347" w:rsidP="008F4347">
      <w:pPr>
        <w:numPr>
          <w:ilvl w:val="0"/>
          <w:numId w:val="1"/>
        </w:numPr>
        <w:spacing w:before="119" w:after="0" w:line="276" w:lineRule="auto"/>
        <w:jc w:val="both"/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</w:pP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Modifications demandées par le Conseil supérieur de la prévention des risques technologiques (CSPRT)</w:t>
      </w:r>
      <w:r w:rsidRPr="008F4347">
        <w:rPr>
          <w:rFonts w:ascii="Calibri" w:eastAsia="Times New Roman" w:hAnsi="Calibri" w:cs="Calibri"/>
          <w:b/>
          <w:color w:val="000000"/>
          <w:sz w:val="20"/>
          <w:szCs w:val="20"/>
          <w:lang w:eastAsia="fr-FR"/>
        </w:rPr>
        <w:t> </w:t>
      </w: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:</w:t>
      </w:r>
    </w:p>
    <w:p w:rsidR="008C65B8" w:rsidRPr="008F4347" w:rsidRDefault="008C65B8" w:rsidP="008C65B8">
      <w:pPr>
        <w:numPr>
          <w:ilvl w:val="1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Inscription des installations nucléaires de base à la liste des sites exemptés de l’obligation prévue par l’article L. 321-17-2 du code de l’</w:t>
      </w:r>
      <w:r w:rsidR="002C28E5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énergie,</w:t>
      </w:r>
    </w:p>
    <w:p w:rsidR="008F4347" w:rsidRPr="008F4347" w:rsidRDefault="00831D1D" w:rsidP="008F4347">
      <w:pPr>
        <w:numPr>
          <w:ilvl w:val="1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Ajustements rédactionnels et numérotation de </w:t>
      </w:r>
      <w:r w:rsidR="002C28E5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la 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liste des exemptions prévues à l’article D. 321-30</w:t>
      </w:r>
      <w:r w:rsidRPr="00831D1D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du code de l’énergie</w:t>
      </w:r>
      <w:r w:rsidR="002C28E5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,</w:t>
      </w:r>
    </w:p>
    <w:p w:rsidR="00831D1D" w:rsidRDefault="00831D1D" w:rsidP="00360E1D">
      <w:pPr>
        <w:numPr>
          <w:ilvl w:val="1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Inscription à la liste des sites exemptés de l’obligation prévue par l’article L. 321-17-2 du code de l’énergie</w:t>
      </w:r>
      <w:r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 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:</w:t>
      </w:r>
    </w:p>
    <w:p w:rsidR="00831D1D" w:rsidRDefault="00831D1D" w:rsidP="00831D1D">
      <w:pPr>
        <w:numPr>
          <w:ilvl w:val="2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Des installations nucléaires de base</w:t>
      </w:r>
      <w:r w:rsidR="002C28E5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,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</w:t>
      </w:r>
    </w:p>
    <w:p w:rsidR="008F4347" w:rsidRDefault="00831D1D" w:rsidP="00831D1D">
      <w:pPr>
        <w:numPr>
          <w:ilvl w:val="2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Des</w:t>
      </w:r>
      <w:r w:rsidRPr="00831D1D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installations classées pour la protection de l’environnement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(ICPE)</w:t>
      </w:r>
      <w:r w:rsidRPr="00831D1D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soumises à déclaration </w:t>
      </w:r>
      <w:r w:rsidRPr="00831D1D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à condition </w:t>
      </w: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qu’un texte</w:t>
      </w:r>
      <w:r w:rsidR="002C28E5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 xml:space="preserve"> impose des moyens de secours,</w:t>
      </w:r>
    </w:p>
    <w:p w:rsidR="00831D1D" w:rsidRPr="008F4347" w:rsidRDefault="00831D1D" w:rsidP="00831D1D">
      <w:pPr>
        <w:numPr>
          <w:ilvl w:val="1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Extension de la dispense de mise à disposition de la puissance utile aux dispositifs de surveillance d’un site imposés par la règlementation en vigueur.</w:t>
      </w:r>
    </w:p>
    <w:p w:rsidR="008F4347" w:rsidRPr="008F4347" w:rsidRDefault="008F4347" w:rsidP="008F4347">
      <w:pPr>
        <w:numPr>
          <w:ilvl w:val="0"/>
          <w:numId w:val="1"/>
        </w:numPr>
        <w:spacing w:before="119" w:after="0" w:line="276" w:lineRule="auto"/>
        <w:jc w:val="both"/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</w:pP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 xml:space="preserve">Modifications demandées par le Conseil </w:t>
      </w:r>
      <w:r w:rsidRPr="00831D1D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supérieur de l’énergie</w:t>
      </w: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 xml:space="preserve"> (</w:t>
      </w:r>
      <w:r w:rsidRPr="00831D1D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CSE</w:t>
      </w: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)</w:t>
      </w:r>
      <w:r w:rsidRPr="008F4347">
        <w:rPr>
          <w:rFonts w:ascii="Calibri" w:eastAsia="Times New Roman" w:hAnsi="Calibri" w:cs="Calibri"/>
          <w:b/>
          <w:color w:val="000000"/>
          <w:sz w:val="20"/>
          <w:szCs w:val="20"/>
          <w:lang w:eastAsia="fr-FR"/>
        </w:rPr>
        <w:t> </w:t>
      </w: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:</w:t>
      </w:r>
    </w:p>
    <w:p w:rsidR="008F4347" w:rsidRPr="008F4347" w:rsidRDefault="008C65B8" w:rsidP="008F4347">
      <w:pPr>
        <w:numPr>
          <w:ilvl w:val="1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Précision à l’article D. 321-28 de la possibilité d’être soumis à sanction si les offres déposées ne respectent pas les conditions d’activation,</w:t>
      </w:r>
    </w:p>
    <w:p w:rsidR="008C65B8" w:rsidRDefault="008C65B8" w:rsidP="008C65B8">
      <w:pPr>
        <w:numPr>
          <w:ilvl w:val="1"/>
          <w:numId w:val="1"/>
        </w:numPr>
        <w:spacing w:before="100" w:beforeAutospacing="1" w:after="0" w:afterAutospacing="1" w:line="240" w:lineRule="auto"/>
        <w:jc w:val="both"/>
        <w:rPr>
          <w:rFonts w:ascii="Marianne" w:eastAsia="Times New Roman" w:hAnsi="Marianne" w:cs="Times New Roman"/>
          <w:color w:val="000000"/>
          <w:sz w:val="20"/>
          <w:szCs w:val="20"/>
          <w:lang w:eastAsia="fr-FR"/>
        </w:rPr>
      </w:pPr>
      <w:r w:rsidRPr="008C65B8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Précision à l’article D. 321-29 que la limite de 300 heures de fonctionnement s’applique sur une année.</w:t>
      </w:r>
    </w:p>
    <w:p w:rsidR="008F4347" w:rsidRPr="008F4347" w:rsidRDefault="008F4347" w:rsidP="008F4347">
      <w:pPr>
        <w:numPr>
          <w:ilvl w:val="0"/>
          <w:numId w:val="1"/>
        </w:numPr>
        <w:spacing w:before="119" w:after="0" w:line="276" w:lineRule="auto"/>
        <w:jc w:val="both"/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</w:pP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 xml:space="preserve">Modifications </w:t>
      </w:r>
      <w:r w:rsidRPr="00831D1D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apportées à la suite de la consultation du public</w:t>
      </w:r>
      <w:r w:rsidRPr="008F4347">
        <w:rPr>
          <w:rFonts w:ascii="Calibri" w:eastAsia="Times New Roman" w:hAnsi="Calibri" w:cs="Calibri"/>
          <w:b/>
          <w:color w:val="000000"/>
          <w:sz w:val="20"/>
          <w:szCs w:val="20"/>
          <w:lang w:eastAsia="fr-FR"/>
        </w:rPr>
        <w:t> </w:t>
      </w:r>
      <w:r w:rsidRPr="008F4347">
        <w:rPr>
          <w:rFonts w:ascii="Marianne" w:eastAsia="Times New Roman" w:hAnsi="Marianne" w:cs="Calibri"/>
          <w:b/>
          <w:color w:val="000000"/>
          <w:sz w:val="20"/>
          <w:szCs w:val="20"/>
          <w:lang w:eastAsia="fr-FR"/>
        </w:rPr>
        <w:t>:</w:t>
      </w:r>
    </w:p>
    <w:p w:rsidR="00EB1D6B" w:rsidRDefault="008C65B8" w:rsidP="008F4347">
      <w:pPr>
        <w:numPr>
          <w:ilvl w:val="1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Inscription des installations nucléaires de base à la liste des sites exemptés de l’obligation prévue par l’article L. 321-17-2 du code de l’énergie</w:t>
      </w:r>
    </w:p>
    <w:p w:rsidR="008F4347" w:rsidRPr="008F4347" w:rsidRDefault="00EB1D6B" w:rsidP="008F4347">
      <w:pPr>
        <w:numPr>
          <w:ilvl w:val="1"/>
          <w:numId w:val="1"/>
        </w:numPr>
        <w:spacing w:before="100" w:beforeAutospacing="1" w:after="0" w:line="276" w:lineRule="auto"/>
        <w:jc w:val="both"/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</w:pPr>
      <w:r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Précision que la puissance considérée pour évaluer le seuil de 1MW pour les groupes électrogènes est la puissance électrique et non la puissance thermique</w:t>
      </w:r>
      <w:r w:rsidR="008C65B8">
        <w:rPr>
          <w:rFonts w:ascii="Marianne" w:eastAsia="Times New Roman" w:hAnsi="Marianne" w:cs="Calibri"/>
          <w:color w:val="000000"/>
          <w:sz w:val="20"/>
          <w:szCs w:val="20"/>
          <w:lang w:eastAsia="fr-FR"/>
        </w:rPr>
        <w:t>.</w:t>
      </w:r>
    </w:p>
    <w:p w:rsidR="00831D1D" w:rsidRDefault="00831D1D">
      <w:pPr>
        <w:rPr>
          <w:rFonts w:ascii="Marianne" w:hAnsi="Marianne"/>
          <w:sz w:val="20"/>
          <w:szCs w:val="20"/>
        </w:rPr>
      </w:pPr>
    </w:p>
    <w:p w:rsidR="00E67ECA" w:rsidRPr="008F4347" w:rsidRDefault="008F4347" w:rsidP="00320BBE">
      <w:pPr>
        <w:jc w:val="both"/>
        <w:rPr>
          <w:rFonts w:ascii="Marianne" w:hAnsi="Marianne"/>
          <w:sz w:val="20"/>
          <w:szCs w:val="20"/>
        </w:rPr>
      </w:pPr>
      <w:r w:rsidRPr="008F4347">
        <w:rPr>
          <w:rFonts w:ascii="Marianne" w:hAnsi="Marianne"/>
          <w:sz w:val="20"/>
          <w:szCs w:val="20"/>
        </w:rPr>
        <w:t xml:space="preserve">Le texte a par ailleurs été soumis à </w:t>
      </w:r>
      <w:r w:rsidRPr="00320BBE">
        <w:rPr>
          <w:rFonts w:ascii="Marianne" w:hAnsi="Marianne"/>
          <w:b/>
          <w:sz w:val="20"/>
          <w:szCs w:val="20"/>
        </w:rPr>
        <w:t xml:space="preserve">l’avis de la Commission de régulation de </w:t>
      </w:r>
      <w:r w:rsidR="00831D1D" w:rsidRPr="00320BBE">
        <w:rPr>
          <w:rFonts w:ascii="Marianne" w:hAnsi="Marianne"/>
          <w:b/>
          <w:sz w:val="20"/>
          <w:szCs w:val="20"/>
        </w:rPr>
        <w:t>l’énergie (</w:t>
      </w:r>
      <w:r w:rsidRPr="00320BBE">
        <w:rPr>
          <w:rFonts w:ascii="Marianne" w:hAnsi="Marianne"/>
          <w:b/>
          <w:sz w:val="20"/>
          <w:szCs w:val="20"/>
        </w:rPr>
        <w:t>CRE) qui a émis un avis favorable</w:t>
      </w:r>
      <w:r w:rsidRPr="008F4347">
        <w:rPr>
          <w:rFonts w:ascii="Marianne" w:hAnsi="Marianne"/>
          <w:sz w:val="20"/>
          <w:szCs w:val="20"/>
        </w:rPr>
        <w:t xml:space="preserve"> sur le</w:t>
      </w:r>
      <w:r w:rsidR="00320BBE">
        <w:rPr>
          <w:rFonts w:ascii="Marianne" w:hAnsi="Marianne"/>
          <w:sz w:val="20"/>
          <w:szCs w:val="20"/>
        </w:rPr>
        <w:t>s</w:t>
      </w:r>
      <w:r w:rsidRPr="008F4347">
        <w:rPr>
          <w:rFonts w:ascii="Marianne" w:hAnsi="Marianne"/>
          <w:sz w:val="20"/>
          <w:szCs w:val="20"/>
        </w:rPr>
        <w:t xml:space="preserve"> projet</w:t>
      </w:r>
      <w:r w:rsidR="00320BBE">
        <w:rPr>
          <w:rFonts w:ascii="Marianne" w:hAnsi="Marianne"/>
          <w:sz w:val="20"/>
          <w:szCs w:val="20"/>
        </w:rPr>
        <w:t>s</w:t>
      </w:r>
      <w:r w:rsidRPr="008F4347">
        <w:rPr>
          <w:rFonts w:ascii="Marianne" w:hAnsi="Marianne"/>
          <w:sz w:val="20"/>
          <w:szCs w:val="20"/>
        </w:rPr>
        <w:t xml:space="preserve"> de texte sans </w:t>
      </w:r>
      <w:r w:rsidR="00320BBE">
        <w:rPr>
          <w:rFonts w:ascii="Marianne" w:hAnsi="Marianne"/>
          <w:sz w:val="20"/>
          <w:szCs w:val="20"/>
        </w:rPr>
        <w:t xml:space="preserve">faire de </w:t>
      </w:r>
      <w:r w:rsidRPr="008F4347">
        <w:rPr>
          <w:rFonts w:ascii="Marianne" w:hAnsi="Marianne"/>
          <w:sz w:val="20"/>
          <w:szCs w:val="20"/>
        </w:rPr>
        <w:t>proposition de modification.</w:t>
      </w:r>
    </w:p>
    <w:sectPr w:rsidR="00E67ECA" w:rsidRPr="008F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2B35"/>
    <w:multiLevelType w:val="multilevel"/>
    <w:tmpl w:val="71F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33"/>
    <w:rsid w:val="002C28E5"/>
    <w:rsid w:val="00320BBE"/>
    <w:rsid w:val="004F54AF"/>
    <w:rsid w:val="007D09BD"/>
    <w:rsid w:val="00831D1D"/>
    <w:rsid w:val="008C65B8"/>
    <w:rsid w:val="008F4347"/>
    <w:rsid w:val="00BF2533"/>
    <w:rsid w:val="00E67ECA"/>
    <w:rsid w:val="00EB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1F08"/>
  <w15:chartTrackingRefBased/>
  <w15:docId w15:val="{AF93F3D1-63B8-4BCA-BB77-5BBA9B98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347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8F4347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F4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tions-publiques.developpement-durable.gouv.fr/projets-de-decret-et-d-arrete-relatifs-aux-mesures-a2754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Biset Simon</dc:creator>
  <cp:keywords/>
  <dc:description/>
  <cp:lastModifiedBy>Biset Simon</cp:lastModifiedBy>
  <cp:revision>8</cp:revision>
  <dcterms:created xsi:type="dcterms:W3CDTF">2022-11-24T11:39:00Z</dcterms:created>
  <dcterms:modified xsi:type="dcterms:W3CDTF">2022-11-28T10:54:00Z</dcterms:modified>
</cp:coreProperties>
</file>