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F1B9C7" w14:textId="77777777" w:rsidR="005D491F" w:rsidRDefault="005D491F" w:rsidP="005028DA">
      <w:pPr>
        <w:pBdr>
          <w:top w:val="single" w:sz="4" w:space="1" w:color="000000"/>
          <w:left w:val="single" w:sz="4" w:space="1" w:color="000000"/>
          <w:bottom w:val="single" w:sz="4" w:space="1" w:color="000000"/>
          <w:right w:val="single" w:sz="4" w:space="4" w:color="000000"/>
        </w:pBdr>
        <w:snapToGrid w:val="0"/>
        <w:jc w:val="center"/>
        <w:rPr>
          <w:rFonts w:ascii="Marianne" w:hAnsi="Marianne"/>
          <w:b/>
          <w:sz w:val="20"/>
          <w:szCs w:val="20"/>
        </w:rPr>
      </w:pPr>
    </w:p>
    <w:p w14:paraId="79563129" w14:textId="5195FF1A" w:rsidR="00B43ACA" w:rsidRDefault="00ED1022" w:rsidP="005028DA">
      <w:pPr>
        <w:pBdr>
          <w:top w:val="single" w:sz="4" w:space="1" w:color="000000"/>
          <w:left w:val="single" w:sz="4" w:space="1" w:color="000000"/>
          <w:bottom w:val="single" w:sz="4" w:space="1" w:color="000000"/>
          <w:right w:val="single" w:sz="4" w:space="4" w:color="000000"/>
        </w:pBdr>
        <w:snapToGrid w:val="0"/>
        <w:jc w:val="center"/>
        <w:rPr>
          <w:rFonts w:ascii="Marianne" w:hAnsi="Marianne"/>
          <w:b/>
          <w:sz w:val="20"/>
          <w:szCs w:val="20"/>
        </w:rPr>
      </w:pPr>
      <w:r w:rsidRPr="00795969">
        <w:rPr>
          <w:rFonts w:ascii="Marianne" w:hAnsi="Marianne"/>
          <w:b/>
          <w:sz w:val="20"/>
          <w:szCs w:val="20"/>
        </w:rPr>
        <w:t xml:space="preserve">Projet </w:t>
      </w:r>
      <w:r w:rsidR="00D86AEF" w:rsidRPr="00795969">
        <w:rPr>
          <w:rFonts w:ascii="Marianne" w:hAnsi="Marianne"/>
          <w:b/>
          <w:sz w:val="20"/>
          <w:szCs w:val="20"/>
        </w:rPr>
        <w:t>de décret</w:t>
      </w:r>
      <w:r w:rsidRPr="00795969">
        <w:rPr>
          <w:rFonts w:ascii="Marianne" w:hAnsi="Marianne"/>
          <w:b/>
          <w:sz w:val="20"/>
          <w:szCs w:val="20"/>
        </w:rPr>
        <w:t xml:space="preserve"> </w:t>
      </w:r>
      <w:r w:rsidR="00795969" w:rsidRPr="00795969">
        <w:rPr>
          <w:rFonts w:ascii="Marianne" w:hAnsi="Marianne"/>
          <w:b/>
          <w:sz w:val="20"/>
          <w:szCs w:val="20"/>
        </w:rPr>
        <w:t>relatif aux exigences de performance environnementale concernant l'installation d'un équipement de chauffage ou de production d'eau chaude sanitaire applicable à la construction de bâtiments ou parties de bâtiments</w:t>
      </w:r>
    </w:p>
    <w:p w14:paraId="026857B9" w14:textId="30E97A12" w:rsidR="005D491F" w:rsidRDefault="005D491F" w:rsidP="005028DA">
      <w:pPr>
        <w:pBdr>
          <w:top w:val="single" w:sz="4" w:space="1" w:color="000000"/>
          <w:left w:val="single" w:sz="4" w:space="1" w:color="000000"/>
          <w:bottom w:val="single" w:sz="4" w:space="1" w:color="000000"/>
          <w:right w:val="single" w:sz="4" w:space="4" w:color="000000"/>
        </w:pBdr>
        <w:snapToGrid w:val="0"/>
        <w:jc w:val="center"/>
        <w:rPr>
          <w:rFonts w:ascii="Marianne" w:hAnsi="Marianne"/>
          <w:sz w:val="20"/>
          <w:szCs w:val="20"/>
        </w:rPr>
      </w:pPr>
    </w:p>
    <w:p w14:paraId="07FCCB80" w14:textId="670A4E9C" w:rsidR="008F542A" w:rsidRPr="008F542A" w:rsidRDefault="008F542A" w:rsidP="005028DA">
      <w:pPr>
        <w:pBdr>
          <w:top w:val="single" w:sz="4" w:space="1" w:color="000000"/>
          <w:left w:val="single" w:sz="4" w:space="1" w:color="000000"/>
          <w:bottom w:val="single" w:sz="4" w:space="1" w:color="000000"/>
          <w:right w:val="single" w:sz="4" w:space="4" w:color="000000"/>
        </w:pBdr>
        <w:snapToGrid w:val="0"/>
        <w:jc w:val="center"/>
        <w:rPr>
          <w:rFonts w:ascii="Marianne" w:hAnsi="Marianne"/>
          <w:b/>
          <w:sz w:val="20"/>
          <w:szCs w:val="20"/>
        </w:rPr>
      </w:pPr>
      <w:r w:rsidRPr="008F542A">
        <w:rPr>
          <w:rFonts w:ascii="Marianne" w:hAnsi="Marianne"/>
          <w:b/>
          <w:sz w:val="20"/>
          <w:szCs w:val="20"/>
        </w:rPr>
        <w:t>Consultation publique sur le fondement de l’article L. 123-19-1 du code de l’environnement</w:t>
      </w:r>
    </w:p>
    <w:p w14:paraId="142B68F3" w14:textId="77777777" w:rsidR="008F542A" w:rsidRPr="00795969" w:rsidRDefault="008F542A" w:rsidP="005028DA">
      <w:pPr>
        <w:pBdr>
          <w:top w:val="single" w:sz="4" w:space="1" w:color="000000"/>
          <w:left w:val="single" w:sz="4" w:space="1" w:color="000000"/>
          <w:bottom w:val="single" w:sz="4" w:space="1" w:color="000000"/>
          <w:right w:val="single" w:sz="4" w:space="4" w:color="000000"/>
        </w:pBdr>
        <w:snapToGrid w:val="0"/>
        <w:jc w:val="center"/>
        <w:rPr>
          <w:rFonts w:ascii="Marianne" w:hAnsi="Marianne"/>
          <w:sz w:val="20"/>
          <w:szCs w:val="20"/>
        </w:rPr>
      </w:pPr>
    </w:p>
    <w:p w14:paraId="3F674698" w14:textId="7255A5AA" w:rsidR="008F542A" w:rsidRPr="00795969" w:rsidRDefault="008F542A" w:rsidP="005028DA">
      <w:pPr>
        <w:jc w:val="both"/>
        <w:rPr>
          <w:rFonts w:ascii="Marianne" w:hAnsi="Marianne"/>
          <w:b/>
          <w:sz w:val="20"/>
          <w:szCs w:val="20"/>
        </w:rPr>
      </w:pPr>
    </w:p>
    <w:p w14:paraId="27EFB3ED" w14:textId="05BA60B7" w:rsidR="005028DA" w:rsidRPr="00795969" w:rsidRDefault="00795969" w:rsidP="005028DA">
      <w:pPr>
        <w:pStyle w:val="NormalWeb"/>
        <w:spacing w:before="0" w:beforeAutospacing="0" w:after="0" w:afterAutospacing="0"/>
        <w:jc w:val="both"/>
        <w:rPr>
          <w:rFonts w:ascii="Marianne" w:hAnsi="Marianne"/>
          <w:sz w:val="20"/>
          <w:szCs w:val="20"/>
        </w:rPr>
      </w:pPr>
      <w:r w:rsidRPr="00795969">
        <w:rPr>
          <w:rFonts w:ascii="Marianne" w:hAnsi="Marianne"/>
          <w:sz w:val="20"/>
          <w:szCs w:val="20"/>
        </w:rPr>
        <w:t>Le présent décret est pris pour application de l'article L. 171-1 du code de la construction et de l'habitation et transpose les articles 7 et 11 de la directive (UE) 2024/1275 du Parlement européen et du Conseil du 24 avril 2024 sur la performance énergétique des bâtiments</w:t>
      </w:r>
      <w:r>
        <w:rPr>
          <w:rFonts w:ascii="Marianne" w:hAnsi="Marianne"/>
          <w:sz w:val="20"/>
          <w:szCs w:val="20"/>
        </w:rPr>
        <w:t xml:space="preserve"> (DPEB)</w:t>
      </w:r>
      <w:r w:rsidRPr="00795969">
        <w:rPr>
          <w:rFonts w:ascii="Marianne" w:hAnsi="Marianne"/>
          <w:sz w:val="20"/>
          <w:szCs w:val="20"/>
        </w:rPr>
        <w:t>.</w:t>
      </w:r>
    </w:p>
    <w:p w14:paraId="17664256" w14:textId="77777777" w:rsidR="00795969" w:rsidRPr="00795969" w:rsidRDefault="00795969" w:rsidP="005028DA">
      <w:pPr>
        <w:pStyle w:val="NormalWeb"/>
        <w:spacing w:before="0" w:beforeAutospacing="0" w:after="0" w:afterAutospacing="0"/>
        <w:jc w:val="both"/>
        <w:rPr>
          <w:rFonts w:ascii="Marianne" w:hAnsi="Marianne"/>
          <w:sz w:val="20"/>
          <w:szCs w:val="20"/>
        </w:rPr>
      </w:pPr>
    </w:p>
    <w:p w14:paraId="31D644A5" w14:textId="77777777" w:rsidR="00B43ACA" w:rsidRPr="00795969" w:rsidRDefault="00ED1022" w:rsidP="005028DA">
      <w:pPr>
        <w:suppressAutoHyphens w:val="0"/>
        <w:spacing w:line="198" w:lineRule="atLeast"/>
        <w:jc w:val="center"/>
        <w:rPr>
          <w:rFonts w:ascii="Marianne" w:hAnsi="Marianne"/>
          <w:color w:val="000000"/>
          <w:sz w:val="20"/>
          <w:szCs w:val="20"/>
          <w:lang w:eastAsia="fr-FR"/>
        </w:rPr>
      </w:pPr>
      <w:r w:rsidRPr="00795969">
        <w:rPr>
          <w:rFonts w:ascii="Marianne" w:hAnsi="Marianne"/>
          <w:color w:val="000000"/>
          <w:sz w:val="20"/>
          <w:szCs w:val="20"/>
          <w:lang w:eastAsia="fr-FR"/>
        </w:rPr>
        <w:t>***</w:t>
      </w:r>
    </w:p>
    <w:p w14:paraId="0414349A" w14:textId="77777777" w:rsidR="005028DA" w:rsidRPr="00795969" w:rsidRDefault="005028DA" w:rsidP="005028DA">
      <w:pPr>
        <w:suppressAutoHyphens w:val="0"/>
        <w:spacing w:line="198" w:lineRule="atLeast"/>
        <w:jc w:val="center"/>
        <w:rPr>
          <w:rFonts w:ascii="Marianne" w:hAnsi="Marianne"/>
          <w:color w:val="000000"/>
          <w:sz w:val="20"/>
          <w:szCs w:val="20"/>
          <w:lang w:eastAsia="fr-FR"/>
        </w:rPr>
      </w:pPr>
    </w:p>
    <w:p w14:paraId="3DC34ABA" w14:textId="77777777" w:rsidR="005A19FB" w:rsidRPr="005A19FB" w:rsidRDefault="005A19FB" w:rsidP="005A19FB">
      <w:pPr>
        <w:jc w:val="both"/>
        <w:rPr>
          <w:rFonts w:ascii="Marianne" w:hAnsi="Marianne"/>
          <w:color w:val="000000"/>
          <w:sz w:val="20"/>
          <w:szCs w:val="20"/>
        </w:rPr>
      </w:pPr>
      <w:r w:rsidRPr="005A19FB">
        <w:rPr>
          <w:rFonts w:ascii="Marianne" w:hAnsi="Marianne"/>
          <w:color w:val="000000"/>
          <w:sz w:val="20"/>
          <w:szCs w:val="20"/>
        </w:rPr>
        <w:t>Dans la construction neuve, la réglementation environnementale 2020 dite RE2020 ne permet plus l’installation de chaudières fonctionnant au gaz en tant que système de chauffage principal, et ce depuis 2022 dans les maisons individuelles et les bâtiments de bureaux, et 2025 dans les immeubles de logements collectifs et les bâtiments d’enseignement primaire ou secondaire. Depuis le 1</w:t>
      </w:r>
      <w:r w:rsidRPr="005A19FB">
        <w:rPr>
          <w:rFonts w:ascii="Marianne" w:hAnsi="Marianne"/>
          <w:color w:val="000000"/>
          <w:sz w:val="20"/>
          <w:szCs w:val="20"/>
          <w:vertAlign w:val="superscript"/>
        </w:rPr>
        <w:t>er</w:t>
      </w:r>
      <w:r w:rsidRPr="005A19FB">
        <w:rPr>
          <w:rFonts w:ascii="Marianne" w:hAnsi="Marianne"/>
          <w:color w:val="000000"/>
          <w:sz w:val="20"/>
          <w:szCs w:val="20"/>
        </w:rPr>
        <w:t xml:space="preserve"> mai 2026 (extension du périmètre de la RE2020), cette interdiction est également appliquée aux projets de construction de bâtiments dits tertiaires spécifiques (commerces, santé, hôtellerie, sport, etc.) ou industriels/artisanats. Cependant, les appoints gaz (chauffage ou eau chaude sanitaire) sont encore possibles.</w:t>
      </w:r>
    </w:p>
    <w:p w14:paraId="08168E13" w14:textId="77777777" w:rsidR="005A19FB" w:rsidRPr="005A19FB" w:rsidRDefault="005A19FB" w:rsidP="005A19FB">
      <w:pPr>
        <w:jc w:val="both"/>
        <w:rPr>
          <w:rFonts w:ascii="Marianne" w:hAnsi="Marianne"/>
          <w:color w:val="000000"/>
          <w:sz w:val="20"/>
          <w:szCs w:val="20"/>
        </w:rPr>
      </w:pPr>
    </w:p>
    <w:p w14:paraId="645533D6" w14:textId="77777777" w:rsidR="005A19FB" w:rsidRPr="005A19FB" w:rsidRDefault="005A19FB" w:rsidP="005A19FB">
      <w:pPr>
        <w:jc w:val="both"/>
        <w:rPr>
          <w:rFonts w:ascii="Marianne" w:hAnsi="Marianne"/>
          <w:color w:val="000000"/>
          <w:sz w:val="20"/>
          <w:szCs w:val="20"/>
        </w:rPr>
      </w:pPr>
      <w:r w:rsidRPr="005A19FB">
        <w:rPr>
          <w:rFonts w:ascii="Marianne" w:hAnsi="Marianne"/>
          <w:color w:val="000000"/>
          <w:sz w:val="20"/>
          <w:szCs w:val="20"/>
        </w:rPr>
        <w:t>Dans le cadre du plan d’électrification, la mesure 5 vise la fin de l’utilisation du gaz dans la construction neuve, y compris en appoint, dès 2027 pour les logements, et d’ici 2030 pour les autres bâtiments. En parallèle, le renforcement des exigences européennes (articles 7 et 11 de la DPEB) sur la construction neuve impose que les bâtiments neufs ne consomment pas d’énergie fossile sur site à partir de 2028 pour les bâtiments des organismes publics, et de 2030 pour le reste du parc.</w:t>
      </w:r>
    </w:p>
    <w:p w14:paraId="33B276C7" w14:textId="77777777" w:rsidR="005A19FB" w:rsidRPr="005A19FB" w:rsidRDefault="005A19FB" w:rsidP="005A19FB">
      <w:pPr>
        <w:jc w:val="both"/>
        <w:rPr>
          <w:rFonts w:ascii="Marianne" w:hAnsi="Marianne"/>
          <w:color w:val="000000"/>
          <w:sz w:val="20"/>
          <w:szCs w:val="20"/>
        </w:rPr>
      </w:pPr>
    </w:p>
    <w:p w14:paraId="6083888F" w14:textId="77777777" w:rsidR="005A19FB" w:rsidRPr="005A19FB" w:rsidRDefault="005A19FB" w:rsidP="005A19FB">
      <w:pPr>
        <w:jc w:val="both"/>
        <w:rPr>
          <w:rFonts w:ascii="Marianne" w:hAnsi="Marianne"/>
          <w:color w:val="000000"/>
          <w:sz w:val="20"/>
          <w:szCs w:val="20"/>
        </w:rPr>
      </w:pPr>
      <w:r w:rsidRPr="005A19FB">
        <w:rPr>
          <w:rFonts w:ascii="Marianne" w:hAnsi="Marianne"/>
          <w:color w:val="000000"/>
          <w:sz w:val="20"/>
          <w:szCs w:val="20"/>
        </w:rPr>
        <w:t>Dans ce contexte, le présent projet de décret vise à :</w:t>
      </w:r>
    </w:p>
    <w:p w14:paraId="311AAEBE" w14:textId="77777777" w:rsidR="005A19FB" w:rsidRPr="005A19FB" w:rsidRDefault="005A19FB" w:rsidP="005A19FB">
      <w:pPr>
        <w:numPr>
          <w:ilvl w:val="0"/>
          <w:numId w:val="18"/>
        </w:numPr>
        <w:jc w:val="both"/>
        <w:rPr>
          <w:rFonts w:ascii="Marianne" w:hAnsi="Marianne"/>
          <w:color w:val="000000"/>
          <w:sz w:val="20"/>
          <w:szCs w:val="20"/>
        </w:rPr>
      </w:pPr>
      <w:r w:rsidRPr="005A19FB">
        <w:rPr>
          <w:rFonts w:ascii="Marianne" w:hAnsi="Marianne"/>
          <w:color w:val="000000"/>
          <w:sz w:val="20"/>
          <w:szCs w:val="20"/>
        </w:rPr>
        <w:t>Supprimer la possibilité de recourir à des systèmes hybrides ayant recours à du fioul (modification du R. 171-13 du code de la construction et de l’habitation - CCH - issu du décret n° 2022-8 du 5 janvier 2022) ;</w:t>
      </w:r>
    </w:p>
    <w:p w14:paraId="67AE6BDD" w14:textId="77777777" w:rsidR="005A19FB" w:rsidRPr="005A19FB" w:rsidRDefault="005A19FB" w:rsidP="005A19FB">
      <w:pPr>
        <w:numPr>
          <w:ilvl w:val="0"/>
          <w:numId w:val="18"/>
        </w:numPr>
        <w:jc w:val="both"/>
        <w:rPr>
          <w:rFonts w:ascii="Marianne" w:hAnsi="Marianne"/>
          <w:color w:val="000000"/>
          <w:sz w:val="20"/>
          <w:szCs w:val="20"/>
        </w:rPr>
      </w:pPr>
      <w:r w:rsidRPr="005A19FB">
        <w:rPr>
          <w:rFonts w:ascii="Marianne" w:hAnsi="Marianne"/>
          <w:color w:val="000000"/>
          <w:sz w:val="20"/>
          <w:szCs w:val="20"/>
        </w:rPr>
        <w:t>Introduire, pour les constructions neuves, une interdiction d’installation de chaudières dont les émissions de gaz à effet de serre sont supérieures à 79 g/kWh, ce qui correspond au seuil réglementaire d’émissions de l’électricité ;</w:t>
      </w:r>
    </w:p>
    <w:p w14:paraId="296CEA02" w14:textId="77777777" w:rsidR="005A19FB" w:rsidRPr="005A19FB" w:rsidRDefault="005A19FB" w:rsidP="005A19FB">
      <w:pPr>
        <w:numPr>
          <w:ilvl w:val="0"/>
          <w:numId w:val="18"/>
        </w:numPr>
        <w:jc w:val="both"/>
        <w:rPr>
          <w:rFonts w:ascii="Marianne" w:hAnsi="Marianne"/>
          <w:color w:val="000000"/>
          <w:sz w:val="20"/>
          <w:szCs w:val="20"/>
        </w:rPr>
      </w:pPr>
      <w:r w:rsidRPr="005A19FB">
        <w:rPr>
          <w:rFonts w:ascii="Marianne" w:hAnsi="Marianne"/>
          <w:color w:val="000000"/>
          <w:sz w:val="20"/>
          <w:szCs w:val="20"/>
        </w:rPr>
        <w:t xml:space="preserve">Prévoir une exemption au respect de ce seuil pour les systèmes utilisés en secours, ainsi que les systèmes techniques raccordés à des réseaux de chaleur. Les bâtiments étant soumis à des servitudes de sol ou de propriété particulières amenant une impossibilité </w:t>
      </w:r>
      <w:proofErr w:type="gramStart"/>
      <w:r w:rsidRPr="005A19FB">
        <w:rPr>
          <w:rFonts w:ascii="Marianne" w:hAnsi="Marianne"/>
          <w:color w:val="000000"/>
          <w:sz w:val="20"/>
          <w:szCs w:val="20"/>
        </w:rPr>
        <w:t>de</w:t>
      </w:r>
      <w:proofErr w:type="gramEnd"/>
      <w:r w:rsidRPr="005A19FB">
        <w:rPr>
          <w:rFonts w:ascii="Marianne" w:hAnsi="Marianne"/>
          <w:color w:val="000000"/>
          <w:sz w:val="20"/>
          <w:szCs w:val="20"/>
        </w:rPr>
        <w:t xml:space="preserve"> mise en œuvre de cette mesure peuvent également y déroger.</w:t>
      </w:r>
    </w:p>
    <w:p w14:paraId="525A17B5" w14:textId="77777777" w:rsidR="005A19FB" w:rsidRPr="005A19FB" w:rsidRDefault="005A19FB" w:rsidP="005A19FB">
      <w:pPr>
        <w:jc w:val="both"/>
        <w:rPr>
          <w:rFonts w:ascii="Marianne" w:hAnsi="Marianne"/>
          <w:color w:val="000000"/>
          <w:sz w:val="20"/>
          <w:szCs w:val="20"/>
        </w:rPr>
      </w:pPr>
    </w:p>
    <w:p w14:paraId="222557A3" w14:textId="1EAD233A" w:rsidR="000243DB" w:rsidRDefault="005A19FB" w:rsidP="005A19FB">
      <w:pPr>
        <w:jc w:val="both"/>
        <w:rPr>
          <w:rFonts w:ascii="Marianne" w:hAnsi="Marianne"/>
          <w:color w:val="000000"/>
          <w:sz w:val="20"/>
          <w:szCs w:val="20"/>
        </w:rPr>
      </w:pPr>
      <w:r w:rsidRPr="005A19FB">
        <w:rPr>
          <w:rFonts w:ascii="Marianne" w:hAnsi="Marianne"/>
          <w:color w:val="000000"/>
          <w:sz w:val="20"/>
          <w:szCs w:val="20"/>
        </w:rPr>
        <w:t>L’entrée en vigueur est prévue au 1</w:t>
      </w:r>
      <w:r w:rsidRPr="005A19FB">
        <w:rPr>
          <w:rFonts w:ascii="Marianne" w:hAnsi="Marianne"/>
          <w:color w:val="000000"/>
          <w:sz w:val="20"/>
          <w:szCs w:val="20"/>
          <w:vertAlign w:val="superscript"/>
        </w:rPr>
        <w:t>er</w:t>
      </w:r>
      <w:r w:rsidRPr="005A19FB">
        <w:rPr>
          <w:rFonts w:ascii="Marianne" w:hAnsi="Marianne"/>
          <w:color w:val="000000"/>
          <w:sz w:val="20"/>
          <w:szCs w:val="20"/>
        </w:rPr>
        <w:t xml:space="preserve"> janvier 2027 pour les permis de construire de logements, au 1</w:t>
      </w:r>
      <w:r w:rsidRPr="005A19FB">
        <w:rPr>
          <w:rFonts w:ascii="Marianne" w:hAnsi="Marianne"/>
          <w:color w:val="000000"/>
          <w:sz w:val="20"/>
          <w:szCs w:val="20"/>
          <w:vertAlign w:val="superscript"/>
        </w:rPr>
        <w:t>er</w:t>
      </w:r>
      <w:r w:rsidRPr="005A19FB">
        <w:rPr>
          <w:rFonts w:ascii="Marianne" w:hAnsi="Marianne"/>
          <w:color w:val="000000"/>
          <w:sz w:val="20"/>
          <w:szCs w:val="20"/>
        </w:rPr>
        <w:t xml:space="preserve"> janvier 2028 pour ceux de bâtiments appartenant à des organismes publics, et au 1</w:t>
      </w:r>
      <w:r w:rsidRPr="005A19FB">
        <w:rPr>
          <w:rFonts w:ascii="Marianne" w:hAnsi="Marianne"/>
          <w:color w:val="000000"/>
          <w:sz w:val="20"/>
          <w:szCs w:val="20"/>
          <w:vertAlign w:val="superscript"/>
        </w:rPr>
        <w:t>er</w:t>
      </w:r>
      <w:r w:rsidRPr="005A19FB">
        <w:rPr>
          <w:rFonts w:ascii="Marianne" w:hAnsi="Marianne"/>
          <w:color w:val="000000"/>
          <w:sz w:val="20"/>
          <w:szCs w:val="20"/>
        </w:rPr>
        <w:t xml:space="preserve"> janvier 2030 pour ceux des autres constructions, conformément aux échéances du plan d’électrification et de la DPEB.</w:t>
      </w:r>
      <w:r w:rsidR="000243DB">
        <w:rPr>
          <w:rFonts w:ascii="Marianne" w:hAnsi="Marianne"/>
          <w:color w:val="000000"/>
          <w:sz w:val="20"/>
          <w:szCs w:val="20"/>
        </w:rPr>
        <w:br w:type="page"/>
      </w:r>
    </w:p>
    <w:p w14:paraId="64624BEC" w14:textId="77777777" w:rsidR="0043701D" w:rsidRPr="00795969" w:rsidRDefault="0043701D" w:rsidP="005028DA">
      <w:pPr>
        <w:pStyle w:val="Titre2"/>
        <w:numPr>
          <w:ilvl w:val="0"/>
          <w:numId w:val="0"/>
        </w:numPr>
        <w:ind w:left="720" w:hanging="720"/>
        <w:rPr>
          <w:rFonts w:ascii="Marianne" w:hAnsi="Marianne"/>
          <w:sz w:val="20"/>
          <w:szCs w:val="20"/>
        </w:rPr>
      </w:pPr>
      <w:r w:rsidRPr="00795969">
        <w:rPr>
          <w:rFonts w:ascii="Marianne" w:hAnsi="Marianne"/>
          <w:sz w:val="20"/>
          <w:szCs w:val="20"/>
        </w:rPr>
        <w:lastRenderedPageBreak/>
        <w:t>Contenu du décret</w:t>
      </w:r>
    </w:p>
    <w:p w14:paraId="2A078E7A" w14:textId="77777777" w:rsidR="005028DA" w:rsidRPr="00795969" w:rsidRDefault="005028DA" w:rsidP="005028DA">
      <w:pPr>
        <w:rPr>
          <w:rFonts w:ascii="Marianne" w:hAnsi="Marianne"/>
          <w:sz w:val="20"/>
          <w:szCs w:val="20"/>
          <w:lang w:eastAsia="fr-FR"/>
        </w:rPr>
      </w:pPr>
    </w:p>
    <w:p w14:paraId="4625E144" w14:textId="52D63814" w:rsidR="00795969" w:rsidRDefault="005028DA" w:rsidP="00501692">
      <w:pPr>
        <w:jc w:val="both"/>
        <w:rPr>
          <w:rFonts w:ascii="Marianne" w:hAnsi="Marianne"/>
          <w:sz w:val="20"/>
          <w:szCs w:val="20"/>
        </w:rPr>
      </w:pPr>
      <w:r w:rsidRPr="00795969">
        <w:rPr>
          <w:rFonts w:ascii="Marianne" w:hAnsi="Marianne"/>
          <w:b/>
          <w:sz w:val="20"/>
          <w:szCs w:val="20"/>
        </w:rPr>
        <w:t>L’article 1</w:t>
      </w:r>
      <w:r w:rsidRPr="00795969">
        <w:rPr>
          <w:rFonts w:ascii="Marianne" w:hAnsi="Marianne"/>
          <w:b/>
          <w:sz w:val="20"/>
          <w:szCs w:val="20"/>
          <w:vertAlign w:val="superscript"/>
        </w:rPr>
        <w:t>er</w:t>
      </w:r>
      <w:r w:rsidRPr="00795969">
        <w:rPr>
          <w:rFonts w:ascii="Marianne" w:hAnsi="Marianne"/>
          <w:b/>
          <w:sz w:val="20"/>
          <w:szCs w:val="20"/>
        </w:rPr>
        <w:t xml:space="preserve"> </w:t>
      </w:r>
      <w:r w:rsidRPr="00795969">
        <w:rPr>
          <w:rFonts w:ascii="Marianne" w:hAnsi="Marianne"/>
          <w:sz w:val="20"/>
          <w:szCs w:val="20"/>
        </w:rPr>
        <w:t>modifie l’article R. 17</w:t>
      </w:r>
      <w:r w:rsidR="00501692">
        <w:rPr>
          <w:rFonts w:ascii="Marianne" w:hAnsi="Marianne"/>
          <w:sz w:val="20"/>
          <w:szCs w:val="20"/>
        </w:rPr>
        <w:t>1</w:t>
      </w:r>
      <w:r w:rsidRPr="00795969">
        <w:rPr>
          <w:rFonts w:ascii="Marianne" w:hAnsi="Marianne"/>
          <w:sz w:val="20"/>
          <w:szCs w:val="20"/>
        </w:rPr>
        <w:t>-1</w:t>
      </w:r>
      <w:r w:rsidR="00501692">
        <w:rPr>
          <w:rFonts w:ascii="Marianne" w:hAnsi="Marianne"/>
          <w:sz w:val="20"/>
          <w:szCs w:val="20"/>
        </w:rPr>
        <w:t xml:space="preserve">3 </w:t>
      </w:r>
      <w:r w:rsidRPr="00795969">
        <w:rPr>
          <w:rFonts w:ascii="Marianne" w:hAnsi="Marianne"/>
          <w:sz w:val="20"/>
          <w:szCs w:val="20"/>
        </w:rPr>
        <w:t xml:space="preserve">du </w:t>
      </w:r>
      <w:r w:rsidR="00501692">
        <w:rPr>
          <w:rFonts w:ascii="Marianne" w:hAnsi="Marianne"/>
          <w:sz w:val="20"/>
          <w:szCs w:val="20"/>
        </w:rPr>
        <w:t xml:space="preserve">CCH. D’une part, </w:t>
      </w:r>
      <w:r w:rsidR="00594A05">
        <w:rPr>
          <w:rFonts w:ascii="Marianne" w:hAnsi="Marianne"/>
          <w:sz w:val="20"/>
          <w:szCs w:val="20"/>
        </w:rPr>
        <w:t xml:space="preserve">il est supprimé </w:t>
      </w:r>
      <w:r w:rsidR="00501692" w:rsidRPr="00795969">
        <w:rPr>
          <w:rFonts w:ascii="Marianne" w:hAnsi="Marianne"/>
          <w:color w:val="000000"/>
          <w:sz w:val="20"/>
          <w:szCs w:val="20"/>
        </w:rPr>
        <w:t xml:space="preserve">la possibilité de recourir à des systèmes hybrides </w:t>
      </w:r>
      <w:r w:rsidR="00B800E9">
        <w:rPr>
          <w:rFonts w:ascii="Marianne" w:hAnsi="Marianne"/>
          <w:color w:val="000000"/>
          <w:sz w:val="20"/>
          <w:szCs w:val="20"/>
        </w:rPr>
        <w:t>intégrant un appoint</w:t>
      </w:r>
      <w:r w:rsidR="00501692" w:rsidRPr="00795969">
        <w:rPr>
          <w:rFonts w:ascii="Marianne" w:hAnsi="Marianne"/>
          <w:color w:val="000000"/>
          <w:sz w:val="20"/>
          <w:szCs w:val="20"/>
        </w:rPr>
        <w:t xml:space="preserve"> fioul</w:t>
      </w:r>
      <w:r w:rsidR="00501692">
        <w:rPr>
          <w:rFonts w:ascii="Marianne" w:hAnsi="Marianne"/>
          <w:sz w:val="20"/>
          <w:szCs w:val="20"/>
        </w:rPr>
        <w:t xml:space="preserve">. D’autre part, </w:t>
      </w:r>
      <w:r w:rsidR="00594A05">
        <w:rPr>
          <w:rFonts w:ascii="Marianne" w:hAnsi="Marianne"/>
          <w:sz w:val="20"/>
          <w:szCs w:val="20"/>
        </w:rPr>
        <w:t xml:space="preserve">les professionnels pouvant justifier de la dérogation à l’interdiction du fioul sont ceux </w:t>
      </w:r>
      <w:r w:rsidR="00FC5D9C">
        <w:rPr>
          <w:rFonts w:ascii="Marianne" w:hAnsi="Marianne"/>
          <w:sz w:val="20"/>
          <w:szCs w:val="20"/>
        </w:rPr>
        <w:t>qualifié</w:t>
      </w:r>
      <w:r w:rsidR="00594A05">
        <w:rPr>
          <w:rFonts w:ascii="Marianne" w:hAnsi="Marianne"/>
          <w:sz w:val="20"/>
          <w:szCs w:val="20"/>
        </w:rPr>
        <w:t>s</w:t>
      </w:r>
      <w:r w:rsidR="00FC5D9C">
        <w:rPr>
          <w:rFonts w:ascii="Marianne" w:hAnsi="Marianne"/>
          <w:sz w:val="20"/>
          <w:szCs w:val="20"/>
        </w:rPr>
        <w:t xml:space="preserve"> pour faire</w:t>
      </w:r>
      <w:r w:rsidR="00594A05">
        <w:rPr>
          <w:rFonts w:ascii="Marianne" w:hAnsi="Marianne"/>
          <w:sz w:val="20"/>
          <w:szCs w:val="20"/>
        </w:rPr>
        <w:t xml:space="preserve"> des </w:t>
      </w:r>
      <w:r w:rsidR="00FC5D9C">
        <w:rPr>
          <w:rFonts w:ascii="Marianne" w:hAnsi="Marianne"/>
          <w:sz w:val="20"/>
          <w:szCs w:val="20"/>
        </w:rPr>
        <w:t>audit</w:t>
      </w:r>
      <w:r w:rsidR="00594A05">
        <w:rPr>
          <w:rFonts w:ascii="Marianne" w:hAnsi="Marianne"/>
          <w:sz w:val="20"/>
          <w:szCs w:val="20"/>
        </w:rPr>
        <w:t>s</w:t>
      </w:r>
      <w:r w:rsidR="00FC5D9C">
        <w:rPr>
          <w:rFonts w:ascii="Marianne" w:hAnsi="Marianne"/>
          <w:sz w:val="20"/>
          <w:szCs w:val="20"/>
        </w:rPr>
        <w:t xml:space="preserve"> énergétique</w:t>
      </w:r>
      <w:r w:rsidR="00594A05">
        <w:rPr>
          <w:rFonts w:ascii="Marianne" w:hAnsi="Marianne"/>
          <w:sz w:val="20"/>
          <w:szCs w:val="20"/>
        </w:rPr>
        <w:t>s</w:t>
      </w:r>
      <w:r w:rsidR="00FC5D9C">
        <w:rPr>
          <w:rFonts w:ascii="Marianne" w:hAnsi="Marianne"/>
          <w:sz w:val="20"/>
          <w:szCs w:val="20"/>
        </w:rPr>
        <w:t xml:space="preserve"> dans le résidentiel </w:t>
      </w:r>
      <w:r w:rsidR="00594A05">
        <w:rPr>
          <w:rFonts w:ascii="Marianne" w:hAnsi="Marianne"/>
          <w:sz w:val="20"/>
          <w:szCs w:val="20"/>
        </w:rPr>
        <w:t>et ceux qualifiés</w:t>
      </w:r>
      <w:r w:rsidR="00FC5D9C">
        <w:rPr>
          <w:rFonts w:ascii="Marianne" w:hAnsi="Marianne"/>
          <w:sz w:val="20"/>
          <w:szCs w:val="20"/>
        </w:rPr>
        <w:t xml:space="preserve"> pour faire de</w:t>
      </w:r>
      <w:r w:rsidR="00594A05">
        <w:rPr>
          <w:rFonts w:ascii="Marianne" w:hAnsi="Marianne"/>
          <w:sz w:val="20"/>
          <w:szCs w:val="20"/>
        </w:rPr>
        <w:t>s</w:t>
      </w:r>
      <w:r w:rsidR="00FC5D9C">
        <w:rPr>
          <w:rFonts w:ascii="Marianne" w:hAnsi="Marianne"/>
          <w:sz w:val="20"/>
          <w:szCs w:val="20"/>
        </w:rPr>
        <w:t xml:space="preserve"> audit</w:t>
      </w:r>
      <w:r w:rsidR="00594A05">
        <w:rPr>
          <w:rFonts w:ascii="Marianne" w:hAnsi="Marianne"/>
          <w:sz w:val="20"/>
          <w:szCs w:val="20"/>
        </w:rPr>
        <w:t>s</w:t>
      </w:r>
      <w:r w:rsidR="00FC5D9C">
        <w:rPr>
          <w:rFonts w:ascii="Marianne" w:hAnsi="Marianne"/>
          <w:sz w:val="20"/>
          <w:szCs w:val="20"/>
        </w:rPr>
        <w:t xml:space="preserve"> énergétique</w:t>
      </w:r>
      <w:r w:rsidR="00594A05">
        <w:rPr>
          <w:rFonts w:ascii="Marianne" w:hAnsi="Marianne"/>
          <w:sz w:val="20"/>
          <w:szCs w:val="20"/>
        </w:rPr>
        <w:t>s</w:t>
      </w:r>
      <w:r w:rsidR="00FC5D9C">
        <w:rPr>
          <w:rFonts w:ascii="Marianne" w:hAnsi="Marianne"/>
          <w:sz w:val="20"/>
          <w:szCs w:val="20"/>
        </w:rPr>
        <w:t xml:space="preserve"> </w:t>
      </w:r>
      <w:r w:rsidR="00594A05">
        <w:rPr>
          <w:rFonts w:ascii="Marianne" w:hAnsi="Marianne"/>
          <w:sz w:val="20"/>
          <w:szCs w:val="20"/>
        </w:rPr>
        <w:t>« </w:t>
      </w:r>
      <w:r w:rsidR="00FC5D9C">
        <w:rPr>
          <w:rFonts w:ascii="Marianne" w:hAnsi="Marianne"/>
          <w:sz w:val="20"/>
          <w:szCs w:val="20"/>
        </w:rPr>
        <w:t>grande entreprise</w:t>
      </w:r>
      <w:r w:rsidR="00594A05">
        <w:rPr>
          <w:rFonts w:ascii="Marianne" w:hAnsi="Marianne"/>
          <w:sz w:val="20"/>
          <w:szCs w:val="20"/>
        </w:rPr>
        <w:t> »</w:t>
      </w:r>
      <w:r w:rsidR="00FC5D9C">
        <w:rPr>
          <w:rFonts w:ascii="Marianne" w:hAnsi="Marianne"/>
          <w:sz w:val="20"/>
          <w:szCs w:val="20"/>
        </w:rPr>
        <w:t xml:space="preserve"> dans le</w:t>
      </w:r>
      <w:r w:rsidR="00594A05">
        <w:rPr>
          <w:rFonts w:ascii="Marianne" w:hAnsi="Marianne"/>
          <w:sz w:val="20"/>
          <w:szCs w:val="20"/>
        </w:rPr>
        <w:t xml:space="preserve"> secteur</w:t>
      </w:r>
      <w:r w:rsidR="00FC5D9C">
        <w:rPr>
          <w:rFonts w:ascii="Marianne" w:hAnsi="Marianne"/>
          <w:sz w:val="20"/>
          <w:szCs w:val="20"/>
        </w:rPr>
        <w:t xml:space="preserve"> tertiaire</w:t>
      </w:r>
      <w:r w:rsidR="00594A05">
        <w:rPr>
          <w:rFonts w:ascii="Marianne" w:hAnsi="Marianne"/>
          <w:sz w:val="20"/>
          <w:szCs w:val="20"/>
        </w:rPr>
        <w:t>.</w:t>
      </w:r>
    </w:p>
    <w:p w14:paraId="58638779" w14:textId="77777777" w:rsidR="00501692" w:rsidRPr="00795969" w:rsidRDefault="00501692" w:rsidP="00501692">
      <w:pPr>
        <w:jc w:val="both"/>
        <w:rPr>
          <w:rFonts w:ascii="Marianne" w:hAnsi="Marianne"/>
          <w:sz w:val="20"/>
          <w:szCs w:val="20"/>
        </w:rPr>
      </w:pPr>
    </w:p>
    <w:p w14:paraId="772CBEEE" w14:textId="60EC2B01" w:rsidR="005028DA" w:rsidRDefault="005028DA" w:rsidP="005028DA">
      <w:pPr>
        <w:jc w:val="both"/>
        <w:rPr>
          <w:rFonts w:ascii="Marianne" w:hAnsi="Marianne"/>
          <w:sz w:val="20"/>
          <w:szCs w:val="20"/>
        </w:rPr>
      </w:pPr>
      <w:r w:rsidRPr="00795969">
        <w:rPr>
          <w:rFonts w:ascii="Marianne" w:hAnsi="Marianne"/>
          <w:b/>
          <w:sz w:val="20"/>
          <w:szCs w:val="20"/>
        </w:rPr>
        <w:t xml:space="preserve">L’article 2 </w:t>
      </w:r>
      <w:r w:rsidR="00594A05">
        <w:rPr>
          <w:rFonts w:ascii="Marianne" w:hAnsi="Marianne"/>
          <w:sz w:val="20"/>
          <w:szCs w:val="20"/>
        </w:rPr>
        <w:t xml:space="preserve">insert </w:t>
      </w:r>
      <w:r w:rsidR="00594A05" w:rsidRPr="00594A05">
        <w:rPr>
          <w:rFonts w:ascii="Marianne" w:hAnsi="Marianne"/>
          <w:sz w:val="20"/>
          <w:szCs w:val="20"/>
        </w:rPr>
        <w:t>une section 3</w:t>
      </w:r>
      <w:r w:rsidR="00594A05">
        <w:rPr>
          <w:rFonts w:ascii="Marianne" w:hAnsi="Marianne"/>
          <w:sz w:val="20"/>
          <w:szCs w:val="20"/>
        </w:rPr>
        <w:t xml:space="preserve"> au </w:t>
      </w:r>
      <w:r w:rsidR="00594A05" w:rsidRPr="00594A05">
        <w:rPr>
          <w:rFonts w:ascii="Marianne" w:hAnsi="Marianne"/>
          <w:sz w:val="20"/>
          <w:szCs w:val="20"/>
        </w:rPr>
        <w:t>chapitre II du titre VII du livre</w:t>
      </w:r>
      <w:r w:rsidR="00594A05">
        <w:rPr>
          <w:rFonts w:ascii="Marianne" w:hAnsi="Marianne"/>
          <w:sz w:val="20"/>
          <w:szCs w:val="20"/>
        </w:rPr>
        <w:t xml:space="preserve"> Ier de la partie réglementaire du CCH. Celle-ci est composé d’un unique article (R.172-14)</w:t>
      </w:r>
      <w:r w:rsidR="00B800E9">
        <w:rPr>
          <w:rFonts w:ascii="Marianne" w:hAnsi="Marianne"/>
          <w:sz w:val="20"/>
          <w:szCs w:val="20"/>
        </w:rPr>
        <w:t>, dont les dispositions sont les suivantes</w:t>
      </w:r>
      <w:r w:rsidR="00594A05">
        <w:rPr>
          <w:rFonts w:ascii="Marianne" w:hAnsi="Marianne"/>
          <w:sz w:val="20"/>
          <w:szCs w:val="20"/>
        </w:rPr>
        <w:t> :</w:t>
      </w:r>
    </w:p>
    <w:p w14:paraId="4B19632C" w14:textId="77777777" w:rsidR="00594A05" w:rsidRDefault="00594A05" w:rsidP="00594A05">
      <w:pPr>
        <w:pStyle w:val="Paragraphedeliste"/>
        <w:numPr>
          <w:ilvl w:val="0"/>
          <w:numId w:val="18"/>
        </w:numPr>
        <w:rPr>
          <w:rFonts w:ascii="Marianne" w:hAnsi="Marianne"/>
          <w:color w:val="000000"/>
          <w:sz w:val="20"/>
          <w:szCs w:val="20"/>
        </w:rPr>
      </w:pPr>
      <w:r w:rsidRPr="00795969">
        <w:rPr>
          <w:rFonts w:ascii="Marianne" w:hAnsi="Marianne"/>
          <w:color w:val="000000"/>
          <w:sz w:val="20"/>
          <w:szCs w:val="20"/>
        </w:rPr>
        <w:t>Introduire une interdiction d’installation de chaudières fonctionnant avec un seuil d’émissions de gaz à effet de serre supérieur à 79 g/kWh, ce qui correspond au seuil réglementair</w:t>
      </w:r>
      <w:r>
        <w:rPr>
          <w:rFonts w:ascii="Marianne" w:hAnsi="Marianne"/>
          <w:color w:val="000000"/>
          <w:sz w:val="20"/>
          <w:szCs w:val="20"/>
        </w:rPr>
        <w:t>e d’émissions de l’électricité ;</w:t>
      </w:r>
    </w:p>
    <w:p w14:paraId="27FE73C4" w14:textId="2AAD11B9" w:rsidR="00594A05" w:rsidRDefault="00594A05" w:rsidP="00594A05">
      <w:pPr>
        <w:pStyle w:val="Paragraphedeliste"/>
        <w:numPr>
          <w:ilvl w:val="0"/>
          <w:numId w:val="18"/>
        </w:numPr>
        <w:rPr>
          <w:rFonts w:ascii="Marianne" w:hAnsi="Marianne"/>
          <w:color w:val="000000"/>
          <w:sz w:val="20"/>
          <w:szCs w:val="20"/>
        </w:rPr>
      </w:pPr>
      <w:r w:rsidRPr="00795969">
        <w:rPr>
          <w:rFonts w:ascii="Marianne" w:hAnsi="Marianne"/>
          <w:color w:val="000000"/>
          <w:sz w:val="20"/>
          <w:szCs w:val="20"/>
        </w:rPr>
        <w:t>Prévoir une exemption pour les systèmes utilisés en secours, ainsi que</w:t>
      </w:r>
      <w:r w:rsidR="00B800E9">
        <w:rPr>
          <w:rFonts w:ascii="Marianne" w:hAnsi="Marianne"/>
          <w:color w:val="000000"/>
          <w:sz w:val="20"/>
          <w:szCs w:val="20"/>
        </w:rPr>
        <w:t xml:space="preserve"> pour</w:t>
      </w:r>
      <w:r w:rsidRPr="00795969">
        <w:rPr>
          <w:rFonts w:ascii="Marianne" w:hAnsi="Marianne"/>
          <w:color w:val="000000"/>
          <w:sz w:val="20"/>
          <w:szCs w:val="20"/>
        </w:rPr>
        <w:t xml:space="preserve"> les systèmes techniques raccordés à des réseaux de chaleur. Les bâtiments étant soumis à des servitudes de sol ou de propriété particulières amenant une impossibilité de mise en œuvre de</w:t>
      </w:r>
      <w:r w:rsidR="00B800E9">
        <w:rPr>
          <w:rFonts w:ascii="Marianne" w:hAnsi="Marianne"/>
          <w:color w:val="000000"/>
          <w:sz w:val="20"/>
          <w:szCs w:val="20"/>
        </w:rPr>
        <w:t xml:space="preserve"> cette mesure peuvent y déroger ;</w:t>
      </w:r>
    </w:p>
    <w:p w14:paraId="691EE7DB" w14:textId="084BC281" w:rsidR="00B800E9" w:rsidRPr="00B800E9" w:rsidRDefault="00B800E9" w:rsidP="00594A05">
      <w:pPr>
        <w:pStyle w:val="Paragraphedeliste"/>
        <w:numPr>
          <w:ilvl w:val="0"/>
          <w:numId w:val="18"/>
        </w:numPr>
        <w:rPr>
          <w:rFonts w:ascii="Marianne" w:hAnsi="Marianne"/>
          <w:color w:val="000000"/>
          <w:sz w:val="20"/>
          <w:szCs w:val="20"/>
        </w:rPr>
      </w:pPr>
      <w:r>
        <w:rPr>
          <w:rFonts w:ascii="Marianne" w:hAnsi="Marianne"/>
          <w:color w:val="000000"/>
          <w:sz w:val="20"/>
          <w:szCs w:val="20"/>
        </w:rPr>
        <w:t>Justifier cette dernière dérogation par une note réalisée par un</w:t>
      </w:r>
      <w:r>
        <w:rPr>
          <w:rFonts w:ascii="Marianne" w:hAnsi="Marianne"/>
          <w:sz w:val="20"/>
          <w:szCs w:val="20"/>
        </w:rPr>
        <w:t xml:space="preserve"> professionnel qualifié pour faire des audits énergétiques dans le résidentiel ou qualifié pour faire des audits énergétiques « grande entreprise » dans le secteur tertiaire ;</w:t>
      </w:r>
    </w:p>
    <w:p w14:paraId="5D717D05" w14:textId="476C50AC" w:rsidR="00B800E9" w:rsidRPr="0065293F" w:rsidRDefault="00B800E9" w:rsidP="00594A05">
      <w:pPr>
        <w:pStyle w:val="Paragraphedeliste"/>
        <w:numPr>
          <w:ilvl w:val="0"/>
          <w:numId w:val="18"/>
        </w:numPr>
        <w:rPr>
          <w:rFonts w:ascii="Marianne" w:hAnsi="Marianne"/>
          <w:color w:val="000000"/>
          <w:sz w:val="20"/>
          <w:szCs w:val="20"/>
        </w:rPr>
      </w:pPr>
      <w:r>
        <w:rPr>
          <w:rFonts w:ascii="Marianne" w:hAnsi="Marianne"/>
          <w:sz w:val="20"/>
          <w:szCs w:val="20"/>
        </w:rPr>
        <w:t xml:space="preserve">Définir un calendrier progressif d’entrée en vigueur de ce dispositif </w:t>
      </w:r>
      <w:r w:rsidR="0065293F">
        <w:rPr>
          <w:rFonts w:ascii="Marianne" w:hAnsi="Marianne"/>
          <w:sz w:val="20"/>
          <w:szCs w:val="20"/>
        </w:rPr>
        <w:t>réglementaire, à savoir :</w:t>
      </w:r>
    </w:p>
    <w:p w14:paraId="726C0BD5" w14:textId="2904F22B" w:rsidR="0065293F" w:rsidRPr="0065293F" w:rsidRDefault="0065293F" w:rsidP="0065293F">
      <w:pPr>
        <w:pStyle w:val="Paragraphedeliste"/>
        <w:numPr>
          <w:ilvl w:val="1"/>
          <w:numId w:val="18"/>
        </w:numPr>
        <w:rPr>
          <w:rFonts w:ascii="Marianne" w:hAnsi="Marianne"/>
          <w:color w:val="000000"/>
          <w:sz w:val="20"/>
          <w:szCs w:val="20"/>
        </w:rPr>
      </w:pPr>
      <w:r>
        <w:rPr>
          <w:rFonts w:ascii="Marianne" w:hAnsi="Marianne"/>
          <w:color w:val="000000"/>
          <w:sz w:val="20"/>
          <w:szCs w:val="20"/>
        </w:rPr>
        <w:t>A</w:t>
      </w:r>
      <w:r w:rsidRPr="0065293F">
        <w:rPr>
          <w:rFonts w:ascii="Marianne" w:hAnsi="Marianne"/>
          <w:color w:val="000000"/>
          <w:sz w:val="20"/>
          <w:szCs w:val="20"/>
        </w:rPr>
        <w:t xml:space="preserve"> partir du 1er janvier 2027</w:t>
      </w:r>
      <w:r>
        <w:rPr>
          <w:rFonts w:ascii="Marianne" w:hAnsi="Marianne"/>
          <w:color w:val="000000"/>
          <w:sz w:val="20"/>
          <w:szCs w:val="20"/>
        </w:rPr>
        <w:t>, à</w:t>
      </w:r>
      <w:r w:rsidRPr="0065293F">
        <w:rPr>
          <w:rFonts w:ascii="Marianne" w:hAnsi="Marianne"/>
          <w:color w:val="000000"/>
          <w:sz w:val="20"/>
          <w:szCs w:val="20"/>
        </w:rPr>
        <w:t xml:space="preserve"> la construction de bâtiments ou parties de bâtiments d'habitation qui font l'objet d'une demande de permis de construire ou d'une déclaration préalable ;</w:t>
      </w:r>
    </w:p>
    <w:p w14:paraId="360EEFAD" w14:textId="4D40FEEB" w:rsidR="0065293F" w:rsidRPr="0065293F" w:rsidRDefault="0065293F" w:rsidP="0065293F">
      <w:pPr>
        <w:pStyle w:val="Paragraphedeliste"/>
        <w:numPr>
          <w:ilvl w:val="1"/>
          <w:numId w:val="18"/>
        </w:numPr>
        <w:rPr>
          <w:rFonts w:ascii="Marianne" w:hAnsi="Marianne"/>
          <w:color w:val="000000"/>
          <w:sz w:val="20"/>
          <w:szCs w:val="20"/>
        </w:rPr>
      </w:pPr>
      <w:r>
        <w:rPr>
          <w:rFonts w:ascii="Marianne" w:hAnsi="Marianne"/>
          <w:color w:val="000000"/>
          <w:sz w:val="20"/>
          <w:szCs w:val="20"/>
        </w:rPr>
        <w:t>A</w:t>
      </w:r>
      <w:r w:rsidRPr="0065293F">
        <w:rPr>
          <w:rFonts w:ascii="Marianne" w:hAnsi="Marianne"/>
          <w:color w:val="000000"/>
          <w:sz w:val="20"/>
          <w:szCs w:val="20"/>
        </w:rPr>
        <w:t xml:space="preserve"> partir du 1er janvier 2028</w:t>
      </w:r>
      <w:r>
        <w:rPr>
          <w:rFonts w:ascii="Marianne" w:hAnsi="Marianne"/>
          <w:color w:val="000000"/>
          <w:sz w:val="20"/>
          <w:szCs w:val="20"/>
        </w:rPr>
        <w:t>, à</w:t>
      </w:r>
      <w:r w:rsidRPr="0065293F">
        <w:rPr>
          <w:rFonts w:ascii="Marianne" w:hAnsi="Marianne"/>
          <w:color w:val="000000"/>
          <w:sz w:val="20"/>
          <w:szCs w:val="20"/>
        </w:rPr>
        <w:t xml:space="preserve"> la construction de bâtiments ou parties de bâtiments, sous maîtrise d'ouvrage de l'Etat, de ses établissements publics ou des collectivités territoriales, qui font l'objet d'une demande de permis de construire ou d'une déclaration préalable;</w:t>
      </w:r>
    </w:p>
    <w:p w14:paraId="215FA0E4" w14:textId="4B84DFAA" w:rsidR="0065293F" w:rsidRPr="0065293F" w:rsidRDefault="0065293F" w:rsidP="0065293F">
      <w:pPr>
        <w:pStyle w:val="Paragraphedeliste"/>
        <w:numPr>
          <w:ilvl w:val="1"/>
          <w:numId w:val="18"/>
        </w:numPr>
        <w:rPr>
          <w:rFonts w:ascii="Marianne" w:hAnsi="Marianne"/>
          <w:color w:val="000000"/>
          <w:sz w:val="20"/>
          <w:szCs w:val="20"/>
        </w:rPr>
      </w:pPr>
      <w:r>
        <w:rPr>
          <w:rFonts w:ascii="Marianne" w:hAnsi="Marianne"/>
          <w:color w:val="000000"/>
          <w:sz w:val="20"/>
          <w:szCs w:val="20"/>
        </w:rPr>
        <w:t>A partir du 1er janvier 2030, à</w:t>
      </w:r>
      <w:r w:rsidRPr="0065293F">
        <w:rPr>
          <w:rFonts w:ascii="Marianne" w:hAnsi="Marianne"/>
          <w:color w:val="000000"/>
          <w:sz w:val="20"/>
          <w:szCs w:val="20"/>
        </w:rPr>
        <w:t xml:space="preserve"> la construction de bâtiments ou parties de bâtiments, non précédemment visés, qui font l'objet d'une demande de permis de construire ou d'une déclaration préalable.</w:t>
      </w:r>
    </w:p>
    <w:p w14:paraId="0E884623" w14:textId="77777777" w:rsidR="00594A05" w:rsidRPr="00795969" w:rsidRDefault="00594A05" w:rsidP="005028DA">
      <w:pPr>
        <w:jc w:val="both"/>
        <w:rPr>
          <w:rFonts w:ascii="Marianne" w:hAnsi="Marianne"/>
          <w:sz w:val="20"/>
          <w:szCs w:val="20"/>
        </w:rPr>
      </w:pPr>
    </w:p>
    <w:p w14:paraId="2145E39F" w14:textId="25674C50" w:rsidR="00156570" w:rsidRDefault="00795969" w:rsidP="005028DA">
      <w:pPr>
        <w:jc w:val="both"/>
        <w:rPr>
          <w:rFonts w:ascii="Marianne" w:hAnsi="Marianne"/>
          <w:sz w:val="20"/>
          <w:szCs w:val="20"/>
        </w:rPr>
      </w:pPr>
      <w:r>
        <w:rPr>
          <w:rFonts w:ascii="Marianne" w:hAnsi="Marianne"/>
          <w:b/>
          <w:sz w:val="20"/>
          <w:szCs w:val="20"/>
        </w:rPr>
        <w:t>L’article 3</w:t>
      </w:r>
      <w:r w:rsidR="005028DA" w:rsidRPr="00795969">
        <w:rPr>
          <w:rFonts w:ascii="Marianne" w:hAnsi="Marianne"/>
          <w:b/>
          <w:sz w:val="20"/>
          <w:szCs w:val="20"/>
        </w:rPr>
        <w:t xml:space="preserve"> </w:t>
      </w:r>
      <w:r w:rsidR="005028DA" w:rsidRPr="00795969">
        <w:rPr>
          <w:rFonts w:ascii="Marianne" w:hAnsi="Marianne"/>
          <w:sz w:val="20"/>
          <w:szCs w:val="20"/>
        </w:rPr>
        <w:t xml:space="preserve">définit la date d’entrée en vigueur </w:t>
      </w:r>
      <w:r w:rsidR="00D773AD">
        <w:rPr>
          <w:rFonts w:ascii="Marianne" w:hAnsi="Marianne"/>
          <w:sz w:val="20"/>
          <w:szCs w:val="20"/>
        </w:rPr>
        <w:t>du décret</w:t>
      </w:r>
      <w:r w:rsidR="005028DA" w:rsidRPr="00795969">
        <w:rPr>
          <w:rFonts w:ascii="Marianne" w:hAnsi="Marianne"/>
          <w:sz w:val="20"/>
          <w:szCs w:val="20"/>
        </w:rPr>
        <w:t xml:space="preserve">, </w:t>
      </w:r>
      <w:r w:rsidR="005028DA" w:rsidRPr="00795969">
        <w:rPr>
          <w:rFonts w:ascii="Marianne" w:hAnsi="Marianne"/>
          <w:i/>
          <w:sz w:val="20"/>
          <w:szCs w:val="20"/>
        </w:rPr>
        <w:t>i.e.</w:t>
      </w:r>
      <w:r w:rsidR="005028DA" w:rsidRPr="00795969">
        <w:rPr>
          <w:rFonts w:ascii="Marianne" w:hAnsi="Marianne"/>
          <w:sz w:val="20"/>
          <w:szCs w:val="20"/>
        </w:rPr>
        <w:t xml:space="preserve"> le 1</w:t>
      </w:r>
      <w:r w:rsidR="005028DA" w:rsidRPr="00795969">
        <w:rPr>
          <w:rFonts w:ascii="Marianne" w:hAnsi="Marianne"/>
          <w:sz w:val="20"/>
          <w:szCs w:val="20"/>
          <w:vertAlign w:val="superscript"/>
        </w:rPr>
        <w:t>er</w:t>
      </w:r>
      <w:r w:rsidR="005028DA" w:rsidRPr="00795969">
        <w:rPr>
          <w:rFonts w:ascii="Marianne" w:hAnsi="Marianne"/>
          <w:sz w:val="20"/>
          <w:szCs w:val="20"/>
        </w:rPr>
        <w:t xml:space="preserve"> </w:t>
      </w:r>
      <w:r w:rsidR="00D81531" w:rsidRPr="00795969">
        <w:rPr>
          <w:rFonts w:ascii="Marianne" w:hAnsi="Marianne"/>
          <w:sz w:val="20"/>
          <w:szCs w:val="20"/>
        </w:rPr>
        <w:t>janvier 202</w:t>
      </w:r>
      <w:r w:rsidR="00156570">
        <w:rPr>
          <w:rFonts w:ascii="Marianne" w:hAnsi="Marianne"/>
          <w:sz w:val="20"/>
          <w:szCs w:val="20"/>
        </w:rPr>
        <w:t>7</w:t>
      </w:r>
      <w:r w:rsidR="0065293F">
        <w:rPr>
          <w:rFonts w:ascii="Marianne" w:hAnsi="Marianne"/>
          <w:sz w:val="20"/>
          <w:szCs w:val="20"/>
        </w:rPr>
        <w:t>.</w:t>
      </w:r>
    </w:p>
    <w:p w14:paraId="444F0A64" w14:textId="42CC1970" w:rsidR="005028DA" w:rsidRPr="00501692" w:rsidRDefault="005028DA" w:rsidP="00501692">
      <w:pPr>
        <w:rPr>
          <w:rFonts w:ascii="Marianne" w:hAnsi="Marianne"/>
          <w:sz w:val="20"/>
          <w:szCs w:val="20"/>
        </w:rPr>
      </w:pPr>
    </w:p>
    <w:p w14:paraId="274E8043" w14:textId="114AD455" w:rsidR="005028DA" w:rsidRPr="00795969" w:rsidRDefault="00795969" w:rsidP="005028DA">
      <w:pPr>
        <w:jc w:val="both"/>
        <w:rPr>
          <w:rFonts w:ascii="Marianne" w:hAnsi="Marianne"/>
          <w:sz w:val="20"/>
          <w:szCs w:val="20"/>
        </w:rPr>
      </w:pPr>
      <w:r>
        <w:rPr>
          <w:rFonts w:ascii="Marianne" w:hAnsi="Marianne"/>
          <w:b/>
          <w:sz w:val="20"/>
          <w:szCs w:val="20"/>
        </w:rPr>
        <w:t>L’article 4</w:t>
      </w:r>
      <w:r w:rsidR="005028DA" w:rsidRPr="00795969">
        <w:rPr>
          <w:rFonts w:ascii="Marianne" w:hAnsi="Marianne"/>
          <w:b/>
          <w:sz w:val="20"/>
          <w:szCs w:val="20"/>
        </w:rPr>
        <w:t xml:space="preserve"> </w:t>
      </w:r>
      <w:r w:rsidR="005028DA" w:rsidRPr="00795969">
        <w:rPr>
          <w:rFonts w:ascii="Marianne" w:hAnsi="Marianne"/>
          <w:sz w:val="20"/>
          <w:szCs w:val="20"/>
        </w:rPr>
        <w:t>est l’article d’exécution.</w:t>
      </w:r>
    </w:p>
    <w:p w14:paraId="099B4D54" w14:textId="51D0E252" w:rsidR="005028DA" w:rsidRDefault="005028DA" w:rsidP="005028DA">
      <w:pPr>
        <w:pStyle w:val="Corpsdetexte"/>
        <w:suppressAutoHyphens w:val="0"/>
        <w:spacing w:after="0" w:line="198" w:lineRule="atLeast"/>
        <w:jc w:val="both"/>
        <w:rPr>
          <w:rFonts w:ascii="Marianne" w:hAnsi="Marianne"/>
          <w:color w:val="000000"/>
          <w:sz w:val="20"/>
          <w:szCs w:val="20"/>
        </w:rPr>
      </w:pPr>
    </w:p>
    <w:p w14:paraId="55874B30" w14:textId="3B94467E" w:rsidR="008F542A" w:rsidRPr="00795969" w:rsidRDefault="008F542A" w:rsidP="005028DA">
      <w:pPr>
        <w:pStyle w:val="Corpsdetexte"/>
        <w:suppressAutoHyphens w:val="0"/>
        <w:spacing w:after="0" w:line="198" w:lineRule="atLeast"/>
        <w:jc w:val="both"/>
        <w:rPr>
          <w:rFonts w:ascii="Marianne" w:hAnsi="Marianne"/>
          <w:color w:val="000000"/>
          <w:sz w:val="20"/>
          <w:szCs w:val="20"/>
        </w:rPr>
      </w:pPr>
      <w:r>
        <w:rPr>
          <w:rFonts w:ascii="Marianne" w:hAnsi="Marianne"/>
          <w:color w:val="000000"/>
          <w:sz w:val="20"/>
          <w:szCs w:val="20"/>
        </w:rPr>
        <w:t>Ce</w:t>
      </w:r>
      <w:r w:rsidRPr="008F542A">
        <w:rPr>
          <w:rFonts w:ascii="Marianne" w:hAnsi="Marianne"/>
          <w:color w:val="000000"/>
          <w:sz w:val="20"/>
          <w:szCs w:val="20"/>
        </w:rPr>
        <w:t xml:space="preserve"> projet de </w:t>
      </w:r>
      <w:r>
        <w:rPr>
          <w:rFonts w:ascii="Marianne" w:hAnsi="Marianne"/>
          <w:color w:val="000000"/>
          <w:sz w:val="20"/>
          <w:szCs w:val="20"/>
        </w:rPr>
        <w:t>décret es</w:t>
      </w:r>
      <w:r w:rsidRPr="008F542A">
        <w:rPr>
          <w:rFonts w:ascii="Marianne" w:hAnsi="Marianne"/>
          <w:color w:val="000000"/>
          <w:sz w:val="20"/>
          <w:szCs w:val="20"/>
        </w:rPr>
        <w:t>t soumis à la consultation du public sur le fondement de l’article L. 123-19-1 du code de l’environnement</w:t>
      </w:r>
      <w:r>
        <w:rPr>
          <w:rFonts w:ascii="Marianne" w:hAnsi="Marianne"/>
          <w:color w:val="000000"/>
          <w:sz w:val="20"/>
          <w:szCs w:val="20"/>
        </w:rPr>
        <w:t>.</w:t>
      </w:r>
      <w:bookmarkStart w:id="0" w:name="_GoBack"/>
      <w:bookmarkEnd w:id="0"/>
    </w:p>
    <w:sectPr w:rsidR="008F542A" w:rsidRPr="00795969">
      <w:footerReference w:type="default" r:id="rId8"/>
      <w:pgSz w:w="11906" w:h="16838"/>
      <w:pgMar w:top="1417" w:right="1417" w:bottom="1417" w:left="1417"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A5F4D" w14:textId="77777777" w:rsidR="000163F9" w:rsidRDefault="000163F9">
      <w:r>
        <w:separator/>
      </w:r>
    </w:p>
  </w:endnote>
  <w:endnote w:type="continuationSeparator" w:id="0">
    <w:p w14:paraId="3A5AF9FF" w14:textId="77777777" w:rsidR="000163F9" w:rsidRDefault="0001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0">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06ADE" w14:textId="38F51C2A" w:rsidR="00B43ACA" w:rsidRDefault="00ED1022">
    <w:pPr>
      <w:pStyle w:val="Pieddepage"/>
      <w:jc w:val="right"/>
    </w:pPr>
    <w:r>
      <w:fldChar w:fldCharType="begin"/>
    </w:r>
    <w:r>
      <w:instrText>PAGE</w:instrText>
    </w:r>
    <w:r>
      <w:fldChar w:fldCharType="separate"/>
    </w:r>
    <w:r w:rsidR="008F542A">
      <w:rPr>
        <w:noProof/>
      </w:rPr>
      <w:t>2</w:t>
    </w:r>
    <w:r>
      <w:fldChar w:fldCharType="end"/>
    </w:r>
  </w:p>
  <w:p w14:paraId="1070C62E" w14:textId="77777777" w:rsidR="00B43ACA" w:rsidRDefault="00B43A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1283E" w14:textId="77777777" w:rsidR="000163F9" w:rsidRDefault="000163F9">
      <w:r>
        <w:separator/>
      </w:r>
    </w:p>
  </w:footnote>
  <w:footnote w:type="continuationSeparator" w:id="0">
    <w:p w14:paraId="622211D5" w14:textId="77777777" w:rsidR="000163F9" w:rsidRDefault="00016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72F3D"/>
    <w:multiLevelType w:val="multilevel"/>
    <w:tmpl w:val="E89AF206"/>
    <w:lvl w:ilvl="0">
      <w:start w:val="1"/>
      <w:numFmt w:val="bullet"/>
      <w:lvlText w:val=""/>
      <w:lvlJc w:val="left"/>
      <w:pPr>
        <w:tabs>
          <w:tab w:val="num" w:pos="720"/>
        </w:tabs>
        <w:ind w:left="720" w:hanging="360"/>
      </w:pPr>
      <w:rPr>
        <w:rFonts w:ascii="Symbol" w:hAnsi="Symbol" w:cs="OpenSymbol" w:hint="default"/>
        <w:color w:val="000000"/>
        <w:sz w:val="24"/>
        <w:szCs w:val="24"/>
        <w:lang w:val="fr-FR" w:eastAsia="zh-CN" w:bidi="ar-SA"/>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color w:val="000000"/>
        <w:sz w:val="24"/>
        <w:szCs w:val="24"/>
        <w:lang w:val="fr-FR" w:eastAsia="zh-CN" w:bidi="ar-SA"/>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color w:val="000000"/>
        <w:sz w:val="24"/>
        <w:szCs w:val="24"/>
        <w:lang w:val="fr-FR" w:eastAsia="zh-CN" w:bidi="ar-SA"/>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4A0427E"/>
    <w:multiLevelType w:val="hybridMultilevel"/>
    <w:tmpl w:val="59F801F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136CE1"/>
    <w:multiLevelType w:val="hybridMultilevel"/>
    <w:tmpl w:val="6FB288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F5F0C59"/>
    <w:multiLevelType w:val="hybridMultilevel"/>
    <w:tmpl w:val="BDB44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C90FC7"/>
    <w:multiLevelType w:val="hybridMultilevel"/>
    <w:tmpl w:val="BB448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C806B4"/>
    <w:multiLevelType w:val="multilevel"/>
    <w:tmpl w:val="118CAC88"/>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4357F6"/>
    <w:multiLevelType w:val="hybridMultilevel"/>
    <w:tmpl w:val="87204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7A001D"/>
    <w:multiLevelType w:val="hybridMultilevel"/>
    <w:tmpl w:val="1CF8959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3D2621"/>
    <w:multiLevelType w:val="hybridMultilevel"/>
    <w:tmpl w:val="1562B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DC5C7E"/>
    <w:multiLevelType w:val="multilevel"/>
    <w:tmpl w:val="34A889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B4C60CE"/>
    <w:multiLevelType w:val="hybridMultilevel"/>
    <w:tmpl w:val="1AB28FA8"/>
    <w:lvl w:ilvl="0" w:tplc="D88CF9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B9492F"/>
    <w:multiLevelType w:val="hybridMultilevel"/>
    <w:tmpl w:val="95CAE78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E45547A"/>
    <w:multiLevelType w:val="hybridMultilevel"/>
    <w:tmpl w:val="4190938A"/>
    <w:lvl w:ilvl="0" w:tplc="D1BCC2E6">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6778357F"/>
    <w:multiLevelType w:val="hybridMultilevel"/>
    <w:tmpl w:val="27A089E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9DA2A80"/>
    <w:multiLevelType w:val="hybridMultilevel"/>
    <w:tmpl w:val="614C2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944E1E"/>
    <w:multiLevelType w:val="hybridMultilevel"/>
    <w:tmpl w:val="1F9C0064"/>
    <w:lvl w:ilvl="0" w:tplc="D88CF90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BC747C"/>
    <w:multiLevelType w:val="multilevel"/>
    <w:tmpl w:val="0ACA410E"/>
    <w:lvl w:ilvl="0">
      <w:start w:val="1"/>
      <w:numFmt w:val="bullet"/>
      <w:lvlText w:val=""/>
      <w:lvlJc w:val="left"/>
      <w:pPr>
        <w:tabs>
          <w:tab w:val="num" w:pos="720"/>
        </w:tabs>
        <w:ind w:left="720" w:hanging="360"/>
      </w:pPr>
      <w:rPr>
        <w:rFonts w:ascii="Symbol" w:hAnsi="Symbol" w:cs="OpenSymbol" w:hint="default"/>
        <w:color w:val="00000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color w:val="000000"/>
        <w:szCs w:val="2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color w:val="000000"/>
        <w:szCs w:val="2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3793788"/>
    <w:multiLevelType w:val="hybridMultilevel"/>
    <w:tmpl w:val="6CBAB6E0"/>
    <w:lvl w:ilvl="0" w:tplc="D1BCC2E6">
      <w:numFmt w:val="bullet"/>
      <w:lvlText w:val="-"/>
      <w:lvlJc w:val="left"/>
      <w:pPr>
        <w:ind w:left="430" w:hanging="43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6BC4E03"/>
    <w:multiLevelType w:val="hybridMultilevel"/>
    <w:tmpl w:val="263673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D5F01EB"/>
    <w:multiLevelType w:val="hybridMultilevel"/>
    <w:tmpl w:val="663C6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9"/>
  </w:num>
  <w:num w:numId="4">
    <w:abstractNumId w:val="17"/>
  </w:num>
  <w:num w:numId="5">
    <w:abstractNumId w:val="11"/>
  </w:num>
  <w:num w:numId="6">
    <w:abstractNumId w:val="12"/>
  </w:num>
  <w:num w:numId="7">
    <w:abstractNumId w:val="5"/>
  </w:num>
  <w:num w:numId="8">
    <w:abstractNumId w:val="13"/>
  </w:num>
  <w:num w:numId="9">
    <w:abstractNumId w:val="18"/>
  </w:num>
  <w:num w:numId="10">
    <w:abstractNumId w:val="4"/>
  </w:num>
  <w:num w:numId="11">
    <w:abstractNumId w:val="1"/>
  </w:num>
  <w:num w:numId="12">
    <w:abstractNumId w:val="6"/>
  </w:num>
  <w:num w:numId="13">
    <w:abstractNumId w:val="14"/>
  </w:num>
  <w:num w:numId="14">
    <w:abstractNumId w:val="19"/>
  </w:num>
  <w:num w:numId="15">
    <w:abstractNumId w:val="2"/>
  </w:num>
  <w:num w:numId="16">
    <w:abstractNumId w:val="8"/>
  </w:num>
  <w:num w:numId="17">
    <w:abstractNumId w:val="7"/>
  </w:num>
  <w:num w:numId="18">
    <w:abstractNumId w:val="15"/>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CA"/>
    <w:rsid w:val="000163F9"/>
    <w:rsid w:val="000243DB"/>
    <w:rsid w:val="00084F9E"/>
    <w:rsid w:val="00156570"/>
    <w:rsid w:val="00162DD4"/>
    <w:rsid w:val="0043701D"/>
    <w:rsid w:val="00501692"/>
    <w:rsid w:val="005028DA"/>
    <w:rsid w:val="00594A05"/>
    <w:rsid w:val="005A19FB"/>
    <w:rsid w:val="005D491F"/>
    <w:rsid w:val="0065293F"/>
    <w:rsid w:val="00795969"/>
    <w:rsid w:val="008F542A"/>
    <w:rsid w:val="009F005E"/>
    <w:rsid w:val="00B43ACA"/>
    <w:rsid w:val="00B800E9"/>
    <w:rsid w:val="00BA7AFA"/>
    <w:rsid w:val="00D773AD"/>
    <w:rsid w:val="00D81531"/>
    <w:rsid w:val="00D86AEF"/>
    <w:rsid w:val="00E3418C"/>
    <w:rsid w:val="00ED1022"/>
    <w:rsid w:val="00FB70D7"/>
    <w:rsid w:val="00FC5D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CA5A"/>
  <w15:docId w15:val="{DB6A6034-8A29-4BA8-9741-61418283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lang w:bidi="ar-SA"/>
    </w:rPr>
  </w:style>
  <w:style w:type="paragraph" w:styleId="Titre2">
    <w:name w:val="heading 2"/>
    <w:basedOn w:val="Paragraphedeliste"/>
    <w:next w:val="Normal"/>
    <w:link w:val="Titre2Car"/>
    <w:uiPriority w:val="9"/>
    <w:unhideWhenUsed/>
    <w:qFormat/>
    <w:rsid w:val="0043701D"/>
    <w:pPr>
      <w:numPr>
        <w:numId w:val="7"/>
      </w:numPr>
      <w:outlineLvl w:val="1"/>
    </w:pPr>
    <w:rPr>
      <w:b/>
      <w:iC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hAnsi="Symbol" w:cs="OpenSymbol"/>
      <w:color w:val="000000"/>
      <w:szCs w:val="20"/>
    </w:rPr>
  </w:style>
  <w:style w:type="character" w:customStyle="1" w:styleId="WW8Num1z1">
    <w:name w:val="WW8Num1z1"/>
    <w:qFormat/>
    <w:rPr>
      <w:rFonts w:ascii="OpenSymbol" w:hAnsi="OpenSymbol" w:cs="OpenSymbol"/>
    </w:rPr>
  </w:style>
  <w:style w:type="character" w:customStyle="1" w:styleId="WW8Num2z0">
    <w:name w:val="WW8Num2z0"/>
    <w:qFormat/>
    <w:rPr>
      <w:rFonts w:ascii="Symbol" w:hAnsi="Symbol" w:cs="OpenSymbol"/>
      <w:color w:val="000000"/>
      <w:sz w:val="24"/>
      <w:szCs w:val="24"/>
      <w:lang w:val="fr-FR" w:eastAsia="zh-CN" w:bidi="ar-SA"/>
    </w:rPr>
  </w:style>
  <w:style w:type="character" w:customStyle="1" w:styleId="WW8Num2z1">
    <w:name w:val="WW8Num2z1"/>
    <w:qFormat/>
    <w:rPr>
      <w:rFonts w:ascii="OpenSymbol" w:hAnsi="OpenSymbol" w:cs="Open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Policepardfaut7">
    <w:name w:val="Police par défaut7"/>
    <w:qFormat/>
  </w:style>
  <w:style w:type="character" w:customStyle="1" w:styleId="Policepardfaut6">
    <w:name w:val="Police par défaut6"/>
    <w:qFormat/>
  </w:style>
  <w:style w:type="character" w:customStyle="1" w:styleId="Policepardfaut5">
    <w:name w:val="Police par défaut5"/>
    <w:qFormat/>
  </w:style>
  <w:style w:type="character" w:customStyle="1" w:styleId="Policepardfaut4">
    <w:name w:val="Police par défaut4"/>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color w:val="000000"/>
      <w:sz w:val="22"/>
      <w:szCs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2">
    <w:name w:val="Police par défaut2"/>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8z3">
    <w:name w:val="WW8Num8z3"/>
    <w:qFormat/>
    <w:rPr>
      <w:rFonts w:ascii="Symbol" w:hAnsi="Symbol" w:cs="Symbol"/>
    </w:rPr>
  </w:style>
  <w:style w:type="character" w:customStyle="1" w:styleId="Policepardfaut1">
    <w:name w:val="Police par défaut1"/>
    <w:qFormat/>
  </w:style>
  <w:style w:type="character" w:customStyle="1" w:styleId="Accentuationforte">
    <w:name w:val="Accentuation forte"/>
    <w:qFormat/>
    <w:rPr>
      <w:b/>
      <w:bCs/>
    </w:rPr>
  </w:style>
  <w:style w:type="character" w:customStyle="1" w:styleId="CarCar">
    <w:name w:val="Car Car"/>
    <w:qFormat/>
    <w:rPr>
      <w:rFonts w:ascii="Segoe UI" w:hAnsi="Segoe UI" w:cs="Segoe UI"/>
      <w:sz w:val="18"/>
      <w:szCs w:val="18"/>
      <w:lang w:eastAsia="zh-CN"/>
    </w:rPr>
  </w:style>
  <w:style w:type="character" w:customStyle="1" w:styleId="LienInternet">
    <w:name w:val="Lien Internet"/>
    <w:rPr>
      <w:color w:val="0000FF"/>
      <w:u w:val="single"/>
    </w:rPr>
  </w:style>
  <w:style w:type="character" w:customStyle="1" w:styleId="Caractresdenotedebasdepage">
    <w:name w:val="Caractères de note de bas de page"/>
    <w:qFormat/>
    <w:rPr>
      <w:vertAlign w:val="superscript"/>
    </w:rPr>
  </w:style>
  <w:style w:type="character" w:customStyle="1" w:styleId="Appelnotedebasdep1">
    <w:name w:val="Appel note de bas de p.1"/>
    <w:qFormat/>
    <w:rPr>
      <w:vertAlign w:val="superscript"/>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En-tteCar">
    <w:name w:val="En-tête Car"/>
    <w:qFormat/>
    <w:rPr>
      <w:sz w:val="24"/>
      <w:szCs w:val="24"/>
      <w:lang w:eastAsia="zh-CN"/>
    </w:rPr>
  </w:style>
  <w:style w:type="character" w:customStyle="1" w:styleId="PieddepageCar">
    <w:name w:val="Pied de page Car"/>
    <w:qFormat/>
    <w:rPr>
      <w:sz w:val="24"/>
      <w:szCs w:val="24"/>
      <w:lang w:eastAsia="zh-CN"/>
    </w:rPr>
  </w:style>
  <w:style w:type="character" w:customStyle="1" w:styleId="Marquedecommentaire1">
    <w:name w:val="Marque de commentaire1"/>
    <w:qFormat/>
    <w:rPr>
      <w:sz w:val="16"/>
      <w:szCs w:val="16"/>
    </w:rPr>
  </w:style>
  <w:style w:type="character" w:customStyle="1" w:styleId="CommentaireCar">
    <w:name w:val="Commentaire Car"/>
    <w:qFormat/>
    <w:rPr>
      <w:lang w:eastAsia="zh-CN"/>
    </w:rPr>
  </w:style>
  <w:style w:type="character" w:customStyle="1" w:styleId="ObjetducommentaireCar">
    <w:name w:val="Objet du commentaire Car"/>
    <w:qFormat/>
    <w:rPr>
      <w:b/>
      <w:bCs/>
      <w:lang w:eastAsia="zh-CN"/>
    </w:rPr>
  </w:style>
  <w:style w:type="character" w:customStyle="1" w:styleId="CorpsdetexteCar">
    <w:name w:val="Corps de texte Car"/>
    <w:qFormat/>
    <w:rPr>
      <w:rFonts w:cs="Times New Roman"/>
      <w:sz w:val="24"/>
      <w:szCs w:val="24"/>
      <w:lang w:val="fr-FR" w:eastAsia="zh-CN"/>
    </w:rPr>
  </w:style>
  <w:style w:type="character" w:customStyle="1" w:styleId="mxeventtilebody">
    <w:name w:val="mx_eventtile_body"/>
    <w:qFormat/>
    <w:rPr>
      <w:rFonts w:cs="0"/>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7">
    <w:name w:val="Titre7"/>
    <w:basedOn w:val="Normal"/>
    <w:next w:val="Corpsdetexte"/>
    <w:qFormat/>
    <w:pPr>
      <w:keepNext/>
      <w:spacing w:before="240" w:after="120"/>
    </w:pPr>
    <w:rPr>
      <w:rFonts w:ascii="Liberation Sans" w:eastAsia="Microsoft YaHei" w:hAnsi="Liberation Sans" w:cs="Lucida Sans"/>
      <w:sz w:val="28"/>
      <w:szCs w:val="28"/>
    </w:rPr>
  </w:style>
  <w:style w:type="paragraph" w:customStyle="1" w:styleId="Titre6">
    <w:name w:val="Titre6"/>
    <w:basedOn w:val="Normal"/>
    <w:next w:val="Corpsdetexte"/>
    <w:qFormat/>
    <w:pPr>
      <w:keepNext/>
      <w:spacing w:before="240" w:after="120"/>
    </w:pPr>
    <w:rPr>
      <w:rFonts w:ascii="Liberation Sans" w:eastAsia="Microsoft YaHei" w:hAnsi="Liberation Sans" w:cs="Lucida Sans"/>
      <w:sz w:val="28"/>
      <w:szCs w:val="28"/>
    </w:rPr>
  </w:style>
  <w:style w:type="paragraph" w:customStyle="1" w:styleId="Titre5">
    <w:name w:val="Titre5"/>
    <w:basedOn w:val="Normal"/>
    <w:next w:val="Corpsdetexte"/>
    <w:qFormat/>
    <w:pPr>
      <w:keepNext/>
      <w:spacing w:before="240" w:after="120"/>
    </w:pPr>
    <w:rPr>
      <w:rFonts w:ascii="Liberation Sans" w:eastAsia="Microsoft YaHei" w:hAnsi="Liberation Sans" w:cs="Lucida Sans"/>
      <w:sz w:val="28"/>
      <w:szCs w:val="28"/>
    </w:rPr>
  </w:style>
  <w:style w:type="paragraph" w:customStyle="1" w:styleId="Titre4">
    <w:name w:val="Titre4"/>
    <w:basedOn w:val="Normal"/>
    <w:next w:val="Corpsdetexte"/>
    <w:qFormat/>
    <w:pPr>
      <w:keepNext/>
      <w:spacing w:before="240" w:after="120"/>
    </w:pPr>
    <w:rPr>
      <w:rFonts w:ascii="Liberation Sans" w:eastAsia="Microsoft YaHei" w:hAnsi="Liberation Sans" w:cs="Lucida Sans"/>
      <w:sz w:val="28"/>
      <w:szCs w:val="28"/>
    </w:rPr>
  </w:style>
  <w:style w:type="paragraph" w:customStyle="1" w:styleId="Titre3">
    <w:name w:val="Titre3"/>
    <w:basedOn w:val="Normal"/>
    <w:next w:val="Corpsdetexte"/>
    <w:qFormat/>
    <w:pPr>
      <w:keepNext/>
      <w:spacing w:before="240" w:after="120"/>
    </w:pPr>
    <w:rPr>
      <w:rFonts w:ascii="Liberation Sans" w:eastAsia="Microsoft YaHei" w:hAnsi="Liberation Sans" w:cs="Lucida Sans"/>
      <w:sz w:val="28"/>
      <w:szCs w:val="28"/>
    </w:rPr>
  </w:style>
  <w:style w:type="paragraph" w:customStyle="1" w:styleId="Titre20">
    <w:name w:val="Titre2"/>
    <w:basedOn w:val="Normal"/>
    <w:next w:val="Corpsdetexte"/>
    <w:qFormat/>
    <w:pPr>
      <w:keepNext/>
      <w:spacing w:before="240" w:after="120"/>
    </w:pPr>
    <w:rPr>
      <w:rFonts w:ascii="Liberation Sans" w:eastAsia="Microsoft YaHei" w:hAnsi="Liberation Sans" w:cs="Lucida Sans"/>
      <w:sz w:val="28"/>
      <w:szCs w:val="28"/>
    </w:rPr>
  </w:style>
  <w:style w:type="paragraph" w:customStyle="1" w:styleId="Titre1">
    <w:name w:val="Titre1"/>
    <w:basedOn w:val="Normal"/>
    <w:next w:val="Corpsdetexte"/>
    <w:qFormat/>
    <w:pPr>
      <w:keepNext/>
      <w:spacing w:before="240" w:after="120"/>
    </w:pPr>
    <w:rPr>
      <w:rFonts w:ascii="Liberation Sans" w:eastAsia="Microsoft YaHei" w:hAnsi="Liberation Sans" w:cs="Mangal"/>
      <w:sz w:val="28"/>
      <w:szCs w:val="28"/>
    </w:rPr>
  </w:style>
  <w:style w:type="paragraph" w:customStyle="1" w:styleId="Corpsdetexte11pt">
    <w:name w:val="Corps de texte + 11 pt"/>
    <w:basedOn w:val="Corpsdetexte"/>
    <w:qFormat/>
    <w:pPr>
      <w:jc w:val="both"/>
    </w:pPr>
    <w:rPr>
      <w:color w:val="000000"/>
      <w:sz w:val="22"/>
      <w:szCs w:val="22"/>
    </w:rPr>
  </w:style>
  <w:style w:type="paragraph" w:styleId="Textedebulles">
    <w:name w:val="Balloon Text"/>
    <w:basedOn w:val="Normal"/>
    <w:qFormat/>
    <w:rPr>
      <w:rFonts w:ascii="Segoe UI" w:hAnsi="Segoe UI" w:cs="Segoe UI"/>
      <w:sz w:val="18"/>
      <w:szCs w:val="18"/>
    </w:rPr>
  </w:style>
  <w:style w:type="paragraph" w:styleId="Notedebasdepage">
    <w:name w:val="footnote text"/>
    <w:basedOn w:val="Normal"/>
    <w:rPr>
      <w:sz w:val="20"/>
      <w:szCs w:val="20"/>
    </w:rPr>
  </w:style>
  <w:style w:type="paragraph" w:customStyle="1" w:styleId="western">
    <w:name w:val="western"/>
    <w:basedOn w:val="Normal"/>
    <w:qFormat/>
    <w:pPr>
      <w:suppressAutoHyphens w:val="0"/>
      <w:spacing w:before="100" w:after="119"/>
    </w:pPr>
    <w:rPr>
      <w:color w:val="00000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DocumentMap">
    <w:name w:val="DocumentMap"/>
    <w:qFormat/>
    <w:pPr>
      <w:suppressAutoHyphens/>
    </w:pPr>
    <w:rPr>
      <w:rFonts w:ascii="Times New Roman" w:eastAsia="Times New Roman" w:hAnsi="Times New Roman" w:cs="Times New Roman"/>
      <w:szCs w:val="20"/>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NormalWeb">
    <w:name w:val="Normal (Web)"/>
    <w:basedOn w:val="Normal"/>
    <w:uiPriority w:val="99"/>
    <w:unhideWhenUsed/>
    <w:rsid w:val="00D86AEF"/>
    <w:pPr>
      <w:suppressAutoHyphens w:val="0"/>
      <w:spacing w:before="100" w:beforeAutospacing="1" w:after="100" w:afterAutospacing="1"/>
    </w:pPr>
    <w:rPr>
      <w:lang w:eastAsia="fr-FR"/>
    </w:rPr>
  </w:style>
  <w:style w:type="paragraph" w:styleId="Paragraphedeliste">
    <w:name w:val="List Paragraph"/>
    <w:basedOn w:val="Normal"/>
    <w:uiPriority w:val="34"/>
    <w:qFormat/>
    <w:rsid w:val="0043701D"/>
    <w:pPr>
      <w:tabs>
        <w:tab w:val="left" w:pos="426"/>
      </w:tabs>
      <w:suppressAutoHyphens w:val="0"/>
      <w:spacing w:line="259" w:lineRule="auto"/>
      <w:ind w:left="720"/>
      <w:contextualSpacing/>
      <w:jc w:val="both"/>
    </w:pPr>
    <w:rPr>
      <w:sz w:val="22"/>
      <w:lang w:eastAsia="fr-FR"/>
    </w:rPr>
  </w:style>
  <w:style w:type="character" w:customStyle="1" w:styleId="Titre2Car">
    <w:name w:val="Titre 2 Car"/>
    <w:basedOn w:val="Policepardfaut"/>
    <w:link w:val="Titre2"/>
    <w:uiPriority w:val="9"/>
    <w:rsid w:val="0043701D"/>
    <w:rPr>
      <w:rFonts w:ascii="Times New Roman" w:eastAsia="Times New Roman" w:hAnsi="Times New Roman" w:cs="Times New Roman"/>
      <w:b/>
      <w:iCs/>
      <w:sz w:val="24"/>
      <w:u w:val="single"/>
      <w:lang w:eastAsia="fr-FR" w:bidi="ar-SA"/>
    </w:rPr>
  </w:style>
  <w:style w:type="character" w:styleId="Marquedecommentaire">
    <w:name w:val="annotation reference"/>
    <w:basedOn w:val="Policepardfaut"/>
    <w:uiPriority w:val="99"/>
    <w:semiHidden/>
    <w:unhideWhenUsed/>
    <w:rsid w:val="00795969"/>
    <w:rPr>
      <w:sz w:val="16"/>
      <w:szCs w:val="16"/>
    </w:rPr>
  </w:style>
  <w:style w:type="paragraph" w:styleId="Commentaire">
    <w:name w:val="annotation text"/>
    <w:basedOn w:val="Normal"/>
    <w:link w:val="CommentaireCar1"/>
    <w:uiPriority w:val="99"/>
    <w:semiHidden/>
    <w:unhideWhenUsed/>
    <w:rsid w:val="00795969"/>
    <w:rPr>
      <w:sz w:val="20"/>
      <w:szCs w:val="20"/>
    </w:rPr>
  </w:style>
  <w:style w:type="character" w:customStyle="1" w:styleId="CommentaireCar1">
    <w:name w:val="Commentaire Car1"/>
    <w:basedOn w:val="Policepardfaut"/>
    <w:link w:val="Commentaire"/>
    <w:uiPriority w:val="99"/>
    <w:semiHidden/>
    <w:rsid w:val="00795969"/>
    <w:rPr>
      <w:rFonts w:ascii="Times New Roman" w:eastAsia="Times New Roman" w:hAnsi="Times New Roman" w:cs="Times New Roman"/>
      <w:szCs w:val="20"/>
      <w:lang w:bidi="ar-SA"/>
    </w:rPr>
  </w:style>
  <w:style w:type="character" w:styleId="Appelnotedebasdep">
    <w:name w:val="footnote reference"/>
    <w:basedOn w:val="Policepardfaut"/>
    <w:uiPriority w:val="99"/>
    <w:semiHidden/>
    <w:unhideWhenUsed/>
    <w:rsid w:val="007959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077926">
      <w:bodyDiv w:val="1"/>
      <w:marLeft w:val="0"/>
      <w:marRight w:val="0"/>
      <w:marTop w:val="0"/>
      <w:marBottom w:val="0"/>
      <w:divBdr>
        <w:top w:val="none" w:sz="0" w:space="0" w:color="auto"/>
        <w:left w:val="none" w:sz="0" w:space="0" w:color="auto"/>
        <w:bottom w:val="none" w:sz="0" w:space="0" w:color="auto"/>
        <w:right w:val="none" w:sz="0" w:space="0" w:color="auto"/>
      </w:divBdr>
      <w:divsChild>
        <w:div w:id="922908498">
          <w:marLeft w:val="0"/>
          <w:marRight w:val="0"/>
          <w:marTop w:val="0"/>
          <w:marBottom w:val="0"/>
          <w:divBdr>
            <w:top w:val="none" w:sz="0" w:space="0" w:color="auto"/>
            <w:left w:val="none" w:sz="0" w:space="0" w:color="auto"/>
            <w:bottom w:val="none" w:sz="0" w:space="0" w:color="auto"/>
            <w:right w:val="none" w:sz="0" w:space="0" w:color="auto"/>
          </w:divBdr>
        </w:div>
      </w:divsChild>
    </w:div>
    <w:div w:id="122349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45275-A35A-420E-9AB9-B2CC9B80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4532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Rapport de présentation, pour le Conseil supérieur de l’énergie du 28 novembre 2017, du projet d’arrêté portant reconduction des programmes « Toits d’abord » et « SMEn »  dans le cadre du dispositif des certificats d'économies d'énergie</vt:lpstr>
    </vt:vector>
  </TitlesOfParts>
  <Company>MTES</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présentation, pour le Conseil supérieur de l’énergie du 28 novembre 2017, du projet d’arrêté portant reconduction des programmes « Toits d’abord » et « SMEn »  dans le cadre du dispositif des certificats d'économies d'énergie</dc:title>
  <dc:subject/>
  <dc:creator>Thomas ZUELGARAY</dc:creator>
  <cp:keywords/>
  <dc:description/>
  <cp:lastModifiedBy>Sylvain PRADELLE (DHUP)</cp:lastModifiedBy>
  <cp:revision>3</cp:revision>
  <dcterms:created xsi:type="dcterms:W3CDTF">2026-05-11T11:59:00Z</dcterms:created>
  <dcterms:modified xsi:type="dcterms:W3CDTF">2026-05-11T12:24:00Z</dcterms:modified>
  <dc:language>fr-FR</dc:language>
</cp:coreProperties>
</file>