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00A1" w14:textId="77777777" w:rsidR="00853F01" w:rsidRDefault="00A469D4" w:rsidP="00A469D4">
      <w:pPr>
        <w:jc w:val="center"/>
        <w:rPr>
          <w:b/>
        </w:rPr>
      </w:pPr>
      <w:r w:rsidRPr="00A469D4">
        <w:rPr>
          <w:b/>
        </w:rPr>
        <w:t>SYNTHESE DE LA CONSULTATION PUBLIQUE</w:t>
      </w:r>
    </w:p>
    <w:p w14:paraId="663245C6" w14:textId="0D6FA92F" w:rsidR="00006E79" w:rsidRPr="00D779C3" w:rsidRDefault="00006E79" w:rsidP="00A469D4">
      <w:pPr>
        <w:jc w:val="center"/>
        <w:rPr>
          <w:b/>
        </w:rPr>
      </w:pPr>
      <w:r w:rsidRPr="00D779C3">
        <w:rPr>
          <w:b/>
        </w:rPr>
        <w:t xml:space="preserve">Ouverte au public du </w:t>
      </w:r>
      <w:r w:rsidR="00EF23AA" w:rsidRPr="00D779C3">
        <w:rPr>
          <w:b/>
        </w:rPr>
        <w:t>16 janvier au 6 février 2025</w:t>
      </w:r>
      <w:r w:rsidR="00D779C3">
        <w:rPr>
          <w:b/>
        </w:rPr>
        <w:t xml:space="preserve"> s</w:t>
      </w:r>
      <w:r w:rsidRPr="00D779C3">
        <w:rPr>
          <w:b/>
        </w:rPr>
        <w:t>ur le site du Minist</w:t>
      </w:r>
      <w:r w:rsidR="00640711" w:rsidRPr="00D779C3">
        <w:rPr>
          <w:b/>
        </w:rPr>
        <w:t>ère de la Transition Ecologique</w:t>
      </w:r>
    </w:p>
    <w:p w14:paraId="55D8CA6C" w14:textId="77777777" w:rsidR="00640711" w:rsidRPr="00640711" w:rsidRDefault="00640711" w:rsidP="00130B77">
      <w:pPr>
        <w:spacing w:after="0" w:line="240" w:lineRule="auto"/>
        <w:jc w:val="both"/>
        <w:outlineLvl w:val="0"/>
        <w:rPr>
          <w:rFonts w:ascii="Marianne" w:eastAsia="Times New Roman" w:hAnsi="Marianne" w:cs="Times New Roman"/>
          <w:b/>
          <w:bCs/>
          <w:kern w:val="36"/>
          <w:sz w:val="20"/>
          <w:szCs w:val="20"/>
          <w:lang w:eastAsia="fr-FR"/>
        </w:rPr>
      </w:pPr>
      <w:r w:rsidRPr="00640711">
        <w:rPr>
          <w:rFonts w:ascii="Marianne" w:eastAsia="Times New Roman" w:hAnsi="Marianne" w:cs="Times New Roman"/>
          <w:b/>
          <w:bCs/>
          <w:kern w:val="36"/>
          <w:sz w:val="20"/>
          <w:szCs w:val="20"/>
          <w:lang w:eastAsia="fr-FR"/>
        </w:rPr>
        <w:t>Projet de décret relatif aux conditions de mise en œuvre de la certification des prestataires de travaux de sondage ou de forage, de création de puits ou d’ouvrages souterrains non destinés à un usage domestique en vue de la recherche, de la surveillance ou du prélèvement d’eau souterraine et de travaux de remise en état exécutées lors de l’arrêt de l’exploitation</w:t>
      </w:r>
    </w:p>
    <w:p w14:paraId="179B7C91" w14:textId="77777777" w:rsidR="00640711" w:rsidRDefault="00640711" w:rsidP="00A469D4">
      <w:pPr>
        <w:jc w:val="center"/>
        <w:rPr>
          <w:b/>
        </w:rPr>
      </w:pPr>
    </w:p>
    <w:p w14:paraId="3A13DD5A" w14:textId="2391C017" w:rsidR="00006E79" w:rsidRDefault="00006E79" w:rsidP="00A469D4">
      <w:pPr>
        <w:jc w:val="center"/>
      </w:pPr>
      <w:r>
        <w:t xml:space="preserve">NOR : </w:t>
      </w:r>
      <w:r w:rsidR="00EA452D">
        <w:t>TECL2509859D</w:t>
      </w:r>
    </w:p>
    <w:p w14:paraId="271FA1A2" w14:textId="77777777" w:rsidR="00006E79" w:rsidRPr="00006E79" w:rsidRDefault="00006E79" w:rsidP="00006E79">
      <w:pPr>
        <w:pStyle w:val="Paragraphedeliste"/>
        <w:numPr>
          <w:ilvl w:val="0"/>
          <w:numId w:val="1"/>
        </w:numPr>
        <w:jc w:val="both"/>
        <w:rPr>
          <w:b/>
        </w:rPr>
      </w:pPr>
      <w:r>
        <w:rPr>
          <w:b/>
          <w:u w:val="single"/>
        </w:rPr>
        <w:t>Caractéristique</w:t>
      </w:r>
      <w:r w:rsidR="007E3370">
        <w:rPr>
          <w:b/>
          <w:u w:val="single"/>
        </w:rPr>
        <w:t>s</w:t>
      </w:r>
      <w:r>
        <w:rPr>
          <w:b/>
          <w:u w:val="single"/>
        </w:rPr>
        <w:t xml:space="preserve"> de la consultation </w:t>
      </w:r>
    </w:p>
    <w:p w14:paraId="547AAC35" w14:textId="3D341413" w:rsidR="0023526E" w:rsidRPr="0023526E" w:rsidRDefault="00006E79" w:rsidP="00006E79">
      <w:pPr>
        <w:jc w:val="both"/>
      </w:pPr>
      <w:r>
        <w:t xml:space="preserve">La consultation a porté sur un projet de décret </w:t>
      </w:r>
      <w:r w:rsidR="0023526E" w:rsidRPr="0023526E">
        <w:rPr>
          <w:bCs/>
        </w:rPr>
        <w:t>relatif aux conditions de mise en œuvre de la certification des prestataires de travaux de sondage ou de forage, de création de puits ou d’ouvrages souterrains non destinés à un usage domestique en vue de la recherche, de la surveillance ou du prélèvement d’eau souterraine et de travaux de remise en état exécutées lors de l’arrêt de l’exploitation</w:t>
      </w:r>
      <w:r w:rsidR="008C63E8">
        <w:rPr>
          <w:bCs/>
        </w:rPr>
        <w:t xml:space="preserve">. </w:t>
      </w:r>
    </w:p>
    <w:p w14:paraId="14B226F5" w14:textId="7D030438" w:rsidR="00966217" w:rsidRDefault="00CA0934" w:rsidP="00006E79">
      <w:pPr>
        <w:jc w:val="both"/>
      </w:pPr>
      <w:r>
        <w:t>La mise en ligne de ce projet</w:t>
      </w:r>
      <w:r w:rsidR="00966217">
        <w:t xml:space="preserve"> a été effectué</w:t>
      </w:r>
      <w:r w:rsidR="0047228D">
        <w:t>e</w:t>
      </w:r>
      <w:r w:rsidR="00966217">
        <w:t xml:space="preserve"> le </w:t>
      </w:r>
      <w:r w:rsidR="0047228D">
        <w:t xml:space="preserve">16 janvier 2025 </w:t>
      </w:r>
      <w:r w:rsidR="00966217">
        <w:t xml:space="preserve">et soumise à la consultation du public jusqu’au </w:t>
      </w:r>
      <w:r w:rsidR="0047228D">
        <w:t xml:space="preserve">6 février 2025 </w:t>
      </w:r>
      <w:r w:rsidR="00966217">
        <w:t xml:space="preserve">sur la page suivante : </w:t>
      </w:r>
      <w:hyperlink r:id="rId7" w:history="1">
        <w:r w:rsidR="0047228D" w:rsidRPr="0028081E">
          <w:rPr>
            <w:rStyle w:val="Lienhypertexte"/>
          </w:rPr>
          <w:t>https://www.consultations-publiques.developpement-durable.gouv.fr/projet-de-decret-relatif-aux-conditions-de-mise-en-a3128.html</w:t>
        </w:r>
      </w:hyperlink>
    </w:p>
    <w:p w14:paraId="118D3AE1" w14:textId="77777777" w:rsidR="00966217" w:rsidRDefault="00966217" w:rsidP="00006E79">
      <w:pPr>
        <w:jc w:val="both"/>
      </w:pPr>
      <w:r>
        <w:t xml:space="preserve">A partir de ce site, le public a pu envoyer ses avis à l’attention des services rédacteurs du projet de décret. </w:t>
      </w:r>
    </w:p>
    <w:p w14:paraId="72189437" w14:textId="77777777" w:rsidR="00966217" w:rsidRPr="00966217" w:rsidRDefault="00966217" w:rsidP="00966217">
      <w:pPr>
        <w:pStyle w:val="Paragraphedeliste"/>
        <w:numPr>
          <w:ilvl w:val="0"/>
          <w:numId w:val="1"/>
        </w:numPr>
        <w:jc w:val="both"/>
        <w:rPr>
          <w:b/>
          <w:u w:val="single"/>
        </w:rPr>
      </w:pPr>
      <w:r w:rsidRPr="00966217">
        <w:rPr>
          <w:b/>
          <w:u w:val="single"/>
        </w:rPr>
        <w:t>Modération et nombre total de contributions</w:t>
      </w:r>
    </w:p>
    <w:p w14:paraId="33FAF0F3" w14:textId="7F83C36E" w:rsidR="00966217" w:rsidRDefault="00966217" w:rsidP="00966217">
      <w:pPr>
        <w:jc w:val="both"/>
      </w:pPr>
      <w:r>
        <w:t>La consultation a fait l’objet d’une consultation modér</w:t>
      </w:r>
      <w:r w:rsidR="00AF5BB2">
        <w:t xml:space="preserve">ée a posteriori. Elle a totalisé 45 commentaires. </w:t>
      </w:r>
    </w:p>
    <w:p w14:paraId="7CED3E08" w14:textId="5E7CC153" w:rsidR="00AF5BB2" w:rsidRDefault="00AF5BB2" w:rsidP="00966217">
      <w:pPr>
        <w:jc w:val="both"/>
      </w:pPr>
      <w:r>
        <w:t xml:space="preserve">21 sont des spams et 2 commentaires sont sans aucun lien avec le texte. </w:t>
      </w:r>
    </w:p>
    <w:p w14:paraId="73116424" w14:textId="71F4D6F4" w:rsidR="00AF5BB2" w:rsidRDefault="00AF5BB2" w:rsidP="00966217">
      <w:pPr>
        <w:jc w:val="both"/>
      </w:pPr>
      <w:r w:rsidRPr="007508B6">
        <w:rPr>
          <w:b/>
        </w:rPr>
        <w:t>22 messages sont donc pris en compte</w:t>
      </w:r>
      <w:r>
        <w:t xml:space="preserve"> pour effectuer la synthèse de la consultation. </w:t>
      </w:r>
    </w:p>
    <w:p w14:paraId="6F56B3CB" w14:textId="77777777" w:rsidR="00344055" w:rsidRPr="00344055" w:rsidRDefault="00344055" w:rsidP="00344055">
      <w:pPr>
        <w:pStyle w:val="Paragraphedeliste"/>
        <w:numPr>
          <w:ilvl w:val="0"/>
          <w:numId w:val="1"/>
        </w:numPr>
        <w:jc w:val="both"/>
        <w:rPr>
          <w:b/>
          <w:u w:val="single"/>
        </w:rPr>
      </w:pPr>
      <w:r w:rsidRPr="00344055">
        <w:rPr>
          <w:b/>
          <w:u w:val="single"/>
        </w:rPr>
        <w:t xml:space="preserve">Sens des contributions </w:t>
      </w:r>
    </w:p>
    <w:p w14:paraId="6C3C59C5" w14:textId="74FFBA37" w:rsidR="00344055" w:rsidRDefault="0054355C" w:rsidP="00344055">
      <w:pPr>
        <w:jc w:val="both"/>
      </w:pPr>
      <w:r>
        <w:t xml:space="preserve">Des distinctions peuvent être opérées, parmi </w:t>
      </w:r>
      <w:r w:rsidR="00730E2A">
        <w:t>les</w:t>
      </w:r>
      <w:r>
        <w:t xml:space="preserve"> messages reçus entre : </w:t>
      </w:r>
    </w:p>
    <w:p w14:paraId="41CD3758" w14:textId="2C50BDA4" w:rsidR="00AF5BB2" w:rsidRDefault="00802709" w:rsidP="00344055">
      <w:pPr>
        <w:jc w:val="both"/>
      </w:pPr>
      <w:r>
        <w:t>-</w:t>
      </w:r>
      <w:r w:rsidR="00AF5BB2">
        <w:t xml:space="preserve">Les messages en faveur du projet de décret ; </w:t>
      </w:r>
    </w:p>
    <w:p w14:paraId="706D3214" w14:textId="4D624736" w:rsidR="00AF5BB2" w:rsidRDefault="00802709" w:rsidP="00344055">
      <w:pPr>
        <w:jc w:val="both"/>
      </w:pPr>
      <w:r>
        <w:t>-</w:t>
      </w:r>
      <w:r w:rsidR="00AF5BB2">
        <w:t>Les messages affichant une</w:t>
      </w:r>
      <w:r w:rsidR="003552AD">
        <w:t xml:space="preserve"> opposition au projet de décret</w:t>
      </w:r>
      <w:r w:rsidR="0098713A">
        <w:t>, ou un avis</w:t>
      </w:r>
      <w:r w:rsidR="00730E2A">
        <w:t xml:space="preserve"> qui</w:t>
      </w:r>
      <w:r w:rsidR="0098713A">
        <w:t xml:space="preserve">, sans être négatif, </w:t>
      </w:r>
      <w:r w:rsidR="003552AD">
        <w:t xml:space="preserve">comporte des réserves. </w:t>
      </w:r>
    </w:p>
    <w:p w14:paraId="05C6A53E" w14:textId="1A5264C8" w:rsidR="0054355C" w:rsidRPr="00E9100F" w:rsidRDefault="0098713A" w:rsidP="00344055">
      <w:pPr>
        <w:jc w:val="both"/>
        <w:rPr>
          <w:b/>
        </w:rPr>
      </w:pPr>
      <w:r w:rsidRPr="00F8595F">
        <w:rPr>
          <w:b/>
        </w:rPr>
        <w:t>3.1</w:t>
      </w:r>
      <w:r w:rsidRPr="008C63E8">
        <w:rPr>
          <w:b/>
          <w:u w:val="single"/>
        </w:rPr>
        <w:t xml:space="preserve"> </w:t>
      </w:r>
      <w:r w:rsidR="007508B6" w:rsidRPr="008C63E8">
        <w:rPr>
          <w:b/>
        </w:rPr>
        <w:t xml:space="preserve">Les contributeurs en </w:t>
      </w:r>
      <w:r w:rsidR="0054355C" w:rsidRPr="008C63E8">
        <w:rPr>
          <w:b/>
        </w:rPr>
        <w:t>faveur du décret</w:t>
      </w:r>
      <w:r w:rsidR="0054355C">
        <w:t xml:space="preserve"> sont au nombre de </w:t>
      </w:r>
      <w:r w:rsidR="0029332B">
        <w:rPr>
          <w:b/>
        </w:rPr>
        <w:t>8</w:t>
      </w:r>
    </w:p>
    <w:p w14:paraId="05AD896D" w14:textId="6428C7BD" w:rsidR="003374EC" w:rsidRDefault="003374EC" w:rsidP="0026368E">
      <w:pPr>
        <w:jc w:val="both"/>
      </w:pPr>
      <w:r>
        <w:t xml:space="preserve">Les contributeurs mettent en avant l’apport du texte en matière de protection de l’environnement, notamment en ce qui concerne la protection des captages d’eau potable, des zones humides ou des cours d’eau. </w:t>
      </w:r>
    </w:p>
    <w:p w14:paraId="27B01292" w14:textId="47CB232B" w:rsidR="003374EC" w:rsidRDefault="003374EC" w:rsidP="0026368E">
      <w:pPr>
        <w:jc w:val="both"/>
      </w:pPr>
      <w:r>
        <w:t xml:space="preserve">La plupart estime que cette démarche sera d’autant plus efficace s’il y a plus de contrôles sur le terrain et un accompagnement notamment pédagogique des petites et très petites entreprises. </w:t>
      </w:r>
      <w:r w:rsidR="00CE225B">
        <w:t>Ils plaident pour un processus de certification « clair, précis, accessible et équitable. »</w:t>
      </w:r>
    </w:p>
    <w:p w14:paraId="3D23031C" w14:textId="3A85F9BA" w:rsidR="00CE225B" w:rsidRDefault="003374EC" w:rsidP="0026368E">
      <w:pPr>
        <w:jc w:val="both"/>
        <w:rPr>
          <w:bCs/>
        </w:rPr>
      </w:pPr>
      <w:r>
        <w:t>Des contributeurs estiment</w:t>
      </w:r>
      <w:r w:rsidR="00A47A71">
        <w:t xml:space="preserve"> qu’il serait pertinent que</w:t>
      </w:r>
      <w:r>
        <w:t xml:space="preserve"> </w:t>
      </w:r>
      <w:r w:rsidR="00352F44">
        <w:t xml:space="preserve">la </w:t>
      </w:r>
      <w:r>
        <w:t>certification soit délivrée d’</w:t>
      </w:r>
      <w:r w:rsidR="00CE225B">
        <w:t xml:space="preserve">office aux entreprises RGE </w:t>
      </w:r>
      <w:r w:rsidR="00CE225B" w:rsidRPr="00CE225B">
        <w:t>(</w:t>
      </w:r>
      <w:r w:rsidR="00CE225B" w:rsidRPr="00CE225B">
        <w:rPr>
          <w:bCs/>
        </w:rPr>
        <w:t>rec</w:t>
      </w:r>
      <w:r w:rsidR="00CE225B">
        <w:rPr>
          <w:bCs/>
        </w:rPr>
        <w:t xml:space="preserve">onnu garant de l'environnement). </w:t>
      </w:r>
    </w:p>
    <w:p w14:paraId="3FE93D04" w14:textId="7A597877" w:rsidR="00E3723A" w:rsidRDefault="0098713A" w:rsidP="0026368E">
      <w:pPr>
        <w:jc w:val="both"/>
      </w:pPr>
      <w:r w:rsidRPr="008C63E8">
        <w:rPr>
          <w:b/>
        </w:rPr>
        <w:lastRenderedPageBreak/>
        <w:t xml:space="preserve">3.2 </w:t>
      </w:r>
      <w:r w:rsidR="009C65C7" w:rsidRPr="008C63E8">
        <w:rPr>
          <w:b/>
        </w:rPr>
        <w:t>L</w:t>
      </w:r>
      <w:r w:rsidR="00795947" w:rsidRPr="008C63E8">
        <w:rPr>
          <w:b/>
        </w:rPr>
        <w:t>es contributeurs en défaveur du décret</w:t>
      </w:r>
      <w:r w:rsidR="00795947">
        <w:t xml:space="preserve"> </w:t>
      </w:r>
      <w:r w:rsidR="005261CC">
        <w:t xml:space="preserve">sont au nombre de </w:t>
      </w:r>
      <w:r w:rsidR="003374EC" w:rsidRPr="003374EC">
        <w:rPr>
          <w:b/>
        </w:rPr>
        <w:t>14</w:t>
      </w:r>
    </w:p>
    <w:p w14:paraId="71D6A25C" w14:textId="0BCE76D9" w:rsidR="005261CC" w:rsidRDefault="00CE225B" w:rsidP="00CE225B">
      <w:pPr>
        <w:jc w:val="both"/>
      </w:pPr>
      <w:r>
        <w:t xml:space="preserve">Les contributeurs opposés </w:t>
      </w:r>
      <w:r w:rsidR="00122524">
        <w:t xml:space="preserve">au projet de texte estiment que le processus de certification </w:t>
      </w:r>
      <w:r w:rsidR="00BB5B72">
        <w:t>est complexe et coûteux, voire contreproductif</w:t>
      </w:r>
      <w:r w:rsidR="0098713A">
        <w:t xml:space="preserve"> et que cela ne va pas simplifier les démarches administratives des entreprises. </w:t>
      </w:r>
    </w:p>
    <w:p w14:paraId="141939A4" w14:textId="07BB62BF" w:rsidR="00122524" w:rsidRDefault="00122524" w:rsidP="00CE225B">
      <w:pPr>
        <w:jc w:val="both"/>
      </w:pPr>
      <w:r>
        <w:t xml:space="preserve">Des contributeurs considèrent également que cette certification ne devrait pas s’appliquer aux piézomètres. Ils estiment que les prescriptions demandées sont « techniquement irréalistes » et « disproportionnées » pour les entreprises de sondage géotechniques. </w:t>
      </w:r>
      <w:r w:rsidR="0029332B">
        <w:t xml:space="preserve">Ils estiment par ailleurs que la certification va générer un surcoût financier. </w:t>
      </w:r>
    </w:p>
    <w:p w14:paraId="297F4E84" w14:textId="21EE9CF8" w:rsidR="00122524" w:rsidRDefault="00122524" w:rsidP="00CE225B">
      <w:pPr>
        <w:jc w:val="both"/>
      </w:pPr>
      <w:r>
        <w:t>Ils estiment que les piézomètres géotechniques</w:t>
      </w:r>
      <w:r w:rsidR="0029332B">
        <w:t xml:space="preserve"> (de faible diamètre)</w:t>
      </w:r>
      <w:r>
        <w:t xml:space="preserve"> ne génèrent aucun problème connus vis-à-vis de la qualité de la ressource en eau.</w:t>
      </w:r>
    </w:p>
    <w:p w14:paraId="391DE97A" w14:textId="556F6557" w:rsidR="0026368E" w:rsidRDefault="0098713A" w:rsidP="0029332B">
      <w:pPr>
        <w:jc w:val="both"/>
      </w:pPr>
      <w:r>
        <w:t xml:space="preserve">Un certain nombre de </w:t>
      </w:r>
      <w:r w:rsidR="00B5612F">
        <w:t>contributeurs souhaitent qu’une distinction soit faite entre les for</w:t>
      </w:r>
      <w:r w:rsidR="009C65C7">
        <w:t>ages</w:t>
      </w:r>
      <w:r w:rsidR="00B5612F">
        <w:t xml:space="preserve"> d’eau </w:t>
      </w:r>
      <w:r w:rsidR="00180EA4">
        <w:t>q</w:t>
      </w:r>
      <w:r w:rsidR="009C65C7">
        <w:t>u’ils considèrent</w:t>
      </w:r>
      <w:r w:rsidR="00180EA4">
        <w:t xml:space="preserve"> « </w:t>
      </w:r>
      <w:r w:rsidR="00B5612F">
        <w:t>à usage non domestiques</w:t>
      </w:r>
      <w:r w:rsidR="00180EA4">
        <w:t> »</w:t>
      </w:r>
      <w:r w:rsidR="00B5612F">
        <w:t xml:space="preserve"> et les forages à usage domestique </w:t>
      </w:r>
      <w:r w:rsidR="00180EA4">
        <w:t>dont</w:t>
      </w:r>
      <w:r w:rsidR="009C65C7">
        <w:t xml:space="preserve">, selon eux, </w:t>
      </w:r>
      <w:r w:rsidR="00180EA4">
        <w:t>font partie</w:t>
      </w:r>
      <w:r w:rsidR="00B5612F">
        <w:t xml:space="preserve"> la géotechnique et les piézomètres</w:t>
      </w:r>
      <w:r w:rsidR="00BB5B72">
        <w:t xml:space="preserve"> environnementaux</w:t>
      </w:r>
      <w:r w:rsidR="00B5612F">
        <w:t xml:space="preserve">. </w:t>
      </w:r>
    </w:p>
    <w:p w14:paraId="6C0ED1E1" w14:textId="2FE6AC05" w:rsidR="0098713A" w:rsidRDefault="0098713A" w:rsidP="0029332B">
      <w:pPr>
        <w:jc w:val="both"/>
      </w:pPr>
      <w:r>
        <w:t xml:space="preserve">Selon eux, « le décret devrait être limité aux seuls forages d’eau avec prélèvement, d’où le présent avis défavorable ». </w:t>
      </w:r>
    </w:p>
    <w:p w14:paraId="1EAA8119" w14:textId="0DC15BB4" w:rsidR="0098713A" w:rsidRDefault="0098713A" w:rsidP="0029332B">
      <w:pPr>
        <w:jc w:val="both"/>
      </w:pPr>
      <w:r>
        <w:t>Des contributeurs estiment que l’impact sur la filière de la construction n’a pas été évalué et que les professionnelles de la filière doivent être consulté</w:t>
      </w:r>
      <w:r w:rsidR="00795947">
        <w:t>s</w:t>
      </w:r>
      <w:r>
        <w:t xml:space="preserve"> par le biais du </w:t>
      </w:r>
      <w:r w:rsidRPr="0098713A">
        <w:t>Conseil supérieur de la construction et de l’efficacité énergétique</w:t>
      </w:r>
      <w:r>
        <w:t xml:space="preserve"> (CSCEE). </w:t>
      </w:r>
    </w:p>
    <w:p w14:paraId="4DE7BE43" w14:textId="4DD31958" w:rsidR="00EA452D" w:rsidRPr="00EA452D" w:rsidRDefault="00EA452D" w:rsidP="00EA452D">
      <w:pPr>
        <w:jc w:val="center"/>
        <w:rPr>
          <w:u w:val="single"/>
        </w:rPr>
      </w:pPr>
    </w:p>
    <w:p w14:paraId="36802434" w14:textId="554E19C8" w:rsidR="00EA452D" w:rsidRPr="00EA452D" w:rsidRDefault="00EA452D" w:rsidP="00EA452D">
      <w:pPr>
        <w:jc w:val="center"/>
        <w:rPr>
          <w:b/>
          <w:u w:val="single"/>
        </w:rPr>
      </w:pPr>
      <w:r w:rsidRPr="00A41319">
        <w:rPr>
          <w:b/>
          <w:u w:val="single"/>
        </w:rPr>
        <w:t>SYNTHESE COMPLEMENTAIRE</w:t>
      </w:r>
    </w:p>
    <w:p w14:paraId="5FE930AE" w14:textId="14D49F44" w:rsidR="00EA452D" w:rsidRPr="00EA452D" w:rsidRDefault="00EA452D" w:rsidP="0029332B">
      <w:pPr>
        <w:jc w:val="both"/>
        <w:rPr>
          <w:b/>
          <w:u w:val="single"/>
        </w:rPr>
      </w:pPr>
      <w:r w:rsidRPr="00EA452D">
        <w:rPr>
          <w:b/>
          <w:u w:val="single"/>
        </w:rPr>
        <w:t>Nouvelle consultation</w:t>
      </w:r>
      <w:r w:rsidR="00970BF8" w:rsidRPr="00970BF8">
        <w:rPr>
          <w:b/>
          <w:u w:val="single"/>
        </w:rPr>
        <w:t xml:space="preserve"> </w:t>
      </w:r>
      <w:r w:rsidR="00970BF8" w:rsidRPr="00EA452D">
        <w:rPr>
          <w:b/>
          <w:u w:val="single"/>
        </w:rPr>
        <w:t>du 2 au 23 juin 2025</w:t>
      </w:r>
      <w:r w:rsidRPr="00EA452D">
        <w:rPr>
          <w:b/>
          <w:u w:val="single"/>
        </w:rPr>
        <w:t xml:space="preserve"> suite aux modifications apportées au projet de décret :</w:t>
      </w:r>
    </w:p>
    <w:p w14:paraId="59449C1D" w14:textId="41C185A0" w:rsidR="007C6AC3" w:rsidRPr="007C6AC3" w:rsidRDefault="007C6AC3" w:rsidP="007C6AC3">
      <w:pPr>
        <w:jc w:val="both"/>
      </w:pPr>
      <w:r w:rsidRPr="007C6AC3">
        <w:t xml:space="preserve">Saisi pour avis du projet de décret, le Conseil d’Etat a estimé qu’il était nécessaire de le préciser davantage en </w:t>
      </w:r>
      <w:r w:rsidR="00352F44">
        <w:t>y intégrant</w:t>
      </w:r>
      <w:r w:rsidRPr="007C6AC3">
        <w:t xml:space="preserve"> des dispositions contenues dans les projets d’arrêtés interministériels. </w:t>
      </w:r>
    </w:p>
    <w:p w14:paraId="65E5B415" w14:textId="383035E6" w:rsidR="00EA452D" w:rsidRDefault="007C6AC3" w:rsidP="007C6AC3">
      <w:pPr>
        <w:jc w:val="both"/>
        <w:rPr>
          <w:u w:val="single"/>
        </w:rPr>
      </w:pPr>
      <w:r w:rsidRPr="007C6AC3">
        <w:t xml:space="preserve">Le projet de décret ayant été modifié de manière significative depuis la dernière consultation et, afin de garantir la bonne participation du public, il a été décidé de le soumettre à nouveau à la consultation, </w:t>
      </w:r>
      <w:r w:rsidRPr="007C6AC3">
        <w:rPr>
          <w:u w:val="single"/>
        </w:rPr>
        <w:t xml:space="preserve">accompagné de </w:t>
      </w:r>
      <w:r w:rsidR="000831A0" w:rsidRPr="007C6AC3">
        <w:rPr>
          <w:u w:val="single"/>
        </w:rPr>
        <w:t xml:space="preserve">deux </w:t>
      </w:r>
      <w:r w:rsidR="000831A0">
        <w:rPr>
          <w:u w:val="single"/>
        </w:rPr>
        <w:t>projets</w:t>
      </w:r>
      <w:r>
        <w:rPr>
          <w:u w:val="single"/>
        </w:rPr>
        <w:t xml:space="preserve"> d’</w:t>
      </w:r>
      <w:r w:rsidRPr="007C6AC3">
        <w:rPr>
          <w:u w:val="single"/>
        </w:rPr>
        <w:t>arrêtés pris e</w:t>
      </w:r>
      <w:r>
        <w:rPr>
          <w:u w:val="single"/>
        </w:rPr>
        <w:t>n application du projet</w:t>
      </w:r>
      <w:r w:rsidR="00352F44">
        <w:rPr>
          <w:u w:val="single"/>
        </w:rPr>
        <w:t xml:space="preserve"> de décret</w:t>
      </w:r>
      <w:r>
        <w:rPr>
          <w:u w:val="single"/>
        </w:rPr>
        <w:t xml:space="preserve"> : </w:t>
      </w:r>
    </w:p>
    <w:p w14:paraId="11C7CDA8" w14:textId="2449E971" w:rsidR="007C6AC3" w:rsidRPr="007C6AC3" w:rsidRDefault="007C6AC3" w:rsidP="007C6AC3">
      <w:pPr>
        <w:jc w:val="both"/>
        <w:rPr>
          <w:b/>
        </w:rPr>
      </w:pPr>
      <w:r w:rsidRPr="007C6AC3">
        <w:rPr>
          <w:b/>
        </w:rPr>
        <w:t xml:space="preserve">Arrêté </w:t>
      </w:r>
      <w:r>
        <w:rPr>
          <w:b/>
        </w:rPr>
        <w:t>f</w:t>
      </w:r>
      <w:r w:rsidRPr="007C6AC3">
        <w:rPr>
          <w:b/>
        </w:rPr>
        <w:t>ixant les modalités de certification prévues aux articles L. 241-2 et R. 241-2 à R. 241-5 du code de l’environnement, le référentiel, les modalités d’audit, les conditions d’accréditation des organismes de certification</w:t>
      </w:r>
    </w:p>
    <w:p w14:paraId="320DCF5F" w14:textId="3425CBB1" w:rsidR="007C6AC3" w:rsidRPr="007C6AC3" w:rsidRDefault="007C6AC3" w:rsidP="007C6AC3">
      <w:pPr>
        <w:jc w:val="both"/>
        <w:rPr>
          <w:b/>
        </w:rPr>
      </w:pPr>
      <w:r>
        <w:rPr>
          <w:b/>
        </w:rPr>
        <w:t xml:space="preserve">Arrêté </w:t>
      </w:r>
      <w:r w:rsidRPr="007C6AC3">
        <w:rPr>
          <w:b/>
        </w:rPr>
        <w:t>fixant les règles générales prévues aux article R. 241-1 et R.241-6 du code de l’environnement pour travaux de sondage ou de forage, de création de puits ou d'ouvrages souterrains non destinés à un usage domestique en vue de la recherche, de la surveillance ou du prélèvement d'eau souterraine et travaux de remise en état exécutés lors de l'arrêt de l'exploitation</w:t>
      </w:r>
    </w:p>
    <w:p w14:paraId="7A710D38" w14:textId="00F2BA41" w:rsidR="007C6AC3" w:rsidRDefault="007C6AC3" w:rsidP="007C6AC3">
      <w:pPr>
        <w:jc w:val="both"/>
      </w:pPr>
      <w:r w:rsidRPr="007C6AC3">
        <w:t xml:space="preserve">La consultation a fait l’objet d’une consultation modérée a posteriori. Elle </w:t>
      </w:r>
      <w:r w:rsidRPr="00A41319">
        <w:t>a totalisé</w:t>
      </w:r>
      <w:r w:rsidR="00343925" w:rsidRPr="00A41319">
        <w:t xml:space="preserve"> </w:t>
      </w:r>
      <w:r w:rsidR="00343925" w:rsidRPr="00A41319">
        <w:rPr>
          <w:b/>
        </w:rPr>
        <w:t>3</w:t>
      </w:r>
      <w:r w:rsidR="00A41319" w:rsidRPr="00A41319">
        <w:rPr>
          <w:b/>
        </w:rPr>
        <w:t>7</w:t>
      </w:r>
      <w:r w:rsidRPr="00A41319">
        <w:rPr>
          <w:b/>
        </w:rPr>
        <w:t xml:space="preserve"> commentaires.</w:t>
      </w:r>
      <w:r w:rsidRPr="007C6AC3">
        <w:t xml:space="preserve"> </w:t>
      </w:r>
    </w:p>
    <w:p w14:paraId="655BCAA1" w14:textId="3437B7E8" w:rsidR="00343925" w:rsidRDefault="00F647D6" w:rsidP="007C6AC3">
      <w:pPr>
        <w:jc w:val="both"/>
      </w:pPr>
      <w:r>
        <w:t xml:space="preserve">8 favorables </w:t>
      </w:r>
      <w:r w:rsidR="007044F0">
        <w:t xml:space="preserve">au projet, 24 défavorables et 5, sans être défavorables ont posé des questions </w:t>
      </w:r>
      <w:r w:rsidR="007E1B31">
        <w:t>et proposé des modifications de rédaction</w:t>
      </w:r>
      <w:r w:rsidR="007044F0">
        <w:t xml:space="preserve">. </w:t>
      </w:r>
    </w:p>
    <w:p w14:paraId="3E9E0F85" w14:textId="7ABD4084" w:rsidR="007C6AC3" w:rsidRDefault="007C6AC3" w:rsidP="007C6AC3">
      <w:pPr>
        <w:jc w:val="both"/>
      </w:pPr>
      <w:r>
        <w:t xml:space="preserve">Parmi </w:t>
      </w:r>
      <w:r w:rsidR="007044F0">
        <w:t>les</w:t>
      </w:r>
      <w:r>
        <w:t xml:space="preserve"> commentaires, </w:t>
      </w:r>
      <w:r w:rsidR="007044F0">
        <w:t xml:space="preserve">on retrouve les observations suivantes : </w:t>
      </w:r>
    </w:p>
    <w:p w14:paraId="22416168" w14:textId="77777777" w:rsidR="002A51BC" w:rsidRDefault="007C6C38" w:rsidP="007C6AC3">
      <w:pPr>
        <w:jc w:val="both"/>
      </w:pPr>
      <w:r w:rsidRPr="007C6C38">
        <w:rPr>
          <w:b/>
          <w:u w:val="single"/>
        </w:rPr>
        <w:t>Arguments en défaveur</w:t>
      </w:r>
      <w:r>
        <w:t> :</w:t>
      </w:r>
    </w:p>
    <w:p w14:paraId="713A6669" w14:textId="6ABAFB23" w:rsidR="007C6C38" w:rsidRDefault="007C6C38" w:rsidP="007C6AC3">
      <w:pPr>
        <w:jc w:val="both"/>
      </w:pPr>
      <w:r>
        <w:lastRenderedPageBreak/>
        <w:t xml:space="preserve"> </w:t>
      </w:r>
      <w:r w:rsidR="002A51BC">
        <w:t>- pas favorable à l’extension des mesures de surveillance destinés à l’origine aux forages d’eau aux piézomètres. Opposition des géotechniciens</w:t>
      </w:r>
    </w:p>
    <w:p w14:paraId="20CF0E99" w14:textId="4A07161A" w:rsidR="00A9637D" w:rsidRDefault="00A9637D" w:rsidP="007C6AC3">
      <w:pPr>
        <w:jc w:val="both"/>
      </w:pPr>
      <w:r>
        <w:t xml:space="preserve">- les acteurs qui réalisent de petits sondages et qui n’ont aucune incidence sur la pollution entre aquifère n’auront pas la capacité de se certifier. </w:t>
      </w:r>
    </w:p>
    <w:p w14:paraId="330D3768" w14:textId="77777777" w:rsidR="007C6C38" w:rsidRDefault="007C6C38" w:rsidP="007C6C38">
      <w:pPr>
        <w:jc w:val="both"/>
      </w:pPr>
      <w:r>
        <w:t xml:space="preserve">- coût supplémentaire engendré par le nouveau dispositif. </w:t>
      </w:r>
    </w:p>
    <w:p w14:paraId="6EA4B1D2" w14:textId="77777777" w:rsidR="007C6C38" w:rsidRDefault="007C6C38" w:rsidP="007C6C38">
      <w:pPr>
        <w:jc w:val="both"/>
      </w:pPr>
      <w:r>
        <w:t xml:space="preserve">- les outils actuels du code de l’environnement sont largement suffisants pour éviter la contamination des nappes au niveau des forages. </w:t>
      </w:r>
    </w:p>
    <w:p w14:paraId="3F46A4E6" w14:textId="135F69EB" w:rsidR="007C6C38" w:rsidRDefault="007C6C38" w:rsidP="007C6C38">
      <w:pPr>
        <w:jc w:val="both"/>
      </w:pPr>
      <w:r>
        <w:t xml:space="preserve">- des études </w:t>
      </w:r>
      <w:r w:rsidR="00F8595F">
        <w:t xml:space="preserve">(non citées) </w:t>
      </w:r>
      <w:r>
        <w:t>montrent que la certification n’a pas d’impact sur l’amélioration de la qualité environnementale des travaux</w:t>
      </w:r>
      <w:r w:rsidR="00F8595F">
        <w:t>.</w:t>
      </w:r>
      <w:r>
        <w:t xml:space="preserve"> </w:t>
      </w:r>
    </w:p>
    <w:p w14:paraId="38662E5D" w14:textId="6869E74D" w:rsidR="007C6C38" w:rsidRDefault="007C6C38" w:rsidP="007C6C38">
      <w:pPr>
        <w:jc w:val="both"/>
      </w:pPr>
    </w:p>
    <w:p w14:paraId="26742379" w14:textId="4BDA1692" w:rsidR="007C6C38" w:rsidRDefault="007C6C38" w:rsidP="007C6C38">
      <w:pPr>
        <w:jc w:val="both"/>
      </w:pPr>
      <w:r w:rsidRPr="007C6C38">
        <w:rPr>
          <w:b/>
          <w:u w:val="single"/>
        </w:rPr>
        <w:t>Arguments en faveur</w:t>
      </w:r>
      <w:r>
        <w:t xml:space="preserve"> : </w:t>
      </w:r>
    </w:p>
    <w:p w14:paraId="54446E4E" w14:textId="77777777" w:rsidR="00352F44" w:rsidRPr="000831A0" w:rsidRDefault="00352F44" w:rsidP="00352F44">
      <w:pPr>
        <w:jc w:val="both"/>
      </w:pPr>
      <w:r>
        <w:t xml:space="preserve">- Avis favorable des hydrogéologues des services publics </w:t>
      </w:r>
      <w:r w:rsidRPr="000831A0">
        <w:t>dans un objectif de préservation des ressources en eau et d’amélioration continue des pratiques</w:t>
      </w:r>
      <w:r>
        <w:t xml:space="preserve">. </w:t>
      </w:r>
    </w:p>
    <w:p w14:paraId="3BA6627A" w14:textId="516AF7DB" w:rsidR="00352F44" w:rsidRDefault="00352F44" w:rsidP="00352F44">
      <w:pPr>
        <w:jc w:val="both"/>
      </w:pPr>
      <w:r>
        <w:t xml:space="preserve">- La certification permettra de réguler le secteur. </w:t>
      </w:r>
    </w:p>
    <w:p w14:paraId="4485EF7D" w14:textId="01F773F8" w:rsidR="007C6C38" w:rsidRDefault="007C6C38" w:rsidP="007C6C38">
      <w:pPr>
        <w:jc w:val="both"/>
      </w:pPr>
      <w:r>
        <w:t xml:space="preserve">- </w:t>
      </w:r>
      <w:r w:rsidR="00352F44">
        <w:t>M</w:t>
      </w:r>
      <w:r>
        <w:t>eilleure préservation de la ressource en eau souterraine (SAGE Bas Dauphiné Plaine de Valence). Mais parmi les points de contrôle</w:t>
      </w:r>
      <w:r w:rsidR="00352F44">
        <w:t xml:space="preserve"> dans le cadre des audits de certification,</w:t>
      </w:r>
      <w:r>
        <w:t xml:space="preserve"> il faut faire apparaître </w:t>
      </w:r>
      <w:r w:rsidR="00352F44">
        <w:t>le respect d</w:t>
      </w:r>
      <w:r w:rsidR="00FA6D40">
        <w:t>es réglementations locales</w:t>
      </w:r>
      <w:r>
        <w:t>.</w:t>
      </w:r>
      <w:r w:rsidR="00A362C1">
        <w:t xml:space="preserve"> </w:t>
      </w:r>
      <w:r>
        <w:t xml:space="preserve"> </w:t>
      </w:r>
      <w:r w:rsidR="00A362C1">
        <w:t xml:space="preserve">En lien </w:t>
      </w:r>
      <w:r w:rsidR="003324E9">
        <w:t xml:space="preserve">avec le portail de déclaration, </w:t>
      </w:r>
      <w:r w:rsidR="003324E9" w:rsidRPr="003324E9">
        <w:t xml:space="preserve">il est </w:t>
      </w:r>
      <w:r w:rsidR="003324E9">
        <w:t>nécessaire</w:t>
      </w:r>
      <w:r w:rsidR="003324E9" w:rsidRPr="003324E9">
        <w:t xml:space="preserve"> que l’accès à l’information des périmètres de SAGE et des réglementations locales soient prévues pour les déclarant</w:t>
      </w:r>
      <w:r w:rsidR="003324E9">
        <w:t>s</w:t>
      </w:r>
      <w:r>
        <w:t xml:space="preserve">. </w:t>
      </w:r>
    </w:p>
    <w:p w14:paraId="49931870" w14:textId="285117B4" w:rsidR="007C6C38" w:rsidRDefault="007C6C38" w:rsidP="00A9637D">
      <w:pPr>
        <w:jc w:val="both"/>
      </w:pPr>
      <w:r w:rsidRPr="007C6C38">
        <w:rPr>
          <w:b/>
          <w:u w:val="single"/>
        </w:rPr>
        <w:t>Remarques et questions complémentaires</w:t>
      </w:r>
      <w:r>
        <w:t xml:space="preserve"> : </w:t>
      </w:r>
    </w:p>
    <w:p w14:paraId="0EA7D059" w14:textId="73FE3F99" w:rsidR="00A9637D" w:rsidRDefault="00A9637D" w:rsidP="00A9637D">
      <w:pPr>
        <w:jc w:val="both"/>
      </w:pPr>
      <w:r>
        <w:t xml:space="preserve"> - </w:t>
      </w:r>
      <w:r w:rsidR="00352F44">
        <w:t>L</w:t>
      </w:r>
      <w:r>
        <w:t xml:space="preserve">a certification nécessite d’être accompagnée par une formation diplômante ; </w:t>
      </w:r>
    </w:p>
    <w:p w14:paraId="1CFE29F8" w14:textId="0A058B3C" w:rsidR="007C6AC3" w:rsidRDefault="007C6AC3" w:rsidP="007C6AC3">
      <w:pPr>
        <w:jc w:val="both"/>
      </w:pPr>
      <w:r>
        <w:t xml:space="preserve">- Nécessité de prévoir un contrôle de la bonne exécution des ouvrages </w:t>
      </w:r>
    </w:p>
    <w:p w14:paraId="11BB3DB0" w14:textId="7BDACA30" w:rsidR="007C6AC3" w:rsidRDefault="009948C8" w:rsidP="007C6AC3">
      <w:pPr>
        <w:jc w:val="both"/>
      </w:pPr>
      <w:r>
        <w:t xml:space="preserve">- </w:t>
      </w:r>
      <w:r w:rsidR="00352F44">
        <w:t>P</w:t>
      </w:r>
      <w:r>
        <w:t>révoir des suivis pour les ouvrage délicats (</w:t>
      </w:r>
      <w:r w:rsidR="00352F44">
        <w:t xml:space="preserve">comme par </w:t>
      </w:r>
      <w:r>
        <w:t>ex</w:t>
      </w:r>
      <w:r w:rsidR="00352F44">
        <w:t>emple ce qui est prévu en</w:t>
      </w:r>
      <w:r>
        <w:t xml:space="preserve"> Zone Orange en GMI)</w:t>
      </w:r>
    </w:p>
    <w:p w14:paraId="598BD871" w14:textId="6B8C5941" w:rsidR="009948C8" w:rsidRDefault="009948C8" w:rsidP="007C6AC3">
      <w:pPr>
        <w:jc w:val="both"/>
      </w:pPr>
      <w:r>
        <w:t xml:space="preserve">- </w:t>
      </w:r>
      <w:r w:rsidR="00352F44">
        <w:t>B</w:t>
      </w:r>
      <w:r>
        <w:t xml:space="preserve">esoin de clarification sur </w:t>
      </w:r>
      <w:r w:rsidR="00352F44">
        <w:t xml:space="preserve">la </w:t>
      </w:r>
      <w:r>
        <w:t xml:space="preserve">déclaration </w:t>
      </w:r>
      <w:r w:rsidR="00352F44">
        <w:t xml:space="preserve">à faire </w:t>
      </w:r>
      <w:r>
        <w:t>par le maitre d’ouvrage (délégation possible ? quels éléments ?</w:t>
      </w:r>
      <w:r w:rsidR="00352F44">
        <w:t>)</w:t>
      </w:r>
    </w:p>
    <w:p w14:paraId="077CCD0C" w14:textId="02490F73" w:rsidR="009948C8" w:rsidRDefault="009948C8" w:rsidP="007C6AC3">
      <w:pPr>
        <w:jc w:val="both"/>
      </w:pPr>
      <w:r>
        <w:t xml:space="preserve">- </w:t>
      </w:r>
      <w:r w:rsidR="00352F44">
        <w:t>Y</w:t>
      </w:r>
      <w:r>
        <w:t xml:space="preserve">-aura-t-il une base de données cartographiques recensant les autres réglementations ? </w:t>
      </w:r>
    </w:p>
    <w:p w14:paraId="66A80655" w14:textId="47E25391" w:rsidR="009948C8" w:rsidRPr="009F14DB" w:rsidRDefault="009948C8" w:rsidP="007C6AC3">
      <w:pPr>
        <w:jc w:val="both"/>
      </w:pPr>
      <w:r>
        <w:t xml:space="preserve">- </w:t>
      </w:r>
      <w:r w:rsidR="00352F44">
        <w:t>E</w:t>
      </w:r>
      <w:r>
        <w:t>st ce que le mélange de nappe est toujours interdit ?</w:t>
      </w:r>
      <w:r w:rsidR="009F14DB">
        <w:t xml:space="preserve"> : </w:t>
      </w:r>
      <w:r w:rsidR="009F14DB" w:rsidRPr="009F14DB">
        <w:t xml:space="preserve">(l’interdiction de mise en communication de plusieurs aquifères distincts superposés uniquement lorsque ces derniers sont isolés naturellement, alors que dans l’actuel AM du 11/09/2003 la mise en communication d’aquifères distincts superposés est interdite dans tous les cas.) </w:t>
      </w:r>
    </w:p>
    <w:p w14:paraId="4272868E" w14:textId="50ACC2A2" w:rsidR="009948C8" w:rsidRDefault="009948C8" w:rsidP="007C6AC3">
      <w:pPr>
        <w:jc w:val="both"/>
      </w:pPr>
      <w:r>
        <w:t xml:space="preserve">- </w:t>
      </w:r>
      <w:r w:rsidR="00352F44">
        <w:t>Q</w:t>
      </w:r>
      <w:r>
        <w:t xml:space="preserve">uid des forages domestiques ? nécessité de les inclure pour protéger les nappes superficielles. </w:t>
      </w:r>
    </w:p>
    <w:p w14:paraId="73F6528B" w14:textId="0EB3B358" w:rsidR="009948C8" w:rsidRDefault="009948C8" w:rsidP="007C6AC3">
      <w:pPr>
        <w:jc w:val="both"/>
      </w:pPr>
      <w:r>
        <w:t xml:space="preserve">- </w:t>
      </w:r>
      <w:r w:rsidR="00352F44">
        <w:t>R</w:t>
      </w:r>
      <w:r>
        <w:t xml:space="preserve">isque de transférer la conception des travaux à une entreprise plutôt qu’au maître d’ouvrage. L’entreprise devra disposer d’une expertise en hydrogéologie. </w:t>
      </w:r>
    </w:p>
    <w:p w14:paraId="2C43D189" w14:textId="1EF3FF6D" w:rsidR="00977AAD" w:rsidRDefault="00977AAD" w:rsidP="007C6AC3">
      <w:pPr>
        <w:jc w:val="both"/>
      </w:pPr>
      <w:r>
        <w:t xml:space="preserve">- </w:t>
      </w:r>
      <w:r w:rsidR="00352F44">
        <w:t>V</w:t>
      </w:r>
      <w:r>
        <w:t xml:space="preserve">igilance sur l’équivalence entre « tous forages » et </w:t>
      </w:r>
      <w:r w:rsidR="002A51BC">
        <w:t>« sites</w:t>
      </w:r>
      <w:r>
        <w:t xml:space="preserve"> et sols pollués ». Risque de distorsion de concurrence</w:t>
      </w:r>
      <w:r w:rsidR="002A51BC">
        <w:t xml:space="preserve"> dans des domaines d’activités bien distincts. </w:t>
      </w:r>
    </w:p>
    <w:p w14:paraId="6B074E59" w14:textId="119AC4E1" w:rsidR="002A51BC" w:rsidRDefault="002A51BC" w:rsidP="007C6AC3">
      <w:pPr>
        <w:jc w:val="both"/>
      </w:pPr>
      <w:r>
        <w:t xml:space="preserve">- </w:t>
      </w:r>
      <w:r w:rsidR="00352F44">
        <w:t>L</w:t>
      </w:r>
      <w:r>
        <w:t xml:space="preserve">aisser un délai de 3 mois pour adresser le rapport de fin de travaux. </w:t>
      </w:r>
    </w:p>
    <w:p w14:paraId="64BCD180" w14:textId="4B6008E4" w:rsidR="004279D2" w:rsidRPr="00965ABF" w:rsidRDefault="00977AAD" w:rsidP="00965ABF">
      <w:pPr>
        <w:jc w:val="both"/>
      </w:pPr>
      <w:r>
        <w:lastRenderedPageBreak/>
        <w:t>Enfin, des remarques plus techniques et de propositions de rédaction ont été émises par les participants. Notamment, de préciser la notion de sondage</w:t>
      </w:r>
      <w:r w:rsidR="004279D2">
        <w:t>.</w:t>
      </w:r>
    </w:p>
    <w:p w14:paraId="6CBE0E10" w14:textId="77777777" w:rsidR="004279D2" w:rsidRDefault="004279D2" w:rsidP="007C6AC3">
      <w:pPr>
        <w:jc w:val="both"/>
        <w:rPr>
          <w:b/>
          <w:bCs/>
        </w:rPr>
        <w:sectPr w:rsidR="004279D2">
          <w:footerReference w:type="default" r:id="rId8"/>
          <w:pgSz w:w="11906" w:h="16838"/>
          <w:pgMar w:top="1417" w:right="1417" w:bottom="1417" w:left="1417" w:header="708" w:footer="708" w:gutter="0"/>
          <w:cols w:space="708"/>
          <w:docGrid w:linePitch="360"/>
        </w:sectPr>
      </w:pPr>
    </w:p>
    <w:p w14:paraId="6D0A06FD" w14:textId="41DB680E" w:rsidR="004279D2" w:rsidRPr="004279D2" w:rsidRDefault="004279D2" w:rsidP="002D3E50">
      <w:pPr>
        <w:jc w:val="center"/>
        <w:rPr>
          <w:b/>
          <w:bCs/>
          <w:u w:val="single"/>
        </w:rPr>
      </w:pPr>
      <w:r w:rsidRPr="004279D2">
        <w:rPr>
          <w:b/>
          <w:bCs/>
          <w:u w:val="single"/>
        </w:rPr>
        <w:lastRenderedPageBreak/>
        <w:t xml:space="preserve">Intégration </w:t>
      </w:r>
      <w:r w:rsidR="0085667F" w:rsidRPr="004279D2">
        <w:rPr>
          <w:b/>
          <w:bCs/>
          <w:u w:val="single"/>
        </w:rPr>
        <w:t xml:space="preserve">des propositions issues des consultations </w:t>
      </w:r>
      <w:r w:rsidR="002744ED">
        <w:rPr>
          <w:b/>
          <w:bCs/>
          <w:u w:val="single"/>
        </w:rPr>
        <w:t xml:space="preserve">du </w:t>
      </w:r>
      <w:r w:rsidR="0085667F" w:rsidRPr="004279D2">
        <w:rPr>
          <w:b/>
          <w:bCs/>
          <w:u w:val="single"/>
        </w:rPr>
        <w:t>publi</w:t>
      </w:r>
      <w:r w:rsidR="002744ED">
        <w:rPr>
          <w:b/>
          <w:bCs/>
          <w:u w:val="single"/>
        </w:rPr>
        <w:t>c</w:t>
      </w:r>
      <w:r w:rsidR="0085667F" w:rsidRPr="004279D2">
        <w:rPr>
          <w:b/>
          <w:bCs/>
          <w:u w:val="single"/>
        </w:rPr>
        <w:t xml:space="preserve"> </w:t>
      </w:r>
      <w:r w:rsidR="00965ABF">
        <w:rPr>
          <w:b/>
          <w:bCs/>
          <w:u w:val="single"/>
        </w:rPr>
        <w:t>dans les projets de texte</w:t>
      </w:r>
    </w:p>
    <w:p w14:paraId="26E894AB" w14:textId="77777777" w:rsidR="002D3E50" w:rsidRDefault="002D3E50" w:rsidP="007C6AC3">
      <w:pPr>
        <w:jc w:val="both"/>
        <w:rPr>
          <w:b/>
          <w:bCs/>
        </w:rPr>
      </w:pPr>
    </w:p>
    <w:p w14:paraId="12EA12D4" w14:textId="4195B25E" w:rsidR="004279D2" w:rsidRDefault="004279D2" w:rsidP="007C6AC3">
      <w:pPr>
        <w:jc w:val="both"/>
        <w:rPr>
          <w:b/>
          <w:bCs/>
        </w:rPr>
      </w:pPr>
      <w:r>
        <w:rPr>
          <w:b/>
          <w:bCs/>
        </w:rPr>
        <w:t xml:space="preserve">Consultation du public </w:t>
      </w:r>
      <w:r w:rsidR="0059518A">
        <w:rPr>
          <w:b/>
          <w:bCs/>
        </w:rPr>
        <w:t>réalisée</w:t>
      </w:r>
      <w:r>
        <w:rPr>
          <w:b/>
          <w:bCs/>
        </w:rPr>
        <w:t xml:space="preserve"> du </w:t>
      </w:r>
      <w:r w:rsidR="0059518A" w:rsidRPr="0059518A">
        <w:rPr>
          <w:b/>
          <w:bCs/>
        </w:rPr>
        <w:t xml:space="preserve">16 janvier 2025 </w:t>
      </w:r>
      <w:r w:rsidR="0059518A">
        <w:rPr>
          <w:b/>
          <w:bCs/>
        </w:rPr>
        <w:t>au</w:t>
      </w:r>
      <w:r w:rsidR="0059518A" w:rsidRPr="0059518A">
        <w:rPr>
          <w:b/>
          <w:bCs/>
        </w:rPr>
        <w:t xml:space="preserve"> 6 février 2025</w:t>
      </w:r>
    </w:p>
    <w:tbl>
      <w:tblPr>
        <w:tblStyle w:val="Grilledutableau"/>
        <w:tblW w:w="0" w:type="auto"/>
        <w:tblLook w:val="04A0" w:firstRow="1" w:lastRow="0" w:firstColumn="1" w:lastColumn="0" w:noHBand="0" w:noVBand="1"/>
      </w:tblPr>
      <w:tblGrid>
        <w:gridCol w:w="6232"/>
        <w:gridCol w:w="7760"/>
      </w:tblGrid>
      <w:tr w:rsidR="008D5A09" w14:paraId="4B52DA2B" w14:textId="77777777" w:rsidTr="00965ABF">
        <w:tc>
          <w:tcPr>
            <w:tcW w:w="6232" w:type="dxa"/>
            <w:shd w:val="clear" w:color="auto" w:fill="D9D9D9" w:themeFill="background1" w:themeFillShade="D9"/>
          </w:tcPr>
          <w:p w14:paraId="6A3B6551" w14:textId="206C0BB7" w:rsidR="008D5A09" w:rsidRPr="008D5A09" w:rsidRDefault="008D5A09" w:rsidP="008D5A09">
            <w:pPr>
              <w:jc w:val="center"/>
              <w:rPr>
                <w:b/>
                <w:bCs/>
              </w:rPr>
            </w:pPr>
            <w:r w:rsidRPr="008D5A09">
              <w:rPr>
                <w:b/>
                <w:bCs/>
              </w:rPr>
              <w:t>Texte</w:t>
            </w:r>
          </w:p>
        </w:tc>
        <w:tc>
          <w:tcPr>
            <w:tcW w:w="7760" w:type="dxa"/>
            <w:shd w:val="clear" w:color="auto" w:fill="D9D9D9" w:themeFill="background1" w:themeFillShade="D9"/>
          </w:tcPr>
          <w:p w14:paraId="03AAD24F" w14:textId="34DB6427" w:rsidR="008D5A09" w:rsidRPr="008D5A09" w:rsidRDefault="00B67069" w:rsidP="00CF7EBC">
            <w:pPr>
              <w:jc w:val="center"/>
              <w:rPr>
                <w:b/>
                <w:bCs/>
              </w:rPr>
            </w:pPr>
            <w:r w:rsidRPr="00B67069">
              <w:rPr>
                <w:b/>
                <w:bCs/>
              </w:rPr>
              <w:t>Proposition prise en compte</w:t>
            </w:r>
          </w:p>
        </w:tc>
      </w:tr>
      <w:tr w:rsidR="0059518A" w14:paraId="6AE38FC4" w14:textId="77777777" w:rsidTr="00F80E8F">
        <w:tc>
          <w:tcPr>
            <w:tcW w:w="6232" w:type="dxa"/>
          </w:tcPr>
          <w:p w14:paraId="1D3F113E" w14:textId="2ADA1CCF" w:rsidR="0059518A" w:rsidRPr="0059518A" w:rsidRDefault="008D5A09" w:rsidP="007C6AC3">
            <w:pPr>
              <w:jc w:val="both"/>
            </w:pPr>
            <w:r w:rsidRPr="0059518A">
              <w:t>D</w:t>
            </w:r>
            <w:r w:rsidR="0059518A" w:rsidRPr="0059518A">
              <w:t>écret</w:t>
            </w:r>
            <w:r>
              <w:t xml:space="preserve"> </w:t>
            </w:r>
            <w:r w:rsidR="0059518A" w:rsidRPr="0059518A">
              <w:t xml:space="preserve">relatif aux conditions de mise en œuvre de la certification </w:t>
            </w:r>
            <w:r w:rsidR="00F80E8F">
              <w:t>…</w:t>
            </w:r>
          </w:p>
        </w:tc>
        <w:tc>
          <w:tcPr>
            <w:tcW w:w="7760" w:type="dxa"/>
          </w:tcPr>
          <w:p w14:paraId="0F7A582F" w14:textId="3D7678F8" w:rsidR="0059518A" w:rsidRDefault="0059518A" w:rsidP="007C6AC3">
            <w:pPr>
              <w:jc w:val="both"/>
              <w:rPr>
                <w:i/>
                <w:iCs/>
              </w:rPr>
            </w:pPr>
            <w:r w:rsidRPr="005C7ACF">
              <w:rPr>
                <w:i/>
                <w:iCs/>
              </w:rPr>
              <w:t>Observations général</w:t>
            </w:r>
            <w:r w:rsidR="00CF7EBC" w:rsidRPr="005C7ACF">
              <w:rPr>
                <w:i/>
                <w:iCs/>
              </w:rPr>
              <w:t>es</w:t>
            </w:r>
            <w:r w:rsidRPr="005C7ACF">
              <w:rPr>
                <w:i/>
                <w:iCs/>
              </w:rPr>
              <w:t xml:space="preserve"> faites sur l</w:t>
            </w:r>
            <w:r w:rsidR="008D5A09" w:rsidRPr="005C7ACF">
              <w:rPr>
                <w:i/>
                <w:iCs/>
              </w:rPr>
              <w:t>a pertinence</w:t>
            </w:r>
            <w:r w:rsidR="00965ABF" w:rsidRPr="005C7ACF">
              <w:rPr>
                <w:i/>
                <w:iCs/>
              </w:rPr>
              <w:t xml:space="preserve">, le </w:t>
            </w:r>
            <w:r w:rsidRPr="005C7ACF">
              <w:rPr>
                <w:i/>
                <w:iCs/>
              </w:rPr>
              <w:t>périmètre</w:t>
            </w:r>
            <w:r w:rsidR="006D7AE3">
              <w:rPr>
                <w:i/>
                <w:iCs/>
              </w:rPr>
              <w:t xml:space="preserve"> et </w:t>
            </w:r>
            <w:r w:rsidR="00965ABF" w:rsidRPr="005C7ACF">
              <w:rPr>
                <w:i/>
                <w:iCs/>
              </w:rPr>
              <w:t>le</w:t>
            </w:r>
            <w:r w:rsidR="00CF7EBC" w:rsidRPr="005C7ACF">
              <w:rPr>
                <w:i/>
                <w:iCs/>
              </w:rPr>
              <w:t xml:space="preserve">s effets et </w:t>
            </w:r>
            <w:r w:rsidR="00965ABF" w:rsidRPr="005C7ACF">
              <w:rPr>
                <w:i/>
                <w:iCs/>
              </w:rPr>
              <w:t xml:space="preserve">de la certification, </w:t>
            </w:r>
            <w:r w:rsidRPr="005C7ACF">
              <w:rPr>
                <w:i/>
                <w:iCs/>
              </w:rPr>
              <w:t>mettant en question l</w:t>
            </w:r>
            <w:r w:rsidR="008D5A09" w:rsidRPr="005C7ACF">
              <w:rPr>
                <w:i/>
                <w:iCs/>
              </w:rPr>
              <w:t>e principe d’application de l’article 83 de la loi APER dont ce décret est l’objet</w:t>
            </w:r>
            <w:r w:rsidR="00F80E8F" w:rsidRPr="005C7ACF">
              <w:rPr>
                <w:i/>
                <w:iCs/>
              </w:rPr>
              <w:t> :</w:t>
            </w:r>
            <w:r w:rsidR="00352F44">
              <w:rPr>
                <w:i/>
                <w:iCs/>
              </w:rPr>
              <w:t xml:space="preserve"> les</w:t>
            </w:r>
            <w:r w:rsidR="008D5A09" w:rsidRPr="005C7ACF">
              <w:rPr>
                <w:i/>
                <w:iCs/>
              </w:rPr>
              <w:t xml:space="preserve"> </w:t>
            </w:r>
            <w:r w:rsidR="00CF7EBC" w:rsidRPr="005C7ACF">
              <w:rPr>
                <w:i/>
                <w:iCs/>
              </w:rPr>
              <w:t>p</w:t>
            </w:r>
            <w:r w:rsidR="008D5A09" w:rsidRPr="005C7ACF">
              <w:rPr>
                <w:i/>
                <w:iCs/>
              </w:rPr>
              <w:t xml:space="preserve">ropositions </w:t>
            </w:r>
            <w:r w:rsidR="00352F44">
              <w:rPr>
                <w:i/>
                <w:iCs/>
              </w:rPr>
              <w:t xml:space="preserve">faites ont, pour celles qui étaient pertinentes, été </w:t>
            </w:r>
            <w:r w:rsidR="00F80E8F" w:rsidRPr="005C7ACF">
              <w:rPr>
                <w:i/>
                <w:iCs/>
              </w:rPr>
              <w:t xml:space="preserve">prises en compte </w:t>
            </w:r>
            <w:r w:rsidR="00352F44">
              <w:rPr>
                <w:i/>
                <w:iCs/>
              </w:rPr>
              <w:t xml:space="preserve">pour la finalisation des projets d’arrêtés ministériels, car ne relevant pas </w:t>
            </w:r>
            <w:r w:rsidR="00CF7EBC" w:rsidRPr="005C7ACF">
              <w:rPr>
                <w:i/>
                <w:iCs/>
              </w:rPr>
              <w:t xml:space="preserve">de </w:t>
            </w:r>
            <w:r w:rsidR="008D5A09" w:rsidRPr="005C7ACF">
              <w:rPr>
                <w:i/>
                <w:iCs/>
              </w:rPr>
              <w:t>ce projet de texte</w:t>
            </w:r>
            <w:r w:rsidR="00352F44">
              <w:rPr>
                <w:i/>
                <w:iCs/>
              </w:rPr>
              <w:t>.</w:t>
            </w:r>
          </w:p>
          <w:p w14:paraId="17852B87" w14:textId="6D021298" w:rsidR="00352F44" w:rsidRPr="005C7ACF" w:rsidRDefault="00352F44" w:rsidP="007C6AC3">
            <w:pPr>
              <w:jc w:val="both"/>
              <w:rPr>
                <w:i/>
                <w:iCs/>
              </w:rPr>
            </w:pPr>
            <w:r>
              <w:rPr>
                <w:i/>
                <w:iCs/>
              </w:rPr>
              <w:t>Le Conseil supérieur de la construction et des économies d’énergie a été consulté suite aux remarques émises. Le visa de sa consultation, non obligatoire, n’a pas été retenu par le Conseil d’Etat.</w:t>
            </w:r>
          </w:p>
        </w:tc>
      </w:tr>
    </w:tbl>
    <w:p w14:paraId="361F1774" w14:textId="77777777" w:rsidR="0059518A" w:rsidRDefault="0059518A" w:rsidP="007C6AC3">
      <w:pPr>
        <w:jc w:val="both"/>
        <w:rPr>
          <w:b/>
          <w:bCs/>
        </w:rPr>
      </w:pPr>
    </w:p>
    <w:p w14:paraId="5A74211A" w14:textId="17FEFD5B" w:rsidR="0059518A" w:rsidRDefault="00965ABF" w:rsidP="007C6AC3">
      <w:pPr>
        <w:jc w:val="both"/>
        <w:rPr>
          <w:b/>
          <w:bCs/>
        </w:rPr>
      </w:pPr>
      <w:r w:rsidRPr="00965ABF">
        <w:rPr>
          <w:b/>
          <w:bCs/>
        </w:rPr>
        <w:t>Consultation du public réalisée du</w:t>
      </w:r>
      <w:r>
        <w:rPr>
          <w:b/>
          <w:bCs/>
        </w:rPr>
        <w:t xml:space="preserve"> 0</w:t>
      </w:r>
      <w:r w:rsidRPr="00965ABF">
        <w:rPr>
          <w:b/>
          <w:bCs/>
        </w:rPr>
        <w:t>2 au 23 juin 2025</w:t>
      </w:r>
    </w:p>
    <w:p w14:paraId="5A42F003" w14:textId="3792E3B0" w:rsidR="00352F44" w:rsidRPr="006D3630" w:rsidRDefault="00352F44" w:rsidP="007C6AC3">
      <w:pPr>
        <w:jc w:val="both"/>
        <w:rPr>
          <w:i/>
          <w:iCs/>
        </w:rPr>
      </w:pPr>
      <w:bookmarkStart w:id="0" w:name="_Hlk208318272"/>
      <w:r w:rsidRPr="006D3630">
        <w:rPr>
          <w:i/>
          <w:iCs/>
        </w:rPr>
        <w:t>Sont repri</w:t>
      </w:r>
      <w:r w:rsidR="00FB77AC">
        <w:rPr>
          <w:i/>
          <w:iCs/>
        </w:rPr>
        <w:t>se</w:t>
      </w:r>
      <w:r w:rsidRPr="006D3630">
        <w:rPr>
          <w:i/>
          <w:iCs/>
        </w:rPr>
        <w:t>s ci-dessous les principales observations ayant conduit à des évolutions des textes soumis à la consultation du public</w:t>
      </w:r>
      <w:bookmarkEnd w:id="0"/>
      <w:r>
        <w:rPr>
          <w:i/>
          <w:iCs/>
        </w:rPr>
        <w:t>.</w:t>
      </w:r>
    </w:p>
    <w:tbl>
      <w:tblPr>
        <w:tblStyle w:val="Grilledutableau"/>
        <w:tblW w:w="14029" w:type="dxa"/>
        <w:tblLook w:val="04A0" w:firstRow="1" w:lastRow="0" w:firstColumn="1" w:lastColumn="0" w:noHBand="0" w:noVBand="1"/>
      </w:tblPr>
      <w:tblGrid>
        <w:gridCol w:w="2950"/>
        <w:gridCol w:w="2306"/>
        <w:gridCol w:w="4520"/>
        <w:gridCol w:w="4253"/>
      </w:tblGrid>
      <w:tr w:rsidR="005D4491" w14:paraId="3101B77D" w14:textId="77777777" w:rsidTr="003324E9">
        <w:trPr>
          <w:tblHeader/>
        </w:trPr>
        <w:tc>
          <w:tcPr>
            <w:tcW w:w="2950" w:type="dxa"/>
            <w:shd w:val="clear" w:color="auto" w:fill="D9D9D9" w:themeFill="background1" w:themeFillShade="D9"/>
            <w:vAlign w:val="center"/>
          </w:tcPr>
          <w:p w14:paraId="7CD41E50" w14:textId="50D6973F" w:rsidR="005D4491" w:rsidRPr="00965ABF" w:rsidRDefault="005D4491" w:rsidP="00772723">
            <w:pPr>
              <w:jc w:val="center"/>
              <w:rPr>
                <w:b/>
                <w:bCs/>
              </w:rPr>
            </w:pPr>
            <w:r w:rsidRPr="00965ABF">
              <w:rPr>
                <w:b/>
                <w:bCs/>
              </w:rPr>
              <w:t>Texte</w:t>
            </w:r>
          </w:p>
        </w:tc>
        <w:tc>
          <w:tcPr>
            <w:tcW w:w="2306" w:type="dxa"/>
            <w:shd w:val="clear" w:color="auto" w:fill="D9D9D9" w:themeFill="background1" w:themeFillShade="D9"/>
            <w:vAlign w:val="center"/>
          </w:tcPr>
          <w:p w14:paraId="3DBB1467" w14:textId="27A92D16" w:rsidR="005D4491" w:rsidRPr="00772723" w:rsidRDefault="005D4491" w:rsidP="00772723">
            <w:pPr>
              <w:jc w:val="center"/>
              <w:rPr>
                <w:b/>
                <w:bCs/>
              </w:rPr>
            </w:pPr>
            <w:r w:rsidRPr="00772723">
              <w:rPr>
                <w:b/>
                <w:bCs/>
              </w:rPr>
              <w:t>n° proposition et demandeur</w:t>
            </w:r>
          </w:p>
        </w:tc>
        <w:tc>
          <w:tcPr>
            <w:tcW w:w="4520" w:type="dxa"/>
            <w:shd w:val="clear" w:color="auto" w:fill="D9D9D9" w:themeFill="background1" w:themeFillShade="D9"/>
            <w:vAlign w:val="center"/>
          </w:tcPr>
          <w:p w14:paraId="709BE62F" w14:textId="3AD7CA1A" w:rsidR="005D4491" w:rsidRDefault="005D4491" w:rsidP="00772723">
            <w:pPr>
              <w:jc w:val="center"/>
              <w:rPr>
                <w:b/>
                <w:bCs/>
              </w:rPr>
            </w:pPr>
            <w:r>
              <w:rPr>
                <w:b/>
                <w:bCs/>
              </w:rPr>
              <w:t>Objet</w:t>
            </w:r>
          </w:p>
        </w:tc>
        <w:tc>
          <w:tcPr>
            <w:tcW w:w="4253" w:type="dxa"/>
            <w:shd w:val="clear" w:color="auto" w:fill="D9D9D9" w:themeFill="background1" w:themeFillShade="D9"/>
            <w:vAlign w:val="center"/>
          </w:tcPr>
          <w:p w14:paraId="077F12D2" w14:textId="72F46C6C" w:rsidR="005D4491" w:rsidRDefault="00B67069" w:rsidP="00D321DB">
            <w:pPr>
              <w:jc w:val="center"/>
              <w:rPr>
                <w:b/>
                <w:bCs/>
              </w:rPr>
            </w:pPr>
            <w:r>
              <w:rPr>
                <w:b/>
                <w:bCs/>
              </w:rPr>
              <w:t>Proposition prise en compte</w:t>
            </w:r>
          </w:p>
        </w:tc>
      </w:tr>
      <w:tr w:rsidR="005D4491" w14:paraId="6F071CA8" w14:textId="328524F4" w:rsidTr="003324E9">
        <w:tc>
          <w:tcPr>
            <w:tcW w:w="2950" w:type="dxa"/>
            <w:vAlign w:val="center"/>
          </w:tcPr>
          <w:p w14:paraId="30C69209" w14:textId="5E51BD7D" w:rsidR="005D4491" w:rsidRPr="00965ABF" w:rsidRDefault="005D4491" w:rsidP="003324E9">
            <w:r w:rsidRPr="00965ABF">
              <w:t>Décret relatif aux conditions de mise en œuvre de la certification …</w:t>
            </w:r>
          </w:p>
        </w:tc>
        <w:tc>
          <w:tcPr>
            <w:tcW w:w="2306" w:type="dxa"/>
            <w:vAlign w:val="center"/>
          </w:tcPr>
          <w:p w14:paraId="2A35BF00" w14:textId="5BD66A85" w:rsidR="005D4491" w:rsidRPr="00965ABF" w:rsidRDefault="005D4491" w:rsidP="003324E9">
            <w:r>
              <w:t>/</w:t>
            </w:r>
          </w:p>
        </w:tc>
        <w:tc>
          <w:tcPr>
            <w:tcW w:w="4520" w:type="dxa"/>
            <w:vAlign w:val="center"/>
          </w:tcPr>
          <w:p w14:paraId="4CDD26A1" w14:textId="04B0ECA0" w:rsidR="005D4491" w:rsidRPr="005C7ACF" w:rsidRDefault="0085667F" w:rsidP="003324E9">
            <w:pPr>
              <w:rPr>
                <w:i/>
                <w:iCs/>
              </w:rPr>
            </w:pPr>
            <w:r>
              <w:rPr>
                <w:i/>
                <w:iCs/>
              </w:rPr>
              <w:t>Observatio</w:t>
            </w:r>
            <w:r w:rsidR="006219B2">
              <w:rPr>
                <w:i/>
                <w:iCs/>
              </w:rPr>
              <w:t>n</w:t>
            </w:r>
            <w:r w:rsidR="005D4491" w:rsidRPr="005C7ACF">
              <w:rPr>
                <w:i/>
                <w:iCs/>
              </w:rPr>
              <w:t>s à portée générale</w:t>
            </w:r>
          </w:p>
        </w:tc>
        <w:tc>
          <w:tcPr>
            <w:tcW w:w="4253" w:type="dxa"/>
            <w:vAlign w:val="center"/>
          </w:tcPr>
          <w:p w14:paraId="38E77C88" w14:textId="7D492A23" w:rsidR="005D4491" w:rsidRPr="006459B7" w:rsidRDefault="005D4491" w:rsidP="003324E9">
            <w:r w:rsidRPr="006459B7">
              <w:t>/</w:t>
            </w:r>
          </w:p>
        </w:tc>
      </w:tr>
      <w:tr w:rsidR="00D321DB" w14:paraId="42527197" w14:textId="23A149B8" w:rsidTr="00614152">
        <w:tc>
          <w:tcPr>
            <w:tcW w:w="2950" w:type="dxa"/>
            <w:vMerge w:val="restart"/>
            <w:vAlign w:val="center"/>
          </w:tcPr>
          <w:p w14:paraId="0AAEC46F" w14:textId="77777777" w:rsidR="004258A9" w:rsidRDefault="004258A9" w:rsidP="003324E9"/>
          <w:p w14:paraId="755A6F45" w14:textId="77777777" w:rsidR="004258A9" w:rsidRDefault="004258A9" w:rsidP="003324E9"/>
          <w:p w14:paraId="22FFA459" w14:textId="77777777" w:rsidR="004258A9" w:rsidRDefault="004258A9" w:rsidP="003324E9"/>
          <w:p w14:paraId="685A8AFA" w14:textId="487C021F" w:rsidR="004258A9" w:rsidRDefault="004258A9" w:rsidP="003324E9">
            <w:r w:rsidRPr="004258A9">
              <w:t>Arrêté fixant les modalités de certification…</w:t>
            </w:r>
          </w:p>
          <w:p w14:paraId="31932B93" w14:textId="77777777" w:rsidR="004258A9" w:rsidRDefault="004258A9" w:rsidP="003324E9"/>
          <w:p w14:paraId="4CF7D63F" w14:textId="77777777" w:rsidR="004258A9" w:rsidRDefault="004258A9" w:rsidP="003324E9"/>
          <w:p w14:paraId="53179623" w14:textId="77777777" w:rsidR="004258A9" w:rsidRDefault="004258A9" w:rsidP="003324E9"/>
          <w:p w14:paraId="33E33C1A" w14:textId="77777777" w:rsidR="004258A9" w:rsidRDefault="004258A9" w:rsidP="003324E9"/>
          <w:p w14:paraId="2DF5E6F5" w14:textId="77777777" w:rsidR="004258A9" w:rsidRDefault="004258A9" w:rsidP="003324E9"/>
          <w:p w14:paraId="0EB980D2" w14:textId="77777777" w:rsidR="004258A9" w:rsidRDefault="004258A9" w:rsidP="003324E9"/>
          <w:p w14:paraId="0E4132E9" w14:textId="586A3C65" w:rsidR="004258A9" w:rsidRDefault="004258A9" w:rsidP="003324E9"/>
          <w:p w14:paraId="7E9BE66C" w14:textId="3DE3C77A" w:rsidR="004258A9" w:rsidRDefault="004258A9" w:rsidP="003324E9"/>
          <w:p w14:paraId="6668721A" w14:textId="4FEE4708" w:rsidR="004258A9" w:rsidRDefault="004258A9" w:rsidP="003324E9"/>
          <w:p w14:paraId="0327D3DA" w14:textId="29F712C9" w:rsidR="004258A9" w:rsidRDefault="004258A9" w:rsidP="003324E9"/>
          <w:p w14:paraId="06987288" w14:textId="216E76CB" w:rsidR="004258A9" w:rsidRDefault="004258A9" w:rsidP="003324E9"/>
          <w:p w14:paraId="25D003BE" w14:textId="382C5A21" w:rsidR="004258A9" w:rsidRDefault="004258A9" w:rsidP="003324E9"/>
          <w:p w14:paraId="188A701E" w14:textId="11FBF75B" w:rsidR="004258A9" w:rsidRDefault="004258A9" w:rsidP="003324E9"/>
          <w:p w14:paraId="0A4D2A57" w14:textId="4D5DFBA2" w:rsidR="004258A9" w:rsidRDefault="004258A9" w:rsidP="003324E9"/>
          <w:p w14:paraId="298B6040" w14:textId="62F84E64" w:rsidR="004258A9" w:rsidRDefault="004258A9" w:rsidP="003324E9"/>
          <w:p w14:paraId="6AE435AE" w14:textId="4FEC4EDE" w:rsidR="004258A9" w:rsidRDefault="004258A9" w:rsidP="003324E9"/>
          <w:p w14:paraId="0E7B9C34" w14:textId="77777777" w:rsidR="004258A9" w:rsidRDefault="004258A9" w:rsidP="003324E9"/>
          <w:p w14:paraId="2D84A397" w14:textId="77777777" w:rsidR="004258A9" w:rsidRDefault="004258A9" w:rsidP="003324E9"/>
          <w:p w14:paraId="6FD5C7A2" w14:textId="764AC56B" w:rsidR="00D321DB" w:rsidRPr="005B2E77" w:rsidRDefault="00D321DB" w:rsidP="003324E9">
            <w:r w:rsidRPr="005B2E77">
              <w:t>Arrêté fixant les modalités de certification…</w:t>
            </w:r>
          </w:p>
          <w:p w14:paraId="018E48EB" w14:textId="77777777" w:rsidR="00D321DB" w:rsidRDefault="00D321DB" w:rsidP="003324E9"/>
          <w:p w14:paraId="158BB0DC" w14:textId="77777777" w:rsidR="004258A9" w:rsidRDefault="004258A9" w:rsidP="003324E9"/>
          <w:p w14:paraId="1F5BD697" w14:textId="77777777" w:rsidR="004258A9" w:rsidRDefault="004258A9" w:rsidP="003324E9"/>
          <w:p w14:paraId="4C04529A" w14:textId="77777777" w:rsidR="004258A9" w:rsidRDefault="004258A9" w:rsidP="003324E9"/>
          <w:p w14:paraId="5A996896" w14:textId="77777777" w:rsidR="004258A9" w:rsidRDefault="004258A9" w:rsidP="003324E9"/>
          <w:p w14:paraId="33FD5F65" w14:textId="77777777" w:rsidR="004258A9" w:rsidRDefault="004258A9" w:rsidP="003324E9"/>
          <w:p w14:paraId="5A7EFBD7" w14:textId="77777777" w:rsidR="004258A9" w:rsidRDefault="004258A9" w:rsidP="003324E9"/>
          <w:p w14:paraId="3F237E0D" w14:textId="77777777" w:rsidR="004258A9" w:rsidRDefault="004258A9" w:rsidP="003324E9"/>
          <w:p w14:paraId="6772953A" w14:textId="77777777" w:rsidR="004258A9" w:rsidRDefault="004258A9" w:rsidP="003324E9"/>
          <w:p w14:paraId="25C95E05" w14:textId="77777777" w:rsidR="004258A9" w:rsidRDefault="004258A9" w:rsidP="003324E9"/>
          <w:p w14:paraId="65F51F43" w14:textId="77777777" w:rsidR="004258A9" w:rsidRDefault="004258A9" w:rsidP="003324E9"/>
          <w:p w14:paraId="7F47195C" w14:textId="77777777" w:rsidR="004258A9" w:rsidRDefault="004258A9" w:rsidP="003324E9"/>
          <w:p w14:paraId="02E05C26" w14:textId="77777777" w:rsidR="004258A9" w:rsidRDefault="004258A9" w:rsidP="003324E9"/>
          <w:p w14:paraId="368DA0AF" w14:textId="77777777" w:rsidR="004258A9" w:rsidRDefault="004258A9" w:rsidP="003324E9"/>
          <w:p w14:paraId="086AC715" w14:textId="77777777" w:rsidR="004258A9" w:rsidRDefault="004258A9" w:rsidP="003324E9"/>
          <w:p w14:paraId="3311F9C2" w14:textId="77777777" w:rsidR="004258A9" w:rsidRDefault="004258A9" w:rsidP="003324E9"/>
          <w:p w14:paraId="5683FB26" w14:textId="77777777" w:rsidR="004258A9" w:rsidRDefault="004258A9" w:rsidP="003324E9"/>
          <w:p w14:paraId="7EE35050" w14:textId="06D284BE" w:rsidR="004258A9" w:rsidRPr="005B2E77" w:rsidRDefault="004258A9" w:rsidP="003324E9">
            <w:r w:rsidRPr="004258A9">
              <w:t>Arrêté fixant les modalités de certification…</w:t>
            </w:r>
          </w:p>
        </w:tc>
        <w:tc>
          <w:tcPr>
            <w:tcW w:w="2306" w:type="dxa"/>
            <w:vAlign w:val="center"/>
          </w:tcPr>
          <w:p w14:paraId="2A35766D" w14:textId="2C7F6238" w:rsidR="00D321DB" w:rsidRPr="005B2E77" w:rsidRDefault="00D321DB" w:rsidP="00D321DB">
            <w:r w:rsidRPr="005D4491">
              <w:lastRenderedPageBreak/>
              <w:t>Observation n°11 - EDF</w:t>
            </w:r>
          </w:p>
        </w:tc>
        <w:tc>
          <w:tcPr>
            <w:tcW w:w="4520" w:type="dxa"/>
            <w:vAlign w:val="center"/>
          </w:tcPr>
          <w:p w14:paraId="718D13DB" w14:textId="6AED3C76" w:rsidR="00D321DB" w:rsidRPr="005B2E77" w:rsidRDefault="00D321DB" w:rsidP="003324E9">
            <w:r w:rsidRPr="005B2E77">
              <w:t>Art.8 : modalité de surveillance de la certification de l’entreprise de forage par l’organisme certificateur</w:t>
            </w:r>
          </w:p>
        </w:tc>
        <w:tc>
          <w:tcPr>
            <w:tcW w:w="4253" w:type="dxa"/>
            <w:vAlign w:val="center"/>
          </w:tcPr>
          <w:p w14:paraId="7D95E94A" w14:textId="205C84E5" w:rsidR="00D321DB" w:rsidRPr="003A1D89" w:rsidRDefault="00D321DB" w:rsidP="003324E9">
            <w:r>
              <w:t>=&gt; plus grande transparence et meilleure restitution à l’entreprise certifiée du résultat des points de contrôle effectués par l’organisme certificateur</w:t>
            </w:r>
          </w:p>
        </w:tc>
      </w:tr>
      <w:tr w:rsidR="00D321DB" w14:paraId="6EE9874E" w14:textId="77777777" w:rsidTr="00614152">
        <w:tc>
          <w:tcPr>
            <w:tcW w:w="2950" w:type="dxa"/>
            <w:vMerge/>
            <w:vAlign w:val="center"/>
          </w:tcPr>
          <w:p w14:paraId="7482E1AA" w14:textId="77777777" w:rsidR="00D321DB" w:rsidRPr="00965ABF" w:rsidRDefault="00D321DB" w:rsidP="003324E9"/>
        </w:tc>
        <w:tc>
          <w:tcPr>
            <w:tcW w:w="2306" w:type="dxa"/>
            <w:vAlign w:val="center"/>
          </w:tcPr>
          <w:p w14:paraId="5589C5B3" w14:textId="050B914C" w:rsidR="00D321DB" w:rsidRDefault="00D321DB" w:rsidP="00D321DB">
            <w:r w:rsidRPr="00646FA0">
              <w:t xml:space="preserve">Observation n°11 </w:t>
            </w:r>
            <w:r>
              <w:t>–</w:t>
            </w:r>
            <w:r w:rsidRPr="00646FA0">
              <w:t xml:space="preserve"> EDF</w:t>
            </w:r>
          </w:p>
          <w:p w14:paraId="6D11B2A7" w14:textId="7AFC33CD" w:rsidR="00D321DB" w:rsidRPr="00D3529C" w:rsidRDefault="00D321DB" w:rsidP="003324E9">
            <w:r>
              <w:t xml:space="preserve">Observation n°15 – USG </w:t>
            </w:r>
          </w:p>
        </w:tc>
        <w:tc>
          <w:tcPr>
            <w:tcW w:w="4520" w:type="dxa"/>
            <w:vAlign w:val="center"/>
          </w:tcPr>
          <w:p w14:paraId="30C23DB6" w14:textId="600CFB4D" w:rsidR="00D321DB" w:rsidRDefault="00D321DB" w:rsidP="003324E9">
            <w:r w:rsidRPr="00D3529C">
              <w:t>Section 4 : Exigences pour les organismes de certification</w:t>
            </w:r>
            <w:r>
              <w:t xml:space="preserve"> – article 18</w:t>
            </w:r>
          </w:p>
          <w:p w14:paraId="5C183456" w14:textId="77777777" w:rsidR="00D321DB" w:rsidRDefault="00D321DB" w:rsidP="003324E9">
            <w:pPr>
              <w:rPr>
                <w:b/>
                <w:bCs/>
              </w:rPr>
            </w:pPr>
          </w:p>
        </w:tc>
        <w:tc>
          <w:tcPr>
            <w:tcW w:w="4253" w:type="dxa"/>
            <w:vAlign w:val="center"/>
          </w:tcPr>
          <w:p w14:paraId="4154D7D9" w14:textId="27D1C3DD" w:rsidR="00D321DB" w:rsidRPr="00D3529C" w:rsidRDefault="00D321DB" w:rsidP="00D321DB">
            <w:r>
              <w:t xml:space="preserve">=&gt; renforcement des obligations de formation des auditeurs de certification pour les aligner avec celles des référents techniques </w:t>
            </w:r>
            <w:r w:rsidRPr="00D3529C">
              <w:t xml:space="preserve"> </w:t>
            </w:r>
          </w:p>
        </w:tc>
      </w:tr>
      <w:tr w:rsidR="00D321DB" w14:paraId="4823C7AF" w14:textId="77777777" w:rsidTr="00614152">
        <w:tc>
          <w:tcPr>
            <w:tcW w:w="2950" w:type="dxa"/>
            <w:vMerge/>
            <w:vAlign w:val="center"/>
          </w:tcPr>
          <w:p w14:paraId="4ECFBAB1" w14:textId="77777777" w:rsidR="00D321DB" w:rsidRPr="00965ABF" w:rsidRDefault="00D321DB" w:rsidP="002A2525"/>
        </w:tc>
        <w:tc>
          <w:tcPr>
            <w:tcW w:w="2306" w:type="dxa"/>
            <w:vAlign w:val="center"/>
          </w:tcPr>
          <w:p w14:paraId="1E1A2DCC" w14:textId="3553B20E" w:rsidR="00D321DB" w:rsidRPr="006459B7" w:rsidRDefault="00D321DB" w:rsidP="00D321DB">
            <w:r w:rsidRPr="00646FA0">
              <w:t xml:space="preserve">Observation n°11 </w:t>
            </w:r>
            <w:r>
              <w:t>–</w:t>
            </w:r>
            <w:r w:rsidRPr="00646FA0">
              <w:t xml:space="preserve"> EDF</w:t>
            </w:r>
          </w:p>
        </w:tc>
        <w:tc>
          <w:tcPr>
            <w:tcW w:w="4520" w:type="dxa"/>
            <w:vAlign w:val="center"/>
          </w:tcPr>
          <w:p w14:paraId="1239E6D4" w14:textId="66E28279" w:rsidR="00D321DB" w:rsidRPr="006459B7" w:rsidRDefault="00D321DB" w:rsidP="002744ED">
            <w:r w:rsidRPr="006459B7">
              <w:t>Article 21</w:t>
            </w:r>
            <w:r>
              <w:t> </w:t>
            </w:r>
            <w:r w:rsidRPr="006459B7">
              <w:t>: Echange entre organisme certificateur et administration</w:t>
            </w:r>
          </w:p>
        </w:tc>
        <w:tc>
          <w:tcPr>
            <w:tcW w:w="4253" w:type="dxa"/>
            <w:vAlign w:val="center"/>
          </w:tcPr>
          <w:p w14:paraId="3E6BC9A6" w14:textId="1AB44F6D" w:rsidR="00D321DB" w:rsidRPr="00D3529C" w:rsidRDefault="00D321DB" w:rsidP="00970BF8">
            <w:r>
              <w:t xml:space="preserve">=&gt; Ajout du fait que l’organisme certificateur doit rendre compte des </w:t>
            </w:r>
            <w:r w:rsidRPr="0037522C">
              <w:t xml:space="preserve">difficultés rencontrées lors des audits </w:t>
            </w:r>
            <w:r>
              <w:t xml:space="preserve">et faire </w:t>
            </w:r>
            <w:r w:rsidRPr="0037522C">
              <w:t>des propositions de clarifications d’interprétation ou d’évolution du référentiel de certification ou des documents de cadrage.</w:t>
            </w:r>
          </w:p>
        </w:tc>
      </w:tr>
      <w:tr w:rsidR="00D321DB" w14:paraId="6E1019DC" w14:textId="77777777" w:rsidTr="00614152">
        <w:tc>
          <w:tcPr>
            <w:tcW w:w="2950" w:type="dxa"/>
            <w:vMerge/>
            <w:vAlign w:val="center"/>
          </w:tcPr>
          <w:p w14:paraId="05C941D0" w14:textId="77777777" w:rsidR="00D321DB" w:rsidRPr="006459B7" w:rsidRDefault="00D321DB" w:rsidP="002A2525"/>
        </w:tc>
        <w:tc>
          <w:tcPr>
            <w:tcW w:w="2306" w:type="dxa"/>
            <w:vAlign w:val="center"/>
          </w:tcPr>
          <w:p w14:paraId="14EE88A1" w14:textId="23E14746" w:rsidR="00D321DB" w:rsidRPr="00646FA0" w:rsidRDefault="00D321DB" w:rsidP="002A2525">
            <w:r>
              <w:t xml:space="preserve">Observation n°10 – COFRAC </w:t>
            </w:r>
          </w:p>
        </w:tc>
        <w:tc>
          <w:tcPr>
            <w:tcW w:w="4520" w:type="dxa"/>
            <w:vAlign w:val="center"/>
          </w:tcPr>
          <w:p w14:paraId="1DFC4795" w14:textId="043D7F00" w:rsidR="00D321DB" w:rsidRPr="006459B7" w:rsidRDefault="00D321DB" w:rsidP="002A2525">
            <w:r>
              <w:t>Article 24 : instance consultative de l’organisme certificateur</w:t>
            </w:r>
          </w:p>
        </w:tc>
        <w:tc>
          <w:tcPr>
            <w:tcW w:w="4253" w:type="dxa"/>
            <w:vAlign w:val="center"/>
          </w:tcPr>
          <w:p w14:paraId="7252D05B" w14:textId="5BCCBF3E" w:rsidR="00D321DB" w:rsidRPr="00694316" w:rsidRDefault="00D321DB" w:rsidP="002A2525">
            <w:r>
              <w:t xml:space="preserve">=&gt; Instance consultative rendue facultative et clarification de ses prérogatives en cas de multiples organismes certificateurs </w:t>
            </w:r>
          </w:p>
        </w:tc>
      </w:tr>
      <w:tr w:rsidR="00D321DB" w14:paraId="60819745" w14:textId="77777777" w:rsidTr="00614152">
        <w:tc>
          <w:tcPr>
            <w:tcW w:w="2950" w:type="dxa"/>
            <w:vMerge/>
            <w:vAlign w:val="center"/>
          </w:tcPr>
          <w:p w14:paraId="7640AB46" w14:textId="77777777" w:rsidR="00D321DB" w:rsidRPr="006459B7" w:rsidRDefault="00D321DB" w:rsidP="002A2525"/>
        </w:tc>
        <w:tc>
          <w:tcPr>
            <w:tcW w:w="2306" w:type="dxa"/>
            <w:vAlign w:val="center"/>
          </w:tcPr>
          <w:p w14:paraId="29F797B0" w14:textId="16F4FECA" w:rsidR="00D321DB" w:rsidRPr="00646FA0" w:rsidRDefault="00D321DB" w:rsidP="002A2525">
            <w:r>
              <w:t xml:space="preserve">Observation n°11 – EDF et observation n°29 – SNCF </w:t>
            </w:r>
          </w:p>
        </w:tc>
        <w:tc>
          <w:tcPr>
            <w:tcW w:w="4520" w:type="dxa"/>
            <w:vAlign w:val="center"/>
          </w:tcPr>
          <w:p w14:paraId="1A830D23" w14:textId="4DBA35E3" w:rsidR="00D321DB" w:rsidRPr="006459B7" w:rsidRDefault="00D321DB" w:rsidP="002A2525">
            <w:r>
              <w:t>Article 24 : instance consultative de l’organisme certificateur</w:t>
            </w:r>
          </w:p>
        </w:tc>
        <w:tc>
          <w:tcPr>
            <w:tcW w:w="4253" w:type="dxa"/>
            <w:vAlign w:val="center"/>
          </w:tcPr>
          <w:p w14:paraId="309BB528" w14:textId="357F305A" w:rsidR="00D321DB" w:rsidRPr="00694316" w:rsidRDefault="00D321DB" w:rsidP="002A2525">
            <w:r>
              <w:t>=&gt; Ajout de représentants des maîtres d’ouvrage dans l’instance consultative</w:t>
            </w:r>
          </w:p>
        </w:tc>
      </w:tr>
      <w:tr w:rsidR="00D321DB" w14:paraId="61D1D018" w14:textId="77777777" w:rsidTr="00614152">
        <w:tc>
          <w:tcPr>
            <w:tcW w:w="2950" w:type="dxa"/>
            <w:vMerge/>
            <w:vAlign w:val="center"/>
          </w:tcPr>
          <w:p w14:paraId="15A98C2F" w14:textId="77777777" w:rsidR="00D321DB" w:rsidRPr="006459B7" w:rsidRDefault="00D321DB" w:rsidP="002A2525"/>
        </w:tc>
        <w:tc>
          <w:tcPr>
            <w:tcW w:w="2306" w:type="dxa"/>
            <w:vAlign w:val="center"/>
          </w:tcPr>
          <w:p w14:paraId="2473A93D" w14:textId="42C511CB" w:rsidR="00D321DB" w:rsidRPr="00646FA0" w:rsidRDefault="00D321DB" w:rsidP="002A2525">
            <w:r>
              <w:t xml:space="preserve">Observation n°10 – COFRAC </w:t>
            </w:r>
          </w:p>
        </w:tc>
        <w:tc>
          <w:tcPr>
            <w:tcW w:w="4520" w:type="dxa"/>
            <w:vAlign w:val="center"/>
          </w:tcPr>
          <w:p w14:paraId="04304B8D" w14:textId="106480A3" w:rsidR="00D321DB" w:rsidRPr="006459B7" w:rsidRDefault="00D321DB" w:rsidP="002A2525">
            <w:r>
              <w:t>Article 26 : processus d’accréditation</w:t>
            </w:r>
          </w:p>
        </w:tc>
        <w:tc>
          <w:tcPr>
            <w:tcW w:w="4253" w:type="dxa"/>
            <w:vAlign w:val="center"/>
          </w:tcPr>
          <w:p w14:paraId="4BCF1127" w14:textId="302207EB" w:rsidR="00D321DB" w:rsidRPr="00694316" w:rsidRDefault="00D321DB" w:rsidP="002A2525">
            <w:r>
              <w:t>=&gt; Ajout d’un « quota » de certifications pouvant être délivrées par un organisme certificateur en cours d’accréditation</w:t>
            </w:r>
          </w:p>
        </w:tc>
      </w:tr>
      <w:tr w:rsidR="00D321DB" w14:paraId="4B619C0C" w14:textId="77777777" w:rsidTr="00614152">
        <w:tc>
          <w:tcPr>
            <w:tcW w:w="2950" w:type="dxa"/>
            <w:vMerge/>
            <w:vAlign w:val="center"/>
          </w:tcPr>
          <w:p w14:paraId="416610FE" w14:textId="77777777" w:rsidR="00D321DB" w:rsidRPr="006459B7" w:rsidRDefault="00D321DB" w:rsidP="002A2525"/>
        </w:tc>
        <w:tc>
          <w:tcPr>
            <w:tcW w:w="2306" w:type="dxa"/>
            <w:vAlign w:val="center"/>
          </w:tcPr>
          <w:p w14:paraId="6F0AD039" w14:textId="1257B88E" w:rsidR="00D321DB" w:rsidRPr="006459B7" w:rsidRDefault="00D321DB" w:rsidP="002A2525">
            <w:r w:rsidRPr="00646FA0">
              <w:t xml:space="preserve">Observation n°11 </w:t>
            </w:r>
            <w:r>
              <w:t>–</w:t>
            </w:r>
            <w:r w:rsidRPr="00646FA0">
              <w:t xml:space="preserve"> EDF</w:t>
            </w:r>
          </w:p>
        </w:tc>
        <w:tc>
          <w:tcPr>
            <w:tcW w:w="4520" w:type="dxa"/>
            <w:vAlign w:val="center"/>
          </w:tcPr>
          <w:p w14:paraId="03A6BC4A" w14:textId="4A4FDCA7" w:rsidR="00D321DB" w:rsidRPr="006459B7" w:rsidRDefault="00D321DB" w:rsidP="002A2525">
            <w:r w:rsidRPr="006459B7">
              <w:t>Article 33</w:t>
            </w:r>
            <w:r>
              <w:t> </w:t>
            </w:r>
            <w:r w:rsidRPr="006459B7">
              <w:t>: échanges entre organisme certificateur et entreprises certifiées</w:t>
            </w:r>
          </w:p>
        </w:tc>
        <w:tc>
          <w:tcPr>
            <w:tcW w:w="4253" w:type="dxa"/>
            <w:vAlign w:val="center"/>
          </w:tcPr>
          <w:p w14:paraId="35C11579" w14:textId="74D0CDED" w:rsidR="00D321DB" w:rsidRPr="00694316" w:rsidRDefault="00D321DB" w:rsidP="002A2525">
            <w:r w:rsidRPr="00694316">
              <w:t xml:space="preserve">=&gt; Prise en compte </w:t>
            </w:r>
            <w:r>
              <w:t>des suites données aux</w:t>
            </w:r>
            <w:r w:rsidRPr="00694316">
              <w:t xml:space="preserve"> réclamations ou plaintes intervenues au cours du cycle de certification en cours </w:t>
            </w:r>
          </w:p>
        </w:tc>
      </w:tr>
      <w:tr w:rsidR="00D321DB" w14:paraId="02C504CC" w14:textId="77777777" w:rsidTr="00614152">
        <w:tc>
          <w:tcPr>
            <w:tcW w:w="2950" w:type="dxa"/>
            <w:vMerge/>
            <w:vAlign w:val="center"/>
          </w:tcPr>
          <w:p w14:paraId="4902121B" w14:textId="77777777" w:rsidR="00D321DB" w:rsidRPr="00965ABF" w:rsidRDefault="00D321DB" w:rsidP="002A2525"/>
        </w:tc>
        <w:tc>
          <w:tcPr>
            <w:tcW w:w="2306" w:type="dxa"/>
            <w:vAlign w:val="center"/>
          </w:tcPr>
          <w:p w14:paraId="6F7D73B1" w14:textId="1FD4F2D4" w:rsidR="00D321DB" w:rsidRPr="005D4491" w:rsidRDefault="00D321DB" w:rsidP="002A2525">
            <w:r w:rsidRPr="006459B7">
              <w:t xml:space="preserve">Observation n°1 </w:t>
            </w:r>
            <w:r>
              <w:t>–</w:t>
            </w:r>
            <w:r w:rsidRPr="006459B7">
              <w:t xml:space="preserve"> </w:t>
            </w:r>
            <w:r>
              <w:t>Conseil départemental de la Drôme (</w:t>
            </w:r>
            <w:r w:rsidRPr="00D63A7A">
              <w:t>SAGE Bas Dauphiné Plaine de Valence</w:t>
            </w:r>
            <w:r>
              <w:t>)</w:t>
            </w:r>
          </w:p>
        </w:tc>
        <w:tc>
          <w:tcPr>
            <w:tcW w:w="4520" w:type="dxa"/>
            <w:vAlign w:val="center"/>
          </w:tcPr>
          <w:p w14:paraId="3ACC3DFE" w14:textId="5BC426E2" w:rsidR="00D321DB" w:rsidRPr="006459B7" w:rsidRDefault="00D321DB" w:rsidP="002A2525">
            <w:r>
              <w:t>Annexes II, III, IV : points de contrôles pour les audits chantiers</w:t>
            </w:r>
          </w:p>
        </w:tc>
        <w:tc>
          <w:tcPr>
            <w:tcW w:w="4253" w:type="dxa"/>
            <w:vAlign w:val="center"/>
          </w:tcPr>
          <w:p w14:paraId="48731A4E" w14:textId="6B2C5EF6" w:rsidR="00D321DB" w:rsidRDefault="00D321DB" w:rsidP="002A2525">
            <w:r>
              <w:t xml:space="preserve">=&gt; Ajout d’un point de contrôle sur le </w:t>
            </w:r>
            <w:r w:rsidRPr="009D658C">
              <w:t>Respect des orientations ou restrictions portées par des réglementations locales</w:t>
            </w:r>
          </w:p>
        </w:tc>
      </w:tr>
      <w:tr w:rsidR="00D321DB" w14:paraId="50F73EB4" w14:textId="77777777" w:rsidTr="00614152">
        <w:tc>
          <w:tcPr>
            <w:tcW w:w="2950" w:type="dxa"/>
            <w:vMerge/>
            <w:vAlign w:val="center"/>
          </w:tcPr>
          <w:p w14:paraId="35B701E0" w14:textId="77777777" w:rsidR="00D321DB" w:rsidRPr="00965ABF" w:rsidRDefault="00D321DB" w:rsidP="002A2525"/>
        </w:tc>
        <w:tc>
          <w:tcPr>
            <w:tcW w:w="2306" w:type="dxa"/>
            <w:vAlign w:val="center"/>
          </w:tcPr>
          <w:p w14:paraId="68D01482" w14:textId="77777777" w:rsidR="007E048C" w:rsidRDefault="007E048C" w:rsidP="002A2525"/>
          <w:p w14:paraId="7BFA1783" w14:textId="11AFBB3C" w:rsidR="007E048C" w:rsidRPr="006459B7" w:rsidRDefault="00D321DB" w:rsidP="002A2525">
            <w:r w:rsidRPr="005D4491">
              <w:t>Observation n°15 – Union syndicale des géotechniciens</w:t>
            </w:r>
          </w:p>
        </w:tc>
        <w:tc>
          <w:tcPr>
            <w:tcW w:w="4520" w:type="dxa"/>
            <w:vAlign w:val="center"/>
          </w:tcPr>
          <w:p w14:paraId="3AD798FF" w14:textId="77777777" w:rsidR="007E048C" w:rsidRDefault="007E048C" w:rsidP="002A2525"/>
          <w:p w14:paraId="2F4C8476" w14:textId="14166970" w:rsidR="00BD6DB4" w:rsidRDefault="00BD6DB4" w:rsidP="002A2525">
            <w:r>
              <w:t xml:space="preserve">Annexe I : </w:t>
            </w:r>
            <w:r w:rsidRPr="00BD6DB4">
              <w:t xml:space="preserve">Critères additionnels aux exigences de l’arrêté </w:t>
            </w:r>
            <w:r>
              <w:t>pris en septembre</w:t>
            </w:r>
            <w:r w:rsidRPr="00BD6DB4">
              <w:t xml:space="preserve"> 2025 fixant les règles générales</w:t>
            </w:r>
            <w:r>
              <w:t xml:space="preserve"> applicables aux prestations de forages d’eau</w:t>
            </w:r>
          </w:p>
          <w:p w14:paraId="35F744AF" w14:textId="6A12AF36" w:rsidR="007E048C" w:rsidRDefault="007E048C" w:rsidP="002A2525"/>
          <w:p w14:paraId="69D888F3" w14:textId="77777777" w:rsidR="007E048C" w:rsidRDefault="007E048C" w:rsidP="002A2525"/>
          <w:p w14:paraId="0DFE5FF9" w14:textId="77777777" w:rsidR="007E048C" w:rsidRDefault="007E048C" w:rsidP="002A2525"/>
          <w:p w14:paraId="13B4A479" w14:textId="77777777" w:rsidR="007E048C" w:rsidRDefault="007E048C" w:rsidP="002A2525"/>
          <w:p w14:paraId="48CFC8F7" w14:textId="72B48DE6" w:rsidR="00D321DB" w:rsidRPr="006459B7" w:rsidRDefault="00D321DB" w:rsidP="002A2525">
            <w:r>
              <w:t>Annexes II, III, IV : points de contrôles pour les audits chantiers</w:t>
            </w:r>
          </w:p>
        </w:tc>
        <w:tc>
          <w:tcPr>
            <w:tcW w:w="4253" w:type="dxa"/>
            <w:vAlign w:val="center"/>
          </w:tcPr>
          <w:p w14:paraId="09668157" w14:textId="7C154806" w:rsidR="00D61F21" w:rsidRDefault="00D61F21" w:rsidP="003324E9">
            <w:r w:rsidRPr="00D61F21">
              <w:lastRenderedPageBreak/>
              <w:t>Liste et précision sur choix du matériel en fonction des types de forages renvoyées au guide de l’auditeur intervenant dans le domaine de la certification des prestations de forage d’eau</w:t>
            </w:r>
          </w:p>
          <w:p w14:paraId="3F6ABF2D" w14:textId="77777777" w:rsidR="007E048C" w:rsidRDefault="007E048C" w:rsidP="003324E9"/>
          <w:p w14:paraId="287F5A46" w14:textId="1FDD5730" w:rsidR="00D321DB" w:rsidRDefault="00D321DB" w:rsidP="003324E9">
            <w:r>
              <w:lastRenderedPageBreak/>
              <w:t>=&gt; Ajout d’une précision sur le fait que les sous-traitances à déclarer sont celles liées aux prestations de forages et précisions demandées sur la sous-traitance seront traitées dans guide auditeur certification</w:t>
            </w:r>
          </w:p>
          <w:p w14:paraId="2A927DF7" w14:textId="42A2CE1C" w:rsidR="00D321DB" w:rsidRPr="003B7438" w:rsidRDefault="00D321DB" w:rsidP="003324E9">
            <w:r>
              <w:t>=&gt; Suppression de la demande du taux de sous-traitance</w:t>
            </w:r>
          </w:p>
        </w:tc>
      </w:tr>
      <w:tr w:rsidR="00D321DB" w14:paraId="597CB277" w14:textId="77777777" w:rsidTr="00614152">
        <w:tc>
          <w:tcPr>
            <w:tcW w:w="2950" w:type="dxa"/>
            <w:vMerge/>
            <w:vAlign w:val="center"/>
          </w:tcPr>
          <w:p w14:paraId="14CDCC54" w14:textId="77777777" w:rsidR="00D321DB" w:rsidRPr="00965ABF" w:rsidRDefault="00D321DB" w:rsidP="002A2525"/>
        </w:tc>
        <w:tc>
          <w:tcPr>
            <w:tcW w:w="2306" w:type="dxa"/>
            <w:vAlign w:val="center"/>
          </w:tcPr>
          <w:p w14:paraId="3624635F" w14:textId="39D1549D" w:rsidR="00D321DB" w:rsidRPr="005D4491" w:rsidRDefault="00D321DB" w:rsidP="002A2525">
            <w:r w:rsidRPr="005D4491">
              <w:t>Observation n°15 – Union syndicale des géotechniciens</w:t>
            </w:r>
          </w:p>
        </w:tc>
        <w:tc>
          <w:tcPr>
            <w:tcW w:w="4520" w:type="dxa"/>
            <w:vAlign w:val="center"/>
          </w:tcPr>
          <w:p w14:paraId="2D04F779" w14:textId="77DB10FB" w:rsidR="00D321DB" w:rsidRDefault="00D321DB" w:rsidP="002A2525">
            <w:r>
              <w:t>Annexe V : contenu des demandes de certification</w:t>
            </w:r>
          </w:p>
        </w:tc>
        <w:tc>
          <w:tcPr>
            <w:tcW w:w="4253" w:type="dxa"/>
            <w:vAlign w:val="center"/>
          </w:tcPr>
          <w:p w14:paraId="3296AD22" w14:textId="48C1C8B0" w:rsidR="00D321DB" w:rsidRDefault="00D321DB" w:rsidP="002A2525">
            <w:r>
              <w:t>=&gt; Suppression des items sur l’effectif global de l’entreprise et l’attestation d’assurance au titre du code minier</w:t>
            </w:r>
          </w:p>
        </w:tc>
      </w:tr>
      <w:tr w:rsidR="00130B77" w14:paraId="0FE09BB4" w14:textId="7B23A6BA" w:rsidTr="003324E9">
        <w:tc>
          <w:tcPr>
            <w:tcW w:w="2950" w:type="dxa"/>
            <w:vMerge w:val="restart"/>
            <w:vAlign w:val="center"/>
          </w:tcPr>
          <w:p w14:paraId="473AA786" w14:textId="77777777" w:rsidR="00FF1FD9" w:rsidRDefault="00FF1FD9" w:rsidP="003324E9"/>
          <w:p w14:paraId="2EB1BEBF" w14:textId="77777777" w:rsidR="00FF1FD9" w:rsidRDefault="00FF1FD9" w:rsidP="003324E9"/>
          <w:p w14:paraId="43220613" w14:textId="77777777" w:rsidR="00FF1FD9" w:rsidRDefault="00FF1FD9" w:rsidP="003324E9"/>
          <w:p w14:paraId="1187B50B" w14:textId="77777777" w:rsidR="00FF1FD9" w:rsidRDefault="00FF1FD9" w:rsidP="003324E9"/>
          <w:p w14:paraId="1311FF18" w14:textId="77777777" w:rsidR="00FF1FD9" w:rsidRDefault="00FF1FD9" w:rsidP="003324E9"/>
          <w:p w14:paraId="5E89A463" w14:textId="77777777" w:rsidR="00FF1FD9" w:rsidRDefault="00FF1FD9" w:rsidP="003324E9"/>
          <w:p w14:paraId="45F23525" w14:textId="77777777" w:rsidR="00FF1FD9" w:rsidRDefault="00FF1FD9" w:rsidP="003324E9"/>
          <w:p w14:paraId="6FDC7988" w14:textId="61744E71" w:rsidR="00C72F32" w:rsidRPr="00965ABF" w:rsidRDefault="00130B77" w:rsidP="003324E9">
            <w:r w:rsidRPr="00965ABF">
              <w:t>Arrêté fixant les règles générales…</w:t>
            </w:r>
          </w:p>
        </w:tc>
        <w:tc>
          <w:tcPr>
            <w:tcW w:w="2306" w:type="dxa"/>
            <w:vAlign w:val="center"/>
          </w:tcPr>
          <w:p w14:paraId="7328938F" w14:textId="67D29F96" w:rsidR="00130B77" w:rsidRPr="00772723" w:rsidRDefault="00130B77" w:rsidP="003324E9">
            <w:r w:rsidRPr="006459B7">
              <w:t xml:space="preserve">Observation n°1 </w:t>
            </w:r>
            <w:r>
              <w:t>–</w:t>
            </w:r>
            <w:r w:rsidRPr="006459B7">
              <w:t xml:space="preserve"> </w:t>
            </w:r>
            <w:r>
              <w:t>Conseil départemental de la Drôme (</w:t>
            </w:r>
            <w:r w:rsidRPr="00D63A7A">
              <w:t>SAGE Bas Dauphiné Plaine de Valence</w:t>
            </w:r>
            <w:r>
              <w:t>)</w:t>
            </w:r>
          </w:p>
        </w:tc>
        <w:tc>
          <w:tcPr>
            <w:tcW w:w="4520" w:type="dxa"/>
            <w:vAlign w:val="center"/>
          </w:tcPr>
          <w:p w14:paraId="0DE733D6" w14:textId="77777777" w:rsidR="00130B77" w:rsidRDefault="00130B77" w:rsidP="003324E9"/>
          <w:p w14:paraId="782F41C7" w14:textId="11A50A16" w:rsidR="00130B77" w:rsidRPr="00772723" w:rsidRDefault="00130B77" w:rsidP="003324E9">
            <w:r w:rsidRPr="00772723">
              <w:t>Article 2</w:t>
            </w:r>
            <w:r>
              <w:t> </w:t>
            </w:r>
            <w:r w:rsidRPr="00772723">
              <w:t>: Conditions relatives à l’implantation des forages</w:t>
            </w:r>
          </w:p>
        </w:tc>
        <w:tc>
          <w:tcPr>
            <w:tcW w:w="4253" w:type="dxa"/>
            <w:vAlign w:val="center"/>
          </w:tcPr>
          <w:p w14:paraId="16835D9E" w14:textId="77777777" w:rsidR="00130B77" w:rsidRDefault="00130B77" w:rsidP="003324E9">
            <w:r w:rsidRPr="00772723">
              <w:t xml:space="preserve">=&gt; </w:t>
            </w:r>
            <w:r>
              <w:t xml:space="preserve">Prise en compte par le foreur de l’existence d’une </w:t>
            </w:r>
            <w:r w:rsidRPr="00772723">
              <w:t>démarche territoriale concertée sur la répartition de la ressource en eau entre les usagers</w:t>
            </w:r>
            <w:r>
              <w:t xml:space="preserve"> (Projet de territoire pour la gestion des eaux – PTGE) et de la présence d’une zone sous contrainte environnementale (ZSCE)</w:t>
            </w:r>
          </w:p>
          <w:p w14:paraId="21C02EAD" w14:textId="1933ABA4" w:rsidR="00130B77" w:rsidRPr="00772723" w:rsidRDefault="00130B77" w:rsidP="003324E9"/>
        </w:tc>
      </w:tr>
      <w:tr w:rsidR="00130B77" w14:paraId="75BEA881" w14:textId="77777777" w:rsidTr="00D321DB">
        <w:tc>
          <w:tcPr>
            <w:tcW w:w="2950" w:type="dxa"/>
            <w:vMerge/>
            <w:vAlign w:val="center"/>
          </w:tcPr>
          <w:p w14:paraId="6C287D9A" w14:textId="77777777" w:rsidR="00130B77" w:rsidRDefault="00130B77" w:rsidP="002A2525">
            <w:pPr>
              <w:rPr>
                <w:b/>
                <w:bCs/>
              </w:rPr>
            </w:pPr>
          </w:p>
        </w:tc>
        <w:tc>
          <w:tcPr>
            <w:tcW w:w="2306" w:type="dxa"/>
            <w:vAlign w:val="center"/>
          </w:tcPr>
          <w:p w14:paraId="68676AC0" w14:textId="029E84B6" w:rsidR="00130B77" w:rsidRPr="00972081" w:rsidRDefault="00130B77" w:rsidP="002A2525">
            <w:r>
              <w:t xml:space="preserve">Observation n°11 – EDF et observation n°27 – SNCF </w:t>
            </w:r>
          </w:p>
        </w:tc>
        <w:tc>
          <w:tcPr>
            <w:tcW w:w="4520" w:type="dxa"/>
            <w:vAlign w:val="center"/>
          </w:tcPr>
          <w:p w14:paraId="62773C43" w14:textId="7BA948C1" w:rsidR="00130B77" w:rsidRPr="00972081" w:rsidRDefault="00130B77" w:rsidP="00D321DB">
            <w:r w:rsidRPr="00772723">
              <w:t>Article 2</w:t>
            </w:r>
            <w:r>
              <w:t> </w:t>
            </w:r>
            <w:r w:rsidRPr="00772723">
              <w:t>: Conditions relatives à l’implantation des forages</w:t>
            </w:r>
          </w:p>
        </w:tc>
        <w:tc>
          <w:tcPr>
            <w:tcW w:w="4253" w:type="dxa"/>
            <w:vAlign w:val="center"/>
          </w:tcPr>
          <w:p w14:paraId="134FC17E" w14:textId="06A4FF15" w:rsidR="00130B77" w:rsidRDefault="00130B77" w:rsidP="00D321DB">
            <w:r>
              <w:t>=&gt; Clarification sur les conditions d’implantation à proximité d’une ICPE élevage</w:t>
            </w:r>
          </w:p>
        </w:tc>
      </w:tr>
      <w:tr w:rsidR="00130B77" w14:paraId="083681D4" w14:textId="77777777" w:rsidTr="002A2525">
        <w:tc>
          <w:tcPr>
            <w:tcW w:w="2950" w:type="dxa"/>
            <w:vMerge/>
            <w:vAlign w:val="center"/>
          </w:tcPr>
          <w:p w14:paraId="5ACDC4A2" w14:textId="77777777" w:rsidR="00130B77" w:rsidRDefault="00130B77" w:rsidP="002A2525">
            <w:pPr>
              <w:rPr>
                <w:b/>
                <w:bCs/>
              </w:rPr>
            </w:pPr>
          </w:p>
        </w:tc>
        <w:tc>
          <w:tcPr>
            <w:tcW w:w="2306" w:type="dxa"/>
            <w:vAlign w:val="center"/>
          </w:tcPr>
          <w:p w14:paraId="22FD6ED8" w14:textId="74BB06ED" w:rsidR="00130B77" w:rsidRPr="00972081" w:rsidRDefault="00130B77" w:rsidP="002A2525">
            <w:r>
              <w:t xml:space="preserve">Observation n°15 – </w:t>
            </w:r>
            <w:r w:rsidRPr="00972081">
              <w:t>Union syndicale des géotechniciens</w:t>
            </w:r>
          </w:p>
        </w:tc>
        <w:tc>
          <w:tcPr>
            <w:tcW w:w="4520" w:type="dxa"/>
            <w:vAlign w:val="center"/>
          </w:tcPr>
          <w:p w14:paraId="6F920ED6" w14:textId="63BB514E" w:rsidR="00130B77" w:rsidRPr="00972081" w:rsidRDefault="00130B77" w:rsidP="002A2525">
            <w:r w:rsidRPr="00772723">
              <w:t>Article 2</w:t>
            </w:r>
            <w:r>
              <w:t> </w:t>
            </w:r>
            <w:r w:rsidRPr="00772723">
              <w:t>: Conditions relatives à l’implantation des forages</w:t>
            </w:r>
          </w:p>
        </w:tc>
        <w:tc>
          <w:tcPr>
            <w:tcW w:w="4253" w:type="dxa"/>
            <w:vAlign w:val="center"/>
          </w:tcPr>
          <w:p w14:paraId="515014B0" w14:textId="686D2D77" w:rsidR="00130B77" w:rsidRDefault="00130B77" w:rsidP="00D321DB">
            <w:r>
              <w:t>=&gt; Clarification des conditions selon lesquelles la distance aux canalisations d’assainissement peut être réduite de 35 à 2m</w:t>
            </w:r>
          </w:p>
        </w:tc>
      </w:tr>
      <w:tr w:rsidR="00130B77" w14:paraId="3259EF63" w14:textId="3ABCFCCB" w:rsidTr="00D321DB">
        <w:tc>
          <w:tcPr>
            <w:tcW w:w="2950" w:type="dxa"/>
            <w:vMerge/>
            <w:vAlign w:val="center"/>
          </w:tcPr>
          <w:p w14:paraId="5C01A6A4" w14:textId="77777777" w:rsidR="00130B77" w:rsidRDefault="00130B77" w:rsidP="002A2525">
            <w:pPr>
              <w:rPr>
                <w:b/>
                <w:bCs/>
              </w:rPr>
            </w:pPr>
          </w:p>
        </w:tc>
        <w:tc>
          <w:tcPr>
            <w:tcW w:w="2306" w:type="dxa"/>
            <w:vAlign w:val="center"/>
          </w:tcPr>
          <w:p w14:paraId="5D8AEFC7" w14:textId="16FCFBFC" w:rsidR="00130B77" w:rsidRPr="00972081" w:rsidRDefault="00130B77" w:rsidP="002A2525">
            <w:r w:rsidRPr="00972081">
              <w:t>Observation n°15 – Union syndicale des géotechniciens</w:t>
            </w:r>
          </w:p>
        </w:tc>
        <w:tc>
          <w:tcPr>
            <w:tcW w:w="4520" w:type="dxa"/>
            <w:vAlign w:val="center"/>
          </w:tcPr>
          <w:p w14:paraId="515A9F58" w14:textId="37F444B8" w:rsidR="00130B77" w:rsidRPr="00972081" w:rsidRDefault="00130B77" w:rsidP="002A2525">
            <w:r w:rsidRPr="00972081">
              <w:t>Article 3 : Exigences relatives aux différents intervenants</w:t>
            </w:r>
          </w:p>
          <w:p w14:paraId="4662BDD1" w14:textId="36F09431" w:rsidR="00130B77" w:rsidRDefault="00130B77" w:rsidP="002A2525">
            <w:pPr>
              <w:rPr>
                <w:b/>
                <w:bCs/>
              </w:rPr>
            </w:pPr>
            <w:r w:rsidRPr="00972081">
              <w:t xml:space="preserve">3.1 </w:t>
            </w:r>
            <w:r>
              <w:t xml:space="preserve">(1er alinéa) </w:t>
            </w:r>
            <w:r w:rsidRPr="00972081">
              <w:t>le maître d'ouvrage est tenu de déclarer la réalisation d'un forage en nappe d'eau souterraine et son comblement</w:t>
            </w:r>
          </w:p>
        </w:tc>
        <w:tc>
          <w:tcPr>
            <w:tcW w:w="4253" w:type="dxa"/>
            <w:vAlign w:val="center"/>
          </w:tcPr>
          <w:p w14:paraId="37EB80BB" w14:textId="77777777" w:rsidR="00130B77" w:rsidRDefault="00130B77" w:rsidP="00D321DB"/>
          <w:p w14:paraId="7F3ABFF9" w14:textId="148412D9" w:rsidR="00130B77" w:rsidRPr="00972081" w:rsidRDefault="00130B77" w:rsidP="00D321DB">
            <w:r w:rsidRPr="00972081">
              <w:t xml:space="preserve">=&gt; </w:t>
            </w:r>
            <w:r>
              <w:t>accord de</w:t>
            </w:r>
            <w:r w:rsidRPr="00972081">
              <w:t xml:space="preserve"> principe </w:t>
            </w:r>
            <w:r>
              <w:t xml:space="preserve">pour </w:t>
            </w:r>
            <w:r w:rsidRPr="00972081">
              <w:t xml:space="preserve">organiser </w:t>
            </w:r>
            <w:r>
              <w:t>une</w:t>
            </w:r>
            <w:r w:rsidRPr="00972081">
              <w:t xml:space="preserve"> communication </w:t>
            </w:r>
            <w:r>
              <w:t>à l’attention des MOA « non professionnels</w:t>
            </w:r>
            <w:r w:rsidR="00D321DB">
              <w:t> »</w:t>
            </w:r>
            <w:r>
              <w:t xml:space="preserve">  </w:t>
            </w:r>
          </w:p>
        </w:tc>
      </w:tr>
      <w:tr w:rsidR="00130B77" w14:paraId="4D148D99" w14:textId="77777777" w:rsidTr="002A2525">
        <w:tc>
          <w:tcPr>
            <w:tcW w:w="2950" w:type="dxa"/>
            <w:vMerge/>
            <w:vAlign w:val="center"/>
          </w:tcPr>
          <w:p w14:paraId="11A84246" w14:textId="77777777" w:rsidR="00130B77" w:rsidRDefault="00130B77" w:rsidP="002A2525">
            <w:pPr>
              <w:rPr>
                <w:b/>
                <w:bCs/>
              </w:rPr>
            </w:pPr>
          </w:p>
        </w:tc>
        <w:tc>
          <w:tcPr>
            <w:tcW w:w="2306" w:type="dxa"/>
            <w:vAlign w:val="center"/>
          </w:tcPr>
          <w:p w14:paraId="4BECAFC3" w14:textId="77777777" w:rsidR="00130B77" w:rsidRDefault="00130B77" w:rsidP="002A2525">
            <w:r w:rsidRPr="006459B7">
              <w:t xml:space="preserve">Observation n°1 </w:t>
            </w:r>
            <w:r>
              <w:t>–</w:t>
            </w:r>
            <w:r w:rsidRPr="006459B7">
              <w:t xml:space="preserve"> </w:t>
            </w:r>
            <w:r>
              <w:t>Conseil départemental de la Drôme (</w:t>
            </w:r>
            <w:r w:rsidRPr="00D63A7A">
              <w:t>SAGE Bas Dauphiné Plaine de Valence</w:t>
            </w:r>
            <w:r>
              <w:t>)</w:t>
            </w:r>
          </w:p>
          <w:p w14:paraId="17A86056" w14:textId="461830FC" w:rsidR="00130B77" w:rsidRDefault="00130B77" w:rsidP="002A2525">
            <w:r>
              <w:t>Observation n°8 – AHSP</w:t>
            </w:r>
          </w:p>
          <w:p w14:paraId="7F033B03" w14:textId="6F8881CC" w:rsidR="00130B77" w:rsidRPr="00D63A7A" w:rsidRDefault="00130B77" w:rsidP="002A2525">
            <w:r>
              <w:t xml:space="preserve">Observation n°28 – SFEG </w:t>
            </w:r>
          </w:p>
        </w:tc>
        <w:tc>
          <w:tcPr>
            <w:tcW w:w="4520" w:type="dxa"/>
            <w:vAlign w:val="center"/>
          </w:tcPr>
          <w:p w14:paraId="39FBDC26" w14:textId="140F29BA" w:rsidR="00130B77" w:rsidRPr="003324E9" w:rsidRDefault="00130B77" w:rsidP="002A2525">
            <w:r w:rsidRPr="003324E9">
              <w:t>Article 4 – 4.1.4 isolation des aquifères traversés</w:t>
            </w:r>
          </w:p>
        </w:tc>
        <w:tc>
          <w:tcPr>
            <w:tcW w:w="4253" w:type="dxa"/>
            <w:vAlign w:val="center"/>
          </w:tcPr>
          <w:p w14:paraId="0E39739A" w14:textId="6E4C8226" w:rsidR="00130B77" w:rsidRDefault="00130B77" w:rsidP="002A2525">
            <w:pPr>
              <w:rPr>
                <w:b/>
                <w:bCs/>
              </w:rPr>
            </w:pPr>
            <w:bookmarkStart w:id="1" w:name="_Hlk208317593"/>
            <w:r>
              <w:t>=&gt; A</w:t>
            </w:r>
            <w:r w:rsidRPr="00D63A7A">
              <w:t xml:space="preserve">jout d’une mention relative aux </w:t>
            </w:r>
            <w:r w:rsidR="00FB77AC">
              <w:t xml:space="preserve">dispositions </w:t>
            </w:r>
            <w:r w:rsidRPr="00D63A7A">
              <w:t>des SAGE</w:t>
            </w:r>
            <w:bookmarkEnd w:id="1"/>
          </w:p>
        </w:tc>
      </w:tr>
      <w:tr w:rsidR="00130B77" w14:paraId="1DFBDAEC" w14:textId="05A7C3C1" w:rsidTr="002A2525">
        <w:tc>
          <w:tcPr>
            <w:tcW w:w="2950" w:type="dxa"/>
            <w:vMerge/>
            <w:vAlign w:val="center"/>
          </w:tcPr>
          <w:p w14:paraId="52552FB9" w14:textId="77777777" w:rsidR="00130B77" w:rsidRDefault="00130B77" w:rsidP="002A2525">
            <w:pPr>
              <w:rPr>
                <w:b/>
                <w:bCs/>
              </w:rPr>
            </w:pPr>
          </w:p>
        </w:tc>
        <w:tc>
          <w:tcPr>
            <w:tcW w:w="2306" w:type="dxa"/>
            <w:vAlign w:val="center"/>
          </w:tcPr>
          <w:p w14:paraId="22C1ABC4" w14:textId="5089C335" w:rsidR="00130B77" w:rsidRPr="00D63A7A" w:rsidRDefault="00130B77" w:rsidP="002A2525">
            <w:r w:rsidRPr="00D63A7A">
              <w:t>Observation n°1 – Conseil départemental de la Drôme (SAGE Bas Dauphiné Plaine de Valence)</w:t>
            </w:r>
          </w:p>
        </w:tc>
        <w:tc>
          <w:tcPr>
            <w:tcW w:w="4520" w:type="dxa"/>
            <w:vAlign w:val="center"/>
          </w:tcPr>
          <w:p w14:paraId="4090A5DB" w14:textId="77777777" w:rsidR="00130B77" w:rsidRDefault="00130B77" w:rsidP="002A2525">
            <w:pPr>
              <w:rPr>
                <w:b/>
                <w:bCs/>
              </w:rPr>
            </w:pPr>
          </w:p>
          <w:p w14:paraId="2914A440" w14:textId="2245F061" w:rsidR="00130B77" w:rsidRPr="005C7ACF" w:rsidRDefault="00130B77" w:rsidP="002A2525">
            <w:r w:rsidRPr="005C7ACF">
              <w:t xml:space="preserve">Article 6.2.1 : Pompages d’essai pour les forages de prélèvement   </w:t>
            </w:r>
          </w:p>
        </w:tc>
        <w:tc>
          <w:tcPr>
            <w:tcW w:w="4253" w:type="dxa"/>
            <w:vAlign w:val="center"/>
          </w:tcPr>
          <w:p w14:paraId="1DE58DED" w14:textId="77777777" w:rsidR="00130B77" w:rsidRDefault="00130B77" w:rsidP="002A2525">
            <w:pPr>
              <w:rPr>
                <w:b/>
                <w:bCs/>
              </w:rPr>
            </w:pPr>
          </w:p>
          <w:p w14:paraId="100D7A57" w14:textId="252B04B6" w:rsidR="00130B77" w:rsidRPr="005C7ACF" w:rsidRDefault="00130B77" w:rsidP="002A2525">
            <w:r>
              <w:t xml:space="preserve">=&gt; </w:t>
            </w:r>
            <w:r w:rsidRPr="005C7ACF">
              <w:t>Ajout de précisions sur les restrictions relatives à la gestion des crises liées à la sécheresse</w:t>
            </w:r>
          </w:p>
        </w:tc>
      </w:tr>
    </w:tbl>
    <w:p w14:paraId="4F0A8FD4" w14:textId="77777777" w:rsidR="00965ABF" w:rsidRPr="004279D2" w:rsidRDefault="00965ABF" w:rsidP="007C6AC3">
      <w:pPr>
        <w:jc w:val="both"/>
        <w:rPr>
          <w:b/>
          <w:bCs/>
        </w:rPr>
      </w:pPr>
    </w:p>
    <w:sectPr w:rsidR="00965ABF" w:rsidRPr="004279D2" w:rsidSect="004279D2">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B93E" w14:textId="77777777" w:rsidR="00BF7A24" w:rsidRDefault="00BF7A24" w:rsidP="00757AA9">
      <w:pPr>
        <w:spacing w:after="0" w:line="240" w:lineRule="auto"/>
      </w:pPr>
      <w:r>
        <w:separator/>
      </w:r>
    </w:p>
  </w:endnote>
  <w:endnote w:type="continuationSeparator" w:id="0">
    <w:p w14:paraId="228C7F2E" w14:textId="77777777" w:rsidR="00BF7A24" w:rsidRDefault="00BF7A24" w:rsidP="0075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474339"/>
      <w:docPartObj>
        <w:docPartGallery w:val="Page Numbers (Bottom of Page)"/>
        <w:docPartUnique/>
      </w:docPartObj>
    </w:sdtPr>
    <w:sdtEndPr/>
    <w:sdtContent>
      <w:p w14:paraId="654AA7E3" w14:textId="2F7C75AE" w:rsidR="00757AA9" w:rsidRDefault="00757AA9">
        <w:pPr>
          <w:pStyle w:val="Pieddepage"/>
          <w:jc w:val="center"/>
        </w:pPr>
        <w:r>
          <w:fldChar w:fldCharType="begin"/>
        </w:r>
        <w:r>
          <w:instrText>PAGE   \* MERGEFORMAT</w:instrText>
        </w:r>
        <w:r>
          <w:fldChar w:fldCharType="separate"/>
        </w:r>
        <w:r>
          <w:t>2</w:t>
        </w:r>
        <w:r>
          <w:fldChar w:fldCharType="end"/>
        </w:r>
      </w:p>
    </w:sdtContent>
  </w:sdt>
  <w:p w14:paraId="5D0B2B0C" w14:textId="77777777" w:rsidR="00757AA9" w:rsidRDefault="00757A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3CFD" w14:textId="77777777" w:rsidR="00BF7A24" w:rsidRDefault="00BF7A24" w:rsidP="00757AA9">
      <w:pPr>
        <w:spacing w:after="0" w:line="240" w:lineRule="auto"/>
      </w:pPr>
      <w:r>
        <w:separator/>
      </w:r>
    </w:p>
  </w:footnote>
  <w:footnote w:type="continuationSeparator" w:id="0">
    <w:p w14:paraId="380CBE27" w14:textId="77777777" w:rsidR="00BF7A24" w:rsidRDefault="00BF7A24" w:rsidP="0075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E8C"/>
    <w:multiLevelType w:val="hybridMultilevel"/>
    <w:tmpl w:val="35928618"/>
    <w:lvl w:ilvl="0" w:tplc="CA361836">
      <w:start w:val="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B45E6"/>
    <w:multiLevelType w:val="hybridMultilevel"/>
    <w:tmpl w:val="49F250CE"/>
    <w:lvl w:ilvl="0" w:tplc="3C2250B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2630B"/>
    <w:multiLevelType w:val="hybridMultilevel"/>
    <w:tmpl w:val="145C8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012381"/>
    <w:multiLevelType w:val="hybridMultilevel"/>
    <w:tmpl w:val="27A8C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D630E"/>
    <w:multiLevelType w:val="hybridMultilevel"/>
    <w:tmpl w:val="9D5657F8"/>
    <w:lvl w:ilvl="0" w:tplc="0E4E18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B65AD2"/>
    <w:multiLevelType w:val="hybridMultilevel"/>
    <w:tmpl w:val="520A9A98"/>
    <w:lvl w:ilvl="0" w:tplc="0D7C9D34">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8238B3"/>
    <w:multiLevelType w:val="hybridMultilevel"/>
    <w:tmpl w:val="496407D6"/>
    <w:lvl w:ilvl="0" w:tplc="39C230F4">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C46B3"/>
    <w:multiLevelType w:val="hybridMultilevel"/>
    <w:tmpl w:val="10E44330"/>
    <w:lvl w:ilvl="0" w:tplc="7F985AE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651545"/>
    <w:multiLevelType w:val="hybridMultilevel"/>
    <w:tmpl w:val="0A0E0D10"/>
    <w:lvl w:ilvl="0" w:tplc="1E4E13B2">
      <w:start w:val="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D93193"/>
    <w:multiLevelType w:val="hybridMultilevel"/>
    <w:tmpl w:val="1BB0A0D4"/>
    <w:lvl w:ilvl="0" w:tplc="99B66A64">
      <w:start w:val="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D64FA6"/>
    <w:multiLevelType w:val="hybridMultilevel"/>
    <w:tmpl w:val="AD004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7F705A"/>
    <w:multiLevelType w:val="hybridMultilevel"/>
    <w:tmpl w:val="DBF26B50"/>
    <w:lvl w:ilvl="0" w:tplc="5B7C0D06">
      <w:start w:val="1"/>
      <w:numFmt w:val="lowerLetter"/>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7D53294A"/>
    <w:multiLevelType w:val="hybridMultilevel"/>
    <w:tmpl w:val="58AAD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10"/>
  </w:num>
  <w:num w:numId="5">
    <w:abstractNumId w:val="3"/>
  </w:num>
  <w:num w:numId="6">
    <w:abstractNumId w:val="1"/>
  </w:num>
  <w:num w:numId="7">
    <w:abstractNumId w:val="7"/>
  </w:num>
  <w:num w:numId="8">
    <w:abstractNumId w:val="5"/>
  </w:num>
  <w:num w:numId="9">
    <w:abstractNumId w:val="9"/>
  </w:num>
  <w:num w:numId="10">
    <w:abstractNumId w:val="8"/>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4"/>
    <w:rsid w:val="00006E79"/>
    <w:rsid w:val="00017929"/>
    <w:rsid w:val="00065C76"/>
    <w:rsid w:val="000831A0"/>
    <w:rsid w:val="000B5B70"/>
    <w:rsid w:val="00122524"/>
    <w:rsid w:val="00130B77"/>
    <w:rsid w:val="00132A84"/>
    <w:rsid w:val="001364BC"/>
    <w:rsid w:val="001763C7"/>
    <w:rsid w:val="00180EA4"/>
    <w:rsid w:val="001949A6"/>
    <w:rsid w:val="00197D61"/>
    <w:rsid w:val="001D312A"/>
    <w:rsid w:val="002167FC"/>
    <w:rsid w:val="002277FD"/>
    <w:rsid w:val="0023526E"/>
    <w:rsid w:val="00241021"/>
    <w:rsid w:val="00261556"/>
    <w:rsid w:val="0026368E"/>
    <w:rsid w:val="00267C35"/>
    <w:rsid w:val="00273A98"/>
    <w:rsid w:val="002744ED"/>
    <w:rsid w:val="0029332B"/>
    <w:rsid w:val="002A2525"/>
    <w:rsid w:val="002A51BC"/>
    <w:rsid w:val="002B3E68"/>
    <w:rsid w:val="002D3E50"/>
    <w:rsid w:val="002E1467"/>
    <w:rsid w:val="002F1526"/>
    <w:rsid w:val="00323E1A"/>
    <w:rsid w:val="003324E9"/>
    <w:rsid w:val="00333215"/>
    <w:rsid w:val="003374EC"/>
    <w:rsid w:val="00343925"/>
    <w:rsid w:val="00344055"/>
    <w:rsid w:val="00352F44"/>
    <w:rsid w:val="003552AD"/>
    <w:rsid w:val="00361242"/>
    <w:rsid w:val="0037522C"/>
    <w:rsid w:val="003A1D89"/>
    <w:rsid w:val="003B7438"/>
    <w:rsid w:val="0040639D"/>
    <w:rsid w:val="004258A9"/>
    <w:rsid w:val="004272EB"/>
    <w:rsid w:val="004279D2"/>
    <w:rsid w:val="0047228D"/>
    <w:rsid w:val="0048431A"/>
    <w:rsid w:val="004C55DF"/>
    <w:rsid w:val="005261CC"/>
    <w:rsid w:val="00536AB4"/>
    <w:rsid w:val="0054355C"/>
    <w:rsid w:val="00577D01"/>
    <w:rsid w:val="005811C6"/>
    <w:rsid w:val="0059518A"/>
    <w:rsid w:val="005B2E77"/>
    <w:rsid w:val="005C5DC7"/>
    <w:rsid w:val="005C7ACF"/>
    <w:rsid w:val="005D4491"/>
    <w:rsid w:val="005D6FA7"/>
    <w:rsid w:val="005E4E86"/>
    <w:rsid w:val="006219B2"/>
    <w:rsid w:val="00640711"/>
    <w:rsid w:val="006459B7"/>
    <w:rsid w:val="00666088"/>
    <w:rsid w:val="00694316"/>
    <w:rsid w:val="006D3630"/>
    <w:rsid w:val="006D7AE3"/>
    <w:rsid w:val="006F028D"/>
    <w:rsid w:val="007044F0"/>
    <w:rsid w:val="00730E2A"/>
    <w:rsid w:val="007329F3"/>
    <w:rsid w:val="007508B6"/>
    <w:rsid w:val="00757AA9"/>
    <w:rsid w:val="00772723"/>
    <w:rsid w:val="00795947"/>
    <w:rsid w:val="007B6EF5"/>
    <w:rsid w:val="007C49C3"/>
    <w:rsid w:val="007C6AC3"/>
    <w:rsid w:val="007C6C38"/>
    <w:rsid w:val="007E048C"/>
    <w:rsid w:val="007E1B31"/>
    <w:rsid w:val="007E3370"/>
    <w:rsid w:val="00802709"/>
    <w:rsid w:val="008112B8"/>
    <w:rsid w:val="00835997"/>
    <w:rsid w:val="00853F01"/>
    <w:rsid w:val="0085667F"/>
    <w:rsid w:val="00877D07"/>
    <w:rsid w:val="008C63E8"/>
    <w:rsid w:val="008D5A09"/>
    <w:rsid w:val="008E00BD"/>
    <w:rsid w:val="00906777"/>
    <w:rsid w:val="00965ABF"/>
    <w:rsid w:val="00966217"/>
    <w:rsid w:val="00970BF8"/>
    <w:rsid w:val="00972081"/>
    <w:rsid w:val="00977AAD"/>
    <w:rsid w:val="009851C1"/>
    <w:rsid w:val="0098713A"/>
    <w:rsid w:val="009948C8"/>
    <w:rsid w:val="009C65C7"/>
    <w:rsid w:val="009D658C"/>
    <w:rsid w:val="009F14DB"/>
    <w:rsid w:val="00A1260D"/>
    <w:rsid w:val="00A362C1"/>
    <w:rsid w:val="00A41319"/>
    <w:rsid w:val="00A469D4"/>
    <w:rsid w:val="00A47A71"/>
    <w:rsid w:val="00A648F5"/>
    <w:rsid w:val="00A93F63"/>
    <w:rsid w:val="00A9637D"/>
    <w:rsid w:val="00AD2A0C"/>
    <w:rsid w:val="00AF122C"/>
    <w:rsid w:val="00AF5BB2"/>
    <w:rsid w:val="00B5612F"/>
    <w:rsid w:val="00B66334"/>
    <w:rsid w:val="00B67069"/>
    <w:rsid w:val="00BB42C9"/>
    <w:rsid w:val="00BB5B72"/>
    <w:rsid w:val="00BD0DB9"/>
    <w:rsid w:val="00BD6DB4"/>
    <w:rsid w:val="00BF7A24"/>
    <w:rsid w:val="00C075EA"/>
    <w:rsid w:val="00C72F32"/>
    <w:rsid w:val="00C85EB0"/>
    <w:rsid w:val="00C92D75"/>
    <w:rsid w:val="00CA0934"/>
    <w:rsid w:val="00CE225B"/>
    <w:rsid w:val="00CF7EBC"/>
    <w:rsid w:val="00D321DB"/>
    <w:rsid w:val="00D3529C"/>
    <w:rsid w:val="00D44D35"/>
    <w:rsid w:val="00D61F21"/>
    <w:rsid w:val="00D63A7A"/>
    <w:rsid w:val="00D779C3"/>
    <w:rsid w:val="00D92A53"/>
    <w:rsid w:val="00DA4078"/>
    <w:rsid w:val="00DC5A65"/>
    <w:rsid w:val="00E32D6B"/>
    <w:rsid w:val="00E3723A"/>
    <w:rsid w:val="00E9100F"/>
    <w:rsid w:val="00EA452D"/>
    <w:rsid w:val="00EF23AA"/>
    <w:rsid w:val="00EF77DB"/>
    <w:rsid w:val="00F259EB"/>
    <w:rsid w:val="00F51F79"/>
    <w:rsid w:val="00F647D6"/>
    <w:rsid w:val="00F77312"/>
    <w:rsid w:val="00F80E8F"/>
    <w:rsid w:val="00F8595F"/>
    <w:rsid w:val="00FA6D40"/>
    <w:rsid w:val="00FA717B"/>
    <w:rsid w:val="00FB1274"/>
    <w:rsid w:val="00FB77AC"/>
    <w:rsid w:val="00FB7EAE"/>
    <w:rsid w:val="00FF1FD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8825"/>
  <w15:chartTrackingRefBased/>
  <w15:docId w15:val="{ADE0FB66-1722-4D4E-9FB6-ECC01232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6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6E79"/>
    <w:rPr>
      <w:color w:val="0563C1" w:themeColor="hyperlink"/>
      <w:u w:val="single"/>
    </w:rPr>
  </w:style>
  <w:style w:type="character" w:customStyle="1" w:styleId="Titre1Car">
    <w:name w:val="Titre 1 Car"/>
    <w:basedOn w:val="Policepardfaut"/>
    <w:link w:val="Titre1"/>
    <w:uiPriority w:val="9"/>
    <w:rsid w:val="00006E7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006E79"/>
    <w:pPr>
      <w:ind w:left="720"/>
      <w:contextualSpacing/>
    </w:pPr>
  </w:style>
  <w:style w:type="paragraph" w:styleId="Textedebulles">
    <w:name w:val="Balloon Text"/>
    <w:basedOn w:val="Normal"/>
    <w:link w:val="TextedebullesCar"/>
    <w:uiPriority w:val="99"/>
    <w:semiHidden/>
    <w:unhideWhenUsed/>
    <w:rsid w:val="007E33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370"/>
    <w:rPr>
      <w:rFonts w:ascii="Segoe UI" w:hAnsi="Segoe UI" w:cs="Segoe UI"/>
      <w:sz w:val="18"/>
      <w:szCs w:val="18"/>
    </w:rPr>
  </w:style>
  <w:style w:type="character" w:styleId="Marquedecommentaire">
    <w:name w:val="annotation reference"/>
    <w:basedOn w:val="Policepardfaut"/>
    <w:uiPriority w:val="99"/>
    <w:semiHidden/>
    <w:unhideWhenUsed/>
    <w:rsid w:val="00F77312"/>
    <w:rPr>
      <w:sz w:val="16"/>
      <w:szCs w:val="16"/>
    </w:rPr>
  </w:style>
  <w:style w:type="paragraph" w:styleId="Commentaire">
    <w:name w:val="annotation text"/>
    <w:basedOn w:val="Normal"/>
    <w:link w:val="CommentaireCar"/>
    <w:uiPriority w:val="99"/>
    <w:semiHidden/>
    <w:unhideWhenUsed/>
    <w:rsid w:val="00F77312"/>
    <w:pPr>
      <w:spacing w:line="240" w:lineRule="auto"/>
    </w:pPr>
    <w:rPr>
      <w:sz w:val="20"/>
      <w:szCs w:val="20"/>
    </w:rPr>
  </w:style>
  <w:style w:type="character" w:customStyle="1" w:styleId="CommentaireCar">
    <w:name w:val="Commentaire Car"/>
    <w:basedOn w:val="Policepardfaut"/>
    <w:link w:val="Commentaire"/>
    <w:uiPriority w:val="99"/>
    <w:semiHidden/>
    <w:rsid w:val="00F77312"/>
    <w:rPr>
      <w:sz w:val="20"/>
      <w:szCs w:val="20"/>
    </w:rPr>
  </w:style>
  <w:style w:type="paragraph" w:styleId="Objetducommentaire">
    <w:name w:val="annotation subject"/>
    <w:basedOn w:val="Commentaire"/>
    <w:next w:val="Commentaire"/>
    <w:link w:val="ObjetducommentaireCar"/>
    <w:uiPriority w:val="99"/>
    <w:semiHidden/>
    <w:unhideWhenUsed/>
    <w:rsid w:val="00F77312"/>
    <w:rPr>
      <w:b/>
      <w:bCs/>
    </w:rPr>
  </w:style>
  <w:style w:type="character" w:customStyle="1" w:styleId="ObjetducommentaireCar">
    <w:name w:val="Objet du commentaire Car"/>
    <w:basedOn w:val="CommentaireCar"/>
    <w:link w:val="Objetducommentaire"/>
    <w:uiPriority w:val="99"/>
    <w:semiHidden/>
    <w:rsid w:val="00F77312"/>
    <w:rPr>
      <w:b/>
      <w:bCs/>
      <w:sz w:val="20"/>
      <w:szCs w:val="20"/>
    </w:rPr>
  </w:style>
  <w:style w:type="table" w:styleId="Grilledutableau">
    <w:name w:val="Table Grid"/>
    <w:basedOn w:val="TableauNormal"/>
    <w:uiPriority w:val="39"/>
    <w:rsid w:val="0059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7AA9"/>
    <w:pPr>
      <w:tabs>
        <w:tab w:val="center" w:pos="4536"/>
        <w:tab w:val="right" w:pos="9072"/>
      </w:tabs>
      <w:spacing w:after="0" w:line="240" w:lineRule="auto"/>
    </w:pPr>
  </w:style>
  <w:style w:type="character" w:customStyle="1" w:styleId="En-tteCar">
    <w:name w:val="En-tête Car"/>
    <w:basedOn w:val="Policepardfaut"/>
    <w:link w:val="En-tte"/>
    <w:uiPriority w:val="99"/>
    <w:rsid w:val="00757AA9"/>
  </w:style>
  <w:style w:type="paragraph" w:styleId="Pieddepage">
    <w:name w:val="footer"/>
    <w:basedOn w:val="Normal"/>
    <w:link w:val="PieddepageCar"/>
    <w:uiPriority w:val="99"/>
    <w:unhideWhenUsed/>
    <w:rsid w:val="00757A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AA9"/>
  </w:style>
  <w:style w:type="paragraph" w:styleId="Rvision">
    <w:name w:val="Revision"/>
    <w:hidden/>
    <w:uiPriority w:val="99"/>
    <w:semiHidden/>
    <w:rsid w:val="0035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6693">
      <w:bodyDiv w:val="1"/>
      <w:marLeft w:val="0"/>
      <w:marRight w:val="0"/>
      <w:marTop w:val="0"/>
      <w:marBottom w:val="0"/>
      <w:divBdr>
        <w:top w:val="none" w:sz="0" w:space="0" w:color="auto"/>
        <w:left w:val="none" w:sz="0" w:space="0" w:color="auto"/>
        <w:bottom w:val="none" w:sz="0" w:space="0" w:color="auto"/>
        <w:right w:val="none" w:sz="0" w:space="0" w:color="auto"/>
      </w:divBdr>
    </w:div>
    <w:div w:id="19795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sultations-publiques.developpement-durable.gouv.fr/projet-de-decret-relatif-aux-conditions-de-mise-en-a31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2250</Words>
  <Characters>12380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JOUNIAUX Marion</dc:creator>
  <cp:keywords/>
  <dc:description/>
  <cp:lastModifiedBy>OLIVIER Stéphane</cp:lastModifiedBy>
  <cp:revision>9</cp:revision>
  <cp:lastPrinted>2025-06-24T12:08:00Z</cp:lastPrinted>
  <dcterms:created xsi:type="dcterms:W3CDTF">2025-09-09T11:58:00Z</dcterms:created>
  <dcterms:modified xsi:type="dcterms:W3CDTF">2025-09-09T13:13:00Z</dcterms:modified>
</cp:coreProperties>
</file>