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41E4" w14:textId="77777777" w:rsidR="00BF5760" w:rsidRDefault="00BF5760" w:rsidP="00BF5760">
      <w:pPr>
        <w:rPr>
          <w:rStyle w:val="StrongEmphasis"/>
          <w:rFonts w:ascii="Times New Roman" w:hAnsi="Times New Roman" w:cs="Times New Roman"/>
        </w:rPr>
      </w:pPr>
    </w:p>
    <w:tbl>
      <w:tblPr>
        <w:tblW w:w="0" w:type="dxa"/>
        <w:tblLayout w:type="fixed"/>
        <w:tblCellMar>
          <w:left w:w="10" w:type="dxa"/>
          <w:right w:w="10" w:type="dxa"/>
        </w:tblCellMar>
        <w:tblLook w:val="04A0" w:firstRow="1" w:lastRow="0" w:firstColumn="1" w:lastColumn="0" w:noHBand="0" w:noVBand="1"/>
      </w:tblPr>
      <w:tblGrid>
        <w:gridCol w:w="1527"/>
        <w:gridCol w:w="968"/>
        <w:gridCol w:w="1487"/>
      </w:tblGrid>
      <w:tr w:rsidR="00BF5760" w14:paraId="45263A56" w14:textId="77777777" w:rsidTr="00DD47A5">
        <w:tc>
          <w:tcPr>
            <w:tcW w:w="3982" w:type="dxa"/>
            <w:gridSpan w:val="3"/>
            <w:tcMar>
              <w:top w:w="57" w:type="dxa"/>
              <w:left w:w="57" w:type="dxa"/>
              <w:bottom w:w="57" w:type="dxa"/>
              <w:right w:w="57" w:type="dxa"/>
            </w:tcMar>
            <w:hideMark/>
          </w:tcPr>
          <w:p w14:paraId="7E20A350" w14:textId="77777777" w:rsidR="00BF5760" w:rsidRDefault="00BF5760" w:rsidP="00DD47A5">
            <w:pPr>
              <w:pStyle w:val="SNREPUBLIQUE"/>
              <w:snapToGrid w:val="0"/>
              <w:spacing w:line="256" w:lineRule="auto"/>
              <w:rPr>
                <w:szCs w:val="24"/>
              </w:rPr>
            </w:pPr>
            <w:r>
              <w:rPr>
                <w:szCs w:val="24"/>
              </w:rPr>
              <w:t>RÉPUBLIQUE FRANÇAISE</w:t>
            </w:r>
          </w:p>
        </w:tc>
      </w:tr>
      <w:tr w:rsidR="00BF5760" w14:paraId="16F07B1B" w14:textId="77777777" w:rsidTr="00DD47A5">
        <w:trPr>
          <w:trHeight w:hRule="exact" w:val="113"/>
        </w:trPr>
        <w:tc>
          <w:tcPr>
            <w:tcW w:w="1527" w:type="dxa"/>
            <w:tcMar>
              <w:top w:w="57" w:type="dxa"/>
              <w:left w:w="57" w:type="dxa"/>
              <w:bottom w:w="57" w:type="dxa"/>
              <w:right w:w="57" w:type="dxa"/>
            </w:tcMar>
          </w:tcPr>
          <w:p w14:paraId="6698BBE6" w14:textId="77777777" w:rsidR="00BF5760" w:rsidRDefault="00BF5760" w:rsidP="00DD47A5">
            <w:pPr>
              <w:pStyle w:val="Standard"/>
              <w:snapToGrid w:val="0"/>
              <w:spacing w:line="256" w:lineRule="auto"/>
            </w:pPr>
          </w:p>
        </w:tc>
        <w:tc>
          <w:tcPr>
            <w:tcW w:w="968" w:type="dxa"/>
            <w:tcBorders>
              <w:top w:val="nil"/>
              <w:left w:val="nil"/>
              <w:bottom w:val="single" w:sz="2" w:space="0" w:color="000000"/>
              <w:right w:val="nil"/>
            </w:tcBorders>
            <w:tcMar>
              <w:top w:w="57" w:type="dxa"/>
              <w:left w:w="57" w:type="dxa"/>
              <w:bottom w:w="57" w:type="dxa"/>
              <w:right w:w="57" w:type="dxa"/>
            </w:tcMar>
          </w:tcPr>
          <w:p w14:paraId="0C6D4B69" w14:textId="77777777" w:rsidR="00BF5760" w:rsidRDefault="00BF5760" w:rsidP="00DD47A5">
            <w:pPr>
              <w:pStyle w:val="Standard"/>
              <w:snapToGrid w:val="0"/>
              <w:spacing w:line="256" w:lineRule="auto"/>
            </w:pPr>
          </w:p>
        </w:tc>
        <w:tc>
          <w:tcPr>
            <w:tcW w:w="1487" w:type="dxa"/>
            <w:tcMar>
              <w:top w:w="57" w:type="dxa"/>
              <w:left w:w="57" w:type="dxa"/>
              <w:bottom w:w="57" w:type="dxa"/>
              <w:right w:w="57" w:type="dxa"/>
            </w:tcMar>
          </w:tcPr>
          <w:p w14:paraId="57F2C15A" w14:textId="77777777" w:rsidR="00BF5760" w:rsidRDefault="00BF5760" w:rsidP="00DD47A5">
            <w:pPr>
              <w:pStyle w:val="Standard"/>
              <w:snapToGrid w:val="0"/>
              <w:spacing w:line="256" w:lineRule="auto"/>
            </w:pPr>
          </w:p>
        </w:tc>
      </w:tr>
      <w:tr w:rsidR="00BF5760" w14:paraId="3FEA2F66" w14:textId="77777777" w:rsidTr="00DD47A5">
        <w:tc>
          <w:tcPr>
            <w:tcW w:w="3982" w:type="dxa"/>
            <w:gridSpan w:val="3"/>
            <w:tcMar>
              <w:top w:w="57" w:type="dxa"/>
              <w:left w:w="57" w:type="dxa"/>
              <w:bottom w:w="57" w:type="dxa"/>
              <w:right w:w="57" w:type="dxa"/>
            </w:tcMar>
            <w:hideMark/>
          </w:tcPr>
          <w:p w14:paraId="22AF7362" w14:textId="77777777" w:rsidR="00BF5760" w:rsidRDefault="00BF5760" w:rsidP="00DD47A5">
            <w:pPr>
              <w:pStyle w:val="SNTimbre"/>
              <w:spacing w:before="0" w:line="256" w:lineRule="auto"/>
            </w:pPr>
            <w:r>
              <w:t>Ministère de la Transition écologique et de la Cohésion des territoires</w:t>
            </w:r>
          </w:p>
        </w:tc>
      </w:tr>
      <w:tr w:rsidR="00BF5760" w14:paraId="088A703A" w14:textId="77777777" w:rsidTr="00DD47A5">
        <w:trPr>
          <w:trHeight w:hRule="exact" w:val="227"/>
        </w:trPr>
        <w:tc>
          <w:tcPr>
            <w:tcW w:w="1527" w:type="dxa"/>
            <w:tcMar>
              <w:top w:w="57" w:type="dxa"/>
              <w:left w:w="57" w:type="dxa"/>
              <w:bottom w:w="57" w:type="dxa"/>
              <w:right w:w="57" w:type="dxa"/>
            </w:tcMar>
          </w:tcPr>
          <w:p w14:paraId="162929C2" w14:textId="77777777" w:rsidR="00BF5760" w:rsidRDefault="00BF5760" w:rsidP="00DD47A5">
            <w:pPr>
              <w:pStyle w:val="Standard"/>
              <w:snapToGrid w:val="0"/>
              <w:spacing w:line="256" w:lineRule="auto"/>
            </w:pPr>
          </w:p>
        </w:tc>
        <w:tc>
          <w:tcPr>
            <w:tcW w:w="968" w:type="dxa"/>
            <w:tcBorders>
              <w:top w:val="nil"/>
              <w:left w:val="nil"/>
              <w:bottom w:val="single" w:sz="2" w:space="0" w:color="000000"/>
              <w:right w:val="nil"/>
            </w:tcBorders>
            <w:tcMar>
              <w:top w:w="57" w:type="dxa"/>
              <w:left w:w="57" w:type="dxa"/>
              <w:bottom w:w="57" w:type="dxa"/>
              <w:right w:w="57" w:type="dxa"/>
            </w:tcMar>
          </w:tcPr>
          <w:p w14:paraId="4433B8D0" w14:textId="77777777" w:rsidR="00BF5760" w:rsidRDefault="00BF5760" w:rsidP="00DD47A5">
            <w:pPr>
              <w:pStyle w:val="Standard"/>
              <w:snapToGrid w:val="0"/>
              <w:spacing w:line="256" w:lineRule="auto"/>
            </w:pPr>
          </w:p>
        </w:tc>
        <w:tc>
          <w:tcPr>
            <w:tcW w:w="1487" w:type="dxa"/>
            <w:tcMar>
              <w:top w:w="57" w:type="dxa"/>
              <w:left w:w="57" w:type="dxa"/>
              <w:bottom w:w="57" w:type="dxa"/>
              <w:right w:w="57" w:type="dxa"/>
            </w:tcMar>
          </w:tcPr>
          <w:p w14:paraId="0F45EC64" w14:textId="77777777" w:rsidR="00BF5760" w:rsidRDefault="00BF5760" w:rsidP="00DD47A5">
            <w:pPr>
              <w:pStyle w:val="Standard"/>
              <w:snapToGrid w:val="0"/>
              <w:spacing w:line="256" w:lineRule="auto"/>
            </w:pPr>
          </w:p>
        </w:tc>
      </w:tr>
      <w:tr w:rsidR="00BF5760" w14:paraId="0287D6A7" w14:textId="77777777" w:rsidTr="00DD47A5">
        <w:trPr>
          <w:trHeight w:hRule="exact" w:val="227"/>
        </w:trPr>
        <w:tc>
          <w:tcPr>
            <w:tcW w:w="1527" w:type="dxa"/>
            <w:tcMar>
              <w:top w:w="57" w:type="dxa"/>
              <w:left w:w="57" w:type="dxa"/>
              <w:bottom w:w="57" w:type="dxa"/>
              <w:right w:w="57" w:type="dxa"/>
            </w:tcMar>
          </w:tcPr>
          <w:p w14:paraId="420027E1" w14:textId="77777777" w:rsidR="00BF5760" w:rsidRDefault="00BF5760" w:rsidP="00DD47A5">
            <w:pPr>
              <w:pStyle w:val="Standard"/>
              <w:snapToGrid w:val="0"/>
              <w:spacing w:line="256" w:lineRule="auto"/>
            </w:pPr>
          </w:p>
        </w:tc>
        <w:tc>
          <w:tcPr>
            <w:tcW w:w="968" w:type="dxa"/>
            <w:tcMar>
              <w:top w:w="57" w:type="dxa"/>
              <w:left w:w="57" w:type="dxa"/>
              <w:bottom w:w="57" w:type="dxa"/>
              <w:right w:w="57" w:type="dxa"/>
            </w:tcMar>
          </w:tcPr>
          <w:p w14:paraId="1B06AF2B" w14:textId="77777777" w:rsidR="00BF5760" w:rsidRDefault="00BF5760" w:rsidP="00DD47A5">
            <w:pPr>
              <w:pStyle w:val="Standard"/>
              <w:snapToGrid w:val="0"/>
              <w:spacing w:line="256" w:lineRule="auto"/>
            </w:pPr>
          </w:p>
        </w:tc>
        <w:tc>
          <w:tcPr>
            <w:tcW w:w="1487" w:type="dxa"/>
            <w:tcMar>
              <w:top w:w="57" w:type="dxa"/>
              <w:left w:w="57" w:type="dxa"/>
              <w:bottom w:w="57" w:type="dxa"/>
              <w:right w:w="57" w:type="dxa"/>
            </w:tcMar>
          </w:tcPr>
          <w:p w14:paraId="6A7AC296" w14:textId="77777777" w:rsidR="00BF5760" w:rsidRDefault="00BF5760" w:rsidP="00DD47A5">
            <w:pPr>
              <w:pStyle w:val="Standard"/>
              <w:snapToGrid w:val="0"/>
              <w:spacing w:line="256" w:lineRule="auto"/>
            </w:pPr>
          </w:p>
        </w:tc>
      </w:tr>
    </w:tbl>
    <w:p w14:paraId="30427632" w14:textId="77777777" w:rsidR="00BF5760" w:rsidRDefault="00BF5760" w:rsidP="00BF5760">
      <w:pPr>
        <w:pStyle w:val="SNNature"/>
        <w:spacing w:before="0" w:after="0"/>
      </w:pPr>
      <w:r>
        <w:t>Arrêté du</w:t>
      </w:r>
    </w:p>
    <w:p w14:paraId="00BD387B" w14:textId="77777777" w:rsidR="00BF5760" w:rsidRDefault="00BF5760" w:rsidP="00BF5760">
      <w:pPr>
        <w:jc w:val="center"/>
        <w:rPr>
          <w:b/>
          <w:lang w:eastAsia="zh-CN"/>
        </w:rPr>
      </w:pPr>
    </w:p>
    <w:p w14:paraId="762C88C4" w14:textId="77777777" w:rsidR="00BF5760" w:rsidRDefault="00BF5760" w:rsidP="00BF5760">
      <w:pPr>
        <w:pStyle w:val="SNNature"/>
        <w:spacing w:before="0" w:after="0"/>
      </w:pPr>
      <w:r>
        <w:rPr>
          <w:bCs w:val="0"/>
        </w:rPr>
        <w:t xml:space="preserve">Modifiant </w:t>
      </w:r>
      <w:r>
        <w:rPr>
          <w:rFonts w:eastAsia="Calibri"/>
          <w:kern w:val="0"/>
          <w:lang w:eastAsia="en-US"/>
        </w:rPr>
        <w:t>l’arrêté du 27 octobre 2021 modifié portant cahiers des charges des éco-organismes, des systèmes individuels et des organismes coordonnateurs de la filière à responsabilité élargie du producteur des équipements électriques et électroniques</w:t>
      </w:r>
    </w:p>
    <w:p w14:paraId="2587CF5A" w14:textId="77777777" w:rsidR="00BF5760" w:rsidRDefault="00BF5760" w:rsidP="00BF5760">
      <w:pPr>
        <w:jc w:val="center"/>
        <w:rPr>
          <w:b/>
          <w:lang w:eastAsia="zh-CN"/>
        </w:rPr>
      </w:pPr>
    </w:p>
    <w:p w14:paraId="662A705B" w14:textId="3FD6CC1A" w:rsidR="00BF5760" w:rsidRDefault="00BF5760" w:rsidP="00BF5760">
      <w:pPr>
        <w:spacing w:after="0" w:line="240" w:lineRule="auto"/>
        <w:jc w:val="center"/>
        <w:rPr>
          <w:rFonts w:ascii="Times New Roman" w:hAnsi="Times New Roman"/>
          <w:sz w:val="24"/>
          <w:szCs w:val="24"/>
        </w:rPr>
      </w:pPr>
      <w:r>
        <w:rPr>
          <w:rFonts w:ascii="Times New Roman" w:hAnsi="Times New Roman"/>
          <w:sz w:val="24"/>
          <w:szCs w:val="24"/>
        </w:rPr>
        <w:t xml:space="preserve">NOR : </w:t>
      </w:r>
      <w:r w:rsidR="0042027F" w:rsidRPr="0042027F">
        <w:rPr>
          <w:rFonts w:ascii="Times New Roman" w:hAnsi="Times New Roman"/>
          <w:sz w:val="24"/>
          <w:szCs w:val="24"/>
        </w:rPr>
        <w:t>TREP2417238A</w:t>
      </w:r>
    </w:p>
    <w:p w14:paraId="052549E6" w14:textId="77777777" w:rsidR="00BF5760" w:rsidRDefault="00BF5760" w:rsidP="00BF5760">
      <w:pPr>
        <w:spacing w:after="0" w:line="240" w:lineRule="auto"/>
        <w:jc w:val="center"/>
        <w:rPr>
          <w:rFonts w:ascii="Times New Roman" w:hAnsi="Times New Roman"/>
          <w:sz w:val="24"/>
          <w:szCs w:val="24"/>
        </w:rPr>
      </w:pPr>
    </w:p>
    <w:p w14:paraId="0290B32E" w14:textId="77777777" w:rsidR="00BF5760" w:rsidRDefault="00BF5760" w:rsidP="00BF5760">
      <w:pPr>
        <w:spacing w:after="0" w:line="240" w:lineRule="auto"/>
        <w:rPr>
          <w:rFonts w:ascii="Times New Roman" w:hAnsi="Times New Roman"/>
          <w:sz w:val="24"/>
          <w:szCs w:val="24"/>
        </w:rPr>
      </w:pPr>
    </w:p>
    <w:p w14:paraId="0436AF26" w14:textId="77777777" w:rsidR="00BF5760" w:rsidRDefault="00BF5760" w:rsidP="00BF5760">
      <w:pPr>
        <w:pStyle w:val="Standard"/>
        <w:autoSpaceDE w:val="0"/>
        <w:jc w:val="both"/>
        <w:rPr>
          <w:i/>
          <w:iCs/>
          <w:color w:val="000000"/>
        </w:rPr>
      </w:pPr>
      <w:r>
        <w:rPr>
          <w:b/>
          <w:i/>
          <w:iCs/>
          <w:color w:val="000000"/>
        </w:rPr>
        <w:t xml:space="preserve">Publics concernés : </w:t>
      </w:r>
      <w:r>
        <w:rPr>
          <w:i/>
          <w:iCs/>
          <w:color w:val="000000"/>
        </w:rPr>
        <w:t>Les fabricants, les importateurs, les distributeurs d’équipements électriques et électroniques et les éco-organismes agréés sur la filière à responsabilité élargie du producteur d’équipements électriques et électroniques.</w:t>
      </w:r>
    </w:p>
    <w:p w14:paraId="40EA0A91" w14:textId="77777777" w:rsidR="00BF5760" w:rsidRDefault="00BF5760" w:rsidP="00BF5760">
      <w:pPr>
        <w:pStyle w:val="Standard"/>
        <w:autoSpaceDE w:val="0"/>
        <w:jc w:val="both"/>
        <w:rPr>
          <w:i/>
          <w:iCs/>
          <w:color w:val="000000"/>
        </w:rPr>
      </w:pPr>
    </w:p>
    <w:p w14:paraId="6DA42B44" w14:textId="0D5EEBB1" w:rsidR="00BF5760" w:rsidRDefault="00BF5760" w:rsidP="00BF5760">
      <w:pPr>
        <w:pStyle w:val="Standard"/>
        <w:autoSpaceDE w:val="0"/>
        <w:jc w:val="both"/>
        <w:rPr>
          <w:i/>
          <w:color w:val="000000"/>
        </w:rPr>
      </w:pPr>
      <w:r>
        <w:rPr>
          <w:b/>
          <w:bCs/>
          <w:i/>
          <w:iCs/>
          <w:color w:val="000000"/>
        </w:rPr>
        <w:t>Objet </w:t>
      </w:r>
      <w:r>
        <w:rPr>
          <w:b/>
          <w:i/>
          <w:iCs/>
          <w:color w:val="000000"/>
        </w:rPr>
        <w:t xml:space="preserve">: </w:t>
      </w:r>
      <w:r>
        <w:rPr>
          <w:i/>
          <w:color w:val="000000"/>
        </w:rPr>
        <w:t xml:space="preserve">dispositions relatives </w:t>
      </w:r>
      <w:r w:rsidR="004E4844">
        <w:rPr>
          <w:i/>
          <w:color w:val="000000"/>
        </w:rPr>
        <w:t xml:space="preserve">à </w:t>
      </w:r>
      <w:r w:rsidR="004E4844" w:rsidRPr="00BA1D3F">
        <w:rPr>
          <w:i/>
          <w:color w:val="000000"/>
        </w:rPr>
        <w:t>la</w:t>
      </w:r>
      <w:r w:rsidR="00CA096F" w:rsidRPr="00BA1D3F">
        <w:rPr>
          <w:i/>
          <w:color w:val="000000"/>
        </w:rPr>
        <w:t xml:space="preserve"> </w:t>
      </w:r>
      <w:r w:rsidR="00BA1D3F">
        <w:rPr>
          <w:i/>
          <w:color w:val="000000"/>
        </w:rPr>
        <w:t xml:space="preserve">réduction de </w:t>
      </w:r>
      <w:r w:rsidR="00CA096F" w:rsidRPr="00BA1D3F">
        <w:rPr>
          <w:i/>
          <w:color w:val="000000"/>
        </w:rPr>
        <w:t xml:space="preserve">l’accidentologie sur les installations de </w:t>
      </w:r>
      <w:r w:rsidR="00BA1D3F">
        <w:rPr>
          <w:i/>
          <w:color w:val="000000"/>
        </w:rPr>
        <w:t xml:space="preserve">gestion </w:t>
      </w:r>
      <w:r w:rsidR="00CA096F" w:rsidRPr="00BA1D3F">
        <w:rPr>
          <w:i/>
          <w:color w:val="000000"/>
        </w:rPr>
        <w:t xml:space="preserve">des équipements électriques et électroniques, </w:t>
      </w:r>
      <w:r w:rsidR="004E4844" w:rsidRPr="00BA1D3F">
        <w:rPr>
          <w:i/>
          <w:color w:val="000000"/>
        </w:rPr>
        <w:t>aux</w:t>
      </w:r>
      <w:r w:rsidR="004E4844">
        <w:rPr>
          <w:i/>
          <w:color w:val="000000"/>
        </w:rPr>
        <w:t xml:space="preserve"> </w:t>
      </w:r>
      <w:r>
        <w:rPr>
          <w:i/>
          <w:color w:val="000000"/>
        </w:rPr>
        <w:t xml:space="preserve">modalités de financement </w:t>
      </w:r>
      <w:r w:rsidR="004E4844">
        <w:rPr>
          <w:i/>
          <w:color w:val="000000"/>
        </w:rPr>
        <w:t xml:space="preserve">par les éco-organismes, </w:t>
      </w:r>
      <w:r w:rsidR="00CA096F">
        <w:rPr>
          <w:i/>
          <w:color w:val="000000"/>
        </w:rPr>
        <w:t xml:space="preserve">de l’extraction </w:t>
      </w:r>
      <w:r w:rsidR="007D128F">
        <w:rPr>
          <w:i/>
          <w:color w:val="000000"/>
        </w:rPr>
        <w:t>préservante</w:t>
      </w:r>
      <w:r w:rsidR="00CA096F">
        <w:rPr>
          <w:i/>
          <w:color w:val="000000"/>
        </w:rPr>
        <w:t xml:space="preserve"> des batteries</w:t>
      </w:r>
      <w:r w:rsidR="00FA62CF">
        <w:rPr>
          <w:i/>
          <w:color w:val="000000"/>
        </w:rPr>
        <w:t xml:space="preserve"> portables et MTL</w:t>
      </w:r>
      <w:r w:rsidR="00CA096F">
        <w:rPr>
          <w:i/>
          <w:color w:val="000000"/>
        </w:rPr>
        <w:t xml:space="preserve"> incorporées dans les EEE et introduction de la possibilité pour les producteurs de bénéficier du dispositif de réfaction prévu à l’article R.541-120 du code de l’environnement.</w:t>
      </w:r>
    </w:p>
    <w:p w14:paraId="4E1CAF03" w14:textId="77777777" w:rsidR="00CA096F" w:rsidRDefault="00CA096F" w:rsidP="00BF5760">
      <w:pPr>
        <w:pStyle w:val="Standard"/>
        <w:autoSpaceDE w:val="0"/>
        <w:jc w:val="both"/>
        <w:rPr>
          <w:b/>
          <w:i/>
          <w:color w:val="000000"/>
        </w:rPr>
      </w:pPr>
    </w:p>
    <w:p w14:paraId="3D72E1BA" w14:textId="77777777" w:rsidR="00BF5760" w:rsidRDefault="00BF5760" w:rsidP="00BF5760">
      <w:pPr>
        <w:pStyle w:val="Standard"/>
        <w:autoSpaceDE w:val="0"/>
        <w:jc w:val="both"/>
        <w:rPr>
          <w:i/>
          <w:iCs/>
          <w:color w:val="000000"/>
        </w:rPr>
      </w:pPr>
      <w:r>
        <w:rPr>
          <w:b/>
          <w:i/>
          <w:iCs/>
          <w:color w:val="000000"/>
        </w:rPr>
        <w:t xml:space="preserve">Entrée en vigueur : </w:t>
      </w:r>
      <w:r>
        <w:rPr>
          <w:i/>
          <w:iCs/>
          <w:color w:val="000000"/>
        </w:rPr>
        <w:t>les dispositions du présent arrêté entrent en vigueur le 1</w:t>
      </w:r>
      <w:r w:rsidRPr="00BF5760">
        <w:rPr>
          <w:i/>
          <w:iCs/>
          <w:color w:val="000000"/>
          <w:vertAlign w:val="superscript"/>
        </w:rPr>
        <w:t>er</w:t>
      </w:r>
      <w:r>
        <w:rPr>
          <w:i/>
          <w:iCs/>
          <w:color w:val="000000"/>
        </w:rPr>
        <w:t xml:space="preserve"> janvier 2025</w:t>
      </w:r>
    </w:p>
    <w:p w14:paraId="7B4A7C07" w14:textId="77777777" w:rsidR="00BF5760" w:rsidRDefault="00BF5760" w:rsidP="00BF5760">
      <w:pPr>
        <w:pStyle w:val="Standard"/>
        <w:jc w:val="both"/>
        <w:rPr>
          <w:b/>
          <w:i/>
          <w:iCs/>
          <w:color w:val="000000"/>
        </w:rPr>
      </w:pPr>
    </w:p>
    <w:p w14:paraId="7385021D" w14:textId="509F8D03" w:rsidR="00FA62CF" w:rsidRPr="00FA62CF" w:rsidRDefault="00BF5760" w:rsidP="00FA62CF">
      <w:pPr>
        <w:pStyle w:val="Standard"/>
        <w:autoSpaceDE w:val="0"/>
        <w:jc w:val="both"/>
        <w:rPr>
          <w:bCs/>
          <w:i/>
          <w:color w:val="000000"/>
        </w:rPr>
      </w:pPr>
      <w:r>
        <w:rPr>
          <w:b/>
          <w:bCs/>
          <w:i/>
          <w:iCs/>
          <w:color w:val="000000"/>
        </w:rPr>
        <w:t xml:space="preserve">Notice : </w:t>
      </w:r>
      <w:r>
        <w:rPr>
          <w:bCs/>
          <w:i/>
          <w:color w:val="000000"/>
        </w:rPr>
        <w:t xml:space="preserve">le présent arrêté modifie le cahier des charges de la filière à responsabilité élargie du producteur des équipements électriques et électronique en fixant </w:t>
      </w:r>
      <w:r w:rsidR="00FA62CF">
        <w:rPr>
          <w:bCs/>
          <w:i/>
          <w:color w:val="000000"/>
        </w:rPr>
        <w:t xml:space="preserve">les </w:t>
      </w:r>
      <w:r w:rsidR="00FA62CF" w:rsidRPr="00FA62CF">
        <w:rPr>
          <w:bCs/>
          <w:i/>
          <w:color w:val="000000"/>
        </w:rPr>
        <w:t xml:space="preserve">modalités de financement de l’extraction </w:t>
      </w:r>
      <w:r w:rsidR="007D128F">
        <w:rPr>
          <w:bCs/>
          <w:i/>
          <w:color w:val="000000"/>
        </w:rPr>
        <w:t>préservante</w:t>
      </w:r>
      <w:r w:rsidR="00FA62CF" w:rsidRPr="00FA62CF">
        <w:rPr>
          <w:bCs/>
          <w:i/>
          <w:color w:val="000000"/>
        </w:rPr>
        <w:t xml:space="preserve"> des </w:t>
      </w:r>
      <w:r w:rsidR="00FA62CF" w:rsidRPr="00425C0E">
        <w:rPr>
          <w:bCs/>
          <w:i/>
          <w:color w:val="000000"/>
        </w:rPr>
        <w:t>batteries</w:t>
      </w:r>
      <w:r w:rsidR="00BA1D3F" w:rsidRPr="00425C0E">
        <w:rPr>
          <w:bCs/>
          <w:i/>
          <w:color w:val="000000"/>
        </w:rPr>
        <w:t xml:space="preserve"> </w:t>
      </w:r>
      <w:r w:rsidR="00FA62CF" w:rsidRPr="00425C0E">
        <w:rPr>
          <w:bCs/>
          <w:i/>
          <w:color w:val="000000"/>
        </w:rPr>
        <w:t>portables et MTL incorporées dans les EEE et en introduisant de la possibilité pour les producteurs de bénéficier du dispositif de réfaction prévu à l’article R.541-120 du code de l’environnement.</w:t>
      </w:r>
    </w:p>
    <w:p w14:paraId="50AF1030" w14:textId="77777777" w:rsidR="00BF5760" w:rsidRDefault="00BF5760" w:rsidP="00BF5760">
      <w:pPr>
        <w:pStyle w:val="Standard"/>
        <w:jc w:val="both"/>
        <w:rPr>
          <w:bCs/>
          <w:i/>
          <w:color w:val="000000"/>
        </w:rPr>
      </w:pPr>
    </w:p>
    <w:p w14:paraId="670CF2CD" w14:textId="77777777" w:rsidR="00BF5760" w:rsidRDefault="00BF5760" w:rsidP="00BF5760">
      <w:pPr>
        <w:pStyle w:val="Standard"/>
        <w:autoSpaceDE w:val="0"/>
        <w:jc w:val="both"/>
        <w:rPr>
          <w:rFonts w:eastAsiaTheme="minorHAnsi"/>
          <w:i/>
          <w:kern w:val="0"/>
          <w:lang w:eastAsia="en-US"/>
        </w:rPr>
      </w:pPr>
      <w:r>
        <w:rPr>
          <w:rFonts w:eastAsia="Calibri"/>
          <w:b/>
          <w:i/>
          <w:kern w:val="0"/>
          <w:lang w:eastAsia="en-US"/>
        </w:rPr>
        <w:t>Références :</w:t>
      </w:r>
      <w:r>
        <w:rPr>
          <w:rFonts w:eastAsia="Calibri"/>
          <w:i/>
          <w:kern w:val="0"/>
          <w:lang w:eastAsia="en-US"/>
        </w:rPr>
        <w:t xml:space="preserve"> </w:t>
      </w:r>
      <w:r>
        <w:rPr>
          <w:rFonts w:eastAsiaTheme="minorHAnsi"/>
          <w:i/>
          <w:kern w:val="0"/>
          <w:lang w:eastAsia="en-US"/>
        </w:rPr>
        <w:t>l’arrêté est pris en application du II de l’article L. 541-10 et de l’article L. 541-10-3 du code de l'environnement.</w:t>
      </w:r>
    </w:p>
    <w:p w14:paraId="76CB9BDA" w14:textId="77777777" w:rsidR="00BF5760" w:rsidRDefault="00BF5760" w:rsidP="00BF5760">
      <w:pPr>
        <w:pStyle w:val="Standard"/>
        <w:autoSpaceDE w:val="0"/>
        <w:jc w:val="both"/>
        <w:rPr>
          <w:rFonts w:eastAsiaTheme="minorHAnsi"/>
          <w:i/>
          <w:kern w:val="0"/>
          <w:lang w:eastAsia="en-US"/>
        </w:rPr>
      </w:pPr>
    </w:p>
    <w:p w14:paraId="7C270449" w14:textId="77777777" w:rsidR="00BF5760" w:rsidRDefault="00BF5760" w:rsidP="00BF5760">
      <w:pPr>
        <w:pStyle w:val="Standard"/>
        <w:autoSpaceDE w:val="0"/>
        <w:jc w:val="both"/>
        <w:rPr>
          <w:rFonts w:eastAsiaTheme="minorHAnsi"/>
          <w:i/>
          <w:kern w:val="0"/>
          <w:lang w:eastAsia="en-US"/>
        </w:rPr>
      </w:pPr>
      <w:r>
        <w:rPr>
          <w:rFonts w:eastAsiaTheme="minorHAnsi"/>
          <w:i/>
          <w:kern w:val="0"/>
          <w:lang w:eastAsia="en-US"/>
        </w:rPr>
        <w:t xml:space="preserve">Cet arrêté </w:t>
      </w:r>
      <w:r>
        <w:rPr>
          <w:i/>
        </w:rPr>
        <w:t xml:space="preserve">ainsi que son annexe </w:t>
      </w:r>
      <w:r>
        <w:rPr>
          <w:rFonts w:eastAsiaTheme="minorHAnsi"/>
          <w:i/>
          <w:kern w:val="0"/>
          <w:lang w:eastAsia="en-US"/>
        </w:rPr>
        <w:t>peuvent être consultés sur le site Légifrance (</w:t>
      </w:r>
      <w:hyperlink r:id="rId8" w:history="1">
        <w:r>
          <w:rPr>
            <w:rStyle w:val="Lienhypertexte"/>
            <w:rFonts w:eastAsiaTheme="minorHAnsi"/>
            <w:i/>
            <w:color w:val="auto"/>
            <w:kern w:val="0"/>
            <w:u w:val="none"/>
            <w:lang w:eastAsia="en-US"/>
          </w:rPr>
          <w:t>https://www.legifrance.gouv.fr</w:t>
        </w:r>
      </w:hyperlink>
      <w:r>
        <w:rPr>
          <w:rFonts w:eastAsiaTheme="minorHAnsi"/>
          <w:i/>
          <w:kern w:val="0"/>
          <w:lang w:eastAsia="en-US"/>
        </w:rPr>
        <w:t>).</w:t>
      </w:r>
    </w:p>
    <w:p w14:paraId="7FDC5BBA" w14:textId="77777777" w:rsidR="00BF5760" w:rsidRDefault="00BF5760" w:rsidP="00BF5760">
      <w:pPr>
        <w:pStyle w:val="Standard"/>
        <w:autoSpaceDE w:val="0"/>
        <w:jc w:val="both"/>
        <w:rPr>
          <w:rFonts w:eastAsiaTheme="minorHAnsi"/>
          <w:i/>
          <w:kern w:val="0"/>
          <w:lang w:eastAsia="en-US"/>
        </w:rPr>
      </w:pPr>
    </w:p>
    <w:p w14:paraId="43B7EE79" w14:textId="77777777" w:rsidR="00BF5760" w:rsidRDefault="00BF5760" w:rsidP="00BF5760">
      <w:pPr>
        <w:pStyle w:val="Standard"/>
        <w:autoSpaceDE w:val="0"/>
        <w:jc w:val="center"/>
        <w:rPr>
          <w:rFonts w:eastAsiaTheme="minorHAnsi"/>
          <w:i/>
          <w:kern w:val="0"/>
          <w:lang w:eastAsia="en-US"/>
        </w:rPr>
      </w:pPr>
    </w:p>
    <w:p w14:paraId="02447433" w14:textId="77777777" w:rsidR="00BF5760" w:rsidRDefault="00BF5760" w:rsidP="00BF5760">
      <w:pPr>
        <w:pStyle w:val="Standard"/>
        <w:autoSpaceDE w:val="0"/>
        <w:jc w:val="both"/>
        <w:rPr>
          <w:rFonts w:eastAsia="Calibri"/>
          <w:i/>
          <w:kern w:val="0"/>
          <w:lang w:eastAsia="en-US"/>
        </w:rPr>
      </w:pPr>
      <w:r>
        <w:t xml:space="preserve">Le ministre de la Transition écologique et de la Cohésion des territoires ; </w:t>
      </w:r>
    </w:p>
    <w:p w14:paraId="172A6CA5" w14:textId="77777777" w:rsidR="00BF5760" w:rsidRDefault="00BF5760" w:rsidP="00BF5760">
      <w:pPr>
        <w:spacing w:after="0" w:line="240" w:lineRule="auto"/>
        <w:jc w:val="both"/>
        <w:rPr>
          <w:rFonts w:ascii="Times New Roman" w:hAnsi="Times New Roman"/>
          <w:sz w:val="24"/>
          <w:szCs w:val="24"/>
        </w:rPr>
      </w:pPr>
    </w:p>
    <w:p w14:paraId="5196BE8C" w14:textId="0C7764E0" w:rsidR="00BF5760" w:rsidRDefault="00BF5760" w:rsidP="00BF5760">
      <w:pPr>
        <w:spacing w:line="240" w:lineRule="auto"/>
        <w:jc w:val="both"/>
        <w:rPr>
          <w:rFonts w:ascii="Times New Roman" w:hAnsi="Times New Roman"/>
          <w:sz w:val="24"/>
          <w:szCs w:val="24"/>
        </w:rPr>
      </w:pPr>
      <w:r>
        <w:rPr>
          <w:rFonts w:ascii="Times New Roman" w:hAnsi="Times New Roman"/>
          <w:sz w:val="24"/>
          <w:szCs w:val="24"/>
        </w:rPr>
        <w:t xml:space="preserve">Vu le code de l’environnement, </w:t>
      </w:r>
      <w:r w:rsidR="004E4844">
        <w:rPr>
          <w:rFonts w:ascii="Times New Roman" w:hAnsi="Times New Roman"/>
          <w:sz w:val="24"/>
          <w:szCs w:val="24"/>
        </w:rPr>
        <w:t>notamment ses articles</w:t>
      </w:r>
      <w:r>
        <w:rPr>
          <w:rFonts w:ascii="Times New Roman" w:hAnsi="Times New Roman"/>
          <w:sz w:val="24"/>
          <w:szCs w:val="24"/>
        </w:rPr>
        <w:t xml:space="preserve"> L. 541-10, L. 541-10-1 (5°</w:t>
      </w:r>
      <w:r w:rsidR="004E4844">
        <w:rPr>
          <w:rFonts w:ascii="Times New Roman" w:hAnsi="Times New Roman"/>
          <w:sz w:val="24"/>
          <w:szCs w:val="24"/>
        </w:rPr>
        <w:t xml:space="preserve"> et 6°</w:t>
      </w:r>
      <w:r>
        <w:rPr>
          <w:rFonts w:ascii="Times New Roman" w:hAnsi="Times New Roman"/>
          <w:sz w:val="24"/>
          <w:szCs w:val="24"/>
        </w:rPr>
        <w:t>), L. 541-10-3 et R. 541-</w:t>
      </w:r>
      <w:r w:rsidR="004E4844">
        <w:rPr>
          <w:rFonts w:ascii="Times New Roman" w:hAnsi="Times New Roman"/>
          <w:sz w:val="24"/>
          <w:szCs w:val="24"/>
        </w:rPr>
        <w:t>120, R.543-200-1</w:t>
      </w:r>
      <w:r>
        <w:rPr>
          <w:rFonts w:ascii="Times New Roman" w:hAnsi="Times New Roman"/>
          <w:sz w:val="24"/>
          <w:szCs w:val="24"/>
        </w:rPr>
        <w:t xml:space="preserve"> ;</w:t>
      </w:r>
    </w:p>
    <w:p w14:paraId="1F18F214" w14:textId="77777777" w:rsidR="00BF5760" w:rsidRDefault="00BF5760" w:rsidP="00BF5760">
      <w:pPr>
        <w:pStyle w:val="NormalWeb"/>
        <w:jc w:val="both"/>
        <w:rPr>
          <w:rFonts w:ascii="Times New Roman" w:eastAsia="Calibri" w:hAnsi="Times New Roman"/>
          <w:kern w:val="0"/>
          <w:lang w:eastAsia="en-US"/>
        </w:rPr>
      </w:pPr>
      <w:r>
        <w:rPr>
          <w:rFonts w:ascii="Times New Roman" w:eastAsia="Calibri" w:hAnsi="Times New Roman"/>
          <w:kern w:val="0"/>
          <w:lang w:eastAsia="en-US"/>
        </w:rPr>
        <w:lastRenderedPageBreak/>
        <w:t>Vu l’arrêté du 27 octobre 2021 modifié portant cahiers des charges des éco-organismes, des systèmes individuels et des organismes coordonnateurs de la filière à responsabilité élargie du producteur des équipements électriques et électroniques ;</w:t>
      </w:r>
    </w:p>
    <w:p w14:paraId="1B0BAE5A" w14:textId="77777777" w:rsidR="00BF5760" w:rsidRDefault="00BF5760" w:rsidP="00BF5760">
      <w:pPr>
        <w:spacing w:after="0" w:line="240" w:lineRule="auto"/>
        <w:jc w:val="both"/>
        <w:rPr>
          <w:rFonts w:ascii="Times New Roman" w:hAnsi="Times New Roman"/>
          <w:sz w:val="24"/>
          <w:szCs w:val="24"/>
        </w:rPr>
      </w:pPr>
      <w:r>
        <w:rPr>
          <w:rFonts w:ascii="Times New Roman" w:hAnsi="Times New Roman"/>
          <w:sz w:val="24"/>
          <w:szCs w:val="24"/>
        </w:rPr>
        <w:t xml:space="preserve">Vu l’avis de la commission inter-filières de responsabilité élargie des producteurs, en date du </w:t>
      </w:r>
      <w:r w:rsidR="00FA62CF" w:rsidRPr="00FA62CF">
        <w:rPr>
          <w:rFonts w:ascii="Times New Roman" w:hAnsi="Times New Roman"/>
          <w:sz w:val="24"/>
          <w:szCs w:val="24"/>
          <w:highlight w:val="yellow"/>
        </w:rPr>
        <w:t>XXX</w:t>
      </w:r>
      <w:r>
        <w:rPr>
          <w:rFonts w:ascii="Times New Roman" w:hAnsi="Times New Roman"/>
          <w:sz w:val="24"/>
          <w:szCs w:val="24"/>
        </w:rPr>
        <w:t xml:space="preserve"> ;</w:t>
      </w:r>
    </w:p>
    <w:p w14:paraId="2A2C784E" w14:textId="77777777" w:rsidR="00BF5760" w:rsidRDefault="00BF5760" w:rsidP="00BF5760">
      <w:pPr>
        <w:spacing w:after="0" w:line="240" w:lineRule="auto"/>
        <w:jc w:val="both"/>
        <w:rPr>
          <w:rFonts w:ascii="Times New Roman" w:hAnsi="Times New Roman"/>
          <w:sz w:val="24"/>
          <w:szCs w:val="24"/>
        </w:rPr>
      </w:pPr>
    </w:p>
    <w:p w14:paraId="0710185D" w14:textId="77777777" w:rsidR="00BF5760" w:rsidRDefault="00BF5760" w:rsidP="00BF5760">
      <w:pPr>
        <w:pStyle w:val="SNConsultation"/>
        <w:spacing w:before="0" w:after="0"/>
        <w:ind w:firstLine="0"/>
      </w:pPr>
      <w:r>
        <w:t xml:space="preserve">Vu les observations formulées lors de la consultation du public réalisée du </w:t>
      </w:r>
      <w:r w:rsidR="00FA62CF" w:rsidRPr="00FA62CF">
        <w:rPr>
          <w:highlight w:val="yellow"/>
        </w:rPr>
        <w:t>XXX</w:t>
      </w:r>
      <w:r w:rsidRPr="00FA62CF">
        <w:rPr>
          <w:highlight w:val="yellow"/>
        </w:rPr>
        <w:t xml:space="preserve"> au </w:t>
      </w:r>
      <w:r w:rsidR="00FA62CF" w:rsidRPr="00FA62CF">
        <w:rPr>
          <w:highlight w:val="yellow"/>
        </w:rPr>
        <w:t>XXX</w:t>
      </w:r>
      <w:r w:rsidRPr="00FA62CF">
        <w:rPr>
          <w:highlight w:val="yellow"/>
        </w:rPr>
        <w:t>,</w:t>
      </w:r>
      <w:r>
        <w:t xml:space="preserve"> en application de l'article L. 123-19-1 du code de l'environnement ;</w:t>
      </w:r>
    </w:p>
    <w:p w14:paraId="0F835AF7" w14:textId="77777777" w:rsidR="00BF5760" w:rsidRDefault="00BF5760" w:rsidP="00BF5760">
      <w:pPr>
        <w:spacing w:after="0" w:line="240" w:lineRule="auto"/>
        <w:jc w:val="both"/>
        <w:rPr>
          <w:rFonts w:ascii="Times New Roman" w:hAnsi="Times New Roman"/>
          <w:sz w:val="24"/>
          <w:szCs w:val="24"/>
        </w:rPr>
      </w:pPr>
    </w:p>
    <w:p w14:paraId="3D456B88" w14:textId="77777777" w:rsidR="00BF5760" w:rsidRDefault="00BF5760" w:rsidP="00BF5760">
      <w:pPr>
        <w:spacing w:after="0" w:line="240" w:lineRule="auto"/>
        <w:rPr>
          <w:rFonts w:ascii="Times New Roman" w:hAnsi="Times New Roman"/>
          <w:sz w:val="24"/>
          <w:szCs w:val="24"/>
        </w:rPr>
      </w:pPr>
    </w:p>
    <w:p w14:paraId="2B3B03EB" w14:textId="77777777" w:rsidR="00BF5760" w:rsidRDefault="00BF5760" w:rsidP="00BF5760">
      <w:pPr>
        <w:spacing w:after="0" w:line="240" w:lineRule="auto"/>
        <w:jc w:val="center"/>
        <w:rPr>
          <w:rFonts w:ascii="Times New Roman" w:hAnsi="Times New Roman"/>
          <w:b/>
          <w:sz w:val="24"/>
          <w:szCs w:val="24"/>
        </w:rPr>
      </w:pPr>
      <w:r>
        <w:rPr>
          <w:rFonts w:ascii="Times New Roman" w:hAnsi="Times New Roman"/>
          <w:b/>
          <w:sz w:val="24"/>
          <w:szCs w:val="24"/>
        </w:rPr>
        <w:t>Arrête :</w:t>
      </w:r>
    </w:p>
    <w:p w14:paraId="12121B1A" w14:textId="77777777" w:rsidR="00BF5760" w:rsidRDefault="00BF5760" w:rsidP="00BF5760">
      <w:pPr>
        <w:spacing w:after="0" w:line="240" w:lineRule="auto"/>
        <w:jc w:val="center"/>
        <w:rPr>
          <w:rFonts w:ascii="Times New Roman" w:hAnsi="Times New Roman"/>
          <w:b/>
          <w:sz w:val="24"/>
          <w:szCs w:val="24"/>
        </w:rPr>
      </w:pPr>
    </w:p>
    <w:p w14:paraId="5BA667EB" w14:textId="77777777" w:rsidR="00BF5760" w:rsidRDefault="00BF5760" w:rsidP="00BF5760">
      <w:pPr>
        <w:spacing w:after="0" w:line="240" w:lineRule="auto"/>
        <w:jc w:val="center"/>
        <w:rPr>
          <w:rFonts w:ascii="Times New Roman" w:hAnsi="Times New Roman"/>
          <w:b/>
          <w:sz w:val="24"/>
          <w:szCs w:val="24"/>
        </w:rPr>
      </w:pPr>
      <w:r>
        <w:rPr>
          <w:rFonts w:ascii="Times New Roman" w:hAnsi="Times New Roman"/>
          <w:b/>
          <w:sz w:val="24"/>
          <w:szCs w:val="24"/>
        </w:rPr>
        <w:t>Article 1</w:t>
      </w:r>
      <w:r>
        <w:rPr>
          <w:rFonts w:ascii="Times New Roman" w:hAnsi="Times New Roman"/>
          <w:b/>
          <w:sz w:val="24"/>
          <w:szCs w:val="24"/>
          <w:vertAlign w:val="superscript"/>
        </w:rPr>
        <w:t>er</w:t>
      </w:r>
    </w:p>
    <w:p w14:paraId="19ED9A69" w14:textId="77777777" w:rsidR="00BF5760" w:rsidRDefault="00BF5760" w:rsidP="00BF5760">
      <w:pPr>
        <w:spacing w:after="0" w:line="240" w:lineRule="auto"/>
        <w:jc w:val="both"/>
        <w:rPr>
          <w:rFonts w:ascii="Times New Roman" w:hAnsi="Times New Roman"/>
          <w:sz w:val="24"/>
          <w:szCs w:val="24"/>
        </w:rPr>
      </w:pPr>
    </w:p>
    <w:p w14:paraId="4B49612C" w14:textId="77777777" w:rsidR="00BF5760" w:rsidRDefault="00BF5760" w:rsidP="00BF5760">
      <w:pPr>
        <w:spacing w:after="0" w:line="240" w:lineRule="auto"/>
        <w:jc w:val="both"/>
        <w:rPr>
          <w:rFonts w:ascii="Times New Roman" w:hAnsi="Times New Roman"/>
          <w:sz w:val="24"/>
          <w:szCs w:val="24"/>
        </w:rPr>
      </w:pPr>
      <w:r>
        <w:rPr>
          <w:rFonts w:ascii="Times New Roman" w:hAnsi="Times New Roman"/>
          <w:sz w:val="24"/>
          <w:szCs w:val="24"/>
        </w:rPr>
        <w:t>Le cahier des charges des éco-organismes de la filière à responsabilité élargie du producteur des équipements électriques et électroniques annexé à l’arrêté du 27 octobre 2021 susvisé est modifié conformément aux dispositions figurant en annexe I du présent arrêté.</w:t>
      </w:r>
    </w:p>
    <w:p w14:paraId="5921A335" w14:textId="77777777" w:rsidR="00BF5760" w:rsidRPr="00611E5C" w:rsidRDefault="00BF5760" w:rsidP="00BF5760">
      <w:pPr>
        <w:pStyle w:val="NormalWeb"/>
        <w:jc w:val="center"/>
        <w:rPr>
          <w:rFonts w:ascii="Times New Roman" w:eastAsia="Calibri" w:hAnsi="Times New Roman"/>
          <w:b/>
          <w:kern w:val="0"/>
          <w:lang w:eastAsia="en-US"/>
        </w:rPr>
      </w:pPr>
      <w:r w:rsidRPr="00611E5C">
        <w:rPr>
          <w:rFonts w:ascii="Times New Roman" w:eastAsia="Calibri" w:hAnsi="Times New Roman"/>
          <w:b/>
          <w:kern w:val="0"/>
          <w:lang w:eastAsia="en-US"/>
        </w:rPr>
        <w:t>Article 2</w:t>
      </w:r>
    </w:p>
    <w:p w14:paraId="7A7F1A5E" w14:textId="77777777" w:rsidR="00BF5760" w:rsidRPr="0090194F" w:rsidRDefault="00FA62CF" w:rsidP="00BF5760">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9237A7C" w14:textId="77777777" w:rsidR="00BF5760" w:rsidRDefault="00BF5760" w:rsidP="00BF5760">
      <w:pPr>
        <w:spacing w:after="0" w:line="240" w:lineRule="auto"/>
        <w:jc w:val="both"/>
        <w:rPr>
          <w:rFonts w:ascii="Times New Roman" w:hAnsi="Times New Roman"/>
          <w:sz w:val="24"/>
          <w:szCs w:val="24"/>
        </w:rPr>
      </w:pPr>
      <w:r w:rsidRPr="0090194F">
        <w:rPr>
          <w:rFonts w:ascii="Times New Roman" w:hAnsi="Times New Roman"/>
          <w:sz w:val="24"/>
          <w:szCs w:val="24"/>
        </w:rPr>
        <w:t>Les dispositions du présent arrêté entrent en vigueur le 1</w:t>
      </w:r>
      <w:r w:rsidRPr="0090454B">
        <w:rPr>
          <w:rFonts w:ascii="Times New Roman" w:hAnsi="Times New Roman"/>
          <w:sz w:val="24"/>
          <w:szCs w:val="24"/>
          <w:vertAlign w:val="superscript"/>
        </w:rPr>
        <w:t>er</w:t>
      </w:r>
      <w:r w:rsidRPr="0090194F">
        <w:rPr>
          <w:rFonts w:ascii="Times New Roman" w:hAnsi="Times New Roman"/>
          <w:sz w:val="24"/>
          <w:szCs w:val="24"/>
        </w:rPr>
        <w:t xml:space="preserve"> janvier 2025.</w:t>
      </w:r>
    </w:p>
    <w:p w14:paraId="611EEE71" w14:textId="77777777" w:rsidR="00BF5760" w:rsidRDefault="00BF5760" w:rsidP="00BF5760">
      <w:pPr>
        <w:pStyle w:val="NormalWeb"/>
        <w:jc w:val="center"/>
        <w:rPr>
          <w:rFonts w:ascii="Times New Roman" w:eastAsia="Calibri" w:hAnsi="Times New Roman"/>
          <w:b/>
          <w:kern w:val="0"/>
          <w:lang w:eastAsia="en-US"/>
        </w:rPr>
      </w:pPr>
      <w:r>
        <w:rPr>
          <w:rFonts w:ascii="Times New Roman" w:eastAsia="Calibri" w:hAnsi="Times New Roman"/>
          <w:b/>
          <w:kern w:val="0"/>
          <w:lang w:eastAsia="en-US"/>
        </w:rPr>
        <w:t>Article 3</w:t>
      </w:r>
    </w:p>
    <w:p w14:paraId="7AAE4794" w14:textId="77777777" w:rsidR="00BF5760" w:rsidRDefault="00BF5760" w:rsidP="00BF5760">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Le directeur général de la prévention des risques est chargé de l'exécution du présent arrêté, qui sera publié au </w:t>
      </w:r>
      <w:r>
        <w:rPr>
          <w:rFonts w:ascii="Times New Roman" w:eastAsia="Calibri" w:hAnsi="Times New Roman"/>
          <w:i/>
          <w:kern w:val="0"/>
          <w:lang w:eastAsia="en-US"/>
        </w:rPr>
        <w:t>Journal officiel</w:t>
      </w:r>
      <w:r>
        <w:rPr>
          <w:rFonts w:ascii="Times New Roman" w:eastAsia="Calibri" w:hAnsi="Times New Roman"/>
          <w:kern w:val="0"/>
          <w:lang w:eastAsia="en-US"/>
        </w:rPr>
        <w:t xml:space="preserve"> de la République française.</w:t>
      </w:r>
    </w:p>
    <w:p w14:paraId="0AFCF380" w14:textId="77777777" w:rsidR="00BF5760" w:rsidRDefault="00BF5760" w:rsidP="00BF5760">
      <w:pPr>
        <w:spacing w:after="0" w:line="240" w:lineRule="auto"/>
        <w:ind w:left="709"/>
        <w:jc w:val="both"/>
        <w:rPr>
          <w:rFonts w:ascii="Times New Roman" w:hAnsi="Times New Roman"/>
          <w:sz w:val="24"/>
          <w:szCs w:val="24"/>
        </w:rPr>
      </w:pPr>
    </w:p>
    <w:p w14:paraId="25163D5C" w14:textId="77777777" w:rsidR="00BF5760" w:rsidRDefault="00BF5760" w:rsidP="00BF5760">
      <w:pPr>
        <w:spacing w:after="0" w:line="240" w:lineRule="auto"/>
        <w:ind w:left="709"/>
        <w:jc w:val="both"/>
        <w:rPr>
          <w:rFonts w:ascii="Times New Roman" w:hAnsi="Times New Roman"/>
          <w:sz w:val="24"/>
          <w:szCs w:val="24"/>
        </w:rPr>
      </w:pPr>
      <w:r>
        <w:rPr>
          <w:rFonts w:ascii="Times New Roman" w:hAnsi="Times New Roman"/>
          <w:sz w:val="24"/>
          <w:szCs w:val="24"/>
        </w:rPr>
        <w:t xml:space="preserve">Fait le </w:t>
      </w:r>
    </w:p>
    <w:p w14:paraId="613CAD50" w14:textId="77777777" w:rsidR="00BF5760" w:rsidRDefault="00BF5760" w:rsidP="00BF5760">
      <w:pPr>
        <w:spacing w:after="0" w:line="240" w:lineRule="auto"/>
        <w:ind w:left="709"/>
        <w:jc w:val="both"/>
        <w:rPr>
          <w:rFonts w:ascii="Times New Roman" w:hAnsi="Times New Roman"/>
          <w:sz w:val="24"/>
          <w:szCs w:val="24"/>
        </w:rPr>
      </w:pPr>
    </w:p>
    <w:p w14:paraId="6FD1CD6C" w14:textId="77777777" w:rsidR="00BF5760" w:rsidRDefault="00BF5760" w:rsidP="00BF5760">
      <w:pPr>
        <w:spacing w:after="0" w:line="240" w:lineRule="auto"/>
        <w:ind w:left="709"/>
        <w:jc w:val="both"/>
        <w:rPr>
          <w:rFonts w:ascii="Times New Roman" w:hAnsi="Times New Roman"/>
          <w:sz w:val="24"/>
          <w:szCs w:val="24"/>
        </w:rPr>
      </w:pPr>
    </w:p>
    <w:tbl>
      <w:tblPr>
        <w:tblStyle w:val="Grilledutableau"/>
        <w:tblW w:w="0" w:type="auto"/>
        <w:tblInd w:w="-113" w:type="dxa"/>
        <w:tblLook w:val="04A0" w:firstRow="1" w:lastRow="0" w:firstColumn="1" w:lastColumn="0" w:noHBand="0" w:noVBand="1"/>
      </w:tblPr>
      <w:tblGrid>
        <w:gridCol w:w="4531"/>
        <w:gridCol w:w="4531"/>
      </w:tblGrid>
      <w:tr w:rsidR="00BF5760" w14:paraId="66DA8C13" w14:textId="77777777" w:rsidTr="00DD47A5">
        <w:tc>
          <w:tcPr>
            <w:tcW w:w="4531" w:type="dxa"/>
            <w:tcBorders>
              <w:top w:val="nil"/>
              <w:left w:val="nil"/>
              <w:bottom w:val="nil"/>
              <w:right w:val="nil"/>
            </w:tcBorders>
          </w:tcPr>
          <w:p w14:paraId="5EC28FA2" w14:textId="77777777" w:rsidR="00BF5760" w:rsidRDefault="00BF5760" w:rsidP="00DD47A5">
            <w:pPr>
              <w:pStyle w:val="Standard"/>
              <w:ind w:left="709"/>
              <w:rPr>
                <w:kern w:val="0"/>
                <w:lang w:val="fr-FR" w:eastAsia="fr-FR"/>
              </w:rPr>
            </w:pPr>
            <w:r>
              <w:rPr>
                <w:kern w:val="0"/>
                <w:lang w:val="fr-FR" w:eastAsia="fr-FR"/>
              </w:rPr>
              <w:t>Le ministre de la transition écologique et de la cohésion des territoires,</w:t>
            </w:r>
          </w:p>
          <w:p w14:paraId="690D2D2A" w14:textId="77777777" w:rsidR="00BF5760" w:rsidRDefault="00BF5760" w:rsidP="00DD47A5">
            <w:pPr>
              <w:pStyle w:val="SNSignatureGauche"/>
              <w:ind w:left="709" w:firstLine="0"/>
              <w:rPr>
                <w:lang w:val="fr-FR" w:eastAsia="fr-FR"/>
              </w:rPr>
            </w:pPr>
            <w:r>
              <w:rPr>
                <w:lang w:val="fr-FR" w:eastAsia="fr-FR"/>
              </w:rPr>
              <w:t>Pour le ministre et par délégation,</w:t>
            </w:r>
          </w:p>
          <w:p w14:paraId="398A9301" w14:textId="77777777" w:rsidR="00BF5760" w:rsidRDefault="00BF5760" w:rsidP="00DD47A5">
            <w:pPr>
              <w:pStyle w:val="SNSignatureGauche"/>
              <w:ind w:left="709" w:firstLine="0"/>
              <w:rPr>
                <w:lang w:val="fr-FR" w:eastAsia="fr-FR"/>
              </w:rPr>
            </w:pPr>
            <w:r>
              <w:rPr>
                <w:lang w:val="fr-FR" w:eastAsia="fr-FR"/>
              </w:rPr>
              <w:t>Le directeur général de la prévention des risques,</w:t>
            </w:r>
          </w:p>
          <w:p w14:paraId="143652AD" w14:textId="77777777" w:rsidR="00BF5760" w:rsidRDefault="00BF5760" w:rsidP="00DD47A5">
            <w:pPr>
              <w:pStyle w:val="SNSignatureGauche"/>
              <w:ind w:left="709" w:firstLine="0"/>
              <w:rPr>
                <w:lang w:val="fr-FR" w:eastAsia="fr-FR"/>
              </w:rPr>
            </w:pPr>
          </w:p>
          <w:p w14:paraId="030E6B00" w14:textId="77777777" w:rsidR="00BF5760" w:rsidRDefault="00BF5760" w:rsidP="00DD47A5">
            <w:pPr>
              <w:pStyle w:val="SNSignatureGauche"/>
              <w:ind w:left="709" w:firstLine="0"/>
              <w:rPr>
                <w:lang w:val="fr-FR" w:eastAsia="fr-FR"/>
              </w:rPr>
            </w:pPr>
          </w:p>
          <w:p w14:paraId="5B2BA2A9" w14:textId="77777777" w:rsidR="00BF5760" w:rsidRDefault="00BF5760" w:rsidP="00DD47A5">
            <w:pPr>
              <w:pStyle w:val="SNSignatureGauche"/>
              <w:ind w:left="709" w:firstLine="0"/>
            </w:pPr>
            <w:r>
              <w:rPr>
                <w:lang w:eastAsia="fr-FR"/>
              </w:rPr>
              <w:t>Cédric BOURILLET</w:t>
            </w:r>
          </w:p>
        </w:tc>
        <w:tc>
          <w:tcPr>
            <w:tcW w:w="4531" w:type="dxa"/>
            <w:tcBorders>
              <w:top w:val="nil"/>
              <w:left w:val="nil"/>
              <w:bottom w:val="nil"/>
              <w:right w:val="nil"/>
            </w:tcBorders>
          </w:tcPr>
          <w:p w14:paraId="340C0810" w14:textId="77777777" w:rsidR="00BF5760" w:rsidRDefault="00BF5760" w:rsidP="00DD47A5">
            <w:pPr>
              <w:pStyle w:val="SNSignatureDroite"/>
              <w:ind w:left="709"/>
              <w:rPr>
                <w:lang w:eastAsia="fr-FR"/>
              </w:rPr>
            </w:pPr>
          </w:p>
          <w:p w14:paraId="4C9E100C" w14:textId="77777777" w:rsidR="00BF5760" w:rsidRDefault="00BF5760" w:rsidP="00DD47A5">
            <w:pPr>
              <w:spacing w:line="240" w:lineRule="auto"/>
              <w:ind w:left="709"/>
              <w:jc w:val="center"/>
              <w:rPr>
                <w:rFonts w:ascii="Times New Roman" w:eastAsia="Times New Roman" w:hAnsi="Times New Roman"/>
                <w:sz w:val="24"/>
                <w:szCs w:val="24"/>
              </w:rPr>
            </w:pPr>
          </w:p>
        </w:tc>
      </w:tr>
    </w:tbl>
    <w:p w14:paraId="693CAE6F" w14:textId="77777777" w:rsidR="00BF5760" w:rsidRDefault="00BF5760" w:rsidP="00BF5760">
      <w:pPr>
        <w:pStyle w:val="NormalWeb"/>
        <w:jc w:val="both"/>
        <w:rPr>
          <w:rFonts w:ascii="Times New Roman" w:eastAsia="Calibri" w:hAnsi="Times New Roman"/>
          <w:kern w:val="0"/>
          <w:lang w:eastAsia="en-US"/>
        </w:rPr>
      </w:pPr>
    </w:p>
    <w:p w14:paraId="57FCC9FD" w14:textId="77777777" w:rsidR="00BF5760" w:rsidRDefault="00BF5760" w:rsidP="00BF5760">
      <w:pPr>
        <w:autoSpaceDN/>
        <w:spacing w:line="259" w:lineRule="auto"/>
        <w:rPr>
          <w:rFonts w:ascii="Times New Roman" w:eastAsia="Calibri" w:hAnsi="Times New Roman" w:cs="Times New Roman"/>
          <w:sz w:val="24"/>
          <w:szCs w:val="24"/>
        </w:rPr>
      </w:pPr>
      <w:r>
        <w:rPr>
          <w:rFonts w:ascii="Times New Roman" w:eastAsia="Calibri" w:hAnsi="Times New Roman"/>
        </w:rPr>
        <w:br w:type="page"/>
      </w:r>
    </w:p>
    <w:p w14:paraId="17DDDDCF" w14:textId="77777777" w:rsidR="00BF5760" w:rsidRDefault="00BF5760" w:rsidP="00BF5760">
      <w:pPr>
        <w:pStyle w:val="NormalWeb"/>
        <w:jc w:val="both"/>
        <w:rPr>
          <w:rFonts w:ascii="Times New Roman" w:eastAsia="Calibri" w:hAnsi="Times New Roman"/>
          <w:kern w:val="0"/>
          <w:lang w:eastAsia="en-US"/>
        </w:rPr>
      </w:pPr>
    </w:p>
    <w:p w14:paraId="3592FB15" w14:textId="77777777" w:rsidR="00BF5760" w:rsidRDefault="00BF5760" w:rsidP="00BF5760">
      <w:pPr>
        <w:pStyle w:val="NormalWeb"/>
        <w:jc w:val="center"/>
        <w:rPr>
          <w:rFonts w:ascii="Times New Roman" w:hAnsi="Times New Roman"/>
        </w:rPr>
      </w:pPr>
      <w:r>
        <w:rPr>
          <w:rFonts w:ascii="Times New Roman" w:hAnsi="Times New Roman"/>
        </w:rPr>
        <w:t>ANNEXE I</w:t>
      </w:r>
    </w:p>
    <w:p w14:paraId="62B726E6" w14:textId="77777777" w:rsidR="00BF5760" w:rsidRPr="00CA49CB" w:rsidRDefault="00BF5760" w:rsidP="00BF5760">
      <w:pPr>
        <w:pStyle w:val="NormalWeb"/>
        <w:jc w:val="center"/>
        <w:rPr>
          <w:rFonts w:ascii="Times New Roman" w:hAnsi="Times New Roman"/>
          <w:b/>
          <w:bCs/>
        </w:rPr>
      </w:pPr>
      <w:r>
        <w:rPr>
          <w:rStyle w:val="StrongEmphasis"/>
          <w:rFonts w:ascii="Times New Roman" w:hAnsi="Times New Roman"/>
        </w:rPr>
        <w:t xml:space="preserve">Modification du cahier des charges des éco-organismes de la filière à responsabilité élargie du producteur des équipements électriques et électroniques annexé </w:t>
      </w:r>
      <w:r>
        <w:rPr>
          <w:rFonts w:ascii="Times New Roman" w:hAnsi="Times New Roman"/>
          <w:b/>
          <w:bCs/>
        </w:rPr>
        <w:t>à l’a</w:t>
      </w:r>
      <w:r w:rsidRPr="00CA49CB">
        <w:rPr>
          <w:rFonts w:ascii="Times New Roman" w:hAnsi="Times New Roman"/>
          <w:b/>
          <w:bCs/>
        </w:rPr>
        <w:t>rrêté du 27 octobre 2021</w:t>
      </w:r>
      <w:r>
        <w:rPr>
          <w:rFonts w:ascii="Times New Roman" w:hAnsi="Times New Roman"/>
          <w:b/>
          <w:bCs/>
        </w:rPr>
        <w:t xml:space="preserve"> modifié</w:t>
      </w:r>
      <w:r w:rsidR="00FA62CF">
        <w:rPr>
          <w:rFonts w:ascii="Times New Roman" w:hAnsi="Times New Roman"/>
          <w:b/>
          <w:bCs/>
        </w:rPr>
        <w:t>.</w:t>
      </w:r>
    </w:p>
    <w:p w14:paraId="275C3054" w14:textId="77777777" w:rsidR="00BF5760" w:rsidRPr="00D7464F" w:rsidRDefault="00BF5760" w:rsidP="00BF5760">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Le </w:t>
      </w:r>
      <w:r w:rsidRPr="00D7464F">
        <w:rPr>
          <w:rFonts w:ascii="Times New Roman" w:eastAsia="Calibri" w:hAnsi="Times New Roman"/>
          <w:kern w:val="0"/>
          <w:lang w:eastAsia="en-US"/>
        </w:rPr>
        <w:t>cahier des charges des éco-organismes figurant en annexe I de l’arrêté du 27 octobre 2021 modifié portant cahiers des charges des éco-organismes, des systèmes individuels et des organismes coordonnateurs de la filière à responsabilité élargie du producteur des équipements électriques et électroniques est modifié selon les dispositions de la présente annexe.</w:t>
      </w:r>
    </w:p>
    <w:p w14:paraId="4356837E" w14:textId="612624B1" w:rsidR="00EC6B06" w:rsidRPr="00EC6B06" w:rsidRDefault="00D7464F" w:rsidP="00EC6B06">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I.- </w:t>
      </w:r>
      <w:r w:rsidR="00EC6B06">
        <w:rPr>
          <w:rFonts w:ascii="Times New Roman" w:eastAsia="Calibri" w:hAnsi="Times New Roman"/>
          <w:kern w:val="0"/>
          <w:lang w:eastAsia="en-US"/>
        </w:rPr>
        <w:t xml:space="preserve">Au paragraphe 2.2 intitulé </w:t>
      </w:r>
      <w:r w:rsidR="00EC6B06" w:rsidRPr="00EC6B06">
        <w:rPr>
          <w:rFonts w:ascii="Times New Roman" w:eastAsia="Calibri" w:hAnsi="Times New Roman"/>
          <w:kern w:val="0"/>
          <w:lang w:eastAsia="en-US"/>
        </w:rPr>
        <w:t>« Soutien aux projets de recherche et développement »</w:t>
      </w:r>
      <w:r w:rsidR="00EC6B06">
        <w:rPr>
          <w:rFonts w:ascii="Times New Roman" w:eastAsia="Calibri" w:hAnsi="Times New Roman"/>
          <w:kern w:val="0"/>
          <w:lang w:eastAsia="en-US"/>
        </w:rPr>
        <w:t>, il est ajouté un deuxième alinéa ainsi rédigé :</w:t>
      </w:r>
    </w:p>
    <w:p w14:paraId="0CCADFCD" w14:textId="02505BCD" w:rsidR="00EC6B06" w:rsidRPr="00EC6B06" w:rsidRDefault="00EC6B06" w:rsidP="00EC6B06">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Pr="00EC6B06">
        <w:rPr>
          <w:rFonts w:ascii="Times New Roman" w:eastAsia="Calibri" w:hAnsi="Times New Roman"/>
          <w:kern w:val="0"/>
          <w:lang w:eastAsia="en-US"/>
        </w:rPr>
        <w:t>Il organise en lien avec les éco-organismes agréés sur la filière de gestion des batteries portables et MTL un appel à projets sur les techniques de repérage précoce des éléments pouvant être source significative de danger dans le tri et le traitement des déchets d’équipements électriques et électroniques dans lesquels des batteries sont incorporées. »</w:t>
      </w:r>
    </w:p>
    <w:p w14:paraId="4449B4B3" w14:textId="20B6058F" w:rsidR="004451F9" w:rsidRDefault="00EC6B06"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II.- </w:t>
      </w:r>
      <w:r w:rsidR="004451F9" w:rsidRPr="00D7464F">
        <w:rPr>
          <w:rFonts w:ascii="Times New Roman" w:eastAsia="Calibri" w:hAnsi="Times New Roman"/>
          <w:kern w:val="0"/>
          <w:lang w:eastAsia="en-US"/>
        </w:rPr>
        <w:t xml:space="preserve">Au paragraphe 3.12 intitulé « Comité technique opérationnel de gestion des DEEE » </w:t>
      </w:r>
      <w:r w:rsidR="00435115">
        <w:rPr>
          <w:rFonts w:ascii="Times New Roman" w:eastAsia="Calibri" w:hAnsi="Times New Roman"/>
          <w:kern w:val="0"/>
          <w:lang w:eastAsia="en-US"/>
        </w:rPr>
        <w:t>sont</w:t>
      </w:r>
      <w:r w:rsidR="00435115" w:rsidRPr="00D7464F">
        <w:rPr>
          <w:rFonts w:ascii="Times New Roman" w:eastAsia="Calibri" w:hAnsi="Times New Roman"/>
          <w:kern w:val="0"/>
          <w:lang w:eastAsia="en-US"/>
        </w:rPr>
        <w:t xml:space="preserve"> </w:t>
      </w:r>
      <w:r w:rsidR="004451F9" w:rsidRPr="00D7464F">
        <w:rPr>
          <w:rFonts w:ascii="Times New Roman" w:eastAsia="Calibri" w:hAnsi="Times New Roman"/>
          <w:kern w:val="0"/>
          <w:lang w:eastAsia="en-US"/>
        </w:rPr>
        <w:t>inséré</w:t>
      </w:r>
      <w:r w:rsidR="00435115">
        <w:rPr>
          <w:rFonts w:ascii="Times New Roman" w:eastAsia="Calibri" w:hAnsi="Times New Roman"/>
          <w:kern w:val="0"/>
          <w:lang w:eastAsia="en-US"/>
        </w:rPr>
        <w:t>s</w:t>
      </w:r>
      <w:r w:rsidR="004451F9" w:rsidRPr="00D7464F">
        <w:rPr>
          <w:rFonts w:ascii="Times New Roman" w:eastAsia="Calibri" w:hAnsi="Times New Roman"/>
          <w:kern w:val="0"/>
          <w:lang w:eastAsia="en-US"/>
        </w:rPr>
        <w:t xml:space="preserve"> </w:t>
      </w:r>
      <w:r w:rsidR="003B372E">
        <w:rPr>
          <w:rFonts w:ascii="Times New Roman" w:eastAsia="Calibri" w:hAnsi="Times New Roman"/>
          <w:kern w:val="0"/>
          <w:lang w:eastAsia="en-US"/>
        </w:rPr>
        <w:t>trois</w:t>
      </w:r>
      <w:r w:rsidR="004451F9" w:rsidRPr="00D7464F">
        <w:rPr>
          <w:rFonts w:ascii="Times New Roman" w:eastAsia="Calibri" w:hAnsi="Times New Roman"/>
          <w:kern w:val="0"/>
          <w:lang w:eastAsia="en-US"/>
        </w:rPr>
        <w:t xml:space="preserve"> alinéa</w:t>
      </w:r>
      <w:r w:rsidR="00435115">
        <w:rPr>
          <w:rFonts w:ascii="Times New Roman" w:eastAsia="Calibri" w:hAnsi="Times New Roman"/>
          <w:kern w:val="0"/>
          <w:lang w:eastAsia="en-US"/>
        </w:rPr>
        <w:t>s</w:t>
      </w:r>
      <w:r w:rsidR="004451F9" w:rsidRPr="00D7464F">
        <w:rPr>
          <w:rFonts w:ascii="Times New Roman" w:eastAsia="Calibri" w:hAnsi="Times New Roman"/>
          <w:kern w:val="0"/>
          <w:lang w:eastAsia="en-US"/>
        </w:rPr>
        <w:t xml:space="preserve"> ainsi rédigé</w:t>
      </w:r>
      <w:r w:rsidR="00435115">
        <w:rPr>
          <w:rFonts w:ascii="Times New Roman" w:eastAsia="Calibri" w:hAnsi="Times New Roman"/>
          <w:kern w:val="0"/>
          <w:lang w:eastAsia="en-US"/>
        </w:rPr>
        <w:t>s</w:t>
      </w:r>
      <w:r w:rsidR="004451F9" w:rsidRPr="00D7464F">
        <w:rPr>
          <w:rFonts w:ascii="Times New Roman" w:eastAsia="Calibri" w:hAnsi="Times New Roman"/>
          <w:kern w:val="0"/>
          <w:lang w:eastAsia="en-US"/>
        </w:rPr>
        <w:t xml:space="preserve"> : </w:t>
      </w:r>
    </w:p>
    <w:p w14:paraId="5E07CEE7" w14:textId="77777777" w:rsidR="003B372E" w:rsidRDefault="003B372E" w:rsidP="003B372E">
      <w:pPr>
        <w:pStyle w:val="NormalWeb"/>
        <w:jc w:val="both"/>
        <w:rPr>
          <w:rFonts w:ascii="Times New Roman" w:eastAsia="Calibri" w:hAnsi="Times New Roman"/>
          <w:kern w:val="0"/>
          <w:lang w:eastAsia="en-US"/>
        </w:rPr>
      </w:pPr>
      <w:r>
        <w:rPr>
          <w:rFonts w:ascii="Times New Roman" w:eastAsia="Calibri" w:hAnsi="Times New Roman"/>
          <w:kern w:val="0"/>
          <w:lang w:eastAsia="en-US"/>
        </w:rPr>
        <w:t>« La présidence de ce comité est tournante et les opérateurs de gestion des déchets de batterie peuvent ajouter des éléments à l’ordre du jour du comité. »</w:t>
      </w:r>
    </w:p>
    <w:p w14:paraId="5AA6021B" w14:textId="03D286F0" w:rsidR="004451F9" w:rsidRDefault="004451F9" w:rsidP="00D7464F">
      <w:pPr>
        <w:pStyle w:val="NormalWeb"/>
        <w:jc w:val="both"/>
        <w:rPr>
          <w:rFonts w:ascii="Times New Roman" w:eastAsia="Calibri" w:hAnsi="Times New Roman"/>
          <w:kern w:val="0"/>
          <w:lang w:eastAsia="en-US"/>
        </w:rPr>
      </w:pPr>
      <w:r w:rsidRPr="00D7464F">
        <w:rPr>
          <w:rFonts w:ascii="Times New Roman" w:eastAsia="Calibri" w:hAnsi="Times New Roman"/>
          <w:kern w:val="0"/>
          <w:lang w:eastAsia="en-US"/>
        </w:rPr>
        <w:t xml:space="preserve">« Ce comité participe à l’évaluation des coûts relatifs aux opérations d’extraction </w:t>
      </w:r>
      <w:r w:rsidR="00DE7720">
        <w:rPr>
          <w:rFonts w:ascii="Times New Roman" w:eastAsia="Calibri" w:hAnsi="Times New Roman"/>
          <w:kern w:val="0"/>
          <w:lang w:eastAsia="en-US"/>
        </w:rPr>
        <w:t>préservante</w:t>
      </w:r>
      <w:r w:rsidRPr="00D7464F">
        <w:rPr>
          <w:rFonts w:ascii="Times New Roman" w:eastAsia="Calibri" w:hAnsi="Times New Roman"/>
          <w:kern w:val="0"/>
          <w:lang w:eastAsia="en-US"/>
        </w:rPr>
        <w:t xml:space="preserve"> des batteries portables et MTL assurées par les opérateurs de gestion de déchets d’équipements électriques et électroniques. » </w:t>
      </w:r>
    </w:p>
    <w:p w14:paraId="2ED3E005" w14:textId="3CA6E0FC" w:rsidR="00F459D1" w:rsidRPr="00D7464F" w:rsidRDefault="00F459D1"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008A6E6F" w:rsidRPr="008A6E6F">
        <w:rPr>
          <w:rFonts w:ascii="Times New Roman" w:eastAsia="Calibri" w:hAnsi="Times New Roman"/>
          <w:kern w:val="0"/>
          <w:lang w:eastAsia="en-US"/>
        </w:rPr>
        <w:t>L’éco-organisme mène dans le cadre du comité une concertation sur le contrat type établi en application des articles L. 541-10-19 et R. 543-128 du code de l’environnement, ainsi que sur les conditions d’une mutualisation des audits entre éco-organismes et systèmes individuels agréés.</w:t>
      </w:r>
      <w:r>
        <w:rPr>
          <w:rFonts w:ascii="Times New Roman" w:eastAsia="Calibri" w:hAnsi="Times New Roman"/>
          <w:kern w:val="0"/>
          <w:lang w:eastAsia="en-US"/>
        </w:rPr>
        <w:t> »</w:t>
      </w:r>
    </w:p>
    <w:p w14:paraId="2DAB9FCD" w14:textId="3E269328" w:rsid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II.- A la fin du paragraphe 3, </w:t>
      </w:r>
      <w:r w:rsidR="004E4844">
        <w:rPr>
          <w:rFonts w:ascii="Times New Roman" w:eastAsia="Calibri" w:hAnsi="Times New Roman"/>
          <w:kern w:val="0"/>
          <w:lang w:eastAsia="en-US"/>
        </w:rPr>
        <w:t xml:space="preserve">sont </w:t>
      </w:r>
      <w:r w:rsidR="004451F9" w:rsidRPr="00D7464F">
        <w:rPr>
          <w:rFonts w:ascii="Times New Roman" w:eastAsia="Calibri" w:hAnsi="Times New Roman"/>
          <w:kern w:val="0"/>
          <w:lang w:eastAsia="en-US"/>
        </w:rPr>
        <w:t>ajouté</w:t>
      </w:r>
      <w:r w:rsidR="004E4844">
        <w:rPr>
          <w:rFonts w:ascii="Times New Roman" w:eastAsia="Calibri" w:hAnsi="Times New Roman"/>
          <w:kern w:val="0"/>
          <w:lang w:eastAsia="en-US"/>
        </w:rPr>
        <w:t>s</w:t>
      </w:r>
      <w:r w:rsidR="004451F9" w:rsidRPr="00D7464F">
        <w:rPr>
          <w:rFonts w:ascii="Times New Roman" w:eastAsia="Calibri" w:hAnsi="Times New Roman"/>
          <w:kern w:val="0"/>
          <w:lang w:eastAsia="en-US"/>
        </w:rPr>
        <w:t xml:space="preserve"> </w:t>
      </w:r>
      <w:r>
        <w:rPr>
          <w:rFonts w:ascii="Times New Roman" w:eastAsia="Calibri" w:hAnsi="Times New Roman"/>
          <w:kern w:val="0"/>
          <w:lang w:eastAsia="en-US"/>
        </w:rPr>
        <w:t xml:space="preserve">deux nouveaux </w:t>
      </w:r>
      <w:r w:rsidR="004451F9" w:rsidRPr="00D7464F">
        <w:rPr>
          <w:rFonts w:ascii="Times New Roman" w:eastAsia="Calibri" w:hAnsi="Times New Roman"/>
          <w:kern w:val="0"/>
          <w:lang w:eastAsia="en-US"/>
        </w:rPr>
        <w:t>paragraphe</w:t>
      </w:r>
      <w:r>
        <w:rPr>
          <w:rFonts w:ascii="Times New Roman" w:eastAsia="Calibri" w:hAnsi="Times New Roman"/>
          <w:kern w:val="0"/>
          <w:lang w:eastAsia="en-US"/>
        </w:rPr>
        <w:t xml:space="preserve">s </w:t>
      </w:r>
      <w:r w:rsidR="004E4844">
        <w:rPr>
          <w:rFonts w:ascii="Times New Roman" w:eastAsia="Calibri" w:hAnsi="Times New Roman"/>
          <w:kern w:val="0"/>
          <w:lang w:eastAsia="en-US"/>
        </w:rPr>
        <w:t>ainsi rédigés</w:t>
      </w:r>
      <w:r>
        <w:rPr>
          <w:rFonts w:ascii="Times New Roman" w:eastAsia="Calibri" w:hAnsi="Times New Roman"/>
          <w:kern w:val="0"/>
          <w:lang w:eastAsia="en-US"/>
        </w:rPr>
        <w:t xml:space="preserve"> : </w:t>
      </w:r>
    </w:p>
    <w:p w14:paraId="2C1E34B8" w14:textId="77777777" w:rsidR="00D7464F" w:rsidRDefault="004451F9" w:rsidP="00D7464F">
      <w:pPr>
        <w:pStyle w:val="NormalWeb"/>
        <w:jc w:val="both"/>
        <w:rPr>
          <w:rFonts w:ascii="Times New Roman" w:eastAsia="Calibri" w:hAnsi="Times New Roman"/>
          <w:kern w:val="0"/>
          <w:lang w:eastAsia="en-US"/>
        </w:rPr>
      </w:pPr>
      <w:r w:rsidRPr="00D7464F">
        <w:rPr>
          <w:rFonts w:ascii="Times New Roman" w:eastAsia="Calibri" w:hAnsi="Times New Roman"/>
          <w:kern w:val="0"/>
          <w:lang w:eastAsia="en-US"/>
        </w:rPr>
        <w:t xml:space="preserve"> « </w:t>
      </w:r>
      <w:r w:rsidR="00D7464F" w:rsidRPr="00D7464F">
        <w:rPr>
          <w:rFonts w:ascii="Times New Roman" w:eastAsia="Calibri" w:hAnsi="Times New Roman"/>
          <w:kern w:val="0"/>
          <w:lang w:eastAsia="en-US"/>
        </w:rPr>
        <w:t>3.13</w:t>
      </w:r>
      <w:r w:rsidR="00D7464F">
        <w:rPr>
          <w:rFonts w:ascii="Times New Roman" w:eastAsia="Calibri" w:hAnsi="Times New Roman"/>
          <w:kern w:val="0"/>
          <w:lang w:eastAsia="en-US"/>
        </w:rPr>
        <w:t>.</w:t>
      </w:r>
      <w:r w:rsidR="00D7464F" w:rsidRPr="00D7464F">
        <w:rPr>
          <w:rFonts w:ascii="Times New Roman" w:eastAsia="Calibri" w:hAnsi="Times New Roman"/>
          <w:kern w:val="0"/>
          <w:lang w:eastAsia="en-US"/>
        </w:rPr>
        <w:t xml:space="preserve"> </w:t>
      </w:r>
      <w:r w:rsidRPr="00D7464F">
        <w:rPr>
          <w:rFonts w:ascii="Times New Roman" w:eastAsia="Calibri" w:hAnsi="Times New Roman"/>
          <w:kern w:val="0"/>
          <w:lang w:eastAsia="en-US"/>
        </w:rPr>
        <w:t>Gestion des déchets assurée ou organisée par les producteurs </w:t>
      </w:r>
    </w:p>
    <w:p w14:paraId="1DD947FE" w14:textId="3CEEECB5" w:rsidR="00D7464F" w:rsidRDefault="00D7464F" w:rsidP="00D7464F">
      <w:pPr>
        <w:pStyle w:val="NormalWeb"/>
        <w:jc w:val="both"/>
        <w:rPr>
          <w:rFonts w:ascii="Times New Roman" w:eastAsia="Calibri" w:hAnsi="Times New Roman"/>
          <w:kern w:val="0"/>
          <w:lang w:eastAsia="en-US"/>
        </w:rPr>
      </w:pPr>
      <w:r w:rsidRPr="00D7464F">
        <w:rPr>
          <w:rFonts w:ascii="Times New Roman" w:eastAsia="Calibri" w:hAnsi="Times New Roman"/>
          <w:kern w:val="0"/>
          <w:lang w:eastAsia="en-US"/>
        </w:rPr>
        <w:t xml:space="preserve"> « Les producteurs qui assurent eux-mêmes ou organisent pour leur compte des opérations de gestion des déchets d’équipements électriques et électroniques participant à l’atteinte des objectifs fixés par le présent cahier des charges peuvent bénéficier, à leur demande, de la réfaction prévue à l’article R. 541-120. Le montant de cette réfaction est calculé par l’éco- organisme dans les conditions prévues au même article.</w:t>
      </w:r>
      <w:r>
        <w:rPr>
          <w:rFonts w:ascii="Times New Roman" w:eastAsia="Calibri" w:hAnsi="Times New Roman"/>
          <w:kern w:val="0"/>
          <w:lang w:eastAsia="en-US"/>
        </w:rPr>
        <w:t> </w:t>
      </w:r>
    </w:p>
    <w:p w14:paraId="34FBB140" w14:textId="64A47F47" w:rsidR="00B1398E" w:rsidRPr="00D7464F" w:rsidRDefault="00B1398E" w:rsidP="00D7464F">
      <w:pPr>
        <w:pStyle w:val="NormalWeb"/>
        <w:jc w:val="both"/>
        <w:rPr>
          <w:rFonts w:ascii="Times New Roman" w:eastAsia="Calibri" w:hAnsi="Times New Roman"/>
          <w:kern w:val="0"/>
          <w:lang w:eastAsia="en-US"/>
        </w:rPr>
      </w:pPr>
      <w:r w:rsidRPr="00B1398E">
        <w:rPr>
          <w:rFonts w:ascii="Times New Roman" w:eastAsia="Calibri" w:hAnsi="Times New Roman"/>
          <w:kern w:val="0"/>
          <w:lang w:eastAsia="en-US"/>
        </w:rPr>
        <w:t xml:space="preserve">Les opérations de gestion des </w:t>
      </w:r>
      <w:r w:rsidRPr="00D7464F">
        <w:rPr>
          <w:rFonts w:ascii="Times New Roman" w:eastAsia="Calibri" w:hAnsi="Times New Roman"/>
          <w:kern w:val="0"/>
          <w:lang w:eastAsia="en-US"/>
        </w:rPr>
        <w:t xml:space="preserve">déchets d’équipements électriques et électroniques </w:t>
      </w:r>
      <w:r w:rsidRPr="00B1398E">
        <w:rPr>
          <w:rFonts w:ascii="Times New Roman" w:eastAsia="Calibri" w:hAnsi="Times New Roman"/>
          <w:kern w:val="0"/>
          <w:lang w:eastAsia="en-US"/>
        </w:rPr>
        <w:t>bénéficiant de la réfaction mentionnée au précédent alinéa ne peuvent pas bénéficier des soutiens financiers mentionnés à l'article R. 541-104.</w:t>
      </w:r>
    </w:p>
    <w:p w14:paraId="33ABAA40" w14:textId="09F03BCE" w:rsidR="00D7464F" w:rsidRP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lastRenderedPageBreak/>
        <w:t>« 3.14</w:t>
      </w:r>
      <w:r w:rsidRPr="00D7464F">
        <w:rPr>
          <w:rFonts w:ascii="Times New Roman" w:eastAsia="Calibri" w:hAnsi="Times New Roman"/>
          <w:kern w:val="0"/>
          <w:lang w:eastAsia="en-US"/>
        </w:rPr>
        <w:t xml:space="preserve"> Soutien à l’extraction </w:t>
      </w:r>
      <w:r w:rsidR="001E513E">
        <w:rPr>
          <w:rFonts w:ascii="Times New Roman" w:eastAsia="Calibri" w:hAnsi="Times New Roman"/>
          <w:kern w:val="0"/>
          <w:lang w:eastAsia="en-US"/>
        </w:rPr>
        <w:t>préservante</w:t>
      </w:r>
      <w:r w:rsidR="001E513E" w:rsidRPr="00D7464F">
        <w:rPr>
          <w:rFonts w:ascii="Times New Roman" w:eastAsia="Calibri" w:hAnsi="Times New Roman"/>
          <w:kern w:val="0"/>
          <w:lang w:eastAsia="en-US"/>
        </w:rPr>
        <w:t xml:space="preserve"> </w:t>
      </w:r>
      <w:r w:rsidRPr="00D7464F">
        <w:rPr>
          <w:rFonts w:ascii="Times New Roman" w:eastAsia="Calibri" w:hAnsi="Times New Roman"/>
          <w:kern w:val="0"/>
          <w:lang w:eastAsia="en-US"/>
        </w:rPr>
        <w:t>des batteries portables et MTL assurée par les opérateurs de gestion de DEEE</w:t>
      </w:r>
    </w:p>
    <w:p w14:paraId="681D2F7F" w14:textId="6033105F" w:rsidR="00D7464F" w:rsidRP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Pr="00D7464F">
        <w:rPr>
          <w:rFonts w:ascii="Times New Roman" w:eastAsia="Calibri" w:hAnsi="Times New Roman"/>
          <w:kern w:val="0"/>
          <w:lang w:eastAsia="en-US"/>
        </w:rPr>
        <w:t>L’éco-organisme prend en charge</w:t>
      </w:r>
      <w:r w:rsidR="0005693D">
        <w:rPr>
          <w:rFonts w:ascii="Times New Roman" w:eastAsia="Calibri" w:hAnsi="Times New Roman"/>
          <w:kern w:val="0"/>
          <w:lang w:eastAsia="en-US"/>
        </w:rPr>
        <w:t xml:space="preserve"> </w:t>
      </w:r>
      <w:r w:rsidRPr="00D7464F">
        <w:rPr>
          <w:rFonts w:ascii="Times New Roman" w:eastAsia="Calibri" w:hAnsi="Times New Roman"/>
          <w:kern w:val="0"/>
          <w:lang w:eastAsia="en-US"/>
        </w:rPr>
        <w:t xml:space="preserve">les coûts relatifs aux opérations d’extraction </w:t>
      </w:r>
      <w:r w:rsidR="001E513E">
        <w:rPr>
          <w:rFonts w:ascii="Times New Roman" w:eastAsia="Calibri" w:hAnsi="Times New Roman"/>
          <w:kern w:val="0"/>
          <w:lang w:eastAsia="en-US"/>
        </w:rPr>
        <w:t>préservante</w:t>
      </w:r>
      <w:r w:rsidR="001E513E" w:rsidRPr="00D7464F">
        <w:rPr>
          <w:rFonts w:ascii="Times New Roman" w:eastAsia="Calibri" w:hAnsi="Times New Roman"/>
          <w:kern w:val="0"/>
          <w:lang w:eastAsia="en-US"/>
        </w:rPr>
        <w:t xml:space="preserve"> </w:t>
      </w:r>
      <w:r w:rsidRPr="00D7464F">
        <w:rPr>
          <w:rFonts w:ascii="Times New Roman" w:eastAsia="Calibri" w:hAnsi="Times New Roman"/>
          <w:kern w:val="0"/>
          <w:lang w:eastAsia="en-US"/>
        </w:rPr>
        <w:t xml:space="preserve">des batteries portables et MTL, réalisées </w:t>
      </w:r>
      <w:r w:rsidR="001D097F">
        <w:rPr>
          <w:rFonts w:ascii="Times New Roman" w:eastAsia="Calibri" w:hAnsi="Times New Roman"/>
          <w:kern w:val="0"/>
          <w:lang w:eastAsia="en-US"/>
        </w:rPr>
        <w:t>sur</w:t>
      </w:r>
      <w:r w:rsidR="00F459D1">
        <w:rPr>
          <w:rFonts w:ascii="Times New Roman" w:eastAsia="Calibri" w:hAnsi="Times New Roman"/>
          <w:kern w:val="0"/>
          <w:lang w:eastAsia="en-US"/>
        </w:rPr>
        <w:t xml:space="preserve"> les </w:t>
      </w:r>
      <w:r w:rsidR="001D097F">
        <w:rPr>
          <w:rFonts w:ascii="Times New Roman" w:eastAsia="Calibri" w:hAnsi="Times New Roman"/>
          <w:kern w:val="0"/>
          <w:lang w:eastAsia="en-US"/>
        </w:rPr>
        <w:t>sites</w:t>
      </w:r>
      <w:r w:rsidR="00F459D1">
        <w:rPr>
          <w:rFonts w:ascii="Times New Roman" w:eastAsia="Calibri" w:hAnsi="Times New Roman"/>
          <w:kern w:val="0"/>
          <w:lang w:eastAsia="en-US"/>
        </w:rPr>
        <w:t xml:space="preserve"> de traitement </w:t>
      </w:r>
      <w:r w:rsidRPr="00D7464F">
        <w:rPr>
          <w:rFonts w:ascii="Times New Roman" w:eastAsia="Calibri" w:hAnsi="Times New Roman"/>
          <w:kern w:val="0"/>
          <w:lang w:eastAsia="en-US"/>
        </w:rPr>
        <w:t>en amont de tout</w:t>
      </w:r>
      <w:r w:rsidR="00BA1D3F">
        <w:rPr>
          <w:rFonts w:ascii="Times New Roman" w:eastAsia="Calibri" w:hAnsi="Times New Roman"/>
          <w:kern w:val="0"/>
          <w:lang w:eastAsia="en-US"/>
        </w:rPr>
        <w:t>e</w:t>
      </w:r>
      <w:r w:rsidRPr="00D7464F">
        <w:rPr>
          <w:rFonts w:ascii="Times New Roman" w:eastAsia="Calibri" w:hAnsi="Times New Roman"/>
          <w:kern w:val="0"/>
          <w:lang w:eastAsia="en-US"/>
        </w:rPr>
        <w:t xml:space="preserve"> opération de broyage ou </w:t>
      </w:r>
      <w:r w:rsidR="00BA1D3F">
        <w:rPr>
          <w:rFonts w:ascii="Times New Roman" w:eastAsia="Calibri" w:hAnsi="Times New Roman"/>
          <w:kern w:val="0"/>
          <w:lang w:eastAsia="en-US"/>
        </w:rPr>
        <w:t xml:space="preserve">de </w:t>
      </w:r>
      <w:r w:rsidRPr="00D7464F">
        <w:rPr>
          <w:rFonts w:ascii="Times New Roman" w:eastAsia="Calibri" w:hAnsi="Times New Roman"/>
          <w:kern w:val="0"/>
          <w:lang w:eastAsia="en-US"/>
        </w:rPr>
        <w:t>déchiquetage, assurées par les opérateurs de gestion de déchets d’équipements électriques et électroniques</w:t>
      </w:r>
      <w:r w:rsidR="00BA1D3F">
        <w:rPr>
          <w:rFonts w:ascii="Times New Roman" w:eastAsia="Calibri" w:hAnsi="Times New Roman"/>
          <w:kern w:val="0"/>
          <w:lang w:eastAsia="en-US"/>
        </w:rPr>
        <w:t>,</w:t>
      </w:r>
      <w:r w:rsidRPr="00D7464F">
        <w:rPr>
          <w:rFonts w:ascii="Times New Roman" w:eastAsia="Calibri" w:hAnsi="Times New Roman"/>
          <w:kern w:val="0"/>
          <w:lang w:eastAsia="en-US"/>
        </w:rPr>
        <w:t xml:space="preserve"> selon des modalités précisées par le contrat établi en application du II de l’article R.543-200-1 du code de l’environnement.</w:t>
      </w:r>
      <w:r>
        <w:rPr>
          <w:rFonts w:ascii="Times New Roman" w:eastAsia="Calibri" w:hAnsi="Times New Roman"/>
          <w:kern w:val="0"/>
          <w:lang w:eastAsia="en-US"/>
        </w:rPr>
        <w:t> »</w:t>
      </w:r>
    </w:p>
    <w:p w14:paraId="42B3FFC4" w14:textId="5F55DF4B" w:rsidR="0068003D" w:rsidRDefault="00E7794B"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III</w:t>
      </w:r>
      <w:r w:rsidR="00D7464F">
        <w:rPr>
          <w:rFonts w:ascii="Times New Roman" w:eastAsia="Calibri" w:hAnsi="Times New Roman"/>
          <w:kern w:val="0"/>
          <w:lang w:eastAsia="en-US"/>
        </w:rPr>
        <w:t xml:space="preserve">.- </w:t>
      </w:r>
      <w:r w:rsidR="0068003D">
        <w:rPr>
          <w:rFonts w:ascii="Times New Roman" w:eastAsia="Calibri" w:hAnsi="Times New Roman"/>
          <w:kern w:val="0"/>
          <w:lang w:eastAsia="en-US"/>
        </w:rPr>
        <w:t>Le</w:t>
      </w:r>
      <w:r w:rsidR="00D7464F">
        <w:rPr>
          <w:rFonts w:ascii="Times New Roman" w:eastAsia="Calibri" w:hAnsi="Times New Roman"/>
          <w:kern w:val="0"/>
          <w:lang w:eastAsia="en-US"/>
        </w:rPr>
        <w:t xml:space="preserve"> sous-paragraphe 6.1 du paragraphe 6 intitulé « </w:t>
      </w:r>
      <w:r w:rsidR="00D7464F" w:rsidRPr="00D7464F">
        <w:rPr>
          <w:rFonts w:ascii="Times New Roman" w:eastAsia="Calibri" w:hAnsi="Times New Roman"/>
          <w:kern w:val="0"/>
          <w:lang w:eastAsia="en-US"/>
        </w:rPr>
        <w:t>Information et sensibilisation »</w:t>
      </w:r>
      <w:r w:rsidR="0068003D">
        <w:rPr>
          <w:rFonts w:ascii="Times New Roman" w:eastAsia="Calibri" w:hAnsi="Times New Roman"/>
          <w:kern w:val="0"/>
          <w:lang w:eastAsia="en-US"/>
        </w:rPr>
        <w:t xml:space="preserve"> est modifié comme suit : </w:t>
      </w:r>
    </w:p>
    <w:p w14:paraId="2CAA2C25" w14:textId="77777777" w:rsidR="00E73D63" w:rsidRDefault="0068003D"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1° </w:t>
      </w:r>
      <w:r w:rsidR="00E73D63">
        <w:rPr>
          <w:rFonts w:ascii="Times New Roman" w:eastAsia="Calibri" w:hAnsi="Times New Roman"/>
          <w:kern w:val="0"/>
          <w:lang w:eastAsia="en-US"/>
        </w:rPr>
        <w:t>Le 6</w:t>
      </w:r>
      <w:r w:rsidR="00E73D63" w:rsidRPr="00E73D63">
        <w:rPr>
          <w:rFonts w:ascii="Times New Roman" w:eastAsia="Calibri" w:hAnsi="Times New Roman"/>
          <w:kern w:val="0"/>
          <w:vertAlign w:val="superscript"/>
          <w:lang w:eastAsia="en-US"/>
        </w:rPr>
        <w:t>ème</w:t>
      </w:r>
      <w:r w:rsidR="00E73D63">
        <w:rPr>
          <w:rFonts w:ascii="Times New Roman" w:eastAsia="Calibri" w:hAnsi="Times New Roman"/>
          <w:kern w:val="0"/>
          <w:lang w:eastAsia="en-US"/>
        </w:rPr>
        <w:t xml:space="preserve"> alinéa est supprimé.</w:t>
      </w:r>
    </w:p>
    <w:p w14:paraId="0E67D9DF" w14:textId="5892EDC0" w:rsidR="004451F9" w:rsidRPr="00D7464F" w:rsidRDefault="00E73D63"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xml:space="preserve">2° </w:t>
      </w:r>
      <w:r w:rsidR="0068003D">
        <w:rPr>
          <w:rFonts w:ascii="Times New Roman" w:eastAsia="Calibri" w:hAnsi="Times New Roman"/>
          <w:kern w:val="0"/>
          <w:lang w:eastAsia="en-US"/>
        </w:rPr>
        <w:t xml:space="preserve">Après le premier alinéa, </w:t>
      </w:r>
      <w:r w:rsidR="00D7464F" w:rsidRPr="00D7464F">
        <w:rPr>
          <w:rFonts w:ascii="Times New Roman" w:eastAsia="Calibri" w:hAnsi="Times New Roman"/>
          <w:kern w:val="0"/>
          <w:lang w:eastAsia="en-US"/>
        </w:rPr>
        <w:t xml:space="preserve">sont insérés deux alinéas ainsi rédigés : </w:t>
      </w:r>
    </w:p>
    <w:p w14:paraId="411E076B" w14:textId="53F41A06" w:rsid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Pr="00D7464F">
        <w:rPr>
          <w:rFonts w:ascii="Times New Roman" w:eastAsia="Calibri" w:hAnsi="Times New Roman"/>
          <w:kern w:val="0"/>
          <w:lang w:eastAsia="en-US"/>
        </w:rPr>
        <w:t>L’éco-organisme agréé réalise conjointement avec les éco-organismes agréés pour la gestion des batteries portables et MTL, des campagnes d’information et de sensibilisation d’envergure nationale et locales afin de sensibiliser le grand public à :</w:t>
      </w:r>
    </w:p>
    <w:p w14:paraId="380F71AF" w14:textId="2207F1BE" w:rsidR="00D7464F" w:rsidRP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003C0A4F" w:rsidRPr="003C0A4F">
        <w:t xml:space="preserve"> </w:t>
      </w:r>
      <w:r w:rsidR="003C0A4F" w:rsidRPr="003C0A4F">
        <w:rPr>
          <w:rFonts w:ascii="Times New Roman" w:eastAsia="Calibri" w:hAnsi="Times New Roman"/>
          <w:kern w:val="0"/>
          <w:lang w:eastAsia="en-US"/>
        </w:rPr>
        <w:t>L’importance d’extraire ces batteries</w:t>
      </w:r>
      <w:r w:rsidR="00EC49D3">
        <w:rPr>
          <w:rFonts w:ascii="Times New Roman" w:eastAsia="Calibri" w:hAnsi="Times New Roman"/>
          <w:kern w:val="0"/>
          <w:lang w:eastAsia="en-US"/>
        </w:rPr>
        <w:t xml:space="preserve"> </w:t>
      </w:r>
      <w:r w:rsidR="003C0A4F" w:rsidRPr="003C0A4F">
        <w:rPr>
          <w:rFonts w:ascii="Times New Roman" w:eastAsia="Calibri" w:hAnsi="Times New Roman"/>
          <w:kern w:val="0"/>
          <w:lang w:eastAsia="en-US"/>
        </w:rPr>
        <w:t>lorsqu’elles sont incorporées dans des équipements électriques et électroniques et ce préalablement au tri de ces équipements,</w:t>
      </w:r>
      <w:r w:rsidR="00B6174E">
        <w:rPr>
          <w:rFonts w:ascii="Times New Roman" w:eastAsia="Calibri" w:hAnsi="Times New Roman"/>
          <w:kern w:val="0"/>
          <w:lang w:eastAsia="en-US"/>
        </w:rPr>
        <w:t xml:space="preserve"> </w:t>
      </w:r>
      <w:r w:rsidR="00B6174E" w:rsidRPr="00B6174E">
        <w:rPr>
          <w:rFonts w:ascii="Times New Roman" w:eastAsia="Calibri" w:hAnsi="Times New Roman"/>
          <w:kern w:val="0"/>
          <w:lang w:eastAsia="en-US"/>
        </w:rPr>
        <w:t>lorsque l’opération manuelle est simple et sans danger pour la sécurité des consommateurs</w:t>
      </w:r>
      <w:r w:rsidR="00B6174E">
        <w:rPr>
          <w:rFonts w:ascii="Times New Roman" w:eastAsia="Calibri" w:hAnsi="Times New Roman"/>
          <w:kern w:val="0"/>
          <w:lang w:eastAsia="en-US"/>
        </w:rPr>
        <w:t>,</w:t>
      </w:r>
    </w:p>
    <w:p w14:paraId="438909EF" w14:textId="1275A337" w:rsidR="00D7464F" w:rsidRP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Pr="00D7464F">
        <w:rPr>
          <w:rFonts w:ascii="Times New Roman" w:eastAsia="Calibri" w:hAnsi="Times New Roman"/>
          <w:kern w:val="0"/>
          <w:lang w:eastAsia="en-US"/>
        </w:rPr>
        <w:t>L’importance de trie</w:t>
      </w:r>
      <w:r w:rsidR="003C0A4F">
        <w:rPr>
          <w:rFonts w:ascii="Times New Roman" w:eastAsia="Calibri" w:hAnsi="Times New Roman"/>
          <w:kern w:val="0"/>
          <w:lang w:eastAsia="en-US"/>
        </w:rPr>
        <w:t>r ces batteries ainsi extraites,</w:t>
      </w:r>
    </w:p>
    <w:p w14:paraId="7B4EFAF9" w14:textId="0E8338CA" w:rsidR="00D7464F" w:rsidRPr="00D7464F" w:rsidRDefault="00D7464F" w:rsidP="00D7464F">
      <w:pPr>
        <w:pStyle w:val="NormalWeb"/>
        <w:jc w:val="both"/>
        <w:rPr>
          <w:rFonts w:ascii="Times New Roman" w:eastAsia="Calibri" w:hAnsi="Times New Roman"/>
          <w:kern w:val="0"/>
          <w:lang w:eastAsia="en-US"/>
        </w:rPr>
      </w:pPr>
      <w:r>
        <w:rPr>
          <w:rFonts w:ascii="Times New Roman" w:eastAsia="Calibri" w:hAnsi="Times New Roman"/>
          <w:kern w:val="0"/>
          <w:lang w:eastAsia="en-US"/>
        </w:rPr>
        <w:t>« -</w:t>
      </w:r>
      <w:r w:rsidR="003C0A4F" w:rsidRPr="00D7464F">
        <w:rPr>
          <w:rFonts w:ascii="Times New Roman" w:eastAsia="Calibri" w:hAnsi="Times New Roman"/>
          <w:kern w:val="0"/>
          <w:lang w:eastAsia="en-US"/>
        </w:rPr>
        <w:t>Informer le</w:t>
      </w:r>
      <w:r w:rsidRPr="00D7464F">
        <w:rPr>
          <w:rFonts w:ascii="Times New Roman" w:eastAsia="Calibri" w:hAnsi="Times New Roman"/>
          <w:kern w:val="0"/>
          <w:lang w:eastAsia="en-US"/>
        </w:rPr>
        <w:t xml:space="preserve"> grand public sur les risques de départs de feux et d’incendie en centre de </w:t>
      </w:r>
      <w:r w:rsidR="003C0A4F">
        <w:rPr>
          <w:rFonts w:ascii="Times New Roman" w:eastAsia="Calibri" w:hAnsi="Times New Roman"/>
          <w:kern w:val="0"/>
          <w:lang w:eastAsia="en-US"/>
        </w:rPr>
        <w:t>gestion de déchets.</w:t>
      </w:r>
    </w:p>
    <w:p w14:paraId="5D18E868" w14:textId="743CEB87" w:rsidR="00D7464F" w:rsidRPr="00D7464F" w:rsidRDefault="00D7464F">
      <w:pPr>
        <w:pStyle w:val="NormalWeb"/>
        <w:jc w:val="both"/>
        <w:rPr>
          <w:rFonts w:ascii="Times New Roman" w:eastAsia="Calibri" w:hAnsi="Times New Roman"/>
          <w:kern w:val="0"/>
          <w:lang w:eastAsia="en-US"/>
        </w:rPr>
      </w:pPr>
    </w:p>
    <w:p w14:paraId="1F98D119" w14:textId="77777777" w:rsidR="00D7464F" w:rsidRPr="00D7464F" w:rsidRDefault="00D7464F" w:rsidP="00D7464F">
      <w:pPr>
        <w:pStyle w:val="NormalWeb"/>
        <w:jc w:val="both"/>
        <w:rPr>
          <w:rFonts w:ascii="Times New Roman" w:eastAsia="Calibri" w:hAnsi="Times New Roman"/>
          <w:kern w:val="0"/>
          <w:lang w:eastAsia="en-US"/>
        </w:rPr>
      </w:pPr>
    </w:p>
    <w:sectPr w:rsidR="00D7464F" w:rsidRPr="00D7464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38DA" w14:textId="77777777" w:rsidR="00B212F4" w:rsidRDefault="00B212F4" w:rsidP="00CA096F">
      <w:pPr>
        <w:spacing w:after="0" w:line="240" w:lineRule="auto"/>
      </w:pPr>
      <w:r>
        <w:separator/>
      </w:r>
    </w:p>
  </w:endnote>
  <w:endnote w:type="continuationSeparator" w:id="0">
    <w:p w14:paraId="2AC9D075" w14:textId="77777777" w:rsidR="00B212F4" w:rsidRDefault="00B212F4" w:rsidP="00CA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68BF" w14:textId="77777777" w:rsidR="00CA096F" w:rsidRDefault="00CA09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5CD8" w14:textId="77777777" w:rsidR="00CA096F" w:rsidRDefault="00CA09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71F3" w14:textId="77777777" w:rsidR="00CA096F" w:rsidRDefault="00CA09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B417" w14:textId="77777777" w:rsidR="00B212F4" w:rsidRDefault="00B212F4" w:rsidP="00CA096F">
      <w:pPr>
        <w:spacing w:after="0" w:line="240" w:lineRule="auto"/>
      </w:pPr>
      <w:r>
        <w:separator/>
      </w:r>
    </w:p>
  </w:footnote>
  <w:footnote w:type="continuationSeparator" w:id="0">
    <w:p w14:paraId="0219C385" w14:textId="77777777" w:rsidR="00B212F4" w:rsidRDefault="00B212F4" w:rsidP="00CA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5F4" w14:textId="77777777" w:rsidR="006121F9" w:rsidRDefault="007D128F">
    <w:pPr>
      <w:pStyle w:val="En-tte"/>
    </w:pPr>
    <w:r>
      <w:rPr>
        <w:noProof/>
      </w:rPr>
      <w:pict w14:anchorId="33E26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844"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D213" w14:textId="77777777" w:rsidR="006121F9" w:rsidRDefault="007D128F">
    <w:pPr>
      <w:pStyle w:val="En-tte"/>
    </w:pPr>
    <w:r>
      <w:rPr>
        <w:noProof/>
      </w:rPr>
      <w:pict w14:anchorId="0EBFF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845"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3FB" w14:textId="77777777" w:rsidR="006121F9" w:rsidRDefault="007D128F">
    <w:pPr>
      <w:pStyle w:val="En-tte"/>
    </w:pPr>
    <w:r>
      <w:rPr>
        <w:noProof/>
      </w:rPr>
      <w:pict w14:anchorId="767A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843"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7F2B"/>
    <w:multiLevelType w:val="hybridMultilevel"/>
    <w:tmpl w:val="935A83E2"/>
    <w:lvl w:ilvl="0" w:tplc="19EE483C">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9FC5F13"/>
    <w:multiLevelType w:val="hybridMultilevel"/>
    <w:tmpl w:val="E9389AC8"/>
    <w:lvl w:ilvl="0" w:tplc="6C54488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6A43667"/>
    <w:multiLevelType w:val="multilevel"/>
    <w:tmpl w:val="A76C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7E48B6"/>
    <w:multiLevelType w:val="multilevel"/>
    <w:tmpl w:val="6E7C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A5"/>
    <w:rsid w:val="0005693D"/>
    <w:rsid w:val="000C642F"/>
    <w:rsid w:val="00175EEF"/>
    <w:rsid w:val="001C227B"/>
    <w:rsid w:val="001D097F"/>
    <w:rsid w:val="001E513E"/>
    <w:rsid w:val="002B3F9D"/>
    <w:rsid w:val="003B372E"/>
    <w:rsid w:val="003C0A4F"/>
    <w:rsid w:val="0042027F"/>
    <w:rsid w:val="00425C0E"/>
    <w:rsid w:val="0042632C"/>
    <w:rsid w:val="00435115"/>
    <w:rsid w:val="004451F9"/>
    <w:rsid w:val="00455931"/>
    <w:rsid w:val="004567DE"/>
    <w:rsid w:val="004E4844"/>
    <w:rsid w:val="00511E23"/>
    <w:rsid w:val="0068003D"/>
    <w:rsid w:val="007D128F"/>
    <w:rsid w:val="008A6E6F"/>
    <w:rsid w:val="009043A7"/>
    <w:rsid w:val="00A01BEE"/>
    <w:rsid w:val="00AC62A5"/>
    <w:rsid w:val="00B1398E"/>
    <w:rsid w:val="00B212F4"/>
    <w:rsid w:val="00B6174E"/>
    <w:rsid w:val="00BA1D3F"/>
    <w:rsid w:val="00BF5760"/>
    <w:rsid w:val="00C747D8"/>
    <w:rsid w:val="00CA096F"/>
    <w:rsid w:val="00CC3EFC"/>
    <w:rsid w:val="00D06604"/>
    <w:rsid w:val="00D503B7"/>
    <w:rsid w:val="00D7464F"/>
    <w:rsid w:val="00DC0F1F"/>
    <w:rsid w:val="00DE7720"/>
    <w:rsid w:val="00E73D63"/>
    <w:rsid w:val="00E7794B"/>
    <w:rsid w:val="00EC49D3"/>
    <w:rsid w:val="00EC6B06"/>
    <w:rsid w:val="00F459D1"/>
    <w:rsid w:val="00FA6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6658F"/>
  <w15:chartTrackingRefBased/>
  <w15:docId w15:val="{E69A5B4B-142A-4503-ACFE-C4B9B936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60"/>
    <w:pPr>
      <w:autoSpaceDN w:val="0"/>
      <w:spacing w:line="256" w:lineRule="auto"/>
    </w:pPr>
  </w:style>
  <w:style w:type="paragraph" w:styleId="Titre1">
    <w:name w:val="heading 1"/>
    <w:next w:val="Normal"/>
    <w:link w:val="Titre1Car"/>
    <w:uiPriority w:val="9"/>
    <w:qFormat/>
    <w:rsid w:val="004451F9"/>
    <w:pPr>
      <w:keepNext/>
      <w:keepLines/>
      <w:spacing w:after="23" w:line="256" w:lineRule="auto"/>
      <w:ind w:left="10" w:hanging="10"/>
      <w:jc w:val="both"/>
      <w:outlineLvl w:val="0"/>
    </w:pPr>
    <w:rPr>
      <w:rFonts w:ascii="Times New Roman" w:eastAsia="Times New Roman" w:hAnsi="Times New Roman" w:cs="Times New Roman"/>
      <w: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5760"/>
    <w:rPr>
      <w:color w:val="0563C1" w:themeColor="hyperlink"/>
      <w:u w:val="single"/>
    </w:rPr>
  </w:style>
  <w:style w:type="paragraph" w:customStyle="1" w:styleId="Standard">
    <w:name w:val="Standard"/>
    <w:rsid w:val="00BF576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SNREPUBLIQUE">
    <w:name w:val="SNREPUBLIQUE"/>
    <w:basedOn w:val="Standard"/>
    <w:uiPriority w:val="99"/>
    <w:rsid w:val="00BF5760"/>
    <w:pPr>
      <w:jc w:val="center"/>
    </w:pPr>
    <w:rPr>
      <w:b/>
      <w:bCs/>
      <w:szCs w:val="20"/>
    </w:rPr>
  </w:style>
  <w:style w:type="paragraph" w:customStyle="1" w:styleId="SNTimbre">
    <w:name w:val="SNTimbre"/>
    <w:basedOn w:val="Standard"/>
    <w:uiPriority w:val="99"/>
    <w:rsid w:val="00BF5760"/>
    <w:pPr>
      <w:widowControl w:val="0"/>
      <w:snapToGrid w:val="0"/>
      <w:spacing w:before="120"/>
      <w:jc w:val="center"/>
    </w:pPr>
    <w:rPr>
      <w:rFonts w:eastAsia="Lucida Sans Unicode"/>
    </w:rPr>
  </w:style>
  <w:style w:type="paragraph" w:customStyle="1" w:styleId="SNNature">
    <w:name w:val="SNNature"/>
    <w:basedOn w:val="Standard"/>
    <w:next w:val="Normal"/>
    <w:uiPriority w:val="99"/>
    <w:rsid w:val="00BF5760"/>
    <w:pPr>
      <w:widowControl w:val="0"/>
      <w:suppressLineNumbers/>
      <w:spacing w:before="720" w:after="120"/>
      <w:jc w:val="center"/>
    </w:pPr>
    <w:rPr>
      <w:rFonts w:eastAsia="Lucida Sans Unicode"/>
      <w:b/>
      <w:bCs/>
    </w:rPr>
  </w:style>
  <w:style w:type="paragraph" w:customStyle="1" w:styleId="SNConsultation">
    <w:name w:val="SNConsultation"/>
    <w:basedOn w:val="Standard"/>
    <w:autoRedefine/>
    <w:uiPriority w:val="99"/>
    <w:rsid w:val="00BF5760"/>
    <w:pPr>
      <w:widowControl w:val="0"/>
      <w:spacing w:before="120" w:after="120"/>
      <w:ind w:firstLine="709"/>
      <w:jc w:val="both"/>
    </w:pPr>
    <w:rPr>
      <w:rFonts w:eastAsia="Lucida Sans Unicode"/>
      <w:kern w:val="0"/>
      <w:lang w:eastAsia="fr-FR"/>
    </w:rPr>
  </w:style>
  <w:style w:type="paragraph" w:customStyle="1" w:styleId="SNSignatureGauche">
    <w:name w:val="SNSignature Gauche"/>
    <w:basedOn w:val="Standard"/>
    <w:uiPriority w:val="99"/>
    <w:rsid w:val="00BF5760"/>
    <w:pPr>
      <w:ind w:firstLine="720"/>
    </w:pPr>
    <w:rPr>
      <w:kern w:val="0"/>
    </w:rPr>
  </w:style>
  <w:style w:type="paragraph" w:customStyle="1" w:styleId="SNSignatureDroite">
    <w:name w:val="SNSignature Droite"/>
    <w:basedOn w:val="Standard"/>
    <w:uiPriority w:val="99"/>
    <w:rsid w:val="00BF5760"/>
    <w:pPr>
      <w:jc w:val="right"/>
    </w:pPr>
    <w:rPr>
      <w:kern w:val="0"/>
    </w:rPr>
  </w:style>
  <w:style w:type="character" w:styleId="Marquedecommentaire">
    <w:name w:val="annotation reference"/>
    <w:basedOn w:val="Policepardfaut"/>
    <w:uiPriority w:val="99"/>
    <w:unhideWhenUsed/>
    <w:qFormat/>
    <w:rsid w:val="00BF5760"/>
    <w:rPr>
      <w:sz w:val="16"/>
      <w:szCs w:val="16"/>
    </w:rPr>
  </w:style>
  <w:style w:type="character" w:customStyle="1" w:styleId="StrongEmphasis">
    <w:name w:val="Strong Emphasis"/>
    <w:rsid w:val="00BF5760"/>
    <w:rPr>
      <w:b/>
      <w:bCs/>
    </w:rPr>
  </w:style>
  <w:style w:type="paragraph" w:styleId="Commentaire">
    <w:name w:val="annotation text"/>
    <w:basedOn w:val="Standard"/>
    <w:link w:val="CommentaireCar"/>
    <w:uiPriority w:val="99"/>
    <w:unhideWhenUsed/>
    <w:rsid w:val="00BF5760"/>
    <w:pPr>
      <w:widowControl w:val="0"/>
      <w:suppressAutoHyphens w:val="0"/>
      <w:autoSpaceDE w:val="0"/>
    </w:pPr>
    <w:rPr>
      <w:rFonts w:ascii="Arial" w:eastAsiaTheme="minorHAnsi" w:hAnsi="Arial" w:cs="Arial"/>
      <w:kern w:val="0"/>
      <w:sz w:val="20"/>
      <w:szCs w:val="20"/>
      <w:lang w:val="en-US" w:eastAsia="en-US"/>
    </w:rPr>
  </w:style>
  <w:style w:type="character" w:customStyle="1" w:styleId="CommentaireCar">
    <w:name w:val="Commentaire Car"/>
    <w:basedOn w:val="Policepardfaut"/>
    <w:link w:val="Commentaire"/>
    <w:uiPriority w:val="99"/>
    <w:rsid w:val="00BF5760"/>
    <w:rPr>
      <w:rFonts w:ascii="Arial" w:hAnsi="Arial" w:cs="Arial"/>
      <w:sz w:val="20"/>
      <w:szCs w:val="20"/>
      <w:lang w:val="en-US"/>
    </w:rPr>
  </w:style>
  <w:style w:type="table" w:styleId="Grilledutableau">
    <w:name w:val="Table Grid"/>
    <w:basedOn w:val="TableauNormal"/>
    <w:uiPriority w:val="39"/>
    <w:rsid w:val="00BF5760"/>
    <w:pPr>
      <w:widowControl w:val="0"/>
      <w:autoSpaceDE w:val="0"/>
      <w:autoSpaceDN w:val="0"/>
      <w:spacing w:after="0" w:line="240" w:lineRule="auto"/>
    </w:pPr>
    <w:rPr>
      <w:rFonts w:ascii="Arial" w:hAnsi="Arial"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Standard"/>
    <w:uiPriority w:val="99"/>
    <w:unhideWhenUsed/>
    <w:rsid w:val="00BF5760"/>
    <w:pPr>
      <w:spacing w:before="280" w:after="119"/>
    </w:pPr>
    <w:rPr>
      <w:rFonts w:ascii="Arial Unicode MS" w:hAnsi="Arial Unicode MS"/>
    </w:rPr>
  </w:style>
  <w:style w:type="paragraph" w:styleId="En-tte">
    <w:name w:val="header"/>
    <w:basedOn w:val="Normal"/>
    <w:link w:val="En-tteCar"/>
    <w:uiPriority w:val="99"/>
    <w:unhideWhenUsed/>
    <w:rsid w:val="00BF5760"/>
    <w:pPr>
      <w:tabs>
        <w:tab w:val="center" w:pos="4536"/>
        <w:tab w:val="right" w:pos="9072"/>
      </w:tabs>
      <w:spacing w:after="0" w:line="240" w:lineRule="auto"/>
    </w:pPr>
  </w:style>
  <w:style w:type="character" w:customStyle="1" w:styleId="En-tteCar">
    <w:name w:val="En-tête Car"/>
    <w:basedOn w:val="Policepardfaut"/>
    <w:link w:val="En-tte"/>
    <w:uiPriority w:val="99"/>
    <w:rsid w:val="00BF5760"/>
  </w:style>
  <w:style w:type="paragraph" w:styleId="Textedebulles">
    <w:name w:val="Balloon Text"/>
    <w:basedOn w:val="Normal"/>
    <w:link w:val="TextedebullesCar"/>
    <w:uiPriority w:val="99"/>
    <w:semiHidden/>
    <w:unhideWhenUsed/>
    <w:rsid w:val="00BF57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760"/>
    <w:rPr>
      <w:rFonts w:ascii="Segoe UI" w:hAnsi="Segoe UI" w:cs="Segoe UI"/>
      <w:sz w:val="18"/>
      <w:szCs w:val="18"/>
    </w:rPr>
  </w:style>
  <w:style w:type="paragraph" w:styleId="Pieddepage">
    <w:name w:val="footer"/>
    <w:basedOn w:val="Normal"/>
    <w:link w:val="PieddepageCar"/>
    <w:uiPriority w:val="99"/>
    <w:unhideWhenUsed/>
    <w:rsid w:val="00CA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96F"/>
  </w:style>
  <w:style w:type="character" w:customStyle="1" w:styleId="Titre1Car">
    <w:name w:val="Titre 1 Car"/>
    <w:basedOn w:val="Policepardfaut"/>
    <w:link w:val="Titre1"/>
    <w:uiPriority w:val="9"/>
    <w:rsid w:val="004451F9"/>
    <w:rPr>
      <w:rFonts w:ascii="Times New Roman" w:eastAsia="Times New Roman" w:hAnsi="Times New Roman" w:cs="Times New Roman"/>
      <w:i/>
      <w:color w:val="000000"/>
      <w:lang w:eastAsia="fr-FR"/>
    </w:rPr>
  </w:style>
  <w:style w:type="paragraph" w:styleId="Paragraphedeliste">
    <w:name w:val="List Paragraph"/>
    <w:basedOn w:val="Normal"/>
    <w:uiPriority w:val="34"/>
    <w:qFormat/>
    <w:rsid w:val="00D7464F"/>
    <w:pPr>
      <w:autoSpaceDN/>
      <w:spacing w:after="18" w:line="223" w:lineRule="auto"/>
      <w:ind w:left="720" w:firstLine="205"/>
      <w:contextualSpacing/>
      <w:jc w:val="both"/>
    </w:pPr>
    <w:rPr>
      <w:rFonts w:ascii="Times New Roman" w:eastAsia="Times New Roman" w:hAnsi="Times New Roman" w:cs="Times New Roman"/>
      <w:color w:val="000000"/>
      <w:lang w:eastAsia="fr-FR"/>
    </w:rPr>
  </w:style>
  <w:style w:type="paragraph" w:styleId="Objetducommentaire">
    <w:name w:val="annotation subject"/>
    <w:basedOn w:val="Commentaire"/>
    <w:next w:val="Commentaire"/>
    <w:link w:val="ObjetducommentaireCar"/>
    <w:uiPriority w:val="99"/>
    <w:semiHidden/>
    <w:unhideWhenUsed/>
    <w:rsid w:val="001C227B"/>
    <w:pPr>
      <w:widowControl/>
      <w:autoSpaceDE/>
      <w:spacing w:after="160"/>
    </w:pPr>
    <w:rPr>
      <w:rFonts w:ascii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1C227B"/>
    <w:rPr>
      <w:rFonts w:ascii="Arial" w:hAnsi="Arial" w:cs="Arial"/>
      <w:b/>
      <w:bCs/>
      <w:sz w:val="20"/>
      <w:szCs w:val="20"/>
      <w:lang w:val="en-US"/>
    </w:rPr>
  </w:style>
  <w:style w:type="paragraph" w:customStyle="1" w:styleId="Default">
    <w:name w:val="Default"/>
    <w:rsid w:val="001C227B"/>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1"/>
    <w:unhideWhenUsed/>
    <w:qFormat/>
    <w:rsid w:val="00F459D1"/>
    <w:pPr>
      <w:widowControl w:val="0"/>
      <w:autoSpaceDE w:val="0"/>
      <w:spacing w:after="0" w:line="240" w:lineRule="auto"/>
    </w:pPr>
    <w:rPr>
      <w:rFonts w:ascii="Arial" w:eastAsia="Arial" w:hAnsi="Arial" w:cs="Arial"/>
      <w:sz w:val="16"/>
      <w:szCs w:val="16"/>
    </w:rPr>
  </w:style>
  <w:style w:type="character" w:customStyle="1" w:styleId="CorpsdetexteCar">
    <w:name w:val="Corps de texte Car"/>
    <w:basedOn w:val="Policepardfaut"/>
    <w:link w:val="Corpsdetexte"/>
    <w:uiPriority w:val="1"/>
    <w:rsid w:val="00F459D1"/>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6178">
      <w:bodyDiv w:val="1"/>
      <w:marLeft w:val="0"/>
      <w:marRight w:val="0"/>
      <w:marTop w:val="0"/>
      <w:marBottom w:val="0"/>
      <w:divBdr>
        <w:top w:val="none" w:sz="0" w:space="0" w:color="auto"/>
        <w:left w:val="none" w:sz="0" w:space="0" w:color="auto"/>
        <w:bottom w:val="none" w:sz="0" w:space="0" w:color="auto"/>
        <w:right w:val="none" w:sz="0" w:space="0" w:color="auto"/>
      </w:divBdr>
    </w:div>
    <w:div w:id="1520385065">
      <w:bodyDiv w:val="1"/>
      <w:marLeft w:val="0"/>
      <w:marRight w:val="0"/>
      <w:marTop w:val="0"/>
      <w:marBottom w:val="0"/>
      <w:divBdr>
        <w:top w:val="none" w:sz="0" w:space="0" w:color="auto"/>
        <w:left w:val="none" w:sz="0" w:space="0" w:color="auto"/>
        <w:bottom w:val="none" w:sz="0" w:space="0" w:color="auto"/>
        <w:right w:val="none" w:sz="0" w:space="0" w:color="auto"/>
      </w:divBdr>
    </w:div>
    <w:div w:id="18622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CC05-9A83-47FE-B644-4CC72F68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DEWALLE Diane</dc:creator>
  <cp:keywords/>
  <dc:description/>
  <cp:lastModifiedBy>BARRAUD Flavien</cp:lastModifiedBy>
  <cp:revision>34</cp:revision>
  <dcterms:created xsi:type="dcterms:W3CDTF">2024-04-10T08:00:00Z</dcterms:created>
  <dcterms:modified xsi:type="dcterms:W3CDTF">2024-06-27T15:57:00Z</dcterms:modified>
</cp:coreProperties>
</file>