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E283F" w14:textId="4CFC798C" w:rsidR="00B9051A" w:rsidRPr="00241C8D" w:rsidRDefault="00E714BF" w:rsidP="00FD690E">
      <w:pPr>
        <w:jc w:val="center"/>
        <w:rPr>
          <w:rFonts w:ascii="Times New Roman" w:hAnsi="Times New Roman"/>
          <w:b/>
          <w:sz w:val="24"/>
        </w:rPr>
      </w:pPr>
      <w:r w:rsidRPr="00241C8D">
        <w:rPr>
          <w:rFonts w:ascii="Times New Roman" w:hAnsi="Times New Roman" w:cs="Times New Roman"/>
          <w:b/>
          <w:sz w:val="28"/>
        </w:rPr>
        <w:t>Not</w:t>
      </w:r>
      <w:r w:rsidR="00241C8D" w:rsidRPr="00241C8D">
        <w:rPr>
          <w:rFonts w:ascii="Times New Roman" w:hAnsi="Times New Roman" w:cs="Times New Roman"/>
          <w:b/>
          <w:sz w:val="28"/>
        </w:rPr>
        <w:t xml:space="preserve">e de présentation </w:t>
      </w:r>
      <w:r w:rsidR="00DD660C">
        <w:rPr>
          <w:rFonts w:ascii="Times New Roman" w:hAnsi="Times New Roman" w:cs="Times New Roman"/>
          <w:b/>
          <w:sz w:val="28"/>
        </w:rPr>
        <w:t>de l’arrêté</w:t>
      </w:r>
      <w:r w:rsidRPr="00241C8D">
        <w:rPr>
          <w:rFonts w:ascii="Times New Roman" w:hAnsi="Times New Roman" w:cs="Times New Roman"/>
          <w:b/>
          <w:sz w:val="28"/>
        </w:rPr>
        <w:t xml:space="preserve"> </w:t>
      </w:r>
      <w:r w:rsidR="00F94843">
        <w:rPr>
          <w:rFonts w:ascii="Times New Roman" w:hAnsi="Times New Roman" w:cs="Times New Roman"/>
          <w:b/>
          <w:sz w:val="28"/>
        </w:rPr>
        <w:t>m</w:t>
      </w:r>
      <w:r w:rsidR="00F94843" w:rsidRPr="00F94843">
        <w:rPr>
          <w:rFonts w:ascii="Times New Roman" w:hAnsi="Times New Roman" w:cs="Times New Roman"/>
          <w:b/>
          <w:sz w:val="28"/>
        </w:rPr>
        <w:t>odifiant l’arrêté du 4 août 2021 relatif aux exigences de performance énergétique et environnementale des constructions de bâtiments en France métropolitaine et portant approbation de la méthode de calcul prévue à l'article R. 172-6 du code de la construction et de l'habitation</w:t>
      </w:r>
    </w:p>
    <w:p w14:paraId="14898727" w14:textId="03517742" w:rsidR="00CF5523" w:rsidRDefault="00CF5523" w:rsidP="00CF5523">
      <w:pPr>
        <w:pStyle w:val="m-BlocReference"/>
        <w:rPr>
          <w:rFonts w:ascii="Times New Roman" w:hAnsi="Times New Roman"/>
          <w:b/>
          <w:sz w:val="24"/>
          <w:u w:val="single"/>
        </w:rPr>
      </w:pPr>
      <w:r>
        <w:rPr>
          <w:rFonts w:ascii="Times New Roman" w:hAnsi="Times New Roman"/>
          <w:sz w:val="24"/>
        </w:rPr>
        <w:t xml:space="preserve">La présente consultation se déroulera du </w:t>
      </w:r>
      <w:r w:rsidR="00EA4E04">
        <w:rPr>
          <w:rFonts w:ascii="Times New Roman" w:hAnsi="Times New Roman"/>
          <w:sz w:val="24"/>
        </w:rPr>
        <w:t>1</w:t>
      </w:r>
      <w:r w:rsidR="00EA4E04" w:rsidRPr="00EA4E04">
        <w:rPr>
          <w:rFonts w:ascii="Times New Roman" w:hAnsi="Times New Roman"/>
          <w:sz w:val="24"/>
          <w:vertAlign w:val="superscript"/>
        </w:rPr>
        <w:t>er</w:t>
      </w:r>
      <w:r w:rsidR="00EA4E04">
        <w:rPr>
          <w:rFonts w:ascii="Times New Roman" w:hAnsi="Times New Roman"/>
          <w:sz w:val="24"/>
        </w:rPr>
        <w:t xml:space="preserve"> juillet</w:t>
      </w:r>
      <w:r>
        <w:rPr>
          <w:rFonts w:ascii="Times New Roman" w:hAnsi="Times New Roman"/>
          <w:sz w:val="24"/>
        </w:rPr>
        <w:t xml:space="preserve"> 2024 au </w:t>
      </w:r>
      <w:r w:rsidR="00EA4E04">
        <w:rPr>
          <w:rFonts w:ascii="Times New Roman" w:hAnsi="Times New Roman"/>
          <w:sz w:val="24"/>
        </w:rPr>
        <w:t>22</w:t>
      </w:r>
      <w:bookmarkStart w:id="0" w:name="_GoBack"/>
      <w:bookmarkEnd w:id="0"/>
      <w:r w:rsidR="00B83FDC">
        <w:rPr>
          <w:rFonts w:ascii="Times New Roman" w:hAnsi="Times New Roman"/>
          <w:sz w:val="24"/>
        </w:rPr>
        <w:t xml:space="preserve"> juillet</w:t>
      </w:r>
      <w:r>
        <w:rPr>
          <w:rFonts w:ascii="Times New Roman" w:hAnsi="Times New Roman"/>
          <w:sz w:val="24"/>
        </w:rPr>
        <w:t xml:space="preserve"> 2024 inclus. Elle </w:t>
      </w:r>
      <w:r>
        <w:rPr>
          <w:rStyle w:val="normal1"/>
          <w:rFonts w:ascii="Times New Roman" w:hAnsi="Times New Roman"/>
          <w:bCs/>
          <w:sz w:val="24"/>
        </w:rPr>
        <w:t>est réalisée en application de l’article L123-19-1 du code de l’environnement.</w:t>
      </w:r>
    </w:p>
    <w:p w14:paraId="5F45AC4E" w14:textId="77777777" w:rsidR="00CF5523" w:rsidRDefault="00CF5523" w:rsidP="00B9051A">
      <w:pPr>
        <w:pStyle w:val="m-BlocReference"/>
        <w:rPr>
          <w:rFonts w:ascii="Times New Roman" w:hAnsi="Times New Roman"/>
          <w:b/>
          <w:sz w:val="24"/>
        </w:rPr>
      </w:pPr>
    </w:p>
    <w:p w14:paraId="0B99DA6C" w14:textId="34C406CD" w:rsidR="00B9051A" w:rsidRPr="00241C8D" w:rsidRDefault="00B9051A" w:rsidP="00B9051A">
      <w:pPr>
        <w:pStyle w:val="m-BlocReference"/>
        <w:rPr>
          <w:rFonts w:ascii="Times New Roman" w:hAnsi="Times New Roman"/>
          <w:sz w:val="24"/>
        </w:rPr>
      </w:pPr>
      <w:r w:rsidRPr="00241C8D">
        <w:rPr>
          <w:rFonts w:ascii="Times New Roman" w:hAnsi="Times New Roman"/>
          <w:b/>
          <w:sz w:val="24"/>
        </w:rPr>
        <w:t>Contexte </w:t>
      </w:r>
    </w:p>
    <w:p w14:paraId="163DF84D" w14:textId="77777777" w:rsidR="00B9051A" w:rsidRPr="00241C8D" w:rsidRDefault="00B9051A" w:rsidP="00B9051A">
      <w:pPr>
        <w:pStyle w:val="m-BlocReference"/>
        <w:rPr>
          <w:rFonts w:ascii="Times New Roman" w:hAnsi="Times New Roman"/>
          <w:sz w:val="24"/>
        </w:rPr>
      </w:pPr>
    </w:p>
    <w:p w14:paraId="07FB4DA8" w14:textId="5B0C538C" w:rsidR="00E714BF" w:rsidRDefault="00E714BF" w:rsidP="00B9051A">
      <w:pPr>
        <w:pStyle w:val="m-BlocReference"/>
        <w:rPr>
          <w:rFonts w:ascii="Times New Roman" w:hAnsi="Times New Roman"/>
          <w:bCs/>
          <w:sz w:val="24"/>
        </w:rPr>
      </w:pPr>
    </w:p>
    <w:p w14:paraId="71CB5122" w14:textId="1F55D692" w:rsidR="00212D39" w:rsidRPr="00212D39" w:rsidRDefault="00212D39" w:rsidP="00212D39">
      <w:pPr>
        <w:pStyle w:val="m-BlocReference"/>
        <w:rPr>
          <w:rFonts w:ascii="Times New Roman" w:hAnsi="Times New Roman"/>
          <w:bCs/>
          <w:sz w:val="24"/>
        </w:rPr>
      </w:pPr>
      <w:r w:rsidRPr="00212D39">
        <w:rPr>
          <w:rFonts w:ascii="Times New Roman" w:hAnsi="Times New Roman"/>
          <w:bCs/>
          <w:sz w:val="24"/>
        </w:rPr>
        <w:t xml:space="preserve">La réglementation environnementale 2020 (RE2020) fixe les exigences de performance énergétique et environnementales pour les constructions de bâtiments. Toutefois, les spécificités des habitations légères de loisirs de petite surface nécessitent de prévoir des exigences adaptées pour celles-ci. En effet, la petite taille des habitations légères de loisirs (HLL) de petite surface peut rendre excessivement compliquée l’atteinte des exigences de résultat de la RE2020 ; de plus, elles sont généralement peu occupées les mois les plus froids de l’année, ce qui peut rendre certaines exigences disproportionnées. Ainsi, l’arrêté modificatif du 22 décembre 2022 relatif aux exigences de performance énergétique et environnementale des constructions temporaires ou de petite surface a défini les adaptations des exigences de la RE2020 applicables aux HLL de moins de </w:t>
      </w:r>
      <w:r w:rsidR="005A22AF">
        <w:rPr>
          <w:rFonts w:ascii="Times New Roman" w:hAnsi="Times New Roman"/>
          <w:bCs/>
          <w:sz w:val="24"/>
        </w:rPr>
        <w:t>35 </w:t>
      </w:r>
      <w:r w:rsidRPr="00212D39">
        <w:rPr>
          <w:rFonts w:ascii="Times New Roman" w:hAnsi="Times New Roman"/>
          <w:bCs/>
          <w:sz w:val="24"/>
        </w:rPr>
        <w:t xml:space="preserve">m². Suite à la suspension de l’arrêté modificatif du 22 décembre 2022 susmentionné en tant qu’il porte sur les HLL de moins de 50m² destinées </w:t>
      </w:r>
      <w:proofErr w:type="gramStart"/>
      <w:r w:rsidRPr="00212D39">
        <w:rPr>
          <w:rFonts w:ascii="Times New Roman" w:hAnsi="Times New Roman"/>
          <w:bCs/>
          <w:sz w:val="24"/>
        </w:rPr>
        <w:t>à</w:t>
      </w:r>
      <w:proofErr w:type="gramEnd"/>
      <w:r w:rsidRPr="00212D39">
        <w:rPr>
          <w:rFonts w:ascii="Times New Roman" w:hAnsi="Times New Roman"/>
          <w:bCs/>
          <w:sz w:val="24"/>
        </w:rPr>
        <w:t xml:space="preserve"> une utilisation saisonnière dans les campings, certaines adaptations sont revues par le présent arrêté.</w:t>
      </w:r>
    </w:p>
    <w:p w14:paraId="6B3CBE9E" w14:textId="7BBA8B99" w:rsidR="00212D39" w:rsidRDefault="00212D39" w:rsidP="00212D39">
      <w:pPr>
        <w:pStyle w:val="m-BlocReference"/>
        <w:rPr>
          <w:rFonts w:ascii="Times New Roman" w:hAnsi="Times New Roman"/>
          <w:bCs/>
          <w:sz w:val="24"/>
        </w:rPr>
      </w:pPr>
      <w:r w:rsidRPr="00212D39">
        <w:rPr>
          <w:rFonts w:ascii="Times New Roman" w:hAnsi="Times New Roman"/>
          <w:bCs/>
          <w:sz w:val="24"/>
        </w:rPr>
        <w:t>Ainsi, le présent arrêté vient redéfinir, pour les HLL</w:t>
      </w:r>
      <w:r w:rsidR="00CF68C8">
        <w:rPr>
          <w:rFonts w:ascii="Times New Roman" w:hAnsi="Times New Roman"/>
          <w:bCs/>
          <w:sz w:val="24"/>
        </w:rPr>
        <w:t xml:space="preserve"> de moins de 50m²</w:t>
      </w:r>
      <w:r w:rsidRPr="00212D39">
        <w:rPr>
          <w:rFonts w:ascii="Times New Roman" w:hAnsi="Times New Roman"/>
          <w:bCs/>
          <w:sz w:val="24"/>
        </w:rPr>
        <w:t>, des exigences a</w:t>
      </w:r>
      <w:r w:rsidR="00CF68C8">
        <w:rPr>
          <w:rFonts w:ascii="Times New Roman" w:hAnsi="Times New Roman"/>
          <w:bCs/>
          <w:sz w:val="24"/>
        </w:rPr>
        <w:t>ssouplies et adaptées</w:t>
      </w:r>
      <w:r w:rsidRPr="00212D39">
        <w:rPr>
          <w:rFonts w:ascii="Times New Roman" w:hAnsi="Times New Roman"/>
          <w:bCs/>
          <w:sz w:val="24"/>
        </w:rPr>
        <w:t xml:space="preserve"> pouvant être appliquées à la place des exigences générales de la RE2020.</w:t>
      </w:r>
      <w:r w:rsidRPr="00212D39">
        <w:rPr>
          <w:rFonts w:ascii="Times New Roman" w:hAnsi="Times New Roman"/>
          <w:sz w:val="24"/>
        </w:rPr>
        <w:t xml:space="preserve"> </w:t>
      </w:r>
      <w:r w:rsidRPr="00241C8D">
        <w:rPr>
          <w:rFonts w:ascii="Times New Roman" w:hAnsi="Times New Roman"/>
          <w:sz w:val="24"/>
        </w:rPr>
        <w:t xml:space="preserve">Il est pris en application des articles </w:t>
      </w:r>
      <w:r>
        <w:rPr>
          <w:rFonts w:ascii="Times New Roman" w:hAnsi="Times New Roman"/>
          <w:sz w:val="24"/>
        </w:rPr>
        <w:t>R. 172-2 et R.172-3</w:t>
      </w:r>
      <w:r w:rsidRPr="00241C8D">
        <w:rPr>
          <w:rFonts w:ascii="Times New Roman" w:hAnsi="Times New Roman"/>
          <w:sz w:val="24"/>
        </w:rPr>
        <w:t xml:space="preserve"> du code de la construction de de l’habitation</w:t>
      </w:r>
      <w:r>
        <w:rPr>
          <w:rFonts w:ascii="Times New Roman" w:hAnsi="Times New Roman"/>
          <w:bCs/>
          <w:sz w:val="24"/>
        </w:rPr>
        <w:t>.</w:t>
      </w:r>
    </w:p>
    <w:p w14:paraId="14BFB3D6" w14:textId="1962D151" w:rsidR="00FD690E" w:rsidRDefault="00FD690E" w:rsidP="00B9051A">
      <w:pPr>
        <w:pStyle w:val="m-BlocReference"/>
        <w:rPr>
          <w:rFonts w:ascii="Times New Roman" w:hAnsi="Times New Roman"/>
          <w:bCs/>
          <w:sz w:val="24"/>
        </w:rPr>
      </w:pPr>
    </w:p>
    <w:p w14:paraId="0EEDA2AF" w14:textId="060DB898" w:rsidR="00B9051A" w:rsidRPr="00241C8D" w:rsidRDefault="00454BB4" w:rsidP="00B9051A">
      <w:pPr>
        <w:pStyle w:val="m-BlocReference"/>
        <w:rPr>
          <w:rFonts w:ascii="Times New Roman" w:hAnsi="Times New Roman"/>
          <w:bCs/>
          <w:sz w:val="24"/>
        </w:rPr>
      </w:pPr>
      <w:r>
        <w:rPr>
          <w:rFonts w:ascii="Times New Roman" w:hAnsi="Times New Roman"/>
          <w:bCs/>
          <w:sz w:val="24"/>
        </w:rPr>
        <w:t>Il corrige également un terme employé de manière inexacte aux articles 50-1 à 50-4 de l’arrêté du 4 août 2021 susmentionné.</w:t>
      </w:r>
    </w:p>
    <w:p w14:paraId="4FC4D1B0" w14:textId="77777777" w:rsidR="00E714BF" w:rsidRPr="00241C8D" w:rsidRDefault="00E714BF" w:rsidP="00E714BF">
      <w:pPr>
        <w:pStyle w:val="Corpsdetexte"/>
        <w:spacing w:after="0"/>
        <w:rPr>
          <w:b/>
          <w:bCs/>
        </w:rPr>
      </w:pPr>
    </w:p>
    <w:p w14:paraId="4CAD3949" w14:textId="5F0F2321" w:rsidR="00E714BF" w:rsidRPr="00753C18" w:rsidRDefault="00E714BF" w:rsidP="00E714BF">
      <w:pPr>
        <w:pStyle w:val="Corpsdetexte"/>
        <w:spacing w:after="0"/>
        <w:rPr>
          <w:b/>
          <w:bCs/>
        </w:rPr>
      </w:pPr>
      <w:r w:rsidRPr="00753C18">
        <w:rPr>
          <w:b/>
          <w:bCs/>
        </w:rPr>
        <w:t xml:space="preserve">Présentation </w:t>
      </w:r>
      <w:r w:rsidR="00DD660C" w:rsidRPr="00753C18">
        <w:rPr>
          <w:b/>
          <w:bCs/>
        </w:rPr>
        <w:t>de l’arrêté</w:t>
      </w:r>
      <w:r w:rsidRPr="00753C18">
        <w:rPr>
          <w:b/>
          <w:bCs/>
        </w:rPr>
        <w:t> </w:t>
      </w:r>
    </w:p>
    <w:p w14:paraId="2C7B7206" w14:textId="04BD22E4" w:rsidR="00E714BF" w:rsidRDefault="00E714BF" w:rsidP="00E714BF">
      <w:pPr>
        <w:pStyle w:val="Corpsdetexte"/>
        <w:spacing w:after="0"/>
        <w:rPr>
          <w:b/>
          <w:bCs/>
        </w:rPr>
      </w:pPr>
    </w:p>
    <w:p w14:paraId="301DC739" w14:textId="630C7C1F" w:rsidR="00B96C86" w:rsidRDefault="00B96C86" w:rsidP="00A62186">
      <w:pPr>
        <w:pStyle w:val="Corpsdetexte"/>
        <w:spacing w:after="0"/>
        <w:rPr>
          <w:rStyle w:val="normal1"/>
        </w:rPr>
      </w:pPr>
      <w:r w:rsidRPr="00446D72">
        <w:rPr>
          <w:rStyle w:val="normal1"/>
          <w:b/>
        </w:rPr>
        <w:t xml:space="preserve">L’article </w:t>
      </w:r>
      <w:r>
        <w:rPr>
          <w:rStyle w:val="normal1"/>
          <w:b/>
        </w:rPr>
        <w:t xml:space="preserve">1 </w:t>
      </w:r>
      <w:r w:rsidR="006A5B36">
        <w:rPr>
          <w:rStyle w:val="normal1"/>
        </w:rPr>
        <w:t xml:space="preserve">modifie </w:t>
      </w:r>
      <w:r w:rsidR="00A62186">
        <w:rPr>
          <w:rStyle w:val="normal1"/>
        </w:rPr>
        <w:t>l</w:t>
      </w:r>
      <w:r w:rsidR="006A5B36">
        <w:rPr>
          <w:rStyle w:val="normal1"/>
        </w:rPr>
        <w:t>’article 50-4 de l’arrêté du 4 août 2021</w:t>
      </w:r>
      <w:r w:rsidR="00A62186">
        <w:rPr>
          <w:rStyle w:val="normal1"/>
        </w:rPr>
        <w:t xml:space="preserve">, relatif aux </w:t>
      </w:r>
      <w:r w:rsidR="00A62186" w:rsidRPr="006A5B36">
        <w:rPr>
          <w:rStyle w:val="normal1"/>
        </w:rPr>
        <w:t>habitations légères de loisirs</w:t>
      </w:r>
      <w:r w:rsidR="00A62186">
        <w:rPr>
          <w:rStyle w:val="normal1"/>
        </w:rPr>
        <w:t xml:space="preserve"> de moins de 50 m².</w:t>
      </w:r>
    </w:p>
    <w:p w14:paraId="5FBD664A" w14:textId="77777777" w:rsidR="00A62186" w:rsidRDefault="00A62186" w:rsidP="00A62186">
      <w:pPr>
        <w:pStyle w:val="Corpsdetexte"/>
        <w:spacing w:after="0"/>
        <w:rPr>
          <w:rStyle w:val="normal1"/>
        </w:rPr>
      </w:pPr>
    </w:p>
    <w:p w14:paraId="28DEECBC" w14:textId="0AD6B708" w:rsidR="00454BB4" w:rsidRDefault="006A5B36" w:rsidP="00551B5F">
      <w:pPr>
        <w:jc w:val="both"/>
        <w:rPr>
          <w:rStyle w:val="normal1"/>
          <w:rFonts w:ascii="Times New Roman" w:hAnsi="Times New Roman" w:cs="Times New Roman"/>
          <w:sz w:val="24"/>
          <w:szCs w:val="24"/>
        </w:rPr>
      </w:pPr>
      <w:r>
        <w:rPr>
          <w:rStyle w:val="normal1"/>
          <w:rFonts w:ascii="Times New Roman" w:hAnsi="Times New Roman" w:cs="Times New Roman"/>
          <w:sz w:val="24"/>
          <w:szCs w:val="24"/>
        </w:rPr>
        <w:t xml:space="preserve">Son </w:t>
      </w:r>
      <w:r w:rsidR="00A62186">
        <w:rPr>
          <w:rStyle w:val="normal1"/>
          <w:rFonts w:ascii="Times New Roman" w:hAnsi="Times New Roman" w:cs="Times New Roman"/>
          <w:sz w:val="24"/>
          <w:szCs w:val="24"/>
        </w:rPr>
        <w:t>I</w:t>
      </w:r>
      <w:r>
        <w:rPr>
          <w:rStyle w:val="normal1"/>
          <w:rFonts w:ascii="Times New Roman" w:hAnsi="Times New Roman" w:cs="Times New Roman"/>
          <w:sz w:val="24"/>
          <w:szCs w:val="24"/>
        </w:rPr>
        <w:t xml:space="preserve"> </w:t>
      </w:r>
      <w:r w:rsidR="00454BB4">
        <w:rPr>
          <w:rStyle w:val="normal1"/>
          <w:rFonts w:ascii="Times New Roman" w:hAnsi="Times New Roman" w:cs="Times New Roman"/>
          <w:sz w:val="24"/>
          <w:szCs w:val="24"/>
        </w:rPr>
        <w:t xml:space="preserve">prévoit l’application d’exigences uniquement sur l’éclairage pour les HLL dispensées de démarches d’urbanisme (HLL </w:t>
      </w:r>
      <w:r w:rsidR="00454BB4" w:rsidRPr="00454BB4">
        <w:rPr>
          <w:rStyle w:val="normal1"/>
          <w:rFonts w:ascii="Times New Roman" w:hAnsi="Times New Roman" w:cs="Times New Roman"/>
          <w:sz w:val="24"/>
          <w:szCs w:val="24"/>
        </w:rPr>
        <w:t>mentionnées au b de l'article R.</w:t>
      </w:r>
      <w:r w:rsidR="00454BB4">
        <w:rPr>
          <w:rStyle w:val="normal1"/>
          <w:rFonts w:ascii="Times New Roman" w:hAnsi="Times New Roman" w:cs="Times New Roman"/>
          <w:sz w:val="24"/>
          <w:szCs w:val="24"/>
        </w:rPr>
        <w:t xml:space="preserve"> * 421-2 du code de l'urbanisme).</w:t>
      </w:r>
    </w:p>
    <w:p w14:paraId="6A387037" w14:textId="210C4877" w:rsidR="00454BB4" w:rsidRDefault="00454BB4" w:rsidP="00551B5F">
      <w:pPr>
        <w:jc w:val="both"/>
        <w:rPr>
          <w:rStyle w:val="normal1"/>
          <w:rFonts w:ascii="Times New Roman" w:hAnsi="Times New Roman" w:cs="Times New Roman"/>
          <w:sz w:val="24"/>
          <w:szCs w:val="24"/>
        </w:rPr>
      </w:pPr>
      <w:r>
        <w:rPr>
          <w:rStyle w:val="normal1"/>
          <w:rFonts w:ascii="Times New Roman" w:hAnsi="Times New Roman" w:cs="Times New Roman"/>
          <w:sz w:val="24"/>
          <w:szCs w:val="24"/>
        </w:rPr>
        <w:t>Son II supprime une mention obsolète.</w:t>
      </w:r>
    </w:p>
    <w:p w14:paraId="040098C6" w14:textId="38FF08E4" w:rsidR="00A62186" w:rsidRDefault="00454BB4" w:rsidP="00551B5F">
      <w:pPr>
        <w:jc w:val="both"/>
        <w:rPr>
          <w:rStyle w:val="normal1"/>
          <w:rFonts w:ascii="Times New Roman" w:hAnsi="Times New Roman" w:cs="Times New Roman"/>
          <w:sz w:val="24"/>
          <w:szCs w:val="24"/>
        </w:rPr>
      </w:pPr>
      <w:r>
        <w:rPr>
          <w:rStyle w:val="normal1"/>
          <w:rFonts w:ascii="Times New Roman" w:hAnsi="Times New Roman" w:cs="Times New Roman"/>
          <w:sz w:val="24"/>
          <w:szCs w:val="24"/>
        </w:rPr>
        <w:t xml:space="preserve">Son III </w:t>
      </w:r>
      <w:r w:rsidR="004D39B4">
        <w:rPr>
          <w:rStyle w:val="normal1"/>
          <w:rFonts w:ascii="Times New Roman" w:hAnsi="Times New Roman" w:cs="Times New Roman"/>
          <w:sz w:val="24"/>
          <w:szCs w:val="24"/>
        </w:rPr>
        <w:t>a</w:t>
      </w:r>
      <w:r w:rsidR="00A62186">
        <w:rPr>
          <w:rStyle w:val="normal1"/>
          <w:rFonts w:ascii="Times New Roman" w:hAnsi="Times New Roman" w:cs="Times New Roman"/>
          <w:sz w:val="24"/>
          <w:szCs w:val="24"/>
        </w:rPr>
        <w:t>llège les exigences d’isolation</w:t>
      </w:r>
      <w:r w:rsidR="006A5B36">
        <w:rPr>
          <w:rStyle w:val="normal1"/>
          <w:rFonts w:ascii="Times New Roman" w:hAnsi="Times New Roman" w:cs="Times New Roman"/>
          <w:sz w:val="24"/>
          <w:szCs w:val="24"/>
        </w:rPr>
        <w:t>.</w:t>
      </w:r>
    </w:p>
    <w:p w14:paraId="0E745EA3" w14:textId="004F932D" w:rsidR="00A62186" w:rsidRDefault="00A62186" w:rsidP="00551B5F">
      <w:pPr>
        <w:jc w:val="both"/>
        <w:rPr>
          <w:rStyle w:val="normal1"/>
          <w:rFonts w:ascii="Times New Roman" w:hAnsi="Times New Roman" w:cs="Times New Roman"/>
          <w:sz w:val="24"/>
          <w:szCs w:val="24"/>
        </w:rPr>
      </w:pPr>
      <w:r>
        <w:rPr>
          <w:rStyle w:val="normal1"/>
          <w:rFonts w:ascii="Times New Roman" w:hAnsi="Times New Roman" w:cs="Times New Roman"/>
          <w:sz w:val="24"/>
          <w:szCs w:val="24"/>
        </w:rPr>
        <w:t xml:space="preserve">Son </w:t>
      </w:r>
      <w:r w:rsidR="00454BB4">
        <w:rPr>
          <w:rStyle w:val="normal1"/>
          <w:rFonts w:ascii="Times New Roman" w:hAnsi="Times New Roman" w:cs="Times New Roman"/>
          <w:sz w:val="24"/>
          <w:szCs w:val="24"/>
        </w:rPr>
        <w:t xml:space="preserve">IV </w:t>
      </w:r>
      <w:r>
        <w:rPr>
          <w:rStyle w:val="normal1"/>
          <w:rFonts w:ascii="Times New Roman" w:hAnsi="Times New Roman" w:cs="Times New Roman"/>
          <w:sz w:val="24"/>
          <w:szCs w:val="24"/>
        </w:rPr>
        <w:t>allège l’exigence de facteur solaire, lorsque les baies sont masquées par des casquettes de dimensions suffisantes.</w:t>
      </w:r>
    </w:p>
    <w:p w14:paraId="1DA466BC" w14:textId="356C2F10" w:rsidR="00020879" w:rsidRDefault="00020879" w:rsidP="00551B5F">
      <w:pPr>
        <w:jc w:val="both"/>
        <w:rPr>
          <w:rStyle w:val="normal1"/>
          <w:rFonts w:ascii="Times New Roman" w:hAnsi="Times New Roman" w:cs="Times New Roman"/>
          <w:sz w:val="24"/>
          <w:szCs w:val="24"/>
        </w:rPr>
      </w:pPr>
      <w:r>
        <w:rPr>
          <w:rStyle w:val="normal1"/>
          <w:rFonts w:ascii="Times New Roman" w:hAnsi="Times New Roman" w:cs="Times New Roman"/>
          <w:sz w:val="24"/>
          <w:szCs w:val="24"/>
        </w:rPr>
        <w:t>Son V renforce l’exigence de régulation des émetteurs de chauffage.</w:t>
      </w:r>
    </w:p>
    <w:p w14:paraId="44DE8551" w14:textId="7F06C831" w:rsidR="00A62186" w:rsidRDefault="00A62186" w:rsidP="00551B5F">
      <w:pPr>
        <w:jc w:val="both"/>
        <w:rPr>
          <w:rStyle w:val="normal1"/>
          <w:rFonts w:ascii="Times New Roman" w:hAnsi="Times New Roman" w:cs="Times New Roman"/>
          <w:sz w:val="24"/>
          <w:szCs w:val="24"/>
        </w:rPr>
      </w:pPr>
      <w:r>
        <w:rPr>
          <w:rStyle w:val="normal1"/>
          <w:rFonts w:ascii="Times New Roman" w:hAnsi="Times New Roman" w:cs="Times New Roman"/>
          <w:sz w:val="24"/>
          <w:szCs w:val="24"/>
        </w:rPr>
        <w:t xml:space="preserve">Son </w:t>
      </w:r>
      <w:r w:rsidR="00454BB4">
        <w:rPr>
          <w:rStyle w:val="normal1"/>
          <w:rFonts w:ascii="Times New Roman" w:hAnsi="Times New Roman" w:cs="Times New Roman"/>
          <w:sz w:val="24"/>
          <w:szCs w:val="24"/>
        </w:rPr>
        <w:t>V</w:t>
      </w:r>
      <w:r w:rsidR="00020879">
        <w:rPr>
          <w:rStyle w:val="normal1"/>
          <w:rFonts w:ascii="Times New Roman" w:hAnsi="Times New Roman" w:cs="Times New Roman"/>
          <w:sz w:val="24"/>
          <w:szCs w:val="24"/>
        </w:rPr>
        <w:t>I</w:t>
      </w:r>
      <w:r w:rsidR="00454BB4">
        <w:rPr>
          <w:rStyle w:val="normal1"/>
          <w:rFonts w:ascii="Times New Roman" w:hAnsi="Times New Roman" w:cs="Times New Roman"/>
          <w:sz w:val="24"/>
          <w:szCs w:val="24"/>
        </w:rPr>
        <w:t xml:space="preserve"> </w:t>
      </w:r>
      <w:r w:rsidR="000E2335">
        <w:rPr>
          <w:rStyle w:val="normal1"/>
          <w:rFonts w:ascii="Times New Roman" w:hAnsi="Times New Roman" w:cs="Times New Roman"/>
          <w:sz w:val="24"/>
          <w:szCs w:val="24"/>
        </w:rPr>
        <w:t>limite</w:t>
      </w:r>
      <w:r w:rsidR="006A5B36">
        <w:rPr>
          <w:rStyle w:val="normal1"/>
          <w:rFonts w:ascii="Times New Roman" w:hAnsi="Times New Roman" w:cs="Times New Roman"/>
          <w:sz w:val="24"/>
          <w:szCs w:val="24"/>
        </w:rPr>
        <w:t xml:space="preserve"> l’exigence de performance des systèmes de chauffage </w:t>
      </w:r>
      <w:r w:rsidR="000E2335">
        <w:rPr>
          <w:rStyle w:val="normal1"/>
          <w:rFonts w:ascii="Times New Roman" w:hAnsi="Times New Roman" w:cs="Times New Roman"/>
          <w:sz w:val="24"/>
          <w:szCs w:val="24"/>
        </w:rPr>
        <w:t>aux constructions dont la puissance totale des systèmes de chauffage est supérieure à 1kW</w:t>
      </w:r>
      <w:r w:rsidR="006A5B36">
        <w:rPr>
          <w:rStyle w:val="normal1"/>
          <w:rFonts w:ascii="Times New Roman" w:hAnsi="Times New Roman" w:cs="Times New Roman"/>
          <w:sz w:val="24"/>
          <w:szCs w:val="24"/>
        </w:rPr>
        <w:t>.</w:t>
      </w:r>
      <w:r w:rsidR="004D39B4">
        <w:rPr>
          <w:rStyle w:val="normal1"/>
          <w:rFonts w:ascii="Times New Roman" w:hAnsi="Times New Roman" w:cs="Times New Roman"/>
          <w:sz w:val="24"/>
          <w:szCs w:val="24"/>
        </w:rPr>
        <w:t xml:space="preserve"> </w:t>
      </w:r>
    </w:p>
    <w:p w14:paraId="6A1EAA0A" w14:textId="6DF42B3B" w:rsidR="00595322" w:rsidRPr="006A5B36" w:rsidRDefault="00A62186" w:rsidP="00551B5F">
      <w:pPr>
        <w:jc w:val="both"/>
        <w:rPr>
          <w:rStyle w:val="normal1"/>
          <w:rFonts w:ascii="Times New Roman" w:hAnsi="Times New Roman" w:cs="Times New Roman"/>
          <w:sz w:val="24"/>
          <w:szCs w:val="24"/>
        </w:rPr>
      </w:pPr>
      <w:r>
        <w:rPr>
          <w:rStyle w:val="normal1"/>
          <w:rFonts w:ascii="Times New Roman" w:hAnsi="Times New Roman" w:cs="Times New Roman"/>
          <w:sz w:val="24"/>
          <w:szCs w:val="24"/>
        </w:rPr>
        <w:lastRenderedPageBreak/>
        <w:t xml:space="preserve">Son </w:t>
      </w:r>
      <w:r w:rsidR="00454BB4">
        <w:rPr>
          <w:rStyle w:val="normal1"/>
          <w:rFonts w:ascii="Times New Roman" w:hAnsi="Times New Roman" w:cs="Times New Roman"/>
          <w:sz w:val="24"/>
          <w:szCs w:val="24"/>
        </w:rPr>
        <w:t>VI</w:t>
      </w:r>
      <w:r w:rsidR="00020879">
        <w:rPr>
          <w:rStyle w:val="normal1"/>
          <w:rFonts w:ascii="Times New Roman" w:hAnsi="Times New Roman" w:cs="Times New Roman"/>
          <w:sz w:val="24"/>
          <w:szCs w:val="24"/>
        </w:rPr>
        <w:t>I</w:t>
      </w:r>
      <w:r w:rsidR="00454BB4">
        <w:rPr>
          <w:rStyle w:val="normal1"/>
          <w:rFonts w:ascii="Times New Roman" w:hAnsi="Times New Roman" w:cs="Times New Roman"/>
          <w:sz w:val="24"/>
          <w:szCs w:val="24"/>
        </w:rPr>
        <w:t xml:space="preserve"> </w:t>
      </w:r>
      <w:r w:rsidR="004D39B4">
        <w:rPr>
          <w:rStyle w:val="normal1"/>
          <w:rFonts w:ascii="Times New Roman" w:hAnsi="Times New Roman" w:cs="Times New Roman"/>
          <w:sz w:val="24"/>
          <w:szCs w:val="24"/>
        </w:rPr>
        <w:t>supprime l’exigence de traitement des ponts thermiques.</w:t>
      </w:r>
    </w:p>
    <w:p w14:paraId="0D9E3F2F" w14:textId="6FC45059" w:rsidR="00807239" w:rsidRDefault="00595322" w:rsidP="00595322">
      <w:pPr>
        <w:jc w:val="both"/>
        <w:rPr>
          <w:rStyle w:val="normal1"/>
          <w:rFonts w:ascii="Times New Roman" w:hAnsi="Times New Roman" w:cs="Times New Roman"/>
          <w:bCs/>
          <w:sz w:val="24"/>
          <w:szCs w:val="24"/>
        </w:rPr>
      </w:pPr>
      <w:r w:rsidRPr="00AD200E">
        <w:rPr>
          <w:rStyle w:val="normal1"/>
          <w:rFonts w:ascii="Times New Roman" w:hAnsi="Times New Roman" w:cs="Times New Roman"/>
          <w:b/>
          <w:bCs/>
          <w:sz w:val="24"/>
          <w:szCs w:val="24"/>
        </w:rPr>
        <w:t>L’</w:t>
      </w:r>
      <w:r w:rsidR="006A5B36" w:rsidRPr="00AD200E">
        <w:rPr>
          <w:rStyle w:val="normal1"/>
          <w:rFonts w:ascii="Times New Roman" w:hAnsi="Times New Roman" w:cs="Times New Roman"/>
          <w:b/>
          <w:bCs/>
          <w:sz w:val="24"/>
          <w:szCs w:val="24"/>
        </w:rPr>
        <w:t>a</w:t>
      </w:r>
      <w:r w:rsidR="006A5B36">
        <w:rPr>
          <w:rStyle w:val="normal1"/>
          <w:rFonts w:ascii="Times New Roman" w:hAnsi="Times New Roman" w:cs="Times New Roman"/>
          <w:b/>
          <w:bCs/>
          <w:sz w:val="24"/>
          <w:szCs w:val="24"/>
        </w:rPr>
        <w:t xml:space="preserve">rticle </w:t>
      </w:r>
      <w:r w:rsidR="00A62186">
        <w:rPr>
          <w:rStyle w:val="normal1"/>
          <w:rFonts w:ascii="Times New Roman" w:hAnsi="Times New Roman" w:cs="Times New Roman"/>
          <w:b/>
          <w:bCs/>
          <w:sz w:val="24"/>
          <w:szCs w:val="24"/>
        </w:rPr>
        <w:t>2</w:t>
      </w:r>
      <w:r>
        <w:rPr>
          <w:rStyle w:val="normal1"/>
          <w:rFonts w:ascii="Times New Roman" w:hAnsi="Times New Roman" w:cs="Times New Roman"/>
          <w:b/>
          <w:bCs/>
          <w:sz w:val="24"/>
          <w:szCs w:val="24"/>
        </w:rPr>
        <w:t xml:space="preserve"> </w:t>
      </w:r>
      <w:r w:rsidR="00807239">
        <w:rPr>
          <w:rStyle w:val="normal1"/>
          <w:rFonts w:ascii="Times New Roman" w:hAnsi="Times New Roman" w:cs="Times New Roman"/>
          <w:bCs/>
          <w:sz w:val="24"/>
          <w:szCs w:val="24"/>
        </w:rPr>
        <w:t>remplace le terme « surface utile » (défini, dans la RE2020, uniquement pour les bâtiments à usage autre que d’habitation) par « surface de référence ».</w:t>
      </w:r>
    </w:p>
    <w:p w14:paraId="1E35B134" w14:textId="2ACEA5CE" w:rsidR="00454BB4" w:rsidRPr="00E961C7" w:rsidRDefault="00807239" w:rsidP="00595322">
      <w:pPr>
        <w:jc w:val="both"/>
        <w:rPr>
          <w:rStyle w:val="normal1"/>
          <w:rFonts w:ascii="Times New Roman" w:hAnsi="Times New Roman" w:cs="Times New Roman"/>
          <w:bCs/>
          <w:sz w:val="24"/>
          <w:szCs w:val="24"/>
        </w:rPr>
      </w:pPr>
      <w:r w:rsidRPr="00807239">
        <w:rPr>
          <w:rStyle w:val="normal1"/>
          <w:rFonts w:ascii="Times New Roman" w:hAnsi="Times New Roman" w:cs="Times New Roman"/>
          <w:b/>
          <w:bCs/>
          <w:sz w:val="24"/>
          <w:szCs w:val="24"/>
        </w:rPr>
        <w:t>L’</w:t>
      </w:r>
      <w:r>
        <w:rPr>
          <w:rStyle w:val="normal1"/>
          <w:rFonts w:ascii="Times New Roman" w:hAnsi="Times New Roman" w:cs="Times New Roman"/>
          <w:b/>
          <w:bCs/>
          <w:sz w:val="24"/>
          <w:szCs w:val="24"/>
        </w:rPr>
        <w:t xml:space="preserve">article </w:t>
      </w:r>
      <w:r w:rsidR="00A62186">
        <w:rPr>
          <w:rStyle w:val="normal1"/>
          <w:rFonts w:ascii="Times New Roman" w:hAnsi="Times New Roman" w:cs="Times New Roman"/>
          <w:b/>
          <w:bCs/>
          <w:sz w:val="24"/>
          <w:szCs w:val="24"/>
        </w:rPr>
        <w:t>3</w:t>
      </w:r>
      <w:r>
        <w:rPr>
          <w:rStyle w:val="normal1"/>
          <w:rFonts w:ascii="Times New Roman" w:hAnsi="Times New Roman" w:cs="Times New Roman"/>
          <w:b/>
          <w:bCs/>
          <w:sz w:val="24"/>
          <w:szCs w:val="24"/>
        </w:rPr>
        <w:t xml:space="preserve"> </w:t>
      </w:r>
      <w:r w:rsidR="00E961C7">
        <w:rPr>
          <w:rStyle w:val="normal1"/>
          <w:rFonts w:ascii="Times New Roman" w:hAnsi="Times New Roman" w:cs="Times New Roman"/>
          <w:bCs/>
          <w:sz w:val="24"/>
          <w:szCs w:val="24"/>
        </w:rPr>
        <w:t>fixe l’</w:t>
      </w:r>
      <w:r w:rsidR="00454BB4">
        <w:rPr>
          <w:rStyle w:val="normal1"/>
          <w:rFonts w:ascii="Times New Roman" w:hAnsi="Times New Roman" w:cs="Times New Roman"/>
          <w:bCs/>
          <w:sz w:val="24"/>
          <w:szCs w:val="24"/>
        </w:rPr>
        <w:t xml:space="preserve">entrée en vigueur </w:t>
      </w:r>
      <w:r w:rsidR="00E961C7">
        <w:rPr>
          <w:rStyle w:val="normal1"/>
          <w:rFonts w:ascii="Times New Roman" w:hAnsi="Times New Roman" w:cs="Times New Roman"/>
          <w:bCs/>
          <w:sz w:val="24"/>
          <w:szCs w:val="24"/>
        </w:rPr>
        <w:t>au 1</w:t>
      </w:r>
      <w:r w:rsidR="00E961C7" w:rsidRPr="00E961C7">
        <w:rPr>
          <w:rStyle w:val="normal1"/>
          <w:rFonts w:ascii="Times New Roman" w:hAnsi="Times New Roman" w:cs="Times New Roman"/>
          <w:bCs/>
          <w:sz w:val="24"/>
          <w:szCs w:val="24"/>
          <w:vertAlign w:val="superscript"/>
        </w:rPr>
        <w:t>er</w:t>
      </w:r>
      <w:r w:rsidR="00E961C7">
        <w:rPr>
          <w:rStyle w:val="normal1"/>
          <w:rFonts w:ascii="Times New Roman" w:hAnsi="Times New Roman" w:cs="Times New Roman"/>
          <w:bCs/>
          <w:sz w:val="24"/>
          <w:szCs w:val="24"/>
        </w:rPr>
        <w:t xml:space="preserve"> </w:t>
      </w:r>
      <w:r w:rsidR="00270B51">
        <w:rPr>
          <w:rStyle w:val="normal1"/>
          <w:rFonts w:ascii="Times New Roman" w:hAnsi="Times New Roman" w:cs="Times New Roman"/>
          <w:bCs/>
          <w:sz w:val="24"/>
          <w:szCs w:val="24"/>
        </w:rPr>
        <w:t>novembre</w:t>
      </w:r>
      <w:r w:rsidR="00E961C7">
        <w:rPr>
          <w:rStyle w:val="normal1"/>
          <w:rFonts w:ascii="Times New Roman" w:hAnsi="Times New Roman" w:cs="Times New Roman"/>
          <w:bCs/>
          <w:sz w:val="24"/>
          <w:szCs w:val="24"/>
        </w:rPr>
        <w:t xml:space="preserve"> 2024.</w:t>
      </w:r>
    </w:p>
    <w:p w14:paraId="676A9D89" w14:textId="42084AEA" w:rsidR="00551B5F" w:rsidRPr="00753C18" w:rsidRDefault="00E961C7" w:rsidP="00E714BF">
      <w:pPr>
        <w:jc w:val="both"/>
        <w:rPr>
          <w:rStyle w:val="normal1"/>
          <w:rFonts w:ascii="Times New Roman" w:hAnsi="Times New Roman" w:cs="Times New Roman"/>
          <w:bCs/>
          <w:sz w:val="24"/>
          <w:szCs w:val="24"/>
        </w:rPr>
      </w:pPr>
      <w:r>
        <w:rPr>
          <w:rStyle w:val="normal1"/>
          <w:rFonts w:ascii="Times New Roman" w:hAnsi="Times New Roman" w:cs="Times New Roman"/>
          <w:b/>
          <w:bCs/>
          <w:sz w:val="24"/>
          <w:szCs w:val="24"/>
        </w:rPr>
        <w:t xml:space="preserve">L’article 4 </w:t>
      </w:r>
      <w:r w:rsidR="00595322" w:rsidRPr="00807239">
        <w:rPr>
          <w:rStyle w:val="normal1"/>
          <w:rFonts w:ascii="Times New Roman" w:hAnsi="Times New Roman" w:cs="Times New Roman"/>
          <w:bCs/>
          <w:sz w:val="24"/>
          <w:szCs w:val="24"/>
        </w:rPr>
        <w:t>est</w:t>
      </w:r>
      <w:r w:rsidR="00595322">
        <w:rPr>
          <w:rStyle w:val="normal1"/>
          <w:rFonts w:ascii="Times New Roman" w:hAnsi="Times New Roman" w:cs="Times New Roman"/>
          <w:bCs/>
          <w:sz w:val="24"/>
          <w:szCs w:val="24"/>
        </w:rPr>
        <w:t xml:space="preserve"> l’article d’exécution.</w:t>
      </w:r>
    </w:p>
    <w:p w14:paraId="67BD1ACC" w14:textId="2ABB242C" w:rsidR="00B9051A" w:rsidRDefault="00B9051A" w:rsidP="00E714BF">
      <w:pPr>
        <w:jc w:val="both"/>
        <w:rPr>
          <w:rFonts w:ascii="Times New Roman" w:hAnsi="Times New Roman" w:cs="Times New Roman"/>
        </w:rPr>
      </w:pPr>
    </w:p>
    <w:sectPr w:rsidR="00B905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font452">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altName w:val="Liberation Sans"/>
    <w:panose1 w:val="020B0604020202020204"/>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C49A4"/>
    <w:multiLevelType w:val="hybridMultilevel"/>
    <w:tmpl w:val="AA40F74E"/>
    <w:lvl w:ilvl="0" w:tplc="BA2CCB3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4724FE"/>
    <w:multiLevelType w:val="hybridMultilevel"/>
    <w:tmpl w:val="B3927834"/>
    <w:lvl w:ilvl="0" w:tplc="83E21978">
      <w:start w:val="1"/>
      <w:numFmt w:val="bullet"/>
      <w:lvlText w:val=""/>
      <w:lvlJc w:val="left"/>
      <w:pPr>
        <w:tabs>
          <w:tab w:val="num" w:pos="780"/>
        </w:tabs>
        <w:ind w:left="780" w:hanging="360"/>
      </w:pPr>
      <w:rPr>
        <w:rFonts w:ascii="Symbol" w:hAnsi="Symbol" w:hint="default"/>
      </w:rPr>
    </w:lvl>
    <w:lvl w:ilvl="1" w:tplc="040C0003">
      <w:start w:val="1"/>
      <w:numFmt w:val="bullet"/>
      <w:lvlText w:val="o"/>
      <w:lvlJc w:val="left"/>
      <w:pPr>
        <w:tabs>
          <w:tab w:val="num" w:pos="1500"/>
        </w:tabs>
        <w:ind w:left="1500" w:hanging="360"/>
      </w:pPr>
      <w:rPr>
        <w:rFonts w:ascii="Courier New" w:hAnsi="Courier New" w:cs="Courier New" w:hint="default"/>
      </w:rPr>
    </w:lvl>
    <w:lvl w:ilvl="2" w:tplc="040C0005">
      <w:start w:val="1"/>
      <w:numFmt w:val="bullet"/>
      <w:lvlText w:val=""/>
      <w:lvlJc w:val="left"/>
      <w:pPr>
        <w:tabs>
          <w:tab w:val="num" w:pos="2220"/>
        </w:tabs>
        <w:ind w:left="2220" w:hanging="360"/>
      </w:pPr>
      <w:rPr>
        <w:rFonts w:ascii="Wingdings" w:hAnsi="Wingdings" w:hint="default"/>
      </w:rPr>
    </w:lvl>
    <w:lvl w:ilvl="3" w:tplc="040C0001">
      <w:start w:val="1"/>
      <w:numFmt w:val="bullet"/>
      <w:lvlText w:val=""/>
      <w:lvlJc w:val="left"/>
      <w:pPr>
        <w:tabs>
          <w:tab w:val="num" w:pos="2940"/>
        </w:tabs>
        <w:ind w:left="2940" w:hanging="360"/>
      </w:pPr>
      <w:rPr>
        <w:rFonts w:ascii="Symbol" w:hAnsi="Symbol" w:hint="default"/>
      </w:rPr>
    </w:lvl>
    <w:lvl w:ilvl="4" w:tplc="040C0003">
      <w:start w:val="1"/>
      <w:numFmt w:val="bullet"/>
      <w:lvlText w:val="o"/>
      <w:lvlJc w:val="left"/>
      <w:pPr>
        <w:tabs>
          <w:tab w:val="num" w:pos="3660"/>
        </w:tabs>
        <w:ind w:left="3660" w:hanging="360"/>
      </w:pPr>
      <w:rPr>
        <w:rFonts w:ascii="Courier New" w:hAnsi="Courier New" w:cs="Courier New" w:hint="default"/>
      </w:rPr>
    </w:lvl>
    <w:lvl w:ilvl="5" w:tplc="040C0005">
      <w:start w:val="1"/>
      <w:numFmt w:val="bullet"/>
      <w:lvlText w:val=""/>
      <w:lvlJc w:val="left"/>
      <w:pPr>
        <w:tabs>
          <w:tab w:val="num" w:pos="4380"/>
        </w:tabs>
        <w:ind w:left="4380" w:hanging="360"/>
      </w:pPr>
      <w:rPr>
        <w:rFonts w:ascii="Wingdings" w:hAnsi="Wingdings" w:hint="default"/>
      </w:rPr>
    </w:lvl>
    <w:lvl w:ilvl="6" w:tplc="040C0001">
      <w:start w:val="1"/>
      <w:numFmt w:val="bullet"/>
      <w:lvlText w:val=""/>
      <w:lvlJc w:val="left"/>
      <w:pPr>
        <w:tabs>
          <w:tab w:val="num" w:pos="5100"/>
        </w:tabs>
        <w:ind w:left="5100" w:hanging="360"/>
      </w:pPr>
      <w:rPr>
        <w:rFonts w:ascii="Symbol" w:hAnsi="Symbol" w:hint="default"/>
      </w:rPr>
    </w:lvl>
    <w:lvl w:ilvl="7" w:tplc="040C0003">
      <w:start w:val="1"/>
      <w:numFmt w:val="bullet"/>
      <w:lvlText w:val="o"/>
      <w:lvlJc w:val="left"/>
      <w:pPr>
        <w:tabs>
          <w:tab w:val="num" w:pos="5820"/>
        </w:tabs>
        <w:ind w:left="5820" w:hanging="360"/>
      </w:pPr>
      <w:rPr>
        <w:rFonts w:ascii="Courier New" w:hAnsi="Courier New" w:cs="Courier New" w:hint="default"/>
      </w:rPr>
    </w:lvl>
    <w:lvl w:ilvl="8" w:tplc="040C0005">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3448612A"/>
    <w:multiLevelType w:val="hybridMultilevel"/>
    <w:tmpl w:val="596E649E"/>
    <w:lvl w:ilvl="0" w:tplc="DC8EE016">
      <w:start w:val="2"/>
      <w:numFmt w:val="bullet"/>
      <w:lvlText w:val="-"/>
      <w:lvlJc w:val="left"/>
      <w:pPr>
        <w:ind w:left="720" w:hanging="360"/>
      </w:pPr>
      <w:rPr>
        <w:rFonts w:ascii="Times New Roman" w:eastAsia="font452"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7C5743"/>
    <w:multiLevelType w:val="hybridMultilevel"/>
    <w:tmpl w:val="91D8945C"/>
    <w:lvl w:ilvl="0" w:tplc="9F3AFE54">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3F5983"/>
    <w:multiLevelType w:val="hybridMultilevel"/>
    <w:tmpl w:val="920C45B0"/>
    <w:lvl w:ilvl="0" w:tplc="28B4E840">
      <w:start w:val="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4BF"/>
    <w:rsid w:val="00020879"/>
    <w:rsid w:val="000B0E87"/>
    <w:rsid w:val="000E2335"/>
    <w:rsid w:val="0015148A"/>
    <w:rsid w:val="00177F04"/>
    <w:rsid w:val="00187FCA"/>
    <w:rsid w:val="00212D39"/>
    <w:rsid w:val="00233F3B"/>
    <w:rsid w:val="00241C8D"/>
    <w:rsid w:val="00270B51"/>
    <w:rsid w:val="00281FFC"/>
    <w:rsid w:val="002B669C"/>
    <w:rsid w:val="002F137A"/>
    <w:rsid w:val="00310F1E"/>
    <w:rsid w:val="003718FF"/>
    <w:rsid w:val="003B173D"/>
    <w:rsid w:val="004076FC"/>
    <w:rsid w:val="00446D72"/>
    <w:rsid w:val="00454BB4"/>
    <w:rsid w:val="004606A5"/>
    <w:rsid w:val="00483C82"/>
    <w:rsid w:val="0049310A"/>
    <w:rsid w:val="00495D3D"/>
    <w:rsid w:val="004A534A"/>
    <w:rsid w:val="004A6630"/>
    <w:rsid w:val="004C16B1"/>
    <w:rsid w:val="004C7160"/>
    <w:rsid w:val="004D39B4"/>
    <w:rsid w:val="0052233E"/>
    <w:rsid w:val="00551B5F"/>
    <w:rsid w:val="005636D6"/>
    <w:rsid w:val="00595322"/>
    <w:rsid w:val="005A22AF"/>
    <w:rsid w:val="005B2D54"/>
    <w:rsid w:val="005F246B"/>
    <w:rsid w:val="0060302C"/>
    <w:rsid w:val="006102DE"/>
    <w:rsid w:val="00674D4B"/>
    <w:rsid w:val="006A5B36"/>
    <w:rsid w:val="006C3259"/>
    <w:rsid w:val="006F5DD9"/>
    <w:rsid w:val="007134B6"/>
    <w:rsid w:val="007419F9"/>
    <w:rsid w:val="00753C18"/>
    <w:rsid w:val="0076568C"/>
    <w:rsid w:val="007702A6"/>
    <w:rsid w:val="00773A89"/>
    <w:rsid w:val="007D63AC"/>
    <w:rsid w:val="007F5A6E"/>
    <w:rsid w:val="008018CE"/>
    <w:rsid w:val="00807239"/>
    <w:rsid w:val="008072DD"/>
    <w:rsid w:val="00835E51"/>
    <w:rsid w:val="0084562A"/>
    <w:rsid w:val="00851130"/>
    <w:rsid w:val="00874455"/>
    <w:rsid w:val="008754EA"/>
    <w:rsid w:val="00887C53"/>
    <w:rsid w:val="008C1259"/>
    <w:rsid w:val="008D26C1"/>
    <w:rsid w:val="008E4502"/>
    <w:rsid w:val="0090155E"/>
    <w:rsid w:val="00925CFD"/>
    <w:rsid w:val="009933BF"/>
    <w:rsid w:val="009C3E9E"/>
    <w:rsid w:val="009D1203"/>
    <w:rsid w:val="00A0376E"/>
    <w:rsid w:val="00A62186"/>
    <w:rsid w:val="00AA7BCE"/>
    <w:rsid w:val="00AB00AD"/>
    <w:rsid w:val="00AD200E"/>
    <w:rsid w:val="00AE0A98"/>
    <w:rsid w:val="00AE39DE"/>
    <w:rsid w:val="00AF524C"/>
    <w:rsid w:val="00B24085"/>
    <w:rsid w:val="00B34ABE"/>
    <w:rsid w:val="00B417A7"/>
    <w:rsid w:val="00B83FDC"/>
    <w:rsid w:val="00B9051A"/>
    <w:rsid w:val="00B96C86"/>
    <w:rsid w:val="00BB192E"/>
    <w:rsid w:val="00BF0428"/>
    <w:rsid w:val="00BF24F8"/>
    <w:rsid w:val="00C06603"/>
    <w:rsid w:val="00C07FD6"/>
    <w:rsid w:val="00C51EA6"/>
    <w:rsid w:val="00C707D6"/>
    <w:rsid w:val="00C91D51"/>
    <w:rsid w:val="00CA4D91"/>
    <w:rsid w:val="00CF5523"/>
    <w:rsid w:val="00CF68C8"/>
    <w:rsid w:val="00D15741"/>
    <w:rsid w:val="00D3457E"/>
    <w:rsid w:val="00D4183F"/>
    <w:rsid w:val="00D57859"/>
    <w:rsid w:val="00D94E50"/>
    <w:rsid w:val="00DC6885"/>
    <w:rsid w:val="00DD660C"/>
    <w:rsid w:val="00E13F24"/>
    <w:rsid w:val="00E2481B"/>
    <w:rsid w:val="00E2513C"/>
    <w:rsid w:val="00E2545F"/>
    <w:rsid w:val="00E37064"/>
    <w:rsid w:val="00E56C97"/>
    <w:rsid w:val="00E714BF"/>
    <w:rsid w:val="00E83615"/>
    <w:rsid w:val="00E961C7"/>
    <w:rsid w:val="00E97D5F"/>
    <w:rsid w:val="00EA4E04"/>
    <w:rsid w:val="00EB486B"/>
    <w:rsid w:val="00EC072A"/>
    <w:rsid w:val="00EF0496"/>
    <w:rsid w:val="00F02E98"/>
    <w:rsid w:val="00F05DE5"/>
    <w:rsid w:val="00F23C73"/>
    <w:rsid w:val="00F36ADF"/>
    <w:rsid w:val="00F475DC"/>
    <w:rsid w:val="00F55E14"/>
    <w:rsid w:val="00F716F9"/>
    <w:rsid w:val="00F94843"/>
    <w:rsid w:val="00FB5E55"/>
    <w:rsid w:val="00FD69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5ADD3"/>
  <w15:chartTrackingRefBased/>
  <w15:docId w15:val="{A12E8895-67C7-4F86-A87D-54F0B9046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unhideWhenUsed/>
    <w:qFormat/>
    <w:rsid w:val="00E714BF"/>
    <w:pPr>
      <w:keepNext/>
      <w:keepLines/>
      <w:spacing w:before="40" w:after="0"/>
      <w:outlineLvl w:val="1"/>
    </w:pPr>
    <w:rPr>
      <w:rFonts w:asciiTheme="majorHAnsi" w:eastAsiaTheme="majorEastAsia" w:hAnsiTheme="majorHAnsi" w:cstheme="majorBidi"/>
      <w:sz w:val="26"/>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nhideWhenUsed/>
    <w:rsid w:val="00E714BF"/>
    <w:pPr>
      <w:spacing w:after="120" w:line="240" w:lineRule="auto"/>
      <w:jc w:val="both"/>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rsid w:val="00E714BF"/>
    <w:rPr>
      <w:rFonts w:ascii="Times New Roman" w:eastAsia="Times New Roman" w:hAnsi="Times New Roman" w:cs="Times New Roman"/>
      <w:sz w:val="24"/>
      <w:szCs w:val="24"/>
      <w:lang w:eastAsia="fr-FR"/>
    </w:rPr>
  </w:style>
  <w:style w:type="paragraph" w:customStyle="1" w:styleId="m-BlocReference">
    <w:name w:val="m-BlocReference"/>
    <w:basedOn w:val="Normal"/>
    <w:rsid w:val="00E714BF"/>
    <w:pPr>
      <w:suppressAutoHyphens/>
      <w:spacing w:after="0" w:line="240" w:lineRule="auto"/>
      <w:jc w:val="both"/>
    </w:pPr>
    <w:rPr>
      <w:rFonts w:ascii="Liberation Sans" w:eastAsia="Arial Unicode MS" w:hAnsi="Liberation Sans" w:cs="Times New Roman"/>
      <w:sz w:val="16"/>
      <w:szCs w:val="24"/>
      <w:lang w:eastAsia="ar-SA"/>
    </w:rPr>
  </w:style>
  <w:style w:type="character" w:customStyle="1" w:styleId="normal1">
    <w:name w:val="normal1"/>
    <w:basedOn w:val="Policepardfaut"/>
    <w:rsid w:val="00E714BF"/>
  </w:style>
  <w:style w:type="character" w:customStyle="1" w:styleId="Titre2Car">
    <w:name w:val="Titre 2 Car"/>
    <w:basedOn w:val="Policepardfaut"/>
    <w:link w:val="Titre2"/>
    <w:uiPriority w:val="9"/>
    <w:rsid w:val="00E714BF"/>
    <w:rPr>
      <w:rFonts w:asciiTheme="majorHAnsi" w:eastAsiaTheme="majorEastAsia" w:hAnsiTheme="majorHAnsi" w:cstheme="majorBidi"/>
      <w:sz w:val="26"/>
      <w:szCs w:val="26"/>
      <w:u w:val="single"/>
    </w:rPr>
  </w:style>
  <w:style w:type="character" w:styleId="Lienhypertexte">
    <w:name w:val="Hyperlink"/>
    <w:basedOn w:val="Policepardfaut"/>
    <w:uiPriority w:val="99"/>
    <w:unhideWhenUsed/>
    <w:rsid w:val="00E714BF"/>
    <w:rPr>
      <w:color w:val="0563C1" w:themeColor="hyperlink"/>
      <w:u w:val="single"/>
    </w:rPr>
  </w:style>
  <w:style w:type="character" w:styleId="Lienhypertextesuivivisit">
    <w:name w:val="FollowedHyperlink"/>
    <w:basedOn w:val="Policepardfaut"/>
    <w:uiPriority w:val="99"/>
    <w:semiHidden/>
    <w:unhideWhenUsed/>
    <w:rsid w:val="00E714BF"/>
    <w:rPr>
      <w:color w:val="954F72" w:themeColor="followedHyperlink"/>
      <w:u w:val="single"/>
    </w:rPr>
  </w:style>
  <w:style w:type="paragraph" w:styleId="Paragraphedeliste">
    <w:name w:val="List Paragraph"/>
    <w:basedOn w:val="Normal"/>
    <w:uiPriority w:val="34"/>
    <w:qFormat/>
    <w:rsid w:val="00E714BF"/>
    <w:pPr>
      <w:ind w:left="720"/>
      <w:contextualSpacing/>
    </w:pPr>
  </w:style>
  <w:style w:type="character" w:styleId="Marquedecommentaire">
    <w:name w:val="annotation reference"/>
    <w:basedOn w:val="Policepardfaut"/>
    <w:uiPriority w:val="99"/>
    <w:semiHidden/>
    <w:unhideWhenUsed/>
    <w:rsid w:val="00E714BF"/>
    <w:rPr>
      <w:sz w:val="16"/>
      <w:szCs w:val="16"/>
    </w:rPr>
  </w:style>
  <w:style w:type="paragraph" w:styleId="Commentaire">
    <w:name w:val="annotation text"/>
    <w:basedOn w:val="Normal"/>
    <w:link w:val="CommentaireCar"/>
    <w:uiPriority w:val="99"/>
    <w:semiHidden/>
    <w:unhideWhenUsed/>
    <w:rsid w:val="00E714BF"/>
    <w:pPr>
      <w:spacing w:line="240" w:lineRule="auto"/>
    </w:pPr>
    <w:rPr>
      <w:sz w:val="20"/>
      <w:szCs w:val="20"/>
    </w:rPr>
  </w:style>
  <w:style w:type="character" w:customStyle="1" w:styleId="CommentaireCar">
    <w:name w:val="Commentaire Car"/>
    <w:basedOn w:val="Policepardfaut"/>
    <w:link w:val="Commentaire"/>
    <w:uiPriority w:val="99"/>
    <w:semiHidden/>
    <w:rsid w:val="00E714BF"/>
    <w:rPr>
      <w:sz w:val="20"/>
      <w:szCs w:val="20"/>
    </w:rPr>
  </w:style>
  <w:style w:type="paragraph" w:styleId="Objetducommentaire">
    <w:name w:val="annotation subject"/>
    <w:basedOn w:val="Commentaire"/>
    <w:next w:val="Commentaire"/>
    <w:link w:val="ObjetducommentaireCar"/>
    <w:uiPriority w:val="99"/>
    <w:semiHidden/>
    <w:unhideWhenUsed/>
    <w:rsid w:val="00E714BF"/>
    <w:rPr>
      <w:b/>
      <w:bCs/>
    </w:rPr>
  </w:style>
  <w:style w:type="character" w:customStyle="1" w:styleId="ObjetducommentaireCar">
    <w:name w:val="Objet du commentaire Car"/>
    <w:basedOn w:val="CommentaireCar"/>
    <w:link w:val="Objetducommentaire"/>
    <w:uiPriority w:val="99"/>
    <w:semiHidden/>
    <w:rsid w:val="00E714BF"/>
    <w:rPr>
      <w:b/>
      <w:bCs/>
      <w:sz w:val="20"/>
      <w:szCs w:val="20"/>
    </w:rPr>
  </w:style>
  <w:style w:type="paragraph" w:styleId="Textedebulles">
    <w:name w:val="Balloon Text"/>
    <w:basedOn w:val="Normal"/>
    <w:link w:val="TextedebullesCar"/>
    <w:uiPriority w:val="99"/>
    <w:semiHidden/>
    <w:unhideWhenUsed/>
    <w:rsid w:val="00E714B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714BF"/>
    <w:rPr>
      <w:rFonts w:ascii="Segoe UI" w:hAnsi="Segoe UI" w:cs="Segoe UI"/>
      <w:sz w:val="18"/>
      <w:szCs w:val="18"/>
    </w:rPr>
  </w:style>
  <w:style w:type="table" w:styleId="Grilledutableau">
    <w:name w:val="Table Grid"/>
    <w:basedOn w:val="TableauNormal"/>
    <w:uiPriority w:val="39"/>
    <w:rsid w:val="00770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360456">
      <w:bodyDiv w:val="1"/>
      <w:marLeft w:val="0"/>
      <w:marRight w:val="0"/>
      <w:marTop w:val="0"/>
      <w:marBottom w:val="0"/>
      <w:divBdr>
        <w:top w:val="none" w:sz="0" w:space="0" w:color="auto"/>
        <w:left w:val="none" w:sz="0" w:space="0" w:color="auto"/>
        <w:bottom w:val="none" w:sz="0" w:space="0" w:color="auto"/>
        <w:right w:val="none" w:sz="0" w:space="0" w:color="auto"/>
      </w:divBdr>
    </w:div>
    <w:div w:id="1306620111">
      <w:bodyDiv w:val="1"/>
      <w:marLeft w:val="0"/>
      <w:marRight w:val="0"/>
      <w:marTop w:val="0"/>
      <w:marBottom w:val="0"/>
      <w:divBdr>
        <w:top w:val="none" w:sz="0" w:space="0" w:color="auto"/>
        <w:left w:val="none" w:sz="0" w:space="0" w:color="auto"/>
        <w:bottom w:val="none" w:sz="0" w:space="0" w:color="auto"/>
        <w:right w:val="none" w:sz="0" w:space="0" w:color="auto"/>
      </w:divBdr>
    </w:div>
    <w:div w:id="17101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FE102-3602-48E2-8A52-C535562F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480</Words>
  <Characters>2643</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MTES</Company>
  <LinksUpToDate>false</LinksUpToDate>
  <CharactersWithSpaces>3117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THIEBAUT Alois V0.4</dc:creator>
  <cp:keywords/>
  <dc:description/>
  <cp:lastModifiedBy>THIEBAUT Alois</cp:lastModifiedBy>
  <cp:revision>5</cp:revision>
  <dcterms:created xsi:type="dcterms:W3CDTF">2024-06-21T12:07:00Z</dcterms:created>
  <dcterms:modified xsi:type="dcterms:W3CDTF">2024-07-01T12:53:00Z</dcterms:modified>
</cp:coreProperties>
</file>