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597A" w14:textId="34E1546F" w:rsidR="00DF5DB8" w:rsidRPr="008245A6" w:rsidRDefault="00DF5DB8" w:rsidP="008245A6">
      <w:pPr>
        <w:pStyle w:val="SNObjet"/>
        <w:spacing w:after="360"/>
        <w:rPr>
          <w:rFonts w:ascii="Marianne" w:hAnsi="Marianne"/>
          <w:sz w:val="22"/>
          <w:szCs w:val="22"/>
        </w:rPr>
      </w:pPr>
      <w:r w:rsidRPr="008245A6">
        <w:rPr>
          <w:rFonts w:ascii="Marianne" w:hAnsi="Marianne"/>
          <w:sz w:val="22"/>
          <w:szCs w:val="22"/>
        </w:rPr>
        <w:t>Note de présentation</w:t>
      </w:r>
      <w:r w:rsidR="00002410">
        <w:rPr>
          <w:rFonts w:ascii="Marianne" w:hAnsi="Marianne"/>
          <w:sz w:val="22"/>
          <w:szCs w:val="22"/>
        </w:rPr>
        <w:t xml:space="preserve"> concernant</w:t>
      </w:r>
      <w:r w:rsidR="00002410">
        <w:rPr>
          <w:rFonts w:ascii="Calibri" w:hAnsi="Calibri" w:cs="Calibri"/>
          <w:sz w:val="22"/>
          <w:szCs w:val="22"/>
        </w:rPr>
        <w:t> </w:t>
      </w:r>
      <w:r w:rsidR="00002410">
        <w:rPr>
          <w:rFonts w:ascii="Marianne" w:hAnsi="Marianne"/>
          <w:sz w:val="22"/>
          <w:szCs w:val="22"/>
        </w:rPr>
        <w:t xml:space="preserve">: </w:t>
      </w:r>
    </w:p>
    <w:p w14:paraId="6D2B9965" w14:textId="3D78B8D4" w:rsidR="00002410" w:rsidRDefault="007C394B" w:rsidP="007B49D9">
      <w:pPr>
        <w:pStyle w:val="SNNORCentr"/>
        <w:jc w:val="both"/>
        <w:rPr>
          <w:rFonts w:ascii="Marianne" w:hAnsi="Marianne"/>
          <w:b/>
          <w:color w:val="000000"/>
          <w:sz w:val="22"/>
          <w:szCs w:val="22"/>
        </w:rPr>
      </w:pPr>
      <w:r w:rsidRPr="007B49D9">
        <w:rPr>
          <w:rFonts w:ascii="Marianne" w:hAnsi="Marianne"/>
          <w:b/>
          <w:bCs w:val="0"/>
          <w:sz w:val="22"/>
          <w:szCs w:val="22"/>
        </w:rPr>
        <w:t>P</w:t>
      </w:r>
      <w:r w:rsidR="00002410" w:rsidRPr="007B49D9">
        <w:rPr>
          <w:rFonts w:ascii="Marianne" w:hAnsi="Marianne"/>
          <w:b/>
          <w:bCs w:val="0"/>
          <w:sz w:val="22"/>
          <w:szCs w:val="22"/>
        </w:rPr>
        <w:t>rojet de d</w:t>
      </w:r>
      <w:r w:rsidR="00DF5DB8" w:rsidRPr="007B49D9">
        <w:rPr>
          <w:rFonts w:ascii="Marianne" w:hAnsi="Marianne"/>
          <w:b/>
          <w:bCs w:val="0"/>
          <w:sz w:val="22"/>
          <w:szCs w:val="22"/>
        </w:rPr>
        <w:t>écret</w:t>
      </w:r>
      <w:r w:rsidR="00DF5DB8" w:rsidRPr="007B49D9">
        <w:rPr>
          <w:rFonts w:ascii="Marianne" w:hAnsi="Marianne"/>
          <w:b/>
          <w:sz w:val="22"/>
          <w:szCs w:val="22"/>
        </w:rPr>
        <w:t xml:space="preserve"> </w:t>
      </w:r>
      <w:r w:rsidR="007B49D9" w:rsidRPr="007B49D9">
        <w:rPr>
          <w:rFonts w:ascii="Marianne" w:hAnsi="Marianne"/>
          <w:b/>
          <w:sz w:val="22"/>
          <w:szCs w:val="22"/>
        </w:rPr>
        <w:t xml:space="preserve">en Conseil d’État </w:t>
      </w:r>
      <w:r w:rsidR="007B49D9" w:rsidRPr="007B49D9">
        <w:rPr>
          <w:rFonts w:ascii="Marianne" w:hAnsi="Marianne"/>
          <w:b/>
          <w:color w:val="000000"/>
          <w:sz w:val="22"/>
          <w:szCs w:val="22"/>
        </w:rPr>
        <w:t>pris en application des articles L. 122-1-1 et L. 126-35-1 du code de la construction et de l’habitation et portant sur l’étude du potentiel de changement de destination et d’évolution préalable aux travaux de construction et de démolition d’un bâtiment</w:t>
      </w:r>
    </w:p>
    <w:p w14:paraId="5B577BA6" w14:textId="462F78F4" w:rsidR="004C43D5" w:rsidRDefault="004C43D5" w:rsidP="004C43D5">
      <w:pPr>
        <w:rPr>
          <w:lang w:eastAsia="fr-FR"/>
        </w:rPr>
      </w:pPr>
    </w:p>
    <w:p w14:paraId="264006D4" w14:textId="0152B2DC" w:rsidR="004C43D5" w:rsidRDefault="004C43D5" w:rsidP="004C43D5">
      <w:pPr>
        <w:rPr>
          <w:lang w:eastAsia="fr-FR"/>
        </w:rPr>
      </w:pPr>
    </w:p>
    <w:p w14:paraId="26088BC4" w14:textId="2B8D0933" w:rsidR="004C43D5" w:rsidRPr="004C43D5" w:rsidRDefault="004C43D5" w:rsidP="004C43D5">
      <w:pPr>
        <w:pStyle w:val="Standard"/>
        <w:spacing w:before="120" w:after="120"/>
        <w:jc w:val="both"/>
        <w:rPr>
          <w:rFonts w:ascii="Marianne" w:hAnsi="Marianne" w:cs="Times New Roman"/>
          <w:color w:val="002060"/>
          <w:sz w:val="20"/>
          <w:szCs w:val="20"/>
        </w:rPr>
      </w:pPr>
      <w:r w:rsidRPr="004C43D5">
        <w:rPr>
          <w:rFonts w:ascii="Marianne" w:hAnsi="Marianne"/>
          <w:color w:val="002060"/>
          <w:sz w:val="20"/>
          <w:szCs w:val="20"/>
        </w:rPr>
        <w:t xml:space="preserve">Cette consultation publique est réalisée en application de l’article L. 123-19-1 du code de l’environnement pour la mise en œuvre du principe de participation du public aux décisions publiques ayant une incidence sur l’environnement prévu à l’article 7 de la Charte de l’environnement. Elle se déroulera du </w:t>
      </w:r>
      <w:r>
        <w:rPr>
          <w:rFonts w:ascii="Marianne" w:hAnsi="Marianne"/>
          <w:color w:val="002060"/>
          <w:sz w:val="20"/>
          <w:szCs w:val="20"/>
        </w:rPr>
        <w:t>18 décembre 2023 au 8</w:t>
      </w:r>
      <w:bookmarkStart w:id="0" w:name="_GoBack"/>
      <w:bookmarkEnd w:id="0"/>
      <w:r>
        <w:rPr>
          <w:rFonts w:ascii="Marianne" w:hAnsi="Marianne"/>
          <w:color w:val="002060"/>
          <w:sz w:val="20"/>
          <w:szCs w:val="20"/>
        </w:rPr>
        <w:t xml:space="preserve"> janvier 2024</w:t>
      </w:r>
      <w:r w:rsidRPr="004C43D5">
        <w:rPr>
          <w:rFonts w:ascii="Marianne" w:hAnsi="Marianne"/>
          <w:color w:val="002060"/>
          <w:sz w:val="20"/>
          <w:szCs w:val="20"/>
        </w:rPr>
        <w:t xml:space="preserve"> inclus.</w:t>
      </w:r>
    </w:p>
    <w:p w14:paraId="5CA44C1B" w14:textId="77777777" w:rsidR="004C43D5" w:rsidRPr="004C43D5" w:rsidRDefault="004C43D5" w:rsidP="004C43D5">
      <w:pPr>
        <w:rPr>
          <w:color w:val="002060"/>
          <w:lang w:eastAsia="fr-FR"/>
        </w:rPr>
      </w:pPr>
    </w:p>
    <w:p w14:paraId="72586700" w14:textId="77777777" w:rsidR="007B49D9" w:rsidRPr="007B49D9" w:rsidRDefault="007B49D9" w:rsidP="007B49D9">
      <w:pPr>
        <w:jc w:val="both"/>
        <w:rPr>
          <w:rFonts w:ascii="Marianne" w:hAnsi="Marianne"/>
          <w:sz w:val="22"/>
          <w:szCs w:val="22"/>
          <w:lang w:eastAsia="fr-FR" w:bidi="hi-IN"/>
        </w:rPr>
      </w:pPr>
    </w:p>
    <w:p w14:paraId="283BEBEA" w14:textId="7B9C6174" w:rsidR="008018B7" w:rsidRPr="008018B7" w:rsidRDefault="008018B7" w:rsidP="008018B7">
      <w:pPr>
        <w:pStyle w:val="Paragraphedeliste"/>
        <w:numPr>
          <w:ilvl w:val="0"/>
          <w:numId w:val="26"/>
        </w:numPr>
        <w:jc w:val="both"/>
        <w:rPr>
          <w:rFonts w:ascii="Marianne" w:hAnsi="Marianne"/>
          <w:b/>
          <w:bCs/>
        </w:rPr>
      </w:pPr>
      <w:r w:rsidRPr="008018B7">
        <w:rPr>
          <w:rFonts w:ascii="Marianne" w:hAnsi="Marianne"/>
          <w:b/>
          <w:bCs/>
        </w:rPr>
        <w:t>Contexte</w:t>
      </w:r>
      <w:r w:rsidRPr="008018B7">
        <w:rPr>
          <w:rFonts w:ascii="Calibri" w:hAnsi="Calibri" w:cs="Calibri"/>
          <w:b/>
          <w:bCs/>
        </w:rPr>
        <w:t> </w:t>
      </w:r>
      <w:r w:rsidRPr="008018B7">
        <w:rPr>
          <w:rFonts w:ascii="Marianne" w:hAnsi="Marianne"/>
          <w:b/>
          <w:bCs/>
        </w:rPr>
        <w:t xml:space="preserve">: </w:t>
      </w:r>
    </w:p>
    <w:p w14:paraId="318B7A09" w14:textId="50B0C329" w:rsidR="0075738B" w:rsidRPr="0075738B" w:rsidRDefault="004C43D5" w:rsidP="0075738B">
      <w:pPr>
        <w:suppressAutoHyphens w:val="0"/>
        <w:spacing w:after="160" w:line="259" w:lineRule="auto"/>
        <w:jc w:val="both"/>
        <w:rPr>
          <w:rFonts w:ascii="Marianne" w:eastAsia="Calibri" w:hAnsi="Marianne"/>
          <w:sz w:val="22"/>
          <w:szCs w:val="22"/>
          <w:lang w:eastAsia="en-US"/>
        </w:rPr>
      </w:pPr>
      <w:hyperlink r:id="rId8" w:history="1">
        <w:r w:rsidR="0075738B" w:rsidRPr="0075738B">
          <w:rPr>
            <w:rFonts w:ascii="Marianne" w:eastAsia="Calibri" w:hAnsi="Marianne"/>
            <w:sz w:val="22"/>
            <w:szCs w:val="22"/>
            <w:lang w:eastAsia="en-US"/>
          </w:rPr>
          <w:t>L’article 224</w:t>
        </w:r>
      </w:hyperlink>
      <w:r w:rsidR="0075738B" w:rsidRPr="0075738B">
        <w:rPr>
          <w:rFonts w:ascii="Marianne" w:eastAsia="Calibri" w:hAnsi="Marianne"/>
          <w:sz w:val="22"/>
          <w:szCs w:val="22"/>
          <w:lang w:eastAsia="en-US"/>
        </w:rPr>
        <w:t xml:space="preserve"> de la loi du 22 août 2021 portant lutte contre le dérèglement climatique et le renforcement de la résilience à ses effets, dite loi «</w:t>
      </w:r>
      <w:r w:rsidR="0075738B" w:rsidRPr="0075738B">
        <w:rPr>
          <w:rFonts w:ascii="Calibri" w:eastAsia="Calibri" w:hAnsi="Calibri" w:cs="Calibri"/>
          <w:sz w:val="22"/>
          <w:szCs w:val="22"/>
          <w:lang w:eastAsia="en-US"/>
        </w:rPr>
        <w:t> </w:t>
      </w:r>
      <w:r w:rsidR="0075738B" w:rsidRPr="0075738B">
        <w:rPr>
          <w:rFonts w:ascii="Marianne" w:eastAsia="Calibri" w:hAnsi="Marianne"/>
          <w:sz w:val="22"/>
          <w:szCs w:val="22"/>
          <w:lang w:eastAsia="en-US"/>
        </w:rPr>
        <w:t>climat et résilience</w:t>
      </w:r>
      <w:r w:rsidR="0075738B" w:rsidRPr="0075738B">
        <w:rPr>
          <w:rFonts w:ascii="Calibri" w:eastAsia="Calibri" w:hAnsi="Calibri" w:cs="Calibri"/>
          <w:sz w:val="22"/>
          <w:szCs w:val="22"/>
          <w:lang w:eastAsia="en-US"/>
        </w:rPr>
        <w:t> </w:t>
      </w:r>
      <w:r w:rsidR="0075738B" w:rsidRPr="0075738B">
        <w:rPr>
          <w:rFonts w:ascii="Marianne" w:eastAsia="Calibri" w:hAnsi="Marianne" w:cs="Marianne"/>
          <w:sz w:val="22"/>
          <w:szCs w:val="22"/>
          <w:lang w:eastAsia="en-US"/>
        </w:rPr>
        <w:t>»</w:t>
      </w:r>
      <w:r w:rsidR="0075738B" w:rsidRPr="0075738B">
        <w:rPr>
          <w:rFonts w:ascii="Marianne" w:eastAsia="Calibri" w:hAnsi="Marianne"/>
          <w:sz w:val="22"/>
          <w:szCs w:val="22"/>
          <w:lang w:eastAsia="en-US"/>
        </w:rPr>
        <w:t>, a introduit les articles L.</w:t>
      </w:r>
      <w:r w:rsidR="0075738B" w:rsidRPr="0075738B">
        <w:rPr>
          <w:rFonts w:ascii="Calibri" w:eastAsia="Calibri" w:hAnsi="Calibri" w:cs="Calibri"/>
          <w:sz w:val="22"/>
          <w:szCs w:val="22"/>
          <w:lang w:eastAsia="en-US"/>
        </w:rPr>
        <w:t> </w:t>
      </w:r>
      <w:r w:rsidR="0075738B" w:rsidRPr="0075738B">
        <w:rPr>
          <w:rFonts w:ascii="Marianne" w:eastAsia="Calibri" w:hAnsi="Marianne"/>
          <w:sz w:val="22"/>
          <w:szCs w:val="22"/>
          <w:lang w:eastAsia="en-US"/>
        </w:rPr>
        <w:t>122-1-1 et L.</w:t>
      </w:r>
      <w:r w:rsidR="0075738B" w:rsidRPr="0075738B">
        <w:rPr>
          <w:rFonts w:ascii="Calibri" w:eastAsia="Calibri" w:hAnsi="Calibri" w:cs="Calibri"/>
          <w:sz w:val="22"/>
          <w:szCs w:val="22"/>
          <w:lang w:eastAsia="en-US"/>
        </w:rPr>
        <w:t> </w:t>
      </w:r>
      <w:r w:rsidR="0075738B" w:rsidRPr="0075738B">
        <w:rPr>
          <w:rFonts w:ascii="Marianne" w:eastAsia="Calibri" w:hAnsi="Marianne"/>
          <w:sz w:val="22"/>
          <w:szCs w:val="22"/>
          <w:lang w:eastAsia="en-US"/>
        </w:rPr>
        <w:t xml:space="preserve">126-35-1 au code de la construction et de l’habitation (CCH). Ceux-ci prévoient la réalisation d’une étude du potentiel de changement de destination et d’évolution préalablement aux travaux de construction et de démolition d’un bâtiment. </w:t>
      </w:r>
      <w:r w:rsidR="0075738B" w:rsidRPr="0075738B">
        <w:rPr>
          <w:rFonts w:ascii="Marianne" w:hAnsi="Marianne"/>
          <w:sz w:val="22"/>
          <w:szCs w:val="22"/>
          <w:lang w:eastAsia="fr-FR"/>
        </w:rPr>
        <w:t>Cette mesure fait partie des propositions de la convention citoyenne pour le climat, retenues dans la loi «</w:t>
      </w:r>
      <w:r w:rsidR="0075738B" w:rsidRPr="0075738B">
        <w:rPr>
          <w:rFonts w:ascii="Calibri" w:hAnsi="Calibri" w:cs="Calibri"/>
          <w:sz w:val="22"/>
          <w:szCs w:val="22"/>
          <w:lang w:eastAsia="fr-FR"/>
        </w:rPr>
        <w:t> </w:t>
      </w:r>
      <w:r w:rsidR="0075738B" w:rsidRPr="0075738B">
        <w:rPr>
          <w:rFonts w:ascii="Marianne" w:hAnsi="Marianne"/>
          <w:sz w:val="22"/>
          <w:szCs w:val="22"/>
          <w:lang w:eastAsia="fr-FR"/>
        </w:rPr>
        <w:t>climat et résilience</w:t>
      </w:r>
      <w:r w:rsidR="0075738B" w:rsidRPr="0075738B">
        <w:rPr>
          <w:rFonts w:ascii="Calibri" w:hAnsi="Calibri" w:cs="Calibri"/>
          <w:sz w:val="22"/>
          <w:szCs w:val="22"/>
          <w:lang w:eastAsia="fr-FR"/>
        </w:rPr>
        <w:t> </w:t>
      </w:r>
      <w:r w:rsidR="0075738B" w:rsidRPr="0075738B">
        <w:rPr>
          <w:rFonts w:ascii="Marianne" w:hAnsi="Marianne" w:cs="Marianne"/>
          <w:sz w:val="22"/>
          <w:szCs w:val="22"/>
          <w:lang w:eastAsia="fr-FR"/>
        </w:rPr>
        <w:t>»</w:t>
      </w:r>
      <w:r w:rsidR="0075738B" w:rsidRPr="0075738B">
        <w:rPr>
          <w:rFonts w:ascii="Marianne" w:hAnsi="Marianne" w:cs="Calibri"/>
          <w:sz w:val="22"/>
          <w:szCs w:val="22"/>
          <w:lang w:eastAsia="fr-FR"/>
        </w:rPr>
        <w:t>.</w:t>
      </w:r>
      <w:r w:rsidR="0075738B" w:rsidRPr="0075738B">
        <w:rPr>
          <w:rFonts w:ascii="Marianne" w:hAnsi="Marianne"/>
          <w:sz w:val="22"/>
          <w:szCs w:val="22"/>
          <w:lang w:eastAsia="fr-FR"/>
        </w:rPr>
        <w:t xml:space="preserve"> Elle comporte un objectif environnemental et innovant et poursuit plusieurs ambitions dans ce domaine</w:t>
      </w:r>
      <w:r w:rsidR="0075738B" w:rsidRPr="0075738B">
        <w:rPr>
          <w:rFonts w:ascii="Calibri" w:hAnsi="Calibri" w:cs="Calibri"/>
          <w:sz w:val="22"/>
          <w:szCs w:val="22"/>
          <w:lang w:eastAsia="fr-FR"/>
        </w:rPr>
        <w:t> </w:t>
      </w:r>
      <w:r w:rsidR="0075738B" w:rsidRPr="0075738B">
        <w:rPr>
          <w:rFonts w:ascii="Marianne" w:hAnsi="Marianne"/>
          <w:sz w:val="22"/>
          <w:szCs w:val="22"/>
          <w:lang w:eastAsia="fr-FR"/>
        </w:rPr>
        <w:t xml:space="preserve">: </w:t>
      </w:r>
    </w:p>
    <w:p w14:paraId="4ED5730D" w14:textId="77777777" w:rsidR="0075738B" w:rsidRPr="0075738B" w:rsidRDefault="0075738B" w:rsidP="0075738B">
      <w:pPr>
        <w:pStyle w:val="Paragraphedeliste"/>
        <w:numPr>
          <w:ilvl w:val="0"/>
          <w:numId w:val="22"/>
        </w:numPr>
        <w:spacing w:before="100" w:beforeAutospacing="1" w:after="100" w:afterAutospacing="1" w:line="240" w:lineRule="auto"/>
        <w:jc w:val="both"/>
        <w:rPr>
          <w:rFonts w:ascii="Marianne" w:hAnsi="Marianne" w:cs="Times New Roman"/>
          <w:lang w:eastAsia="fr-FR"/>
        </w:rPr>
      </w:pPr>
      <w:r w:rsidRPr="0075738B">
        <w:rPr>
          <w:rFonts w:ascii="Marianne" w:hAnsi="Marianne" w:cs="Times New Roman"/>
          <w:lang w:eastAsia="fr-FR"/>
        </w:rPr>
        <w:t xml:space="preserve">Réduire le nombre de démolitions de bâtiments existants, fortement </w:t>
      </w:r>
      <w:proofErr w:type="gramStart"/>
      <w:r w:rsidRPr="0075738B">
        <w:rPr>
          <w:rFonts w:ascii="Marianne" w:hAnsi="Marianne" w:cs="Times New Roman"/>
          <w:lang w:eastAsia="fr-FR"/>
        </w:rPr>
        <w:t>génératrices</w:t>
      </w:r>
      <w:proofErr w:type="gramEnd"/>
      <w:r w:rsidRPr="0075738B">
        <w:rPr>
          <w:rFonts w:ascii="Marianne" w:hAnsi="Marianne" w:cs="Times New Roman"/>
          <w:lang w:eastAsia="fr-FR"/>
        </w:rPr>
        <w:t xml:space="preserve"> de déchets</w:t>
      </w:r>
      <w:r w:rsidRPr="0075738B">
        <w:rPr>
          <w:rFonts w:ascii="Calibri" w:hAnsi="Calibri" w:cs="Calibri"/>
          <w:lang w:eastAsia="fr-FR"/>
        </w:rPr>
        <w:t> </w:t>
      </w:r>
      <w:r w:rsidRPr="0075738B">
        <w:rPr>
          <w:rFonts w:ascii="Marianne" w:hAnsi="Marianne" w:cs="Times New Roman"/>
          <w:lang w:eastAsia="fr-FR"/>
        </w:rPr>
        <w:t>;</w:t>
      </w:r>
    </w:p>
    <w:p w14:paraId="6DAB9402" w14:textId="77777777" w:rsidR="0075738B" w:rsidRPr="0075738B" w:rsidRDefault="0075738B" w:rsidP="0075738B">
      <w:pPr>
        <w:pStyle w:val="Paragraphedeliste"/>
        <w:numPr>
          <w:ilvl w:val="0"/>
          <w:numId w:val="22"/>
        </w:numPr>
        <w:spacing w:before="100" w:beforeAutospacing="1" w:after="100" w:afterAutospacing="1" w:line="240" w:lineRule="auto"/>
        <w:jc w:val="both"/>
        <w:rPr>
          <w:rFonts w:ascii="Marianne" w:hAnsi="Marianne" w:cs="Times New Roman"/>
          <w:lang w:eastAsia="fr-FR"/>
        </w:rPr>
      </w:pPr>
      <w:r w:rsidRPr="0075738B">
        <w:rPr>
          <w:rFonts w:ascii="Marianne" w:hAnsi="Marianne" w:cs="Times New Roman"/>
        </w:rPr>
        <w:t xml:space="preserve">Développer des pratiques vertueuses en matière de construction et inciter à l’intégration, dès sa conception, d’une possible transformation ultérieure du bâtiment. </w:t>
      </w:r>
    </w:p>
    <w:p w14:paraId="3E354529" w14:textId="5771A2A0" w:rsidR="004C43D5" w:rsidRPr="004C43D5" w:rsidRDefault="0075738B" w:rsidP="0075738B">
      <w:pPr>
        <w:suppressAutoHyphens w:val="0"/>
        <w:spacing w:before="100" w:beforeAutospacing="1" w:after="100" w:afterAutospacing="1"/>
        <w:jc w:val="both"/>
        <w:rPr>
          <w:rFonts w:ascii="Marianne" w:hAnsi="Marianne"/>
          <w:sz w:val="22"/>
          <w:szCs w:val="22"/>
        </w:rPr>
      </w:pPr>
      <w:r w:rsidRPr="0075738B">
        <w:rPr>
          <w:rFonts w:ascii="Marianne" w:hAnsi="Marianne"/>
          <w:sz w:val="22"/>
          <w:szCs w:val="22"/>
        </w:rPr>
        <w:t>Il s’agit d’encourager et de développer le changement de destination et de permettre l’évolution du bâtiment (en termes de gabarit notamment) afin d’éviter sa démolition, d’augmenter globalement sa durée de vie et de minimiser les travaux de rénovation lourde ou de transformation.</w:t>
      </w:r>
    </w:p>
    <w:p w14:paraId="1B933448" w14:textId="026E923E" w:rsidR="0075738B" w:rsidRPr="0075738B" w:rsidRDefault="0075738B" w:rsidP="0075738B">
      <w:pPr>
        <w:suppressAutoHyphens w:val="0"/>
        <w:spacing w:after="160" w:line="259" w:lineRule="auto"/>
        <w:jc w:val="both"/>
        <w:rPr>
          <w:rFonts w:ascii="Marianne" w:eastAsia="Calibri" w:hAnsi="Marianne"/>
          <w:sz w:val="22"/>
          <w:szCs w:val="22"/>
          <w:lang w:eastAsia="en-US"/>
        </w:rPr>
      </w:pPr>
      <w:r w:rsidRPr="0075738B">
        <w:rPr>
          <w:rFonts w:ascii="Marianne" w:eastAsia="Calibri" w:hAnsi="Marianne"/>
          <w:sz w:val="22"/>
          <w:szCs w:val="22"/>
          <w:lang w:eastAsia="en-US"/>
        </w:rPr>
        <w:t>L’article L.</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 xml:space="preserve">122-1-1 du CCH prévoit une étude préalablement </w:t>
      </w:r>
      <w:r w:rsidRPr="008018B7">
        <w:rPr>
          <w:rFonts w:ascii="Marianne" w:eastAsia="Calibri" w:hAnsi="Marianne"/>
          <w:b/>
          <w:bCs/>
          <w:sz w:val="22"/>
          <w:szCs w:val="22"/>
          <w:lang w:eastAsia="en-US"/>
        </w:rPr>
        <w:t>aux travaux de construction</w:t>
      </w:r>
      <w:r w:rsidRPr="0075738B">
        <w:rPr>
          <w:rFonts w:ascii="Marianne" w:eastAsia="Calibri" w:hAnsi="Marianne"/>
          <w:sz w:val="22"/>
          <w:szCs w:val="22"/>
          <w:lang w:eastAsia="en-US"/>
        </w:rPr>
        <w:t xml:space="preserve"> d’un bâtiment. </w:t>
      </w:r>
    </w:p>
    <w:p w14:paraId="7DD3161C" w14:textId="3363381A" w:rsidR="0075738B" w:rsidRPr="0075738B" w:rsidRDefault="0075738B" w:rsidP="0075738B">
      <w:pPr>
        <w:suppressAutoHyphens w:val="0"/>
        <w:spacing w:after="160" w:line="259" w:lineRule="auto"/>
        <w:jc w:val="both"/>
        <w:rPr>
          <w:rFonts w:ascii="Marianne" w:hAnsi="Marianne" w:cs="Calibri"/>
          <w:sz w:val="22"/>
          <w:szCs w:val="22"/>
          <w:lang w:eastAsia="fr-FR"/>
        </w:rPr>
      </w:pPr>
      <w:r w:rsidRPr="0075738B">
        <w:rPr>
          <w:rFonts w:ascii="Marianne" w:eastAsia="Calibri" w:hAnsi="Marianne"/>
          <w:sz w:val="22"/>
          <w:szCs w:val="22"/>
          <w:lang w:eastAsia="en-US"/>
        </w:rPr>
        <w:t>L’article L.</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 xml:space="preserve">126-35-1 prévoit une étude préalablement aux </w:t>
      </w:r>
      <w:r w:rsidRPr="008018B7">
        <w:rPr>
          <w:rFonts w:ascii="Marianne" w:eastAsia="Calibri" w:hAnsi="Marianne"/>
          <w:b/>
          <w:bCs/>
          <w:sz w:val="22"/>
          <w:szCs w:val="22"/>
          <w:lang w:eastAsia="en-US"/>
        </w:rPr>
        <w:t>travaux de démolition</w:t>
      </w:r>
      <w:r w:rsidRPr="0075738B">
        <w:rPr>
          <w:rFonts w:ascii="Marianne" w:eastAsia="Calibri" w:hAnsi="Marianne"/>
          <w:sz w:val="22"/>
          <w:szCs w:val="22"/>
          <w:lang w:eastAsia="en-US"/>
        </w:rPr>
        <w:t xml:space="preserve"> d’un bâtiment soumis au diagnostic dit «</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PEMD</w:t>
      </w:r>
      <w:r w:rsidRPr="0075738B">
        <w:rPr>
          <w:rFonts w:ascii="Calibri" w:eastAsia="Calibri" w:hAnsi="Calibri" w:cs="Calibri"/>
          <w:sz w:val="22"/>
          <w:szCs w:val="22"/>
          <w:lang w:eastAsia="en-US"/>
        </w:rPr>
        <w:t> </w:t>
      </w:r>
      <w:r w:rsidRPr="0075738B">
        <w:rPr>
          <w:rFonts w:ascii="Marianne" w:eastAsia="Calibri" w:hAnsi="Marianne" w:cs="Marianne"/>
          <w:sz w:val="22"/>
          <w:szCs w:val="22"/>
          <w:lang w:eastAsia="en-US"/>
        </w:rPr>
        <w:t>»</w:t>
      </w:r>
      <w:r w:rsidRPr="0075738B">
        <w:rPr>
          <w:rFonts w:ascii="Marianne" w:eastAsia="Calibri" w:hAnsi="Marianne"/>
          <w:sz w:val="22"/>
          <w:szCs w:val="22"/>
          <w:lang w:eastAsia="en-US"/>
        </w:rPr>
        <w:t xml:space="preserve"> (</w:t>
      </w:r>
      <w:r w:rsidRPr="0075738B">
        <w:rPr>
          <w:rFonts w:ascii="Marianne" w:hAnsi="Marianne"/>
          <w:sz w:val="22"/>
          <w:szCs w:val="22"/>
          <w:lang w:eastAsia="fr-FR"/>
        </w:rPr>
        <w:t>«</w:t>
      </w:r>
      <w:r w:rsidRPr="0075738B">
        <w:rPr>
          <w:rFonts w:ascii="Calibri" w:hAnsi="Calibri" w:cs="Calibri"/>
          <w:sz w:val="22"/>
          <w:szCs w:val="22"/>
          <w:lang w:eastAsia="fr-FR"/>
        </w:rPr>
        <w:t> </w:t>
      </w:r>
      <w:r w:rsidRPr="0075738B">
        <w:rPr>
          <w:rFonts w:ascii="Marianne" w:hAnsi="Marianne"/>
          <w:sz w:val="22"/>
          <w:szCs w:val="22"/>
          <w:lang w:eastAsia="fr-FR"/>
        </w:rPr>
        <w:t>produits, équipements, matériaux, déchets</w:t>
      </w:r>
      <w:r w:rsidRPr="0075738B">
        <w:rPr>
          <w:rFonts w:ascii="Calibri" w:hAnsi="Calibri" w:cs="Calibri"/>
          <w:sz w:val="22"/>
          <w:szCs w:val="22"/>
          <w:lang w:eastAsia="fr-FR"/>
        </w:rPr>
        <w:t> </w:t>
      </w:r>
      <w:r w:rsidRPr="0075738B">
        <w:rPr>
          <w:rFonts w:ascii="Marianne" w:hAnsi="Marianne" w:cs="Marianne"/>
          <w:sz w:val="22"/>
          <w:szCs w:val="22"/>
          <w:lang w:eastAsia="fr-FR"/>
        </w:rPr>
        <w:t xml:space="preserve">») </w:t>
      </w:r>
      <w:r w:rsidRPr="0075738B">
        <w:rPr>
          <w:rFonts w:ascii="Marianne" w:eastAsia="Calibri" w:hAnsi="Marianne"/>
          <w:sz w:val="22"/>
          <w:szCs w:val="22"/>
          <w:lang w:eastAsia="en-US"/>
        </w:rPr>
        <w:t>prévu à l’article L.</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 xml:space="preserve">126-34 du CCH. </w:t>
      </w:r>
    </w:p>
    <w:p w14:paraId="7E6ADF17" w14:textId="77777777" w:rsidR="0075738B" w:rsidRPr="0075738B" w:rsidRDefault="0075738B" w:rsidP="0075738B">
      <w:pPr>
        <w:pStyle w:val="Paragraphedeliste"/>
        <w:numPr>
          <w:ilvl w:val="0"/>
          <w:numId w:val="21"/>
        </w:numPr>
        <w:spacing w:before="100" w:beforeAutospacing="1" w:after="100" w:afterAutospacing="1" w:line="240" w:lineRule="auto"/>
        <w:ind w:left="709" w:hanging="283"/>
        <w:jc w:val="both"/>
        <w:rPr>
          <w:rFonts w:ascii="Marianne" w:hAnsi="Marianne" w:cs="Times New Roman"/>
          <w:b/>
          <w:u w:val="single"/>
          <w:lang w:eastAsia="fr-FR"/>
        </w:rPr>
      </w:pPr>
      <w:r w:rsidRPr="0075738B">
        <w:rPr>
          <w:rFonts w:ascii="Marianne" w:hAnsi="Marianne" w:cs="Times New Roman"/>
          <w:b/>
          <w:u w:val="single"/>
          <w:lang w:eastAsia="fr-FR"/>
        </w:rPr>
        <w:t>Contenu du projet de décret</w:t>
      </w:r>
      <w:r w:rsidRPr="0075738B">
        <w:rPr>
          <w:rFonts w:ascii="Calibri" w:hAnsi="Calibri" w:cs="Calibri"/>
          <w:b/>
          <w:u w:val="single"/>
          <w:lang w:eastAsia="fr-FR"/>
        </w:rPr>
        <w:t> </w:t>
      </w:r>
      <w:r w:rsidRPr="0075738B">
        <w:rPr>
          <w:rFonts w:ascii="Marianne" w:hAnsi="Marianne" w:cs="Times New Roman"/>
          <w:b/>
          <w:u w:val="single"/>
          <w:lang w:eastAsia="fr-FR"/>
        </w:rPr>
        <w:t>:</w:t>
      </w:r>
    </w:p>
    <w:p w14:paraId="3B703917" w14:textId="77777777" w:rsidR="0075738B" w:rsidRPr="0075738B" w:rsidRDefault="0075738B" w:rsidP="0075738B">
      <w:pPr>
        <w:suppressAutoHyphens w:val="0"/>
        <w:spacing w:before="100" w:beforeAutospacing="1" w:after="100" w:afterAutospacing="1"/>
        <w:jc w:val="both"/>
        <w:rPr>
          <w:rFonts w:ascii="Marianne" w:hAnsi="Marianne" w:cs="Marianne"/>
          <w:b/>
          <w:sz w:val="22"/>
          <w:szCs w:val="22"/>
          <w:u w:val="single"/>
          <w:lang w:eastAsia="fr-FR"/>
        </w:rPr>
      </w:pPr>
      <w:r w:rsidRPr="0075738B">
        <w:rPr>
          <w:rFonts w:ascii="Marianne" w:hAnsi="Marianne" w:cs="Marianne"/>
          <w:b/>
          <w:sz w:val="22"/>
          <w:szCs w:val="22"/>
          <w:u w:val="single"/>
          <w:lang w:eastAsia="fr-FR"/>
        </w:rPr>
        <w:t>Article 2</w:t>
      </w:r>
      <w:r w:rsidRPr="0075738B">
        <w:rPr>
          <w:rFonts w:ascii="Calibri" w:hAnsi="Calibri" w:cs="Calibri"/>
          <w:b/>
          <w:sz w:val="22"/>
          <w:szCs w:val="22"/>
          <w:u w:val="single"/>
          <w:lang w:eastAsia="fr-FR"/>
        </w:rPr>
        <w:t> </w:t>
      </w:r>
      <w:r w:rsidRPr="0075738B">
        <w:rPr>
          <w:rFonts w:ascii="Marianne" w:hAnsi="Marianne" w:cs="Marianne"/>
          <w:b/>
          <w:sz w:val="22"/>
          <w:szCs w:val="22"/>
          <w:u w:val="single"/>
          <w:lang w:eastAsia="fr-FR"/>
        </w:rPr>
        <w:t>: dans le cas de la construction neuve</w:t>
      </w:r>
      <w:r w:rsidRPr="0075738B">
        <w:rPr>
          <w:rFonts w:ascii="Calibri" w:hAnsi="Calibri" w:cs="Calibri"/>
          <w:b/>
          <w:sz w:val="22"/>
          <w:szCs w:val="22"/>
          <w:u w:val="single"/>
          <w:lang w:eastAsia="fr-FR"/>
        </w:rPr>
        <w:t> </w:t>
      </w:r>
      <w:r w:rsidRPr="0075738B">
        <w:rPr>
          <w:rFonts w:ascii="Marianne" w:hAnsi="Marianne" w:cs="Marianne"/>
          <w:b/>
          <w:sz w:val="22"/>
          <w:szCs w:val="22"/>
          <w:u w:val="single"/>
          <w:lang w:eastAsia="fr-FR"/>
        </w:rPr>
        <w:t>:</w:t>
      </w:r>
    </w:p>
    <w:p w14:paraId="5B4AEC37" w14:textId="77777777" w:rsidR="0075738B" w:rsidRPr="0075738B" w:rsidRDefault="0075738B" w:rsidP="0075738B">
      <w:pPr>
        <w:suppressAutoHyphens w:val="0"/>
        <w:spacing w:before="100" w:beforeAutospacing="1" w:after="100" w:afterAutospacing="1"/>
        <w:jc w:val="both"/>
        <w:rPr>
          <w:rFonts w:ascii="Marianne" w:eastAsia="Calibri" w:hAnsi="Marianne"/>
          <w:sz w:val="22"/>
          <w:szCs w:val="22"/>
          <w:lang w:eastAsia="en-US"/>
        </w:rPr>
      </w:pPr>
      <w:r w:rsidRPr="0075738B">
        <w:rPr>
          <w:rFonts w:ascii="Marianne" w:hAnsi="Marianne" w:cs="Marianne"/>
          <w:b/>
          <w:sz w:val="22"/>
          <w:szCs w:val="22"/>
          <w:lang w:eastAsia="fr-FR"/>
        </w:rPr>
        <w:t>L’article R.</w:t>
      </w:r>
      <w:r w:rsidRPr="0075738B">
        <w:rPr>
          <w:rFonts w:ascii="Calibri" w:hAnsi="Calibri" w:cs="Calibri"/>
          <w:b/>
          <w:sz w:val="22"/>
          <w:szCs w:val="22"/>
          <w:lang w:eastAsia="fr-FR"/>
        </w:rPr>
        <w:t> </w:t>
      </w:r>
      <w:r w:rsidRPr="0075738B">
        <w:rPr>
          <w:rFonts w:ascii="Marianne" w:hAnsi="Marianne" w:cs="Marianne"/>
          <w:b/>
          <w:sz w:val="22"/>
          <w:szCs w:val="22"/>
          <w:lang w:eastAsia="fr-FR"/>
        </w:rPr>
        <w:t>122-4-1</w:t>
      </w:r>
      <w:r w:rsidRPr="0075738B">
        <w:rPr>
          <w:rFonts w:ascii="Marianne" w:hAnsi="Marianne" w:cs="Marianne"/>
          <w:sz w:val="22"/>
          <w:szCs w:val="22"/>
          <w:lang w:eastAsia="fr-FR"/>
        </w:rPr>
        <w:t xml:space="preserve"> précise les objectifs généraux et définit le périmètre de la mesure.</w:t>
      </w:r>
      <w:r w:rsidRPr="0075738B">
        <w:rPr>
          <w:rFonts w:ascii="Marianne" w:eastAsia="Calibri" w:hAnsi="Marianne"/>
          <w:sz w:val="22"/>
          <w:szCs w:val="22"/>
          <w:lang w:eastAsia="en-US"/>
        </w:rPr>
        <w:t xml:space="preserve"> Pour faciliter une montée progressive en compétence des maîtres d’ouvrage et des personnes chargées de réaliser l’étude, ainsi que pour limiter le coût généré par la réalisation d’une étude pour les maîtres d’ouvrage et s’adapter aux caractéristiques </w:t>
      </w:r>
      <w:r w:rsidRPr="0075738B">
        <w:rPr>
          <w:rFonts w:ascii="Marianne" w:eastAsia="Calibri" w:hAnsi="Marianne"/>
          <w:sz w:val="22"/>
          <w:szCs w:val="22"/>
          <w:lang w:eastAsia="en-US"/>
        </w:rPr>
        <w:lastRenderedPageBreak/>
        <w:t>du marché immobilier, il est proposé</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que cette mesure s</w:t>
      </w:r>
      <w:r w:rsidRPr="0075738B">
        <w:rPr>
          <w:rFonts w:ascii="Marianne" w:eastAsia="Calibri" w:hAnsi="Marianne" w:cs="Marianne"/>
          <w:sz w:val="22"/>
          <w:szCs w:val="22"/>
          <w:lang w:eastAsia="en-US"/>
        </w:rPr>
        <w:t>’</w:t>
      </w:r>
      <w:r w:rsidRPr="0075738B">
        <w:rPr>
          <w:rFonts w:ascii="Marianne" w:eastAsia="Calibri" w:hAnsi="Marianne"/>
          <w:sz w:val="22"/>
          <w:szCs w:val="22"/>
          <w:lang w:eastAsia="en-US"/>
        </w:rPr>
        <w:t>applique à un périmètre restreint de projets (tant en typologie qu’en taille), mais significatif,</w:t>
      </w:r>
      <w:r w:rsidRPr="0075738B">
        <w:rPr>
          <w:rFonts w:ascii="Marianne" w:eastAsia="Calibri" w:hAnsi="Marianne" w:cs="Calibri"/>
          <w:sz w:val="22"/>
          <w:szCs w:val="22"/>
          <w:lang w:eastAsia="en-US"/>
        </w:rPr>
        <w:t xml:space="preserve"> à savoir</w:t>
      </w:r>
      <w:r w:rsidRPr="0075738B">
        <w:rPr>
          <w:rFonts w:ascii="Calibri" w:eastAsia="Calibri" w:hAnsi="Calibri" w:cs="Calibri"/>
          <w:sz w:val="22"/>
          <w:szCs w:val="22"/>
          <w:lang w:eastAsia="en-US"/>
        </w:rPr>
        <w:t> </w:t>
      </w:r>
      <w:r w:rsidRPr="0075738B">
        <w:rPr>
          <w:rFonts w:ascii="Marianne" w:eastAsia="Calibri" w:hAnsi="Marianne" w:cs="Calibri"/>
          <w:sz w:val="22"/>
          <w:szCs w:val="22"/>
          <w:lang w:eastAsia="en-US"/>
        </w:rPr>
        <w:t>:</w:t>
      </w:r>
    </w:p>
    <w:p w14:paraId="6454D10C" w14:textId="77777777" w:rsidR="0075738B" w:rsidRPr="0075738B" w:rsidRDefault="0075738B" w:rsidP="0075738B">
      <w:pPr>
        <w:numPr>
          <w:ilvl w:val="0"/>
          <w:numId w:val="19"/>
        </w:numPr>
        <w:suppressAutoHyphens w:val="0"/>
        <w:spacing w:after="160" w:line="259" w:lineRule="auto"/>
        <w:contextualSpacing/>
        <w:jc w:val="both"/>
        <w:rPr>
          <w:rFonts w:ascii="Marianne" w:eastAsia="Calibri" w:hAnsi="Marianne"/>
          <w:sz w:val="22"/>
          <w:szCs w:val="22"/>
          <w:lang w:eastAsia="en-US"/>
        </w:rPr>
      </w:pPr>
      <w:r w:rsidRPr="0075738B">
        <w:rPr>
          <w:rFonts w:ascii="Marianne" w:eastAsia="Calibri" w:hAnsi="Marianne"/>
          <w:sz w:val="22"/>
          <w:szCs w:val="22"/>
          <w:lang w:eastAsia="en-US"/>
        </w:rPr>
        <w:t>Les constructions de bâtiments à usage majoritaire d’habitation ou de bureau d’une surface de plancher supérieure ou égale à 5 000 m²</w:t>
      </w:r>
      <w:r w:rsidRPr="0075738B">
        <w:rPr>
          <w:rFonts w:ascii="Marianne" w:eastAsia="Calibri" w:hAnsi="Marianne" w:cs="Calibri"/>
          <w:sz w:val="22"/>
          <w:szCs w:val="22"/>
          <w:lang w:eastAsia="en-US"/>
        </w:rPr>
        <w:t xml:space="preserve"> -</w:t>
      </w:r>
      <w:r w:rsidRPr="0075738B">
        <w:rPr>
          <w:rFonts w:ascii="Marianne" w:eastAsia="Calibri" w:hAnsi="Marianne"/>
          <w:sz w:val="22"/>
          <w:szCs w:val="22"/>
          <w:lang w:eastAsia="en-US"/>
        </w:rPr>
        <w:t xml:space="preserve"> cela représente une minorité d’opérations</w:t>
      </w:r>
      <w:r w:rsidRPr="0075738B">
        <w:rPr>
          <w:rStyle w:val="Appelnotedebasdep"/>
          <w:rFonts w:ascii="Marianne" w:eastAsia="Calibri" w:hAnsi="Marianne"/>
          <w:sz w:val="22"/>
          <w:szCs w:val="22"/>
          <w:lang w:eastAsia="en-US"/>
        </w:rPr>
        <w:footnoteReference w:id="1"/>
      </w:r>
      <w:r w:rsidRPr="0075738B">
        <w:rPr>
          <w:rFonts w:ascii="Marianne" w:eastAsia="Calibri" w:hAnsi="Marianne"/>
          <w:sz w:val="22"/>
          <w:szCs w:val="22"/>
          <w:lang w:eastAsia="en-US"/>
        </w:rPr>
        <w:t xml:space="preserve"> mais reste significatif en termes de surface construite</w:t>
      </w:r>
      <w:r w:rsidRPr="0075738B">
        <w:rPr>
          <w:rStyle w:val="Appelnotedebasdep"/>
          <w:rFonts w:ascii="Marianne" w:eastAsia="Calibri" w:hAnsi="Marianne"/>
          <w:sz w:val="22"/>
          <w:szCs w:val="22"/>
          <w:lang w:eastAsia="en-US"/>
        </w:rPr>
        <w:footnoteReference w:id="2"/>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w:t>
      </w:r>
    </w:p>
    <w:p w14:paraId="24E495BF" w14:textId="77777777" w:rsidR="0075738B" w:rsidRPr="0075738B" w:rsidRDefault="0075738B" w:rsidP="0075738B">
      <w:pPr>
        <w:numPr>
          <w:ilvl w:val="0"/>
          <w:numId w:val="19"/>
        </w:numPr>
        <w:suppressAutoHyphens w:val="0"/>
        <w:spacing w:after="160" w:line="259" w:lineRule="auto"/>
        <w:ind w:left="714" w:hanging="357"/>
        <w:contextualSpacing/>
        <w:jc w:val="both"/>
        <w:rPr>
          <w:rFonts w:ascii="Marianne" w:eastAsia="Calibri" w:hAnsi="Marianne"/>
          <w:sz w:val="22"/>
          <w:szCs w:val="22"/>
          <w:lang w:eastAsia="en-US"/>
        </w:rPr>
      </w:pPr>
      <w:r w:rsidRPr="0075738B">
        <w:rPr>
          <w:rFonts w:ascii="Marianne" w:eastAsia="Calibri" w:hAnsi="Marianne"/>
          <w:sz w:val="22"/>
          <w:szCs w:val="22"/>
          <w:lang w:eastAsia="en-US"/>
        </w:rPr>
        <w:t>Les constructions de bâtiments à usage de stationnement associés à ces bâtiments (hors souterrains)</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w:t>
      </w:r>
    </w:p>
    <w:p w14:paraId="705198CD" w14:textId="77777777" w:rsidR="0075738B" w:rsidRPr="0075738B" w:rsidRDefault="0075738B" w:rsidP="0075738B">
      <w:pPr>
        <w:numPr>
          <w:ilvl w:val="0"/>
          <w:numId w:val="19"/>
        </w:numPr>
        <w:suppressAutoHyphens w:val="0"/>
        <w:spacing w:after="160" w:line="259" w:lineRule="auto"/>
        <w:ind w:left="714" w:hanging="357"/>
        <w:contextualSpacing/>
        <w:jc w:val="both"/>
        <w:rPr>
          <w:rFonts w:ascii="Marianne" w:eastAsia="Calibri" w:hAnsi="Marianne"/>
          <w:sz w:val="22"/>
          <w:szCs w:val="22"/>
          <w:lang w:eastAsia="en-US"/>
        </w:rPr>
      </w:pPr>
      <w:r w:rsidRPr="0075738B">
        <w:rPr>
          <w:rFonts w:ascii="Marianne" w:eastAsia="Calibri" w:hAnsi="Marianne"/>
          <w:sz w:val="22"/>
          <w:szCs w:val="22"/>
          <w:lang w:eastAsia="en-US"/>
        </w:rPr>
        <w:t>Les constructions de bâtiment à usage de stationnement (hors souterrains) supérieurs à 50 places.</w:t>
      </w:r>
    </w:p>
    <w:p w14:paraId="055FD734" w14:textId="77777777" w:rsidR="0075738B" w:rsidRPr="0075738B" w:rsidRDefault="0075738B" w:rsidP="0075738B">
      <w:pPr>
        <w:suppressAutoHyphens w:val="0"/>
        <w:spacing w:after="160" w:line="259" w:lineRule="auto"/>
        <w:ind w:left="714"/>
        <w:contextualSpacing/>
        <w:jc w:val="both"/>
        <w:rPr>
          <w:rFonts w:ascii="Marianne" w:eastAsia="Calibri" w:hAnsi="Marianne"/>
          <w:sz w:val="22"/>
          <w:szCs w:val="22"/>
          <w:lang w:eastAsia="en-US"/>
        </w:rPr>
      </w:pPr>
    </w:p>
    <w:p w14:paraId="6C96FBED" w14:textId="5CA7FBBB" w:rsidR="0075738B" w:rsidRPr="0075738B" w:rsidRDefault="0075738B" w:rsidP="0075738B">
      <w:pPr>
        <w:suppressAutoHyphens w:val="0"/>
        <w:spacing w:after="160" w:line="259" w:lineRule="auto"/>
        <w:jc w:val="both"/>
        <w:rPr>
          <w:rFonts w:ascii="Marianne" w:eastAsia="Calibri" w:hAnsi="Marianne"/>
          <w:b/>
          <w:sz w:val="22"/>
          <w:szCs w:val="22"/>
          <w:lang w:eastAsia="en-US"/>
        </w:rPr>
      </w:pPr>
      <w:r w:rsidRPr="0075738B">
        <w:rPr>
          <w:rFonts w:ascii="Marianne" w:eastAsia="Calibri" w:hAnsi="Marianne"/>
          <w:b/>
          <w:sz w:val="22"/>
          <w:szCs w:val="22"/>
          <w:lang w:eastAsia="en-US"/>
        </w:rPr>
        <w:t>L’article R.</w:t>
      </w:r>
      <w:r w:rsidRPr="0075738B">
        <w:rPr>
          <w:rFonts w:ascii="Calibri" w:eastAsia="Calibri" w:hAnsi="Calibri" w:cs="Calibri"/>
          <w:b/>
          <w:sz w:val="22"/>
          <w:szCs w:val="22"/>
          <w:lang w:eastAsia="en-US"/>
        </w:rPr>
        <w:t> </w:t>
      </w:r>
      <w:r w:rsidRPr="0075738B">
        <w:rPr>
          <w:rFonts w:ascii="Marianne" w:eastAsia="Calibri" w:hAnsi="Marianne"/>
          <w:b/>
          <w:sz w:val="22"/>
          <w:szCs w:val="22"/>
          <w:lang w:eastAsia="en-US"/>
        </w:rPr>
        <w:t>122-4-2</w:t>
      </w:r>
      <w:r w:rsidRPr="0075738B">
        <w:rPr>
          <w:rFonts w:ascii="Marianne" w:eastAsia="Calibri" w:hAnsi="Marianne"/>
          <w:sz w:val="22"/>
          <w:szCs w:val="22"/>
          <w:lang w:eastAsia="en-US"/>
        </w:rPr>
        <w:t>, central, précise le contenu de l’étude. Afin de ne pas complexifier le dispositif, prévu comme expérimental et «</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souple</w:t>
      </w:r>
      <w:r w:rsidRPr="0075738B">
        <w:rPr>
          <w:rFonts w:ascii="Calibri" w:eastAsia="Calibri" w:hAnsi="Calibri" w:cs="Calibri"/>
          <w:sz w:val="22"/>
          <w:szCs w:val="22"/>
          <w:lang w:eastAsia="en-US"/>
        </w:rPr>
        <w:t> </w:t>
      </w:r>
      <w:r w:rsidRPr="0075738B">
        <w:rPr>
          <w:rFonts w:ascii="Marianne" w:eastAsia="Calibri" w:hAnsi="Marianne" w:cs="Marianne"/>
          <w:sz w:val="22"/>
          <w:szCs w:val="22"/>
          <w:lang w:eastAsia="en-US"/>
        </w:rPr>
        <w:t>»</w:t>
      </w:r>
      <w:r w:rsidRPr="0075738B">
        <w:rPr>
          <w:rFonts w:ascii="Marianne" w:eastAsia="Calibri" w:hAnsi="Marianne"/>
          <w:sz w:val="22"/>
          <w:szCs w:val="22"/>
          <w:lang w:eastAsia="en-US"/>
        </w:rPr>
        <w:t>, il est proposé de ne pas cadrer excessivement le contenu de l’étude</w:t>
      </w:r>
      <w:r>
        <w:rPr>
          <w:rFonts w:ascii="Marianne" w:eastAsia="Calibri" w:hAnsi="Marianne"/>
          <w:sz w:val="22"/>
          <w:szCs w:val="22"/>
          <w:lang w:eastAsia="en-US"/>
        </w:rPr>
        <w:t xml:space="preserve">. </w:t>
      </w:r>
      <w:r w:rsidRPr="0075738B">
        <w:rPr>
          <w:rFonts w:ascii="Marianne" w:eastAsia="Calibri" w:hAnsi="Marianne"/>
          <w:sz w:val="22"/>
          <w:szCs w:val="22"/>
          <w:lang w:eastAsia="en-US"/>
        </w:rPr>
        <w:t>Il comporte les volets suivants</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w:t>
      </w:r>
    </w:p>
    <w:p w14:paraId="774BADAD" w14:textId="77777777" w:rsidR="0075738B" w:rsidRPr="0075738B" w:rsidRDefault="0075738B" w:rsidP="0075738B">
      <w:pPr>
        <w:numPr>
          <w:ilvl w:val="0"/>
          <w:numId w:val="20"/>
        </w:numPr>
        <w:suppressAutoHyphens w:val="0"/>
        <w:spacing w:after="160" w:line="259" w:lineRule="auto"/>
        <w:contextualSpacing/>
        <w:jc w:val="both"/>
        <w:rPr>
          <w:rFonts w:ascii="Marianne" w:eastAsia="Calibri" w:hAnsi="Marianne"/>
          <w:sz w:val="22"/>
          <w:szCs w:val="22"/>
          <w:lang w:eastAsia="en-US"/>
        </w:rPr>
      </w:pPr>
      <w:r w:rsidRPr="0075738B">
        <w:rPr>
          <w:rFonts w:ascii="Marianne" w:eastAsia="Calibri" w:hAnsi="Marianne"/>
          <w:b/>
          <w:sz w:val="22"/>
          <w:szCs w:val="22"/>
          <w:lang w:eastAsia="en-US"/>
        </w:rPr>
        <w:t>L’identification du projet</w:t>
      </w:r>
      <w:r w:rsidRPr="0075738B">
        <w:rPr>
          <w:rFonts w:ascii="Calibri" w:eastAsia="Calibri" w:hAnsi="Calibri" w:cs="Calibri"/>
          <w:sz w:val="22"/>
          <w:szCs w:val="22"/>
          <w:lang w:eastAsia="en-US"/>
        </w:rPr>
        <w:t> </w:t>
      </w:r>
      <w:r w:rsidRPr="0075738B">
        <w:rPr>
          <w:rFonts w:ascii="Marianne" w:eastAsia="Calibri" w:hAnsi="Marianne" w:cs="Calibri"/>
          <w:sz w:val="22"/>
          <w:szCs w:val="22"/>
          <w:lang w:eastAsia="en-US"/>
        </w:rPr>
        <w:t xml:space="preserve">qui </w:t>
      </w:r>
      <w:r w:rsidRPr="0075738B">
        <w:rPr>
          <w:rFonts w:ascii="Marianne" w:eastAsia="Calibri" w:hAnsi="Marianne"/>
          <w:sz w:val="22"/>
          <w:szCs w:val="22"/>
          <w:lang w:eastAsia="en-US"/>
        </w:rPr>
        <w:t>doit permettre de le localiser (géographiquement), d’identifier le maître d’ouvrage et la personne ayant réalisé l’étude, et de connaître ses caractéristiques principales (surface initiale ou surface projetée, volumétrie générale ou le programme de l’opération projetée)</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w:t>
      </w:r>
    </w:p>
    <w:p w14:paraId="2D52CC58" w14:textId="77777777" w:rsidR="0075738B" w:rsidRPr="0075738B" w:rsidRDefault="0075738B" w:rsidP="0075738B">
      <w:pPr>
        <w:numPr>
          <w:ilvl w:val="0"/>
          <w:numId w:val="20"/>
        </w:numPr>
        <w:suppressAutoHyphens w:val="0"/>
        <w:spacing w:after="160" w:line="259" w:lineRule="auto"/>
        <w:contextualSpacing/>
        <w:jc w:val="both"/>
        <w:rPr>
          <w:rFonts w:ascii="Marianne" w:eastAsia="Calibri" w:hAnsi="Marianne"/>
          <w:sz w:val="22"/>
          <w:szCs w:val="22"/>
          <w:lang w:eastAsia="en-US"/>
        </w:rPr>
      </w:pPr>
      <w:r w:rsidRPr="0075738B">
        <w:rPr>
          <w:rFonts w:ascii="Marianne" w:eastAsia="Calibri" w:hAnsi="Marianne"/>
          <w:b/>
          <w:sz w:val="22"/>
          <w:szCs w:val="22"/>
          <w:lang w:eastAsia="en-US"/>
        </w:rPr>
        <w:t xml:space="preserve">L’évaluation du potentiel </w:t>
      </w:r>
      <w:r w:rsidRPr="0075738B">
        <w:rPr>
          <w:rFonts w:ascii="Marianne" w:eastAsia="Calibri" w:hAnsi="Marianne"/>
          <w:sz w:val="22"/>
          <w:szCs w:val="22"/>
          <w:lang w:eastAsia="en-US"/>
        </w:rPr>
        <w:t>de changement de destination et d’évolution</w:t>
      </w:r>
      <w:r w:rsidRPr="0075738B">
        <w:rPr>
          <w:rFonts w:ascii="Marianne" w:eastAsia="Calibri" w:hAnsi="Marianne"/>
          <w:b/>
          <w:sz w:val="22"/>
          <w:szCs w:val="22"/>
          <w:lang w:eastAsia="en-US"/>
        </w:rPr>
        <w:t xml:space="preserve"> </w:t>
      </w:r>
      <w:r w:rsidRPr="0075738B">
        <w:rPr>
          <w:rFonts w:ascii="Marianne" w:eastAsia="Calibri" w:hAnsi="Marianne"/>
          <w:sz w:val="22"/>
          <w:szCs w:val="22"/>
          <w:lang w:eastAsia="en-US"/>
        </w:rPr>
        <w:t>en lui-même</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qui doit tenir compte des contraintes internes et externes au projet (réglementations nationales, règlementations locales, règlementations techniques, environnement urbain, critères architecturaux ou techniques…)</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 xml:space="preserve">; </w:t>
      </w:r>
    </w:p>
    <w:p w14:paraId="5C76279B" w14:textId="77777777" w:rsidR="0075738B" w:rsidRPr="0075738B" w:rsidRDefault="0075738B" w:rsidP="0075738B">
      <w:pPr>
        <w:numPr>
          <w:ilvl w:val="0"/>
          <w:numId w:val="20"/>
        </w:numPr>
        <w:suppressAutoHyphens w:val="0"/>
        <w:spacing w:after="160" w:line="259" w:lineRule="auto"/>
        <w:contextualSpacing/>
        <w:jc w:val="both"/>
        <w:rPr>
          <w:rFonts w:ascii="Marianne" w:eastAsia="Calibri" w:hAnsi="Marianne"/>
          <w:sz w:val="22"/>
          <w:szCs w:val="22"/>
          <w:lang w:eastAsia="en-US"/>
        </w:rPr>
      </w:pPr>
      <w:r w:rsidRPr="0075738B">
        <w:rPr>
          <w:rFonts w:ascii="Marianne" w:eastAsia="Calibri" w:hAnsi="Marianne"/>
          <w:b/>
          <w:sz w:val="22"/>
          <w:szCs w:val="22"/>
          <w:lang w:eastAsia="en-US"/>
        </w:rPr>
        <w:t>L’étude et la description d’un ou plusieurs scénarios</w:t>
      </w:r>
      <w:r w:rsidRPr="0075738B">
        <w:rPr>
          <w:rFonts w:ascii="Marianne" w:eastAsia="Calibri" w:hAnsi="Marianne"/>
          <w:sz w:val="22"/>
          <w:szCs w:val="22"/>
          <w:lang w:eastAsia="en-US"/>
        </w:rPr>
        <w:t xml:space="preserve"> exposant les évolutions ou changements de destination envisageables, éventuellement leur temporalité, les travaux nécessaires et leurs impacts économiques et environnementaux</w:t>
      </w:r>
      <w:r w:rsidRPr="0075738B">
        <w:rPr>
          <w:rFonts w:ascii="Calibri" w:eastAsia="Calibri" w:hAnsi="Calibri" w:cs="Calibri"/>
          <w:sz w:val="22"/>
          <w:szCs w:val="22"/>
          <w:lang w:eastAsia="en-US"/>
        </w:rPr>
        <w:t> </w:t>
      </w:r>
      <w:r w:rsidRPr="0075738B">
        <w:rPr>
          <w:rFonts w:ascii="Marianne" w:eastAsia="Calibri" w:hAnsi="Marianne" w:cs="Calibri"/>
          <w:sz w:val="22"/>
          <w:szCs w:val="22"/>
          <w:lang w:eastAsia="en-US"/>
        </w:rPr>
        <w:t xml:space="preserve">par rapport au scénario contrefactuel </w:t>
      </w:r>
      <w:r w:rsidRPr="0075738B">
        <w:rPr>
          <w:rFonts w:ascii="Marianne" w:eastAsia="Calibri" w:hAnsi="Marianne"/>
          <w:sz w:val="22"/>
          <w:szCs w:val="22"/>
          <w:lang w:eastAsia="en-US"/>
        </w:rPr>
        <w:t>;</w:t>
      </w:r>
    </w:p>
    <w:p w14:paraId="3BDA44C5" w14:textId="77777777" w:rsidR="0075738B" w:rsidRPr="0075738B" w:rsidRDefault="0075738B" w:rsidP="0075738B">
      <w:pPr>
        <w:numPr>
          <w:ilvl w:val="0"/>
          <w:numId w:val="20"/>
        </w:numPr>
        <w:suppressAutoHyphens w:val="0"/>
        <w:spacing w:after="160" w:line="259" w:lineRule="auto"/>
        <w:contextualSpacing/>
        <w:jc w:val="both"/>
        <w:rPr>
          <w:rFonts w:ascii="Marianne" w:eastAsia="Calibri" w:hAnsi="Marianne"/>
          <w:sz w:val="22"/>
          <w:szCs w:val="22"/>
          <w:lang w:eastAsia="en-US"/>
        </w:rPr>
      </w:pPr>
      <w:r w:rsidRPr="0075738B">
        <w:rPr>
          <w:rFonts w:ascii="Marianne" w:eastAsia="Calibri" w:hAnsi="Marianne"/>
          <w:b/>
          <w:sz w:val="22"/>
          <w:szCs w:val="22"/>
          <w:lang w:eastAsia="en-US"/>
        </w:rPr>
        <w:t>Et en conclusion</w:t>
      </w:r>
      <w:r w:rsidRPr="0075738B">
        <w:rPr>
          <w:rFonts w:ascii="Marianne" w:eastAsia="Calibri" w:hAnsi="Marianne"/>
          <w:sz w:val="22"/>
          <w:szCs w:val="22"/>
          <w:lang w:eastAsia="en-US"/>
        </w:rPr>
        <w:t>, la présentation du ou des scenarios privilégiés, et le cas échéant la justification de l’impossibilité de proposer un changement de destination ou une évolution.</w:t>
      </w:r>
    </w:p>
    <w:p w14:paraId="3F8CFCC7" w14:textId="77777777" w:rsidR="0075738B" w:rsidRPr="0075738B" w:rsidRDefault="0075738B" w:rsidP="0075738B">
      <w:pPr>
        <w:suppressAutoHyphens w:val="0"/>
        <w:spacing w:after="160" w:line="259" w:lineRule="auto"/>
        <w:ind w:left="720"/>
        <w:contextualSpacing/>
        <w:jc w:val="both"/>
        <w:rPr>
          <w:rFonts w:ascii="Marianne" w:eastAsia="Calibri" w:hAnsi="Marianne"/>
          <w:sz w:val="22"/>
          <w:szCs w:val="22"/>
          <w:lang w:eastAsia="en-US"/>
        </w:rPr>
      </w:pPr>
    </w:p>
    <w:p w14:paraId="45C93F65" w14:textId="77777777" w:rsidR="0075738B" w:rsidRPr="0075738B" w:rsidRDefault="0075738B" w:rsidP="0075738B">
      <w:pPr>
        <w:suppressAutoHyphens w:val="0"/>
        <w:spacing w:after="160" w:line="259" w:lineRule="auto"/>
        <w:contextualSpacing/>
        <w:jc w:val="both"/>
        <w:rPr>
          <w:rFonts w:ascii="Marianne" w:eastAsia="Calibri" w:hAnsi="Marianne" w:cs="Calibri"/>
          <w:b/>
          <w:sz w:val="22"/>
          <w:szCs w:val="22"/>
          <w:lang w:eastAsia="en-US"/>
        </w:rPr>
      </w:pPr>
      <w:r w:rsidRPr="0075738B">
        <w:rPr>
          <w:rFonts w:ascii="Marianne" w:eastAsia="Calibri" w:hAnsi="Marianne" w:cs="Calibri"/>
          <w:b/>
          <w:sz w:val="22"/>
          <w:szCs w:val="22"/>
          <w:lang w:eastAsia="en-US"/>
        </w:rPr>
        <w:t>L’article R.</w:t>
      </w:r>
      <w:r w:rsidRPr="0075738B">
        <w:rPr>
          <w:rFonts w:ascii="Calibri" w:eastAsia="Calibri" w:hAnsi="Calibri" w:cs="Calibri"/>
          <w:b/>
          <w:sz w:val="22"/>
          <w:szCs w:val="22"/>
          <w:lang w:eastAsia="en-US"/>
        </w:rPr>
        <w:t> </w:t>
      </w:r>
      <w:r w:rsidRPr="0075738B">
        <w:rPr>
          <w:rFonts w:ascii="Marianne" w:eastAsia="Calibri" w:hAnsi="Marianne" w:cs="Calibri"/>
          <w:b/>
          <w:sz w:val="22"/>
          <w:szCs w:val="22"/>
          <w:lang w:eastAsia="en-US"/>
        </w:rPr>
        <w:t>122-4-3</w:t>
      </w:r>
      <w:r w:rsidRPr="0075738B">
        <w:rPr>
          <w:rFonts w:ascii="Calibri" w:eastAsia="Calibri" w:hAnsi="Calibri" w:cs="Calibri"/>
          <w:b/>
          <w:sz w:val="22"/>
          <w:szCs w:val="22"/>
          <w:lang w:eastAsia="en-US"/>
        </w:rPr>
        <w:t> </w:t>
      </w:r>
      <w:r w:rsidRPr="0075738B">
        <w:rPr>
          <w:rFonts w:ascii="Marianne" w:eastAsia="Calibri" w:hAnsi="Marianne" w:cs="Calibri"/>
          <w:sz w:val="22"/>
          <w:szCs w:val="22"/>
          <w:lang w:eastAsia="en-US"/>
        </w:rPr>
        <w:t>définit les compétences requises de la part des personnes chargées de la réalisation de l’étude.</w:t>
      </w:r>
    </w:p>
    <w:p w14:paraId="5491ED2B" w14:textId="77777777" w:rsidR="0075738B" w:rsidRPr="0075738B" w:rsidRDefault="0075738B" w:rsidP="0075738B">
      <w:pPr>
        <w:pStyle w:val="Paragraphedeliste"/>
        <w:numPr>
          <w:ilvl w:val="0"/>
          <w:numId w:val="19"/>
        </w:numPr>
        <w:jc w:val="both"/>
        <w:rPr>
          <w:rFonts w:ascii="Marianne" w:eastAsia="Calibri" w:hAnsi="Marianne" w:cs="Times New Roman"/>
        </w:rPr>
      </w:pPr>
      <w:r w:rsidRPr="0075738B">
        <w:rPr>
          <w:rFonts w:ascii="Marianne" w:eastAsia="Calibri" w:hAnsi="Marianne" w:cs="Times New Roman"/>
        </w:rPr>
        <w:t>Il est proposé d’exiger les mêmes compétences dans le cas de la construction neuve et de la démolition, dans la mesure où il s’agit d’une prestation pouvant faire appel à un ensemble de compétences semblables dans les deux cas</w:t>
      </w:r>
      <w:r w:rsidRPr="0075738B">
        <w:rPr>
          <w:rFonts w:ascii="Calibri" w:eastAsia="Calibri" w:hAnsi="Calibri" w:cs="Calibri"/>
        </w:rPr>
        <w:t> </w:t>
      </w:r>
      <w:r w:rsidRPr="0075738B">
        <w:rPr>
          <w:rFonts w:ascii="Marianne" w:eastAsia="Calibri" w:hAnsi="Marianne" w:cs="Times New Roman"/>
        </w:rPr>
        <w:t>;</w:t>
      </w:r>
    </w:p>
    <w:p w14:paraId="7D445E8A" w14:textId="77777777" w:rsidR="0075738B" w:rsidRPr="0075738B" w:rsidRDefault="0075738B" w:rsidP="0075738B">
      <w:pPr>
        <w:pStyle w:val="Paragraphedeliste"/>
        <w:numPr>
          <w:ilvl w:val="0"/>
          <w:numId w:val="19"/>
        </w:numPr>
        <w:jc w:val="both"/>
        <w:rPr>
          <w:rFonts w:ascii="Marianne" w:eastAsia="Calibri" w:hAnsi="Marianne" w:cs="Times New Roman"/>
        </w:rPr>
      </w:pPr>
      <w:r w:rsidRPr="0075738B">
        <w:rPr>
          <w:rFonts w:ascii="Marianne" w:eastAsia="Calibri" w:hAnsi="Marianne" w:cs="Times New Roman"/>
        </w:rPr>
        <w:lastRenderedPageBreak/>
        <w:t xml:space="preserve">Les qualifications décrites ciblent principalement les professions </w:t>
      </w:r>
      <w:r w:rsidRPr="0075738B">
        <w:rPr>
          <w:rFonts w:ascii="Marianne" w:eastAsia="Calibri" w:hAnsi="Marianne" w:cs="Times New Roman"/>
          <w:b/>
        </w:rPr>
        <w:t>d’architecte ou d’ingénieur du bâtiment</w:t>
      </w:r>
      <w:r w:rsidRPr="0075738B">
        <w:rPr>
          <w:rFonts w:ascii="Marianne" w:eastAsia="Calibri" w:hAnsi="Marianne" w:cs="Times New Roman"/>
        </w:rPr>
        <w:t xml:space="preserve">, considérant que la réalisation de l’étude nécessite des compétences en termes de conception, de construction, mais également en termes de démolition qui sont spécifiques à ces métiers. </w:t>
      </w:r>
    </w:p>
    <w:p w14:paraId="42EBBEC2" w14:textId="77777777" w:rsidR="0075738B" w:rsidRPr="0075738B" w:rsidRDefault="0075738B" w:rsidP="0075738B">
      <w:pPr>
        <w:pStyle w:val="Paragraphedeliste"/>
        <w:numPr>
          <w:ilvl w:val="0"/>
          <w:numId w:val="19"/>
        </w:numPr>
        <w:jc w:val="both"/>
        <w:rPr>
          <w:rFonts w:ascii="Marianne" w:eastAsia="Calibri" w:hAnsi="Marianne" w:cs="Times New Roman"/>
        </w:rPr>
      </w:pPr>
      <w:r w:rsidRPr="0075738B">
        <w:rPr>
          <w:rFonts w:ascii="Marianne" w:eastAsia="Calibri" w:hAnsi="Marianne" w:cs="Times New Roman"/>
        </w:rPr>
        <w:t>Le projet de texte détaille les modalités de preuves que la personne compétente devra fournir au maître d’ouvrage.</w:t>
      </w:r>
    </w:p>
    <w:p w14:paraId="25F9C0C7" w14:textId="77777777" w:rsidR="0075738B" w:rsidRPr="0075738B" w:rsidRDefault="0075738B" w:rsidP="0075738B">
      <w:pPr>
        <w:suppressAutoHyphens w:val="0"/>
        <w:spacing w:after="160" w:line="259" w:lineRule="auto"/>
        <w:contextualSpacing/>
        <w:jc w:val="both"/>
        <w:rPr>
          <w:rFonts w:ascii="Marianne" w:eastAsia="Calibri" w:hAnsi="Marianne"/>
          <w:sz w:val="22"/>
          <w:szCs w:val="22"/>
          <w:lang w:eastAsia="en-US"/>
        </w:rPr>
      </w:pPr>
      <w:r w:rsidRPr="0075738B">
        <w:rPr>
          <w:rFonts w:ascii="Marianne" w:eastAsia="Calibri" w:hAnsi="Marianne"/>
          <w:b/>
          <w:sz w:val="22"/>
          <w:szCs w:val="22"/>
          <w:lang w:eastAsia="en-US"/>
        </w:rPr>
        <w:t>Les articles R.</w:t>
      </w:r>
      <w:r w:rsidRPr="0075738B">
        <w:rPr>
          <w:rFonts w:ascii="Calibri" w:eastAsia="Calibri" w:hAnsi="Calibri" w:cs="Calibri"/>
          <w:b/>
          <w:sz w:val="22"/>
          <w:szCs w:val="22"/>
          <w:lang w:eastAsia="en-US"/>
        </w:rPr>
        <w:t> </w:t>
      </w:r>
      <w:r w:rsidRPr="0075738B">
        <w:rPr>
          <w:rFonts w:ascii="Marianne" w:eastAsia="Calibri" w:hAnsi="Marianne"/>
          <w:b/>
          <w:sz w:val="22"/>
          <w:szCs w:val="22"/>
          <w:lang w:eastAsia="en-US"/>
        </w:rPr>
        <w:t>122-4-4</w:t>
      </w:r>
      <w:r w:rsidRPr="0075738B">
        <w:rPr>
          <w:rFonts w:ascii="Calibri" w:eastAsia="Calibri" w:hAnsi="Calibri" w:cs="Calibri"/>
          <w:b/>
          <w:sz w:val="22"/>
          <w:szCs w:val="22"/>
          <w:lang w:eastAsia="en-US"/>
        </w:rPr>
        <w:t> </w:t>
      </w:r>
      <w:r w:rsidRPr="0075738B">
        <w:rPr>
          <w:rFonts w:ascii="Marianne" w:eastAsia="Calibri" w:hAnsi="Marianne" w:cs="Calibri"/>
          <w:b/>
          <w:sz w:val="22"/>
          <w:szCs w:val="22"/>
          <w:lang w:eastAsia="en-US"/>
        </w:rPr>
        <w:t xml:space="preserve">et R.122-4-5 </w:t>
      </w:r>
      <w:r w:rsidRPr="0075738B">
        <w:rPr>
          <w:rFonts w:ascii="Marianne" w:eastAsia="Calibri" w:hAnsi="Marianne"/>
          <w:sz w:val="22"/>
          <w:szCs w:val="22"/>
          <w:lang w:eastAsia="en-US"/>
        </w:rPr>
        <w:t xml:space="preserve">décrivent le contenu et les modalités de transmission de l’attestation qui est requise par la loi dans le cas des constructions neuves. </w:t>
      </w:r>
    </w:p>
    <w:p w14:paraId="796548D6" w14:textId="235ECC76" w:rsidR="0075738B" w:rsidRPr="0075738B" w:rsidRDefault="0075738B" w:rsidP="0075738B">
      <w:pPr>
        <w:pStyle w:val="Paragraphedeliste"/>
        <w:numPr>
          <w:ilvl w:val="0"/>
          <w:numId w:val="19"/>
        </w:numPr>
        <w:jc w:val="both"/>
        <w:rPr>
          <w:rFonts w:ascii="Marianne" w:eastAsia="Calibri" w:hAnsi="Marianne" w:cs="Times New Roman"/>
        </w:rPr>
      </w:pPr>
      <w:r w:rsidRPr="0075738B">
        <w:rPr>
          <w:rFonts w:ascii="Marianne" w:eastAsia="Calibri" w:hAnsi="Marianne" w:cs="Times New Roman"/>
        </w:rPr>
        <w:t xml:space="preserve">Cette attestation est produite par la personne ayant réalisé l’étude et transmise par le maître d’ouvrage aux services de l’Etat compétents dans le département, avant le dépôt de la demande du permis de construire. </w:t>
      </w:r>
      <w:r w:rsidRPr="0075738B">
        <w:rPr>
          <w:rFonts w:ascii="Marianne" w:eastAsia="Calibri" w:hAnsi="Marianne" w:cs="Calibri"/>
        </w:rPr>
        <w:t>La loi ne prévoit pas que l’attestation soit</w:t>
      </w:r>
      <w:r w:rsidRPr="0075738B">
        <w:rPr>
          <w:rFonts w:ascii="Marianne" w:eastAsia="Calibri" w:hAnsi="Marianne" w:cs="Times New Roman"/>
        </w:rPr>
        <w:t xml:space="preserve"> jointe au permis de construire (elle ne pourra donc pas être exigée lors de l’instruction du permis).</w:t>
      </w:r>
    </w:p>
    <w:p w14:paraId="3DA842F0" w14:textId="77777777" w:rsidR="0075738B" w:rsidRPr="0075738B" w:rsidRDefault="0075738B" w:rsidP="0075738B">
      <w:pPr>
        <w:pStyle w:val="Paragraphedeliste"/>
        <w:numPr>
          <w:ilvl w:val="0"/>
          <w:numId w:val="19"/>
        </w:numPr>
        <w:jc w:val="both"/>
        <w:rPr>
          <w:rFonts w:ascii="Marianne" w:eastAsia="Calibri" w:hAnsi="Marianne" w:cs="Times New Roman"/>
        </w:rPr>
      </w:pPr>
      <w:r w:rsidRPr="0075738B">
        <w:rPr>
          <w:rFonts w:ascii="Marianne" w:eastAsia="Calibri" w:hAnsi="Marianne" w:cs="Times New Roman"/>
        </w:rPr>
        <w:t>Le décret précise les informations que doit contenir l’attestation</w:t>
      </w:r>
      <w:r w:rsidRPr="0075738B">
        <w:rPr>
          <w:rFonts w:ascii="Calibri" w:eastAsia="Calibri" w:hAnsi="Calibri" w:cs="Calibri"/>
        </w:rPr>
        <w:t> </w:t>
      </w:r>
      <w:r w:rsidRPr="0075738B">
        <w:rPr>
          <w:rFonts w:ascii="Marianne" w:eastAsia="Calibri" w:hAnsi="Marianne" w:cs="Times New Roman"/>
        </w:rPr>
        <w:t>: il est proposé qu’elle se limite à identifier géographiquement l’opération, le maître d’ouvrage et la personne ayant réalisé l’étude, et à présenter le ou les scénarios retenus par le maître d’ouvrage ou la justification de l’impossibilité de proposer un scénario.</w:t>
      </w:r>
    </w:p>
    <w:p w14:paraId="7B1CBB23" w14:textId="77777777" w:rsidR="0075738B" w:rsidRPr="0075738B" w:rsidRDefault="0075738B" w:rsidP="0075738B">
      <w:pPr>
        <w:pStyle w:val="Paragraphedeliste"/>
        <w:numPr>
          <w:ilvl w:val="0"/>
          <w:numId w:val="19"/>
        </w:numPr>
        <w:jc w:val="both"/>
        <w:rPr>
          <w:rFonts w:ascii="Marianne" w:eastAsia="Calibri" w:hAnsi="Marianne" w:cs="Times New Roman"/>
        </w:rPr>
      </w:pPr>
      <w:r w:rsidRPr="0075738B">
        <w:rPr>
          <w:rFonts w:ascii="Marianne" w:eastAsia="Calibri" w:hAnsi="Marianne" w:cs="Times New Roman"/>
        </w:rPr>
        <w:t>Seule l’attestation est à transmettre systématiquement. Cependant, une disposition prévoit qu’à la demande de l’administration le maître d’ouvrage doive transmettre l’étude complète.</w:t>
      </w:r>
    </w:p>
    <w:p w14:paraId="184438A2" w14:textId="77777777" w:rsidR="0075738B" w:rsidRPr="0075738B" w:rsidRDefault="0075738B" w:rsidP="0075738B">
      <w:pPr>
        <w:jc w:val="both"/>
        <w:rPr>
          <w:rFonts w:ascii="Marianne" w:eastAsia="Calibri" w:hAnsi="Marianne"/>
          <w:b/>
          <w:sz w:val="22"/>
          <w:szCs w:val="22"/>
          <w:lang w:eastAsia="en-US"/>
        </w:rPr>
      </w:pPr>
    </w:p>
    <w:p w14:paraId="0C3D6FB4" w14:textId="77777777" w:rsidR="0075738B" w:rsidRPr="005C574A" w:rsidRDefault="0075738B" w:rsidP="0075738B">
      <w:pPr>
        <w:jc w:val="both"/>
        <w:rPr>
          <w:rFonts w:ascii="Marianne" w:eastAsia="Calibri" w:hAnsi="Marianne"/>
          <w:b/>
          <w:sz w:val="22"/>
          <w:szCs w:val="22"/>
          <w:u w:val="single"/>
          <w:lang w:eastAsia="en-US"/>
        </w:rPr>
      </w:pPr>
      <w:r w:rsidRPr="005C574A">
        <w:rPr>
          <w:rFonts w:ascii="Marianne" w:eastAsia="Calibri" w:hAnsi="Marianne"/>
          <w:b/>
          <w:sz w:val="22"/>
          <w:szCs w:val="22"/>
          <w:u w:val="single"/>
          <w:lang w:eastAsia="en-US"/>
        </w:rPr>
        <w:t>Articles 3</w:t>
      </w:r>
      <w:r w:rsidRPr="005C574A">
        <w:rPr>
          <w:rFonts w:ascii="Calibri" w:eastAsia="Calibri" w:hAnsi="Calibri" w:cs="Calibri"/>
          <w:b/>
          <w:sz w:val="22"/>
          <w:szCs w:val="22"/>
          <w:u w:val="single"/>
          <w:lang w:eastAsia="en-US"/>
        </w:rPr>
        <w:t> </w:t>
      </w:r>
      <w:r w:rsidRPr="005C574A">
        <w:rPr>
          <w:rFonts w:ascii="Marianne" w:eastAsia="Calibri" w:hAnsi="Marianne" w:cs="Calibri"/>
          <w:b/>
          <w:sz w:val="22"/>
          <w:szCs w:val="22"/>
          <w:u w:val="single"/>
          <w:lang w:eastAsia="en-US"/>
        </w:rPr>
        <w:t xml:space="preserve">et 4 </w:t>
      </w:r>
      <w:r w:rsidRPr="005C574A">
        <w:rPr>
          <w:rFonts w:ascii="Marianne" w:eastAsia="Calibri" w:hAnsi="Marianne"/>
          <w:b/>
          <w:sz w:val="22"/>
          <w:szCs w:val="22"/>
          <w:u w:val="single"/>
          <w:lang w:eastAsia="en-US"/>
        </w:rPr>
        <w:t>: dans le cas de la démolition</w:t>
      </w:r>
    </w:p>
    <w:p w14:paraId="2BF2FF7E" w14:textId="77777777" w:rsidR="0075738B" w:rsidRPr="0075738B" w:rsidRDefault="0075738B" w:rsidP="0075738B">
      <w:pPr>
        <w:jc w:val="both"/>
        <w:rPr>
          <w:rFonts w:ascii="Marianne" w:eastAsia="Calibri" w:hAnsi="Marianne"/>
          <w:b/>
          <w:sz w:val="22"/>
          <w:szCs w:val="22"/>
          <w:lang w:eastAsia="en-US"/>
        </w:rPr>
      </w:pPr>
    </w:p>
    <w:p w14:paraId="244059F8" w14:textId="77777777" w:rsidR="0075738B" w:rsidRPr="0075738B" w:rsidRDefault="0075738B" w:rsidP="0075738B">
      <w:pPr>
        <w:jc w:val="both"/>
        <w:rPr>
          <w:rFonts w:ascii="Marianne" w:eastAsia="Calibri" w:hAnsi="Marianne"/>
          <w:bCs/>
          <w:sz w:val="22"/>
          <w:szCs w:val="22"/>
          <w:lang w:eastAsia="en-US"/>
        </w:rPr>
      </w:pPr>
      <w:r w:rsidRPr="0075738B">
        <w:rPr>
          <w:rFonts w:ascii="Marianne" w:eastAsia="Calibri" w:hAnsi="Marianne" w:cs="Calibri"/>
          <w:bCs/>
          <w:sz w:val="22"/>
          <w:szCs w:val="22"/>
          <w:lang w:eastAsia="en-US"/>
        </w:rPr>
        <w:t>L’article</w:t>
      </w:r>
      <w:r w:rsidRPr="0075738B">
        <w:rPr>
          <w:rFonts w:ascii="Marianne" w:eastAsia="Calibri" w:hAnsi="Marianne"/>
          <w:bCs/>
          <w:sz w:val="22"/>
          <w:szCs w:val="22"/>
          <w:lang w:eastAsia="en-US"/>
        </w:rPr>
        <w:t xml:space="preserve"> R.</w:t>
      </w:r>
      <w:r w:rsidRPr="0075738B">
        <w:rPr>
          <w:rFonts w:ascii="Calibri" w:eastAsia="Calibri" w:hAnsi="Calibri" w:cs="Calibri"/>
          <w:bCs/>
          <w:sz w:val="22"/>
          <w:szCs w:val="22"/>
          <w:lang w:eastAsia="en-US"/>
        </w:rPr>
        <w:t> </w:t>
      </w:r>
      <w:r w:rsidRPr="0075738B">
        <w:rPr>
          <w:rFonts w:ascii="Marianne" w:eastAsia="Calibri" w:hAnsi="Marianne"/>
          <w:bCs/>
          <w:sz w:val="22"/>
          <w:szCs w:val="22"/>
          <w:lang w:eastAsia="en-US"/>
        </w:rPr>
        <w:t>126-14-1 du CCH relatif à la transmission par le maître d’ouvrage au CSTB, dans le cas d’une démolition ou d’une rénovation significative d’un bâtiment, du diagnostic PEMD et du formulaire de récolement des travaux mis en œuvre dans le bâtiment (art. R.</w:t>
      </w:r>
      <w:r w:rsidRPr="0075738B">
        <w:rPr>
          <w:rFonts w:ascii="Calibri" w:eastAsia="Calibri" w:hAnsi="Calibri" w:cs="Calibri"/>
          <w:bCs/>
          <w:sz w:val="22"/>
          <w:szCs w:val="22"/>
          <w:lang w:eastAsia="en-US"/>
        </w:rPr>
        <w:t> </w:t>
      </w:r>
      <w:r w:rsidRPr="0075738B">
        <w:rPr>
          <w:rFonts w:ascii="Marianne" w:eastAsia="Calibri" w:hAnsi="Marianne"/>
          <w:bCs/>
          <w:sz w:val="22"/>
          <w:szCs w:val="22"/>
          <w:lang w:eastAsia="en-US"/>
        </w:rPr>
        <w:t>126-8 du CCH et suivants) est modifié pour intégrer l’étude mentionnée au L. 126-35-1.</w:t>
      </w:r>
    </w:p>
    <w:p w14:paraId="53C846B9" w14:textId="77777777" w:rsidR="0075738B" w:rsidRPr="0075738B" w:rsidRDefault="0075738B" w:rsidP="0075738B">
      <w:pPr>
        <w:jc w:val="both"/>
        <w:rPr>
          <w:rFonts w:ascii="Marianne" w:eastAsia="Calibri" w:hAnsi="Marianne"/>
          <w:sz w:val="22"/>
          <w:szCs w:val="22"/>
          <w:lang w:eastAsia="en-US"/>
        </w:rPr>
      </w:pPr>
    </w:p>
    <w:p w14:paraId="454E19EC" w14:textId="77777777" w:rsidR="0075738B" w:rsidRPr="0075738B" w:rsidRDefault="0075738B" w:rsidP="0075738B">
      <w:pPr>
        <w:jc w:val="both"/>
        <w:rPr>
          <w:rFonts w:ascii="Marianne" w:eastAsia="Calibri" w:hAnsi="Marianne"/>
          <w:sz w:val="22"/>
          <w:szCs w:val="22"/>
          <w:lang w:eastAsia="en-US"/>
        </w:rPr>
      </w:pPr>
      <w:r w:rsidRPr="0075738B">
        <w:rPr>
          <w:rFonts w:ascii="Marianne" w:eastAsia="Calibri" w:hAnsi="Marianne"/>
          <w:sz w:val="22"/>
          <w:szCs w:val="22"/>
          <w:lang w:eastAsia="en-US"/>
        </w:rPr>
        <w:t>Ainsi, l’étude du potentiel de changement de destination et d’évolution du bâtiment sera jointe au diagnostic PEMD, préalablement au travaux démolition.</w:t>
      </w:r>
      <w:r w:rsidRPr="0075738B">
        <w:rPr>
          <w:rFonts w:ascii="Calibri" w:eastAsia="Calibri" w:hAnsi="Calibri" w:cs="Calibri"/>
          <w:sz w:val="22"/>
          <w:szCs w:val="22"/>
          <w:lang w:eastAsia="en-US"/>
        </w:rPr>
        <w:t> </w:t>
      </w:r>
      <w:r w:rsidRPr="0075738B">
        <w:rPr>
          <w:rFonts w:ascii="Marianne" w:eastAsia="Calibri" w:hAnsi="Marianne"/>
          <w:sz w:val="22"/>
          <w:szCs w:val="22"/>
          <w:lang w:eastAsia="en-US"/>
        </w:rPr>
        <w:t xml:space="preserve">La plateforme de collecte des formulaires et diagnostic PEMD (gérée par le CSTB) sera prévue, après la publication de ce décret, pour accueillir les études visées par l’article L. 126-35-1 du CCH. </w:t>
      </w:r>
    </w:p>
    <w:p w14:paraId="60455018" w14:textId="77777777" w:rsidR="0075738B" w:rsidRPr="0075738B" w:rsidRDefault="0075738B" w:rsidP="0075738B">
      <w:pPr>
        <w:jc w:val="both"/>
        <w:rPr>
          <w:rFonts w:ascii="Marianne" w:eastAsia="Calibri" w:hAnsi="Marianne"/>
          <w:sz w:val="22"/>
          <w:szCs w:val="22"/>
          <w:lang w:eastAsia="en-US"/>
        </w:rPr>
      </w:pPr>
    </w:p>
    <w:p w14:paraId="5E1E8EFF" w14:textId="77777777" w:rsidR="0075738B" w:rsidRPr="0075738B" w:rsidRDefault="0075738B" w:rsidP="0075738B">
      <w:pPr>
        <w:jc w:val="both"/>
        <w:rPr>
          <w:rFonts w:ascii="Marianne" w:hAnsi="Marianne" w:cs="Marianne"/>
          <w:sz w:val="22"/>
          <w:szCs w:val="22"/>
          <w:lang w:eastAsia="fr-FR"/>
        </w:rPr>
      </w:pPr>
      <w:r w:rsidRPr="008018B7">
        <w:rPr>
          <w:rFonts w:ascii="Marianne" w:eastAsia="Calibri" w:hAnsi="Marianne"/>
          <w:b/>
          <w:bCs/>
          <w:sz w:val="22"/>
          <w:szCs w:val="22"/>
          <w:lang w:eastAsia="en-US"/>
        </w:rPr>
        <w:t>L’article R. 126-14-3</w:t>
      </w:r>
      <w:r w:rsidRPr="0075738B">
        <w:rPr>
          <w:rFonts w:ascii="Marianne" w:hAnsi="Marianne" w:cs="Marianne"/>
          <w:sz w:val="22"/>
          <w:szCs w:val="22"/>
          <w:lang w:eastAsia="fr-FR"/>
        </w:rPr>
        <w:t xml:space="preserve"> précise les objectifs généraux (le périmètre étant défini par la loi). </w:t>
      </w:r>
    </w:p>
    <w:p w14:paraId="5560A427" w14:textId="77777777" w:rsidR="0075738B" w:rsidRPr="0075738B" w:rsidRDefault="0075738B" w:rsidP="0075738B">
      <w:pPr>
        <w:jc w:val="both"/>
        <w:rPr>
          <w:rFonts w:ascii="Marianne" w:hAnsi="Marianne" w:cs="Marianne"/>
          <w:sz w:val="22"/>
          <w:szCs w:val="22"/>
          <w:lang w:eastAsia="fr-FR"/>
        </w:rPr>
      </w:pPr>
    </w:p>
    <w:p w14:paraId="77864C00" w14:textId="12431EB4" w:rsidR="0075738B" w:rsidRPr="0075738B" w:rsidRDefault="0075738B" w:rsidP="0075738B">
      <w:pPr>
        <w:jc w:val="both"/>
        <w:rPr>
          <w:rFonts w:ascii="Marianne" w:eastAsia="Calibri" w:hAnsi="Marianne"/>
          <w:b/>
          <w:sz w:val="22"/>
          <w:szCs w:val="22"/>
          <w:lang w:eastAsia="en-US"/>
        </w:rPr>
      </w:pPr>
      <w:r w:rsidRPr="008018B7">
        <w:rPr>
          <w:rFonts w:ascii="Marianne" w:hAnsi="Marianne" w:cs="Marianne"/>
          <w:b/>
          <w:bCs/>
          <w:sz w:val="22"/>
          <w:szCs w:val="22"/>
          <w:lang w:eastAsia="fr-FR"/>
        </w:rPr>
        <w:t>L’article R. 126-14-4</w:t>
      </w:r>
      <w:r w:rsidRPr="0075738B">
        <w:rPr>
          <w:rFonts w:ascii="Marianne" w:hAnsi="Marianne" w:cs="Marianne"/>
          <w:sz w:val="22"/>
          <w:szCs w:val="22"/>
          <w:lang w:eastAsia="fr-FR"/>
        </w:rPr>
        <w:t xml:space="preserve"> </w:t>
      </w:r>
      <w:r w:rsidRPr="0075738B">
        <w:rPr>
          <w:rFonts w:ascii="Marianne" w:eastAsia="Calibri" w:hAnsi="Marianne"/>
          <w:sz w:val="22"/>
          <w:szCs w:val="22"/>
          <w:lang w:eastAsia="en-US"/>
        </w:rPr>
        <w:t xml:space="preserve">précise le contenu de l’étude, identique à celui décrit au R. 122-4-2. </w:t>
      </w:r>
    </w:p>
    <w:p w14:paraId="761E820D" w14:textId="77777777" w:rsidR="0075738B" w:rsidRPr="0075738B" w:rsidRDefault="0075738B" w:rsidP="0075738B">
      <w:pPr>
        <w:jc w:val="both"/>
        <w:rPr>
          <w:rFonts w:ascii="Marianne" w:eastAsia="Calibri" w:hAnsi="Marianne"/>
          <w:b/>
          <w:sz w:val="22"/>
          <w:szCs w:val="22"/>
          <w:lang w:eastAsia="en-US"/>
        </w:rPr>
      </w:pPr>
    </w:p>
    <w:p w14:paraId="0B7015DA" w14:textId="77777777" w:rsidR="0075738B" w:rsidRPr="0075738B" w:rsidRDefault="0075738B" w:rsidP="0075738B">
      <w:pPr>
        <w:suppressAutoHyphens w:val="0"/>
        <w:spacing w:after="160" w:line="259" w:lineRule="auto"/>
        <w:contextualSpacing/>
        <w:jc w:val="both"/>
        <w:rPr>
          <w:rFonts w:ascii="Marianne" w:eastAsia="Calibri" w:hAnsi="Marianne" w:cs="Calibri"/>
          <w:b/>
          <w:sz w:val="22"/>
          <w:szCs w:val="22"/>
          <w:lang w:eastAsia="en-US"/>
        </w:rPr>
      </w:pPr>
      <w:r w:rsidRPr="0075738B">
        <w:rPr>
          <w:rFonts w:ascii="Marianne" w:eastAsia="Calibri" w:hAnsi="Marianne"/>
          <w:b/>
          <w:sz w:val="22"/>
          <w:szCs w:val="22"/>
          <w:lang w:eastAsia="en-US"/>
        </w:rPr>
        <w:t xml:space="preserve">L’article R. 126-14-5 </w:t>
      </w:r>
      <w:r w:rsidRPr="0075738B">
        <w:rPr>
          <w:rFonts w:ascii="Marianne" w:eastAsia="Calibri" w:hAnsi="Marianne" w:cs="Calibri"/>
          <w:sz w:val="22"/>
          <w:szCs w:val="22"/>
          <w:lang w:eastAsia="en-US"/>
        </w:rPr>
        <w:t>définit les compétences requises de la part des personnes chargées de la réalisation de l’étude (identiques à celles décrites à l’article R. 122-4-3).</w:t>
      </w:r>
    </w:p>
    <w:p w14:paraId="6602F9AD" w14:textId="77777777" w:rsidR="0075738B" w:rsidRPr="0075738B" w:rsidRDefault="0075738B" w:rsidP="0075738B">
      <w:pPr>
        <w:jc w:val="both"/>
        <w:rPr>
          <w:rFonts w:ascii="Marianne" w:eastAsia="Calibri" w:hAnsi="Marianne"/>
          <w:b/>
          <w:sz w:val="22"/>
          <w:szCs w:val="22"/>
          <w:lang w:eastAsia="en-US"/>
        </w:rPr>
      </w:pPr>
    </w:p>
    <w:p w14:paraId="2578F7F9" w14:textId="77777777" w:rsidR="005C574A" w:rsidRDefault="005C574A" w:rsidP="0075738B">
      <w:pPr>
        <w:jc w:val="both"/>
        <w:rPr>
          <w:rFonts w:ascii="Marianne" w:eastAsia="Calibri" w:hAnsi="Marianne"/>
          <w:b/>
          <w:sz w:val="22"/>
          <w:szCs w:val="22"/>
          <w:lang w:eastAsia="en-US"/>
        </w:rPr>
      </w:pPr>
    </w:p>
    <w:p w14:paraId="60061E4C" w14:textId="06C73CA8" w:rsidR="00DF5DB8" w:rsidRDefault="0075738B" w:rsidP="0075738B">
      <w:pPr>
        <w:jc w:val="both"/>
        <w:rPr>
          <w:rFonts w:ascii="Marianne" w:eastAsia="Calibri" w:hAnsi="Marianne"/>
          <w:sz w:val="22"/>
          <w:szCs w:val="22"/>
          <w:lang w:eastAsia="en-US"/>
        </w:rPr>
      </w:pPr>
      <w:r w:rsidRPr="0075738B">
        <w:rPr>
          <w:rFonts w:ascii="Marianne" w:eastAsia="Calibri" w:hAnsi="Marianne"/>
          <w:b/>
          <w:sz w:val="22"/>
          <w:szCs w:val="22"/>
          <w:lang w:eastAsia="en-US"/>
        </w:rPr>
        <w:t xml:space="preserve">Enfin, l’article </w:t>
      </w:r>
      <w:r w:rsidR="0063776F">
        <w:rPr>
          <w:rFonts w:ascii="Marianne" w:eastAsia="Calibri" w:hAnsi="Marianne"/>
          <w:b/>
          <w:sz w:val="22"/>
          <w:szCs w:val="22"/>
          <w:lang w:eastAsia="en-US"/>
        </w:rPr>
        <w:t>5</w:t>
      </w:r>
      <w:r w:rsidRPr="0075738B">
        <w:rPr>
          <w:rFonts w:ascii="Marianne" w:eastAsia="Calibri" w:hAnsi="Marianne"/>
          <w:b/>
          <w:sz w:val="22"/>
          <w:szCs w:val="22"/>
          <w:lang w:eastAsia="en-US"/>
        </w:rPr>
        <w:t xml:space="preserve"> </w:t>
      </w:r>
      <w:r w:rsidRPr="0075738B">
        <w:rPr>
          <w:rFonts w:ascii="Marianne" w:eastAsia="Calibri" w:hAnsi="Marianne"/>
          <w:bCs/>
          <w:sz w:val="22"/>
          <w:szCs w:val="22"/>
          <w:lang w:eastAsia="en-US"/>
        </w:rPr>
        <w:t>dispose que sont</w:t>
      </w:r>
      <w:r w:rsidRPr="0075738B">
        <w:rPr>
          <w:rFonts w:ascii="Marianne" w:eastAsia="Calibri" w:hAnsi="Marianne"/>
          <w:b/>
          <w:sz w:val="22"/>
          <w:szCs w:val="22"/>
          <w:lang w:eastAsia="en-US"/>
        </w:rPr>
        <w:t xml:space="preserve"> </w:t>
      </w:r>
      <w:r w:rsidRPr="0075738B">
        <w:rPr>
          <w:rFonts w:ascii="Marianne" w:eastAsia="Calibri" w:hAnsi="Marianne"/>
          <w:sz w:val="22"/>
          <w:szCs w:val="22"/>
          <w:lang w:eastAsia="en-US"/>
        </w:rPr>
        <w:t>concernés par l’obligation, les projets pour lesquels la demande d’autorisation d’urbanisme, ou à défaut, la date d’acceptation des devis de travaux ou passation des marchés de travaux relatifs aux démolitions est postérieure au 1</w:t>
      </w:r>
      <w:r w:rsidRPr="0075738B">
        <w:rPr>
          <w:rFonts w:ascii="Marianne" w:eastAsia="Calibri" w:hAnsi="Marianne"/>
          <w:sz w:val="22"/>
          <w:szCs w:val="22"/>
          <w:vertAlign w:val="superscript"/>
          <w:lang w:eastAsia="en-US"/>
        </w:rPr>
        <w:t>er</w:t>
      </w:r>
      <w:r w:rsidRPr="0075738B">
        <w:rPr>
          <w:rFonts w:ascii="Marianne" w:eastAsia="Calibri" w:hAnsi="Marianne"/>
          <w:sz w:val="22"/>
          <w:szCs w:val="22"/>
          <w:lang w:eastAsia="en-US"/>
        </w:rPr>
        <w:t xml:space="preserve"> juillet 2024. Cela permettra de laisser du temps aux maîtres d’ouvrages pour s’approprier la mesure.</w:t>
      </w:r>
    </w:p>
    <w:p w14:paraId="56F5493A" w14:textId="77777777" w:rsidR="00AC0769" w:rsidRDefault="00AC0769" w:rsidP="0075738B">
      <w:pPr>
        <w:jc w:val="both"/>
        <w:rPr>
          <w:rFonts w:ascii="Marianne" w:eastAsia="Calibri" w:hAnsi="Marianne"/>
          <w:sz w:val="22"/>
          <w:szCs w:val="22"/>
          <w:lang w:eastAsia="en-US"/>
        </w:rPr>
      </w:pPr>
    </w:p>
    <w:p w14:paraId="247D7F6A" w14:textId="246EA89D" w:rsidR="005C574A" w:rsidRPr="005C574A" w:rsidRDefault="005C574A" w:rsidP="005C574A">
      <w:pPr>
        <w:jc w:val="both"/>
        <w:rPr>
          <w:rFonts w:ascii="Marianne" w:eastAsia="Calibri" w:hAnsi="Marianne"/>
          <w:sz w:val="22"/>
          <w:szCs w:val="22"/>
          <w:lang w:eastAsia="en-US"/>
        </w:rPr>
      </w:pPr>
      <w:r w:rsidRPr="005C574A">
        <w:rPr>
          <w:rFonts w:ascii="Marianne" w:eastAsia="Calibri" w:hAnsi="Marianne"/>
          <w:sz w:val="22"/>
          <w:szCs w:val="22"/>
          <w:lang w:eastAsia="en-US"/>
        </w:rPr>
        <w:t xml:space="preserve">Sont exonérés de la réalisation de cette étude, les projets de démolitions de bâtiment </w:t>
      </w:r>
      <w:r w:rsidRPr="005C574A">
        <w:rPr>
          <w:rFonts w:ascii="Marianne" w:hAnsi="Marianne"/>
          <w:bCs/>
          <w:color w:val="000000" w:themeColor="text1"/>
          <w:sz w:val="22"/>
          <w:szCs w:val="22"/>
        </w:rPr>
        <w:t>à usage d'habitation appartenant à un organisme d'habitations à loyer modéré ayant reçu les accords préalables à leur démolition</w:t>
      </w:r>
      <w:r w:rsidR="0063776F">
        <w:rPr>
          <w:rFonts w:ascii="Marianne" w:hAnsi="Marianne"/>
          <w:bCs/>
          <w:color w:val="000000" w:themeColor="text1"/>
          <w:sz w:val="22"/>
          <w:szCs w:val="22"/>
        </w:rPr>
        <w:t>,</w:t>
      </w:r>
      <w:r w:rsidRPr="005C574A">
        <w:rPr>
          <w:rFonts w:ascii="Marianne" w:hAnsi="Marianne"/>
          <w:bCs/>
          <w:color w:val="000000" w:themeColor="text1"/>
          <w:sz w:val="22"/>
          <w:szCs w:val="22"/>
        </w:rPr>
        <w:t xml:space="preserve"> prévus à l’article L. 443-15-1 du code de la construction et de l’habitation avant le 1</w:t>
      </w:r>
      <w:r w:rsidRPr="005C574A">
        <w:rPr>
          <w:rFonts w:ascii="Marianne" w:hAnsi="Marianne"/>
          <w:bCs/>
          <w:color w:val="000000" w:themeColor="text1"/>
          <w:sz w:val="22"/>
          <w:szCs w:val="22"/>
          <w:vertAlign w:val="superscript"/>
        </w:rPr>
        <w:t>er</w:t>
      </w:r>
      <w:r w:rsidRPr="005C574A">
        <w:rPr>
          <w:rFonts w:ascii="Marianne" w:hAnsi="Marianne"/>
          <w:bCs/>
          <w:color w:val="000000" w:themeColor="text1"/>
          <w:sz w:val="22"/>
          <w:szCs w:val="22"/>
        </w:rPr>
        <w:t xml:space="preserve"> juillet 2024.</w:t>
      </w:r>
    </w:p>
    <w:p w14:paraId="47370311" w14:textId="77777777" w:rsidR="005C574A" w:rsidRPr="0075738B" w:rsidRDefault="005C574A" w:rsidP="0075738B">
      <w:pPr>
        <w:jc w:val="both"/>
        <w:rPr>
          <w:rFonts w:ascii="Marianne" w:eastAsia="Calibri" w:hAnsi="Marianne"/>
          <w:sz w:val="22"/>
          <w:szCs w:val="22"/>
          <w:lang w:eastAsia="en-US"/>
        </w:rPr>
      </w:pPr>
    </w:p>
    <w:sectPr w:rsidR="005C574A" w:rsidRPr="00757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7EF8" w14:textId="77777777" w:rsidR="0097322D" w:rsidRDefault="0097322D" w:rsidP="00DF5DB8">
      <w:r>
        <w:separator/>
      </w:r>
    </w:p>
  </w:endnote>
  <w:endnote w:type="continuationSeparator" w:id="0">
    <w:p w14:paraId="05EF4826" w14:textId="77777777" w:rsidR="0097322D" w:rsidRDefault="0097322D" w:rsidP="00D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FAFC" w14:textId="77777777" w:rsidR="0097322D" w:rsidRDefault="0097322D" w:rsidP="00DF5DB8">
      <w:r>
        <w:separator/>
      </w:r>
    </w:p>
  </w:footnote>
  <w:footnote w:type="continuationSeparator" w:id="0">
    <w:p w14:paraId="7E7B8EC0" w14:textId="77777777" w:rsidR="0097322D" w:rsidRDefault="0097322D" w:rsidP="00DF5DB8">
      <w:r>
        <w:continuationSeparator/>
      </w:r>
    </w:p>
  </w:footnote>
  <w:footnote w:id="1">
    <w:p w14:paraId="54D80ECC" w14:textId="77777777" w:rsidR="0075738B" w:rsidRDefault="0075738B" w:rsidP="0075738B">
      <w:pPr>
        <w:pStyle w:val="Notedebasdepage"/>
      </w:pPr>
      <w:r>
        <w:rPr>
          <w:rStyle w:val="Appelnotedebasdep"/>
        </w:rPr>
        <w:footnoteRef/>
      </w:r>
      <w:r>
        <w:t xml:space="preserve"> 4% des opérations de logements et 3% des opérations de bureaux sont supérieures au seuil 5 000m² de surface de plancher (chiffres 2019).</w:t>
      </w:r>
    </w:p>
  </w:footnote>
  <w:footnote w:id="2">
    <w:p w14:paraId="7FBC93A1" w14:textId="77777777" w:rsidR="0075738B" w:rsidRDefault="0075738B" w:rsidP="0075738B">
      <w:pPr>
        <w:pStyle w:val="Notedebasdepage"/>
      </w:pPr>
      <w:r>
        <w:rPr>
          <w:rStyle w:val="Appelnotedebasdep"/>
        </w:rPr>
        <w:footnoteRef/>
      </w:r>
      <w:r>
        <w:t xml:space="preserve"> 36% de la surface de logement construite et 47% de la surface de bureau construite en 2019 par des opérations supérieures à 5 000m².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3A8"/>
    <w:multiLevelType w:val="hybridMultilevel"/>
    <w:tmpl w:val="C92C38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6F327F"/>
    <w:multiLevelType w:val="hybridMultilevel"/>
    <w:tmpl w:val="D7403FA2"/>
    <w:lvl w:ilvl="0" w:tplc="6644956E">
      <w:numFmt w:val="bullet"/>
      <w:lvlText w:val="-"/>
      <w:lvlJc w:val="left"/>
      <w:pPr>
        <w:ind w:left="1068" w:hanging="360"/>
      </w:pPr>
      <w:rPr>
        <w:rFonts w:ascii="Times New Roman" w:eastAsia="Times New Roman" w:hAnsi="Times New Roman" w:cs="Times New Roman"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 w15:restartNumberingAfterBreak="0">
    <w:nsid w:val="1B7479C2"/>
    <w:multiLevelType w:val="hybridMultilevel"/>
    <w:tmpl w:val="CE6ED79E"/>
    <w:lvl w:ilvl="0" w:tplc="297855F0">
      <w:start w:val="2022"/>
      <w:numFmt w:val="bullet"/>
      <w:lvlText w:val="-"/>
      <w:lvlJc w:val="left"/>
      <w:pPr>
        <w:ind w:left="1068" w:hanging="360"/>
      </w:pPr>
      <w:rPr>
        <w:rFonts w:ascii="Marianne" w:eastAsia="Times New Roman" w:hAnsi="Marianne" w:cs="Times New Roman" w:hint="default"/>
        <w:u w:val="none"/>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D0C0FF0"/>
    <w:multiLevelType w:val="hybridMultilevel"/>
    <w:tmpl w:val="A3102C4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E0143D6"/>
    <w:multiLevelType w:val="hybridMultilevel"/>
    <w:tmpl w:val="4F584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5A4399B"/>
    <w:multiLevelType w:val="hybridMultilevel"/>
    <w:tmpl w:val="FD7ABF3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38273A9"/>
    <w:multiLevelType w:val="hybridMultilevel"/>
    <w:tmpl w:val="EABAA20E"/>
    <w:lvl w:ilvl="0" w:tplc="78723BBA">
      <w:start w:val="1"/>
      <w:numFmt w:val="bullet"/>
      <w:lvlText w:val="-"/>
      <w:lvlJc w:val="left"/>
      <w:pPr>
        <w:ind w:left="720" w:hanging="360"/>
      </w:pPr>
      <w:rPr>
        <w:rFonts w:ascii="Calibri" w:hAnsi="Calibri" w:hint="default"/>
      </w:rPr>
    </w:lvl>
    <w:lvl w:ilvl="1" w:tplc="A3D0FE3E">
      <w:start w:val="1"/>
      <w:numFmt w:val="bullet"/>
      <w:lvlText w:val="o"/>
      <w:lvlJc w:val="left"/>
      <w:pPr>
        <w:ind w:left="1440" w:hanging="360"/>
      </w:pPr>
      <w:rPr>
        <w:rFonts w:ascii="Courier New" w:hAnsi="Courier New" w:hint="default"/>
      </w:rPr>
    </w:lvl>
    <w:lvl w:ilvl="2" w:tplc="2752CB38">
      <w:start w:val="1"/>
      <w:numFmt w:val="bullet"/>
      <w:lvlText w:val=""/>
      <w:lvlJc w:val="left"/>
      <w:pPr>
        <w:ind w:left="2160" w:hanging="360"/>
      </w:pPr>
      <w:rPr>
        <w:rFonts w:ascii="Wingdings" w:hAnsi="Wingdings" w:hint="default"/>
      </w:rPr>
    </w:lvl>
    <w:lvl w:ilvl="3" w:tplc="DF100D44">
      <w:start w:val="1"/>
      <w:numFmt w:val="bullet"/>
      <w:lvlText w:val=""/>
      <w:lvlJc w:val="left"/>
      <w:pPr>
        <w:ind w:left="2880" w:hanging="360"/>
      </w:pPr>
      <w:rPr>
        <w:rFonts w:ascii="Symbol" w:hAnsi="Symbol" w:hint="default"/>
      </w:rPr>
    </w:lvl>
    <w:lvl w:ilvl="4" w:tplc="2438DAEE">
      <w:start w:val="1"/>
      <w:numFmt w:val="bullet"/>
      <w:lvlText w:val="o"/>
      <w:lvlJc w:val="left"/>
      <w:pPr>
        <w:ind w:left="3600" w:hanging="360"/>
      </w:pPr>
      <w:rPr>
        <w:rFonts w:ascii="Courier New" w:hAnsi="Courier New" w:hint="default"/>
      </w:rPr>
    </w:lvl>
    <w:lvl w:ilvl="5" w:tplc="930A5898">
      <w:start w:val="1"/>
      <w:numFmt w:val="bullet"/>
      <w:lvlText w:val=""/>
      <w:lvlJc w:val="left"/>
      <w:pPr>
        <w:ind w:left="4320" w:hanging="360"/>
      </w:pPr>
      <w:rPr>
        <w:rFonts w:ascii="Wingdings" w:hAnsi="Wingdings" w:hint="default"/>
      </w:rPr>
    </w:lvl>
    <w:lvl w:ilvl="6" w:tplc="5704D146">
      <w:start w:val="1"/>
      <w:numFmt w:val="bullet"/>
      <w:lvlText w:val=""/>
      <w:lvlJc w:val="left"/>
      <w:pPr>
        <w:ind w:left="5040" w:hanging="360"/>
      </w:pPr>
      <w:rPr>
        <w:rFonts w:ascii="Symbol" w:hAnsi="Symbol" w:hint="default"/>
      </w:rPr>
    </w:lvl>
    <w:lvl w:ilvl="7" w:tplc="E22C34C8">
      <w:start w:val="1"/>
      <w:numFmt w:val="bullet"/>
      <w:lvlText w:val="o"/>
      <w:lvlJc w:val="left"/>
      <w:pPr>
        <w:ind w:left="5760" w:hanging="360"/>
      </w:pPr>
      <w:rPr>
        <w:rFonts w:ascii="Courier New" w:hAnsi="Courier New" w:hint="default"/>
      </w:rPr>
    </w:lvl>
    <w:lvl w:ilvl="8" w:tplc="5BA08292">
      <w:start w:val="1"/>
      <w:numFmt w:val="bullet"/>
      <w:lvlText w:val=""/>
      <w:lvlJc w:val="left"/>
      <w:pPr>
        <w:ind w:left="6480" w:hanging="360"/>
      </w:pPr>
      <w:rPr>
        <w:rFonts w:ascii="Wingdings" w:hAnsi="Wingdings" w:hint="default"/>
      </w:rPr>
    </w:lvl>
  </w:abstractNum>
  <w:abstractNum w:abstractNumId="7" w15:restartNumberingAfterBreak="0">
    <w:nsid w:val="34B25728"/>
    <w:multiLevelType w:val="hybridMultilevel"/>
    <w:tmpl w:val="B8366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478846"/>
    <w:multiLevelType w:val="hybridMultilevel"/>
    <w:tmpl w:val="275A04E4"/>
    <w:lvl w:ilvl="0" w:tplc="E752F040">
      <w:start w:val="1"/>
      <w:numFmt w:val="bullet"/>
      <w:lvlText w:val="-"/>
      <w:lvlJc w:val="left"/>
      <w:pPr>
        <w:ind w:left="720" w:hanging="360"/>
      </w:pPr>
      <w:rPr>
        <w:rFonts w:ascii="Calibri" w:hAnsi="Calibri" w:hint="default"/>
      </w:rPr>
    </w:lvl>
    <w:lvl w:ilvl="1" w:tplc="6B3C46F8">
      <w:start w:val="1"/>
      <w:numFmt w:val="bullet"/>
      <w:lvlText w:val="o"/>
      <w:lvlJc w:val="left"/>
      <w:pPr>
        <w:ind w:left="1440" w:hanging="360"/>
      </w:pPr>
      <w:rPr>
        <w:rFonts w:ascii="Courier New" w:hAnsi="Courier New" w:hint="default"/>
      </w:rPr>
    </w:lvl>
    <w:lvl w:ilvl="2" w:tplc="E68E963C">
      <w:start w:val="1"/>
      <w:numFmt w:val="bullet"/>
      <w:lvlText w:val=""/>
      <w:lvlJc w:val="left"/>
      <w:pPr>
        <w:ind w:left="2160" w:hanging="360"/>
      </w:pPr>
      <w:rPr>
        <w:rFonts w:ascii="Wingdings" w:hAnsi="Wingdings" w:hint="default"/>
      </w:rPr>
    </w:lvl>
    <w:lvl w:ilvl="3" w:tplc="FC224542">
      <w:start w:val="1"/>
      <w:numFmt w:val="bullet"/>
      <w:lvlText w:val=""/>
      <w:lvlJc w:val="left"/>
      <w:pPr>
        <w:ind w:left="2880" w:hanging="360"/>
      </w:pPr>
      <w:rPr>
        <w:rFonts w:ascii="Symbol" w:hAnsi="Symbol" w:hint="default"/>
      </w:rPr>
    </w:lvl>
    <w:lvl w:ilvl="4" w:tplc="557AA874">
      <w:start w:val="1"/>
      <w:numFmt w:val="bullet"/>
      <w:lvlText w:val="o"/>
      <w:lvlJc w:val="left"/>
      <w:pPr>
        <w:ind w:left="3600" w:hanging="360"/>
      </w:pPr>
      <w:rPr>
        <w:rFonts w:ascii="Courier New" w:hAnsi="Courier New" w:hint="default"/>
      </w:rPr>
    </w:lvl>
    <w:lvl w:ilvl="5" w:tplc="12CEC9A0">
      <w:start w:val="1"/>
      <w:numFmt w:val="bullet"/>
      <w:lvlText w:val=""/>
      <w:lvlJc w:val="left"/>
      <w:pPr>
        <w:ind w:left="4320" w:hanging="360"/>
      </w:pPr>
      <w:rPr>
        <w:rFonts w:ascii="Wingdings" w:hAnsi="Wingdings" w:hint="default"/>
      </w:rPr>
    </w:lvl>
    <w:lvl w:ilvl="6" w:tplc="7AD2538A">
      <w:start w:val="1"/>
      <w:numFmt w:val="bullet"/>
      <w:lvlText w:val=""/>
      <w:lvlJc w:val="left"/>
      <w:pPr>
        <w:ind w:left="5040" w:hanging="360"/>
      </w:pPr>
      <w:rPr>
        <w:rFonts w:ascii="Symbol" w:hAnsi="Symbol" w:hint="default"/>
      </w:rPr>
    </w:lvl>
    <w:lvl w:ilvl="7" w:tplc="376ED188">
      <w:start w:val="1"/>
      <w:numFmt w:val="bullet"/>
      <w:lvlText w:val="o"/>
      <w:lvlJc w:val="left"/>
      <w:pPr>
        <w:ind w:left="5760" w:hanging="360"/>
      </w:pPr>
      <w:rPr>
        <w:rFonts w:ascii="Courier New" w:hAnsi="Courier New" w:hint="default"/>
      </w:rPr>
    </w:lvl>
    <w:lvl w:ilvl="8" w:tplc="FE3E2A9A">
      <w:start w:val="1"/>
      <w:numFmt w:val="bullet"/>
      <w:lvlText w:val=""/>
      <w:lvlJc w:val="left"/>
      <w:pPr>
        <w:ind w:left="6480" w:hanging="360"/>
      </w:pPr>
      <w:rPr>
        <w:rFonts w:ascii="Wingdings" w:hAnsi="Wingdings" w:hint="default"/>
      </w:rPr>
    </w:lvl>
  </w:abstractNum>
  <w:abstractNum w:abstractNumId="9" w15:restartNumberingAfterBreak="0">
    <w:nsid w:val="37377A0E"/>
    <w:multiLevelType w:val="hybridMultilevel"/>
    <w:tmpl w:val="62A83CE6"/>
    <w:lvl w:ilvl="0" w:tplc="040C0001">
      <w:start w:val="1"/>
      <w:numFmt w:val="bullet"/>
      <w:lvlText w:val=""/>
      <w:lvlJc w:val="left"/>
      <w:pPr>
        <w:ind w:left="720" w:hanging="360"/>
      </w:pPr>
      <w:rPr>
        <w:rFonts w:ascii="Symbol" w:hAnsi="Symbol" w:hint="default"/>
      </w:rPr>
    </w:lvl>
    <w:lvl w:ilvl="1" w:tplc="040C0011">
      <w:start w:val="1"/>
      <w:numFmt w:val="decimal"/>
      <w:lvlText w:val="%2)"/>
      <w:lvlJc w:val="left"/>
      <w:pPr>
        <w:ind w:left="1440" w:hanging="360"/>
      </w:p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FB5320F"/>
    <w:multiLevelType w:val="hybridMultilevel"/>
    <w:tmpl w:val="6A4679B8"/>
    <w:lvl w:ilvl="0" w:tplc="1ED430CE">
      <w:start w:val="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70616F"/>
    <w:multiLevelType w:val="hybridMultilevel"/>
    <w:tmpl w:val="6F6AC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BB61FD"/>
    <w:multiLevelType w:val="hybridMultilevel"/>
    <w:tmpl w:val="5E1CAA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F30EF5"/>
    <w:multiLevelType w:val="hybridMultilevel"/>
    <w:tmpl w:val="AE2A1606"/>
    <w:lvl w:ilvl="0" w:tplc="040C0013">
      <w:start w:val="1"/>
      <w:numFmt w:val="upperRoman"/>
      <w:lvlText w:val="%1."/>
      <w:lvlJc w:val="right"/>
      <w:pPr>
        <w:ind w:left="364" w:hanging="360"/>
      </w:pPr>
      <w:rPr>
        <w:rFonts w:hint="default"/>
      </w:rPr>
    </w:lvl>
    <w:lvl w:ilvl="1" w:tplc="040C0019" w:tentative="1">
      <w:start w:val="1"/>
      <w:numFmt w:val="lowerLetter"/>
      <w:lvlText w:val="%2."/>
      <w:lvlJc w:val="left"/>
      <w:pPr>
        <w:ind w:left="1084" w:hanging="360"/>
      </w:pPr>
    </w:lvl>
    <w:lvl w:ilvl="2" w:tplc="040C001B" w:tentative="1">
      <w:start w:val="1"/>
      <w:numFmt w:val="lowerRoman"/>
      <w:lvlText w:val="%3."/>
      <w:lvlJc w:val="right"/>
      <w:pPr>
        <w:ind w:left="1804" w:hanging="180"/>
      </w:pPr>
    </w:lvl>
    <w:lvl w:ilvl="3" w:tplc="040C000F" w:tentative="1">
      <w:start w:val="1"/>
      <w:numFmt w:val="decimal"/>
      <w:lvlText w:val="%4."/>
      <w:lvlJc w:val="left"/>
      <w:pPr>
        <w:ind w:left="2524" w:hanging="360"/>
      </w:pPr>
    </w:lvl>
    <w:lvl w:ilvl="4" w:tplc="040C0019" w:tentative="1">
      <w:start w:val="1"/>
      <w:numFmt w:val="lowerLetter"/>
      <w:lvlText w:val="%5."/>
      <w:lvlJc w:val="left"/>
      <w:pPr>
        <w:ind w:left="3244" w:hanging="360"/>
      </w:pPr>
    </w:lvl>
    <w:lvl w:ilvl="5" w:tplc="040C001B" w:tentative="1">
      <w:start w:val="1"/>
      <w:numFmt w:val="lowerRoman"/>
      <w:lvlText w:val="%6."/>
      <w:lvlJc w:val="right"/>
      <w:pPr>
        <w:ind w:left="3964" w:hanging="180"/>
      </w:pPr>
    </w:lvl>
    <w:lvl w:ilvl="6" w:tplc="040C000F" w:tentative="1">
      <w:start w:val="1"/>
      <w:numFmt w:val="decimal"/>
      <w:lvlText w:val="%7."/>
      <w:lvlJc w:val="left"/>
      <w:pPr>
        <w:ind w:left="4684" w:hanging="360"/>
      </w:pPr>
    </w:lvl>
    <w:lvl w:ilvl="7" w:tplc="040C0019" w:tentative="1">
      <w:start w:val="1"/>
      <w:numFmt w:val="lowerLetter"/>
      <w:lvlText w:val="%8."/>
      <w:lvlJc w:val="left"/>
      <w:pPr>
        <w:ind w:left="5404" w:hanging="360"/>
      </w:pPr>
    </w:lvl>
    <w:lvl w:ilvl="8" w:tplc="040C001B" w:tentative="1">
      <w:start w:val="1"/>
      <w:numFmt w:val="lowerRoman"/>
      <w:lvlText w:val="%9."/>
      <w:lvlJc w:val="right"/>
      <w:pPr>
        <w:ind w:left="6124" w:hanging="180"/>
      </w:pPr>
    </w:lvl>
  </w:abstractNum>
  <w:abstractNum w:abstractNumId="14" w15:restartNumberingAfterBreak="0">
    <w:nsid w:val="501905D0"/>
    <w:multiLevelType w:val="hybridMultilevel"/>
    <w:tmpl w:val="78FCBBE6"/>
    <w:lvl w:ilvl="0" w:tplc="89424670">
      <w:start w:val="1"/>
      <w:numFmt w:val="bullet"/>
      <w:lvlText w:val="-"/>
      <w:lvlJc w:val="left"/>
      <w:pPr>
        <w:ind w:left="720" w:hanging="36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6BDDDF"/>
    <w:multiLevelType w:val="hybridMultilevel"/>
    <w:tmpl w:val="AB185F32"/>
    <w:lvl w:ilvl="0" w:tplc="80AE119A">
      <w:start w:val="1"/>
      <w:numFmt w:val="bullet"/>
      <w:lvlText w:val="-"/>
      <w:lvlJc w:val="left"/>
      <w:pPr>
        <w:ind w:left="720" w:hanging="360"/>
      </w:pPr>
      <w:rPr>
        <w:rFonts w:ascii="Calibri" w:hAnsi="Calibri" w:hint="default"/>
      </w:rPr>
    </w:lvl>
    <w:lvl w:ilvl="1" w:tplc="A1E6953A">
      <w:start w:val="1"/>
      <w:numFmt w:val="bullet"/>
      <w:lvlText w:val="o"/>
      <w:lvlJc w:val="left"/>
      <w:pPr>
        <w:ind w:left="1440" w:hanging="360"/>
      </w:pPr>
      <w:rPr>
        <w:rFonts w:ascii="Courier New" w:hAnsi="Courier New" w:hint="default"/>
      </w:rPr>
    </w:lvl>
    <w:lvl w:ilvl="2" w:tplc="38986FE6">
      <w:start w:val="1"/>
      <w:numFmt w:val="bullet"/>
      <w:lvlText w:val=""/>
      <w:lvlJc w:val="left"/>
      <w:pPr>
        <w:ind w:left="2160" w:hanging="360"/>
      </w:pPr>
      <w:rPr>
        <w:rFonts w:ascii="Wingdings" w:hAnsi="Wingdings" w:hint="default"/>
      </w:rPr>
    </w:lvl>
    <w:lvl w:ilvl="3" w:tplc="2A8A5CAA">
      <w:start w:val="1"/>
      <w:numFmt w:val="bullet"/>
      <w:lvlText w:val=""/>
      <w:lvlJc w:val="left"/>
      <w:pPr>
        <w:ind w:left="2880" w:hanging="360"/>
      </w:pPr>
      <w:rPr>
        <w:rFonts w:ascii="Symbol" w:hAnsi="Symbol" w:hint="default"/>
      </w:rPr>
    </w:lvl>
    <w:lvl w:ilvl="4" w:tplc="81B207B2">
      <w:start w:val="1"/>
      <w:numFmt w:val="bullet"/>
      <w:lvlText w:val="o"/>
      <w:lvlJc w:val="left"/>
      <w:pPr>
        <w:ind w:left="3600" w:hanging="360"/>
      </w:pPr>
      <w:rPr>
        <w:rFonts w:ascii="Courier New" w:hAnsi="Courier New" w:hint="default"/>
      </w:rPr>
    </w:lvl>
    <w:lvl w:ilvl="5" w:tplc="8C202F80">
      <w:start w:val="1"/>
      <w:numFmt w:val="bullet"/>
      <w:lvlText w:val=""/>
      <w:lvlJc w:val="left"/>
      <w:pPr>
        <w:ind w:left="4320" w:hanging="360"/>
      </w:pPr>
      <w:rPr>
        <w:rFonts w:ascii="Wingdings" w:hAnsi="Wingdings" w:hint="default"/>
      </w:rPr>
    </w:lvl>
    <w:lvl w:ilvl="6" w:tplc="C89205FC">
      <w:start w:val="1"/>
      <w:numFmt w:val="bullet"/>
      <w:lvlText w:val=""/>
      <w:lvlJc w:val="left"/>
      <w:pPr>
        <w:ind w:left="5040" w:hanging="360"/>
      </w:pPr>
      <w:rPr>
        <w:rFonts w:ascii="Symbol" w:hAnsi="Symbol" w:hint="default"/>
      </w:rPr>
    </w:lvl>
    <w:lvl w:ilvl="7" w:tplc="CEC4BD5C">
      <w:start w:val="1"/>
      <w:numFmt w:val="bullet"/>
      <w:lvlText w:val="o"/>
      <w:lvlJc w:val="left"/>
      <w:pPr>
        <w:ind w:left="5760" w:hanging="360"/>
      </w:pPr>
      <w:rPr>
        <w:rFonts w:ascii="Courier New" w:hAnsi="Courier New" w:hint="default"/>
      </w:rPr>
    </w:lvl>
    <w:lvl w:ilvl="8" w:tplc="02164A38">
      <w:start w:val="1"/>
      <w:numFmt w:val="bullet"/>
      <w:lvlText w:val=""/>
      <w:lvlJc w:val="left"/>
      <w:pPr>
        <w:ind w:left="6480" w:hanging="360"/>
      </w:pPr>
      <w:rPr>
        <w:rFonts w:ascii="Wingdings" w:hAnsi="Wingdings" w:hint="default"/>
      </w:rPr>
    </w:lvl>
  </w:abstractNum>
  <w:abstractNum w:abstractNumId="16" w15:restartNumberingAfterBreak="0">
    <w:nsid w:val="5AC759A9"/>
    <w:multiLevelType w:val="hybridMultilevel"/>
    <w:tmpl w:val="B610366E"/>
    <w:lvl w:ilvl="0" w:tplc="25126616">
      <w:start w:val="202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3E2830"/>
    <w:multiLevelType w:val="hybridMultilevel"/>
    <w:tmpl w:val="049297B0"/>
    <w:lvl w:ilvl="0" w:tplc="673827BE">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591223"/>
    <w:multiLevelType w:val="hybridMultilevel"/>
    <w:tmpl w:val="AED6CB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3D734F"/>
    <w:multiLevelType w:val="hybridMultilevel"/>
    <w:tmpl w:val="76F2AD98"/>
    <w:lvl w:ilvl="0" w:tplc="6644956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7C673C9"/>
    <w:multiLevelType w:val="hybridMultilevel"/>
    <w:tmpl w:val="8F0E94B6"/>
    <w:lvl w:ilvl="0" w:tplc="297855F0">
      <w:start w:val="2022"/>
      <w:numFmt w:val="bullet"/>
      <w:lvlText w:val="-"/>
      <w:lvlJc w:val="left"/>
      <w:pPr>
        <w:ind w:left="720" w:hanging="360"/>
      </w:pPr>
      <w:rPr>
        <w:rFonts w:ascii="Marianne" w:eastAsia="Times New Roman" w:hAnsi="Marianne" w:cs="Times New Roman" w:hint="default"/>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05A0BEF"/>
    <w:multiLevelType w:val="hybridMultilevel"/>
    <w:tmpl w:val="6A1EA058"/>
    <w:lvl w:ilvl="0" w:tplc="040C0013">
      <w:start w:val="1"/>
      <w:numFmt w:val="upperRoman"/>
      <w:lvlText w:val="%1."/>
      <w:lvlJc w:val="right"/>
      <w:pPr>
        <w:ind w:left="720" w:hanging="360"/>
      </w:pPr>
      <w:rPr>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5C0704"/>
    <w:multiLevelType w:val="hybridMultilevel"/>
    <w:tmpl w:val="ECBEF82E"/>
    <w:lvl w:ilvl="0" w:tplc="53A2DF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200B87"/>
    <w:multiLevelType w:val="hybridMultilevel"/>
    <w:tmpl w:val="64EAE022"/>
    <w:lvl w:ilvl="0" w:tplc="EADCBC9C">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4C6850"/>
    <w:multiLevelType w:val="hybridMultilevel"/>
    <w:tmpl w:val="BE66D424"/>
    <w:lvl w:ilvl="0" w:tplc="F7AAD422">
      <w:start w:val="1"/>
      <w:numFmt w:val="bullet"/>
      <w:lvlText w:val="-"/>
      <w:lvlJc w:val="left"/>
      <w:pPr>
        <w:ind w:left="1068" w:hanging="360"/>
      </w:pPr>
      <w:rPr>
        <w:rFonts w:ascii="Calibri" w:hAnsi="Calibri" w:hint="default"/>
      </w:rPr>
    </w:lvl>
    <w:lvl w:ilvl="1" w:tplc="9EE8DB9C">
      <w:start w:val="1"/>
      <w:numFmt w:val="bullet"/>
      <w:lvlText w:val="o"/>
      <w:lvlJc w:val="left"/>
      <w:pPr>
        <w:ind w:left="1788" w:hanging="360"/>
      </w:pPr>
      <w:rPr>
        <w:rFonts w:ascii="Courier New" w:hAnsi="Courier New" w:hint="default"/>
      </w:rPr>
    </w:lvl>
    <w:lvl w:ilvl="2" w:tplc="85B61686">
      <w:start w:val="1"/>
      <w:numFmt w:val="bullet"/>
      <w:lvlText w:val=""/>
      <w:lvlJc w:val="left"/>
      <w:pPr>
        <w:ind w:left="2508" w:hanging="360"/>
      </w:pPr>
      <w:rPr>
        <w:rFonts w:ascii="Wingdings" w:hAnsi="Wingdings" w:hint="default"/>
      </w:rPr>
    </w:lvl>
    <w:lvl w:ilvl="3" w:tplc="6E7E5AA0">
      <w:start w:val="1"/>
      <w:numFmt w:val="bullet"/>
      <w:lvlText w:val=""/>
      <w:lvlJc w:val="left"/>
      <w:pPr>
        <w:ind w:left="3228" w:hanging="360"/>
      </w:pPr>
      <w:rPr>
        <w:rFonts w:ascii="Symbol" w:hAnsi="Symbol" w:hint="default"/>
      </w:rPr>
    </w:lvl>
    <w:lvl w:ilvl="4" w:tplc="FF84294C">
      <w:start w:val="1"/>
      <w:numFmt w:val="bullet"/>
      <w:lvlText w:val="o"/>
      <w:lvlJc w:val="left"/>
      <w:pPr>
        <w:ind w:left="3948" w:hanging="360"/>
      </w:pPr>
      <w:rPr>
        <w:rFonts w:ascii="Courier New" w:hAnsi="Courier New" w:hint="default"/>
      </w:rPr>
    </w:lvl>
    <w:lvl w:ilvl="5" w:tplc="9EAA637E">
      <w:start w:val="1"/>
      <w:numFmt w:val="bullet"/>
      <w:lvlText w:val=""/>
      <w:lvlJc w:val="left"/>
      <w:pPr>
        <w:ind w:left="4668" w:hanging="360"/>
      </w:pPr>
      <w:rPr>
        <w:rFonts w:ascii="Wingdings" w:hAnsi="Wingdings" w:hint="default"/>
      </w:rPr>
    </w:lvl>
    <w:lvl w:ilvl="6" w:tplc="4BE87E62">
      <w:start w:val="1"/>
      <w:numFmt w:val="bullet"/>
      <w:lvlText w:val=""/>
      <w:lvlJc w:val="left"/>
      <w:pPr>
        <w:ind w:left="5388" w:hanging="360"/>
      </w:pPr>
      <w:rPr>
        <w:rFonts w:ascii="Symbol" w:hAnsi="Symbol" w:hint="default"/>
      </w:rPr>
    </w:lvl>
    <w:lvl w:ilvl="7" w:tplc="D898D43C">
      <w:start w:val="1"/>
      <w:numFmt w:val="bullet"/>
      <w:lvlText w:val="o"/>
      <w:lvlJc w:val="left"/>
      <w:pPr>
        <w:ind w:left="6108" w:hanging="360"/>
      </w:pPr>
      <w:rPr>
        <w:rFonts w:ascii="Courier New" w:hAnsi="Courier New" w:hint="default"/>
      </w:rPr>
    </w:lvl>
    <w:lvl w:ilvl="8" w:tplc="B72216D2">
      <w:start w:val="1"/>
      <w:numFmt w:val="bullet"/>
      <w:lvlText w:val=""/>
      <w:lvlJc w:val="left"/>
      <w:pPr>
        <w:ind w:left="6828" w:hanging="360"/>
      </w:pPr>
      <w:rPr>
        <w:rFonts w:ascii="Wingdings" w:hAnsi="Wingdings" w:hint="default"/>
      </w:rPr>
    </w:lvl>
  </w:abstractNum>
  <w:num w:numId="1">
    <w:abstractNumId w:val="8"/>
  </w:num>
  <w:num w:numId="2">
    <w:abstractNumId w:val="15"/>
  </w:num>
  <w:num w:numId="3">
    <w:abstractNumId w:val="24"/>
  </w:num>
  <w:num w:numId="4">
    <w:abstractNumId w:val="6"/>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
  </w:num>
  <w:num w:numId="9">
    <w:abstractNumId w:val="20"/>
  </w:num>
  <w:num w:numId="10">
    <w:abstractNumId w:val="1"/>
  </w:num>
  <w:num w:numId="11">
    <w:abstractNumId w:val="4"/>
  </w:num>
  <w:num w:numId="12">
    <w:abstractNumId w:val="19"/>
  </w:num>
  <w:num w:numId="13">
    <w:abstractNumId w:val="5"/>
  </w:num>
  <w:num w:numId="14">
    <w:abstractNumId w:val="3"/>
  </w:num>
  <w:num w:numId="15">
    <w:abstractNumId w:val="23"/>
  </w:num>
  <w:num w:numId="16">
    <w:abstractNumId w:val="18"/>
  </w:num>
  <w:num w:numId="17">
    <w:abstractNumId w:val="17"/>
  </w:num>
  <w:num w:numId="18">
    <w:abstractNumId w:val="11"/>
  </w:num>
  <w:num w:numId="19">
    <w:abstractNumId w:val="22"/>
  </w:num>
  <w:num w:numId="20">
    <w:abstractNumId w:val="10"/>
  </w:num>
  <w:num w:numId="21">
    <w:abstractNumId w:val="13"/>
  </w:num>
  <w:num w:numId="22">
    <w:abstractNumId w:val="7"/>
  </w:num>
  <w:num w:numId="23">
    <w:abstractNumId w:val="16"/>
  </w:num>
  <w:num w:numId="24">
    <w:abstractNumId w:val="14"/>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B8"/>
    <w:rsid w:val="00002410"/>
    <w:rsid w:val="00005C93"/>
    <w:rsid w:val="00046AAC"/>
    <w:rsid w:val="000873A3"/>
    <w:rsid w:val="000A2DA9"/>
    <w:rsid w:val="00112C00"/>
    <w:rsid w:val="002068D4"/>
    <w:rsid w:val="002A2A3E"/>
    <w:rsid w:val="002F28A8"/>
    <w:rsid w:val="00420061"/>
    <w:rsid w:val="00425682"/>
    <w:rsid w:val="00472C07"/>
    <w:rsid w:val="004B30F8"/>
    <w:rsid w:val="004C43D5"/>
    <w:rsid w:val="005C574A"/>
    <w:rsid w:val="00603018"/>
    <w:rsid w:val="0063776F"/>
    <w:rsid w:val="00645824"/>
    <w:rsid w:val="00736356"/>
    <w:rsid w:val="0075738B"/>
    <w:rsid w:val="00770946"/>
    <w:rsid w:val="007A33FE"/>
    <w:rsid w:val="007B49D9"/>
    <w:rsid w:val="007C394B"/>
    <w:rsid w:val="007F1A9A"/>
    <w:rsid w:val="00800FBA"/>
    <w:rsid w:val="008018B7"/>
    <w:rsid w:val="008245A6"/>
    <w:rsid w:val="008249AA"/>
    <w:rsid w:val="00961C7C"/>
    <w:rsid w:val="0097322D"/>
    <w:rsid w:val="00975311"/>
    <w:rsid w:val="009F6702"/>
    <w:rsid w:val="00AC0769"/>
    <w:rsid w:val="00C508E7"/>
    <w:rsid w:val="00C63390"/>
    <w:rsid w:val="00CE48EB"/>
    <w:rsid w:val="00DC5FD4"/>
    <w:rsid w:val="00DF5DB8"/>
    <w:rsid w:val="00F57AC2"/>
    <w:rsid w:val="00F90D15"/>
    <w:rsid w:val="00F92282"/>
    <w:rsid w:val="11E05D09"/>
    <w:rsid w:val="146942DC"/>
    <w:rsid w:val="2348BEC7"/>
    <w:rsid w:val="33B639E5"/>
    <w:rsid w:val="540D43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26A6"/>
  <w15:chartTrackingRefBased/>
  <w15:docId w15:val="{878173F9-6468-4369-98FB-D5FD15D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B8"/>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aliases w:val="Objet"/>
    <w:basedOn w:val="Titre2"/>
    <w:next w:val="Normal"/>
    <w:link w:val="Titre1Car"/>
    <w:uiPriority w:val="9"/>
    <w:qFormat/>
    <w:rsid w:val="00002410"/>
    <w:pPr>
      <w:keepNext w:val="0"/>
      <w:keepLines w:val="0"/>
      <w:suppressAutoHyphens w:val="0"/>
      <w:spacing w:before="360" w:after="120"/>
      <w:jc w:val="center"/>
      <w:outlineLvl w:val="0"/>
    </w:pPr>
    <w:rPr>
      <w:rFonts w:ascii="Arial" w:eastAsia="Arial" w:hAnsi="Arial" w:cs="Arial"/>
      <w:b/>
      <w:bCs/>
      <w:color w:val="auto"/>
      <w:sz w:val="24"/>
      <w:szCs w:val="24"/>
      <w:lang w:eastAsia="fr-FR"/>
    </w:rPr>
  </w:style>
  <w:style w:type="paragraph" w:styleId="Titre2">
    <w:name w:val="heading 2"/>
    <w:basedOn w:val="Normal"/>
    <w:next w:val="Normal"/>
    <w:link w:val="Titre2Car"/>
    <w:uiPriority w:val="9"/>
    <w:semiHidden/>
    <w:unhideWhenUsed/>
    <w:qFormat/>
    <w:rsid w:val="000024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Titre 3-signature"/>
    <w:basedOn w:val="Normal"/>
    <w:next w:val="Normal"/>
    <w:link w:val="Titre3Car"/>
    <w:uiPriority w:val="9"/>
    <w:unhideWhenUsed/>
    <w:qFormat/>
    <w:rsid w:val="00002410"/>
    <w:pPr>
      <w:suppressAutoHyphens w:val="0"/>
      <w:spacing w:after="120" w:line="259" w:lineRule="auto"/>
      <w:jc w:val="right"/>
      <w:outlineLvl w:val="2"/>
    </w:pPr>
    <w:rPr>
      <w:rFonts w:ascii="Arial" w:eastAsiaTheme="minorHAnsi" w:hAnsi="Arial" w:cs="Arial"/>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0">
    <w:name w:val="Titre3"/>
    <w:basedOn w:val="Normal"/>
    <w:next w:val="Corpsdetexte"/>
    <w:rsid w:val="00DF5DB8"/>
    <w:pPr>
      <w:suppressAutoHyphens w:val="0"/>
      <w:jc w:val="center"/>
    </w:pPr>
    <w:rPr>
      <w:b/>
      <w:szCs w:val="20"/>
      <w:u w:val="single"/>
    </w:rPr>
  </w:style>
  <w:style w:type="paragraph" w:customStyle="1" w:styleId="SNObjet">
    <w:name w:val="SNObjet"/>
    <w:basedOn w:val="Normal"/>
    <w:next w:val="Normal"/>
    <w:rsid w:val="00DF5DB8"/>
    <w:pPr>
      <w:widowControl w:val="0"/>
      <w:suppressLineNumbers/>
      <w:spacing w:after="119"/>
      <w:jc w:val="center"/>
    </w:pPr>
    <w:rPr>
      <w:rFonts w:eastAsia="Lucida Sans Unicode"/>
      <w:b/>
      <w:bCs/>
    </w:rPr>
  </w:style>
  <w:style w:type="paragraph" w:styleId="Corpsdetexte">
    <w:name w:val="Body Text"/>
    <w:basedOn w:val="Normal"/>
    <w:link w:val="CorpsdetexteCar"/>
    <w:uiPriority w:val="99"/>
    <w:semiHidden/>
    <w:unhideWhenUsed/>
    <w:rsid w:val="00DF5DB8"/>
    <w:pPr>
      <w:spacing w:after="120"/>
    </w:pPr>
  </w:style>
  <w:style w:type="character" w:customStyle="1" w:styleId="CorpsdetexteCar">
    <w:name w:val="Corps de texte Car"/>
    <w:basedOn w:val="Policepardfaut"/>
    <w:link w:val="Corpsdetexte"/>
    <w:uiPriority w:val="99"/>
    <w:semiHidden/>
    <w:rsid w:val="00DF5DB8"/>
    <w:rPr>
      <w:rFonts w:ascii="Times New Roman" w:eastAsia="Times New Roman" w:hAnsi="Times New Roman" w:cs="Times New Roman"/>
      <w:sz w:val="24"/>
      <w:szCs w:val="24"/>
      <w:lang w:eastAsia="zh-CN"/>
    </w:rPr>
  </w:style>
  <w:style w:type="character" w:styleId="Lienhypertexte">
    <w:name w:val="Hyperlink"/>
    <w:rsid w:val="00DF5DB8"/>
    <w:rPr>
      <w:color w:val="0000FF"/>
      <w:u w:val="single"/>
    </w:rPr>
  </w:style>
  <w:style w:type="paragraph" w:styleId="Notedebasdepage">
    <w:name w:val="footnote text"/>
    <w:basedOn w:val="Normal"/>
    <w:link w:val="NotedebasdepageCar"/>
    <w:uiPriority w:val="99"/>
    <w:semiHidden/>
    <w:unhideWhenUsed/>
    <w:rsid w:val="00DF5DB8"/>
    <w:pPr>
      <w:suppressAutoHyphens w:val="0"/>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DF5DB8"/>
    <w:rPr>
      <w:sz w:val="20"/>
      <w:szCs w:val="20"/>
    </w:rPr>
  </w:style>
  <w:style w:type="character" w:styleId="Appelnotedebasdep">
    <w:name w:val="footnote reference"/>
    <w:basedOn w:val="Policepardfaut"/>
    <w:uiPriority w:val="99"/>
    <w:semiHidden/>
    <w:unhideWhenUsed/>
    <w:rsid w:val="00DF5DB8"/>
    <w:rPr>
      <w:vertAlign w:val="superscript"/>
    </w:rPr>
  </w:style>
  <w:style w:type="paragraph" w:styleId="Paragraphedeliste">
    <w:name w:val="List Paragraph"/>
    <w:basedOn w:val="Normal"/>
    <w:uiPriority w:val="34"/>
    <w:qFormat/>
    <w:rsid w:val="00DF5DB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DF5DB8"/>
    <w:pPr>
      <w:suppressAutoHyphens/>
      <w:autoSpaceDN w:val="0"/>
      <w:spacing w:line="254" w:lineRule="auto"/>
    </w:pPr>
    <w:rPr>
      <w:rFonts w:ascii="Calibri" w:eastAsia="Calibri" w:hAnsi="Calibri" w:cs="F"/>
    </w:rPr>
  </w:style>
  <w:style w:type="paragraph" w:customStyle="1" w:styleId="SNNORCentr">
    <w:name w:val="SNNOR+Centré"/>
    <w:next w:val="Normal"/>
    <w:rsid w:val="00DF5DB8"/>
    <w:pPr>
      <w:spacing w:after="0" w:line="240" w:lineRule="auto"/>
      <w:jc w:val="center"/>
    </w:pPr>
    <w:rPr>
      <w:rFonts w:ascii="Times New Roman" w:eastAsia="Times New Roman" w:hAnsi="Times New Roman" w:cs="Times New Roman"/>
      <w:bCs/>
      <w:sz w:val="24"/>
      <w:szCs w:val="20"/>
      <w:lang w:eastAsia="fr-FR"/>
    </w:rPr>
  </w:style>
  <w:style w:type="paragraph" w:styleId="Titre">
    <w:name w:val="Title"/>
    <w:basedOn w:val="Normal"/>
    <w:link w:val="TitreCar"/>
    <w:qFormat/>
    <w:rsid w:val="00603018"/>
    <w:pPr>
      <w:suppressAutoHyphens w:val="0"/>
      <w:jc w:val="center"/>
    </w:pPr>
    <w:rPr>
      <w:rFonts w:eastAsia="Calibri"/>
      <w:b/>
      <w:szCs w:val="20"/>
      <w:u w:val="single"/>
      <w:lang w:eastAsia="fr-FR"/>
    </w:rPr>
  </w:style>
  <w:style w:type="character" w:customStyle="1" w:styleId="TitreCar">
    <w:name w:val="Titre Car"/>
    <w:basedOn w:val="Policepardfaut"/>
    <w:link w:val="Titre"/>
    <w:rsid w:val="00603018"/>
    <w:rPr>
      <w:rFonts w:ascii="Times New Roman" w:eastAsia="Calibri" w:hAnsi="Times New Roman" w:cs="Times New Roman"/>
      <w:b/>
      <w:sz w:val="24"/>
      <w:szCs w:val="20"/>
      <w:u w:val="single"/>
      <w:lang w:eastAsia="fr-FR"/>
    </w:rPr>
  </w:style>
  <w:style w:type="paragraph" w:styleId="Textedebulles">
    <w:name w:val="Balloon Text"/>
    <w:basedOn w:val="Normal"/>
    <w:link w:val="TextedebullesCar"/>
    <w:uiPriority w:val="99"/>
    <w:semiHidden/>
    <w:unhideWhenUsed/>
    <w:rsid w:val="00F57A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7AC2"/>
    <w:rPr>
      <w:rFonts w:ascii="Segoe UI" w:eastAsia="Times New Roman" w:hAnsi="Segoe UI" w:cs="Segoe UI"/>
      <w:sz w:val="18"/>
      <w:szCs w:val="18"/>
      <w:lang w:eastAsia="zh-CN"/>
    </w:rPr>
  </w:style>
  <w:style w:type="character" w:customStyle="1" w:styleId="Titre1Car">
    <w:name w:val="Titre 1 Car"/>
    <w:aliases w:val="Objet Car"/>
    <w:basedOn w:val="Policepardfaut"/>
    <w:link w:val="Titre1"/>
    <w:uiPriority w:val="9"/>
    <w:rsid w:val="00002410"/>
    <w:rPr>
      <w:rFonts w:ascii="Arial" w:eastAsia="Arial" w:hAnsi="Arial" w:cs="Arial"/>
      <w:b/>
      <w:bCs/>
      <w:sz w:val="24"/>
      <w:szCs w:val="24"/>
      <w:lang w:eastAsia="fr-FR"/>
    </w:rPr>
  </w:style>
  <w:style w:type="character" w:customStyle="1" w:styleId="Titre3Car">
    <w:name w:val="Titre 3 Car"/>
    <w:aliases w:val="Titre 3-signature Car"/>
    <w:basedOn w:val="Policepardfaut"/>
    <w:link w:val="Titre3"/>
    <w:uiPriority w:val="9"/>
    <w:rsid w:val="00002410"/>
    <w:rPr>
      <w:rFonts w:ascii="Arial" w:hAnsi="Arial" w:cs="Arial"/>
      <w:sz w:val="20"/>
      <w:szCs w:val="20"/>
    </w:rPr>
  </w:style>
  <w:style w:type="character" w:styleId="Marquedecommentaire">
    <w:name w:val="annotation reference"/>
    <w:basedOn w:val="Policepardfaut"/>
    <w:uiPriority w:val="99"/>
    <w:semiHidden/>
    <w:unhideWhenUsed/>
    <w:rsid w:val="00002410"/>
    <w:rPr>
      <w:sz w:val="16"/>
      <w:szCs w:val="16"/>
    </w:rPr>
  </w:style>
  <w:style w:type="character" w:customStyle="1" w:styleId="Titre2Car">
    <w:name w:val="Titre 2 Car"/>
    <w:basedOn w:val="Policepardfaut"/>
    <w:link w:val="Titre2"/>
    <w:uiPriority w:val="9"/>
    <w:semiHidden/>
    <w:rsid w:val="00002410"/>
    <w:rPr>
      <w:rFonts w:asciiTheme="majorHAnsi" w:eastAsiaTheme="majorEastAsia" w:hAnsiTheme="majorHAnsi" w:cstheme="majorBidi"/>
      <w:color w:val="2E74B5" w:themeColor="accent1" w:themeShade="BF"/>
      <w:sz w:val="26"/>
      <w:szCs w:val="26"/>
      <w:lang w:eastAsia="zh-CN"/>
    </w:rPr>
  </w:style>
  <w:style w:type="paragraph" w:styleId="Commentaire">
    <w:name w:val="annotation text"/>
    <w:basedOn w:val="Normal"/>
    <w:link w:val="CommentaireCar"/>
    <w:uiPriority w:val="99"/>
    <w:semiHidden/>
    <w:unhideWhenUsed/>
    <w:rsid w:val="0075738B"/>
    <w:pPr>
      <w:jc w:val="both"/>
    </w:pPr>
    <w:rPr>
      <w:rFonts w:ascii="Liberation Sans" w:hAnsi="Liberation Sans" w:cs="Liberation Sans"/>
      <w:kern w:val="1"/>
      <w:sz w:val="20"/>
      <w:szCs w:val="20"/>
    </w:rPr>
  </w:style>
  <w:style w:type="character" w:customStyle="1" w:styleId="CommentaireCar">
    <w:name w:val="Commentaire Car"/>
    <w:basedOn w:val="Policepardfaut"/>
    <w:link w:val="Commentaire"/>
    <w:uiPriority w:val="99"/>
    <w:semiHidden/>
    <w:rsid w:val="0075738B"/>
    <w:rPr>
      <w:rFonts w:ascii="Liberation Sans" w:eastAsia="Times New Roman" w:hAnsi="Liberation Sans" w:cs="Liberation Sans"/>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421">
      <w:bodyDiv w:val="1"/>
      <w:marLeft w:val="0"/>
      <w:marRight w:val="0"/>
      <w:marTop w:val="0"/>
      <w:marBottom w:val="0"/>
      <w:divBdr>
        <w:top w:val="none" w:sz="0" w:space="0" w:color="auto"/>
        <w:left w:val="none" w:sz="0" w:space="0" w:color="auto"/>
        <w:bottom w:val="none" w:sz="0" w:space="0" w:color="auto"/>
        <w:right w:val="none" w:sz="0" w:space="0" w:color="auto"/>
      </w:divBdr>
    </w:div>
    <w:div w:id="1208563570">
      <w:bodyDiv w:val="1"/>
      <w:marLeft w:val="0"/>
      <w:marRight w:val="0"/>
      <w:marTop w:val="0"/>
      <w:marBottom w:val="0"/>
      <w:divBdr>
        <w:top w:val="none" w:sz="0" w:space="0" w:color="auto"/>
        <w:left w:val="none" w:sz="0" w:space="0" w:color="auto"/>
        <w:bottom w:val="none" w:sz="0" w:space="0" w:color="auto"/>
        <w:right w:val="none" w:sz="0" w:space="0" w:color="auto"/>
      </w:divBdr>
    </w:div>
    <w:div w:id="19275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article_jo/JORFARTI0000439572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F522-3243-4B73-84B0-E7164652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6997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MULOT Magali</dc:creator>
  <cp:keywords/>
  <dc:description/>
  <cp:lastModifiedBy>Sophie Cabanis</cp:lastModifiedBy>
  <cp:revision>2</cp:revision>
  <dcterms:created xsi:type="dcterms:W3CDTF">2023-12-08T14:31:00Z</dcterms:created>
  <dcterms:modified xsi:type="dcterms:W3CDTF">2023-12-08T14:31:00Z</dcterms:modified>
</cp:coreProperties>
</file>