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5C" w:rsidRDefault="00B1515C"/>
    <w:tbl>
      <w:tblPr>
        <w:tblW w:w="3982" w:type="dxa"/>
        <w:tblInd w:w="47" w:type="dxa"/>
        <w:tblCellMar>
          <w:top w:w="57" w:type="dxa"/>
          <w:left w:w="57" w:type="dxa"/>
          <w:bottom w:w="57" w:type="dxa"/>
          <w:right w:w="57" w:type="dxa"/>
        </w:tblCellMar>
        <w:tblLook w:val="0000" w:firstRow="0" w:lastRow="0" w:firstColumn="0" w:lastColumn="0" w:noHBand="0" w:noVBand="0"/>
      </w:tblPr>
      <w:tblGrid>
        <w:gridCol w:w="1526"/>
        <w:gridCol w:w="967"/>
        <w:gridCol w:w="1489"/>
      </w:tblGrid>
      <w:tr w:rsidR="00B1515C">
        <w:trPr>
          <w:cantSplit/>
        </w:trPr>
        <w:tc>
          <w:tcPr>
            <w:tcW w:w="3982" w:type="dxa"/>
            <w:gridSpan w:val="3"/>
            <w:shd w:val="clear" w:color="auto" w:fill="auto"/>
          </w:tcPr>
          <w:p w:rsidR="00B1515C" w:rsidRDefault="007F2044">
            <w:pPr>
              <w:suppressAutoHyphens/>
              <w:spacing w:line="252" w:lineRule="auto"/>
              <w:jc w:val="center"/>
              <w:textAlignment w:val="baseline"/>
            </w:pPr>
            <w:r>
              <w:rPr>
                <w:rFonts w:ascii="Times New Roman" w:eastAsia="Times New Roman" w:hAnsi="Times New Roman" w:cs="Times New Roman"/>
                <w:b/>
                <w:bCs/>
                <w:sz w:val="24"/>
                <w:szCs w:val="20"/>
                <w:lang w:eastAsia="zh-CN"/>
              </w:rPr>
              <w:t>RÉPUBLIQUE FRANÇAISE</w:t>
            </w:r>
          </w:p>
        </w:tc>
      </w:tr>
      <w:tr w:rsidR="00B1515C">
        <w:trPr>
          <w:cantSplit/>
          <w:trHeight w:hRule="exact" w:val="113"/>
        </w:trPr>
        <w:tc>
          <w:tcPr>
            <w:tcW w:w="1526" w:type="dxa"/>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c>
          <w:tcPr>
            <w:tcW w:w="967" w:type="dxa"/>
            <w:tcBorders>
              <w:top w:val="single" w:sz="2" w:space="0" w:color="000080"/>
              <w:bottom w:val="single" w:sz="2" w:space="0" w:color="000080"/>
            </w:tcBorders>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c>
          <w:tcPr>
            <w:tcW w:w="1489" w:type="dxa"/>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r>
      <w:tr w:rsidR="00B1515C">
        <w:trPr>
          <w:cantSplit/>
        </w:trPr>
        <w:tc>
          <w:tcPr>
            <w:tcW w:w="3982" w:type="dxa"/>
            <w:gridSpan w:val="3"/>
            <w:shd w:val="clear" w:color="auto" w:fill="auto"/>
          </w:tcPr>
          <w:p w:rsidR="00B1515C" w:rsidRDefault="007F2044">
            <w:pPr>
              <w:widowControl w:val="0"/>
              <w:suppressAutoHyphens/>
              <w:spacing w:before="120" w:after="0" w:line="252" w:lineRule="auto"/>
              <w:jc w:val="center"/>
              <w:textAlignment w:val="baseline"/>
            </w:pPr>
            <w:r>
              <w:rPr>
                <w:rFonts w:ascii="Times New Roman" w:eastAsia="Times New Roman" w:hAnsi="Times New Roman" w:cs="Times New Roman"/>
                <w:sz w:val="24"/>
                <w:szCs w:val="24"/>
                <w:lang w:eastAsia="zh-CN"/>
              </w:rPr>
              <w:t>Ministère de la transition écologique</w:t>
            </w:r>
          </w:p>
        </w:tc>
      </w:tr>
      <w:tr w:rsidR="00B1515C">
        <w:trPr>
          <w:cantSplit/>
          <w:trHeight w:hRule="exact" w:val="227"/>
        </w:trPr>
        <w:tc>
          <w:tcPr>
            <w:tcW w:w="1526" w:type="dxa"/>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c>
          <w:tcPr>
            <w:tcW w:w="967" w:type="dxa"/>
            <w:tcBorders>
              <w:top w:val="single" w:sz="2" w:space="0" w:color="000080"/>
              <w:bottom w:val="single" w:sz="2" w:space="0" w:color="000080"/>
            </w:tcBorders>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c>
          <w:tcPr>
            <w:tcW w:w="1489" w:type="dxa"/>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r>
      <w:tr w:rsidR="00B1515C">
        <w:trPr>
          <w:cantSplit/>
          <w:trHeight w:hRule="exact" w:val="227"/>
        </w:trPr>
        <w:tc>
          <w:tcPr>
            <w:tcW w:w="1526" w:type="dxa"/>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c>
          <w:tcPr>
            <w:tcW w:w="967" w:type="dxa"/>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c>
          <w:tcPr>
            <w:tcW w:w="1489" w:type="dxa"/>
            <w:shd w:val="clear" w:color="auto" w:fill="auto"/>
          </w:tcPr>
          <w:p w:rsidR="00B1515C" w:rsidRDefault="00B1515C">
            <w:pPr>
              <w:suppressAutoHyphens/>
              <w:snapToGrid w:val="0"/>
              <w:spacing w:line="252" w:lineRule="auto"/>
              <w:textAlignment w:val="baseline"/>
              <w:rPr>
                <w:rFonts w:ascii="Times New Roman" w:eastAsia="Times New Roman" w:hAnsi="Times New Roman" w:cs="Times New Roman"/>
                <w:sz w:val="24"/>
                <w:szCs w:val="24"/>
                <w:lang w:eastAsia="zh-CN"/>
              </w:rPr>
            </w:pPr>
          </w:p>
        </w:tc>
      </w:tr>
    </w:tbl>
    <w:p w:rsidR="00B1515C" w:rsidRDefault="007F2044">
      <w:pPr>
        <w:widowControl w:val="0"/>
        <w:suppressLineNumbers/>
        <w:suppressAutoHyphens/>
        <w:spacing w:before="720" w:after="120" w:line="252" w:lineRule="auto"/>
        <w:jc w:val="center"/>
        <w:textAlignment w:val="baseline"/>
      </w:pPr>
      <w:r>
        <w:rPr>
          <w:rFonts w:ascii="Times New Roman" w:eastAsia="Times New Roman" w:hAnsi="Times New Roman" w:cs="Times New Roman"/>
          <w:b/>
          <w:bCs/>
          <w:sz w:val="24"/>
          <w:szCs w:val="24"/>
          <w:lang w:eastAsia="zh-CN"/>
        </w:rPr>
        <w:t>Arrêté du</w:t>
      </w:r>
    </w:p>
    <w:p w:rsidR="00B1515C" w:rsidRDefault="007F2044">
      <w:pPr>
        <w:spacing w:after="0" w:line="240" w:lineRule="auto"/>
        <w:jc w:val="center"/>
      </w:pPr>
      <w:proofErr w:type="gramStart"/>
      <w:r>
        <w:rPr>
          <w:rFonts w:ascii="Times New Roman" w:hAnsi="Times New Roman" w:cs="Times New Roman"/>
          <w:sz w:val="24"/>
          <w:szCs w:val="24"/>
        </w:rPr>
        <w:t>fixant</w:t>
      </w:r>
      <w:proofErr w:type="gramEnd"/>
      <w:r>
        <w:rPr>
          <w:rFonts w:ascii="Times New Roman" w:hAnsi="Times New Roman" w:cs="Times New Roman"/>
          <w:sz w:val="24"/>
          <w:szCs w:val="24"/>
        </w:rPr>
        <w:t xml:space="preserve"> les </w:t>
      </w:r>
      <w:r>
        <w:rPr>
          <w:rFonts w:ascii="Times New Roman" w:eastAsia="Times New Roman" w:hAnsi="Times New Roman" w:cs="Times New Roman"/>
          <w:bCs/>
          <w:iCs/>
          <w:sz w:val="24"/>
          <w:szCs w:val="24"/>
          <w:lang w:eastAsia="zh-CN"/>
        </w:rPr>
        <w:t>modalités d’évaluation applicables à l’établissement d’indicateurs de gêne due au bruit événementiel des infrastructures de transport ferroviaire</w:t>
      </w:r>
      <w:r>
        <w:rPr>
          <w:rFonts w:ascii="Times New Roman" w:hAnsi="Times New Roman" w:cs="Times New Roman"/>
          <w:sz w:val="24"/>
          <w:szCs w:val="24"/>
        </w:rPr>
        <w:t>.</w:t>
      </w:r>
    </w:p>
    <w:p w:rsidR="00B1515C" w:rsidRDefault="00B1515C">
      <w:pPr>
        <w:spacing w:after="0" w:line="240" w:lineRule="auto"/>
        <w:jc w:val="center"/>
        <w:rPr>
          <w:rFonts w:ascii="Times New Roman" w:hAnsi="Times New Roman" w:cs="Times New Roman"/>
          <w:sz w:val="24"/>
          <w:szCs w:val="24"/>
        </w:rPr>
      </w:pPr>
    </w:p>
    <w:p w:rsidR="00B1515C" w:rsidRDefault="007F2044">
      <w:pPr>
        <w:suppressAutoHyphens/>
        <w:spacing w:line="252" w:lineRule="auto"/>
        <w:jc w:val="center"/>
        <w:textAlignment w:val="baseline"/>
      </w:pPr>
      <w:r>
        <w:rPr>
          <w:rFonts w:ascii="Times New Roman" w:eastAsia="Times New Roman" w:hAnsi="Times New Roman" w:cs="Times New Roman"/>
          <w:bCs/>
          <w:sz w:val="24"/>
          <w:szCs w:val="20"/>
          <w:lang w:eastAsia="zh-CN"/>
        </w:rPr>
        <w:t xml:space="preserve">NOR : </w:t>
      </w:r>
      <w:r>
        <w:rPr>
          <w:rFonts w:ascii="Times New Roman" w:eastAsia="Times New Roman" w:hAnsi="Times New Roman" w:cs="Times New Roman"/>
          <w:bCs/>
          <w:sz w:val="24"/>
          <w:szCs w:val="20"/>
          <w:lang w:eastAsia="zh-CN"/>
        </w:rPr>
        <w:t>TREP2207202A</w:t>
      </w:r>
    </w:p>
    <w:p w:rsidR="00B1515C" w:rsidRDefault="007F2044">
      <w:pPr>
        <w:suppressAutoHyphens/>
        <w:spacing w:before="120" w:after="240" w:line="252" w:lineRule="auto"/>
        <w:ind w:firstLine="720"/>
        <w:jc w:val="both"/>
        <w:textAlignment w:val="baseline"/>
      </w:pPr>
      <w:r>
        <w:rPr>
          <w:rFonts w:ascii="Times New Roman" w:eastAsia="Times New Roman" w:hAnsi="Times New Roman" w:cs="Times New Roman"/>
          <w:b/>
          <w:i/>
          <w:iCs/>
          <w:sz w:val="24"/>
          <w:szCs w:val="24"/>
          <w:lang w:eastAsia="zh-CN"/>
        </w:rPr>
        <w:t>Publics concernés :</w:t>
      </w:r>
      <w:r>
        <w:rPr>
          <w:rFonts w:ascii="Times New Roman" w:eastAsia="Times New Roman" w:hAnsi="Times New Roman" w:cs="Times New Roman"/>
          <w:bCs/>
          <w:i/>
          <w:iCs/>
          <w:sz w:val="24"/>
          <w:szCs w:val="24"/>
          <w:lang w:eastAsia="zh-CN"/>
        </w:rPr>
        <w:t xml:space="preserve"> Entreprises</w:t>
      </w:r>
    </w:p>
    <w:p w:rsidR="00B1515C" w:rsidRDefault="007F2044">
      <w:pPr>
        <w:suppressAutoHyphens/>
        <w:spacing w:before="120" w:after="120" w:line="252" w:lineRule="auto"/>
        <w:ind w:firstLine="720"/>
        <w:jc w:val="both"/>
        <w:textAlignment w:val="baseline"/>
      </w:pPr>
      <w:r>
        <w:rPr>
          <w:rFonts w:ascii="Times New Roman" w:eastAsia="Times New Roman" w:hAnsi="Times New Roman" w:cs="Times New Roman"/>
          <w:b/>
          <w:bCs/>
          <w:i/>
          <w:iCs/>
          <w:sz w:val="24"/>
          <w:szCs w:val="24"/>
          <w:lang w:eastAsia="zh-CN"/>
        </w:rPr>
        <w:t>Objet :</w:t>
      </w:r>
      <w:r>
        <w:rPr>
          <w:rFonts w:ascii="Times New Roman" w:eastAsia="Times New Roman" w:hAnsi="Times New Roman" w:cs="Times New Roman"/>
          <w:bCs/>
          <w:i/>
          <w:iCs/>
          <w:sz w:val="24"/>
          <w:szCs w:val="24"/>
          <w:lang w:eastAsia="zh-CN"/>
        </w:rPr>
        <w:t xml:space="preserve"> Établissement d’indicateurs de gêne due au bruit événementiel des infrastructures de transport ferroviaire prenant en compte des critères d’intensité et de répétitivité des nuisances sonores et prise en </w:t>
      </w:r>
      <w:r>
        <w:rPr>
          <w:rFonts w:ascii="Times New Roman" w:eastAsia="Times New Roman" w:hAnsi="Times New Roman" w:cs="Times New Roman"/>
          <w:bCs/>
          <w:i/>
          <w:iCs/>
          <w:sz w:val="24"/>
          <w:szCs w:val="24"/>
          <w:lang w:eastAsia="zh-CN"/>
        </w:rPr>
        <w:t>compte de zones et de périodes d’exposition plus sensibles.</w:t>
      </w:r>
    </w:p>
    <w:p w:rsidR="00B1515C" w:rsidRDefault="007F2044">
      <w:pPr>
        <w:suppressAutoHyphens/>
        <w:spacing w:before="120" w:after="120" w:line="252" w:lineRule="auto"/>
        <w:ind w:firstLine="720"/>
        <w:jc w:val="both"/>
        <w:textAlignment w:val="baseline"/>
      </w:pPr>
      <w:r>
        <w:rPr>
          <w:rFonts w:ascii="Times New Roman" w:eastAsia="Times New Roman" w:hAnsi="Times New Roman" w:cs="Times New Roman"/>
          <w:b/>
          <w:bCs/>
          <w:i/>
          <w:iCs/>
          <w:sz w:val="24"/>
          <w:szCs w:val="24"/>
          <w:lang w:eastAsia="zh-CN"/>
        </w:rPr>
        <w:t xml:space="preserve">Entrée en vigueur : </w:t>
      </w:r>
      <w:r>
        <w:rPr>
          <w:rFonts w:ascii="Times New Roman" w:eastAsia="Times New Roman" w:hAnsi="Times New Roman" w:cs="Times New Roman"/>
          <w:bCs/>
          <w:i/>
          <w:iCs/>
          <w:sz w:val="24"/>
          <w:szCs w:val="24"/>
          <w:lang w:eastAsia="zh-CN"/>
        </w:rPr>
        <w:t>date de publication</w:t>
      </w:r>
    </w:p>
    <w:p w:rsidR="00B1515C" w:rsidRDefault="007F2044">
      <w:pPr>
        <w:suppressAutoHyphens/>
        <w:spacing w:before="120" w:after="120" w:line="252" w:lineRule="auto"/>
        <w:ind w:firstLine="720"/>
        <w:jc w:val="both"/>
        <w:textAlignment w:val="baseline"/>
      </w:pPr>
      <w:r>
        <w:rPr>
          <w:rFonts w:ascii="Times New Roman" w:eastAsia="Times New Roman" w:hAnsi="Times New Roman" w:cs="Times New Roman"/>
          <w:b/>
          <w:bCs/>
          <w:i/>
          <w:iCs/>
          <w:sz w:val="24"/>
          <w:szCs w:val="24"/>
          <w:lang w:eastAsia="zh-CN"/>
        </w:rPr>
        <w:t>Notice :</w:t>
      </w:r>
      <w:r>
        <w:rPr>
          <w:rFonts w:ascii="Times New Roman" w:eastAsia="Times New Roman" w:hAnsi="Times New Roman" w:cs="Times New Roman"/>
          <w:i/>
          <w:iCs/>
          <w:sz w:val="24"/>
          <w:szCs w:val="24"/>
          <w:lang w:eastAsia="zh-CN"/>
        </w:rPr>
        <w:t xml:space="preserve"> L’article 90 de la loi n°2019-1428 du 24 décembre 2019 d’orientation des mobilités prévoit que les indicateurs de gêne due au bruit des infrastructures de transport ferroviaire prennent en compte des critères d’intensité des nuisances ainsi que des critèr</w:t>
      </w:r>
      <w:r>
        <w:rPr>
          <w:rFonts w:ascii="Times New Roman" w:eastAsia="Times New Roman" w:hAnsi="Times New Roman" w:cs="Times New Roman"/>
          <w:i/>
          <w:iCs/>
          <w:sz w:val="24"/>
          <w:szCs w:val="24"/>
          <w:lang w:eastAsia="zh-CN"/>
        </w:rPr>
        <w:t>es de répétitivité, en particulier à travers la</w:t>
      </w:r>
      <w:r>
        <w:rPr>
          <w:rFonts w:ascii="Times New Roman" w:eastAsia="Times New Roman" w:hAnsi="Times New Roman" w:cs="Times New Roman"/>
          <w:i/>
          <w:iCs/>
          <w:color w:val="auto"/>
          <w:sz w:val="24"/>
          <w:szCs w:val="24"/>
          <w:lang w:eastAsia="zh-CN"/>
        </w:rPr>
        <w:t xml:space="preserve"> définition d'indicateurs de bruit événementiel tenant compte notamment des pics de bruit. Le présent arrêté précise les modalités applicables, durant une période d’observation de trois années, d’évaluation de</w:t>
      </w:r>
      <w:r>
        <w:rPr>
          <w:rFonts w:ascii="Times New Roman" w:eastAsia="Times New Roman" w:hAnsi="Times New Roman" w:cs="Times New Roman"/>
          <w:i/>
          <w:iCs/>
          <w:color w:val="auto"/>
          <w:sz w:val="24"/>
          <w:szCs w:val="24"/>
          <w:lang w:eastAsia="zh-CN"/>
        </w:rPr>
        <w:t>s nuisances sonores des infrastructures de transports ferroviaires, visant à quantifier la pertinence technique et fonctionnelle de différents indicateurs de bruit événementiel pour ces infrastructures. Il complète par ailleurs sur la même période d’observ</w:t>
      </w:r>
      <w:r>
        <w:rPr>
          <w:rFonts w:ascii="Times New Roman" w:eastAsia="Times New Roman" w:hAnsi="Times New Roman" w:cs="Times New Roman"/>
          <w:i/>
          <w:iCs/>
          <w:color w:val="auto"/>
          <w:sz w:val="24"/>
          <w:szCs w:val="24"/>
          <w:lang w:eastAsia="zh-CN"/>
        </w:rPr>
        <w:t xml:space="preserve">ation de 3 années, des dispositions en faveur </w:t>
      </w:r>
      <w:proofErr w:type="gramStart"/>
      <w:r>
        <w:rPr>
          <w:rFonts w:ascii="Times New Roman" w:eastAsia="Times New Roman" w:hAnsi="Times New Roman" w:cs="Times New Roman"/>
          <w:i/>
          <w:iCs/>
          <w:color w:val="auto"/>
          <w:sz w:val="24"/>
          <w:szCs w:val="24"/>
          <w:lang w:eastAsia="zh-CN"/>
        </w:rPr>
        <w:t>de</w:t>
      </w:r>
      <w:proofErr w:type="gramEnd"/>
      <w:r>
        <w:rPr>
          <w:rFonts w:ascii="Times New Roman" w:eastAsia="Times New Roman" w:hAnsi="Times New Roman" w:cs="Times New Roman"/>
          <w:i/>
          <w:iCs/>
          <w:color w:val="auto"/>
          <w:sz w:val="24"/>
          <w:szCs w:val="24"/>
          <w:lang w:eastAsia="zh-CN"/>
        </w:rPr>
        <w:t xml:space="preserve"> la prise en compte d’une ambiance sonore dite « très modérée », ainsi qu’une évaluation des niveaux de pression acoustique en soirée.</w:t>
      </w:r>
    </w:p>
    <w:p w:rsidR="00B1515C" w:rsidRDefault="007F2044">
      <w:pPr>
        <w:suppressAutoHyphens/>
        <w:spacing w:before="120" w:after="120" w:line="252" w:lineRule="auto"/>
        <w:ind w:firstLine="720"/>
        <w:jc w:val="both"/>
        <w:textAlignment w:val="baseline"/>
      </w:pPr>
      <w:r>
        <w:rPr>
          <w:rFonts w:ascii="Times New Roman" w:eastAsia="Times New Roman" w:hAnsi="Times New Roman" w:cs="Times New Roman"/>
          <w:b/>
          <w:bCs/>
          <w:i/>
          <w:iCs/>
          <w:color w:val="auto"/>
          <w:sz w:val="24"/>
          <w:szCs w:val="24"/>
          <w:lang w:eastAsia="zh-CN"/>
        </w:rPr>
        <w:t>Références :</w:t>
      </w:r>
      <w:r>
        <w:rPr>
          <w:rFonts w:ascii="Times New Roman" w:eastAsia="Times New Roman" w:hAnsi="Times New Roman" w:cs="Times New Roman"/>
          <w:i/>
          <w:iCs/>
          <w:color w:val="auto"/>
          <w:sz w:val="24"/>
          <w:szCs w:val="24"/>
          <w:lang w:eastAsia="zh-CN"/>
        </w:rPr>
        <w:t xml:space="preserve"> le présent arrêté est pris en application de l’article L.571</w:t>
      </w:r>
      <w:r>
        <w:rPr>
          <w:rFonts w:ascii="Times New Roman" w:eastAsia="Times New Roman" w:hAnsi="Times New Roman" w:cs="Times New Roman"/>
          <w:i/>
          <w:iCs/>
          <w:color w:val="auto"/>
          <w:sz w:val="24"/>
          <w:szCs w:val="24"/>
          <w:lang w:eastAsia="zh-CN"/>
        </w:rPr>
        <w:t>-10-2 du Code de l’environnement et complète les dispositions prévues à l’arrê</w:t>
      </w:r>
      <w:r>
        <w:rPr>
          <w:rFonts w:ascii="Times New Roman" w:eastAsia="Times New Roman" w:hAnsi="Times New Roman" w:cs="Times New Roman"/>
          <w:i/>
          <w:iCs/>
          <w:sz w:val="24"/>
          <w:szCs w:val="24"/>
          <w:lang w:eastAsia="zh-CN"/>
        </w:rPr>
        <w:t xml:space="preserve">té du 8 novembre 1999 relatif au bruit des infrastructures de transport </w:t>
      </w:r>
      <w:r>
        <w:rPr>
          <w:rFonts w:ascii="Times New Roman" w:eastAsia="Times New Roman" w:hAnsi="Times New Roman" w:cs="Times New Roman"/>
          <w:i/>
          <w:iCs/>
          <w:sz w:val="24"/>
          <w:szCs w:val="24"/>
          <w:lang w:eastAsia="zh-CN"/>
        </w:rPr>
        <w:lastRenderedPageBreak/>
        <w:t>ferroviaire pris en application de l’article R. 571-47 du Code de l’environnement.</w:t>
      </w:r>
    </w:p>
    <w:p w:rsidR="00B1515C" w:rsidRDefault="00B1515C">
      <w:pPr>
        <w:spacing w:after="0" w:line="240" w:lineRule="auto"/>
        <w:jc w:val="both"/>
        <w:rPr>
          <w:rFonts w:cstheme="minorHAnsi"/>
        </w:rPr>
      </w:pPr>
    </w:p>
    <w:p w:rsidR="00B1515C" w:rsidRDefault="007F2044">
      <w:pPr>
        <w:pStyle w:val="NormalWeb"/>
        <w:spacing w:beforeAutospacing="0" w:after="0" w:afterAutospacing="0"/>
        <w:jc w:val="both"/>
      </w:pPr>
      <w:r>
        <w:t xml:space="preserve">La ministre de la transition écologique, </w:t>
      </w:r>
    </w:p>
    <w:p w:rsidR="00B1515C" w:rsidRDefault="007F2044">
      <w:pPr>
        <w:pStyle w:val="NormalWeb"/>
        <w:spacing w:beforeAutospacing="0" w:after="0" w:afterAutospacing="0"/>
        <w:jc w:val="both"/>
      </w:pPr>
      <w:r>
        <w:t>Le ministre délégué auprès de la ministre de la Transition écologique, chargé des Transports, La ministre déléguée auprès de la ministre de la Transition écologique, chargée du Logement,</w:t>
      </w:r>
    </w:p>
    <w:p w:rsidR="00B1515C" w:rsidRDefault="00B1515C">
      <w:pPr>
        <w:pStyle w:val="NormalWeb"/>
        <w:spacing w:beforeAutospacing="0" w:after="0" w:afterAutospacing="0"/>
        <w:jc w:val="both"/>
      </w:pPr>
    </w:p>
    <w:p w:rsidR="00B1515C" w:rsidRDefault="00B1515C">
      <w:pPr>
        <w:pStyle w:val="NormalWeb"/>
        <w:spacing w:beforeAutospacing="0" w:after="0" w:afterAutospacing="0"/>
        <w:jc w:val="both"/>
      </w:pPr>
    </w:p>
    <w:p w:rsidR="00B1515C" w:rsidRDefault="007F2044">
      <w:pPr>
        <w:pStyle w:val="NormalWeb"/>
        <w:spacing w:beforeAutospacing="0" w:after="0" w:afterAutospacing="0"/>
        <w:jc w:val="both"/>
      </w:pPr>
      <w:r>
        <w:t xml:space="preserve">Vu la loi n°2019-1428 du </w:t>
      </w:r>
      <w:r>
        <w:t>24 décembre 2019 d’orientation des mobilités et notamment son article 90 ;</w:t>
      </w:r>
    </w:p>
    <w:p w:rsidR="00B1515C" w:rsidRDefault="00B1515C">
      <w:pPr>
        <w:pStyle w:val="NormalWeb"/>
        <w:spacing w:beforeAutospacing="0" w:after="0" w:afterAutospacing="0"/>
        <w:jc w:val="both"/>
      </w:pPr>
    </w:p>
    <w:p w:rsidR="00B1515C" w:rsidRDefault="007F2044">
      <w:pPr>
        <w:pStyle w:val="NormalWeb"/>
        <w:spacing w:beforeAutospacing="0" w:after="0" w:afterAutospacing="0"/>
        <w:jc w:val="both"/>
      </w:pPr>
      <w:r>
        <w:t>Vu le code de l’environnement et notamment ses articles L.571-9 et suivants, et ses articles R.571-44 et suivants ;</w:t>
      </w:r>
    </w:p>
    <w:p w:rsidR="00B1515C" w:rsidRDefault="00B1515C">
      <w:pPr>
        <w:pStyle w:val="NormalWeb"/>
        <w:spacing w:beforeAutospacing="0" w:after="0" w:afterAutospacing="0"/>
        <w:jc w:val="both"/>
      </w:pPr>
    </w:p>
    <w:p w:rsidR="00B1515C" w:rsidRDefault="007F2044">
      <w:pPr>
        <w:pStyle w:val="NormalWeb"/>
        <w:spacing w:beforeAutospacing="0" w:after="0" w:afterAutospacing="0"/>
        <w:jc w:val="both"/>
      </w:pPr>
      <w:r>
        <w:t>Vu l’arrêté du 8 novembre 1999 relatif au bruit des infrastruct</w:t>
      </w:r>
      <w:r>
        <w:t>ures ferroviaires ;</w:t>
      </w:r>
    </w:p>
    <w:p w:rsidR="00B1515C" w:rsidRDefault="00B1515C">
      <w:pPr>
        <w:pStyle w:val="NormalWeb"/>
        <w:spacing w:beforeAutospacing="0" w:after="0" w:afterAutospacing="0"/>
        <w:jc w:val="both"/>
      </w:pPr>
    </w:p>
    <w:p w:rsidR="00B1515C" w:rsidRDefault="007F2044">
      <w:pPr>
        <w:tabs>
          <w:tab w:val="left" w:pos="8115"/>
        </w:tabs>
        <w:spacing w:after="0" w:line="240" w:lineRule="auto"/>
        <w:jc w:val="both"/>
      </w:pPr>
      <w:r>
        <w:rPr>
          <w:rFonts w:ascii="Times New Roman" w:hAnsi="Times New Roman" w:cs="Times New Roman"/>
          <w:sz w:val="24"/>
          <w:szCs w:val="24"/>
        </w:rPr>
        <w:t>Vu les avis du Conseil National du Bruit en date du 5 octobre 2020 et du 7 juin 2021 ;</w:t>
      </w:r>
    </w:p>
    <w:p w:rsidR="00B1515C" w:rsidRDefault="00B1515C">
      <w:pPr>
        <w:tabs>
          <w:tab w:val="left" w:pos="8115"/>
        </w:tabs>
        <w:spacing w:after="0" w:line="240" w:lineRule="auto"/>
        <w:jc w:val="both"/>
        <w:rPr>
          <w:rFonts w:ascii="Times New Roman" w:hAnsi="Times New Roman" w:cs="Times New Roman"/>
          <w:sz w:val="24"/>
          <w:szCs w:val="24"/>
        </w:rPr>
      </w:pPr>
    </w:p>
    <w:p w:rsidR="00B1515C" w:rsidRDefault="007F2044">
      <w:pPr>
        <w:tabs>
          <w:tab w:val="left" w:pos="8115"/>
        </w:tabs>
        <w:spacing w:after="0" w:line="240" w:lineRule="auto"/>
        <w:jc w:val="both"/>
      </w:pPr>
      <w:r>
        <w:rPr>
          <w:rFonts w:ascii="Times New Roman" w:hAnsi="Times New Roman" w:cs="Times New Roman"/>
          <w:bCs/>
          <w:sz w:val="24"/>
          <w:szCs w:val="24"/>
        </w:rPr>
        <w:t>Vu les observations formulées lors de la consultation du public réalisée du 18 mai 2022 au 8 juin 2022 inclus, en application de l’article L. 123-9</w:t>
      </w:r>
      <w:r>
        <w:rPr>
          <w:rFonts w:ascii="Times New Roman" w:hAnsi="Times New Roman" w:cs="Times New Roman"/>
          <w:bCs/>
          <w:sz w:val="24"/>
          <w:szCs w:val="24"/>
        </w:rPr>
        <w:t>-1 du code de l’environnement ;</w:t>
      </w:r>
    </w:p>
    <w:p w:rsidR="00B1515C" w:rsidRDefault="00B1515C">
      <w:pPr>
        <w:tabs>
          <w:tab w:val="left" w:pos="8115"/>
        </w:tabs>
        <w:spacing w:after="0" w:line="240" w:lineRule="auto"/>
        <w:jc w:val="both"/>
        <w:rPr>
          <w:rFonts w:ascii="Times New Roman" w:hAnsi="Times New Roman" w:cs="Times New Roman"/>
          <w:bCs/>
          <w:sz w:val="24"/>
          <w:szCs w:val="24"/>
        </w:rPr>
      </w:pPr>
    </w:p>
    <w:p w:rsidR="00B1515C" w:rsidRDefault="007F2044">
      <w:pPr>
        <w:tabs>
          <w:tab w:val="left" w:pos="811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Vu l’avis du Conseil National d’Évaluation des Normes en date du …… ;</w:t>
      </w:r>
    </w:p>
    <w:p w:rsidR="007F2044" w:rsidRDefault="007F2044">
      <w:pPr>
        <w:tabs>
          <w:tab w:val="left" w:pos="8115"/>
        </w:tabs>
        <w:spacing w:after="0" w:line="240" w:lineRule="auto"/>
        <w:jc w:val="both"/>
        <w:rPr>
          <w:rFonts w:ascii="Times New Roman" w:hAnsi="Times New Roman" w:cs="Times New Roman"/>
          <w:bCs/>
          <w:sz w:val="24"/>
          <w:szCs w:val="24"/>
        </w:rPr>
      </w:pPr>
    </w:p>
    <w:p w:rsidR="007F2044" w:rsidRDefault="007F2044">
      <w:pPr>
        <w:tabs>
          <w:tab w:val="left" w:pos="8115"/>
        </w:tabs>
        <w:spacing w:after="0" w:line="240" w:lineRule="auto"/>
        <w:jc w:val="both"/>
      </w:pPr>
      <w:r>
        <w:rPr>
          <w:rFonts w:ascii="Times New Roman" w:hAnsi="Times New Roman" w:cs="Times New Roman"/>
          <w:bCs/>
          <w:sz w:val="24"/>
          <w:szCs w:val="24"/>
        </w:rPr>
        <w:t>Vu la consultation du public réalisée entre le 21 juin et le 13 juillet 2022 ;</w:t>
      </w:r>
      <w:bookmarkStart w:id="0" w:name="_GoBack"/>
      <w:bookmarkEnd w:id="0"/>
    </w:p>
    <w:p w:rsidR="00B1515C" w:rsidRDefault="00B1515C">
      <w:pPr>
        <w:tabs>
          <w:tab w:val="left" w:pos="8115"/>
        </w:tabs>
        <w:spacing w:after="0" w:line="240" w:lineRule="auto"/>
        <w:jc w:val="both"/>
        <w:rPr>
          <w:rFonts w:ascii="Times New Roman" w:hAnsi="Times New Roman" w:cs="Times New Roman"/>
          <w:bCs/>
          <w:sz w:val="24"/>
          <w:szCs w:val="24"/>
        </w:rPr>
      </w:pPr>
    </w:p>
    <w:p w:rsidR="00B1515C" w:rsidRDefault="007F2044">
      <w:pPr>
        <w:spacing w:after="0" w:line="240" w:lineRule="auto"/>
        <w:jc w:val="both"/>
      </w:pPr>
      <w:r>
        <w:rPr>
          <w:rFonts w:ascii="Times New Roman" w:hAnsi="Times New Roman" w:cs="Times New Roman"/>
          <w:sz w:val="24"/>
          <w:szCs w:val="24"/>
        </w:rPr>
        <w:br/>
      </w:r>
      <w:r>
        <w:rPr>
          <w:rFonts w:ascii="Times New Roman" w:hAnsi="Times New Roman" w:cs="Times New Roman"/>
          <w:b/>
          <w:sz w:val="24"/>
          <w:szCs w:val="24"/>
        </w:rPr>
        <w:t>Arrêtent</w:t>
      </w:r>
      <w:r>
        <w:rPr>
          <w:rFonts w:ascii="Times New Roman" w:hAnsi="Times New Roman" w:cs="Times New Roman"/>
          <w:sz w:val="24"/>
          <w:szCs w:val="24"/>
        </w:rPr>
        <w:t xml:space="preserve"> :</w:t>
      </w:r>
      <w:r>
        <w:rPr>
          <w:rFonts w:ascii="Times New Roman" w:hAnsi="Times New Roman" w:cs="Times New Roman"/>
          <w:sz w:val="24"/>
          <w:szCs w:val="24"/>
        </w:rPr>
        <w:tab/>
      </w:r>
    </w:p>
    <w:p w:rsidR="00B1515C" w:rsidRDefault="007F2044">
      <w:pPr>
        <w:pStyle w:val="NormalWeb"/>
        <w:jc w:val="both"/>
      </w:pPr>
      <w:r>
        <w:rPr>
          <w:b/>
        </w:rPr>
        <w:t>Article 1</w:t>
      </w:r>
      <w:r>
        <w:rPr>
          <w:b/>
          <w:vertAlign w:val="superscript"/>
        </w:rPr>
        <w:t>er</w:t>
      </w:r>
      <w:r>
        <w:rPr>
          <w:b/>
        </w:rPr>
        <w:t xml:space="preserve"> (objet)</w:t>
      </w:r>
    </w:p>
    <w:p w:rsidR="00B1515C" w:rsidRDefault="007F2044">
      <w:pPr>
        <w:spacing w:after="0" w:line="240" w:lineRule="auto"/>
        <w:jc w:val="both"/>
      </w:pPr>
      <w:r>
        <w:rPr>
          <w:rFonts w:ascii="Times New Roman" w:hAnsi="Times New Roman" w:cs="Times New Roman"/>
          <w:sz w:val="24"/>
          <w:szCs w:val="24"/>
        </w:rPr>
        <w:t xml:space="preserve">Le présent arrêté définit les indicateurs de gêne due au bruit événementiel permettant de rendre compte des pics de </w:t>
      </w:r>
      <w:r>
        <w:rPr>
          <w:rFonts w:ascii="Times New Roman" w:hAnsi="Times New Roman" w:cs="Times New Roman"/>
          <w:sz w:val="24"/>
          <w:szCs w:val="24"/>
        </w:rPr>
        <w:t>bruit liés aux circulations sur les infrastructures ferroviaires, en tenant compte de leur intensité et de leur répétitivité. Il complète par ailleurs la notion d’ambiance sonore définie à l’article 2 d</w:t>
      </w:r>
      <w:r>
        <w:rPr>
          <w:rFonts w:ascii="Times New Roman" w:hAnsi="Times New Roman" w:cs="Times New Roman"/>
          <w:color w:val="auto"/>
          <w:sz w:val="24"/>
          <w:szCs w:val="24"/>
        </w:rPr>
        <w:t>e l’arrêté du 8 novembre 1999 susvisé et introduit une</w:t>
      </w:r>
      <w:r>
        <w:rPr>
          <w:rFonts w:ascii="Times New Roman" w:hAnsi="Times New Roman" w:cs="Times New Roman"/>
          <w:color w:val="auto"/>
          <w:sz w:val="24"/>
          <w:szCs w:val="24"/>
        </w:rPr>
        <w:t xml:space="preserve"> évaluation des niveaux de pression acoustique sur la période de 6 heures à 18 heures et sur la période de 18 heures à 22 heures.</w:t>
      </w:r>
    </w:p>
    <w:p w:rsidR="00B1515C" w:rsidRDefault="00B1515C">
      <w:pPr>
        <w:spacing w:after="0" w:line="240" w:lineRule="auto"/>
        <w:jc w:val="both"/>
        <w:rPr>
          <w:rFonts w:ascii="Times New Roman" w:hAnsi="Times New Roman" w:cs="Times New Roman"/>
          <w:color w:val="auto"/>
          <w:sz w:val="24"/>
          <w:szCs w:val="24"/>
        </w:rPr>
      </w:pPr>
    </w:p>
    <w:p w:rsidR="00B1515C" w:rsidRDefault="007F2044">
      <w:pPr>
        <w:spacing w:after="0" w:line="240" w:lineRule="auto"/>
        <w:jc w:val="both"/>
        <w:rPr>
          <w:color w:val="auto"/>
        </w:rPr>
      </w:pPr>
      <w:r>
        <w:rPr>
          <w:rFonts w:ascii="Times New Roman" w:hAnsi="Times New Roman" w:cs="Times New Roman"/>
          <w:color w:val="auto"/>
          <w:sz w:val="24"/>
          <w:szCs w:val="24"/>
        </w:rPr>
        <w:t>Il s’applique :</w:t>
      </w:r>
    </w:p>
    <w:p w:rsidR="00B1515C" w:rsidRDefault="00B1515C">
      <w:pPr>
        <w:spacing w:after="0" w:line="240" w:lineRule="auto"/>
        <w:jc w:val="both"/>
        <w:rPr>
          <w:rFonts w:ascii="Times New Roman" w:hAnsi="Times New Roman" w:cs="Times New Roman"/>
          <w:color w:val="auto"/>
          <w:sz w:val="24"/>
          <w:szCs w:val="24"/>
        </w:rPr>
      </w:pPr>
    </w:p>
    <w:p w:rsidR="00B1515C" w:rsidRDefault="007F2044">
      <w:pPr>
        <w:spacing w:after="0" w:line="240" w:lineRule="auto"/>
        <w:jc w:val="both"/>
      </w:pPr>
      <w:r>
        <w:rPr>
          <w:rFonts w:ascii="Times New Roman" w:hAnsi="Times New Roman" w:cs="Times New Roman"/>
          <w:color w:val="auto"/>
          <w:sz w:val="24"/>
          <w:szCs w:val="24"/>
        </w:rPr>
        <w:lastRenderedPageBreak/>
        <w:t>- du 1</w:t>
      </w:r>
      <w:r>
        <w:rPr>
          <w:rFonts w:ascii="Times New Roman" w:hAnsi="Times New Roman" w:cs="Times New Roman"/>
          <w:color w:val="auto"/>
          <w:sz w:val="24"/>
          <w:szCs w:val="24"/>
          <w:vertAlign w:val="superscript"/>
        </w:rPr>
        <w:t>er</w:t>
      </w:r>
      <w:r>
        <w:rPr>
          <w:rFonts w:ascii="Times New Roman" w:hAnsi="Times New Roman" w:cs="Times New Roman"/>
          <w:color w:val="auto"/>
          <w:sz w:val="24"/>
          <w:szCs w:val="24"/>
        </w:rPr>
        <w:t xml:space="preserve"> septembre 2022 au 28 février 2023 aux sections de ligne et aux gestionnaires de réseau définis en a</w:t>
      </w:r>
      <w:r>
        <w:rPr>
          <w:rFonts w:ascii="Times New Roman" w:hAnsi="Times New Roman" w:cs="Times New Roman"/>
          <w:color w:val="auto"/>
          <w:sz w:val="24"/>
          <w:szCs w:val="24"/>
        </w:rPr>
        <w:t>nnexe I, et pour toute autre section par toute partie-prenante souhaitant participer à l’amélioration des connaissances sur les ambiances sonores au droit de ses infrastructures ou de son matériel roulant.</w:t>
      </w:r>
    </w:p>
    <w:p w:rsidR="00B1515C" w:rsidRDefault="00B1515C">
      <w:pPr>
        <w:spacing w:after="0" w:line="240" w:lineRule="auto"/>
        <w:jc w:val="both"/>
        <w:rPr>
          <w:rFonts w:ascii="Times New Roman" w:hAnsi="Times New Roman" w:cs="Times New Roman"/>
          <w:color w:val="auto"/>
          <w:sz w:val="24"/>
          <w:szCs w:val="24"/>
        </w:rPr>
      </w:pPr>
    </w:p>
    <w:p w:rsidR="00B1515C" w:rsidRDefault="007F2044">
      <w:pPr>
        <w:spacing w:after="0" w:line="240" w:lineRule="auto"/>
        <w:jc w:val="both"/>
      </w:pPr>
      <w:r>
        <w:rPr>
          <w:rFonts w:ascii="Times New Roman" w:hAnsi="Times New Roman" w:cs="Times New Roman"/>
          <w:color w:val="auto"/>
          <w:sz w:val="24"/>
          <w:szCs w:val="24"/>
        </w:rPr>
        <w:t>- du 1</w:t>
      </w:r>
      <w:r>
        <w:rPr>
          <w:rFonts w:ascii="Times New Roman" w:hAnsi="Times New Roman" w:cs="Times New Roman"/>
          <w:color w:val="auto"/>
          <w:sz w:val="24"/>
          <w:szCs w:val="24"/>
          <w:vertAlign w:val="superscript"/>
        </w:rPr>
        <w:t>er</w:t>
      </w:r>
      <w:r>
        <w:rPr>
          <w:rFonts w:ascii="Times New Roman" w:hAnsi="Times New Roman" w:cs="Times New Roman"/>
          <w:color w:val="auto"/>
          <w:sz w:val="24"/>
          <w:szCs w:val="24"/>
        </w:rPr>
        <w:t xml:space="preserve"> mars 2023 au 31 août 2025 à l’évaluation</w:t>
      </w:r>
      <w:r>
        <w:rPr>
          <w:rFonts w:ascii="Times New Roman" w:hAnsi="Times New Roman" w:cs="Times New Roman"/>
          <w:color w:val="auto"/>
          <w:sz w:val="24"/>
          <w:szCs w:val="24"/>
        </w:rPr>
        <w:t>, réalisée en application de l’arrêté du 8 novembre 1999 susvisé, des projets de construction, de modification ou de transformation significative d’infrastructure ferroviaire soumis à la sous-section 2 « Limitation du bruit des aménagements, infrastructure</w:t>
      </w:r>
      <w:r>
        <w:rPr>
          <w:rFonts w:ascii="Times New Roman" w:hAnsi="Times New Roman" w:cs="Times New Roman"/>
          <w:color w:val="auto"/>
          <w:sz w:val="24"/>
          <w:szCs w:val="24"/>
        </w:rPr>
        <w:t>s et matériels de transports terrestres » de la section 3, du chapitre Ier du titre VII du livre V du code de l’environnement.</w:t>
      </w:r>
    </w:p>
    <w:p w:rsidR="00B1515C" w:rsidRDefault="00B1515C">
      <w:pPr>
        <w:spacing w:before="113" w:after="113" w:line="240" w:lineRule="auto"/>
        <w:jc w:val="both"/>
        <w:rPr>
          <w:rFonts w:ascii="Times New Roman" w:hAnsi="Times New Roman" w:cs="Times New Roman"/>
          <w:color w:val="auto"/>
          <w:sz w:val="24"/>
          <w:szCs w:val="24"/>
        </w:rPr>
      </w:pPr>
    </w:p>
    <w:p w:rsidR="00B1515C" w:rsidRDefault="007F2044">
      <w:pPr>
        <w:spacing w:after="0" w:line="240" w:lineRule="auto"/>
        <w:jc w:val="both"/>
      </w:pPr>
      <w:r>
        <w:rPr>
          <w:rFonts w:ascii="Times New Roman" w:hAnsi="Times New Roman" w:cs="Times New Roman"/>
          <w:b/>
          <w:sz w:val="24"/>
          <w:szCs w:val="24"/>
        </w:rPr>
        <w:t>Article 2 (évaluation des niveaux de pression acoustique continu équivalent pondéré A)</w:t>
      </w:r>
    </w:p>
    <w:p w:rsidR="00B1515C" w:rsidRDefault="00B1515C">
      <w:pPr>
        <w:spacing w:after="0" w:line="240" w:lineRule="auto"/>
        <w:ind w:left="360"/>
        <w:jc w:val="both"/>
        <w:rPr>
          <w:rFonts w:ascii="Times New Roman" w:hAnsi="Times New Roman" w:cs="Times New Roman"/>
          <w:color w:val="2E74B5" w:themeColor="accent1" w:themeShade="BF"/>
          <w:sz w:val="24"/>
          <w:szCs w:val="24"/>
        </w:rPr>
      </w:pPr>
    </w:p>
    <w:p w:rsidR="00B1515C" w:rsidRDefault="007F2044">
      <w:pPr>
        <w:jc w:val="both"/>
      </w:pPr>
      <w:r>
        <w:rPr>
          <w:rFonts w:ascii="Times New Roman" w:hAnsi="Times New Roman" w:cs="Times New Roman"/>
          <w:sz w:val="24"/>
          <w:szCs w:val="24"/>
        </w:rPr>
        <w:t>Les indicateurs If définis à l’article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de l’arrêté du 8 novembre 1999 susvisé en application de l’article R.571-47 du code de l’environnement, sont complétés par une évaluation des niveaux de pression acoustique continus équivalents pondérés A pendant la période de 6 heures à 18 heures, noté</w:t>
      </w:r>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Pr>
          <w:rFonts w:ascii="Times New Roman" w:hAnsi="Times New Roman" w:cs="Times New Roman"/>
          <w:sz w:val="24"/>
          <w:szCs w:val="24"/>
          <w:vertAlign w:val="subscript"/>
        </w:rPr>
        <w:t>Aeq</w:t>
      </w:r>
      <w:proofErr w:type="spellEnd"/>
      <w:r>
        <w:rPr>
          <w:rFonts w:ascii="Times New Roman" w:hAnsi="Times New Roman" w:cs="Times New Roman"/>
          <w:sz w:val="24"/>
          <w:szCs w:val="24"/>
        </w:rPr>
        <w:t xml:space="preserve"> (6 h-18h), et par une évaluation des niveaux de pression acoustique continus équivalents pondérés A pendant la période de 18 heures à 22 heures, noté </w:t>
      </w:r>
      <w:proofErr w:type="spellStart"/>
      <w:r>
        <w:rPr>
          <w:rFonts w:ascii="Times New Roman" w:hAnsi="Times New Roman" w:cs="Times New Roman"/>
          <w:sz w:val="24"/>
          <w:szCs w:val="24"/>
        </w:rPr>
        <w:t>L</w:t>
      </w:r>
      <w:r>
        <w:rPr>
          <w:rFonts w:ascii="Times New Roman" w:hAnsi="Times New Roman" w:cs="Times New Roman"/>
          <w:sz w:val="24"/>
          <w:szCs w:val="24"/>
          <w:vertAlign w:val="subscript"/>
        </w:rPr>
        <w:t>Aeq</w:t>
      </w:r>
      <w:proofErr w:type="spellEnd"/>
      <w:r>
        <w:rPr>
          <w:rFonts w:ascii="Times New Roman" w:hAnsi="Times New Roman" w:cs="Times New Roman"/>
          <w:sz w:val="24"/>
          <w:szCs w:val="24"/>
        </w:rPr>
        <w:t xml:space="preserve"> (18h – 22h), correspondant aux contributions sonores de l’infrastructure concernée sur ces tran</w:t>
      </w:r>
      <w:r>
        <w:rPr>
          <w:rFonts w:ascii="Times New Roman" w:hAnsi="Times New Roman" w:cs="Times New Roman"/>
          <w:sz w:val="24"/>
          <w:szCs w:val="24"/>
        </w:rPr>
        <w:t>ches horaires. Les modalités d’évaluation prévues à l’article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de l’arrêté du 8 novembre 1999 s’appliquent à ces deux indicateurs complémentaires.</w:t>
      </w:r>
    </w:p>
    <w:p w:rsidR="00B1515C" w:rsidRDefault="00B1515C">
      <w:pPr>
        <w:jc w:val="both"/>
        <w:rPr>
          <w:rFonts w:ascii="Times New Roman" w:hAnsi="Times New Roman" w:cs="Times New Roman"/>
          <w:sz w:val="24"/>
          <w:szCs w:val="24"/>
        </w:rPr>
      </w:pPr>
    </w:p>
    <w:p w:rsidR="00B1515C" w:rsidRDefault="007F2044">
      <w:pPr>
        <w:pStyle w:val="NormalWeb"/>
        <w:spacing w:after="278"/>
        <w:jc w:val="both"/>
      </w:pPr>
      <w:r>
        <w:rPr>
          <w:b/>
        </w:rPr>
        <w:t>Article 3 (ambiance sonore)</w:t>
      </w:r>
    </w:p>
    <w:p w:rsidR="00B1515C" w:rsidRDefault="007F2044">
      <w:pPr>
        <w:pStyle w:val="NormalWeb"/>
        <w:spacing w:after="0"/>
        <w:jc w:val="both"/>
      </w:pPr>
      <w:r>
        <w:t>Sans préjudice des dispositions prévues à l’article 2 de l’arrêté du 8 novemb</w:t>
      </w:r>
      <w:r>
        <w:t>re 1999, un critère d’ambiance sonore très modéré est introduit. Une zone est dite d’ambiance sonore très modérée si le niveau de bruit ambiant existant avant la construction de la voie nouvelle, à deux mètres en avant des façades des bâtiments, fenêtres f</w:t>
      </w:r>
      <w:r>
        <w:t>ermées, est tel que :</w:t>
      </w:r>
    </w:p>
    <w:p w:rsidR="00B1515C" w:rsidRDefault="007F2044">
      <w:pPr>
        <w:pStyle w:val="NormalWeb"/>
        <w:spacing w:after="0"/>
        <w:ind w:left="720"/>
        <w:jc w:val="both"/>
      </w:pPr>
      <w:r>
        <w:t xml:space="preserve">- </w:t>
      </w:r>
      <w:proofErr w:type="spellStart"/>
      <w:r>
        <w:t>L</w:t>
      </w:r>
      <w:r>
        <w:rPr>
          <w:vertAlign w:val="subscript"/>
        </w:rPr>
        <w:t>Aeq</w:t>
      </w:r>
      <w:proofErr w:type="spellEnd"/>
      <w:r>
        <w:t xml:space="preserve"> (6 h-18 h) est inférieur à 55 dB(A),</w:t>
      </w:r>
    </w:p>
    <w:p w:rsidR="00B1515C" w:rsidRDefault="007F2044">
      <w:pPr>
        <w:pStyle w:val="NormalWeb"/>
        <w:spacing w:after="0"/>
        <w:ind w:left="720"/>
        <w:jc w:val="both"/>
      </w:pPr>
      <w:r>
        <w:t xml:space="preserve">- </w:t>
      </w:r>
      <w:proofErr w:type="spellStart"/>
      <w:r>
        <w:t>L</w:t>
      </w:r>
      <w:r>
        <w:rPr>
          <w:vertAlign w:val="subscript"/>
        </w:rPr>
        <w:t>Aeq</w:t>
      </w:r>
      <w:proofErr w:type="spellEnd"/>
      <w:r>
        <w:t xml:space="preserve"> (18h-22 h) est inférieur à 50 dB(A),</w:t>
      </w:r>
    </w:p>
    <w:p w:rsidR="00B1515C" w:rsidRDefault="007F2044">
      <w:pPr>
        <w:pStyle w:val="NormalWeb"/>
        <w:spacing w:after="0"/>
        <w:ind w:left="720"/>
        <w:jc w:val="both"/>
      </w:pPr>
      <w:r>
        <w:rPr>
          <w:color w:val="auto"/>
        </w:rPr>
        <w:lastRenderedPageBreak/>
        <w:t xml:space="preserve">- et </w:t>
      </w:r>
      <w:proofErr w:type="spellStart"/>
      <w:r>
        <w:rPr>
          <w:color w:val="auto"/>
        </w:rPr>
        <w:t>L</w:t>
      </w:r>
      <w:r>
        <w:rPr>
          <w:color w:val="auto"/>
          <w:vertAlign w:val="subscript"/>
        </w:rPr>
        <w:t>Aeq</w:t>
      </w:r>
      <w:proofErr w:type="spellEnd"/>
      <w:r>
        <w:rPr>
          <w:color w:val="auto"/>
        </w:rPr>
        <w:t xml:space="preserve"> (22h-6h) est inférieur à 45 dB(A).</w:t>
      </w:r>
    </w:p>
    <w:p w:rsidR="00B1515C" w:rsidRDefault="00B1515C">
      <w:pPr>
        <w:spacing w:after="0" w:line="240" w:lineRule="auto"/>
        <w:jc w:val="both"/>
        <w:rPr>
          <w:rFonts w:ascii="Times New Roman" w:eastAsia="Times New Roman" w:hAnsi="Times New Roman" w:cs="Times New Roman"/>
          <w:b/>
          <w:color w:val="auto"/>
          <w:sz w:val="24"/>
          <w:szCs w:val="24"/>
          <w:lang w:eastAsia="fr-FR"/>
        </w:rPr>
      </w:pPr>
    </w:p>
    <w:p w:rsidR="00B1515C" w:rsidRDefault="00B1515C">
      <w:pPr>
        <w:spacing w:after="0" w:line="240" w:lineRule="auto"/>
        <w:jc w:val="both"/>
        <w:rPr>
          <w:rFonts w:ascii="Times New Roman" w:eastAsia="Times New Roman" w:hAnsi="Times New Roman" w:cs="Times New Roman"/>
          <w:b/>
          <w:color w:val="auto"/>
          <w:sz w:val="24"/>
          <w:szCs w:val="24"/>
          <w:lang w:eastAsia="fr-FR"/>
        </w:rPr>
      </w:pPr>
    </w:p>
    <w:p w:rsidR="00B1515C" w:rsidRDefault="007F2044">
      <w:pPr>
        <w:spacing w:after="0" w:line="240" w:lineRule="auto"/>
        <w:jc w:val="both"/>
      </w:pPr>
      <w:r>
        <w:rPr>
          <w:rFonts w:ascii="Times New Roman" w:eastAsia="Times New Roman" w:hAnsi="Times New Roman" w:cs="Times New Roman"/>
          <w:b/>
          <w:color w:val="auto"/>
          <w:sz w:val="24"/>
          <w:szCs w:val="24"/>
          <w:lang w:eastAsia="fr-FR"/>
        </w:rPr>
        <w:t>Article 4 (indicateurs de pics de bruit)</w:t>
      </w:r>
    </w:p>
    <w:p w:rsidR="00B1515C" w:rsidRDefault="00B1515C">
      <w:pPr>
        <w:spacing w:after="0" w:line="240" w:lineRule="auto"/>
        <w:jc w:val="both"/>
        <w:rPr>
          <w:rFonts w:ascii="Times New Roman" w:eastAsia="Times New Roman" w:hAnsi="Times New Roman" w:cs="Times New Roman"/>
          <w:color w:val="auto"/>
          <w:sz w:val="24"/>
          <w:szCs w:val="24"/>
          <w:lang w:eastAsia="fr-FR"/>
        </w:rPr>
      </w:pPr>
    </w:p>
    <w:p w:rsidR="00B1515C" w:rsidRDefault="007F2044">
      <w:pPr>
        <w:spacing w:after="0" w:line="240" w:lineRule="auto"/>
        <w:jc w:val="both"/>
      </w:pPr>
      <w:r>
        <w:rPr>
          <w:rFonts w:ascii="Times New Roman" w:eastAsia="Times New Roman" w:hAnsi="Times New Roman" w:cs="Times New Roman"/>
          <w:color w:val="auto"/>
          <w:sz w:val="24"/>
          <w:szCs w:val="24"/>
          <w:lang w:eastAsia="fr-FR"/>
        </w:rPr>
        <w:t xml:space="preserve">Afin de quantifier la pertinence technique et </w:t>
      </w:r>
      <w:r>
        <w:rPr>
          <w:rFonts w:ascii="Times New Roman" w:eastAsia="Times New Roman" w:hAnsi="Times New Roman" w:cs="Times New Roman"/>
          <w:color w:val="auto"/>
          <w:sz w:val="24"/>
          <w:szCs w:val="24"/>
          <w:lang w:eastAsia="fr-FR"/>
        </w:rPr>
        <w:t xml:space="preserve">fonctionnelle, et leur lisibilité pour le grand public, d’indicateurs de bruit évènementiel généré par les circulations de matériel roulant sur les infrastructures de transport ferroviaires, et afin de caractériser la nature évènementielle du bruit généré </w:t>
      </w:r>
      <w:r>
        <w:rPr>
          <w:rFonts w:ascii="Times New Roman" w:eastAsia="Times New Roman" w:hAnsi="Times New Roman" w:cs="Times New Roman"/>
          <w:color w:val="auto"/>
          <w:sz w:val="24"/>
          <w:szCs w:val="24"/>
          <w:lang w:eastAsia="fr-FR"/>
        </w:rPr>
        <w:t>par ces circulations, les indicateurs complémentaires suivants sont évalués :</w:t>
      </w:r>
    </w:p>
    <w:p w:rsidR="00B1515C" w:rsidRDefault="00B1515C">
      <w:pPr>
        <w:spacing w:after="0" w:line="240" w:lineRule="auto"/>
        <w:jc w:val="both"/>
        <w:rPr>
          <w:rFonts w:ascii="Times New Roman" w:eastAsia="Times New Roman" w:hAnsi="Times New Roman" w:cs="Times New Roman"/>
          <w:color w:val="auto"/>
          <w:sz w:val="24"/>
          <w:szCs w:val="24"/>
          <w:lang w:eastAsia="fr-FR"/>
        </w:rPr>
      </w:pPr>
    </w:p>
    <w:p w:rsidR="00B1515C" w:rsidRDefault="007F2044">
      <w:pPr>
        <w:spacing w:after="0" w:line="240" w:lineRule="auto"/>
        <w:jc w:val="both"/>
      </w:pPr>
      <w:r>
        <w:rPr>
          <w:rFonts w:ascii="Times New Roman" w:eastAsia="Times New Roman" w:hAnsi="Times New Roman" w:cs="Times New Roman"/>
          <w:color w:val="auto"/>
          <w:sz w:val="24"/>
          <w:szCs w:val="24"/>
          <w:lang w:eastAsia="fr-FR"/>
        </w:rPr>
        <w:t>1°) Pour chaque circulation ferroviaire envisagée, les indicateurs suivants sont é</w:t>
      </w:r>
      <w:r>
        <w:rPr>
          <w:rFonts w:ascii="Times New Roman" w:eastAsia="Times New Roman" w:hAnsi="Times New Roman" w:cs="Times New Roman"/>
          <w:sz w:val="24"/>
          <w:szCs w:val="24"/>
          <w:lang w:eastAsia="fr-FR"/>
        </w:rPr>
        <w:t>valués avec la pondération fréquentielle A, à 2 mètres en façade de chaque bâtiment ou logement</w:t>
      </w:r>
      <w:r>
        <w:rPr>
          <w:rFonts w:ascii="Times New Roman" w:eastAsia="Times New Roman" w:hAnsi="Times New Roman" w:cs="Times New Roman"/>
          <w:sz w:val="24"/>
          <w:szCs w:val="24"/>
          <w:lang w:eastAsia="fr-FR"/>
        </w:rPr>
        <w:t>, fenêtres fermées, pouvant être soumis au bruit de l’infrastructure ferroviaire :</w:t>
      </w:r>
    </w:p>
    <w:p w:rsidR="00B1515C" w:rsidRDefault="00B1515C">
      <w:pPr>
        <w:spacing w:after="0" w:line="240" w:lineRule="auto"/>
        <w:jc w:val="both"/>
        <w:rPr>
          <w:rFonts w:ascii="Times New Roman" w:eastAsia="Times New Roman" w:hAnsi="Times New Roman" w:cs="Times New Roman"/>
          <w:sz w:val="24"/>
          <w:szCs w:val="24"/>
          <w:lang w:eastAsia="fr-FR"/>
        </w:rPr>
      </w:pPr>
    </w:p>
    <w:p w:rsidR="00B1515C" w:rsidRDefault="007F2044">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pASmax</w:t>
      </w:r>
      <w:proofErr w:type="spellEnd"/>
      <w:r>
        <w:rPr>
          <w:rFonts w:ascii="Times New Roman" w:eastAsia="Times New Roman" w:hAnsi="Times New Roman" w:cs="Times New Roman"/>
          <w:sz w:val="24"/>
          <w:szCs w:val="24"/>
          <w:lang w:eastAsia="fr-FR"/>
        </w:rPr>
        <w:t xml:space="preserve"> : niveau de pression acoustique maximum, utilisant la pondération temporelle « S » slow (=lente) avec une constante de temps de </w:t>
      </w:r>
      <w:r>
        <w:rPr>
          <w:rFonts w:ascii="Times New Roman" w:eastAsia="Times New Roman" w:hAnsi="Times New Roman" w:cs="Times New Roman"/>
          <w:sz w:val="24"/>
          <w:szCs w:val="24"/>
          <w:lang w:eastAsia="fr-FR"/>
        </w:rPr>
        <w:t xml:space="preserve">1 seconde lorsque l’indicateur est mesuré, </w:t>
      </w:r>
    </w:p>
    <w:p w:rsidR="00B1515C" w:rsidRDefault="00B1515C">
      <w:pPr>
        <w:pStyle w:val="Paragraphedeliste"/>
        <w:spacing w:after="0" w:line="240" w:lineRule="auto"/>
        <w:ind w:left="1440"/>
        <w:jc w:val="both"/>
        <w:rPr>
          <w:rFonts w:ascii="Times New Roman" w:eastAsia="Times New Roman" w:hAnsi="Times New Roman" w:cs="Times New Roman"/>
          <w:sz w:val="24"/>
          <w:szCs w:val="24"/>
          <w:lang w:eastAsia="fr-FR"/>
        </w:rPr>
      </w:pPr>
    </w:p>
    <w:p w:rsidR="00B1515C" w:rsidRDefault="007F2044">
      <w:pPr>
        <w:pStyle w:val="Paragraphedeliste"/>
        <w:numPr>
          <w:ilvl w:val="0"/>
          <w:numId w:val="1"/>
        </w:numPr>
        <w:spacing w:after="0" w:line="240" w:lineRule="auto"/>
        <w:jc w:val="both"/>
      </w:pPr>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Aeq,1</w:t>
      </w:r>
      <w:proofErr w:type="gramStart"/>
      <w:r>
        <w:rPr>
          <w:rFonts w:ascii="Times New Roman" w:eastAsia="Times New Roman" w:hAnsi="Times New Roman" w:cs="Times New Roman"/>
          <w:sz w:val="32"/>
          <w:szCs w:val="24"/>
          <w:vertAlign w:val="subscript"/>
          <w:lang w:eastAsia="fr-FR"/>
        </w:rPr>
        <w:t>s,max</w:t>
      </w:r>
      <w:proofErr w:type="gramEnd"/>
      <w:r>
        <w:rPr>
          <w:rFonts w:ascii="Times New Roman" w:eastAsia="Times New Roman" w:hAnsi="Times New Roman" w:cs="Times New Roman"/>
          <w:sz w:val="32"/>
          <w:szCs w:val="24"/>
          <w:vertAlign w:val="subscript"/>
          <w:lang w:eastAsia="fr-FR"/>
        </w:rPr>
        <w:t> </w:t>
      </w:r>
      <w:r>
        <w:rPr>
          <w:rFonts w:ascii="Times New Roman" w:eastAsia="Times New Roman" w:hAnsi="Times New Roman" w:cs="Times New Roman"/>
          <w:sz w:val="24"/>
          <w:szCs w:val="24"/>
          <w:lang w:eastAsia="fr-FR"/>
        </w:rPr>
        <w:t>: niveau de pression acoustique</w:t>
      </w:r>
      <w:r>
        <w:rPr>
          <w:rFonts w:ascii="Times New Roman" w:eastAsia="Times New Roman" w:hAnsi="Times New Roman" w:cs="Times New Roman"/>
          <w:sz w:val="24"/>
          <w:szCs w:val="24"/>
          <w:vertAlign w:val="subscript"/>
          <w:lang w:eastAsia="fr-FR"/>
        </w:rPr>
        <w:t xml:space="preserve"> </w:t>
      </w:r>
      <w:r>
        <w:rPr>
          <w:rFonts w:ascii="Times New Roman" w:eastAsia="Times New Roman" w:hAnsi="Times New Roman" w:cs="Times New Roman"/>
          <w:sz w:val="24"/>
          <w:szCs w:val="24"/>
          <w:lang w:eastAsia="fr-FR"/>
        </w:rPr>
        <w:t>équivalent continu maximum, évalué sur 1 seconde lorsque l’indicateur est modélisé,</w:t>
      </w:r>
    </w:p>
    <w:p w:rsidR="00B1515C" w:rsidRDefault="00B1515C">
      <w:pPr>
        <w:spacing w:after="0" w:line="240" w:lineRule="auto"/>
        <w:ind w:left="720"/>
        <w:contextualSpacing/>
        <w:jc w:val="both"/>
        <w:rPr>
          <w:rFonts w:ascii="Times New Roman" w:eastAsia="Times New Roman" w:hAnsi="Times New Roman" w:cs="Times New Roman"/>
          <w:sz w:val="24"/>
          <w:szCs w:val="24"/>
          <w:lang w:eastAsia="fr-FR"/>
        </w:rPr>
      </w:pPr>
    </w:p>
    <w:p w:rsidR="00B1515C" w:rsidRDefault="007F2044">
      <w:pPr>
        <w:pStyle w:val="Paragraphedeliste"/>
        <w:numPr>
          <w:ilvl w:val="0"/>
          <w:numId w:val="1"/>
        </w:numPr>
        <w:spacing w:after="0" w:line="240" w:lineRule="auto"/>
        <w:jc w:val="both"/>
      </w:pPr>
      <w:proofErr w:type="spellStart"/>
      <w:r>
        <w:rPr>
          <w:rFonts w:ascii="Times New Roman" w:eastAsia="Times New Roman" w:hAnsi="Times New Roman" w:cs="Times New Roman"/>
          <w:sz w:val="24"/>
          <w:szCs w:val="24"/>
          <w:lang w:eastAsia="fr-FR"/>
        </w:rPr>
        <w:t>Tevt</w:t>
      </w:r>
      <w:proofErr w:type="spellEnd"/>
      <w:r>
        <w:rPr>
          <w:rFonts w:ascii="Times New Roman" w:eastAsia="Times New Roman" w:hAnsi="Times New Roman" w:cs="Times New Roman"/>
          <w:sz w:val="24"/>
          <w:szCs w:val="24"/>
          <w:lang w:eastAsia="fr-FR"/>
        </w:rPr>
        <w:t xml:space="preserve"> : la durée de détection de l’événement sonore lié à la circulation </w:t>
      </w:r>
      <w:r>
        <w:rPr>
          <w:rFonts w:ascii="Times New Roman" w:eastAsia="Times New Roman" w:hAnsi="Times New Roman" w:cs="Times New Roman"/>
          <w:sz w:val="24"/>
          <w:szCs w:val="24"/>
          <w:lang w:eastAsia="fr-FR"/>
        </w:rPr>
        <w:t>ferroviaire,</w:t>
      </w:r>
    </w:p>
    <w:p w:rsidR="00B1515C" w:rsidRDefault="00B1515C">
      <w:pPr>
        <w:pStyle w:val="Paragraphedeliste"/>
        <w:spacing w:after="0" w:line="240" w:lineRule="auto"/>
        <w:ind w:left="1440"/>
        <w:jc w:val="both"/>
        <w:rPr>
          <w:rFonts w:ascii="Times New Roman" w:eastAsia="Times New Roman" w:hAnsi="Times New Roman" w:cs="Times New Roman"/>
          <w:sz w:val="24"/>
          <w:szCs w:val="24"/>
          <w:lang w:eastAsia="fr-FR"/>
        </w:rPr>
      </w:pPr>
    </w:p>
    <w:p w:rsidR="00B1515C" w:rsidRDefault="007F2044">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proofErr w:type="spellStart"/>
      <w:proofErr w:type="gramStart"/>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Aeq,Tevt</w:t>
      </w:r>
      <w:proofErr w:type="spellEnd"/>
      <w:proofErr w:type="gramEnd"/>
      <w:r>
        <w:rPr>
          <w:rFonts w:ascii="Times New Roman" w:eastAsia="Times New Roman" w:hAnsi="Times New Roman" w:cs="Times New Roman"/>
          <w:sz w:val="32"/>
          <w:szCs w:val="24"/>
          <w:vertAlign w:val="subscript"/>
          <w:lang w:eastAsia="fr-FR"/>
        </w:rPr>
        <w:t xml:space="preserve">  </w:t>
      </w:r>
      <w:r>
        <w:rPr>
          <w:rFonts w:ascii="Times New Roman" w:eastAsia="Times New Roman" w:hAnsi="Times New Roman" w:cs="Times New Roman"/>
          <w:sz w:val="24"/>
          <w:szCs w:val="24"/>
          <w:lang w:eastAsia="fr-FR"/>
        </w:rPr>
        <w:t xml:space="preserve">: niveau de pression acoustique continu équivalent évalué sur la durée </w:t>
      </w:r>
      <w:proofErr w:type="spellStart"/>
      <w:r>
        <w:rPr>
          <w:rFonts w:ascii="Times New Roman" w:eastAsia="Times New Roman" w:hAnsi="Times New Roman" w:cs="Times New Roman"/>
          <w:sz w:val="24"/>
          <w:szCs w:val="24"/>
          <w:lang w:eastAsia="fr-FR"/>
        </w:rPr>
        <w:t>Tevt</w:t>
      </w:r>
      <w:proofErr w:type="spellEnd"/>
      <w:r>
        <w:rPr>
          <w:rFonts w:ascii="Times New Roman" w:eastAsia="Times New Roman" w:hAnsi="Times New Roman" w:cs="Times New Roman"/>
          <w:sz w:val="24"/>
          <w:szCs w:val="24"/>
          <w:lang w:eastAsia="fr-FR"/>
        </w:rPr>
        <w:t xml:space="preserve">, </w:t>
      </w:r>
    </w:p>
    <w:p w:rsidR="00B1515C" w:rsidRDefault="00B1515C">
      <w:pPr>
        <w:pStyle w:val="Paragraphedeliste"/>
        <w:spacing w:after="0" w:line="240" w:lineRule="auto"/>
        <w:ind w:left="1440"/>
        <w:jc w:val="both"/>
        <w:rPr>
          <w:rFonts w:ascii="Times New Roman" w:eastAsia="Times New Roman" w:hAnsi="Times New Roman" w:cs="Times New Roman"/>
          <w:sz w:val="24"/>
          <w:szCs w:val="24"/>
          <w:lang w:eastAsia="fr-FR"/>
        </w:rPr>
      </w:pPr>
    </w:p>
    <w:p w:rsidR="00B1515C" w:rsidRDefault="007F2044">
      <w:pPr>
        <w:pStyle w:val="Paragraphedeliste"/>
        <w:numPr>
          <w:ilvl w:val="0"/>
          <w:numId w:val="1"/>
        </w:numPr>
        <w:spacing w:after="0" w:line="240" w:lineRule="auto"/>
        <w:jc w:val="both"/>
      </w:pPr>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AE</w:t>
      </w:r>
      <w:r>
        <w:rPr>
          <w:rFonts w:ascii="Times New Roman" w:eastAsia="Times New Roman" w:hAnsi="Times New Roman" w:cs="Times New Roman"/>
          <w:sz w:val="24"/>
          <w:szCs w:val="24"/>
          <w:lang w:eastAsia="fr-FR"/>
        </w:rPr>
        <w:t xml:space="preserve"> (également parfois noté SEL_A) : niveau acoustique d’exposition. L’indicateur est calculé de la façon suivante : L</w:t>
      </w:r>
      <w:r>
        <w:rPr>
          <w:rFonts w:ascii="Times New Roman" w:eastAsia="Times New Roman" w:hAnsi="Times New Roman" w:cs="Times New Roman"/>
          <w:sz w:val="32"/>
          <w:szCs w:val="24"/>
          <w:vertAlign w:val="subscript"/>
          <w:lang w:eastAsia="fr-FR"/>
        </w:rPr>
        <w:t xml:space="preserve">AE= </w:t>
      </w:r>
      <w:proofErr w:type="spellStart"/>
      <w:proofErr w:type="gramStart"/>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Aeq,Tevt</w:t>
      </w:r>
      <w:proofErr w:type="spellEnd"/>
      <w:proofErr w:type="gramEnd"/>
      <w:r>
        <w:rPr>
          <w:rFonts w:ascii="Times New Roman" w:eastAsia="Times New Roman" w:hAnsi="Times New Roman" w:cs="Times New Roman"/>
          <w:sz w:val="32"/>
          <w:szCs w:val="24"/>
          <w:vertAlign w:val="subscript"/>
          <w:lang w:eastAsia="fr-FR"/>
        </w:rPr>
        <w:t xml:space="preserve"> + </w:t>
      </w:r>
      <w:r>
        <w:rPr>
          <w:rFonts w:ascii="Times New Roman" w:eastAsia="Times New Roman" w:hAnsi="Times New Roman" w:cs="Times New Roman"/>
          <w:sz w:val="24"/>
          <w:szCs w:val="24"/>
          <w:lang w:eastAsia="fr-FR"/>
        </w:rPr>
        <w:t>10log</w:t>
      </w:r>
      <w:r>
        <w:rPr>
          <w:rFonts w:ascii="Times New Roman" w:eastAsia="Times New Roman" w:hAnsi="Times New Roman" w:cs="Times New Roman"/>
          <w:sz w:val="24"/>
          <w:szCs w:val="24"/>
          <w:vertAlign w:val="subscript"/>
          <w:lang w:eastAsia="fr-FR"/>
        </w:rPr>
        <w:t>10</w:t>
      </w:r>
      <w:r>
        <w:rPr>
          <w:rFonts w:ascii="Times New Roman" w:eastAsia="Times New Roman" w:hAnsi="Times New Roman" w:cs="Times New Roman"/>
          <w:sz w:val="32"/>
          <w:szCs w:val="24"/>
          <w:vertAlign w:val="subscript"/>
          <w:lang w:eastAsia="fr-FR"/>
        </w:rPr>
        <w:t>(</w:t>
      </w:r>
      <w:proofErr w:type="spellStart"/>
      <w:r>
        <w:rPr>
          <w:rFonts w:ascii="Times New Roman" w:eastAsia="Times New Roman" w:hAnsi="Times New Roman" w:cs="Times New Roman"/>
          <w:sz w:val="24"/>
          <w:szCs w:val="24"/>
          <w:lang w:eastAsia="fr-FR"/>
        </w:rPr>
        <w:t>Tevt</w:t>
      </w:r>
      <w:proofErr w:type="spellEnd"/>
      <w:r>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vertAlign w:val="subscript"/>
          <w:lang w:eastAsia="fr-FR"/>
        </w:rPr>
        <w:t>0</w:t>
      </w:r>
      <w:r>
        <w:rPr>
          <w:rFonts w:ascii="Times New Roman" w:eastAsia="Times New Roman" w:hAnsi="Times New Roman" w:cs="Times New Roman"/>
          <w:sz w:val="32"/>
          <w:szCs w:val="24"/>
          <w:vertAlign w:val="subscript"/>
          <w:lang w:eastAsia="fr-FR"/>
        </w:rPr>
        <w:t xml:space="preserve">), </w:t>
      </w:r>
      <w:r>
        <w:rPr>
          <w:rFonts w:ascii="Times New Roman" w:eastAsia="Times New Roman" w:hAnsi="Times New Roman" w:cs="Times New Roman"/>
          <w:sz w:val="32"/>
          <w:szCs w:val="24"/>
          <w:vertAlign w:val="subscript"/>
          <w:lang w:eastAsia="fr-FR"/>
        </w:rPr>
        <w:t xml:space="preserve">où </w:t>
      </w:r>
      <w:r>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vertAlign w:val="subscript"/>
          <w:lang w:eastAsia="fr-FR"/>
        </w:rPr>
        <w:t>0</w:t>
      </w:r>
      <w:r>
        <w:rPr>
          <w:rFonts w:ascii="Times New Roman" w:eastAsia="Times New Roman" w:hAnsi="Times New Roman" w:cs="Times New Roman"/>
          <w:sz w:val="24"/>
          <w:szCs w:val="24"/>
          <w:lang w:eastAsia="fr-FR"/>
        </w:rPr>
        <w:t>=1s</w:t>
      </w:r>
    </w:p>
    <w:p w:rsidR="00B1515C" w:rsidRDefault="00B1515C">
      <w:pPr>
        <w:pStyle w:val="Paragraphedeliste"/>
        <w:spacing w:after="0" w:line="240" w:lineRule="auto"/>
        <w:ind w:left="1440"/>
        <w:jc w:val="both"/>
        <w:rPr>
          <w:rFonts w:ascii="Times New Roman" w:eastAsia="Times New Roman" w:hAnsi="Times New Roman" w:cs="Times New Roman"/>
          <w:sz w:val="24"/>
          <w:szCs w:val="24"/>
          <w:lang w:eastAsia="fr-FR"/>
        </w:rPr>
      </w:pPr>
    </w:p>
    <w:p w:rsidR="00B1515C" w:rsidRDefault="00B1515C">
      <w:pPr>
        <w:spacing w:after="0" w:line="240" w:lineRule="auto"/>
        <w:jc w:val="both"/>
        <w:rPr>
          <w:rFonts w:ascii="Times New Roman" w:eastAsia="Times New Roman" w:hAnsi="Times New Roman" w:cs="Times New Roman"/>
          <w:sz w:val="24"/>
          <w:szCs w:val="24"/>
          <w:lang w:eastAsia="fr-FR"/>
        </w:rPr>
      </w:pPr>
    </w:p>
    <w:p w:rsidR="00B1515C" w:rsidRDefault="007F2044">
      <w:pPr>
        <w:spacing w:after="0" w:line="240" w:lineRule="auto"/>
        <w:jc w:val="both"/>
        <w:rPr>
          <w:rFonts w:ascii="Times New Roman" w:eastAsia="Times New Roman" w:hAnsi="Times New Roman" w:cs="Times New Roman"/>
          <w:sz w:val="32"/>
          <w:szCs w:val="24"/>
          <w:vertAlign w:val="subscript"/>
          <w:lang w:eastAsia="fr-FR"/>
        </w:rPr>
      </w:pPr>
      <w:r>
        <w:rPr>
          <w:rFonts w:ascii="Times New Roman" w:eastAsia="Times New Roman" w:hAnsi="Times New Roman" w:cs="Times New Roman"/>
          <w:sz w:val="24"/>
          <w:szCs w:val="24"/>
          <w:lang w:eastAsia="fr-FR"/>
        </w:rPr>
        <w:t xml:space="preserve">2°) Pour chacune des trois périodes d’une journée moyenne : Jour (6h-18h), Soirée (18h-22h), et Nuit (22h-6h), les nombres NAX de circulations ferroviaires, conduisant à un dépassement strict de la valeur X du niveau des indicateurs </w:t>
      </w:r>
      <w:proofErr w:type="spellStart"/>
      <w:r>
        <w:rPr>
          <w:rFonts w:ascii="Times New Roman" w:eastAsia="Times New Roman" w:hAnsi="Times New Roman" w:cs="Times New Roman"/>
          <w:sz w:val="24"/>
          <w:szCs w:val="24"/>
          <w:lang w:eastAsia="fr-FR"/>
        </w:rPr>
        <w:t>Lp</w:t>
      </w:r>
      <w:r>
        <w:rPr>
          <w:rFonts w:ascii="Times New Roman" w:eastAsia="Times New Roman" w:hAnsi="Times New Roman" w:cs="Times New Roman"/>
          <w:sz w:val="24"/>
          <w:szCs w:val="24"/>
          <w:vertAlign w:val="subscript"/>
          <w:lang w:eastAsia="fr-FR"/>
        </w:rPr>
        <w:t>ASMax</w:t>
      </w:r>
      <w:proofErr w:type="spellEnd"/>
      <w:r>
        <w:rPr>
          <w:rFonts w:ascii="Times New Roman" w:eastAsia="Times New Roman" w:hAnsi="Times New Roman" w:cs="Times New Roman"/>
          <w:sz w:val="24"/>
          <w:szCs w:val="24"/>
          <w:vertAlign w:val="subscript"/>
          <w:lang w:eastAsia="fr-FR"/>
        </w:rPr>
        <w:t xml:space="preserve"> </w:t>
      </w:r>
      <w:r>
        <w:rPr>
          <w:rFonts w:ascii="Times New Roman" w:eastAsia="Times New Roman" w:hAnsi="Times New Roman" w:cs="Times New Roman"/>
          <w:sz w:val="24"/>
          <w:szCs w:val="24"/>
          <w:lang w:eastAsia="fr-FR"/>
        </w:rPr>
        <w:t>ou L</w:t>
      </w:r>
      <w:r>
        <w:rPr>
          <w:rFonts w:ascii="Times New Roman" w:eastAsia="Times New Roman" w:hAnsi="Times New Roman" w:cs="Times New Roman"/>
          <w:sz w:val="32"/>
          <w:szCs w:val="24"/>
          <w:vertAlign w:val="subscript"/>
          <w:lang w:eastAsia="fr-FR"/>
        </w:rPr>
        <w:t>Aeq,1</w:t>
      </w:r>
      <w:proofErr w:type="gramStart"/>
      <w:r>
        <w:rPr>
          <w:rFonts w:ascii="Times New Roman" w:eastAsia="Times New Roman" w:hAnsi="Times New Roman" w:cs="Times New Roman"/>
          <w:sz w:val="32"/>
          <w:szCs w:val="24"/>
          <w:vertAlign w:val="subscript"/>
          <w:lang w:eastAsia="fr-FR"/>
        </w:rPr>
        <w:t>s,max</w:t>
      </w:r>
      <w:proofErr w:type="gramEnd"/>
      <w:r>
        <w:rPr>
          <w:rFonts w:ascii="Times New Roman" w:eastAsia="Times New Roman" w:hAnsi="Times New Roman" w:cs="Times New Roman"/>
          <w:sz w:val="32"/>
          <w:szCs w:val="24"/>
          <w:vertAlign w:val="subscript"/>
          <w:lang w:eastAsia="fr-FR"/>
        </w:rPr>
        <w:t xml:space="preserve"> </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Aeq,Tevt</w:t>
      </w:r>
      <w:proofErr w:type="spellEnd"/>
      <w:r>
        <w:rPr>
          <w:rFonts w:ascii="Times New Roman" w:eastAsia="Times New Roman" w:hAnsi="Times New Roman" w:cs="Times New Roman"/>
          <w:sz w:val="24"/>
          <w:szCs w:val="24"/>
          <w:lang w:eastAsia="fr-FR"/>
        </w:rPr>
        <w:t xml:space="preserve"> , et LAE (ou SEL_A), seront évalués. </w:t>
      </w:r>
    </w:p>
    <w:p w:rsidR="00B1515C" w:rsidRDefault="00B1515C">
      <w:pPr>
        <w:spacing w:after="0" w:line="240" w:lineRule="auto"/>
        <w:jc w:val="both"/>
        <w:rPr>
          <w:rFonts w:ascii="Times New Roman" w:eastAsia="Times New Roman" w:hAnsi="Times New Roman" w:cs="Times New Roman"/>
          <w:sz w:val="24"/>
          <w:szCs w:val="24"/>
          <w:lang w:eastAsia="fr-FR"/>
        </w:rPr>
      </w:pPr>
    </w:p>
    <w:p w:rsidR="00B1515C" w:rsidRDefault="007F2044">
      <w:pPr>
        <w:spacing w:after="0" w:line="240" w:lineRule="auto"/>
        <w:jc w:val="both"/>
      </w:pPr>
      <w:r>
        <w:rPr>
          <w:rFonts w:ascii="Times New Roman" w:eastAsia="Times New Roman" w:hAnsi="Times New Roman" w:cs="Times New Roman"/>
          <w:sz w:val="24"/>
          <w:szCs w:val="24"/>
          <w:lang w:eastAsia="fr-FR"/>
        </w:rPr>
        <w:t>On les notera respectivement :</w:t>
      </w:r>
    </w:p>
    <w:p w:rsidR="00B1515C" w:rsidRDefault="00B1515C">
      <w:pPr>
        <w:spacing w:after="0" w:line="240" w:lineRule="auto"/>
        <w:jc w:val="both"/>
        <w:rPr>
          <w:rFonts w:ascii="Times New Roman" w:eastAsia="Times New Roman" w:hAnsi="Times New Roman" w:cs="Times New Roman"/>
          <w:sz w:val="24"/>
          <w:szCs w:val="24"/>
          <w:lang w:eastAsia="fr-FR"/>
        </w:rPr>
      </w:pPr>
    </w:p>
    <w:p w:rsidR="00B1515C" w:rsidRDefault="007F2044">
      <w:pPr>
        <w:pStyle w:val="Paragraphedeliste"/>
        <w:numPr>
          <w:ilvl w:val="0"/>
          <w:numId w:val="1"/>
        </w:numPr>
        <w:spacing w:after="0" w:line="240" w:lineRule="auto"/>
        <w:jc w:val="both"/>
      </w:pPr>
      <w:r>
        <w:rPr>
          <w:rFonts w:ascii="Times New Roman" w:eastAsia="Times New Roman" w:hAnsi="Times New Roman" w:cs="Times New Roman"/>
          <w:sz w:val="24"/>
          <w:szCs w:val="24"/>
          <w:lang w:eastAsia="fr-FR"/>
        </w:rPr>
        <w:t xml:space="preserve">NAX_ </w:t>
      </w:r>
      <w:proofErr w:type="spellStart"/>
      <w:r>
        <w:rPr>
          <w:rFonts w:ascii="Times New Roman" w:eastAsia="Times New Roman" w:hAnsi="Times New Roman" w:cs="Times New Roman"/>
          <w:sz w:val="24"/>
          <w:szCs w:val="24"/>
          <w:lang w:eastAsia="fr-FR"/>
        </w:rPr>
        <w:t>Lp</w:t>
      </w:r>
      <w:r>
        <w:rPr>
          <w:rFonts w:ascii="Times New Roman" w:eastAsia="Times New Roman" w:hAnsi="Times New Roman" w:cs="Times New Roman"/>
          <w:sz w:val="24"/>
          <w:szCs w:val="24"/>
          <w:vertAlign w:val="subscript"/>
          <w:lang w:eastAsia="fr-FR"/>
        </w:rPr>
        <w:t>ASMax</w:t>
      </w:r>
      <w:proofErr w:type="spellEnd"/>
      <w:r>
        <w:rPr>
          <w:rFonts w:ascii="Times New Roman" w:eastAsia="Times New Roman" w:hAnsi="Times New Roman" w:cs="Times New Roman"/>
          <w:sz w:val="24"/>
          <w:szCs w:val="24"/>
          <w:vertAlign w:val="subscript"/>
          <w:lang w:eastAsia="fr-FR"/>
        </w:rPr>
        <w:t xml:space="preserve"> </w:t>
      </w:r>
      <w:r>
        <w:rPr>
          <w:rFonts w:ascii="Times New Roman" w:eastAsia="Times New Roman" w:hAnsi="Times New Roman" w:cs="Times New Roman"/>
          <w:sz w:val="24"/>
          <w:szCs w:val="24"/>
          <w:lang w:eastAsia="fr-FR"/>
        </w:rPr>
        <w:t>ou NAX_ L</w:t>
      </w:r>
      <w:r>
        <w:rPr>
          <w:rFonts w:ascii="Times New Roman" w:eastAsia="Times New Roman" w:hAnsi="Times New Roman" w:cs="Times New Roman"/>
          <w:sz w:val="32"/>
          <w:szCs w:val="24"/>
          <w:vertAlign w:val="subscript"/>
          <w:lang w:eastAsia="fr-FR"/>
        </w:rPr>
        <w:t>Aeq,1</w:t>
      </w:r>
      <w:proofErr w:type="gramStart"/>
      <w:r>
        <w:rPr>
          <w:rFonts w:ascii="Times New Roman" w:eastAsia="Times New Roman" w:hAnsi="Times New Roman" w:cs="Times New Roman"/>
          <w:sz w:val="32"/>
          <w:szCs w:val="24"/>
          <w:vertAlign w:val="subscript"/>
          <w:lang w:eastAsia="fr-FR"/>
        </w:rPr>
        <w:t>s,max</w:t>
      </w:r>
      <w:proofErr w:type="gramEnd"/>
    </w:p>
    <w:p w:rsidR="00B1515C" w:rsidRDefault="007F2044">
      <w:pPr>
        <w:pStyle w:val="Paragraphedeliste"/>
        <w:numPr>
          <w:ilvl w:val="0"/>
          <w:numId w:val="1"/>
        </w:numPr>
        <w:spacing w:after="0" w:line="240" w:lineRule="auto"/>
        <w:jc w:val="both"/>
      </w:pPr>
      <w:r>
        <w:rPr>
          <w:rFonts w:ascii="Times New Roman" w:eastAsia="Times New Roman" w:hAnsi="Times New Roman" w:cs="Times New Roman"/>
          <w:sz w:val="24"/>
          <w:szCs w:val="24"/>
          <w:lang w:eastAsia="fr-FR"/>
        </w:rPr>
        <w:t xml:space="preserve">NAX_ </w:t>
      </w:r>
      <w:proofErr w:type="spellStart"/>
      <w:proofErr w:type="gramStart"/>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Aeq,Tevt</w:t>
      </w:r>
      <w:proofErr w:type="spellEnd"/>
      <w:proofErr w:type="gramEnd"/>
      <w:r>
        <w:rPr>
          <w:rFonts w:ascii="Times New Roman" w:eastAsia="Times New Roman" w:hAnsi="Times New Roman" w:cs="Times New Roman"/>
          <w:sz w:val="24"/>
          <w:szCs w:val="24"/>
          <w:lang w:eastAsia="fr-FR"/>
        </w:rPr>
        <w:t xml:space="preserve"> </w:t>
      </w:r>
    </w:p>
    <w:p w:rsidR="00B1515C" w:rsidRDefault="007F2044">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NAX_ LAE (ou NAX_ SEL_A)</w:t>
      </w:r>
    </w:p>
    <w:p w:rsidR="00B1515C" w:rsidRDefault="00B1515C">
      <w:pPr>
        <w:spacing w:after="0" w:line="240" w:lineRule="auto"/>
        <w:jc w:val="both"/>
        <w:rPr>
          <w:rFonts w:ascii="Times New Roman" w:eastAsia="Times New Roman" w:hAnsi="Times New Roman" w:cs="Times New Roman"/>
          <w:sz w:val="24"/>
          <w:szCs w:val="24"/>
          <w:lang w:eastAsia="fr-FR"/>
        </w:rPr>
      </w:pPr>
    </w:p>
    <w:p w:rsidR="00B1515C" w:rsidRDefault="007F2044">
      <w:pPr>
        <w:spacing w:after="0" w:line="240" w:lineRule="auto"/>
        <w:jc w:val="both"/>
      </w:pPr>
      <w:r>
        <w:rPr>
          <w:rFonts w:ascii="Times New Roman" w:eastAsia="Times New Roman" w:hAnsi="Times New Roman" w:cs="Times New Roman"/>
          <w:sz w:val="24"/>
          <w:szCs w:val="24"/>
          <w:lang w:eastAsia="fr-FR"/>
        </w:rPr>
        <w:t>Les NAX_ sont évalués à partir de X=50 dB(A), par pas de 2 dB(A).</w:t>
      </w:r>
    </w:p>
    <w:p w:rsidR="00B1515C" w:rsidRDefault="00B1515C">
      <w:pPr>
        <w:spacing w:after="0" w:line="240" w:lineRule="auto"/>
        <w:jc w:val="both"/>
        <w:rPr>
          <w:rFonts w:ascii="Times New Roman" w:eastAsia="Times New Roman" w:hAnsi="Times New Roman" w:cs="Times New Roman"/>
          <w:sz w:val="24"/>
          <w:szCs w:val="24"/>
          <w:lang w:eastAsia="fr-FR"/>
        </w:rPr>
      </w:pPr>
    </w:p>
    <w:p w:rsidR="00B1515C" w:rsidRDefault="007F2044">
      <w:pPr>
        <w:spacing w:after="0" w:line="240" w:lineRule="auto"/>
        <w:jc w:val="both"/>
      </w:pPr>
      <w:r>
        <w:rPr>
          <w:rFonts w:ascii="Times New Roman" w:eastAsia="Times New Roman" w:hAnsi="Times New Roman" w:cs="Times New Roman"/>
          <w:sz w:val="24"/>
          <w:szCs w:val="24"/>
          <w:lang w:eastAsia="fr-FR"/>
        </w:rPr>
        <w:t>Les gestionnaires de</w:t>
      </w:r>
      <w:r>
        <w:rPr>
          <w:rFonts w:ascii="Times New Roman" w:eastAsia="Times New Roman" w:hAnsi="Times New Roman" w:cs="Times New Roman"/>
          <w:sz w:val="24"/>
          <w:szCs w:val="24"/>
          <w:lang w:eastAsia="fr-FR"/>
        </w:rPr>
        <w:t xml:space="preserve"> réseau peuvent également fournir en complément des indicateurs mentionnées au 1°) et </w:t>
      </w:r>
      <w:proofErr w:type="gramStart"/>
      <w:r>
        <w:rPr>
          <w:rFonts w:ascii="Times New Roman" w:eastAsia="Times New Roman" w:hAnsi="Times New Roman" w:cs="Times New Roman"/>
          <w:sz w:val="24"/>
          <w:szCs w:val="24"/>
          <w:lang w:eastAsia="fr-FR"/>
        </w:rPr>
        <w:t>2)°</w:t>
      </w:r>
      <w:proofErr w:type="gramEnd"/>
      <w:r>
        <w:rPr>
          <w:rFonts w:ascii="Times New Roman" w:eastAsia="Times New Roman" w:hAnsi="Times New Roman" w:cs="Times New Roman"/>
          <w:sz w:val="24"/>
          <w:szCs w:val="24"/>
          <w:lang w:eastAsia="fr-FR"/>
        </w:rPr>
        <w:t xml:space="preserve">, tout autre indicateur, notamment à points, permettant de mieux caractériser le phénomène de soudaineté et de répétitivité du bruit généré par les infrastructures de </w:t>
      </w:r>
      <w:r>
        <w:rPr>
          <w:rFonts w:ascii="Times New Roman" w:eastAsia="Times New Roman" w:hAnsi="Times New Roman" w:cs="Times New Roman"/>
          <w:sz w:val="24"/>
          <w:szCs w:val="24"/>
          <w:lang w:eastAsia="fr-FR"/>
        </w:rPr>
        <w:t>transport ferroviaire, et permettant d’en faciliter la lecture pour le grand public. </w:t>
      </w:r>
    </w:p>
    <w:p w:rsidR="00B1515C" w:rsidRDefault="00B1515C">
      <w:pPr>
        <w:spacing w:before="113" w:after="0" w:line="240" w:lineRule="auto"/>
        <w:jc w:val="both"/>
      </w:pPr>
    </w:p>
    <w:p w:rsidR="00B1515C" w:rsidRDefault="007F2044">
      <w:pPr>
        <w:pStyle w:val="NormalWeb"/>
        <w:jc w:val="both"/>
      </w:pPr>
      <w:bookmarkStart w:id="1" w:name="LEGIARTI000006235134"/>
      <w:bookmarkEnd w:id="1"/>
      <w:r>
        <w:rPr>
          <w:b/>
        </w:rPr>
        <w:t>Article 5 (dispositions particulières applicables aux lignes à grande vitesse)</w:t>
      </w:r>
    </w:p>
    <w:p w:rsidR="00B1515C" w:rsidRDefault="007F2044">
      <w:pPr>
        <w:pStyle w:val="NormalWeb"/>
        <w:jc w:val="both"/>
      </w:pPr>
      <w:r>
        <w:t xml:space="preserve">Pour les lignes ferroviaires à grande vitesse, supportant des vitesses de circulation </w:t>
      </w:r>
      <w:r>
        <w:t>supérieures à 250 km/h, sont également évalués les indicateurs suivants, sur la base de niveaux sonores avec la pondération fréquentielle C :</w:t>
      </w:r>
    </w:p>
    <w:p w:rsidR="00B1515C" w:rsidRDefault="007F2044">
      <w:pPr>
        <w:pStyle w:val="NormalWeb"/>
        <w:numPr>
          <w:ilvl w:val="0"/>
          <w:numId w:val="2"/>
        </w:numPr>
        <w:spacing w:after="0"/>
        <w:jc w:val="both"/>
      </w:pPr>
      <w:proofErr w:type="spellStart"/>
      <w:r>
        <w:t>LCeq</w:t>
      </w:r>
      <w:proofErr w:type="spellEnd"/>
      <w:r>
        <w:t xml:space="preserve"> (6h-18h), </w:t>
      </w:r>
      <w:proofErr w:type="spellStart"/>
      <w:r>
        <w:t>LCeq</w:t>
      </w:r>
      <w:proofErr w:type="spellEnd"/>
      <w:r>
        <w:t xml:space="preserve"> (18h-22h), </w:t>
      </w:r>
      <w:proofErr w:type="spellStart"/>
      <w:r>
        <w:t>LCeq</w:t>
      </w:r>
      <w:proofErr w:type="spellEnd"/>
      <w:r>
        <w:t xml:space="preserve"> (22h-6h) pour les niveaux de pression acoustique continus équivalents périodes</w:t>
      </w:r>
      <w:r>
        <w:t>,</w:t>
      </w:r>
    </w:p>
    <w:p w:rsidR="00B1515C" w:rsidRDefault="007F2044">
      <w:pPr>
        <w:pStyle w:val="Paragraphedeliste"/>
        <w:numPr>
          <w:ilvl w:val="0"/>
          <w:numId w:val="2"/>
        </w:numPr>
        <w:spacing w:after="0" w:line="240" w:lineRule="auto"/>
        <w:jc w:val="both"/>
      </w:pPr>
      <w:proofErr w:type="spellStart"/>
      <w:r>
        <w:rPr>
          <w:rFonts w:ascii="Times New Roman" w:eastAsia="Times New Roman" w:hAnsi="Times New Roman" w:cs="Times New Roman"/>
          <w:sz w:val="24"/>
          <w:szCs w:val="24"/>
          <w:lang w:eastAsia="fr-FR"/>
        </w:rPr>
        <w:t>Lp</w:t>
      </w:r>
      <w:r>
        <w:rPr>
          <w:rFonts w:ascii="Times New Roman" w:eastAsia="Times New Roman" w:hAnsi="Times New Roman" w:cs="Times New Roman"/>
          <w:sz w:val="24"/>
          <w:szCs w:val="24"/>
          <w:vertAlign w:val="subscript"/>
          <w:lang w:eastAsia="fr-FR"/>
        </w:rPr>
        <w:t>CSMax</w:t>
      </w:r>
      <w:proofErr w:type="spellEnd"/>
      <w:r>
        <w:rPr>
          <w:rFonts w:ascii="Times New Roman" w:eastAsia="Times New Roman" w:hAnsi="Times New Roman" w:cs="Times New Roman"/>
          <w:sz w:val="24"/>
          <w:szCs w:val="24"/>
          <w:vertAlign w:val="subscript"/>
          <w:lang w:eastAsia="fr-FR"/>
        </w:rPr>
        <w:t>,</w:t>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ou</w:t>
      </w:r>
      <w:r>
        <w:rPr>
          <w:rFonts w:ascii="Times New Roman" w:eastAsia="Times New Roman" w:hAnsi="Times New Roman" w:cs="Times New Roman"/>
          <w:sz w:val="24"/>
          <w:szCs w:val="24"/>
          <w:vertAlign w:val="subscript"/>
          <w:lang w:eastAsia="fr-FR"/>
        </w:rPr>
        <w:t xml:space="preserve">  </w:t>
      </w:r>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Ceq</w:t>
      </w:r>
      <w:proofErr w:type="gramEnd"/>
      <w:r>
        <w:rPr>
          <w:rFonts w:ascii="Times New Roman" w:eastAsia="Times New Roman" w:hAnsi="Times New Roman" w:cs="Times New Roman"/>
          <w:sz w:val="32"/>
          <w:szCs w:val="24"/>
          <w:vertAlign w:val="subscript"/>
          <w:lang w:eastAsia="fr-FR"/>
        </w:rPr>
        <w:t>,1s,max </w:t>
      </w:r>
      <w:r>
        <w:rPr>
          <w:rFonts w:ascii="Times New Roman" w:eastAsia="Times New Roman" w:hAnsi="Times New Roman" w:cs="Times New Roman"/>
          <w:sz w:val="24"/>
          <w:szCs w:val="24"/>
          <w:lang w:eastAsia="fr-FR"/>
        </w:rPr>
        <w:t xml:space="preserve"> pour les niveaux sonores maxima,</w:t>
      </w:r>
    </w:p>
    <w:p w:rsidR="00B1515C" w:rsidRDefault="007F2044">
      <w:pPr>
        <w:pStyle w:val="Paragraphedeliste"/>
        <w:numPr>
          <w:ilvl w:val="0"/>
          <w:numId w:val="2"/>
        </w:numPr>
        <w:spacing w:after="0" w:line="240" w:lineRule="auto"/>
        <w:jc w:val="both"/>
      </w:pPr>
      <w:proofErr w:type="spellStart"/>
      <w:proofErr w:type="gramStart"/>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Ceq,Tevt</w:t>
      </w:r>
      <w:proofErr w:type="spellEnd"/>
      <w:proofErr w:type="gramEnd"/>
      <w:r>
        <w:rPr>
          <w:rFonts w:ascii="Times New Roman" w:eastAsia="Times New Roman" w:hAnsi="Times New Roman" w:cs="Times New Roman"/>
          <w:sz w:val="24"/>
          <w:szCs w:val="24"/>
          <w:lang w:eastAsia="fr-FR"/>
        </w:rPr>
        <w:t xml:space="preserve"> pour les niveaux de pression acoustique continus équivalents évalués sur la durée </w:t>
      </w:r>
      <w:r>
        <w:rPr>
          <w:rFonts w:ascii="Times New Roman" w:eastAsia="Times New Roman" w:hAnsi="Times New Roman" w:cs="Times New Roman"/>
          <w:sz w:val="32"/>
          <w:szCs w:val="24"/>
          <w:vertAlign w:val="subscript"/>
          <w:lang w:eastAsia="fr-FR"/>
        </w:rPr>
        <w:t xml:space="preserve"> </w:t>
      </w:r>
      <w:proofErr w:type="spellStart"/>
      <w:r>
        <w:rPr>
          <w:rFonts w:ascii="Times New Roman" w:eastAsia="Times New Roman" w:hAnsi="Times New Roman" w:cs="Times New Roman"/>
          <w:sz w:val="24"/>
          <w:szCs w:val="24"/>
          <w:lang w:eastAsia="fr-FR"/>
        </w:rPr>
        <w:t>T</w:t>
      </w:r>
      <w:r>
        <w:rPr>
          <w:rFonts w:ascii="Times New Roman" w:eastAsia="Times New Roman" w:hAnsi="Times New Roman" w:cs="Times New Roman"/>
          <w:sz w:val="20"/>
          <w:szCs w:val="24"/>
          <w:lang w:eastAsia="fr-FR"/>
        </w:rPr>
        <w:t>evt</w:t>
      </w:r>
      <w:proofErr w:type="spellEnd"/>
    </w:p>
    <w:p w:rsidR="00B1515C" w:rsidRDefault="007F2044">
      <w:pPr>
        <w:pStyle w:val="Paragraphedeliste"/>
        <w:numPr>
          <w:ilvl w:val="0"/>
          <w:numId w:val="2"/>
        </w:numPr>
        <w:spacing w:after="0" w:line="240" w:lineRule="auto"/>
        <w:jc w:val="both"/>
      </w:pPr>
      <w:r>
        <w:rPr>
          <w:rFonts w:ascii="Times New Roman" w:eastAsia="Times New Roman" w:hAnsi="Times New Roman" w:cs="Times New Roman"/>
          <w:sz w:val="24"/>
          <w:szCs w:val="24"/>
          <w:lang w:eastAsia="fr-FR"/>
        </w:rPr>
        <w:t>LCE (ou SEL_C) pour les niveaux acoustiques d’exposition évalués sur la durée</w:t>
      </w:r>
      <w:r>
        <w:rPr>
          <w:rFonts w:ascii="Times New Roman" w:eastAsia="Times New Roman" w:hAnsi="Times New Roman" w:cs="Times New Roman"/>
          <w:sz w:val="32"/>
          <w:szCs w:val="24"/>
          <w:vertAlign w:val="subscript"/>
          <w:lang w:eastAsia="fr-FR"/>
        </w:rPr>
        <w:t xml:space="preserve"> </w:t>
      </w:r>
      <w:proofErr w:type="spellStart"/>
      <w:r>
        <w:rPr>
          <w:rFonts w:ascii="Times New Roman" w:eastAsia="Times New Roman" w:hAnsi="Times New Roman" w:cs="Times New Roman"/>
          <w:sz w:val="24"/>
          <w:szCs w:val="24"/>
          <w:lang w:eastAsia="fr-FR"/>
        </w:rPr>
        <w:t>T</w:t>
      </w:r>
      <w:r>
        <w:rPr>
          <w:rFonts w:ascii="Times New Roman" w:eastAsia="Times New Roman" w:hAnsi="Times New Roman" w:cs="Times New Roman"/>
          <w:sz w:val="20"/>
          <w:szCs w:val="24"/>
          <w:lang w:eastAsia="fr-FR"/>
        </w:rPr>
        <w:t>evt</w:t>
      </w:r>
      <w:proofErr w:type="spellEnd"/>
    </w:p>
    <w:p w:rsidR="00B1515C" w:rsidRDefault="007F2044">
      <w:pPr>
        <w:pStyle w:val="Paragraphedeliste"/>
        <w:numPr>
          <w:ilvl w:val="0"/>
          <w:numId w:val="2"/>
        </w:numPr>
        <w:spacing w:after="0" w:line="240" w:lineRule="auto"/>
        <w:jc w:val="both"/>
      </w:pPr>
      <w:r>
        <w:rPr>
          <w:rFonts w:ascii="Times New Roman" w:eastAsia="Times New Roman" w:hAnsi="Times New Roman" w:cs="Times New Roman"/>
          <w:sz w:val="24"/>
          <w:szCs w:val="24"/>
          <w:lang w:eastAsia="fr-FR"/>
        </w:rPr>
        <w:t xml:space="preserve">NAX_ </w:t>
      </w:r>
      <w:proofErr w:type="spellStart"/>
      <w:r>
        <w:rPr>
          <w:rFonts w:ascii="Times New Roman" w:eastAsia="Times New Roman" w:hAnsi="Times New Roman" w:cs="Times New Roman"/>
          <w:sz w:val="24"/>
          <w:szCs w:val="24"/>
          <w:lang w:eastAsia="fr-FR"/>
        </w:rPr>
        <w:t>Lp</w:t>
      </w:r>
      <w:r>
        <w:rPr>
          <w:rFonts w:ascii="Times New Roman" w:eastAsia="Times New Roman" w:hAnsi="Times New Roman" w:cs="Times New Roman"/>
          <w:sz w:val="24"/>
          <w:szCs w:val="24"/>
          <w:vertAlign w:val="subscript"/>
          <w:lang w:eastAsia="fr-FR"/>
        </w:rPr>
        <w:t>CSmax</w:t>
      </w:r>
      <w:proofErr w:type="spellEnd"/>
      <w:r>
        <w:rPr>
          <w:rFonts w:ascii="Times New Roman" w:eastAsia="Times New Roman" w:hAnsi="Times New Roman" w:cs="Times New Roman"/>
          <w:sz w:val="24"/>
          <w:szCs w:val="24"/>
          <w:lang w:eastAsia="fr-FR"/>
        </w:rPr>
        <w:t xml:space="preserve"> o</w:t>
      </w:r>
      <w:r>
        <w:rPr>
          <w:rFonts w:ascii="Times New Roman" w:eastAsia="Times New Roman" w:hAnsi="Times New Roman" w:cs="Times New Roman"/>
          <w:sz w:val="24"/>
          <w:szCs w:val="24"/>
          <w:lang w:eastAsia="fr-FR"/>
        </w:rPr>
        <w:t>u NAX_ L</w:t>
      </w:r>
      <w:r>
        <w:rPr>
          <w:rFonts w:ascii="Times New Roman" w:eastAsia="Times New Roman" w:hAnsi="Times New Roman" w:cs="Times New Roman"/>
          <w:sz w:val="32"/>
          <w:szCs w:val="24"/>
          <w:vertAlign w:val="subscript"/>
          <w:lang w:eastAsia="fr-FR"/>
        </w:rPr>
        <w:t>Ceq,1</w:t>
      </w:r>
      <w:proofErr w:type="gramStart"/>
      <w:r>
        <w:rPr>
          <w:rFonts w:ascii="Times New Roman" w:eastAsia="Times New Roman" w:hAnsi="Times New Roman" w:cs="Times New Roman"/>
          <w:sz w:val="32"/>
          <w:szCs w:val="24"/>
          <w:vertAlign w:val="subscript"/>
          <w:lang w:eastAsia="fr-FR"/>
        </w:rPr>
        <w:t>s,max</w:t>
      </w:r>
      <w:proofErr w:type="gramEnd"/>
      <w:r>
        <w:rPr>
          <w:rFonts w:ascii="Times New Roman" w:eastAsia="Times New Roman" w:hAnsi="Times New Roman" w:cs="Times New Roman"/>
          <w:sz w:val="32"/>
          <w:szCs w:val="24"/>
          <w:vertAlign w:val="subscript"/>
          <w:lang w:eastAsia="fr-FR"/>
        </w:rPr>
        <w:t> </w:t>
      </w:r>
    </w:p>
    <w:p w:rsidR="00B1515C" w:rsidRDefault="007F2044">
      <w:pPr>
        <w:pStyle w:val="Paragraphedeliste"/>
        <w:numPr>
          <w:ilvl w:val="0"/>
          <w:numId w:val="2"/>
        </w:numPr>
        <w:spacing w:after="0" w:line="240" w:lineRule="auto"/>
        <w:jc w:val="both"/>
      </w:pPr>
      <w:r>
        <w:rPr>
          <w:rFonts w:ascii="Times New Roman" w:eastAsia="Times New Roman" w:hAnsi="Times New Roman" w:cs="Times New Roman"/>
          <w:sz w:val="24"/>
          <w:szCs w:val="24"/>
          <w:lang w:eastAsia="fr-FR"/>
        </w:rPr>
        <w:t xml:space="preserve">NAX_ </w:t>
      </w:r>
      <w:proofErr w:type="spellStart"/>
      <w:proofErr w:type="gramStart"/>
      <w:r>
        <w:rPr>
          <w:rFonts w:ascii="Times New Roman" w:eastAsia="Times New Roman" w:hAnsi="Times New Roman" w:cs="Times New Roman"/>
          <w:sz w:val="24"/>
          <w:szCs w:val="24"/>
          <w:lang w:eastAsia="fr-FR"/>
        </w:rPr>
        <w:t>L</w:t>
      </w:r>
      <w:r>
        <w:rPr>
          <w:rFonts w:ascii="Times New Roman" w:eastAsia="Times New Roman" w:hAnsi="Times New Roman" w:cs="Times New Roman"/>
          <w:sz w:val="32"/>
          <w:szCs w:val="24"/>
          <w:vertAlign w:val="subscript"/>
          <w:lang w:eastAsia="fr-FR"/>
        </w:rPr>
        <w:t>Ceq,Tevt</w:t>
      </w:r>
      <w:proofErr w:type="spellEnd"/>
      <w:proofErr w:type="gramEnd"/>
      <w:r>
        <w:rPr>
          <w:rFonts w:ascii="Times New Roman" w:eastAsia="Times New Roman" w:hAnsi="Times New Roman" w:cs="Times New Roman"/>
          <w:sz w:val="24"/>
          <w:szCs w:val="24"/>
          <w:lang w:eastAsia="fr-FR"/>
        </w:rPr>
        <w:t xml:space="preserve"> </w:t>
      </w:r>
    </w:p>
    <w:p w:rsidR="00B1515C" w:rsidRDefault="007F2044">
      <w:pPr>
        <w:pStyle w:val="Paragraphedeliste"/>
        <w:numPr>
          <w:ilvl w:val="0"/>
          <w:numId w:val="2"/>
        </w:numPr>
        <w:spacing w:after="0" w:line="240" w:lineRule="auto"/>
        <w:jc w:val="both"/>
        <w:rPr>
          <w:rFonts w:ascii="Times New Roman" w:eastAsia="Times New Roman" w:hAnsi="Times New Roman" w:cs="Times New Roman"/>
          <w:sz w:val="24"/>
          <w:szCs w:val="24"/>
          <w:vertAlign w:val="subscript"/>
          <w:lang w:eastAsia="fr-FR"/>
        </w:rPr>
      </w:pPr>
      <w:r>
        <w:rPr>
          <w:rFonts w:ascii="Times New Roman" w:eastAsia="Times New Roman" w:hAnsi="Times New Roman" w:cs="Times New Roman"/>
          <w:sz w:val="24"/>
          <w:szCs w:val="24"/>
          <w:lang w:eastAsia="fr-FR"/>
        </w:rPr>
        <w:t>NAX_ LCE (ou NAX_ SEL_C)</w:t>
      </w:r>
    </w:p>
    <w:p w:rsidR="00B1515C" w:rsidRDefault="007F2044">
      <w:pPr>
        <w:pStyle w:val="NormalWeb"/>
        <w:numPr>
          <w:ilvl w:val="0"/>
          <w:numId w:val="2"/>
        </w:numPr>
        <w:spacing w:after="0"/>
        <w:jc w:val="both"/>
      </w:pPr>
      <w:r>
        <w:t>Les NAX_ sont évalués à partir de X=50 dB(C), par pas de 2 dB(C)</w:t>
      </w:r>
    </w:p>
    <w:p w:rsidR="00B1515C" w:rsidRDefault="00B1515C">
      <w:pPr>
        <w:pStyle w:val="NormalWeb"/>
        <w:jc w:val="both"/>
        <w:rPr>
          <w:b/>
        </w:rPr>
      </w:pPr>
    </w:p>
    <w:p w:rsidR="00B1515C" w:rsidRDefault="007F2044">
      <w:pPr>
        <w:pStyle w:val="NormalWeb"/>
        <w:jc w:val="both"/>
      </w:pPr>
      <w:r>
        <w:rPr>
          <w:b/>
        </w:rPr>
        <w:t>Article 6</w:t>
      </w:r>
    </w:p>
    <w:p w:rsidR="00B1515C" w:rsidRDefault="007F2044">
      <w:pPr>
        <w:pStyle w:val="NormalWeb"/>
        <w:jc w:val="both"/>
      </w:pPr>
      <w:r>
        <w:lastRenderedPageBreak/>
        <w:t xml:space="preserve">La ministre de la transition écologique, le ministre délégué auprès de la ministre de la Transition écologique, chargé </w:t>
      </w:r>
      <w:r>
        <w:t xml:space="preserve">des Transports, et </w:t>
      </w:r>
      <w:bookmarkStart w:id="2" w:name="__DdeLink__2002_2090465656"/>
      <w:r>
        <w:t>la ministre déléguée auprès de la ministre de la Transition écologique, chargée du Logement</w:t>
      </w:r>
      <w:bookmarkEnd w:id="2"/>
      <w:r>
        <w:t>, sont chargés, chacun en ce qui le concerne, de l’exécution du présent arrêté, qui sera publié au Journal officiel de la République française.</w:t>
      </w:r>
    </w:p>
    <w:p w:rsidR="00B1515C" w:rsidRDefault="00B1515C">
      <w:pPr>
        <w:spacing w:before="120" w:after="0"/>
        <w:jc w:val="both"/>
        <w:rPr>
          <w:rFonts w:ascii="Times New Roman" w:hAnsi="Times New Roman" w:cs="Times New Roman"/>
          <w:sz w:val="24"/>
          <w:szCs w:val="24"/>
        </w:rPr>
      </w:pPr>
    </w:p>
    <w:p w:rsidR="00B1515C" w:rsidRDefault="007F2044">
      <w:pPr>
        <w:spacing w:before="120" w:after="0"/>
        <w:jc w:val="both"/>
      </w:pPr>
      <w:r>
        <w:rPr>
          <w:rFonts w:ascii="Times New Roman" w:hAnsi="Times New Roman" w:cs="Times New Roman"/>
          <w:sz w:val="24"/>
          <w:szCs w:val="24"/>
        </w:rPr>
        <w:t>F</w:t>
      </w:r>
      <w:r>
        <w:rPr>
          <w:rFonts w:ascii="Times New Roman" w:hAnsi="Times New Roman" w:cs="Times New Roman"/>
          <w:sz w:val="24"/>
          <w:szCs w:val="24"/>
        </w:rPr>
        <w:t xml:space="preserve">ait le </w:t>
      </w:r>
    </w:p>
    <w:p w:rsidR="00B1515C" w:rsidRDefault="00B1515C">
      <w:pPr>
        <w:rPr>
          <w:rFonts w:ascii="Times New Roman" w:hAnsi="Times New Roman" w:cs="Times New Roman"/>
          <w:sz w:val="24"/>
          <w:szCs w:val="24"/>
        </w:rPr>
      </w:pPr>
    </w:p>
    <w:tbl>
      <w:tblPr>
        <w:tblStyle w:val="Grilledutableau"/>
        <w:tblW w:w="9062" w:type="dxa"/>
        <w:tblCellMar>
          <w:left w:w="118" w:type="dxa"/>
        </w:tblCellMar>
        <w:tblLook w:val="04A0" w:firstRow="1" w:lastRow="0" w:firstColumn="1" w:lastColumn="0" w:noHBand="0" w:noVBand="1"/>
      </w:tblPr>
      <w:tblGrid>
        <w:gridCol w:w="4532"/>
        <w:gridCol w:w="4530"/>
      </w:tblGrid>
      <w:tr w:rsidR="00B1515C">
        <w:tc>
          <w:tcPr>
            <w:tcW w:w="4531" w:type="dxa"/>
            <w:tcBorders>
              <w:top w:val="nil"/>
              <w:left w:val="nil"/>
              <w:bottom w:val="nil"/>
              <w:right w:val="nil"/>
            </w:tcBorders>
            <w:shd w:val="clear" w:color="auto" w:fill="auto"/>
          </w:tcPr>
          <w:p w:rsidR="00B1515C" w:rsidRDefault="007F2044">
            <w:pPr>
              <w:pStyle w:val="western"/>
              <w:spacing w:before="280" w:after="0"/>
              <w:jc w:val="center"/>
            </w:pPr>
            <w:r>
              <w:t>La ministre de la transition écologique,</w:t>
            </w:r>
          </w:p>
          <w:p w:rsidR="00B1515C" w:rsidRDefault="00B1515C">
            <w:pPr>
              <w:pStyle w:val="western"/>
              <w:spacing w:before="280" w:after="0"/>
              <w:jc w:val="center"/>
            </w:pPr>
          </w:p>
          <w:p w:rsidR="00B1515C" w:rsidRDefault="00B1515C">
            <w:pPr>
              <w:pStyle w:val="western"/>
              <w:spacing w:before="280" w:after="0"/>
              <w:jc w:val="center"/>
            </w:pPr>
          </w:p>
          <w:p w:rsidR="00B1515C" w:rsidRDefault="007F2044">
            <w:pPr>
              <w:pStyle w:val="western"/>
              <w:spacing w:before="280" w:after="0"/>
              <w:jc w:val="center"/>
            </w:pPr>
            <w:r>
              <w:t>Barbara POMPILI</w:t>
            </w:r>
          </w:p>
        </w:tc>
        <w:tc>
          <w:tcPr>
            <w:tcW w:w="4530" w:type="dxa"/>
            <w:tcBorders>
              <w:top w:val="nil"/>
              <w:left w:val="nil"/>
              <w:bottom w:val="nil"/>
              <w:right w:val="nil"/>
            </w:tcBorders>
            <w:shd w:val="clear" w:color="auto" w:fill="auto"/>
          </w:tcPr>
          <w:p w:rsidR="00B1515C" w:rsidRDefault="007F2044">
            <w:pPr>
              <w:pStyle w:val="NormalWeb"/>
              <w:spacing w:before="280" w:after="0"/>
              <w:jc w:val="center"/>
            </w:pPr>
            <w:r>
              <w:t>Le ministre délégué auprès de la ministre de la Transition écologique, chargé des Transports</w:t>
            </w:r>
          </w:p>
          <w:p w:rsidR="00B1515C" w:rsidRDefault="00B1515C">
            <w:pPr>
              <w:pStyle w:val="NormalWeb"/>
              <w:spacing w:before="280" w:after="0"/>
              <w:jc w:val="center"/>
            </w:pPr>
          </w:p>
          <w:p w:rsidR="00B1515C" w:rsidRDefault="007F2044">
            <w:pPr>
              <w:pStyle w:val="NormalWeb"/>
              <w:spacing w:before="280" w:after="0"/>
              <w:jc w:val="center"/>
            </w:pPr>
            <w:r>
              <w:t>Jean-Baptiste DJEBBARI</w:t>
            </w:r>
          </w:p>
        </w:tc>
      </w:tr>
      <w:tr w:rsidR="00B1515C">
        <w:tc>
          <w:tcPr>
            <w:tcW w:w="4531" w:type="dxa"/>
            <w:tcBorders>
              <w:top w:val="nil"/>
              <w:left w:val="nil"/>
              <w:bottom w:val="nil"/>
              <w:right w:val="nil"/>
            </w:tcBorders>
            <w:shd w:val="clear" w:color="auto" w:fill="auto"/>
          </w:tcPr>
          <w:p w:rsidR="00B1515C" w:rsidRDefault="007F2044">
            <w:pPr>
              <w:pStyle w:val="NormalWeb"/>
              <w:spacing w:before="280" w:after="0"/>
              <w:jc w:val="center"/>
            </w:pPr>
            <w:r>
              <w:t xml:space="preserve">La ministre déléguée auprès de la ministre de la Transition </w:t>
            </w:r>
            <w:r>
              <w:t>écologique, chargée du Logement</w:t>
            </w:r>
          </w:p>
          <w:p w:rsidR="00B1515C" w:rsidRDefault="00B1515C">
            <w:pPr>
              <w:pStyle w:val="NormalWeb"/>
              <w:spacing w:before="280" w:after="0"/>
              <w:jc w:val="center"/>
            </w:pPr>
          </w:p>
          <w:p w:rsidR="00B1515C" w:rsidRDefault="00B1515C">
            <w:pPr>
              <w:pStyle w:val="NormalWeb"/>
              <w:spacing w:before="280" w:after="0"/>
              <w:jc w:val="center"/>
            </w:pPr>
          </w:p>
          <w:p w:rsidR="00B1515C" w:rsidRDefault="007F2044">
            <w:pPr>
              <w:pStyle w:val="NormalWeb"/>
              <w:spacing w:before="280" w:after="0"/>
              <w:jc w:val="center"/>
            </w:pPr>
            <w:r>
              <w:t>Emmanuelle WARGON</w:t>
            </w:r>
          </w:p>
        </w:tc>
        <w:tc>
          <w:tcPr>
            <w:tcW w:w="4530" w:type="dxa"/>
            <w:tcBorders>
              <w:top w:val="nil"/>
              <w:left w:val="nil"/>
              <w:bottom w:val="nil"/>
              <w:right w:val="nil"/>
            </w:tcBorders>
            <w:shd w:val="clear" w:color="auto" w:fill="auto"/>
          </w:tcPr>
          <w:p w:rsidR="00B1515C" w:rsidRDefault="00B1515C">
            <w:pPr>
              <w:pStyle w:val="NormalWeb"/>
              <w:spacing w:before="280" w:after="0"/>
              <w:jc w:val="both"/>
            </w:pPr>
          </w:p>
        </w:tc>
      </w:tr>
    </w:tbl>
    <w:p w:rsidR="00B1515C" w:rsidRDefault="007F2044">
      <w:r>
        <w:br w:type="page"/>
      </w:r>
    </w:p>
    <w:p w:rsidR="00B1515C" w:rsidRDefault="007F2044">
      <w:pPr>
        <w:jc w:val="center"/>
      </w:pPr>
      <w:r>
        <w:rPr>
          <w:rFonts w:ascii="Times New Roman" w:hAnsi="Times New Roman"/>
          <w:sz w:val="24"/>
          <w:szCs w:val="24"/>
        </w:rPr>
        <w:lastRenderedPageBreak/>
        <w:t xml:space="preserve">Annexe I </w:t>
      </w:r>
    </w:p>
    <w:p w:rsidR="00B1515C" w:rsidRDefault="007F2044">
      <w:pPr>
        <w:jc w:val="center"/>
      </w:pPr>
      <w:r>
        <w:rPr>
          <w:rFonts w:ascii="Times New Roman" w:hAnsi="Times New Roman"/>
          <w:sz w:val="24"/>
          <w:szCs w:val="24"/>
        </w:rPr>
        <w:t xml:space="preserve">Liste des sections de voies concernées durant la période d’observation ouverte </w:t>
      </w:r>
    </w:p>
    <w:p w:rsidR="00B1515C" w:rsidRDefault="007F2044">
      <w:pPr>
        <w:jc w:val="center"/>
      </w:pPr>
      <w:proofErr w:type="gramStart"/>
      <w:r>
        <w:rPr>
          <w:rFonts w:ascii="Times New Roman" w:hAnsi="Times New Roman"/>
          <w:sz w:val="24"/>
          <w:szCs w:val="24"/>
        </w:rPr>
        <w:t>du</w:t>
      </w:r>
      <w:proofErr w:type="gramEnd"/>
      <w:r>
        <w:rPr>
          <w:rFonts w:ascii="Times New Roman" w:hAnsi="Times New Roman"/>
          <w:sz w:val="24"/>
          <w:szCs w:val="24"/>
        </w:rPr>
        <w:t xml:space="preserve"> 1</w:t>
      </w:r>
      <w:r>
        <w:rPr>
          <w:rFonts w:ascii="Times New Roman" w:hAnsi="Times New Roman"/>
          <w:sz w:val="24"/>
          <w:szCs w:val="24"/>
          <w:vertAlign w:val="superscript"/>
        </w:rPr>
        <w:t>er</w:t>
      </w:r>
      <w:r>
        <w:rPr>
          <w:rFonts w:ascii="Times New Roman" w:hAnsi="Times New Roman"/>
          <w:sz w:val="24"/>
          <w:szCs w:val="24"/>
        </w:rPr>
        <w:t xml:space="preserve"> septembre 2023 au 28 février 2023</w:t>
      </w:r>
    </w:p>
    <w:tbl>
      <w:tblPr>
        <w:tblW w:w="9072"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1358"/>
        <w:gridCol w:w="1285"/>
        <w:gridCol w:w="1379"/>
        <w:gridCol w:w="1064"/>
        <w:gridCol w:w="1174"/>
        <w:gridCol w:w="1738"/>
        <w:gridCol w:w="1074"/>
      </w:tblGrid>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b/>
                <w:bCs/>
                <w:szCs w:val="24"/>
              </w:rPr>
              <w:t>Commune concernée</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b/>
                <w:bCs/>
                <w:szCs w:val="24"/>
              </w:rPr>
              <w:t>Gestionnaire concerné</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b/>
                <w:bCs/>
                <w:szCs w:val="24"/>
              </w:rPr>
              <w:t>Numéro de ligne</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b/>
                <w:bCs/>
                <w:szCs w:val="24"/>
              </w:rPr>
              <w:t>Type de site</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b/>
                <w:bCs/>
                <w:szCs w:val="24"/>
              </w:rPr>
              <w:t>Zone d’ambiance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b/>
                <w:bCs/>
                <w:szCs w:val="24"/>
              </w:rPr>
              <w:t>Fréquentation estimée (donnée indicative)</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r>
              <w:rPr>
                <w:b/>
                <w:bCs/>
                <w:szCs w:val="24"/>
              </w:rPr>
              <w:t>Vitesse moyenne ou maximale de circulation</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Bois le Roi (77)</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830000</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Périurbain</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Non 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150 trains/jour (GL, Banlieue et fret)</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Vmax</w:t>
            </w:r>
            <w:proofErr w:type="spellEnd"/>
            <w:r>
              <w:rPr>
                <w:szCs w:val="24"/>
              </w:rPr>
              <w:t xml:space="preserve"> 160 km/h</w:t>
            </w:r>
          </w:p>
          <w:p w:rsidR="00B1515C" w:rsidRDefault="00B1515C">
            <w:pPr>
              <w:pStyle w:val="Contenudetableau"/>
              <w:rPr>
                <w:szCs w:val="24"/>
              </w:rPr>
            </w:pP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Herblay (95)</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334000</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Périurbain</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240 trains/jour (GL, Banlieue et fret)</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Vmax</w:t>
            </w:r>
            <w:proofErr w:type="spellEnd"/>
            <w:r>
              <w:rPr>
                <w:szCs w:val="24"/>
              </w:rPr>
              <w:t xml:space="preserve"> 130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Villemomble (93)</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957000</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Non 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50 trains/jour (fret)</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Vmax</w:t>
            </w:r>
            <w:proofErr w:type="spellEnd"/>
            <w:r>
              <w:rPr>
                <w:szCs w:val="24"/>
              </w:rPr>
              <w:t xml:space="preserve"> 90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Mitry-Mory (77)</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229000</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Périurbain</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 xml:space="preserve">350 trains/jour (TER, Banlieue, </w:t>
            </w:r>
            <w:r>
              <w:rPr>
                <w:szCs w:val="24"/>
              </w:rPr>
              <w:t>fret)</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Vmax</w:t>
            </w:r>
            <w:proofErr w:type="spellEnd"/>
            <w:r>
              <w:rPr>
                <w:szCs w:val="24"/>
              </w:rPr>
              <w:t xml:space="preserve"> 150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Paris (75)</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830000</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Non 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700 trains/jour (TGV, grandes lignes, TER, banlieue)</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Vmax</w:t>
            </w:r>
            <w:proofErr w:type="spellEnd"/>
            <w:r>
              <w:rPr>
                <w:szCs w:val="24"/>
              </w:rPr>
              <w:t xml:space="preserve"> 100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 xml:space="preserve">Malakoff (92) en amont du </w:t>
            </w:r>
            <w:proofErr w:type="spellStart"/>
            <w:r>
              <w:t>technicentre</w:t>
            </w:r>
            <w:proofErr w:type="spellEnd"/>
            <w:r>
              <w:t xml:space="preserve"> de Chatillon (ancien signal C503)</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431000</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 xml:space="preserve">Non </w:t>
            </w:r>
            <w:r>
              <w:t>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200 trains/jour (environ 180 passages de TGV ou TER à vitesse moyenne, et de l’ordre de 20 à 25 TGV en transfert lent voire en stationnement sur voie)</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t>Vmax</w:t>
            </w:r>
            <w:proofErr w:type="spellEnd"/>
            <w:r>
              <w:t xml:space="preserve"> entre 100 et 150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Rillieux-la-Pape (69)</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 xml:space="preserve">886000 et 752330 (lignes </w:t>
            </w:r>
            <w:r>
              <w:rPr>
                <w:szCs w:val="24"/>
              </w:rPr>
              <w:t>raccordées)</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Périurbain</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130 trains/jour (TGV, grandes lignes, TER)</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Vmax</w:t>
            </w:r>
            <w:proofErr w:type="spellEnd"/>
            <w:r>
              <w:rPr>
                <w:szCs w:val="24"/>
              </w:rPr>
              <w:t xml:space="preserve"> 160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proofErr w:type="spellStart"/>
            <w:r>
              <w:rPr>
                <w:szCs w:val="24"/>
              </w:rPr>
              <w:t>Malay</w:t>
            </w:r>
            <w:proofErr w:type="spellEnd"/>
            <w:r>
              <w:rPr>
                <w:szCs w:val="24"/>
              </w:rPr>
              <w:t xml:space="preserve">-le-Petit / Noé (89) </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rPr>
                <w:szCs w:val="24"/>
              </w:rPr>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rPr>
                <w:szCs w:val="24"/>
              </w:rPr>
            </w:pPr>
            <w:r>
              <w:rPr>
                <w:szCs w:val="24"/>
              </w:rPr>
              <w:t>LGV Paris-Lyon</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rPr>
                <w:szCs w:val="24"/>
              </w:rPr>
            </w:pPr>
            <w:r>
              <w:rPr>
                <w:szCs w:val="24"/>
              </w:rPr>
              <w:t>Rural</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Non 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rPr>
                <w:szCs w:val="24"/>
              </w:rPr>
            </w:pPr>
            <w:r>
              <w:rPr>
                <w:szCs w:val="24"/>
              </w:rPr>
              <w:t>220 trains/jour (TGV)</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rPr>
                <w:szCs w:val="24"/>
              </w:rPr>
            </w:pPr>
            <w:proofErr w:type="spellStart"/>
            <w:r>
              <w:rPr>
                <w:szCs w:val="24"/>
              </w:rPr>
              <w:t>Vmax</w:t>
            </w:r>
            <w:proofErr w:type="spellEnd"/>
            <w:r>
              <w:rPr>
                <w:szCs w:val="24"/>
              </w:rPr>
              <w:t xml:space="preserve"> 300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rpsdetexte"/>
              <w:suppressLineNumbers/>
              <w:spacing w:after="160"/>
            </w:pPr>
            <w:proofErr w:type="spellStart"/>
            <w:r>
              <w:t>Montmeyran</w:t>
            </w:r>
            <w:proofErr w:type="spellEnd"/>
            <w:r>
              <w:t xml:space="preserve"> (26)</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rpsdetexte"/>
              <w:suppressLineNumbers/>
              <w:spacing w:after="160"/>
            </w:pPr>
            <w:r>
              <w:t>LGV Méditerranée</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Rural</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rPr>
                <w:szCs w:val="24"/>
              </w:rPr>
            </w:pPr>
            <w:r>
              <w:rPr>
                <w:szCs w:val="24"/>
              </w:rPr>
              <w:t xml:space="preserve">Non </w:t>
            </w:r>
            <w:r>
              <w:rPr>
                <w:szCs w:val="24"/>
              </w:rPr>
              <w:t>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110 trains/jour (TGV)</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Vmax</w:t>
            </w:r>
            <w:proofErr w:type="spellEnd"/>
            <w:r>
              <w:rPr>
                <w:szCs w:val="24"/>
              </w:rPr>
              <w:t xml:space="preserve"> 300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Le Teil (07)</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SNCF Réseau</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Ligne 800000</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Urbain</w:t>
            </w:r>
          </w:p>
        </w:tc>
        <w:tc>
          <w:tcPr>
            <w:tcW w:w="1117" w:type="dxa"/>
            <w:tcBorders>
              <w:top w:val="single" w:sz="2" w:space="0" w:color="000000"/>
              <w:left w:val="single" w:sz="2" w:space="0" w:color="000000"/>
              <w:bottom w:val="single" w:sz="2" w:space="0" w:color="000000"/>
            </w:tcBorders>
            <w:shd w:val="clear" w:color="auto" w:fill="auto"/>
          </w:tcPr>
          <w:p w:rsidR="00B1515C" w:rsidRDefault="007F2044">
            <w:pPr>
              <w:pStyle w:val="Contenudetableau"/>
              <w:rPr>
                <w:szCs w:val="24"/>
              </w:rPr>
            </w:pPr>
            <w:r>
              <w:rPr>
                <w:szCs w:val="24"/>
              </w:rPr>
              <w:t>Non modérée</w:t>
            </w: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t>25 trains/jour (fret uniquement) 50 % de nuit et 20 % en soirée)</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t>Vmax</w:t>
            </w:r>
            <w:proofErr w:type="spellEnd"/>
            <w:r>
              <w:t xml:space="preserve"> 100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Paris (75)</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RATP</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Ligne 6 (métro pneumatique sur viaduc)</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B1515C">
            <w:pPr>
              <w:pStyle w:val="Contenudetableau"/>
              <w:rPr>
                <w:szCs w:val="24"/>
              </w:rPr>
            </w:pP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804 passages/jour</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Vmoy</w:t>
            </w:r>
            <w:proofErr w:type="spellEnd"/>
            <w:r>
              <w:rPr>
                <w:szCs w:val="24"/>
              </w:rPr>
              <w:t xml:space="preserve"> 46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Créteil (94)</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RATP</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 xml:space="preserve">Ligne 8 </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B1515C">
            <w:pPr>
              <w:pStyle w:val="Contenudetableau"/>
              <w:rPr>
                <w:szCs w:val="24"/>
              </w:rPr>
            </w:pP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635 passages/jour</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Vmoy</w:t>
            </w:r>
            <w:proofErr w:type="spellEnd"/>
            <w:r>
              <w:rPr>
                <w:szCs w:val="24"/>
              </w:rPr>
              <w:t xml:space="preserve"> 50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Sarcelles (95)</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RATP</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T5 (Tramway pneumatique)</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B1515C">
            <w:pPr>
              <w:pStyle w:val="Contenudetableau"/>
              <w:rPr>
                <w:szCs w:val="24"/>
              </w:rPr>
            </w:pP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404 passages/jour</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Vmoy</w:t>
            </w:r>
            <w:proofErr w:type="spellEnd"/>
            <w:r>
              <w:rPr>
                <w:szCs w:val="24"/>
              </w:rPr>
              <w:t xml:space="preserve"> 37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lastRenderedPageBreak/>
              <w:t>Asnières-sur-Seine (92)</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RATP</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T1</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B1515C">
            <w:pPr>
              <w:pStyle w:val="Contenudetableau"/>
              <w:rPr>
                <w:szCs w:val="24"/>
              </w:rPr>
            </w:pP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402 passages/jour</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Vmoy</w:t>
            </w:r>
            <w:proofErr w:type="spellEnd"/>
            <w:r>
              <w:rPr>
                <w:szCs w:val="24"/>
              </w:rPr>
              <w:t xml:space="preserve"> 32 km/h</w:t>
            </w:r>
          </w:p>
        </w:tc>
      </w:tr>
      <w:tr w:rsidR="00B1515C">
        <w:tc>
          <w:tcPr>
            <w:tcW w:w="1593"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Saint-Mandé (94)</w:t>
            </w:r>
          </w:p>
        </w:tc>
        <w:tc>
          <w:tcPr>
            <w:tcW w:w="1251"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RATP</w:t>
            </w:r>
          </w:p>
        </w:tc>
        <w:tc>
          <w:tcPr>
            <w:tcW w:w="1234"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RER A</w:t>
            </w:r>
          </w:p>
        </w:tc>
        <w:tc>
          <w:tcPr>
            <w:tcW w:w="1142"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Urbain dense</w:t>
            </w:r>
          </w:p>
        </w:tc>
        <w:tc>
          <w:tcPr>
            <w:tcW w:w="1117" w:type="dxa"/>
            <w:tcBorders>
              <w:top w:val="single" w:sz="2" w:space="0" w:color="000000"/>
              <w:left w:val="single" w:sz="2" w:space="0" w:color="000000"/>
              <w:bottom w:val="single" w:sz="2" w:space="0" w:color="000000"/>
            </w:tcBorders>
            <w:shd w:val="clear" w:color="auto" w:fill="auto"/>
          </w:tcPr>
          <w:p w:rsidR="00B1515C" w:rsidRDefault="00B1515C">
            <w:pPr>
              <w:pStyle w:val="Contenudetableau"/>
              <w:rPr>
                <w:szCs w:val="24"/>
              </w:rPr>
            </w:pPr>
          </w:p>
        </w:tc>
        <w:tc>
          <w:tcPr>
            <w:tcW w:w="1689" w:type="dxa"/>
            <w:tcBorders>
              <w:top w:val="single" w:sz="2" w:space="0" w:color="000000"/>
              <w:left w:val="single" w:sz="2" w:space="0" w:color="000000"/>
              <w:bottom w:val="single" w:sz="2" w:space="0" w:color="000000"/>
            </w:tcBorders>
            <w:shd w:val="clear" w:color="auto" w:fill="auto"/>
          </w:tcPr>
          <w:p w:rsidR="00B1515C" w:rsidRDefault="007F2044">
            <w:pPr>
              <w:pStyle w:val="Contenudetableau"/>
            </w:pPr>
            <w:r>
              <w:rPr>
                <w:szCs w:val="24"/>
              </w:rPr>
              <w:t>711 passages/jour</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B1515C" w:rsidRDefault="007F2044">
            <w:pPr>
              <w:pStyle w:val="Contenudetableau"/>
            </w:pPr>
            <w:proofErr w:type="spellStart"/>
            <w:r>
              <w:rPr>
                <w:szCs w:val="24"/>
              </w:rPr>
              <w:t>Vmoy</w:t>
            </w:r>
            <w:proofErr w:type="spellEnd"/>
            <w:r>
              <w:rPr>
                <w:szCs w:val="24"/>
              </w:rPr>
              <w:t xml:space="preserve"> 87 km/h</w:t>
            </w:r>
          </w:p>
        </w:tc>
      </w:tr>
    </w:tbl>
    <w:p w:rsidR="00B1515C" w:rsidRDefault="00B1515C">
      <w:pPr>
        <w:jc w:val="both"/>
      </w:pPr>
    </w:p>
    <w:sectPr w:rsidR="00B1515C">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557"/>
    <w:multiLevelType w:val="multilevel"/>
    <w:tmpl w:val="10CA58A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CA69DB"/>
    <w:multiLevelType w:val="multilevel"/>
    <w:tmpl w:val="6C100F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50064F0"/>
    <w:multiLevelType w:val="multilevel"/>
    <w:tmpl w:val="29EA38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5C"/>
    <w:rsid w:val="007F2044"/>
    <w:rsid w:val="00B1515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89FB"/>
  <w15:docId w15:val="{33B0C82F-394F-4189-8296-FF17DD5E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paragraph" w:styleId="Titre1">
    <w:name w:val="heading 1"/>
    <w:basedOn w:val="Normal"/>
    <w:link w:val="Titre1Car"/>
    <w:uiPriority w:val="9"/>
    <w:qFormat/>
    <w:rsid w:val="00E823F2"/>
    <w:pPr>
      <w:spacing w:beforeAutospacing="1" w:afterAutospacing="1" w:line="240" w:lineRule="auto"/>
      <w:outlineLvl w:val="0"/>
    </w:pPr>
    <w:rPr>
      <w:rFonts w:ascii="Times New Roman" w:eastAsia="Times New Roman" w:hAnsi="Times New Roman" w:cs="Times New Roman"/>
      <w:b/>
      <w:bCs/>
      <w:sz w:val="48"/>
      <w:szCs w:val="48"/>
      <w:lang w:eastAsia="fr-FR"/>
    </w:rPr>
  </w:style>
  <w:style w:type="paragraph" w:styleId="Titre4">
    <w:name w:val="heading 4"/>
    <w:basedOn w:val="Normal"/>
    <w:next w:val="Normal"/>
    <w:link w:val="Titre4Car"/>
    <w:uiPriority w:val="9"/>
    <w:unhideWhenUsed/>
    <w:qFormat/>
    <w:rsid w:val="00521A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C3E06"/>
    <w:rPr>
      <w:color w:val="0000FF"/>
      <w:u w:val="single"/>
    </w:rPr>
  </w:style>
  <w:style w:type="character" w:customStyle="1" w:styleId="Titre4Car">
    <w:name w:val="Titre 4 Car"/>
    <w:basedOn w:val="Policepardfaut"/>
    <w:link w:val="Titre4"/>
    <w:uiPriority w:val="9"/>
    <w:qFormat/>
    <w:rsid w:val="00521A99"/>
    <w:rPr>
      <w:rFonts w:asciiTheme="majorHAnsi" w:eastAsiaTheme="majorEastAsia" w:hAnsiTheme="majorHAnsi" w:cstheme="majorBidi"/>
      <w:i/>
      <w:iCs/>
      <w:color w:val="2E74B5" w:themeColor="accent1" w:themeShade="BF"/>
    </w:rPr>
  </w:style>
  <w:style w:type="character" w:styleId="Marquedecommentaire">
    <w:name w:val="annotation reference"/>
    <w:basedOn w:val="Policepardfaut"/>
    <w:uiPriority w:val="99"/>
    <w:semiHidden/>
    <w:unhideWhenUsed/>
    <w:qFormat/>
    <w:rsid w:val="00521A99"/>
    <w:rPr>
      <w:sz w:val="16"/>
      <w:szCs w:val="16"/>
    </w:rPr>
  </w:style>
  <w:style w:type="character" w:customStyle="1" w:styleId="CommentaireCar">
    <w:name w:val="Commentaire Car"/>
    <w:basedOn w:val="Policepardfaut"/>
    <w:link w:val="Commentaire"/>
    <w:uiPriority w:val="99"/>
    <w:qFormat/>
    <w:rsid w:val="00521A99"/>
    <w:rPr>
      <w:sz w:val="20"/>
      <w:szCs w:val="20"/>
    </w:rPr>
  </w:style>
  <w:style w:type="character" w:customStyle="1" w:styleId="ObjetducommentaireCar">
    <w:name w:val="Objet du commentaire Car"/>
    <w:basedOn w:val="CommentaireCar"/>
    <w:link w:val="Objetducommentaire"/>
    <w:uiPriority w:val="99"/>
    <w:semiHidden/>
    <w:qFormat/>
    <w:rsid w:val="00521A99"/>
    <w:rPr>
      <w:b/>
      <w:bCs/>
      <w:sz w:val="20"/>
      <w:szCs w:val="20"/>
    </w:rPr>
  </w:style>
  <w:style w:type="character" w:customStyle="1" w:styleId="TextedebullesCar">
    <w:name w:val="Texte de bulles Car"/>
    <w:basedOn w:val="Policepardfaut"/>
    <w:link w:val="Textedebulles"/>
    <w:uiPriority w:val="99"/>
    <w:semiHidden/>
    <w:qFormat/>
    <w:rsid w:val="00521A99"/>
    <w:rPr>
      <w:rFonts w:ascii="Segoe UI" w:hAnsi="Segoe UI" w:cs="Segoe UI"/>
      <w:sz w:val="18"/>
      <w:szCs w:val="18"/>
    </w:rPr>
  </w:style>
  <w:style w:type="character" w:customStyle="1" w:styleId="En-tteCar">
    <w:name w:val="En-tête Car"/>
    <w:basedOn w:val="Policepardfaut"/>
    <w:uiPriority w:val="99"/>
    <w:qFormat/>
    <w:rsid w:val="00A741B3"/>
  </w:style>
  <w:style w:type="character" w:customStyle="1" w:styleId="PieddepageCar">
    <w:name w:val="Pied de page Car"/>
    <w:basedOn w:val="Policepardfaut"/>
    <w:link w:val="Pieddepage"/>
    <w:uiPriority w:val="99"/>
    <w:qFormat/>
    <w:rsid w:val="00A741B3"/>
  </w:style>
  <w:style w:type="character" w:customStyle="1" w:styleId="Titre1Car">
    <w:name w:val="Titre 1 Car"/>
    <w:basedOn w:val="Policepardfaut"/>
    <w:link w:val="Titre1"/>
    <w:uiPriority w:val="9"/>
    <w:qFormat/>
    <w:rsid w:val="00E823F2"/>
    <w:rPr>
      <w:rFonts w:ascii="Times New Roman" w:eastAsia="Times New Roman" w:hAnsi="Times New Roman" w:cs="Times New Roman"/>
      <w:b/>
      <w:bCs/>
      <w:sz w:val="48"/>
      <w:szCs w:val="48"/>
      <w:lang w:eastAsia="fr-FR"/>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eastAsia="Calibri" w:hAnsi="Times New Roman" w:cs="Calibri"/>
      <w:color w:val="00000A"/>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Times New Roman"/>
      <w:color w:val="00000A"/>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Times New Roman" w:eastAsia="Times New Roman" w:hAnsi="Times New Roman" w:cs="Times New Roman"/>
      <w:i/>
      <w:iCs/>
      <w:color w:val="0563C1" w:themeColor="hyperlink"/>
      <w:sz w:val="24"/>
      <w:szCs w:val="24"/>
      <w:u w:val="single"/>
      <w:lang w:eastAsia="zh-CN"/>
    </w:rPr>
  </w:style>
  <w:style w:type="character" w:customStyle="1" w:styleId="ListLabel19">
    <w:name w:val="ListLabel 19"/>
    <w:qFormat/>
    <w:rPr>
      <w:rFonts w:ascii="Times New Roman" w:eastAsia="Times New Roman" w:hAnsi="Times New Roman" w:cs="Times New Roman"/>
      <w:sz w:val="24"/>
      <w:szCs w:val="24"/>
      <w:lang w:eastAsia="fr-FR"/>
    </w:rPr>
  </w:style>
  <w:style w:type="character" w:customStyle="1" w:styleId="ListLabel20">
    <w:name w:val="ListLabel 20"/>
    <w:qFormat/>
    <w:rPr>
      <w:rFonts w:ascii="Times New Roman" w:hAnsi="Times New Roman" w:cs="Calibri"/>
      <w:color w:val="00000A"/>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eastAsiaTheme="minorHAnsi"/>
    </w:rPr>
  </w:style>
  <w:style w:type="character" w:customStyle="1" w:styleId="ListLabel30">
    <w:name w:val="ListLabel 30"/>
    <w:qFormat/>
    <w:rPr>
      <w:rFonts w:ascii="Times New Roman" w:eastAsia="Times New Roman" w:hAnsi="Times New Roman" w:cs="Times New Roman"/>
      <w:sz w:val="24"/>
      <w:szCs w:val="24"/>
      <w:lang w:eastAsia="fr-FR"/>
    </w:rPr>
  </w:style>
  <w:style w:type="character" w:customStyle="1" w:styleId="ListLabel31">
    <w:name w:val="ListLabel 31"/>
    <w:qFormat/>
    <w:rPr>
      <w:rFonts w:ascii="Times New Roman" w:hAnsi="Times New Roman" w:cs="Calibri"/>
      <w:color w:val="00000A"/>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eastAsiaTheme="minorHAnsi"/>
    </w:rPr>
  </w:style>
  <w:style w:type="character" w:customStyle="1" w:styleId="ListLabel41">
    <w:name w:val="ListLabel 41"/>
    <w:qFormat/>
    <w:rPr>
      <w:rFonts w:ascii="Times New Roman" w:eastAsia="Times New Roman" w:hAnsi="Times New Roman" w:cs="Times New Roman"/>
      <w:sz w:val="24"/>
      <w:szCs w:val="24"/>
      <w:lang w:eastAsia="fr-FR"/>
    </w:rPr>
  </w:style>
  <w:style w:type="character" w:customStyle="1" w:styleId="ListLabel42">
    <w:name w:val="ListLabel 42"/>
    <w:qFormat/>
    <w:rPr>
      <w:rFonts w:ascii="Times New Roman" w:hAnsi="Times New Roman" w:cs="Calibri"/>
      <w:color w:val="00000A"/>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Times New Roman" w:hAnsi="Times New Roman" w:cs="Calibri"/>
      <w:color w:val="00000A"/>
      <w:sz w:val="24"/>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Times New Roman" w:hAnsi="Times New Roman" w:cs="Calibri"/>
      <w:color w:val="00000A"/>
      <w:sz w:val="24"/>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eastAsiaTheme="minorHAnsi"/>
    </w:rPr>
  </w:style>
  <w:style w:type="character" w:customStyle="1" w:styleId="ListLabel70">
    <w:name w:val="ListLabel 70"/>
    <w:qFormat/>
    <w:rPr>
      <w:rFonts w:ascii="Times New Roman" w:eastAsia="Times New Roman" w:hAnsi="Times New Roman" w:cs="Times New Roman"/>
      <w:sz w:val="24"/>
      <w:szCs w:val="24"/>
      <w:lang w:eastAsia="fr-FR"/>
    </w:rPr>
  </w:style>
  <w:style w:type="character" w:customStyle="1" w:styleId="ListLabel71">
    <w:name w:val="ListLabel 71"/>
    <w:qFormat/>
    <w:rPr>
      <w:rFonts w:ascii="Times New Roman" w:hAnsi="Times New Roman" w:cs="Calibri"/>
      <w:color w:val="00000A"/>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eastAsiaTheme="minorHAnsi"/>
    </w:rPr>
  </w:style>
  <w:style w:type="character" w:customStyle="1" w:styleId="ListLabel81">
    <w:name w:val="ListLabel 81"/>
    <w:qFormat/>
    <w:rPr>
      <w:rFonts w:ascii="Times New Roman" w:eastAsia="Times New Roman" w:hAnsi="Times New Roman" w:cs="Times New Roman"/>
      <w:sz w:val="24"/>
      <w:szCs w:val="24"/>
      <w:lang w:eastAsia="fr-FR"/>
    </w:rPr>
  </w:style>
  <w:style w:type="character" w:customStyle="1" w:styleId="ListLabel82">
    <w:name w:val="ListLabel 82"/>
    <w:qFormat/>
    <w:rPr>
      <w:rFonts w:ascii="Times New Roman" w:hAnsi="Times New Roman" w:cs="Calibri"/>
      <w:color w:val="00000A"/>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eastAsiaTheme="minorHAnsi"/>
    </w:rPr>
  </w:style>
  <w:style w:type="character" w:customStyle="1" w:styleId="ListLabel92">
    <w:name w:val="ListLabel 92"/>
    <w:qFormat/>
    <w:rPr>
      <w:rFonts w:ascii="Times New Roman" w:eastAsia="Times New Roman" w:hAnsi="Times New Roman" w:cs="Times New Roman"/>
      <w:sz w:val="24"/>
      <w:szCs w:val="24"/>
      <w:lang w:eastAsia="fr-FR"/>
    </w:rPr>
  </w:style>
  <w:style w:type="character" w:customStyle="1" w:styleId="ListLabel93">
    <w:name w:val="ListLabel 93"/>
    <w:qFormat/>
    <w:rPr>
      <w:rFonts w:ascii="Times New Roman" w:hAnsi="Times New Roman" w:cs="Calibri"/>
      <w:color w:val="00000A"/>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eastAsiaTheme="minorHAnsi"/>
    </w:rPr>
  </w:style>
  <w:style w:type="character" w:customStyle="1" w:styleId="ListLabel103">
    <w:name w:val="ListLabel 103"/>
    <w:qFormat/>
    <w:rPr>
      <w:rFonts w:ascii="Times New Roman" w:eastAsia="Times New Roman" w:hAnsi="Times New Roman" w:cs="Times New Roman"/>
      <w:sz w:val="24"/>
      <w:szCs w:val="24"/>
      <w:lang w:eastAsia="fr-FR"/>
    </w:rPr>
  </w:style>
  <w:style w:type="character" w:customStyle="1" w:styleId="ListLabel104">
    <w:name w:val="ListLabel 104"/>
    <w:qFormat/>
    <w:rPr>
      <w:rFonts w:ascii="Times New Roman" w:hAnsi="Times New Roman" w:cs="Calibri"/>
      <w:color w:val="00000A"/>
      <w:sz w:val="24"/>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eastAsiaTheme="minorHAnsi"/>
    </w:rPr>
  </w:style>
  <w:style w:type="character" w:customStyle="1" w:styleId="ListLabel114">
    <w:name w:val="ListLabel 114"/>
    <w:qFormat/>
    <w:rPr>
      <w:rFonts w:ascii="Times New Roman" w:eastAsia="Times New Roman" w:hAnsi="Times New Roman" w:cs="Times New Roman"/>
      <w:sz w:val="24"/>
      <w:szCs w:val="24"/>
      <w:lang w:eastAsia="fr-FR"/>
    </w:rPr>
  </w:style>
  <w:style w:type="character" w:customStyle="1" w:styleId="Puces">
    <w:name w:val="Puces"/>
    <w:qFormat/>
    <w:rPr>
      <w:rFonts w:ascii="OpenSymbol" w:eastAsia="OpenSymbol" w:hAnsi="OpenSymbol"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ascii="Times New Roman" w:hAnsi="Times New Roman" w:cs="Symbol"/>
      <w:sz w:val="24"/>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sz w:val="24"/>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sz w:val="24"/>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sz w:val="24"/>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sz w:val="24"/>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imes New Roman" w:hAnsi="Times New Roman" w:cs="Symbol"/>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Times New Roman" w:hAnsi="Times New Roman" w:cs="Symbol"/>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Times New Roman" w:hAnsi="Times New Roman" w:cs="Symbol"/>
      <w:sz w:val="24"/>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imes New Roman" w:hAnsi="Times New Roman" w:cs="Symbol"/>
      <w:sz w:val="24"/>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Symbol"/>
      <w:sz w:val="24"/>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Symbol"/>
      <w:sz w:val="24"/>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Times New Roman" w:hAnsi="Times New Roman" w:cs="Symbol"/>
      <w:sz w:val="24"/>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Times New Roman" w:hAnsi="Times New Roman" w:cs="Symbol"/>
      <w:sz w:val="24"/>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ascii="Times New Roman" w:hAnsi="Times New Roman" w:cs="Symbol"/>
      <w:sz w:val="24"/>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Times New Roman" w:hAnsi="Times New Roman" w:cs="Symbol"/>
      <w:sz w:val="24"/>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ascii="Times New Roman" w:hAnsi="Times New Roman" w:cs="Symbol"/>
      <w:sz w:val="24"/>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ascii="Times New Roman" w:hAnsi="Times New Roman" w:cs="Symbol"/>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ascii="Times New Roman" w:hAnsi="Times New Roman" w:cs="Symbol"/>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Symbol"/>
      <w:sz w:val="24"/>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10">
    <w:name w:val="Titre1"/>
    <w:basedOn w:val="Normal"/>
    <w:next w:val="Corpsdetexte"/>
    <w:qFormat/>
    <w:pPr>
      <w:keepNext/>
      <w:spacing w:before="240" w:after="120"/>
    </w:pPr>
    <w:rPr>
      <w:rFonts w:ascii="Liberation Sans" w:eastAsia="Microsoft YaHei" w:hAnsi="Liberation Sans" w:cs="Lucida Sans"/>
      <w:sz w:val="28"/>
      <w:szCs w:val="28"/>
    </w:rPr>
  </w:style>
  <w:style w:type="paragraph" w:styleId="NormalWeb">
    <w:name w:val="Normal (Web)"/>
    <w:basedOn w:val="Normal"/>
    <w:uiPriority w:val="99"/>
    <w:unhideWhenUsed/>
    <w:qFormat/>
    <w:rsid w:val="002C3E06"/>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qFormat/>
    <w:rsid w:val="00521A99"/>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521A99"/>
    <w:rPr>
      <w:b/>
      <w:bCs/>
    </w:rPr>
  </w:style>
  <w:style w:type="paragraph" w:styleId="Textedebulles">
    <w:name w:val="Balloon Text"/>
    <w:basedOn w:val="Normal"/>
    <w:link w:val="TextedebullesCar"/>
    <w:uiPriority w:val="99"/>
    <w:semiHidden/>
    <w:unhideWhenUsed/>
    <w:qFormat/>
    <w:rsid w:val="00521A99"/>
    <w:pPr>
      <w:spacing w:after="0" w:line="240" w:lineRule="auto"/>
    </w:pPr>
    <w:rPr>
      <w:rFonts w:ascii="Segoe UI" w:hAnsi="Segoe UI" w:cs="Segoe UI"/>
      <w:sz w:val="18"/>
      <w:szCs w:val="18"/>
    </w:rPr>
  </w:style>
  <w:style w:type="paragraph" w:styleId="En-tte">
    <w:name w:val="header"/>
    <w:basedOn w:val="Normal"/>
    <w:uiPriority w:val="99"/>
    <w:unhideWhenUsed/>
    <w:rsid w:val="00A741B3"/>
    <w:pPr>
      <w:tabs>
        <w:tab w:val="center" w:pos="4536"/>
        <w:tab w:val="right" w:pos="9072"/>
      </w:tabs>
      <w:spacing w:after="0" w:line="240" w:lineRule="auto"/>
    </w:pPr>
  </w:style>
  <w:style w:type="paragraph" w:styleId="Pieddepage">
    <w:name w:val="footer"/>
    <w:basedOn w:val="Normal"/>
    <w:link w:val="PieddepageCar"/>
    <w:uiPriority w:val="99"/>
    <w:unhideWhenUsed/>
    <w:rsid w:val="00A741B3"/>
    <w:pPr>
      <w:tabs>
        <w:tab w:val="center" w:pos="4536"/>
        <w:tab w:val="right" w:pos="9072"/>
      </w:tabs>
      <w:spacing w:after="0" w:line="240" w:lineRule="auto"/>
    </w:pPr>
  </w:style>
  <w:style w:type="paragraph" w:styleId="Rvision">
    <w:name w:val="Revision"/>
    <w:uiPriority w:val="99"/>
    <w:semiHidden/>
    <w:qFormat/>
    <w:rsid w:val="001F0224"/>
    <w:rPr>
      <w:rFonts w:ascii="Calibri" w:eastAsia="Calibri" w:hAnsi="Calibri"/>
      <w:color w:val="00000A"/>
      <w:sz w:val="22"/>
    </w:rPr>
  </w:style>
  <w:style w:type="paragraph" w:styleId="Paragraphedeliste">
    <w:name w:val="List Paragraph"/>
    <w:basedOn w:val="Normal"/>
    <w:uiPriority w:val="34"/>
    <w:qFormat/>
    <w:rsid w:val="00346B6D"/>
    <w:pPr>
      <w:ind w:left="720"/>
      <w:contextualSpacing/>
    </w:pPr>
  </w:style>
  <w:style w:type="paragraph" w:customStyle="1" w:styleId="western">
    <w:name w:val="western"/>
    <w:basedOn w:val="Normal"/>
    <w:qFormat/>
    <w:rsid w:val="00671F2F"/>
    <w:pPr>
      <w:spacing w:beforeAutospacing="1" w:afterAutospacing="1" w:line="240" w:lineRule="auto"/>
      <w:jc w:val="both"/>
    </w:pPr>
    <w:rPr>
      <w:rFonts w:ascii="Times New Roman" w:eastAsia="Times New Roman" w:hAnsi="Times New Roman" w:cs="Times New Roman"/>
      <w:color w:val="000000"/>
      <w:sz w:val="24"/>
      <w:szCs w:val="24"/>
      <w:lang w:eastAsia="fr-FR"/>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67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9441</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LERAY Fréderic</dc:creator>
  <dc:description/>
  <cp:lastModifiedBy>LERAY Fréderic</cp:lastModifiedBy>
  <cp:revision>2</cp:revision>
  <dcterms:created xsi:type="dcterms:W3CDTF">2022-06-23T15:01:00Z</dcterms:created>
  <dcterms:modified xsi:type="dcterms:W3CDTF">2022-06-23T15:01:00Z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Administration centrale AUTH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