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5A7D" w14:textId="77777777" w:rsidR="005C0261" w:rsidRPr="002F077F" w:rsidRDefault="005C0261" w:rsidP="007A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Marianne" w:hAnsi="Marianne" w:cs="Arial"/>
          <w:b/>
        </w:rPr>
      </w:pPr>
    </w:p>
    <w:p w14:paraId="4DDA2F19" w14:textId="6D511E46" w:rsidR="007A1404" w:rsidRPr="002F077F" w:rsidRDefault="007A1404" w:rsidP="007A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Marianne" w:hAnsi="Marianne" w:cs="Arial"/>
          <w:b/>
          <w:sz w:val="24"/>
          <w:szCs w:val="20"/>
        </w:rPr>
      </w:pPr>
      <w:r w:rsidRPr="002F077F">
        <w:rPr>
          <w:rFonts w:ascii="Marianne" w:hAnsi="Marianne" w:cs="Arial"/>
          <w:b/>
          <w:sz w:val="24"/>
          <w:szCs w:val="20"/>
        </w:rPr>
        <w:t>Note de présentation</w:t>
      </w:r>
    </w:p>
    <w:p w14:paraId="297F06B8" w14:textId="6A958F19" w:rsidR="00B46D32" w:rsidRPr="002F077F" w:rsidRDefault="00CA1410" w:rsidP="00B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Marianne" w:hAnsi="Marianne" w:cs="Arial"/>
          <w:b/>
          <w:sz w:val="24"/>
          <w:szCs w:val="20"/>
        </w:rPr>
      </w:pPr>
      <w:r w:rsidRPr="002F077F">
        <w:rPr>
          <w:rFonts w:ascii="Marianne" w:hAnsi="Marianne" w:cs="Arial"/>
          <w:b/>
          <w:sz w:val="24"/>
          <w:szCs w:val="20"/>
        </w:rPr>
        <w:t xml:space="preserve">Arrêté </w:t>
      </w:r>
      <w:r w:rsidR="00B46D32" w:rsidRPr="002F077F">
        <w:rPr>
          <w:rFonts w:ascii="Marianne" w:hAnsi="Marianne" w:cs="Arial"/>
          <w:b/>
          <w:sz w:val="24"/>
          <w:szCs w:val="20"/>
        </w:rPr>
        <w:t>suspendant la chasse du courlis cendré en France métropolitaine jusqu’au 30 juillet 202</w:t>
      </w:r>
      <w:r w:rsidR="005C0261" w:rsidRPr="002F077F">
        <w:rPr>
          <w:rFonts w:ascii="Marianne" w:hAnsi="Marianne" w:cs="Arial"/>
          <w:b/>
          <w:sz w:val="24"/>
          <w:szCs w:val="20"/>
        </w:rPr>
        <w:t>5</w:t>
      </w:r>
    </w:p>
    <w:p w14:paraId="069FB0CA" w14:textId="77777777" w:rsidR="005C0261" w:rsidRPr="002F077F" w:rsidRDefault="005C0261" w:rsidP="00B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Marianne" w:hAnsi="Marianne" w:cs="Arial"/>
          <w:b/>
          <w:sz w:val="24"/>
          <w:szCs w:val="20"/>
        </w:rPr>
      </w:pPr>
    </w:p>
    <w:p w14:paraId="18392F62" w14:textId="77777777" w:rsid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0"/>
          <w:szCs w:val="20"/>
        </w:rPr>
      </w:pPr>
    </w:p>
    <w:p w14:paraId="0ADC2905" w14:textId="451857D2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Marianne" w:hAnsi="Marianne" w:cs="Arial"/>
          <w:b/>
          <w:sz w:val="24"/>
          <w:szCs w:val="24"/>
        </w:rPr>
      </w:pPr>
      <w:r w:rsidRPr="005A4408">
        <w:rPr>
          <w:rFonts w:ascii="Marianne" w:hAnsi="Marianne" w:cs="Arial"/>
          <w:b/>
          <w:sz w:val="24"/>
          <w:szCs w:val="24"/>
        </w:rPr>
        <w:t>Introduction</w:t>
      </w:r>
      <w:r w:rsidRPr="005A4408">
        <w:rPr>
          <w:rFonts w:cs="Calibri"/>
          <w:b/>
          <w:sz w:val="24"/>
          <w:szCs w:val="24"/>
        </w:rPr>
        <w:t> </w:t>
      </w:r>
      <w:r w:rsidRPr="005A4408">
        <w:rPr>
          <w:rFonts w:ascii="Marianne" w:hAnsi="Marianne" w:cs="Arial"/>
          <w:b/>
          <w:sz w:val="24"/>
          <w:szCs w:val="24"/>
        </w:rPr>
        <w:t>:</w:t>
      </w:r>
    </w:p>
    <w:p w14:paraId="54D191F8" w14:textId="77777777" w:rsidR="005A4408" w:rsidRPr="00453EBD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0"/>
          <w:szCs w:val="20"/>
        </w:rPr>
      </w:pPr>
    </w:p>
    <w:p w14:paraId="2CDAE713" w14:textId="51EDF9B7" w:rsidR="00B46D32" w:rsidRDefault="00FA4DB6" w:rsidP="002F077F">
      <w:pPr>
        <w:spacing w:line="259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2F077F">
        <w:rPr>
          <w:rFonts w:ascii="Marianne" w:hAnsi="Marianne" w:cs="Arial"/>
          <w:sz w:val="24"/>
          <w:szCs w:val="24"/>
        </w:rPr>
        <w:t>L</w:t>
      </w:r>
      <w:r w:rsidR="00B46D32" w:rsidRPr="002F077F">
        <w:rPr>
          <w:rFonts w:ascii="Marianne" w:hAnsi="Marianne" w:cs="Arial"/>
          <w:sz w:val="24"/>
          <w:szCs w:val="24"/>
        </w:rPr>
        <w:t xml:space="preserve">e Courlis cendré (sous-espèces </w:t>
      </w:r>
      <w:r w:rsidR="00B46D32" w:rsidRPr="002F077F">
        <w:rPr>
          <w:rFonts w:ascii="Marianne" w:hAnsi="Marianne" w:cs="Arial"/>
          <w:i/>
          <w:sz w:val="24"/>
          <w:szCs w:val="24"/>
        </w:rPr>
        <w:t xml:space="preserve">Numenius </w:t>
      </w:r>
      <w:proofErr w:type="spellStart"/>
      <w:r w:rsidR="00B46D32" w:rsidRPr="002F077F">
        <w:rPr>
          <w:rFonts w:ascii="Marianne" w:hAnsi="Marianne" w:cs="Arial"/>
          <w:i/>
          <w:sz w:val="24"/>
          <w:szCs w:val="24"/>
        </w:rPr>
        <w:t>arquata</w:t>
      </w:r>
      <w:proofErr w:type="spellEnd"/>
      <w:r w:rsidR="00B46D32" w:rsidRPr="002F077F">
        <w:rPr>
          <w:rFonts w:ascii="Marianne" w:hAnsi="Marianne" w:cs="Arial"/>
          <w:i/>
          <w:sz w:val="24"/>
          <w:szCs w:val="24"/>
        </w:rPr>
        <w:t xml:space="preserve"> </w:t>
      </w:r>
      <w:proofErr w:type="spellStart"/>
      <w:r w:rsidR="00B46D32" w:rsidRPr="002F077F">
        <w:rPr>
          <w:rFonts w:ascii="Marianne" w:hAnsi="Marianne" w:cs="Arial"/>
          <w:i/>
          <w:sz w:val="24"/>
          <w:szCs w:val="24"/>
        </w:rPr>
        <w:t>arquata</w:t>
      </w:r>
      <w:proofErr w:type="spellEnd"/>
      <w:r w:rsidR="00B46D32" w:rsidRPr="002F077F">
        <w:rPr>
          <w:rFonts w:ascii="Marianne" w:hAnsi="Marianne" w:cs="Arial"/>
          <w:i/>
          <w:sz w:val="24"/>
          <w:szCs w:val="24"/>
        </w:rPr>
        <w:t xml:space="preserve">, N. a. orientalis et N. a. </w:t>
      </w:r>
      <w:proofErr w:type="spellStart"/>
      <w:r w:rsidR="00B46D32" w:rsidRPr="002F077F">
        <w:rPr>
          <w:rFonts w:ascii="Marianne" w:hAnsi="Marianne" w:cs="Arial"/>
          <w:i/>
          <w:sz w:val="24"/>
          <w:szCs w:val="24"/>
        </w:rPr>
        <w:t>suschkini</w:t>
      </w:r>
      <w:proofErr w:type="spellEnd"/>
      <w:r w:rsidR="00B46D32" w:rsidRPr="002F077F">
        <w:rPr>
          <w:rFonts w:ascii="Marianne" w:hAnsi="Marianne" w:cs="Arial"/>
          <w:sz w:val="24"/>
          <w:szCs w:val="24"/>
        </w:rPr>
        <w:t>) fait l’objet d’un plan d’action international adopté par les parties signataires de l'Accord sur la conservation des oiseaux d'eau migrateurs d'Afrique-Eurasie (AEWA). La France est légalement engagée dans ce plan. Ce plan, adopté en 2015, concerne plus de 20 pays. Il conditionne notamment la réouverture de la chasse en France à la mise en place d’un plan international de gestion adaptative des prélèvements.</w:t>
      </w:r>
    </w:p>
    <w:p w14:paraId="642883A1" w14:textId="77777777" w:rsidR="005A4408" w:rsidRPr="00453EBD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sz w:val="20"/>
          <w:szCs w:val="20"/>
        </w:rPr>
      </w:pPr>
    </w:p>
    <w:p w14:paraId="3191C6EF" w14:textId="0CAF889A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Marianne" w:hAnsi="Marianne" w:cs="Arial"/>
          <w:b/>
          <w:sz w:val="24"/>
          <w:szCs w:val="24"/>
        </w:rPr>
      </w:pPr>
      <w:r w:rsidRPr="005A4408">
        <w:rPr>
          <w:rFonts w:ascii="Marianne" w:hAnsi="Marianne" w:cs="Arial"/>
          <w:b/>
          <w:sz w:val="24"/>
          <w:szCs w:val="24"/>
        </w:rPr>
        <w:t>Contexte</w:t>
      </w:r>
      <w:r w:rsidRPr="005A4408">
        <w:rPr>
          <w:rFonts w:cs="Calibri"/>
          <w:b/>
          <w:sz w:val="24"/>
          <w:szCs w:val="24"/>
        </w:rPr>
        <w:t> </w:t>
      </w:r>
      <w:r w:rsidRPr="005A4408">
        <w:rPr>
          <w:rFonts w:ascii="Marianne" w:hAnsi="Marianne" w:cs="Arial"/>
          <w:b/>
          <w:sz w:val="24"/>
          <w:szCs w:val="24"/>
        </w:rPr>
        <w:t>:</w:t>
      </w:r>
    </w:p>
    <w:p w14:paraId="45183CC2" w14:textId="77777777" w:rsidR="005A4408" w:rsidRPr="002F077F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sz w:val="24"/>
          <w:szCs w:val="24"/>
        </w:rPr>
      </w:pPr>
    </w:p>
    <w:p w14:paraId="64DF99FE" w14:textId="3A71889B" w:rsidR="00B46D32" w:rsidRPr="002F077F" w:rsidRDefault="00B46D32" w:rsidP="002F077F">
      <w:pPr>
        <w:spacing w:line="259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2F077F">
        <w:rPr>
          <w:rFonts w:ascii="Marianne" w:hAnsi="Marianne" w:cs="Arial"/>
          <w:sz w:val="24"/>
          <w:szCs w:val="24"/>
        </w:rPr>
        <w:t>Un arrêté du 31 juillet 2019 relatif à la chasse du courlis cendré en France métropolitaine pendant la saison 2019-2020, lequel autorisait un prélèvement de 6 000 individus, a été annulé par décision du Conseil d’Etat du 31 juillet 2019. Prenant acte de cette décision, la chasse du courlis cendré en France métropolitaine est depuis suspendue (saisons cynégétiques 2020-2021, 2021-2022</w:t>
      </w:r>
      <w:r w:rsidR="005C0261" w:rsidRPr="002F077F">
        <w:rPr>
          <w:rFonts w:ascii="Marianne" w:hAnsi="Marianne" w:cs="Arial"/>
          <w:sz w:val="24"/>
          <w:szCs w:val="24"/>
        </w:rPr>
        <w:t xml:space="preserve">, </w:t>
      </w:r>
      <w:r w:rsidRPr="002F077F">
        <w:rPr>
          <w:rFonts w:ascii="Marianne" w:hAnsi="Marianne" w:cs="Arial"/>
          <w:sz w:val="24"/>
          <w:szCs w:val="24"/>
        </w:rPr>
        <w:t>2022-2023</w:t>
      </w:r>
      <w:r w:rsidR="005C0261" w:rsidRPr="002F077F">
        <w:rPr>
          <w:rFonts w:ascii="Marianne" w:hAnsi="Marianne" w:cs="Arial"/>
          <w:sz w:val="24"/>
          <w:szCs w:val="24"/>
        </w:rPr>
        <w:t xml:space="preserve"> et 2023-2024</w:t>
      </w:r>
      <w:r w:rsidRPr="002F077F">
        <w:rPr>
          <w:rFonts w:ascii="Marianne" w:hAnsi="Marianne" w:cs="Arial"/>
          <w:sz w:val="24"/>
          <w:szCs w:val="24"/>
        </w:rPr>
        <w:t>).</w:t>
      </w:r>
    </w:p>
    <w:p w14:paraId="40806662" w14:textId="631D0F42" w:rsidR="00FA4DB6" w:rsidRPr="002F077F" w:rsidRDefault="00B46D32" w:rsidP="002F077F">
      <w:pPr>
        <w:spacing w:line="259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2F077F">
        <w:rPr>
          <w:rFonts w:ascii="Marianne" w:hAnsi="Marianne" w:cs="Arial"/>
          <w:sz w:val="24"/>
          <w:szCs w:val="24"/>
        </w:rPr>
        <w:t xml:space="preserve">Considérant l’état d’avancement du plan international de gestion adaptative de l’espèce, ainsi que l’état de ses populations, </w:t>
      </w:r>
      <w:r w:rsidR="00136F95" w:rsidRPr="002F077F">
        <w:rPr>
          <w:rFonts w:ascii="Marianne" w:hAnsi="Marianne" w:cs="Arial"/>
          <w:sz w:val="24"/>
          <w:szCs w:val="24"/>
        </w:rPr>
        <w:t>il est</w:t>
      </w:r>
      <w:r w:rsidRPr="002F077F">
        <w:rPr>
          <w:rFonts w:ascii="Marianne" w:hAnsi="Marianne" w:cs="Arial"/>
          <w:sz w:val="24"/>
          <w:szCs w:val="24"/>
        </w:rPr>
        <w:t xml:space="preserve"> proposé de suspendre la chasse de cette espèce sur l’ensemble du territoire métropolitain</w:t>
      </w:r>
      <w:r w:rsidR="00136F95" w:rsidRPr="002F077F">
        <w:rPr>
          <w:rFonts w:ascii="Marianne" w:hAnsi="Marianne" w:cs="Arial"/>
          <w:sz w:val="24"/>
          <w:szCs w:val="24"/>
        </w:rPr>
        <w:t xml:space="preserve"> pour un an</w:t>
      </w:r>
      <w:r w:rsidRPr="002F077F">
        <w:rPr>
          <w:rFonts w:ascii="Marianne" w:hAnsi="Marianne" w:cs="Arial"/>
          <w:sz w:val="24"/>
          <w:szCs w:val="24"/>
        </w:rPr>
        <w:t>.</w:t>
      </w:r>
    </w:p>
    <w:p w14:paraId="12B20AAD" w14:textId="237D398E" w:rsidR="00F9779A" w:rsidRDefault="00136F95" w:rsidP="002F077F">
      <w:pPr>
        <w:ind w:firstLine="708"/>
        <w:jc w:val="both"/>
        <w:rPr>
          <w:rFonts w:ascii="Marianne" w:hAnsi="Marianne" w:cs="Arial"/>
          <w:sz w:val="24"/>
          <w:szCs w:val="24"/>
        </w:rPr>
      </w:pPr>
      <w:r w:rsidRPr="002F077F">
        <w:rPr>
          <w:rFonts w:ascii="Marianne" w:hAnsi="Marianne" w:cs="Arial"/>
          <w:sz w:val="24"/>
          <w:szCs w:val="24"/>
        </w:rPr>
        <w:t>U</w:t>
      </w:r>
      <w:r w:rsidR="00F9779A" w:rsidRPr="002F077F">
        <w:rPr>
          <w:rFonts w:ascii="Marianne" w:hAnsi="Marianne" w:cs="Arial"/>
          <w:sz w:val="24"/>
          <w:szCs w:val="24"/>
        </w:rPr>
        <w:t xml:space="preserve">n projet </w:t>
      </w:r>
      <w:r w:rsidRPr="002F077F">
        <w:rPr>
          <w:rFonts w:ascii="Marianne" w:hAnsi="Marianne" w:cs="Arial"/>
          <w:sz w:val="24"/>
          <w:szCs w:val="24"/>
        </w:rPr>
        <w:t xml:space="preserve">de </w:t>
      </w:r>
      <w:r w:rsidR="00F9779A" w:rsidRPr="002F077F">
        <w:rPr>
          <w:rFonts w:ascii="Marianne" w:hAnsi="Marianne" w:cs="Arial"/>
          <w:sz w:val="24"/>
          <w:szCs w:val="24"/>
        </w:rPr>
        <w:t>P</w:t>
      </w:r>
      <w:r w:rsidRPr="002F077F">
        <w:rPr>
          <w:rFonts w:ascii="Marianne" w:hAnsi="Marianne" w:cs="Arial"/>
          <w:sz w:val="24"/>
          <w:szCs w:val="24"/>
        </w:rPr>
        <w:t>lan national de gestion</w:t>
      </w:r>
      <w:r w:rsidR="00F9779A" w:rsidRPr="002F077F">
        <w:rPr>
          <w:rFonts w:ascii="Marianne" w:hAnsi="Marianne" w:cs="Arial"/>
          <w:sz w:val="24"/>
          <w:szCs w:val="24"/>
        </w:rPr>
        <w:t xml:space="preserve"> sur les limicoles, couvrant 5 espèces dont la barge à queue noire et le courlis cendré</w:t>
      </w:r>
      <w:r w:rsidRPr="002F077F">
        <w:rPr>
          <w:rFonts w:ascii="Marianne" w:hAnsi="Marianne" w:cs="Arial"/>
          <w:sz w:val="24"/>
          <w:szCs w:val="24"/>
        </w:rPr>
        <w:t xml:space="preserve"> sera lancé en</w:t>
      </w:r>
      <w:r w:rsidR="00F9779A" w:rsidRPr="002F077F">
        <w:rPr>
          <w:rFonts w:ascii="Marianne" w:hAnsi="Marianne" w:cs="Arial"/>
          <w:sz w:val="24"/>
          <w:szCs w:val="24"/>
        </w:rPr>
        <w:t xml:space="preserve"> 202</w:t>
      </w:r>
      <w:r w:rsidR="005C0261" w:rsidRPr="002F077F">
        <w:rPr>
          <w:rFonts w:ascii="Marianne" w:hAnsi="Marianne" w:cs="Arial"/>
          <w:sz w:val="24"/>
          <w:szCs w:val="24"/>
        </w:rPr>
        <w:t>4</w:t>
      </w:r>
      <w:r w:rsidR="00F9779A" w:rsidRPr="002F077F">
        <w:rPr>
          <w:rFonts w:ascii="Marianne" w:hAnsi="Marianne" w:cs="Arial"/>
          <w:sz w:val="24"/>
          <w:szCs w:val="24"/>
        </w:rPr>
        <w:t>.</w:t>
      </w:r>
    </w:p>
    <w:p w14:paraId="4B677F5C" w14:textId="43FB5F54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Marianne" w:hAnsi="Marianne" w:cs="Arial"/>
          <w:b/>
          <w:sz w:val="24"/>
          <w:szCs w:val="24"/>
        </w:rPr>
      </w:pPr>
      <w:r w:rsidRPr="005A4408">
        <w:rPr>
          <w:rFonts w:ascii="Marianne" w:hAnsi="Marianne" w:cs="Arial"/>
          <w:b/>
          <w:sz w:val="24"/>
          <w:szCs w:val="24"/>
        </w:rPr>
        <w:t>Contenu du texte</w:t>
      </w:r>
      <w:r>
        <w:rPr>
          <w:rFonts w:cs="Calibri"/>
          <w:b/>
          <w:sz w:val="24"/>
          <w:szCs w:val="24"/>
        </w:rPr>
        <w:t> </w:t>
      </w:r>
      <w:r>
        <w:rPr>
          <w:rFonts w:ascii="Marianne" w:hAnsi="Marianne" w:cs="Arial"/>
          <w:b/>
          <w:sz w:val="24"/>
          <w:szCs w:val="24"/>
        </w:rPr>
        <w:t>:</w:t>
      </w:r>
    </w:p>
    <w:p w14:paraId="5C8DC908" w14:textId="77777777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sz w:val="24"/>
          <w:szCs w:val="24"/>
        </w:rPr>
      </w:pPr>
    </w:p>
    <w:p w14:paraId="4666253A" w14:textId="5AAA578C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5A4408">
        <w:rPr>
          <w:rFonts w:ascii="Marianne" w:hAnsi="Marianne" w:cs="Arial"/>
          <w:sz w:val="24"/>
          <w:szCs w:val="24"/>
        </w:rPr>
        <w:t>L’article 1</w:t>
      </w:r>
      <w:r w:rsidRPr="005A4408">
        <w:rPr>
          <w:rFonts w:ascii="Marianne" w:hAnsi="Marianne" w:cs="Arial"/>
          <w:sz w:val="24"/>
          <w:szCs w:val="24"/>
          <w:vertAlign w:val="superscript"/>
        </w:rPr>
        <w:t>er</w:t>
      </w:r>
      <w:r>
        <w:rPr>
          <w:rFonts w:ascii="Marianne" w:hAnsi="Marianne" w:cs="Arial"/>
          <w:sz w:val="24"/>
          <w:szCs w:val="24"/>
        </w:rPr>
        <w:t xml:space="preserve"> </w:t>
      </w:r>
      <w:r w:rsidRPr="005A4408">
        <w:rPr>
          <w:rFonts w:ascii="Marianne" w:hAnsi="Marianne" w:cs="Arial"/>
          <w:sz w:val="24"/>
          <w:szCs w:val="24"/>
        </w:rPr>
        <w:t>précise que la chasse du courlis cendré (</w:t>
      </w:r>
      <w:r w:rsidRPr="005A4408">
        <w:rPr>
          <w:rFonts w:ascii="Marianne" w:hAnsi="Marianne" w:cs="Arial"/>
          <w:i/>
          <w:sz w:val="24"/>
          <w:szCs w:val="24"/>
        </w:rPr>
        <w:t xml:space="preserve">Numenius </w:t>
      </w:r>
      <w:proofErr w:type="spellStart"/>
      <w:r w:rsidRPr="005A4408">
        <w:rPr>
          <w:rFonts w:ascii="Marianne" w:hAnsi="Marianne" w:cs="Arial"/>
          <w:i/>
          <w:sz w:val="24"/>
          <w:szCs w:val="24"/>
        </w:rPr>
        <w:t>arquata</w:t>
      </w:r>
      <w:proofErr w:type="spellEnd"/>
      <w:r w:rsidRPr="005A4408">
        <w:rPr>
          <w:rFonts w:ascii="Marianne" w:hAnsi="Marianne" w:cs="Arial"/>
          <w:sz w:val="24"/>
          <w:szCs w:val="24"/>
        </w:rPr>
        <w:t>) est suspendue sur l'ensemble du territoire métropolitain jusqu’au 30 juillet 202</w:t>
      </w:r>
      <w:r>
        <w:rPr>
          <w:rFonts w:ascii="Marianne" w:hAnsi="Marianne" w:cs="Arial"/>
          <w:sz w:val="24"/>
          <w:szCs w:val="24"/>
        </w:rPr>
        <w:t>5</w:t>
      </w:r>
      <w:r w:rsidRPr="005A4408">
        <w:rPr>
          <w:rFonts w:ascii="Marianne" w:hAnsi="Marianne" w:cs="Arial"/>
          <w:sz w:val="24"/>
          <w:szCs w:val="24"/>
        </w:rPr>
        <w:t>.</w:t>
      </w:r>
    </w:p>
    <w:p w14:paraId="096E77E3" w14:textId="53ED807B" w:rsid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5966DABB" w14:textId="59E20EED" w:rsid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50636F84" w14:textId="11B9F77E" w:rsid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26585CC4" w14:textId="77777777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5A6EC861" w14:textId="3D12981A" w:rsidR="005A4408" w:rsidRPr="005A4408" w:rsidRDefault="005A4408" w:rsidP="005A44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lastRenderedPageBreak/>
        <w:t>Consultations obligatoires</w:t>
      </w:r>
      <w:r>
        <w:rPr>
          <w:rFonts w:cs="Calibri"/>
          <w:b/>
          <w:sz w:val="24"/>
          <w:szCs w:val="24"/>
        </w:rPr>
        <w:t> </w:t>
      </w:r>
      <w:r>
        <w:rPr>
          <w:rFonts w:ascii="Marianne" w:hAnsi="Marianne" w:cs="Arial"/>
          <w:b/>
          <w:sz w:val="24"/>
          <w:szCs w:val="24"/>
        </w:rPr>
        <w:t>:</w:t>
      </w:r>
    </w:p>
    <w:p w14:paraId="1615B157" w14:textId="77777777" w:rsidR="005A4408" w:rsidRPr="002F077F" w:rsidRDefault="005A4408" w:rsidP="002F077F">
      <w:pPr>
        <w:ind w:firstLine="708"/>
        <w:jc w:val="both"/>
        <w:rPr>
          <w:rFonts w:ascii="Marianne" w:hAnsi="Marianne" w:cs="Arial"/>
          <w:sz w:val="24"/>
          <w:szCs w:val="24"/>
        </w:rPr>
      </w:pPr>
    </w:p>
    <w:p w14:paraId="33F4645C" w14:textId="107E451B" w:rsidR="00B505E7" w:rsidRPr="002F077F" w:rsidRDefault="00B505E7" w:rsidP="00EA2ACE">
      <w:pPr>
        <w:ind w:firstLine="708"/>
        <w:jc w:val="both"/>
        <w:rPr>
          <w:rFonts w:ascii="Marianne" w:eastAsia="Times New Roman" w:hAnsi="Marianne" w:cs="Arial"/>
          <w:color w:val="00000A"/>
          <w:sz w:val="24"/>
          <w:szCs w:val="24"/>
          <w:lang w:eastAsia="zh-CN"/>
        </w:rPr>
      </w:pPr>
      <w:r w:rsidRPr="002F077F">
        <w:rPr>
          <w:rFonts w:ascii="Marianne" w:eastAsia="Times New Roman" w:hAnsi="Marianne" w:cs="Arial"/>
          <w:color w:val="00000A"/>
          <w:sz w:val="24"/>
          <w:szCs w:val="24"/>
          <w:lang w:eastAsia="zh-CN"/>
        </w:rPr>
        <w:t xml:space="preserve">Le projet d’arrêté nécessite un examen par le </w:t>
      </w:r>
      <w:r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 xml:space="preserve">Conseil </w:t>
      </w:r>
      <w:r w:rsidR="001A3D14"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>n</w:t>
      </w:r>
      <w:r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 xml:space="preserve">ational de la </w:t>
      </w:r>
      <w:r w:rsidR="001A3D14"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>c</w:t>
      </w:r>
      <w:r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 xml:space="preserve">hasse et de la </w:t>
      </w:r>
      <w:r w:rsidR="001A3D14"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>f</w:t>
      </w:r>
      <w:r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 xml:space="preserve">aune </w:t>
      </w:r>
      <w:r w:rsidR="001A3D14"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>sa</w:t>
      </w:r>
      <w:r w:rsidRPr="00A338AA">
        <w:rPr>
          <w:rFonts w:ascii="Marianne" w:eastAsia="Times New Roman" w:hAnsi="Marianne" w:cs="Arial"/>
          <w:b/>
          <w:color w:val="00000A"/>
          <w:sz w:val="24"/>
          <w:szCs w:val="24"/>
          <w:lang w:eastAsia="zh-CN"/>
        </w:rPr>
        <w:t>uvage</w:t>
      </w:r>
      <w:r w:rsidRPr="002F077F">
        <w:rPr>
          <w:rFonts w:ascii="Marianne" w:eastAsia="Times New Roman" w:hAnsi="Marianne" w:cs="Arial"/>
          <w:color w:val="00000A"/>
          <w:sz w:val="24"/>
          <w:szCs w:val="24"/>
          <w:lang w:eastAsia="zh-CN"/>
        </w:rPr>
        <w:t xml:space="preserve">. </w:t>
      </w:r>
    </w:p>
    <w:p w14:paraId="0DB59B8C" w14:textId="77777777" w:rsidR="005A4408" w:rsidRDefault="007A1404" w:rsidP="002F0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2F077F">
        <w:rPr>
          <w:rFonts w:ascii="Marianne" w:hAnsi="Marianne" w:cs="Arial"/>
          <w:sz w:val="24"/>
          <w:szCs w:val="24"/>
        </w:rPr>
        <w:t xml:space="preserve">Le texte présente </w:t>
      </w:r>
      <w:r w:rsidR="0074067F" w:rsidRPr="002F077F">
        <w:rPr>
          <w:rFonts w:ascii="Marianne" w:hAnsi="Marianne" w:cs="Arial"/>
          <w:sz w:val="24"/>
          <w:szCs w:val="24"/>
        </w:rPr>
        <w:t xml:space="preserve">un </w:t>
      </w:r>
      <w:r w:rsidR="00D009CB" w:rsidRPr="002F077F">
        <w:rPr>
          <w:rFonts w:ascii="Marianne" w:hAnsi="Marianne" w:cs="Arial"/>
          <w:sz w:val="24"/>
          <w:szCs w:val="24"/>
        </w:rPr>
        <w:t>d’</w:t>
      </w:r>
      <w:r w:rsidRPr="002F077F">
        <w:rPr>
          <w:rFonts w:ascii="Marianne" w:hAnsi="Marianne" w:cs="Arial"/>
          <w:sz w:val="24"/>
          <w:szCs w:val="24"/>
        </w:rPr>
        <w:t xml:space="preserve">impact sur l’environnement et </w:t>
      </w:r>
      <w:r w:rsidR="00E66054" w:rsidRPr="002F077F">
        <w:rPr>
          <w:rFonts w:ascii="Marianne" w:hAnsi="Marianne" w:cs="Arial"/>
          <w:sz w:val="24"/>
          <w:szCs w:val="24"/>
        </w:rPr>
        <w:t xml:space="preserve">nécessite </w:t>
      </w:r>
      <w:r w:rsidR="0074067F" w:rsidRPr="002F077F">
        <w:rPr>
          <w:rFonts w:ascii="Marianne" w:hAnsi="Marianne" w:cs="Arial"/>
          <w:sz w:val="24"/>
          <w:szCs w:val="24"/>
        </w:rPr>
        <w:t xml:space="preserve">donc </w:t>
      </w:r>
      <w:r w:rsidRPr="002F077F">
        <w:rPr>
          <w:rFonts w:ascii="Marianne" w:hAnsi="Marianne" w:cs="Arial"/>
          <w:sz w:val="24"/>
          <w:szCs w:val="24"/>
        </w:rPr>
        <w:t xml:space="preserve">à ce titre une consultation publique conformément aux dispositions de l’article L.123-19-1 du code de l’environnement. </w:t>
      </w:r>
    </w:p>
    <w:p w14:paraId="7491027E" w14:textId="77777777" w:rsidR="005A4408" w:rsidRDefault="005A4408" w:rsidP="002F0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arianne" w:hAnsi="Marianne" w:cs="Arial"/>
          <w:sz w:val="24"/>
          <w:szCs w:val="24"/>
        </w:rPr>
      </w:pPr>
    </w:p>
    <w:p w14:paraId="181F5B46" w14:textId="47625063" w:rsidR="007A1404" w:rsidRPr="002F077F" w:rsidRDefault="00EA2ACE" w:rsidP="002F0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arianne" w:hAnsi="Marianne" w:cs="Arial"/>
          <w:sz w:val="24"/>
          <w:szCs w:val="24"/>
        </w:rPr>
      </w:pPr>
      <w:r w:rsidRPr="00EA2ACE">
        <w:rPr>
          <w:rFonts w:ascii="Marianne" w:hAnsi="Marianne" w:cs="Arial"/>
          <w:sz w:val="24"/>
          <w:szCs w:val="24"/>
        </w:rPr>
        <w:t xml:space="preserve">Cette consultation publique sera par ailleurs écourtée face à l’urgence de la publication de l’arrêté ministériel. En effet, l’arrêté doit </w:t>
      </w:r>
      <w:bookmarkStart w:id="0" w:name="_GoBack"/>
      <w:bookmarkEnd w:id="0"/>
      <w:r w:rsidRPr="00EA2ACE">
        <w:rPr>
          <w:rFonts w:ascii="Marianne" w:hAnsi="Marianne" w:cs="Arial"/>
          <w:sz w:val="24"/>
          <w:szCs w:val="24"/>
        </w:rPr>
        <w:t xml:space="preserve">entrer en vigueur au plus tard le </w:t>
      </w:r>
      <w:r w:rsidR="00A338AA">
        <w:rPr>
          <w:rFonts w:ascii="Marianne" w:hAnsi="Marianne" w:cs="Arial"/>
          <w:sz w:val="24"/>
          <w:szCs w:val="24"/>
        </w:rPr>
        <w:t>3</w:t>
      </w:r>
      <w:r w:rsidR="00241B36">
        <w:rPr>
          <w:rFonts w:ascii="Marianne" w:hAnsi="Marianne" w:cs="Arial"/>
          <w:sz w:val="24"/>
          <w:szCs w:val="24"/>
        </w:rPr>
        <w:t xml:space="preserve"> août 2024</w:t>
      </w:r>
      <w:r w:rsidRPr="00EA2ACE">
        <w:rPr>
          <w:rFonts w:ascii="Marianne" w:hAnsi="Marianne" w:cs="Arial"/>
          <w:sz w:val="24"/>
          <w:szCs w:val="24"/>
        </w:rPr>
        <w:t>, dans le cas contraire la chasse sera réouverte conformément aux dispositions du code de l’environnement.</w:t>
      </w:r>
    </w:p>
    <w:p w14:paraId="05FD59E9" w14:textId="5B85C7A8" w:rsidR="007A1404" w:rsidRPr="002F077F" w:rsidRDefault="007A1404" w:rsidP="007A140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sectPr w:rsidR="007A1404" w:rsidRPr="002F07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0694" w14:textId="77777777" w:rsidR="00E741E6" w:rsidRDefault="00E741E6" w:rsidP="00E741E6">
      <w:pPr>
        <w:spacing w:after="0" w:line="240" w:lineRule="auto"/>
      </w:pPr>
      <w:r>
        <w:separator/>
      </w:r>
    </w:p>
  </w:endnote>
  <w:endnote w:type="continuationSeparator" w:id="0">
    <w:p w14:paraId="13198C25" w14:textId="77777777" w:rsidR="00E741E6" w:rsidRDefault="00E741E6" w:rsidP="00E7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30C3" w14:textId="77777777" w:rsidR="00E741E6" w:rsidRDefault="00E741E6" w:rsidP="00E741E6">
      <w:pPr>
        <w:spacing w:after="0" w:line="240" w:lineRule="auto"/>
      </w:pPr>
      <w:r>
        <w:separator/>
      </w:r>
    </w:p>
  </w:footnote>
  <w:footnote w:type="continuationSeparator" w:id="0">
    <w:p w14:paraId="3F9B73A7" w14:textId="77777777" w:rsidR="00E741E6" w:rsidRDefault="00E741E6" w:rsidP="00E7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458" w14:textId="77777777" w:rsidR="00E741E6" w:rsidRPr="00E741E6" w:rsidRDefault="00E741E6" w:rsidP="00E741E6">
    <w:pPr>
      <w:pStyle w:val="En-tte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CDF"/>
    <w:multiLevelType w:val="hybridMultilevel"/>
    <w:tmpl w:val="AD94B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493"/>
    <w:multiLevelType w:val="hybridMultilevel"/>
    <w:tmpl w:val="6B38B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A02E6"/>
    <w:multiLevelType w:val="hybridMultilevel"/>
    <w:tmpl w:val="BC30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04"/>
    <w:rsid w:val="000414AD"/>
    <w:rsid w:val="00075CE0"/>
    <w:rsid w:val="00136F95"/>
    <w:rsid w:val="00170FC5"/>
    <w:rsid w:val="001A3D14"/>
    <w:rsid w:val="001A461D"/>
    <w:rsid w:val="00241B36"/>
    <w:rsid w:val="002C5335"/>
    <w:rsid w:val="002D54F6"/>
    <w:rsid w:val="002F077F"/>
    <w:rsid w:val="00350454"/>
    <w:rsid w:val="00371A05"/>
    <w:rsid w:val="00392A16"/>
    <w:rsid w:val="004E657A"/>
    <w:rsid w:val="005306C4"/>
    <w:rsid w:val="005728A8"/>
    <w:rsid w:val="005A4408"/>
    <w:rsid w:val="005C0261"/>
    <w:rsid w:val="00675EA3"/>
    <w:rsid w:val="006C6269"/>
    <w:rsid w:val="006F7FCE"/>
    <w:rsid w:val="0074067F"/>
    <w:rsid w:val="007A1404"/>
    <w:rsid w:val="00A338AA"/>
    <w:rsid w:val="00B17FF8"/>
    <w:rsid w:val="00B333A5"/>
    <w:rsid w:val="00B46D32"/>
    <w:rsid w:val="00B505E7"/>
    <w:rsid w:val="00B5479E"/>
    <w:rsid w:val="00B76B33"/>
    <w:rsid w:val="00C0359D"/>
    <w:rsid w:val="00CA1410"/>
    <w:rsid w:val="00D0074E"/>
    <w:rsid w:val="00D009CB"/>
    <w:rsid w:val="00D15933"/>
    <w:rsid w:val="00D44935"/>
    <w:rsid w:val="00D77ECF"/>
    <w:rsid w:val="00D77F4F"/>
    <w:rsid w:val="00DB62C2"/>
    <w:rsid w:val="00DD21D6"/>
    <w:rsid w:val="00DE2D46"/>
    <w:rsid w:val="00E20F58"/>
    <w:rsid w:val="00E51E2F"/>
    <w:rsid w:val="00E66054"/>
    <w:rsid w:val="00E741E6"/>
    <w:rsid w:val="00E810EC"/>
    <w:rsid w:val="00EA2ACE"/>
    <w:rsid w:val="00EB6251"/>
    <w:rsid w:val="00EC63F2"/>
    <w:rsid w:val="00F10DD9"/>
    <w:rsid w:val="00F250BE"/>
    <w:rsid w:val="00F9779A"/>
    <w:rsid w:val="00FA0B49"/>
    <w:rsid w:val="00FA4DB6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717E"/>
  <w15:chartTrackingRefBased/>
  <w15:docId w15:val="{CEB4FB51-0A01-4C68-8DAF-10DF8C4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04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1E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7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1E6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035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METTER-ROTHAN Héloïse</dc:creator>
  <cp:keywords/>
  <dc:description/>
  <cp:lastModifiedBy>BRAHITI Karim</cp:lastModifiedBy>
  <cp:revision>13</cp:revision>
  <dcterms:created xsi:type="dcterms:W3CDTF">2023-06-29T15:22:00Z</dcterms:created>
  <dcterms:modified xsi:type="dcterms:W3CDTF">2024-07-11T07:45:00Z</dcterms:modified>
</cp:coreProperties>
</file>