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57" w:type="dxa"/>
        <w:tblLayout w:type="fixed"/>
        <w:tblCellMar>
          <w:top w:w="57" w:type="dxa"/>
          <w:left w:w="57" w:type="dxa"/>
          <w:bottom w:w="57" w:type="dxa"/>
          <w:right w:w="57" w:type="dxa"/>
        </w:tblCellMar>
        <w:tblLook w:val="0000"/>
      </w:tblPr>
      <w:tblGrid>
        <w:gridCol w:w="1527"/>
        <w:gridCol w:w="968"/>
        <w:gridCol w:w="1487"/>
      </w:tblGrid>
      <w:tr w:rsidR="00872CE4" w:rsidRPr="00481B8D" w:rsidTr="008F127C">
        <w:trPr>
          <w:cantSplit/>
        </w:trPr>
        <w:tc>
          <w:tcPr>
            <w:tcW w:w="3982" w:type="dxa"/>
            <w:gridSpan w:val="3"/>
          </w:tcPr>
          <w:p w:rsidR="00872CE4" w:rsidRPr="00481B8D" w:rsidRDefault="00872CE4" w:rsidP="008F127C">
            <w:pPr>
              <w:pStyle w:val="SNREPUBLIQUE"/>
              <w:snapToGrid w:val="0"/>
            </w:pPr>
            <w:r w:rsidRPr="00481B8D">
              <w:t>RÉPUBLIQUE FRANÇAISE</w:t>
            </w:r>
          </w:p>
        </w:tc>
      </w:tr>
      <w:tr w:rsidR="00872CE4" w:rsidRPr="00481B8D" w:rsidTr="008F127C">
        <w:trPr>
          <w:cantSplit/>
          <w:trHeight w:hRule="exact" w:val="113"/>
        </w:trPr>
        <w:tc>
          <w:tcPr>
            <w:tcW w:w="1527" w:type="dxa"/>
          </w:tcPr>
          <w:p w:rsidR="00872CE4" w:rsidRPr="00481B8D" w:rsidRDefault="00872CE4" w:rsidP="008F127C">
            <w:pPr>
              <w:snapToGrid w:val="0"/>
              <w:rPr>
                <w:rFonts w:cs="Tahoma"/>
              </w:rPr>
            </w:pPr>
          </w:p>
        </w:tc>
        <w:tc>
          <w:tcPr>
            <w:tcW w:w="968" w:type="dxa"/>
            <w:tcBorders>
              <w:bottom w:val="single" w:sz="2" w:space="0" w:color="000000"/>
            </w:tcBorders>
          </w:tcPr>
          <w:p w:rsidR="00872CE4" w:rsidRPr="00481B8D" w:rsidRDefault="00872CE4" w:rsidP="008F127C">
            <w:pPr>
              <w:snapToGrid w:val="0"/>
            </w:pPr>
          </w:p>
        </w:tc>
        <w:tc>
          <w:tcPr>
            <w:tcW w:w="1487" w:type="dxa"/>
          </w:tcPr>
          <w:p w:rsidR="00872CE4" w:rsidRPr="00481B8D" w:rsidRDefault="00872CE4" w:rsidP="008F127C">
            <w:pPr>
              <w:snapToGrid w:val="0"/>
            </w:pPr>
          </w:p>
        </w:tc>
      </w:tr>
      <w:tr w:rsidR="00872CE4" w:rsidRPr="00481B8D" w:rsidTr="008F127C">
        <w:trPr>
          <w:cantSplit/>
        </w:trPr>
        <w:tc>
          <w:tcPr>
            <w:tcW w:w="3982" w:type="dxa"/>
            <w:gridSpan w:val="3"/>
          </w:tcPr>
          <w:p w:rsidR="00872CE4" w:rsidRPr="00481B8D" w:rsidRDefault="00872CE4" w:rsidP="008F127C">
            <w:pPr>
              <w:snapToGrid w:val="0"/>
              <w:jc w:val="center"/>
            </w:pPr>
          </w:p>
          <w:p w:rsidR="00872CE4" w:rsidRPr="00481B8D" w:rsidRDefault="00872CE4" w:rsidP="00275F41">
            <w:pPr>
              <w:snapToGrid w:val="0"/>
              <w:jc w:val="center"/>
            </w:pPr>
            <w:r w:rsidRPr="00481B8D">
              <w:t xml:space="preserve">Ministère de l'Environnement, l'Énergie et de </w:t>
            </w:r>
            <w:smartTag w:uri="urn:schemas-microsoft-com:office:smarttags" w:element="PersonName">
              <w:smartTagPr>
                <w:attr w:name="ProductID" w:val="la Mer"/>
              </w:smartTagPr>
              <w:r w:rsidRPr="00481B8D">
                <w:t>la Mer</w:t>
              </w:r>
            </w:smartTag>
            <w:r w:rsidRPr="00481B8D">
              <w:t xml:space="preserve">, </w:t>
            </w:r>
          </w:p>
          <w:p w:rsidR="00872CE4" w:rsidRPr="00481B8D" w:rsidRDefault="00872CE4" w:rsidP="008F127C">
            <w:pPr>
              <w:jc w:val="center"/>
            </w:pPr>
            <w:r w:rsidRPr="00481B8D">
              <w:t>en charge des relations internationales sur le climat</w:t>
            </w:r>
          </w:p>
        </w:tc>
      </w:tr>
      <w:tr w:rsidR="00872CE4" w:rsidRPr="00481B8D" w:rsidTr="008F127C">
        <w:trPr>
          <w:cantSplit/>
          <w:trHeight w:hRule="exact" w:val="227"/>
        </w:trPr>
        <w:tc>
          <w:tcPr>
            <w:tcW w:w="1527" w:type="dxa"/>
          </w:tcPr>
          <w:p w:rsidR="00872CE4" w:rsidRPr="00481B8D" w:rsidRDefault="00872CE4" w:rsidP="008F127C">
            <w:pPr>
              <w:snapToGrid w:val="0"/>
            </w:pPr>
          </w:p>
        </w:tc>
        <w:tc>
          <w:tcPr>
            <w:tcW w:w="968" w:type="dxa"/>
            <w:tcBorders>
              <w:bottom w:val="single" w:sz="2" w:space="0" w:color="000000"/>
            </w:tcBorders>
          </w:tcPr>
          <w:p w:rsidR="00872CE4" w:rsidRPr="00481B8D" w:rsidRDefault="00872CE4" w:rsidP="008F127C">
            <w:pPr>
              <w:snapToGrid w:val="0"/>
            </w:pPr>
          </w:p>
        </w:tc>
        <w:tc>
          <w:tcPr>
            <w:tcW w:w="1487" w:type="dxa"/>
          </w:tcPr>
          <w:p w:rsidR="00872CE4" w:rsidRPr="00481B8D" w:rsidRDefault="00872CE4" w:rsidP="008F127C">
            <w:pPr>
              <w:snapToGrid w:val="0"/>
            </w:pPr>
          </w:p>
        </w:tc>
      </w:tr>
      <w:tr w:rsidR="00872CE4" w:rsidRPr="00481B8D" w:rsidTr="008F127C">
        <w:trPr>
          <w:cantSplit/>
          <w:trHeight w:hRule="exact" w:val="227"/>
        </w:trPr>
        <w:tc>
          <w:tcPr>
            <w:tcW w:w="1527" w:type="dxa"/>
          </w:tcPr>
          <w:p w:rsidR="00872CE4" w:rsidRPr="00481B8D" w:rsidRDefault="00872CE4" w:rsidP="008F127C">
            <w:pPr>
              <w:snapToGrid w:val="0"/>
            </w:pPr>
          </w:p>
        </w:tc>
        <w:tc>
          <w:tcPr>
            <w:tcW w:w="968" w:type="dxa"/>
          </w:tcPr>
          <w:p w:rsidR="00872CE4" w:rsidRPr="00481B8D" w:rsidRDefault="00872CE4" w:rsidP="008F127C">
            <w:pPr>
              <w:snapToGrid w:val="0"/>
            </w:pPr>
          </w:p>
        </w:tc>
        <w:tc>
          <w:tcPr>
            <w:tcW w:w="1487" w:type="dxa"/>
          </w:tcPr>
          <w:p w:rsidR="00872CE4" w:rsidRPr="00481B8D" w:rsidRDefault="00872CE4" w:rsidP="008F127C">
            <w:pPr>
              <w:snapToGrid w:val="0"/>
            </w:pPr>
          </w:p>
        </w:tc>
      </w:tr>
    </w:tbl>
    <w:p w:rsidR="00872CE4" w:rsidRPr="00481B8D" w:rsidRDefault="00872CE4" w:rsidP="008F127C">
      <w:pPr>
        <w:pStyle w:val="SNNature"/>
      </w:pPr>
      <w:r w:rsidRPr="00481B8D">
        <w:t xml:space="preserve">Arrêté du </w:t>
      </w:r>
    </w:p>
    <w:p w:rsidR="00872CE4" w:rsidRPr="00481B8D" w:rsidRDefault="00872CE4" w:rsidP="00A40D57">
      <w:pPr>
        <w:pStyle w:val="SNtitre"/>
      </w:pPr>
      <w:r w:rsidRPr="00481B8D">
        <w:t xml:space="preserve">portant </w:t>
      </w:r>
      <w:r>
        <w:t xml:space="preserve">répartition des quotas </w:t>
      </w:r>
      <w:r w:rsidRPr="00481B8D">
        <w:t>d'effort de pêche pour certaines activités de  pêche professionnelle en mer Méditerranée par les navires battant pavillon français</w:t>
      </w:r>
    </w:p>
    <w:p w:rsidR="00872CE4" w:rsidRPr="00481B8D" w:rsidRDefault="00872CE4" w:rsidP="008D352A">
      <w:pPr>
        <w:pStyle w:val="SNNORCentr"/>
      </w:pPr>
      <w:r w:rsidRPr="00481B8D">
        <w:t xml:space="preserve">NOR : </w:t>
      </w:r>
      <w:r>
        <w:t>DEVM1619331A</w:t>
      </w:r>
    </w:p>
    <w:p w:rsidR="00872CE4" w:rsidRPr="00481B8D" w:rsidRDefault="00872CE4" w:rsidP="00870666">
      <w:pPr>
        <w:pStyle w:val="BodyText"/>
        <w:tabs>
          <w:tab w:val="left" w:pos="6135"/>
        </w:tabs>
        <w:rPr>
          <w:b/>
          <w:i/>
          <w:sz w:val="22"/>
        </w:rPr>
      </w:pPr>
      <w:r w:rsidRPr="00481B8D">
        <w:rPr>
          <w:b/>
          <w:i/>
          <w:sz w:val="22"/>
        </w:rPr>
        <w:tab/>
      </w:r>
    </w:p>
    <w:p w:rsidR="00872CE4" w:rsidRPr="00481B8D" w:rsidRDefault="00872CE4" w:rsidP="008F127C">
      <w:pPr>
        <w:pStyle w:val="BodyText"/>
        <w:rPr>
          <w:b/>
          <w:i/>
          <w:sz w:val="22"/>
        </w:rPr>
      </w:pPr>
    </w:p>
    <w:p w:rsidR="00872CE4" w:rsidRPr="00481B8D" w:rsidRDefault="00872CE4" w:rsidP="00CE4618">
      <w:pPr>
        <w:pStyle w:val="BodyText"/>
        <w:rPr>
          <w:i/>
        </w:rPr>
      </w:pPr>
      <w:r w:rsidRPr="00481B8D">
        <w:rPr>
          <w:b/>
          <w:i/>
        </w:rPr>
        <w:t>Publics concernés </w:t>
      </w:r>
      <w:r w:rsidRPr="00481B8D">
        <w:rPr>
          <w:i/>
        </w:rPr>
        <w:t>: personnes morales, personnes physiques, armateurs à la pêche, services déconcentrés.</w:t>
      </w:r>
    </w:p>
    <w:p w:rsidR="00872CE4" w:rsidRPr="00481B8D" w:rsidRDefault="00872CE4" w:rsidP="00B5768A">
      <w:pPr>
        <w:pStyle w:val="SNtitre"/>
        <w:jc w:val="left"/>
      </w:pPr>
      <w:r w:rsidRPr="00481B8D">
        <w:t xml:space="preserve">Objet : </w:t>
      </w:r>
      <w:r w:rsidRPr="00481B8D">
        <w:rPr>
          <w:b w:val="0"/>
          <w:i/>
        </w:rPr>
        <w:t>Le présent arrêté crée un régime d'effort pour les activités de  pêche professionnelle au à la senne tournante coulissante en mer Méditerranée par les navires battant pavillon français. Il inclut les dispositions de  l’arrêté du 8 juin 2016 portant régime d'effort de pêche pour certaines activités de  pêche professionnelle en mer Méditerranée par les navires battant pavillon français, et  abroge ce dernier.</w:t>
      </w:r>
      <w:r w:rsidRPr="00481B8D" w:rsidDel="007B50BE">
        <w:t xml:space="preserve"> </w:t>
      </w:r>
    </w:p>
    <w:p w:rsidR="00872CE4" w:rsidRPr="00481B8D" w:rsidRDefault="00872CE4" w:rsidP="00B5768A">
      <w:pPr>
        <w:pStyle w:val="SNtitre"/>
        <w:jc w:val="left"/>
        <w:rPr>
          <w:b w:val="0"/>
          <w:i/>
        </w:rPr>
      </w:pPr>
      <w:r w:rsidRPr="00481B8D">
        <w:t xml:space="preserve">Entrée en vigueur : </w:t>
      </w:r>
      <w:r w:rsidRPr="00481B8D">
        <w:rPr>
          <w:b w:val="0"/>
          <w:i/>
        </w:rPr>
        <w:t>le texte entre en vigueur le lendemain de sa publication.</w:t>
      </w:r>
    </w:p>
    <w:p w:rsidR="00872CE4" w:rsidRPr="00481B8D" w:rsidRDefault="00872CE4" w:rsidP="00CE4618">
      <w:pPr>
        <w:pStyle w:val="BodyText"/>
        <w:rPr>
          <w:i/>
        </w:rPr>
      </w:pPr>
      <w:r w:rsidRPr="00481B8D">
        <w:rPr>
          <w:b/>
          <w:i/>
        </w:rPr>
        <w:t xml:space="preserve">Notice : </w:t>
      </w:r>
      <w:r w:rsidRPr="00481B8D">
        <w:rPr>
          <w:i/>
        </w:rPr>
        <w:t>Il est annexée au présent arrêté la répartition par année de gestion des quotas d'effort de pêche applicables à la pêche  professionnelle au chalut, à la drague d'étang, à la senne de plage et à la senne tournante coulissante en mer Méditerranée par les navires battant pavillon français.</w:t>
      </w:r>
    </w:p>
    <w:p w:rsidR="00872CE4" w:rsidRPr="00481B8D" w:rsidRDefault="00872CE4" w:rsidP="00CE4618">
      <w:pPr>
        <w:pStyle w:val="BodyText"/>
        <w:rPr>
          <w:i/>
        </w:rPr>
      </w:pPr>
      <w:r w:rsidRPr="00481B8D">
        <w:rPr>
          <w:b/>
          <w:i/>
        </w:rPr>
        <w:t xml:space="preserve">Référence : </w:t>
      </w:r>
      <w:r w:rsidRPr="00481B8D">
        <w:rPr>
          <w:i/>
        </w:rPr>
        <w:t>le présent arrêté peut être consulté sur le site Légifrance (</w:t>
      </w:r>
      <w:hyperlink r:id="rId7" w:history="1">
        <w:r w:rsidRPr="00481B8D">
          <w:rPr>
            <w:rStyle w:val="Hyperlink"/>
            <w:i/>
            <w:color w:val="auto"/>
          </w:rPr>
          <w:t>http://www.legifrance.gouv.fr</w:t>
        </w:r>
      </w:hyperlink>
      <w:r w:rsidRPr="00481B8D">
        <w:rPr>
          <w:i/>
        </w:rPr>
        <w:t>).</w:t>
      </w:r>
    </w:p>
    <w:p w:rsidR="00872CE4" w:rsidRPr="00481B8D" w:rsidRDefault="00872CE4" w:rsidP="00CE4618">
      <w:pPr>
        <w:pStyle w:val="BodyText"/>
        <w:rPr>
          <w:i/>
        </w:rPr>
      </w:pPr>
    </w:p>
    <w:p w:rsidR="00872CE4" w:rsidRPr="00481B8D" w:rsidRDefault="00872CE4" w:rsidP="00CE4618">
      <w:pPr>
        <w:suppressAutoHyphens w:val="0"/>
        <w:jc w:val="both"/>
        <w:rPr>
          <w:i/>
        </w:rPr>
        <w:sectPr w:rsidR="00872CE4" w:rsidRPr="00481B8D" w:rsidSect="00BE0BBC">
          <w:headerReference w:type="even" r:id="rId8"/>
          <w:headerReference w:type="default" r:id="rId9"/>
          <w:footerReference w:type="even" r:id="rId10"/>
          <w:footerReference w:type="default" r:id="rId11"/>
          <w:headerReference w:type="first" r:id="rId12"/>
          <w:footnotePr>
            <w:pos w:val="beneathText"/>
          </w:footnotePr>
          <w:pgSz w:w="11905" w:h="16837"/>
          <w:pgMar w:top="1134" w:right="1418" w:bottom="1418" w:left="1134" w:header="720" w:footer="720" w:gutter="0"/>
          <w:cols w:space="720"/>
          <w:docGrid w:linePitch="360"/>
        </w:sectPr>
      </w:pPr>
    </w:p>
    <w:p w:rsidR="00872CE4" w:rsidRPr="00481B8D" w:rsidRDefault="00872CE4" w:rsidP="00CE4618">
      <w:pPr>
        <w:pStyle w:val="SNAutorit"/>
        <w:jc w:val="both"/>
      </w:pPr>
      <w:r w:rsidRPr="00481B8D">
        <w:t>La ministre de l’environnement, de l’énergie et de la mer, chargée des relations internationales sur le climat</w:t>
      </w:r>
    </w:p>
    <w:p w:rsidR="00872CE4" w:rsidRPr="00481B8D" w:rsidRDefault="00872CE4" w:rsidP="00CE4618">
      <w:pPr>
        <w:pStyle w:val="SNVisa"/>
        <w:widowControl w:val="0"/>
        <w:jc w:val="both"/>
        <w:rPr>
          <w:rFonts w:cs="Arial"/>
        </w:rPr>
      </w:pPr>
      <w:r w:rsidRPr="00481B8D">
        <w:rPr>
          <w:rFonts w:cs="Arial"/>
        </w:rPr>
        <w:t xml:space="preserve">Vu les recommandations de </w:t>
      </w:r>
      <w:smartTag w:uri="urn:schemas-microsoft-com:office:smarttags" w:element="PersonName">
        <w:smartTagPr>
          <w:attr w:name="ProductID" w:val="la Commission"/>
        </w:smartTagPr>
        <w:r w:rsidRPr="00481B8D">
          <w:rPr>
            <w:rFonts w:cs="Arial"/>
          </w:rPr>
          <w:t>la Commission</w:t>
        </w:r>
      </w:smartTag>
      <w:r w:rsidRPr="00481B8D">
        <w:rPr>
          <w:rFonts w:cs="Arial"/>
        </w:rPr>
        <w:t xml:space="preserve"> générale des pêches pour </w:t>
      </w:r>
      <w:smartTag w:uri="urn:schemas-microsoft-com:office:smarttags" w:element="PersonName">
        <w:smartTagPr>
          <w:attr w:name="ProductID" w:val="la Méditerranée"/>
        </w:smartTagPr>
        <w:r w:rsidRPr="00481B8D">
          <w:rPr>
            <w:rFonts w:cs="Arial"/>
          </w:rPr>
          <w:t>la Méditerranée</w:t>
        </w:r>
      </w:smartTag>
      <w:r w:rsidRPr="00481B8D">
        <w:rPr>
          <w:rFonts w:cs="Arial"/>
        </w:rPr>
        <w:t> ;</w:t>
      </w:r>
    </w:p>
    <w:p w:rsidR="00872CE4" w:rsidRPr="00481B8D" w:rsidRDefault="00872CE4" w:rsidP="00CE4618">
      <w:pPr>
        <w:pStyle w:val="SNVisa"/>
        <w:jc w:val="both"/>
      </w:pPr>
      <w:r w:rsidRPr="00481B8D">
        <w:t>Vu le règlement (CE) n° 1967/2006 modifié du Conseil du 21 décembre 2006 concernant des mesures de gestion pour l’exploitation durable des ressources halieutiques en Méditerranée et modifiant le règlement (CEE) n° 2847/93 et abrogeant le règlement (CE) n° 1626/94 ;</w:t>
      </w:r>
    </w:p>
    <w:p w:rsidR="00872CE4" w:rsidRPr="00481B8D" w:rsidRDefault="00872CE4" w:rsidP="00CE4618">
      <w:pPr>
        <w:pStyle w:val="SNVisa"/>
        <w:jc w:val="both"/>
      </w:pPr>
      <w:r w:rsidRPr="00481B8D">
        <w:t>Vu le règlement (CE) n° 1005/2008 du Conseil du 29 septembre 2008 établissant un système communautaire destiné à prévenir, à décourager et à éradiquer la pêche illicite, non déclarée et non réglementée ;</w:t>
      </w:r>
    </w:p>
    <w:p w:rsidR="00872CE4" w:rsidRPr="00481B8D" w:rsidRDefault="00872CE4" w:rsidP="00CE4618">
      <w:pPr>
        <w:pStyle w:val="SNVisa"/>
        <w:jc w:val="both"/>
      </w:pPr>
      <w:r w:rsidRPr="00481B8D">
        <w:t>Vu le règlement (CE) n° 1224/2009 modifié du Conseil du 20 novembre 2009 instituant un régime communautaire de contrôle afin d’assurer le respect des règles de la politique commune de la pêche ;</w:t>
      </w:r>
    </w:p>
    <w:p w:rsidR="00872CE4" w:rsidRPr="00481B8D" w:rsidRDefault="00872CE4" w:rsidP="00CE4618">
      <w:pPr>
        <w:pStyle w:val="SNVisa"/>
        <w:jc w:val="both"/>
      </w:pPr>
      <w:r w:rsidRPr="00481B8D">
        <w:t xml:space="preserve">Vu le règlement d’exécution (UE) n° 404/2011 modifié de </w:t>
      </w:r>
      <w:smartTag w:uri="urn:schemas-microsoft-com:office:smarttags" w:element="PersonName">
        <w:smartTagPr>
          <w:attr w:name="ProductID" w:val="la Commission"/>
        </w:smartTagPr>
        <w:r w:rsidRPr="00481B8D">
          <w:t>la Commission</w:t>
        </w:r>
      </w:smartTag>
      <w:r w:rsidRPr="00481B8D">
        <w:t xml:space="preserve"> du 8 avril 2011 portant modalités d’application du règlement (CE) n° 1224/2009 du Conseil instituant un régime communautaire de contrôle afin d’assurer le respect des règles de la politique commune de la pêche ;</w:t>
      </w:r>
    </w:p>
    <w:p w:rsidR="00872CE4" w:rsidRPr="00481B8D" w:rsidRDefault="00872CE4" w:rsidP="00CE4618">
      <w:pPr>
        <w:pStyle w:val="SNVisa"/>
        <w:widowControl w:val="0"/>
        <w:jc w:val="both"/>
      </w:pPr>
      <w:r w:rsidRPr="00481B8D">
        <w:t xml:space="preserve">Vu le règlement (CE) n° 1380/2013 modifié du Parlement européen et du Conseil du 11 décembre 2013 relatif à la politique commune de la pêche, modifiant les règlements (CE) n ° 1954/2003 et (CE) n ° 1224/2009 du Conseil et abrogeant les règlements (CE) n ° 2371/2002 et (CE) n° 639/2004 du Conseil et la décision 2004/585/CE du Conseil ; </w:t>
      </w:r>
    </w:p>
    <w:p w:rsidR="00872CE4" w:rsidRPr="00481B8D" w:rsidRDefault="00872CE4" w:rsidP="00CE4618">
      <w:pPr>
        <w:pStyle w:val="SNVisa"/>
        <w:jc w:val="both"/>
        <w:rPr>
          <w:rFonts w:cs="Arial"/>
        </w:rPr>
      </w:pPr>
      <w:r w:rsidRPr="00481B8D">
        <w:t xml:space="preserve">Vu le code rural et de la pêche maritime </w:t>
      </w:r>
      <w:r w:rsidRPr="00481B8D">
        <w:rPr>
          <w:rFonts w:cs="Arial"/>
        </w:rPr>
        <w:t>;</w:t>
      </w:r>
    </w:p>
    <w:p w:rsidR="00872CE4" w:rsidRPr="00481B8D" w:rsidRDefault="00872CE4" w:rsidP="00CE4618">
      <w:pPr>
        <w:pStyle w:val="SNVisa"/>
        <w:jc w:val="both"/>
        <w:rPr>
          <w:rFonts w:cs="Arial"/>
        </w:rPr>
      </w:pPr>
      <w:r w:rsidRPr="00481B8D">
        <w:rPr>
          <w:rFonts w:cs="Arial"/>
        </w:rPr>
        <w:t>Vu l’arrêté du 19 décembre 1994 portant réglementation technique pour la pêche en Méditerranée continentale ;</w:t>
      </w:r>
    </w:p>
    <w:p w:rsidR="00872CE4" w:rsidRPr="00481B8D" w:rsidRDefault="00872CE4" w:rsidP="00CE4618">
      <w:pPr>
        <w:pStyle w:val="SNtitre"/>
        <w:suppressLineNumbers w:val="0"/>
        <w:spacing w:before="120" w:after="120"/>
        <w:ind w:firstLine="720"/>
        <w:jc w:val="both"/>
        <w:rPr>
          <w:b w:val="0"/>
        </w:rPr>
      </w:pPr>
      <w:r w:rsidRPr="00481B8D">
        <w:rPr>
          <w:b w:val="0"/>
        </w:rPr>
        <w:t>Vu l’arrêté du 28 février 2013 portant adoption d’un plan de gestion pour la pêche professionnelle au chalut en mer Méditerranée par les navires battant pavillon français ;</w:t>
      </w:r>
    </w:p>
    <w:p w:rsidR="00872CE4" w:rsidRPr="00481B8D" w:rsidRDefault="00872CE4" w:rsidP="00CE4618">
      <w:pPr>
        <w:pStyle w:val="SNNORCentr"/>
        <w:spacing w:before="120" w:after="120"/>
        <w:jc w:val="both"/>
      </w:pPr>
      <w:r w:rsidRPr="00481B8D">
        <w:tab/>
        <w:t>Vu l'arrêté du 13 mai 2014 portant adoption de plans de gestion pour les activités de pêche professionnelle à la senne tournante coulissante, à la drague, à la senne de plage et au gangui en mer Méditerranée pour les navires battant pavillon français ;</w:t>
      </w:r>
    </w:p>
    <w:p w:rsidR="00872CE4" w:rsidRPr="00481B8D" w:rsidRDefault="00872CE4" w:rsidP="00CA590D">
      <w:pPr>
        <w:pStyle w:val="SNtitre"/>
        <w:suppressLineNumbers w:val="0"/>
        <w:spacing w:before="120" w:after="120"/>
        <w:ind w:firstLine="720"/>
        <w:jc w:val="both"/>
        <w:rPr>
          <w:b w:val="0"/>
        </w:rPr>
      </w:pPr>
      <w:r w:rsidRPr="00481B8D">
        <w:rPr>
          <w:b w:val="0"/>
        </w:rPr>
        <w:t>Vu l’arrêté du 8 juin 2016 portant régime d'effort de pêche pour certaines activités de pêche professionnelle en mer Méditerranée par les navires battant pavillon français ;</w:t>
      </w:r>
    </w:p>
    <w:p w:rsidR="00872CE4" w:rsidRPr="00481B8D" w:rsidRDefault="00872CE4" w:rsidP="004646E3">
      <w:pPr>
        <w:pStyle w:val="SNVisa"/>
        <w:widowControl w:val="0"/>
        <w:ind w:firstLine="708"/>
        <w:jc w:val="both"/>
      </w:pPr>
      <w:r w:rsidRPr="00481B8D">
        <w:t>Vu la participation du public ;</w:t>
      </w:r>
    </w:p>
    <w:p w:rsidR="00872CE4" w:rsidRPr="00481B8D" w:rsidRDefault="00872CE4" w:rsidP="003D0441">
      <w:pPr>
        <w:pStyle w:val="SNVisa"/>
        <w:widowControl w:val="0"/>
        <w:ind w:firstLine="708"/>
        <w:jc w:val="both"/>
        <w:rPr>
          <w:rFonts w:cs="Arial"/>
        </w:rPr>
      </w:pPr>
      <w:r w:rsidRPr="00481B8D">
        <w:rPr>
          <w:rFonts w:cs="Arial"/>
        </w:rPr>
        <w:t>Vu l’avis du Comité national des pêches maritimes et des élevages marins en date du</w:t>
      </w:r>
      <w:r>
        <w:rPr>
          <w:rFonts w:cs="Arial"/>
        </w:rPr>
        <w:t xml:space="preserve"> 21 juillet 2016 </w:t>
      </w:r>
      <w:r w:rsidRPr="00481B8D">
        <w:rPr>
          <w:rFonts w:cs="Arial"/>
        </w:rPr>
        <w:t>;</w:t>
      </w:r>
    </w:p>
    <w:p w:rsidR="00872CE4" w:rsidRPr="00481B8D" w:rsidRDefault="00872CE4" w:rsidP="00CE4618">
      <w:pPr>
        <w:suppressAutoHyphens w:val="0"/>
        <w:jc w:val="both"/>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Default="00872CE4" w:rsidP="003D0441">
      <w:pPr>
        <w:suppressAutoHyphens w:val="0"/>
        <w:jc w:val="center"/>
        <w:rPr>
          <w:b/>
        </w:rPr>
      </w:pPr>
    </w:p>
    <w:p w:rsidR="00872CE4" w:rsidRPr="00481B8D" w:rsidRDefault="00872CE4" w:rsidP="003D0441">
      <w:pPr>
        <w:suppressAutoHyphens w:val="0"/>
        <w:jc w:val="center"/>
        <w:rPr>
          <w:b/>
        </w:rPr>
      </w:pPr>
      <w:r w:rsidRPr="00481B8D">
        <w:rPr>
          <w:b/>
        </w:rPr>
        <w:t>ARRÊTE</w:t>
      </w:r>
    </w:p>
    <w:p w:rsidR="00872CE4" w:rsidRPr="00481B8D" w:rsidRDefault="00872CE4" w:rsidP="00CE4618">
      <w:pPr>
        <w:suppressAutoHyphens w:val="0"/>
        <w:jc w:val="center"/>
        <w:rPr>
          <w:b/>
        </w:rPr>
      </w:pPr>
    </w:p>
    <w:p w:rsidR="00872CE4" w:rsidRPr="00481B8D" w:rsidRDefault="00872CE4" w:rsidP="00CE4618">
      <w:pPr>
        <w:pStyle w:val="BodyText"/>
        <w:jc w:val="center"/>
        <w:rPr>
          <w:b/>
          <w:vertAlign w:val="superscript"/>
        </w:rPr>
      </w:pPr>
      <w:r w:rsidRPr="00481B8D">
        <w:rPr>
          <w:b/>
        </w:rPr>
        <w:t>Article 1</w:t>
      </w:r>
      <w:r w:rsidRPr="00481B8D">
        <w:rPr>
          <w:b/>
          <w:vertAlign w:val="superscript"/>
        </w:rPr>
        <w:t>er</w:t>
      </w:r>
    </w:p>
    <w:p w:rsidR="00872CE4" w:rsidRPr="00481B8D" w:rsidRDefault="00872CE4" w:rsidP="00CE4618">
      <w:pPr>
        <w:widowControl w:val="0"/>
        <w:autoSpaceDE w:val="0"/>
        <w:autoSpaceDN w:val="0"/>
        <w:adjustRightInd w:val="0"/>
        <w:jc w:val="center"/>
        <w:rPr>
          <w:b/>
        </w:rPr>
      </w:pPr>
      <w:r w:rsidRPr="00481B8D">
        <w:rPr>
          <w:b/>
        </w:rPr>
        <w:t>Champ d’application</w:t>
      </w:r>
    </w:p>
    <w:p w:rsidR="00872CE4" w:rsidRPr="00481B8D" w:rsidRDefault="00872CE4" w:rsidP="00CE4618">
      <w:pPr>
        <w:pStyle w:val="BodyText"/>
        <w:rPr>
          <w:b/>
        </w:rPr>
      </w:pPr>
    </w:p>
    <w:p w:rsidR="00872CE4" w:rsidRPr="00481B8D" w:rsidRDefault="00872CE4" w:rsidP="00CE4618">
      <w:pPr>
        <w:pStyle w:val="BodyText"/>
      </w:pPr>
      <w:r w:rsidRPr="00481B8D">
        <w:t>Des quotas d'effort de pêche, tels que définis à l'article R.921-1 du code rural et de la pêche maritime, s'appliquent aux activités des navires battant pavillon français, titulaires d'une autorisation européenne de pêche relative à la pratique de la pêche professionnelle en mer Méditerranée (zone FAO 37).</w:t>
      </w:r>
    </w:p>
    <w:p w:rsidR="00872CE4" w:rsidRPr="00481B8D" w:rsidRDefault="00872CE4" w:rsidP="00CE4618">
      <w:pPr>
        <w:pStyle w:val="BodyText"/>
      </w:pPr>
      <w:r w:rsidRPr="00481B8D">
        <w:t>La liste des engins de pêche concernés figurent en annexe 1 du présent arrêté.</w:t>
      </w:r>
    </w:p>
    <w:p w:rsidR="00872CE4" w:rsidRPr="00481B8D" w:rsidRDefault="00872CE4" w:rsidP="00CE4618">
      <w:pPr>
        <w:pStyle w:val="SNArticle"/>
      </w:pPr>
      <w:r w:rsidRPr="00481B8D">
        <w:t>Article 2</w:t>
      </w:r>
    </w:p>
    <w:p w:rsidR="00872CE4" w:rsidRPr="00481B8D" w:rsidRDefault="00872CE4" w:rsidP="00CE4618">
      <w:pPr>
        <w:widowControl w:val="0"/>
        <w:autoSpaceDE w:val="0"/>
        <w:autoSpaceDN w:val="0"/>
        <w:adjustRightInd w:val="0"/>
        <w:jc w:val="center"/>
        <w:rPr>
          <w:b/>
        </w:rPr>
      </w:pPr>
      <w:r w:rsidRPr="00481B8D">
        <w:rPr>
          <w:b/>
        </w:rPr>
        <w:t>Quotas d’effort de pêche</w:t>
      </w:r>
    </w:p>
    <w:p w:rsidR="00872CE4" w:rsidRPr="00481B8D" w:rsidRDefault="00872CE4" w:rsidP="00CE4618">
      <w:pPr>
        <w:widowControl w:val="0"/>
        <w:autoSpaceDE w:val="0"/>
        <w:autoSpaceDN w:val="0"/>
        <w:adjustRightInd w:val="0"/>
        <w:jc w:val="both"/>
      </w:pPr>
    </w:p>
    <w:p w:rsidR="00872CE4" w:rsidRPr="00481B8D" w:rsidRDefault="00872CE4" w:rsidP="00CE4618">
      <w:pPr>
        <w:widowControl w:val="0"/>
        <w:autoSpaceDE w:val="0"/>
        <w:autoSpaceDN w:val="0"/>
        <w:adjustRightInd w:val="0"/>
        <w:jc w:val="both"/>
      </w:pPr>
      <w:r w:rsidRPr="00481B8D">
        <w:t xml:space="preserve">I. L’effort de pêche déployé au moyen des engins listés en annexe 1 du présent arrêté est exprimé en jours de pêche. Un jour de pêche correspond à toute période continue de vingt-quatre heures au plus, au cours de laquelle un navire de pêche est présent en mer Méditerranée et absent du port ou, le cas échéant, déploie son engin de pêche. </w:t>
      </w:r>
    </w:p>
    <w:p w:rsidR="00872CE4" w:rsidRPr="00481B8D" w:rsidRDefault="00872CE4" w:rsidP="00CE4618">
      <w:pPr>
        <w:widowControl w:val="0"/>
        <w:autoSpaceDE w:val="0"/>
        <w:autoSpaceDN w:val="0"/>
        <w:adjustRightInd w:val="0"/>
        <w:jc w:val="both"/>
        <w:rPr>
          <w:rFonts w:ascii="Arial" w:hAnsi="Arial" w:cs="Arial"/>
        </w:rPr>
      </w:pPr>
      <w:r w:rsidRPr="00481B8D">
        <w:rPr>
          <w:rFonts w:ascii="Arial" w:hAnsi="Arial" w:cs="Arial"/>
        </w:rPr>
        <w:t> </w:t>
      </w:r>
    </w:p>
    <w:p w:rsidR="00872CE4" w:rsidRPr="00481B8D" w:rsidRDefault="00872CE4" w:rsidP="00CE4618">
      <w:pPr>
        <w:widowControl w:val="0"/>
        <w:autoSpaceDE w:val="0"/>
        <w:autoSpaceDN w:val="0"/>
        <w:adjustRightInd w:val="0"/>
        <w:jc w:val="both"/>
      </w:pPr>
      <w:r w:rsidRPr="00481B8D">
        <w:t>II. Les quotas d'effort de pêche sont définis sur une période de gestion annuelle correspondant à l’année civile en cours.</w:t>
      </w:r>
    </w:p>
    <w:p w:rsidR="00872CE4" w:rsidRPr="00481B8D" w:rsidRDefault="00872CE4" w:rsidP="00CE4618">
      <w:pPr>
        <w:pStyle w:val="SNArticle"/>
      </w:pPr>
      <w:r w:rsidRPr="00481B8D">
        <w:t>Article 3</w:t>
      </w:r>
    </w:p>
    <w:p w:rsidR="00872CE4" w:rsidRPr="00481B8D" w:rsidRDefault="00872CE4" w:rsidP="00CE4618">
      <w:pPr>
        <w:pStyle w:val="BodyText"/>
        <w:jc w:val="center"/>
        <w:rPr>
          <w:b/>
        </w:rPr>
      </w:pPr>
      <w:r w:rsidRPr="00481B8D">
        <w:rPr>
          <w:b/>
        </w:rPr>
        <w:t>Modalités de répartition</w:t>
      </w:r>
    </w:p>
    <w:p w:rsidR="00872CE4" w:rsidRPr="00481B8D" w:rsidRDefault="00872CE4" w:rsidP="00CE4618">
      <w:pPr>
        <w:widowControl w:val="0"/>
        <w:autoSpaceDE w:val="0"/>
        <w:autoSpaceDN w:val="0"/>
        <w:adjustRightInd w:val="0"/>
        <w:jc w:val="both"/>
      </w:pPr>
    </w:p>
    <w:p w:rsidR="00872CE4" w:rsidRPr="00481B8D" w:rsidRDefault="00872CE4" w:rsidP="009936A4">
      <w:pPr>
        <w:widowControl w:val="0"/>
        <w:autoSpaceDE w:val="0"/>
        <w:autoSpaceDN w:val="0"/>
        <w:adjustRightInd w:val="0"/>
        <w:jc w:val="both"/>
      </w:pPr>
      <w:r w:rsidRPr="00481B8D">
        <w:t xml:space="preserve">I. En application des dispositions du I de l'article  R.921-35 du code rural et de la pêche maritime, les quotas d’effort de pêche sont répartis en sous-quotas, à la date du 1er janvier de l'année de gestion en cours, entre la liste des navires adhérents à une organisation de producteurs et la liste des navires n'appartenant pas à une organisation de producteurs. </w:t>
      </w:r>
    </w:p>
    <w:p w:rsidR="00872CE4" w:rsidRPr="00481B8D" w:rsidRDefault="00872CE4" w:rsidP="009936A4">
      <w:pPr>
        <w:widowControl w:val="0"/>
        <w:autoSpaceDE w:val="0"/>
        <w:autoSpaceDN w:val="0"/>
        <w:adjustRightInd w:val="0"/>
        <w:jc w:val="both"/>
      </w:pPr>
    </w:p>
    <w:p w:rsidR="00872CE4" w:rsidRPr="00481B8D" w:rsidRDefault="00872CE4" w:rsidP="009936A4">
      <w:pPr>
        <w:widowControl w:val="0"/>
        <w:autoSpaceDE w:val="0"/>
        <w:autoSpaceDN w:val="0"/>
        <w:adjustRightInd w:val="0"/>
        <w:jc w:val="both"/>
      </w:pPr>
      <w:r w:rsidRPr="00481B8D">
        <w:t>II. En application des dispositions du III-3° des articles R.921-35 et R.921-50 du code rural et de la pêche maritime, les quotas sont répartis dans le respect des équilibres socio-économiques entre les navires répondant aux conditions de l'article 1</w:t>
      </w:r>
      <w:r w:rsidRPr="00481B8D">
        <w:rPr>
          <w:vertAlign w:val="superscript"/>
        </w:rPr>
        <w:t>er</w:t>
      </w:r>
      <w:r w:rsidRPr="00481B8D">
        <w:t xml:space="preserve">  du présent arrêté. </w:t>
      </w:r>
    </w:p>
    <w:p w:rsidR="00872CE4" w:rsidRPr="00481B8D" w:rsidRDefault="00872CE4" w:rsidP="009936A4">
      <w:pPr>
        <w:widowControl w:val="0"/>
        <w:autoSpaceDE w:val="0"/>
        <w:autoSpaceDN w:val="0"/>
        <w:adjustRightInd w:val="0"/>
        <w:jc w:val="both"/>
      </w:pPr>
    </w:p>
    <w:p w:rsidR="00872CE4" w:rsidRPr="00481B8D" w:rsidRDefault="00872CE4" w:rsidP="009936A4">
      <w:pPr>
        <w:widowControl w:val="0"/>
        <w:autoSpaceDE w:val="0"/>
        <w:autoSpaceDN w:val="0"/>
        <w:adjustRightInd w:val="0"/>
        <w:jc w:val="both"/>
      </w:pPr>
      <w:r w:rsidRPr="00481B8D">
        <w:t>III. Des limitations régionales d'effort de pêche sont introduites pour les navires de pêche non adhérents à une organisation de producteurs. Dans ce cas, les paragraphes I et le II du présent article s’appliquent.</w:t>
      </w:r>
    </w:p>
    <w:p w:rsidR="00872CE4" w:rsidRPr="00481B8D" w:rsidRDefault="00872CE4" w:rsidP="009936A4">
      <w:pPr>
        <w:widowControl w:val="0"/>
        <w:autoSpaceDE w:val="0"/>
        <w:autoSpaceDN w:val="0"/>
        <w:adjustRightInd w:val="0"/>
        <w:jc w:val="both"/>
      </w:pPr>
    </w:p>
    <w:p w:rsidR="00872CE4" w:rsidRPr="00481B8D" w:rsidRDefault="00872CE4" w:rsidP="009936A4">
      <w:pPr>
        <w:widowControl w:val="0"/>
        <w:autoSpaceDE w:val="0"/>
        <w:autoSpaceDN w:val="0"/>
        <w:adjustRightInd w:val="0"/>
        <w:jc w:val="both"/>
      </w:pPr>
      <w:r w:rsidRPr="00481B8D">
        <w:t>IV. La répartition des quotas figure en annexes 2 à 5 du présent arrêté.</w:t>
      </w:r>
    </w:p>
    <w:p w:rsidR="00872CE4" w:rsidRPr="00481B8D" w:rsidRDefault="00872CE4" w:rsidP="009936A4">
      <w:pPr>
        <w:widowControl w:val="0"/>
        <w:autoSpaceDE w:val="0"/>
        <w:autoSpaceDN w:val="0"/>
        <w:adjustRightInd w:val="0"/>
        <w:jc w:val="both"/>
      </w:pP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p>
    <w:p w:rsidR="00872CE4"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r w:rsidRPr="00481B8D">
        <w:rPr>
          <w:b/>
        </w:rPr>
        <w:t>Article 4</w:t>
      </w:r>
    </w:p>
    <w:p w:rsidR="00872CE4" w:rsidRPr="00481B8D" w:rsidRDefault="00872CE4" w:rsidP="00CE4618">
      <w:pPr>
        <w:widowControl w:val="0"/>
        <w:autoSpaceDE w:val="0"/>
        <w:autoSpaceDN w:val="0"/>
        <w:adjustRightInd w:val="0"/>
        <w:jc w:val="center"/>
        <w:rPr>
          <w:b/>
        </w:rPr>
      </w:pPr>
    </w:p>
    <w:p w:rsidR="00872CE4" w:rsidRPr="00481B8D" w:rsidRDefault="00872CE4" w:rsidP="00CE4618">
      <w:pPr>
        <w:widowControl w:val="0"/>
        <w:autoSpaceDE w:val="0"/>
        <w:autoSpaceDN w:val="0"/>
        <w:adjustRightInd w:val="0"/>
        <w:jc w:val="center"/>
        <w:rPr>
          <w:b/>
        </w:rPr>
      </w:pPr>
      <w:r w:rsidRPr="00481B8D">
        <w:rPr>
          <w:b/>
        </w:rPr>
        <w:t>Modalités de gestion</w:t>
      </w:r>
    </w:p>
    <w:p w:rsidR="00872CE4" w:rsidRPr="00481B8D" w:rsidRDefault="00872CE4" w:rsidP="00CE4618">
      <w:pPr>
        <w:widowControl w:val="0"/>
        <w:autoSpaceDE w:val="0"/>
        <w:autoSpaceDN w:val="0"/>
        <w:adjustRightInd w:val="0"/>
        <w:jc w:val="both"/>
        <w:rPr>
          <w:b/>
        </w:rPr>
      </w:pPr>
    </w:p>
    <w:p w:rsidR="00872CE4" w:rsidRPr="00481B8D" w:rsidRDefault="00872CE4" w:rsidP="00CE4618">
      <w:pPr>
        <w:widowControl w:val="0"/>
        <w:autoSpaceDE w:val="0"/>
        <w:autoSpaceDN w:val="0"/>
        <w:adjustRightInd w:val="0"/>
        <w:jc w:val="both"/>
      </w:pPr>
      <w:r w:rsidRPr="00481B8D">
        <w:t>I. Un bilan de la consommation du quota d’effort de pêche est réalisé, par sous-quotas, le 15 juin et le 15 novembre de l’année de gestion en cours.</w:t>
      </w:r>
    </w:p>
    <w:p w:rsidR="00872CE4" w:rsidRPr="00481B8D" w:rsidRDefault="00872CE4" w:rsidP="00CE4618">
      <w:pPr>
        <w:widowControl w:val="0"/>
        <w:autoSpaceDE w:val="0"/>
        <w:autoSpaceDN w:val="0"/>
        <w:adjustRightInd w:val="0"/>
        <w:jc w:val="both"/>
      </w:pPr>
    </w:p>
    <w:p w:rsidR="00872CE4" w:rsidRPr="00481B8D" w:rsidRDefault="00872CE4" w:rsidP="00CE4618">
      <w:pPr>
        <w:widowControl w:val="0"/>
        <w:autoSpaceDE w:val="0"/>
        <w:autoSpaceDN w:val="0"/>
        <w:adjustRightInd w:val="0"/>
        <w:jc w:val="both"/>
      </w:pPr>
      <w:r w:rsidRPr="00481B8D">
        <w:t xml:space="preserve">Au terme de ces bilans, lorsqu’un sous-quota dispose d’un nombre de jours de pêche disponible qui est supérieur au nombre de jours de pêche autorisé restant sur l’année de gestion en cours, ces jours de pêche sont transférés vers les sous-quotas dont le nombre de jours de pêche disponible est inférieur au nombre de jours de pêche autorisé restant sur l’année de gestion en cours. </w:t>
      </w:r>
    </w:p>
    <w:p w:rsidR="00872CE4" w:rsidRPr="00481B8D" w:rsidRDefault="00872CE4" w:rsidP="00CE4618">
      <w:pPr>
        <w:widowControl w:val="0"/>
        <w:autoSpaceDE w:val="0"/>
        <w:autoSpaceDN w:val="0"/>
        <w:adjustRightInd w:val="0"/>
        <w:jc w:val="both"/>
      </w:pPr>
      <w:r w:rsidRPr="00481B8D">
        <w:t>Les jours de pêche à transférer sont affectés entre les sous-quotas concernés selon les clefs de répartition définies à l’article 3.  </w:t>
      </w:r>
    </w:p>
    <w:p w:rsidR="00872CE4" w:rsidRPr="00481B8D" w:rsidRDefault="00872CE4" w:rsidP="00CE4618">
      <w:pPr>
        <w:widowControl w:val="0"/>
        <w:autoSpaceDE w:val="0"/>
        <w:autoSpaceDN w:val="0"/>
        <w:adjustRightInd w:val="0"/>
        <w:jc w:val="both"/>
      </w:pPr>
      <w:r w:rsidRPr="00481B8D">
        <w:t xml:space="preserve">Ce transfert est réalisé après avis du Comité national des pêches maritimes et des élevages marins. Cet avis est rendu dans un délai de sept jours à compter de la transmission du projet d’arrêté. </w:t>
      </w:r>
    </w:p>
    <w:p w:rsidR="00872CE4" w:rsidRPr="00481B8D" w:rsidRDefault="00872CE4" w:rsidP="00CE4618">
      <w:pPr>
        <w:widowControl w:val="0"/>
        <w:autoSpaceDE w:val="0"/>
        <w:autoSpaceDN w:val="0"/>
        <w:adjustRightInd w:val="0"/>
        <w:jc w:val="both"/>
        <w:rPr>
          <w:b/>
          <w:bCs/>
        </w:rPr>
      </w:pPr>
    </w:p>
    <w:p w:rsidR="00872CE4" w:rsidRPr="00481B8D" w:rsidRDefault="00872CE4" w:rsidP="00CE4618">
      <w:pPr>
        <w:widowControl w:val="0"/>
        <w:autoSpaceDE w:val="0"/>
        <w:autoSpaceDN w:val="0"/>
        <w:adjustRightInd w:val="0"/>
        <w:jc w:val="both"/>
      </w:pPr>
      <w:r w:rsidRPr="00481B8D">
        <w:t xml:space="preserve">II. En application de l'article R.921-58 du code rural et de la pêche maritime des échanges de sous-quotas d’effort de pêche peuvent être réalisés entre les organisations de producteurs et les navires n'appartenant pas à une organisation de producteurs. </w:t>
      </w:r>
    </w:p>
    <w:p w:rsidR="00872CE4" w:rsidRPr="00481B8D" w:rsidRDefault="00872CE4" w:rsidP="00CE4618">
      <w:pPr>
        <w:widowControl w:val="0"/>
        <w:autoSpaceDE w:val="0"/>
        <w:autoSpaceDN w:val="0"/>
        <w:adjustRightInd w:val="0"/>
        <w:jc w:val="both"/>
        <w:rPr>
          <w:b/>
          <w:bCs/>
        </w:rPr>
      </w:pPr>
    </w:p>
    <w:p w:rsidR="00872CE4" w:rsidRPr="00481B8D" w:rsidRDefault="00872CE4" w:rsidP="00CE4618">
      <w:pPr>
        <w:widowControl w:val="0"/>
        <w:autoSpaceDE w:val="0"/>
        <w:autoSpaceDN w:val="0"/>
        <w:adjustRightInd w:val="0"/>
        <w:jc w:val="center"/>
        <w:rPr>
          <w:b/>
          <w:bCs/>
        </w:rPr>
      </w:pPr>
      <w:r w:rsidRPr="00481B8D">
        <w:rPr>
          <w:b/>
          <w:bCs/>
        </w:rPr>
        <w:t>Article 5</w:t>
      </w:r>
    </w:p>
    <w:p w:rsidR="00872CE4" w:rsidRPr="00481B8D" w:rsidRDefault="00872CE4" w:rsidP="00CE4618">
      <w:pPr>
        <w:widowControl w:val="0"/>
        <w:autoSpaceDE w:val="0"/>
        <w:autoSpaceDN w:val="0"/>
        <w:adjustRightInd w:val="0"/>
        <w:jc w:val="center"/>
      </w:pPr>
    </w:p>
    <w:p w:rsidR="00872CE4" w:rsidRPr="00481B8D" w:rsidRDefault="00872CE4" w:rsidP="00CE4618">
      <w:pPr>
        <w:pStyle w:val="BodyText"/>
        <w:jc w:val="center"/>
        <w:rPr>
          <w:b/>
        </w:rPr>
      </w:pPr>
      <w:r w:rsidRPr="00481B8D">
        <w:rPr>
          <w:b/>
        </w:rPr>
        <w:t>Modalités relatives à la fermeture temporaire des quotas et sous-quotas</w:t>
      </w: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both"/>
        <w:rPr>
          <w:bCs/>
        </w:rPr>
      </w:pPr>
      <w:r w:rsidRPr="00481B8D">
        <w:rPr>
          <w:bCs/>
        </w:rPr>
        <w:t>I. Lorsqu'un risque de dépassement du quota est constaté, le ministre chargé des pêches maritimes et de l'aquaculture peut, en application de l'article R.921-49 du code rural et de la pêche maritime, décider la fermeture temporaire de quotas ou sous-quotas d'effort de pêche :</w:t>
      </w:r>
    </w:p>
    <w:p w:rsidR="00872CE4" w:rsidRPr="00481B8D" w:rsidRDefault="00872CE4" w:rsidP="00CE4618">
      <w:pPr>
        <w:widowControl w:val="0"/>
        <w:autoSpaceDE w:val="0"/>
        <w:autoSpaceDN w:val="0"/>
        <w:adjustRightInd w:val="0"/>
        <w:jc w:val="both"/>
        <w:rPr>
          <w:bCs/>
        </w:rPr>
      </w:pPr>
      <w:r w:rsidRPr="00481B8D">
        <w:rPr>
          <w:bCs/>
        </w:rPr>
        <w:t>1. Si le niveau de consommation du quota ou du sous-quota d'effort de pêche atteint ou dépasse 80% du quota ou du sous-quota, ou sur demande d'une organisation de producteurs (OP), afin d'assurer  un étalement approprié de l'activité de pêche ;</w:t>
      </w:r>
    </w:p>
    <w:p w:rsidR="00872CE4" w:rsidRPr="00481B8D" w:rsidRDefault="00872CE4" w:rsidP="00CE4618">
      <w:pPr>
        <w:widowControl w:val="0"/>
        <w:autoSpaceDE w:val="0"/>
        <w:autoSpaceDN w:val="0"/>
        <w:adjustRightInd w:val="0"/>
        <w:jc w:val="both"/>
        <w:rPr>
          <w:bCs/>
        </w:rPr>
      </w:pPr>
      <w:r w:rsidRPr="00481B8D">
        <w:rPr>
          <w:bCs/>
        </w:rPr>
        <w:t>2. Si le niveau de consommation du sous-quota ou d'effort de pêche atteint ou dépasse 90% du sous-quota de l'OP, excepté si cette dernière adresse aux services de l'Etat en charge des pêches maritimes les niveaux de consommation du sous-quota alloué, de manière exhaustive avant le 10 de chaque mois ;</w:t>
      </w:r>
    </w:p>
    <w:p w:rsidR="00872CE4" w:rsidRPr="00481B8D" w:rsidRDefault="00872CE4" w:rsidP="00CE4618">
      <w:pPr>
        <w:widowControl w:val="0"/>
        <w:autoSpaceDE w:val="0"/>
        <w:autoSpaceDN w:val="0"/>
        <w:adjustRightInd w:val="0"/>
        <w:jc w:val="both"/>
        <w:rPr>
          <w:bCs/>
        </w:rPr>
      </w:pPr>
    </w:p>
    <w:p w:rsidR="00872CE4" w:rsidRPr="00481B8D" w:rsidRDefault="00872CE4" w:rsidP="00CE4618">
      <w:pPr>
        <w:widowControl w:val="0"/>
        <w:autoSpaceDE w:val="0"/>
        <w:autoSpaceDN w:val="0"/>
        <w:adjustRightInd w:val="0"/>
        <w:jc w:val="both"/>
        <w:rPr>
          <w:bCs/>
        </w:rPr>
      </w:pPr>
      <w:r w:rsidRPr="00481B8D">
        <w:rPr>
          <w:bCs/>
        </w:rPr>
        <w:t>II. Par dérogation au 1et 2 du présent article, le ministre chargé des pêches maritimes et de l'aquaculture peut décider de fixer ce seuil au-delà de 90% pour certains sous-quotas présentant un caractère sensible, lorsque la fréquence et l'exhaustivité des données de consommation du sous-quota concerné transmises aux services de l'Etat en charge des pêches maritimes et les mesures de contrôle de la consommation de ces sous-quotas mises en place par les organisations de producteurs offrent suffisamment de garantie de maîtrise de leur consommation.</w:t>
      </w:r>
    </w:p>
    <w:p w:rsidR="00872CE4" w:rsidRPr="00481B8D" w:rsidRDefault="00872CE4" w:rsidP="00CE4618">
      <w:pPr>
        <w:widowControl w:val="0"/>
        <w:autoSpaceDE w:val="0"/>
        <w:autoSpaceDN w:val="0"/>
        <w:adjustRightInd w:val="0"/>
        <w:jc w:val="both"/>
        <w:rPr>
          <w:bCs/>
        </w:rPr>
      </w:pPr>
    </w:p>
    <w:p w:rsidR="00872CE4" w:rsidRPr="00481B8D" w:rsidRDefault="00872CE4" w:rsidP="00CE4618">
      <w:pPr>
        <w:widowControl w:val="0"/>
        <w:autoSpaceDE w:val="0"/>
        <w:autoSpaceDN w:val="0"/>
        <w:adjustRightInd w:val="0"/>
        <w:jc w:val="both"/>
      </w:pPr>
      <w:r w:rsidRPr="00481B8D">
        <w:rPr>
          <w:bCs/>
        </w:rPr>
        <w:t>III. Lorsqu'un quota ou sous-quota d'effort de pêche défini à l'article 1</w:t>
      </w:r>
      <w:r w:rsidRPr="00481B8D">
        <w:rPr>
          <w:bCs/>
          <w:vertAlign w:val="superscript"/>
        </w:rPr>
        <w:t>er</w:t>
      </w:r>
      <w:r w:rsidRPr="00481B8D">
        <w:rPr>
          <w:bCs/>
        </w:rPr>
        <w:t xml:space="preserve">  est réputé épuisé, les </w:t>
      </w:r>
      <w:r w:rsidRPr="00481B8D">
        <w:t xml:space="preserve">navires de pêche restent au port ou cessent de pratiquer l’activité de pêche avec l’engin </w:t>
      </w:r>
      <w:r w:rsidRPr="00481B8D">
        <w:rPr>
          <w:bCs/>
        </w:rPr>
        <w:t>concerné par la fermeture temporaire.</w:t>
      </w:r>
      <w:r w:rsidRPr="00481B8D">
        <w:t xml:space="preserve"> </w:t>
      </w: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center"/>
        <w:rPr>
          <w:b/>
          <w:bCs/>
        </w:rPr>
      </w:pPr>
      <w:r w:rsidRPr="00481B8D">
        <w:rPr>
          <w:b/>
          <w:bCs/>
        </w:rPr>
        <w:t>Article 6</w:t>
      </w: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center"/>
        <w:rPr>
          <w:b/>
          <w:bCs/>
        </w:rPr>
      </w:pPr>
      <w:r w:rsidRPr="00481B8D">
        <w:rPr>
          <w:b/>
          <w:bCs/>
        </w:rPr>
        <w:t>Sanctions</w:t>
      </w:r>
    </w:p>
    <w:p w:rsidR="00872CE4" w:rsidRPr="00481B8D" w:rsidRDefault="00872CE4" w:rsidP="00CE4618">
      <w:pPr>
        <w:widowControl w:val="0"/>
        <w:autoSpaceDE w:val="0"/>
        <w:autoSpaceDN w:val="0"/>
        <w:adjustRightInd w:val="0"/>
        <w:jc w:val="both"/>
        <w:rPr>
          <w:bCs/>
        </w:rPr>
      </w:pPr>
      <w:r w:rsidRPr="00481B8D">
        <w:rPr>
          <w:bCs/>
        </w:rPr>
        <w:t xml:space="preserve">Les infractions aux dispositions du présent arrêté sont sanctionnées conformément aux dispositions applicables </w:t>
      </w:r>
      <w:r w:rsidRPr="00481B8D">
        <w:t>du code rural et de la pêche maritime</w:t>
      </w:r>
      <w:r w:rsidRPr="00481B8D">
        <w:rPr>
          <w:bCs/>
        </w:rPr>
        <w:t>.</w:t>
      </w:r>
    </w:p>
    <w:p w:rsidR="00872CE4" w:rsidRPr="00481B8D" w:rsidRDefault="00872CE4" w:rsidP="00CE4618">
      <w:pPr>
        <w:widowControl w:val="0"/>
        <w:autoSpaceDE w:val="0"/>
        <w:autoSpaceDN w:val="0"/>
        <w:adjustRightInd w:val="0"/>
        <w:jc w:val="both"/>
        <w:rPr>
          <w:b/>
          <w:bCs/>
        </w:rPr>
      </w:pPr>
    </w:p>
    <w:p w:rsidR="00872CE4" w:rsidRPr="00481B8D" w:rsidRDefault="00872CE4" w:rsidP="003D0441">
      <w:pPr>
        <w:widowControl w:val="0"/>
        <w:autoSpaceDE w:val="0"/>
        <w:autoSpaceDN w:val="0"/>
        <w:adjustRightInd w:val="0"/>
        <w:jc w:val="both"/>
      </w:pPr>
    </w:p>
    <w:p w:rsidR="00872CE4" w:rsidRPr="00481B8D" w:rsidRDefault="00872CE4" w:rsidP="003D0441">
      <w:pPr>
        <w:widowControl w:val="0"/>
        <w:autoSpaceDE w:val="0"/>
        <w:autoSpaceDN w:val="0"/>
        <w:adjustRightInd w:val="0"/>
        <w:jc w:val="center"/>
        <w:rPr>
          <w:b/>
          <w:bCs/>
        </w:rPr>
      </w:pPr>
      <w:r w:rsidRPr="00481B8D">
        <w:rPr>
          <w:b/>
          <w:bCs/>
        </w:rPr>
        <w:t>Article 7</w:t>
      </w: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widowControl w:val="0"/>
        <w:autoSpaceDE w:val="0"/>
        <w:autoSpaceDN w:val="0"/>
        <w:adjustRightInd w:val="0"/>
        <w:jc w:val="center"/>
        <w:rPr>
          <w:b/>
          <w:bCs/>
        </w:rPr>
      </w:pPr>
      <w:r w:rsidRPr="00481B8D">
        <w:rPr>
          <w:b/>
          <w:bCs/>
        </w:rPr>
        <w:t>Abrogation</w:t>
      </w:r>
    </w:p>
    <w:p w:rsidR="00872CE4" w:rsidRPr="00481B8D" w:rsidRDefault="00872CE4" w:rsidP="00CE4618">
      <w:pPr>
        <w:widowControl w:val="0"/>
        <w:autoSpaceDE w:val="0"/>
        <w:autoSpaceDN w:val="0"/>
        <w:adjustRightInd w:val="0"/>
        <w:jc w:val="both"/>
        <w:rPr>
          <w:b/>
          <w:bCs/>
        </w:rPr>
      </w:pPr>
    </w:p>
    <w:p w:rsidR="00872CE4" w:rsidRPr="00481B8D" w:rsidRDefault="00872CE4" w:rsidP="00195E10">
      <w:pPr>
        <w:pStyle w:val="SNtitre"/>
        <w:jc w:val="both"/>
        <w:rPr>
          <w:b w:val="0"/>
        </w:rPr>
      </w:pPr>
      <w:r w:rsidRPr="00481B8D">
        <w:rPr>
          <w:b w:val="0"/>
        </w:rPr>
        <w:t>L'arrêté du 8 juin 2016 portant régime d'effort de pêche pour certaines activités de  pêche professionnelle en mer Méditerranée par les navires battant pavillon français est abrogé.</w:t>
      </w:r>
    </w:p>
    <w:p w:rsidR="00872CE4" w:rsidRPr="00481B8D" w:rsidRDefault="00872CE4" w:rsidP="00195E10">
      <w:pPr>
        <w:widowControl w:val="0"/>
        <w:autoSpaceDE w:val="0"/>
        <w:autoSpaceDN w:val="0"/>
        <w:adjustRightInd w:val="0"/>
        <w:jc w:val="both"/>
        <w:rPr>
          <w:b/>
          <w:bCs/>
        </w:rPr>
      </w:pPr>
    </w:p>
    <w:p w:rsidR="00872CE4" w:rsidRPr="00481B8D" w:rsidRDefault="00872CE4" w:rsidP="003D0441">
      <w:pPr>
        <w:widowControl w:val="0"/>
        <w:autoSpaceDE w:val="0"/>
        <w:autoSpaceDN w:val="0"/>
        <w:adjustRightInd w:val="0"/>
        <w:jc w:val="center"/>
        <w:rPr>
          <w:b/>
          <w:bCs/>
        </w:rPr>
      </w:pPr>
      <w:r w:rsidRPr="00481B8D">
        <w:rPr>
          <w:b/>
          <w:bCs/>
        </w:rPr>
        <w:t>Article 8</w:t>
      </w:r>
    </w:p>
    <w:p w:rsidR="00872CE4" w:rsidRPr="00481B8D" w:rsidRDefault="00872CE4" w:rsidP="00CE4618">
      <w:pPr>
        <w:widowControl w:val="0"/>
        <w:autoSpaceDE w:val="0"/>
        <w:autoSpaceDN w:val="0"/>
        <w:adjustRightInd w:val="0"/>
        <w:jc w:val="center"/>
        <w:rPr>
          <w:b/>
          <w:bCs/>
        </w:rPr>
      </w:pPr>
    </w:p>
    <w:p w:rsidR="00872CE4" w:rsidRPr="00481B8D" w:rsidRDefault="00872CE4" w:rsidP="00CE4618">
      <w:pPr>
        <w:pStyle w:val="BodyText"/>
        <w:jc w:val="center"/>
        <w:rPr>
          <w:b/>
        </w:rPr>
      </w:pPr>
      <w:r w:rsidRPr="00481B8D">
        <w:rPr>
          <w:b/>
        </w:rPr>
        <w:t>Exécution</w:t>
      </w:r>
    </w:p>
    <w:p w:rsidR="00872CE4" w:rsidRPr="00481B8D" w:rsidRDefault="00872CE4" w:rsidP="00CE4618">
      <w:pPr>
        <w:widowControl w:val="0"/>
        <w:autoSpaceDE w:val="0"/>
        <w:autoSpaceDN w:val="0"/>
        <w:adjustRightInd w:val="0"/>
        <w:jc w:val="both"/>
        <w:rPr>
          <w:bCs/>
        </w:rPr>
      </w:pPr>
    </w:p>
    <w:p w:rsidR="00872CE4" w:rsidRPr="00481B8D" w:rsidRDefault="00872CE4" w:rsidP="00CE4618">
      <w:pPr>
        <w:widowControl w:val="0"/>
        <w:autoSpaceDE w:val="0"/>
        <w:autoSpaceDN w:val="0"/>
        <w:adjustRightInd w:val="0"/>
        <w:jc w:val="both"/>
      </w:pPr>
      <w:r w:rsidRPr="00481B8D">
        <w:t xml:space="preserve">Le directeur des pêches maritimes et de l'aquaculture et le préfet de la région Provence-Alpes-Côte d’Azur sont chargés, chacun en ce qui le concerne, de l’exécution du présent arrêté, qui sera publié au </w:t>
      </w:r>
      <w:r w:rsidRPr="00481B8D">
        <w:rPr>
          <w:i/>
        </w:rPr>
        <w:t>Journal officiel</w:t>
      </w:r>
      <w:r w:rsidRPr="00481B8D">
        <w:t xml:space="preserve"> de la République française.</w:t>
      </w:r>
    </w:p>
    <w:p w:rsidR="00872CE4" w:rsidRPr="00481B8D" w:rsidRDefault="00872CE4" w:rsidP="00CE4618">
      <w:pPr>
        <w:pStyle w:val="BodyText"/>
      </w:pPr>
    </w:p>
    <w:p w:rsidR="00872CE4" w:rsidRPr="00481B8D" w:rsidRDefault="00872CE4" w:rsidP="00CE4618">
      <w:pPr>
        <w:pStyle w:val="BodyText"/>
      </w:pPr>
    </w:p>
    <w:p w:rsidR="00872CE4" w:rsidRPr="00481B8D" w:rsidRDefault="00872CE4" w:rsidP="00CE4618">
      <w:pPr>
        <w:pStyle w:val="BodyText"/>
      </w:pPr>
    </w:p>
    <w:p w:rsidR="00872CE4" w:rsidRPr="00481B8D" w:rsidRDefault="00872CE4" w:rsidP="00CE4618">
      <w:pPr>
        <w:pStyle w:val="SNDatearrt"/>
        <w:ind w:firstLine="0"/>
        <w:jc w:val="both"/>
      </w:pPr>
      <w:r w:rsidRPr="00481B8D">
        <w:t xml:space="preserve">Fait le </w:t>
      </w:r>
    </w:p>
    <w:p w:rsidR="00872CE4" w:rsidRPr="00481B8D" w:rsidRDefault="00872CE4" w:rsidP="00CE4618">
      <w:pPr>
        <w:pStyle w:val="SNSignature"/>
        <w:ind w:left="4944"/>
        <w:jc w:val="both"/>
      </w:pPr>
      <w:r w:rsidRPr="00481B8D">
        <w:t>Pour la ministre et par délégation </w:t>
      </w:r>
    </w:p>
    <w:p w:rsidR="00872CE4" w:rsidRPr="00481B8D" w:rsidRDefault="00872CE4" w:rsidP="00CE4618">
      <w:pPr>
        <w:pStyle w:val="SNSignature"/>
        <w:ind w:left="5664" w:firstLine="0"/>
        <w:jc w:val="both"/>
      </w:pPr>
      <w:r w:rsidRPr="00481B8D">
        <w:t xml:space="preserve">Le Directeur des pêches maritimes </w:t>
      </w:r>
      <w:r w:rsidRPr="00481B8D">
        <w:br/>
        <w:t>et de l'aquaculture,</w:t>
      </w:r>
    </w:p>
    <w:p w:rsidR="00872CE4" w:rsidRPr="00481B8D" w:rsidRDefault="00872CE4" w:rsidP="00CE4618">
      <w:pPr>
        <w:pStyle w:val="SNSignature"/>
        <w:ind w:left="4956" w:firstLine="12"/>
        <w:jc w:val="both"/>
      </w:pPr>
    </w:p>
    <w:p w:rsidR="00872CE4" w:rsidRPr="00481B8D" w:rsidRDefault="00872CE4" w:rsidP="00CE4618">
      <w:pPr>
        <w:pStyle w:val="SNSignature"/>
        <w:ind w:left="4956" w:firstLine="12"/>
        <w:jc w:val="both"/>
      </w:pPr>
    </w:p>
    <w:p w:rsidR="00872CE4" w:rsidRPr="00481B8D" w:rsidRDefault="00872CE4" w:rsidP="00CE4618">
      <w:pPr>
        <w:pStyle w:val="SNSignature"/>
        <w:ind w:left="5670" w:firstLine="0"/>
        <w:jc w:val="both"/>
      </w:pPr>
      <w:r w:rsidRPr="00481B8D">
        <w:t xml:space="preserve">F. GUEUDAR DELAHAYE </w:t>
      </w:r>
    </w:p>
    <w:p w:rsidR="00872CE4" w:rsidRPr="00481B8D" w:rsidRDefault="00872CE4" w:rsidP="002E6D85">
      <w:pPr>
        <w:suppressAutoHyphens w:val="0"/>
        <w:jc w:val="both"/>
        <w:sectPr w:rsidR="00872CE4" w:rsidRPr="00481B8D" w:rsidSect="00BE0BBC">
          <w:footnotePr>
            <w:pos w:val="beneathText"/>
          </w:footnotePr>
          <w:pgSz w:w="11905" w:h="16837"/>
          <w:pgMar w:top="1134" w:right="1418" w:bottom="1418" w:left="1134" w:header="720" w:footer="720" w:gutter="0"/>
          <w:cols w:space="720"/>
          <w:docGrid w:linePitch="360"/>
        </w:sectPr>
      </w:pPr>
    </w:p>
    <w:p w:rsidR="00872CE4" w:rsidRPr="00481B8D" w:rsidRDefault="00872CE4" w:rsidP="00342A7A">
      <w:pPr>
        <w:pageBreakBefore/>
        <w:jc w:val="center"/>
      </w:pPr>
      <w:r w:rsidRPr="00481B8D">
        <w:rPr>
          <w:b/>
          <w:bCs/>
          <w:sz w:val="28"/>
          <w:szCs w:val="28"/>
          <w:u w:val="single"/>
        </w:rPr>
        <w:t xml:space="preserve">ANNEXE 1 </w:t>
      </w:r>
    </w:p>
    <w:p w:rsidR="00872CE4" w:rsidRPr="00481B8D" w:rsidRDefault="00872CE4" w:rsidP="00342A7A">
      <w:pPr>
        <w:jc w:val="center"/>
      </w:pPr>
    </w:p>
    <w:p w:rsidR="00872CE4" w:rsidRPr="00481B8D" w:rsidRDefault="00872CE4" w:rsidP="001C5CAF"/>
    <w:p w:rsidR="00872CE4" w:rsidRPr="00481B8D" w:rsidRDefault="00872CE4" w:rsidP="001C5CAF">
      <w:r w:rsidRPr="00481B8D">
        <w:t xml:space="preserve">Les engins concernés par les dispositions de  répartition du présent arrêté sont les suivants : </w:t>
      </w:r>
    </w:p>
    <w:p w:rsidR="00872CE4" w:rsidRPr="00481B8D" w:rsidRDefault="00872CE4" w:rsidP="001C5CAF"/>
    <w:p w:rsidR="00872CE4" w:rsidRPr="00481B8D" w:rsidRDefault="00872CE4" w:rsidP="0047077C">
      <w:pPr>
        <w:pStyle w:val="BodyText"/>
      </w:pPr>
      <w:r w:rsidRPr="00481B8D">
        <w:t xml:space="preserve">- chalut de fond (code FAO : TTB, OTB, PTB et TBS) et chalut pélagique (code FAO : OTM, PTM, OTT et TMB)  </w:t>
      </w:r>
    </w:p>
    <w:p w:rsidR="00872CE4" w:rsidRPr="00481B8D" w:rsidRDefault="00872CE4" w:rsidP="0047077C">
      <w:pPr>
        <w:pStyle w:val="BodyText"/>
      </w:pPr>
      <w:r w:rsidRPr="00481B8D">
        <w:t xml:space="preserve">- drague d'étang (code FAO : DRB, DHB, DRH) </w:t>
      </w:r>
    </w:p>
    <w:p w:rsidR="00872CE4" w:rsidRPr="00481B8D" w:rsidRDefault="00872CE4" w:rsidP="00690C90">
      <w:pPr>
        <w:pStyle w:val="BodyText"/>
      </w:pPr>
      <w:r w:rsidRPr="00481B8D">
        <w:t>- senne de plage (code FAO : SB)</w:t>
      </w:r>
    </w:p>
    <w:p w:rsidR="00872CE4" w:rsidRPr="00481B8D" w:rsidRDefault="00872CE4" w:rsidP="00690C90">
      <w:pPr>
        <w:pStyle w:val="BodyText"/>
      </w:pPr>
      <w:r w:rsidRPr="00481B8D">
        <w:t>- senne tournante coulissante (code FAO : PS, PS1, PS2, LA)</w:t>
      </w:r>
    </w:p>
    <w:p w:rsidR="00872CE4" w:rsidRPr="00481B8D" w:rsidRDefault="00872CE4" w:rsidP="0047077C">
      <w:pPr>
        <w:pStyle w:val="BodyText"/>
        <w:rPr>
          <w:vertAlign w:val="superscript"/>
        </w:rPr>
      </w:pPr>
      <w:r w:rsidRPr="00481B8D">
        <w:t>Les spécificités des engins énoncés ci-dessus sont définies en annexe du règlement (CE) n° 1967/2006 du Conseil du 21/12/06 concernant des mesures de gestion pour l'exploitation durable des ressources halieutiques en Méditerranée et modifiant le règlement (CEE) n° 2847/93 et abrogeant le règlement (CE) n° 1626/94 et correspondent à la classification internationale des engins de pêche de la FAO.</w:t>
      </w:r>
    </w:p>
    <w:p w:rsidR="00872CE4" w:rsidRPr="00481B8D" w:rsidRDefault="00872CE4" w:rsidP="00342A7A">
      <w:pPr>
        <w:jc w:val="center"/>
        <w:sectPr w:rsidR="00872CE4" w:rsidRPr="00481B8D" w:rsidSect="00342A7A">
          <w:footnotePr>
            <w:pos w:val="beneathText"/>
          </w:footnotePr>
          <w:pgSz w:w="16837" w:h="11905" w:orient="landscape"/>
          <w:pgMar w:top="1134" w:right="1134" w:bottom="1418" w:left="1418" w:header="720" w:footer="720" w:gutter="0"/>
          <w:cols w:space="720"/>
          <w:docGrid w:linePitch="360"/>
        </w:sectPr>
      </w:pPr>
    </w:p>
    <w:p w:rsidR="00872CE4" w:rsidRPr="00481B8D" w:rsidRDefault="00872CE4" w:rsidP="003D0441">
      <w:pPr>
        <w:pageBreakBefore/>
        <w:jc w:val="center"/>
      </w:pPr>
      <w:r w:rsidRPr="00481B8D">
        <w:rPr>
          <w:b/>
          <w:bCs/>
          <w:sz w:val="28"/>
          <w:szCs w:val="28"/>
          <w:u w:val="single"/>
        </w:rPr>
        <w:t xml:space="preserve">ANNEXE 2 </w:t>
      </w:r>
    </w:p>
    <w:p w:rsidR="00872CE4" w:rsidRPr="00481B8D" w:rsidRDefault="00872CE4" w:rsidP="00342A7A">
      <w:pPr>
        <w:jc w:val="center"/>
      </w:pPr>
    </w:p>
    <w:p w:rsidR="00872CE4" w:rsidRPr="00481B8D" w:rsidRDefault="00872CE4" w:rsidP="003D0441"/>
    <w:p w:rsidR="00872CE4" w:rsidRPr="00481B8D" w:rsidRDefault="00872CE4" w:rsidP="00342A7A">
      <w:pPr>
        <w:jc w:val="center"/>
      </w:pPr>
      <w:r w:rsidRPr="00481B8D">
        <w:t>Quota d'effort de pêche attribué aux navires de pêche battant pavillon français</w:t>
      </w:r>
      <w:r w:rsidRPr="00481B8D">
        <w:br/>
        <w:t>pour la pêche professionnelle au chalut en mer Méditerranée</w:t>
      </w:r>
    </w:p>
    <w:p w:rsidR="00872CE4" w:rsidRPr="00481B8D" w:rsidRDefault="00872CE4" w:rsidP="00342A7A">
      <w:pPr>
        <w:jc w:val="center"/>
      </w:pPr>
    </w:p>
    <w:p w:rsidR="00872CE4" w:rsidRPr="00481B8D" w:rsidRDefault="00872CE4" w:rsidP="00342A7A">
      <w:pPr>
        <w:jc w:val="center"/>
      </w:pPr>
    </w:p>
    <w:p w:rsidR="00872CE4" w:rsidRPr="00481B8D" w:rsidRDefault="00872CE4" w:rsidP="003D0441"/>
    <w:tbl>
      <w:tblPr>
        <w:tblW w:w="14044" w:type="dxa"/>
        <w:tblInd w:w="100" w:type="dxa"/>
        <w:tblLayout w:type="fixed"/>
        <w:tblCellMar>
          <w:top w:w="55" w:type="dxa"/>
          <w:left w:w="55" w:type="dxa"/>
          <w:bottom w:w="55" w:type="dxa"/>
          <w:right w:w="55" w:type="dxa"/>
        </w:tblCellMar>
        <w:tblLook w:val="0000"/>
      </w:tblPr>
      <w:tblGrid>
        <w:gridCol w:w="5115"/>
        <w:gridCol w:w="8922"/>
        <w:gridCol w:w="7"/>
      </w:tblGrid>
      <w:tr w:rsidR="00872CE4" w:rsidRPr="00481B8D" w:rsidTr="0033450C">
        <w:trPr>
          <w:trHeight w:val="557"/>
        </w:trPr>
        <w:tc>
          <w:tcPr>
            <w:tcW w:w="5115" w:type="dxa"/>
            <w:tcBorders>
              <w:bottom w:val="single" w:sz="4" w:space="0" w:color="auto"/>
              <w:right w:val="single" w:sz="4" w:space="0" w:color="auto"/>
            </w:tcBorders>
          </w:tcPr>
          <w:p w:rsidR="00872CE4" w:rsidRPr="00481B8D" w:rsidRDefault="00872CE4" w:rsidP="00342A7A">
            <w:pPr>
              <w:pStyle w:val="Contenudetableau"/>
            </w:pPr>
            <w:r w:rsidRPr="00481B8D">
              <w:t>Quota : 14 726  jours</w:t>
            </w:r>
          </w:p>
        </w:tc>
        <w:tc>
          <w:tcPr>
            <w:tcW w:w="8929" w:type="dxa"/>
            <w:gridSpan w:val="2"/>
            <w:tcBorders>
              <w:top w:val="single" w:sz="4" w:space="0" w:color="auto"/>
              <w:left w:val="single" w:sz="4" w:space="0" w:color="auto"/>
              <w:bottom w:val="single" w:sz="4" w:space="0" w:color="auto"/>
              <w:right w:val="single" w:sz="4" w:space="0" w:color="auto"/>
            </w:tcBorders>
          </w:tcPr>
          <w:p w:rsidR="00872CE4" w:rsidRPr="00481B8D" w:rsidRDefault="00872CE4" w:rsidP="00342A7A">
            <w:pPr>
              <w:jc w:val="center"/>
            </w:pPr>
            <w:r w:rsidRPr="00481B8D">
              <w:t xml:space="preserve">nombre de jours de pêche </w:t>
            </w:r>
          </w:p>
          <w:p w:rsidR="00872CE4" w:rsidRPr="00481B8D" w:rsidRDefault="00872CE4" w:rsidP="00342A7A">
            <w:pPr>
              <w:jc w:val="center"/>
            </w:pPr>
            <w:r w:rsidRPr="00481B8D">
              <w:t>par année de gestion</w:t>
            </w:r>
          </w:p>
        </w:tc>
      </w:tr>
      <w:tr w:rsidR="00872CE4" w:rsidRPr="00481B8D" w:rsidTr="0033450C">
        <w:trPr>
          <w:trHeight w:val="569"/>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42A7A">
            <w:pPr>
              <w:pStyle w:val="Contenudetableau"/>
            </w:pPr>
            <w:r w:rsidRPr="00481B8D">
              <w:rPr>
                <w:sz w:val="22"/>
                <w:szCs w:val="22"/>
              </w:rPr>
              <w:t>Navires adhérents à l'organisation de producteurs Organisation de Producteurs du Sud (OP DU SUD)</w:t>
            </w:r>
          </w:p>
        </w:tc>
        <w:tc>
          <w:tcPr>
            <w:tcW w:w="892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342A7A">
            <w:pPr>
              <w:pStyle w:val="Contenudetableau"/>
              <w:jc w:val="center"/>
            </w:pPr>
            <w:r w:rsidRPr="00481B8D">
              <w:rPr>
                <w:sz w:val="22"/>
                <w:szCs w:val="22"/>
              </w:rPr>
              <w:t>8 255</w:t>
            </w:r>
          </w:p>
        </w:tc>
      </w:tr>
      <w:tr w:rsidR="00872CE4" w:rsidRPr="00481B8D" w:rsidTr="0033450C">
        <w:trPr>
          <w:trHeight w:val="569"/>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42A7A">
            <w:pPr>
              <w:pStyle w:val="Contenudetableau"/>
            </w:pPr>
            <w:r w:rsidRPr="00481B8D">
              <w:rPr>
                <w:sz w:val="22"/>
                <w:szCs w:val="22"/>
              </w:rPr>
              <w:t xml:space="preserve">Navires adhérents à l'organisation de producteurs </w:t>
            </w:r>
            <w:bookmarkStart w:id="0" w:name="_id0%3A_id46%3A_id47%3A_id61%3A_id63%3A3"/>
            <w:bookmarkEnd w:id="0"/>
            <w:r w:rsidRPr="00481B8D">
              <w:rPr>
                <w:sz w:val="22"/>
                <w:szCs w:val="22"/>
              </w:rPr>
              <w:t>SA Coopérative Maritime des pêcheurs de Sète-Mole (SATHOAN)</w:t>
            </w:r>
          </w:p>
        </w:tc>
        <w:tc>
          <w:tcPr>
            <w:tcW w:w="892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342A7A">
            <w:pPr>
              <w:pStyle w:val="Contenudetableau"/>
              <w:jc w:val="center"/>
            </w:pPr>
            <w:r w:rsidRPr="00481B8D">
              <w:rPr>
                <w:sz w:val="22"/>
                <w:szCs w:val="22"/>
              </w:rPr>
              <w:t>3 570</w:t>
            </w:r>
          </w:p>
        </w:tc>
      </w:tr>
      <w:tr w:rsidR="00872CE4" w:rsidRPr="00481B8D" w:rsidTr="0033450C">
        <w:trPr>
          <w:trHeight w:val="569"/>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42A7A">
            <w:pPr>
              <w:pStyle w:val="Contenudetableau"/>
            </w:pPr>
            <w:r w:rsidRPr="00481B8D">
              <w:rPr>
                <w:sz w:val="22"/>
                <w:szCs w:val="22"/>
              </w:rPr>
              <w:t>Navires non adhérents à une organisation de producteurs dans le respect des limitations ci-dessous :</w:t>
            </w:r>
          </w:p>
        </w:tc>
        <w:tc>
          <w:tcPr>
            <w:tcW w:w="892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342A7A">
            <w:pPr>
              <w:pStyle w:val="Contenudetableau"/>
              <w:jc w:val="center"/>
            </w:pPr>
          </w:p>
        </w:tc>
      </w:tr>
      <w:tr w:rsidR="00872CE4" w:rsidRPr="00481B8D" w:rsidTr="0033450C">
        <w:trPr>
          <w:gridAfter w:val="1"/>
          <w:wAfter w:w="7" w:type="dxa"/>
          <w:trHeight w:val="284"/>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3450C">
            <w:pPr>
              <w:pStyle w:val="Contenudetableau"/>
              <w:numPr>
                <w:ilvl w:val="0"/>
                <w:numId w:val="3"/>
              </w:numPr>
            </w:pPr>
            <w:r w:rsidRPr="00481B8D">
              <w:rPr>
                <w:sz w:val="22"/>
                <w:szCs w:val="22"/>
              </w:rPr>
              <w:t>pour les navires immatriculés dans le ressort de la région Provence-Alpes-Côte d'Azur</w:t>
            </w:r>
          </w:p>
        </w:tc>
        <w:tc>
          <w:tcPr>
            <w:tcW w:w="8922"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0B34E9">
            <w:pPr>
              <w:pStyle w:val="Contenudetableau"/>
              <w:jc w:val="center"/>
            </w:pPr>
            <w:r w:rsidRPr="00481B8D">
              <w:rPr>
                <w:sz w:val="22"/>
                <w:szCs w:val="22"/>
              </w:rPr>
              <w:t xml:space="preserve">1116 </w:t>
            </w:r>
          </w:p>
        </w:tc>
      </w:tr>
      <w:tr w:rsidR="00872CE4" w:rsidRPr="00481B8D" w:rsidTr="0033450C">
        <w:trPr>
          <w:gridAfter w:val="1"/>
          <w:wAfter w:w="7" w:type="dxa"/>
          <w:trHeight w:val="284"/>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3450C">
            <w:pPr>
              <w:pStyle w:val="Contenudetableau"/>
              <w:numPr>
                <w:ilvl w:val="0"/>
                <w:numId w:val="3"/>
              </w:numPr>
            </w:pPr>
            <w:r w:rsidRPr="00481B8D">
              <w:rPr>
                <w:sz w:val="22"/>
                <w:szCs w:val="22"/>
              </w:rPr>
              <w:t>pour les navires immatriculés dans le ressort de la région Languedoc-Roussillon-Midi-Pyrénées</w:t>
            </w:r>
          </w:p>
        </w:tc>
        <w:tc>
          <w:tcPr>
            <w:tcW w:w="8922"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0B34E9">
            <w:pPr>
              <w:pStyle w:val="Contenudetableau"/>
              <w:jc w:val="center"/>
            </w:pPr>
            <w:r w:rsidRPr="00481B8D">
              <w:rPr>
                <w:sz w:val="22"/>
                <w:szCs w:val="22"/>
              </w:rPr>
              <w:t xml:space="preserve">223 </w:t>
            </w:r>
          </w:p>
        </w:tc>
      </w:tr>
      <w:tr w:rsidR="00872CE4" w:rsidRPr="00481B8D" w:rsidTr="0033450C">
        <w:trPr>
          <w:gridAfter w:val="1"/>
          <w:wAfter w:w="7" w:type="dxa"/>
          <w:trHeight w:val="284"/>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3450C">
            <w:pPr>
              <w:pStyle w:val="Contenudetableau"/>
              <w:numPr>
                <w:ilvl w:val="0"/>
                <w:numId w:val="3"/>
              </w:numPr>
            </w:pPr>
            <w:r w:rsidRPr="00481B8D">
              <w:rPr>
                <w:sz w:val="22"/>
                <w:szCs w:val="22"/>
              </w:rPr>
              <w:t>pour les navires immatriculés dans le ressort de la collectivité territoriale de Corse</w:t>
            </w:r>
          </w:p>
        </w:tc>
        <w:tc>
          <w:tcPr>
            <w:tcW w:w="8922"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0B34E9">
            <w:pPr>
              <w:pStyle w:val="Contenudetableau"/>
              <w:jc w:val="center"/>
            </w:pPr>
            <w:r w:rsidRPr="00481B8D">
              <w:rPr>
                <w:sz w:val="22"/>
                <w:szCs w:val="22"/>
              </w:rPr>
              <w:t xml:space="preserve">1562 </w:t>
            </w:r>
          </w:p>
        </w:tc>
      </w:tr>
      <w:tr w:rsidR="00872CE4" w:rsidRPr="00481B8D" w:rsidTr="0033450C">
        <w:trPr>
          <w:trHeight w:val="569"/>
        </w:trPr>
        <w:tc>
          <w:tcPr>
            <w:tcW w:w="5115" w:type="dxa"/>
            <w:tcBorders>
              <w:top w:val="single" w:sz="4" w:space="0" w:color="auto"/>
              <w:left w:val="single" w:sz="4" w:space="0" w:color="auto"/>
              <w:bottom w:val="single" w:sz="4" w:space="0" w:color="auto"/>
              <w:right w:val="single" w:sz="4" w:space="0" w:color="auto"/>
            </w:tcBorders>
          </w:tcPr>
          <w:p w:rsidR="00872CE4" w:rsidRPr="00481B8D" w:rsidRDefault="00872CE4" w:rsidP="00342A7A">
            <w:pPr>
              <w:pStyle w:val="Contenudetableau"/>
              <w:rPr>
                <w:b/>
              </w:rPr>
            </w:pPr>
            <w:r w:rsidRPr="00481B8D">
              <w:rPr>
                <w:b/>
                <w:sz w:val="22"/>
                <w:szCs w:val="22"/>
              </w:rPr>
              <w:t>Total</w:t>
            </w:r>
          </w:p>
        </w:tc>
        <w:tc>
          <w:tcPr>
            <w:tcW w:w="892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342A7A">
            <w:pPr>
              <w:pStyle w:val="Contenudetableau"/>
              <w:jc w:val="center"/>
            </w:pPr>
            <w:r w:rsidRPr="00481B8D">
              <w:rPr>
                <w:sz w:val="22"/>
                <w:szCs w:val="22"/>
              </w:rPr>
              <w:t>14 726</w:t>
            </w:r>
          </w:p>
        </w:tc>
      </w:tr>
    </w:tbl>
    <w:p w:rsidR="00872CE4" w:rsidRPr="00481B8D" w:rsidRDefault="00872CE4" w:rsidP="00342A7A"/>
    <w:p w:rsidR="00872CE4" w:rsidRPr="00481B8D" w:rsidRDefault="00872CE4">
      <w:pPr>
        <w:suppressAutoHyphens w:val="0"/>
      </w:pPr>
    </w:p>
    <w:p w:rsidR="00872CE4" w:rsidRPr="00481B8D" w:rsidRDefault="00872CE4" w:rsidP="00055837">
      <w:pPr>
        <w:jc w:val="center"/>
      </w:pPr>
    </w:p>
    <w:p w:rsidR="00872CE4" w:rsidRPr="00481B8D" w:rsidRDefault="00872CE4" w:rsidP="00055837">
      <w:pPr>
        <w:jc w:val="center"/>
      </w:pPr>
    </w:p>
    <w:p w:rsidR="00872CE4" w:rsidRPr="00481B8D" w:rsidRDefault="00872CE4" w:rsidP="00055837">
      <w:pPr>
        <w:jc w:val="center"/>
      </w:pPr>
    </w:p>
    <w:p w:rsidR="00872CE4" w:rsidRPr="00481B8D" w:rsidRDefault="00872CE4" w:rsidP="003D0441">
      <w:pPr>
        <w:pageBreakBefore/>
        <w:jc w:val="center"/>
      </w:pPr>
      <w:r w:rsidRPr="00481B8D">
        <w:rPr>
          <w:b/>
          <w:bCs/>
          <w:sz w:val="28"/>
          <w:szCs w:val="28"/>
          <w:u w:val="single"/>
        </w:rPr>
        <w:t xml:space="preserve">ANNEXE 3 </w:t>
      </w:r>
    </w:p>
    <w:p w:rsidR="00872CE4" w:rsidRPr="00481B8D" w:rsidRDefault="00872CE4" w:rsidP="008F127C"/>
    <w:p w:rsidR="00872CE4" w:rsidRPr="00481B8D" w:rsidRDefault="00872CE4" w:rsidP="00690C90"/>
    <w:p w:rsidR="00872CE4" w:rsidRPr="00481B8D" w:rsidRDefault="00872CE4" w:rsidP="00690C90">
      <w:pPr>
        <w:jc w:val="center"/>
      </w:pPr>
      <w:r w:rsidRPr="00481B8D">
        <w:t>Quota d'effort de pêche attribué aux navires pêche battant pavillon français</w:t>
      </w:r>
      <w:r w:rsidRPr="00481B8D">
        <w:br/>
        <w:t>pour la pêche professionnelle à la drague d'étang en mer Méditerranée</w:t>
      </w:r>
    </w:p>
    <w:p w:rsidR="00872CE4" w:rsidRPr="00481B8D" w:rsidRDefault="00872CE4" w:rsidP="00690C90">
      <w:pPr>
        <w:pStyle w:val="SNSignature"/>
        <w:ind w:left="5670" w:firstLine="0"/>
      </w:pPr>
    </w:p>
    <w:p w:rsidR="00872CE4" w:rsidRPr="00481B8D" w:rsidRDefault="00872CE4" w:rsidP="00690C90">
      <w:pPr>
        <w:pStyle w:val="SNSignature"/>
        <w:ind w:left="5670" w:firstLine="0"/>
      </w:pPr>
    </w:p>
    <w:p w:rsidR="00872CE4" w:rsidRPr="00481B8D" w:rsidRDefault="00872CE4" w:rsidP="00690C90">
      <w:pPr>
        <w:pStyle w:val="SNSignature"/>
        <w:ind w:left="5670" w:firstLine="0"/>
      </w:pPr>
    </w:p>
    <w:tbl>
      <w:tblPr>
        <w:tblW w:w="14044" w:type="dxa"/>
        <w:tblInd w:w="100" w:type="dxa"/>
        <w:tblLayout w:type="fixed"/>
        <w:tblCellMar>
          <w:top w:w="55" w:type="dxa"/>
          <w:left w:w="55" w:type="dxa"/>
          <w:bottom w:w="55" w:type="dxa"/>
          <w:right w:w="55" w:type="dxa"/>
        </w:tblCellMar>
        <w:tblLook w:val="0000"/>
      </w:tblPr>
      <w:tblGrid>
        <w:gridCol w:w="4995"/>
        <w:gridCol w:w="9042"/>
        <w:gridCol w:w="7"/>
      </w:tblGrid>
      <w:tr w:rsidR="00872CE4" w:rsidRPr="00481B8D" w:rsidTr="00A1420C">
        <w:trPr>
          <w:trHeight w:val="557"/>
        </w:trPr>
        <w:tc>
          <w:tcPr>
            <w:tcW w:w="4995" w:type="dxa"/>
            <w:tcBorders>
              <w:bottom w:val="single" w:sz="4" w:space="0" w:color="auto"/>
              <w:right w:val="single" w:sz="4" w:space="0" w:color="auto"/>
            </w:tcBorders>
          </w:tcPr>
          <w:p w:rsidR="00872CE4" w:rsidRPr="00481B8D" w:rsidRDefault="00872CE4" w:rsidP="00A1420C">
            <w:pPr>
              <w:pStyle w:val="Contenudetableau"/>
            </w:pPr>
            <w:r w:rsidRPr="00481B8D">
              <w:t>Quota : 651 jours</w:t>
            </w:r>
          </w:p>
        </w:tc>
        <w:tc>
          <w:tcPr>
            <w:tcW w:w="9049" w:type="dxa"/>
            <w:gridSpan w:val="2"/>
            <w:tcBorders>
              <w:top w:val="single" w:sz="4" w:space="0" w:color="auto"/>
              <w:left w:val="single" w:sz="4" w:space="0" w:color="auto"/>
              <w:bottom w:val="single" w:sz="4" w:space="0" w:color="auto"/>
              <w:right w:val="single" w:sz="4" w:space="0" w:color="auto"/>
            </w:tcBorders>
          </w:tcPr>
          <w:p w:rsidR="00872CE4" w:rsidRPr="00481B8D" w:rsidRDefault="00872CE4" w:rsidP="00A1420C">
            <w:pPr>
              <w:jc w:val="center"/>
            </w:pPr>
            <w:r w:rsidRPr="00481B8D">
              <w:t xml:space="preserve">nombre de jours de pêche </w:t>
            </w:r>
          </w:p>
          <w:p w:rsidR="00872CE4" w:rsidRPr="00481B8D" w:rsidRDefault="00872CE4" w:rsidP="00A1420C">
            <w:pPr>
              <w:jc w:val="center"/>
            </w:pPr>
            <w:r w:rsidRPr="00481B8D">
              <w:t>par année de gestion</w:t>
            </w:r>
          </w:p>
        </w:tc>
      </w:tr>
      <w:tr w:rsidR="00872CE4" w:rsidRPr="00481B8D" w:rsidTr="00A1420C">
        <w:trPr>
          <w:trHeight w:val="569"/>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pPr>
            <w:r w:rsidRPr="00481B8D">
              <w:rPr>
                <w:sz w:val="22"/>
                <w:szCs w:val="22"/>
              </w:rPr>
              <w:t>Navires adhérents à l'organisation de producteurs Organisation de Producteurs du Sud (OP DU SUD)</w:t>
            </w:r>
          </w:p>
        </w:tc>
        <w:tc>
          <w:tcPr>
            <w:tcW w:w="904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t>63</w:t>
            </w:r>
          </w:p>
        </w:tc>
      </w:tr>
      <w:tr w:rsidR="00872CE4" w:rsidRPr="00481B8D" w:rsidTr="00A1420C">
        <w:trPr>
          <w:trHeight w:val="569"/>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pPr>
            <w:r w:rsidRPr="00481B8D">
              <w:rPr>
                <w:sz w:val="22"/>
                <w:szCs w:val="22"/>
              </w:rPr>
              <w:t>Navires adhérents à l'organisation de producteurs SA Coopérative Maritime des pêcheurs de Sète-Mole (SATHOAN)</w:t>
            </w:r>
          </w:p>
        </w:tc>
        <w:tc>
          <w:tcPr>
            <w:tcW w:w="904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t>0</w:t>
            </w:r>
          </w:p>
        </w:tc>
      </w:tr>
      <w:tr w:rsidR="00872CE4" w:rsidRPr="00481B8D" w:rsidTr="00A1420C">
        <w:trPr>
          <w:trHeight w:val="569"/>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pPr>
            <w:r w:rsidRPr="00481B8D">
              <w:rPr>
                <w:sz w:val="22"/>
                <w:szCs w:val="22"/>
              </w:rPr>
              <w:t>Navires non adhérents à une organisation de producteurs dans le respect des limitations ci-dessous :</w:t>
            </w:r>
          </w:p>
        </w:tc>
        <w:tc>
          <w:tcPr>
            <w:tcW w:w="904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p>
        </w:tc>
      </w:tr>
      <w:tr w:rsidR="00872CE4" w:rsidRPr="00481B8D" w:rsidTr="00A1420C">
        <w:trPr>
          <w:gridAfter w:val="1"/>
          <w:wAfter w:w="7" w:type="dxa"/>
          <w:trHeight w:val="284"/>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numPr>
                <w:ilvl w:val="0"/>
                <w:numId w:val="3"/>
              </w:numPr>
            </w:pPr>
            <w:r w:rsidRPr="00481B8D">
              <w:rPr>
                <w:sz w:val="22"/>
                <w:szCs w:val="22"/>
              </w:rPr>
              <w:t>pour les navires immatriculés dans le ressort de la région Provence-Alpes-Côte d'Azur</w:t>
            </w:r>
          </w:p>
        </w:tc>
        <w:tc>
          <w:tcPr>
            <w:tcW w:w="9042"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 xml:space="preserve">105 </w:t>
            </w:r>
          </w:p>
        </w:tc>
      </w:tr>
      <w:tr w:rsidR="00872CE4" w:rsidRPr="00481B8D" w:rsidTr="00A1420C">
        <w:trPr>
          <w:gridAfter w:val="1"/>
          <w:wAfter w:w="7" w:type="dxa"/>
          <w:trHeight w:val="284"/>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numPr>
                <w:ilvl w:val="0"/>
                <w:numId w:val="3"/>
              </w:numPr>
            </w:pPr>
            <w:r w:rsidRPr="00481B8D">
              <w:rPr>
                <w:sz w:val="22"/>
                <w:szCs w:val="22"/>
              </w:rPr>
              <w:t>pour les navires immatriculés dans le ressort de la région Languedoc-Roussillon-Midi-Pyrénées</w:t>
            </w:r>
          </w:p>
        </w:tc>
        <w:tc>
          <w:tcPr>
            <w:tcW w:w="9042"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 xml:space="preserve">483 </w:t>
            </w:r>
          </w:p>
        </w:tc>
      </w:tr>
      <w:tr w:rsidR="00872CE4" w:rsidRPr="00481B8D" w:rsidTr="00A1420C">
        <w:trPr>
          <w:gridAfter w:val="1"/>
          <w:wAfter w:w="7" w:type="dxa"/>
          <w:trHeight w:val="284"/>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numPr>
                <w:ilvl w:val="0"/>
                <w:numId w:val="3"/>
              </w:numPr>
            </w:pPr>
            <w:r w:rsidRPr="00481B8D">
              <w:rPr>
                <w:sz w:val="22"/>
                <w:szCs w:val="22"/>
              </w:rPr>
              <w:t>pour les navires immatriculés dans le ressort de la collectivité territoriale de Corse</w:t>
            </w:r>
          </w:p>
        </w:tc>
        <w:tc>
          <w:tcPr>
            <w:tcW w:w="9042"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 xml:space="preserve">0 </w:t>
            </w:r>
          </w:p>
        </w:tc>
      </w:tr>
      <w:tr w:rsidR="00872CE4" w:rsidRPr="00481B8D" w:rsidTr="00A1420C">
        <w:trPr>
          <w:trHeight w:val="569"/>
        </w:trPr>
        <w:tc>
          <w:tcPr>
            <w:tcW w:w="4995"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rPr>
                <w:b/>
              </w:rPr>
            </w:pPr>
            <w:r w:rsidRPr="00481B8D">
              <w:rPr>
                <w:b/>
                <w:sz w:val="22"/>
                <w:szCs w:val="22"/>
              </w:rPr>
              <w:t>Total</w:t>
            </w:r>
          </w:p>
        </w:tc>
        <w:tc>
          <w:tcPr>
            <w:tcW w:w="9049"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651</w:t>
            </w:r>
          </w:p>
        </w:tc>
      </w:tr>
    </w:tbl>
    <w:p w:rsidR="00872CE4" w:rsidRPr="00481B8D" w:rsidRDefault="00872CE4" w:rsidP="00690C90"/>
    <w:p w:rsidR="00872CE4" w:rsidRPr="00481B8D" w:rsidRDefault="00872CE4" w:rsidP="00690C90"/>
    <w:p w:rsidR="00872CE4" w:rsidRPr="00481B8D" w:rsidRDefault="00872CE4" w:rsidP="00690C90"/>
    <w:p w:rsidR="00872CE4" w:rsidRPr="00481B8D" w:rsidRDefault="00872CE4" w:rsidP="00055837">
      <w:pPr>
        <w:jc w:val="center"/>
      </w:pPr>
    </w:p>
    <w:p w:rsidR="00872CE4" w:rsidRPr="00481B8D" w:rsidRDefault="00872CE4" w:rsidP="003D0441">
      <w:pPr>
        <w:pageBreakBefore/>
        <w:jc w:val="center"/>
      </w:pPr>
      <w:r w:rsidRPr="00481B8D">
        <w:rPr>
          <w:b/>
          <w:bCs/>
          <w:sz w:val="28"/>
          <w:szCs w:val="28"/>
          <w:u w:val="single"/>
        </w:rPr>
        <w:t>ANNEXE 4</w:t>
      </w:r>
    </w:p>
    <w:p w:rsidR="00872CE4" w:rsidRPr="00481B8D" w:rsidRDefault="00872CE4" w:rsidP="00055837">
      <w:pPr>
        <w:jc w:val="center"/>
      </w:pPr>
    </w:p>
    <w:p w:rsidR="00872CE4" w:rsidRPr="00481B8D" w:rsidRDefault="00872CE4" w:rsidP="00690C90">
      <w:pPr>
        <w:jc w:val="center"/>
      </w:pPr>
      <w:r w:rsidRPr="00481B8D">
        <w:t>Quota d'effort de pêche attribué aux navires pêche battant pavillon français</w:t>
      </w:r>
      <w:r w:rsidRPr="00481B8D">
        <w:br/>
        <w:t>pour la pêche professionnelle à la senne de plage en mer Méditerranée</w:t>
      </w:r>
    </w:p>
    <w:p w:rsidR="00872CE4" w:rsidRPr="00481B8D" w:rsidRDefault="00872CE4" w:rsidP="00690C90">
      <w:pPr>
        <w:pStyle w:val="SNSignature"/>
        <w:ind w:left="5670" w:firstLine="0"/>
      </w:pPr>
    </w:p>
    <w:p w:rsidR="00872CE4" w:rsidRPr="00481B8D" w:rsidRDefault="00872CE4" w:rsidP="00690C90">
      <w:pPr>
        <w:pStyle w:val="SNSignature"/>
        <w:ind w:left="5670" w:firstLine="0"/>
      </w:pPr>
    </w:p>
    <w:p w:rsidR="00872CE4" w:rsidRPr="00481B8D" w:rsidRDefault="00872CE4" w:rsidP="00690C90"/>
    <w:tbl>
      <w:tblPr>
        <w:tblW w:w="14295" w:type="dxa"/>
        <w:tblInd w:w="100" w:type="dxa"/>
        <w:tblLayout w:type="fixed"/>
        <w:tblCellMar>
          <w:top w:w="55" w:type="dxa"/>
          <w:left w:w="55" w:type="dxa"/>
          <w:bottom w:w="55" w:type="dxa"/>
          <w:right w:w="55" w:type="dxa"/>
        </w:tblCellMar>
        <w:tblLook w:val="0000"/>
      </w:tblPr>
      <w:tblGrid>
        <w:gridCol w:w="5253"/>
        <w:gridCol w:w="9031"/>
        <w:gridCol w:w="11"/>
      </w:tblGrid>
      <w:tr w:rsidR="00872CE4" w:rsidRPr="00481B8D" w:rsidTr="00A1420C">
        <w:trPr>
          <w:gridAfter w:val="1"/>
          <w:wAfter w:w="11" w:type="dxa"/>
          <w:trHeight w:val="557"/>
        </w:trPr>
        <w:tc>
          <w:tcPr>
            <w:tcW w:w="5253" w:type="dxa"/>
            <w:tcBorders>
              <w:bottom w:val="single" w:sz="4" w:space="0" w:color="auto"/>
              <w:right w:val="single" w:sz="4" w:space="0" w:color="auto"/>
            </w:tcBorders>
          </w:tcPr>
          <w:p w:rsidR="00872CE4" w:rsidRPr="00481B8D" w:rsidRDefault="00872CE4" w:rsidP="00A1420C">
            <w:pPr>
              <w:pStyle w:val="Contenudetableau"/>
            </w:pPr>
            <w:r w:rsidRPr="00481B8D">
              <w:t>Quota : 1 386 jours</w:t>
            </w:r>
          </w:p>
        </w:tc>
        <w:tc>
          <w:tcPr>
            <w:tcW w:w="9031"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jc w:val="center"/>
            </w:pPr>
            <w:r w:rsidRPr="00481B8D">
              <w:t xml:space="preserve">nombre de jours de pêche </w:t>
            </w:r>
          </w:p>
          <w:p w:rsidR="00872CE4" w:rsidRPr="00481B8D" w:rsidRDefault="00872CE4" w:rsidP="00A1420C">
            <w:pPr>
              <w:jc w:val="center"/>
            </w:pPr>
            <w:r w:rsidRPr="00481B8D">
              <w:t>par année de gestion</w:t>
            </w:r>
          </w:p>
        </w:tc>
      </w:tr>
      <w:tr w:rsidR="00872CE4" w:rsidRPr="00481B8D" w:rsidTr="00A1420C">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pPr>
            <w:r w:rsidRPr="00481B8D">
              <w:rPr>
                <w:sz w:val="22"/>
                <w:szCs w:val="22"/>
              </w:rPr>
              <w:t>Navires adhérents à l'organisation de producteurs Organisation de Producteurs du Sud (OP DU SUD)</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t>66</w:t>
            </w:r>
          </w:p>
        </w:tc>
      </w:tr>
      <w:tr w:rsidR="00872CE4" w:rsidRPr="00481B8D" w:rsidTr="00A1420C">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pPr>
            <w:r w:rsidRPr="00481B8D">
              <w:rPr>
                <w:sz w:val="22"/>
                <w:szCs w:val="22"/>
              </w:rPr>
              <w:t>Navires adhérents à l'organisation de producteurs SA Coopérative Maritime des pêcheurs de Sète-Mole (SATHOAN)</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t>0</w:t>
            </w:r>
          </w:p>
        </w:tc>
      </w:tr>
      <w:tr w:rsidR="00872CE4" w:rsidRPr="00481B8D" w:rsidTr="00A1420C">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pPr>
            <w:r w:rsidRPr="00481B8D">
              <w:rPr>
                <w:sz w:val="22"/>
                <w:szCs w:val="22"/>
              </w:rPr>
              <w:t>Navires non adhérents à une organisation de producteurs dans le respect des limitations ci-dessous :</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p>
        </w:tc>
      </w:tr>
      <w:tr w:rsidR="00872CE4" w:rsidRPr="00481B8D" w:rsidTr="00A1420C">
        <w:trPr>
          <w:trHeight w:val="284"/>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numPr>
                <w:ilvl w:val="0"/>
                <w:numId w:val="3"/>
              </w:numPr>
            </w:pPr>
            <w:r w:rsidRPr="00481B8D">
              <w:rPr>
                <w:sz w:val="22"/>
                <w:szCs w:val="22"/>
              </w:rPr>
              <w:t>pour les navires immatriculés dans le ressort de la région Provence-Alpes-Côte d'Azur</w:t>
            </w:r>
          </w:p>
        </w:tc>
        <w:tc>
          <w:tcPr>
            <w:tcW w:w="9042"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660</w:t>
            </w:r>
          </w:p>
        </w:tc>
      </w:tr>
      <w:tr w:rsidR="00872CE4" w:rsidRPr="00481B8D" w:rsidTr="00A1420C">
        <w:trPr>
          <w:trHeight w:val="284"/>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numPr>
                <w:ilvl w:val="0"/>
                <w:numId w:val="3"/>
              </w:numPr>
            </w:pPr>
            <w:r w:rsidRPr="00481B8D">
              <w:rPr>
                <w:sz w:val="22"/>
                <w:szCs w:val="22"/>
              </w:rPr>
              <w:t>pour les navires immatriculés dans le ressort de la région Languedoc-Roussillon-Midi-Pyrénées</w:t>
            </w:r>
          </w:p>
        </w:tc>
        <w:tc>
          <w:tcPr>
            <w:tcW w:w="9042"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 xml:space="preserve">660 </w:t>
            </w:r>
          </w:p>
        </w:tc>
      </w:tr>
      <w:tr w:rsidR="00872CE4" w:rsidRPr="00481B8D" w:rsidTr="00A1420C">
        <w:trPr>
          <w:trHeight w:val="284"/>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numPr>
                <w:ilvl w:val="0"/>
                <w:numId w:val="3"/>
              </w:numPr>
            </w:pPr>
            <w:r w:rsidRPr="00481B8D">
              <w:rPr>
                <w:sz w:val="22"/>
                <w:szCs w:val="22"/>
              </w:rPr>
              <w:t>pour les navires immatriculés dans le ressort de la collectivité territoriale de Corse</w:t>
            </w:r>
          </w:p>
        </w:tc>
        <w:tc>
          <w:tcPr>
            <w:tcW w:w="9042"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rPr>
                <w:sz w:val="22"/>
                <w:szCs w:val="22"/>
              </w:rPr>
              <w:t xml:space="preserve">0 </w:t>
            </w:r>
          </w:p>
        </w:tc>
      </w:tr>
      <w:tr w:rsidR="00872CE4" w:rsidRPr="00481B8D" w:rsidTr="00A1420C">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A1420C">
            <w:pPr>
              <w:pStyle w:val="Contenudetableau"/>
              <w:rPr>
                <w:b/>
              </w:rPr>
            </w:pPr>
            <w:r w:rsidRPr="00481B8D">
              <w:rPr>
                <w:b/>
                <w:sz w:val="22"/>
                <w:szCs w:val="22"/>
              </w:rPr>
              <w:t>Total</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A1420C">
            <w:pPr>
              <w:pStyle w:val="Contenudetableau"/>
              <w:jc w:val="center"/>
            </w:pPr>
            <w:r w:rsidRPr="00481B8D">
              <w:t>1 386</w:t>
            </w:r>
          </w:p>
        </w:tc>
      </w:tr>
    </w:tbl>
    <w:p w:rsidR="00872CE4" w:rsidRPr="00481B8D" w:rsidRDefault="00872CE4" w:rsidP="00690C90"/>
    <w:p w:rsidR="00872CE4" w:rsidRPr="00481B8D" w:rsidRDefault="00872CE4" w:rsidP="00690C90"/>
    <w:p w:rsidR="00872CE4" w:rsidRPr="00481B8D" w:rsidRDefault="00872CE4" w:rsidP="00055837">
      <w:pPr>
        <w:jc w:val="center"/>
      </w:pPr>
    </w:p>
    <w:p w:rsidR="00872CE4" w:rsidRPr="00481B8D" w:rsidRDefault="00872CE4" w:rsidP="00055837">
      <w:pPr>
        <w:jc w:val="center"/>
        <w:sectPr w:rsidR="00872CE4" w:rsidRPr="00481B8D" w:rsidSect="00342A7A">
          <w:footnotePr>
            <w:pos w:val="beneathText"/>
          </w:footnotePr>
          <w:pgSz w:w="16837" w:h="11905" w:orient="landscape"/>
          <w:pgMar w:top="1134" w:right="1134" w:bottom="1418" w:left="1418" w:header="720" w:footer="720" w:gutter="0"/>
          <w:cols w:space="720"/>
          <w:docGrid w:linePitch="360"/>
        </w:sectPr>
      </w:pPr>
    </w:p>
    <w:p w:rsidR="00872CE4" w:rsidRPr="00481B8D" w:rsidRDefault="00872CE4" w:rsidP="00603A56">
      <w:pPr>
        <w:pageBreakBefore/>
        <w:jc w:val="center"/>
      </w:pPr>
      <w:r w:rsidRPr="00481B8D">
        <w:rPr>
          <w:b/>
          <w:bCs/>
          <w:sz w:val="28"/>
          <w:szCs w:val="28"/>
          <w:u w:val="single"/>
        </w:rPr>
        <w:t>ANNEXE 5</w:t>
      </w:r>
    </w:p>
    <w:p w:rsidR="00872CE4" w:rsidRPr="00481B8D" w:rsidRDefault="00872CE4" w:rsidP="00603A56">
      <w:pPr>
        <w:jc w:val="center"/>
      </w:pPr>
    </w:p>
    <w:p w:rsidR="00872CE4" w:rsidRPr="00481B8D" w:rsidRDefault="00872CE4" w:rsidP="00603A56">
      <w:pPr>
        <w:jc w:val="center"/>
      </w:pPr>
      <w:r w:rsidRPr="00481B8D">
        <w:t>Quota d'effort de pêche attribué aux navires pêche battant pavillon français</w:t>
      </w:r>
      <w:r w:rsidRPr="00481B8D">
        <w:br/>
        <w:t>pour la pêche professionnelle à la senne tournante coulissante en mer Méditerranée</w:t>
      </w:r>
    </w:p>
    <w:p w:rsidR="00872CE4" w:rsidRPr="00481B8D" w:rsidRDefault="00872CE4" w:rsidP="00603A56">
      <w:pPr>
        <w:pStyle w:val="SNSignature"/>
        <w:ind w:left="5670" w:firstLine="0"/>
      </w:pPr>
    </w:p>
    <w:p w:rsidR="00872CE4" w:rsidRPr="00481B8D" w:rsidRDefault="00872CE4" w:rsidP="00603A56">
      <w:pPr>
        <w:pStyle w:val="SNSignature"/>
        <w:ind w:left="5670" w:firstLine="0"/>
      </w:pPr>
    </w:p>
    <w:p w:rsidR="00872CE4" w:rsidRPr="00481B8D" w:rsidRDefault="00872CE4" w:rsidP="00603A56"/>
    <w:tbl>
      <w:tblPr>
        <w:tblW w:w="14295" w:type="dxa"/>
        <w:tblInd w:w="100" w:type="dxa"/>
        <w:tblLayout w:type="fixed"/>
        <w:tblCellMar>
          <w:top w:w="55" w:type="dxa"/>
          <w:left w:w="55" w:type="dxa"/>
          <w:bottom w:w="55" w:type="dxa"/>
          <w:right w:w="55" w:type="dxa"/>
        </w:tblCellMar>
        <w:tblLook w:val="0000"/>
      </w:tblPr>
      <w:tblGrid>
        <w:gridCol w:w="5253"/>
        <w:gridCol w:w="9031"/>
        <w:gridCol w:w="11"/>
      </w:tblGrid>
      <w:tr w:rsidR="00872CE4" w:rsidRPr="00481B8D" w:rsidTr="00EB4F43">
        <w:trPr>
          <w:gridAfter w:val="1"/>
          <w:wAfter w:w="11" w:type="dxa"/>
          <w:trHeight w:val="557"/>
        </w:trPr>
        <w:tc>
          <w:tcPr>
            <w:tcW w:w="5253" w:type="dxa"/>
            <w:tcBorders>
              <w:bottom w:val="single" w:sz="4" w:space="0" w:color="auto"/>
              <w:right w:val="single" w:sz="4" w:space="0" w:color="auto"/>
            </w:tcBorders>
          </w:tcPr>
          <w:p w:rsidR="00872CE4" w:rsidRPr="00481B8D" w:rsidRDefault="00872CE4" w:rsidP="00EB4F43">
            <w:pPr>
              <w:pStyle w:val="Contenudetableau"/>
            </w:pPr>
            <w:r w:rsidRPr="00481B8D">
              <w:t>Quota : 2 450 jours</w:t>
            </w:r>
          </w:p>
        </w:tc>
        <w:tc>
          <w:tcPr>
            <w:tcW w:w="9031"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jc w:val="center"/>
            </w:pPr>
            <w:r w:rsidRPr="00481B8D">
              <w:t xml:space="preserve">nombre de jours de pêche </w:t>
            </w:r>
          </w:p>
          <w:p w:rsidR="00872CE4" w:rsidRPr="00481B8D" w:rsidRDefault="00872CE4" w:rsidP="00EB4F43">
            <w:pPr>
              <w:jc w:val="center"/>
            </w:pPr>
            <w:r w:rsidRPr="00481B8D">
              <w:t>par année de gestion</w:t>
            </w:r>
          </w:p>
        </w:tc>
      </w:tr>
      <w:tr w:rsidR="00872CE4" w:rsidRPr="00481B8D" w:rsidTr="00EB4F43">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pPr>
            <w:r w:rsidRPr="00481B8D">
              <w:rPr>
                <w:sz w:val="22"/>
                <w:szCs w:val="22"/>
              </w:rPr>
              <w:t>Navires adhérents à l'organisation de producteurs Organisation de Producteurs du Sud (OP DU SUD)</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r w:rsidRPr="00481B8D">
              <w:t>630</w:t>
            </w:r>
          </w:p>
        </w:tc>
      </w:tr>
      <w:tr w:rsidR="00872CE4" w:rsidRPr="00481B8D" w:rsidTr="00EB4F43">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pPr>
            <w:r w:rsidRPr="00481B8D">
              <w:rPr>
                <w:sz w:val="22"/>
                <w:szCs w:val="22"/>
              </w:rPr>
              <w:t>Navires adhérents à l'organisation de producteurs SA Coopérative Maritime des pêcheurs de Sète-Mole (SATHOAN)</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r w:rsidRPr="00481B8D">
              <w:t>770</w:t>
            </w:r>
          </w:p>
        </w:tc>
      </w:tr>
      <w:tr w:rsidR="00872CE4" w:rsidRPr="00481B8D" w:rsidTr="00EB4F43">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pPr>
            <w:r w:rsidRPr="00481B8D">
              <w:rPr>
                <w:sz w:val="22"/>
                <w:szCs w:val="22"/>
              </w:rPr>
              <w:t>Navires non adhérents à une organisation de producteurs dans le respect des limitations ci-dessous :</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p>
        </w:tc>
      </w:tr>
      <w:tr w:rsidR="00872CE4" w:rsidRPr="00481B8D" w:rsidTr="00EB4F43">
        <w:trPr>
          <w:trHeight w:val="284"/>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numPr>
                <w:ilvl w:val="0"/>
                <w:numId w:val="3"/>
              </w:numPr>
            </w:pPr>
            <w:r w:rsidRPr="00481B8D">
              <w:rPr>
                <w:sz w:val="22"/>
                <w:szCs w:val="22"/>
              </w:rPr>
              <w:t>pour les navires immatriculés dans le ressort de la région Provence-Alpes-Côte d'Azur</w:t>
            </w:r>
          </w:p>
        </w:tc>
        <w:tc>
          <w:tcPr>
            <w:tcW w:w="9042"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r w:rsidRPr="00481B8D">
              <w:rPr>
                <w:sz w:val="22"/>
                <w:szCs w:val="22"/>
              </w:rPr>
              <w:t>315</w:t>
            </w:r>
          </w:p>
        </w:tc>
      </w:tr>
      <w:tr w:rsidR="00872CE4" w:rsidRPr="00481B8D" w:rsidTr="00EB4F43">
        <w:trPr>
          <w:trHeight w:val="284"/>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numPr>
                <w:ilvl w:val="0"/>
                <w:numId w:val="3"/>
              </w:numPr>
            </w:pPr>
            <w:r w:rsidRPr="00481B8D">
              <w:rPr>
                <w:sz w:val="22"/>
                <w:szCs w:val="22"/>
              </w:rPr>
              <w:t>pour les navires immatriculés dans le ressort de la région Languedoc-Roussillon-Midi-Pyrénées</w:t>
            </w:r>
          </w:p>
        </w:tc>
        <w:tc>
          <w:tcPr>
            <w:tcW w:w="9042"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r w:rsidRPr="00481B8D">
              <w:rPr>
                <w:sz w:val="22"/>
                <w:szCs w:val="22"/>
              </w:rPr>
              <w:t>420</w:t>
            </w:r>
          </w:p>
        </w:tc>
      </w:tr>
      <w:tr w:rsidR="00872CE4" w:rsidRPr="00481B8D" w:rsidTr="00EB4F43">
        <w:trPr>
          <w:trHeight w:val="284"/>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numPr>
                <w:ilvl w:val="0"/>
                <w:numId w:val="3"/>
              </w:numPr>
            </w:pPr>
            <w:r w:rsidRPr="00481B8D">
              <w:rPr>
                <w:sz w:val="22"/>
                <w:szCs w:val="22"/>
              </w:rPr>
              <w:t>pour les navires immatriculés dans le ressort de la collectivité territoriale de Corse</w:t>
            </w:r>
          </w:p>
        </w:tc>
        <w:tc>
          <w:tcPr>
            <w:tcW w:w="9042" w:type="dxa"/>
            <w:gridSpan w:val="2"/>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r w:rsidRPr="00481B8D">
              <w:rPr>
                <w:sz w:val="22"/>
                <w:szCs w:val="22"/>
              </w:rPr>
              <w:t>315</w:t>
            </w:r>
          </w:p>
        </w:tc>
      </w:tr>
      <w:tr w:rsidR="00872CE4" w:rsidRPr="00481B8D" w:rsidTr="00EB4F43">
        <w:trPr>
          <w:gridAfter w:val="1"/>
          <w:wAfter w:w="11" w:type="dxa"/>
          <w:trHeight w:val="569"/>
        </w:trPr>
        <w:tc>
          <w:tcPr>
            <w:tcW w:w="5253" w:type="dxa"/>
            <w:tcBorders>
              <w:top w:val="single" w:sz="4" w:space="0" w:color="auto"/>
              <w:left w:val="single" w:sz="4" w:space="0" w:color="auto"/>
              <w:bottom w:val="single" w:sz="4" w:space="0" w:color="auto"/>
              <w:right w:val="single" w:sz="4" w:space="0" w:color="auto"/>
            </w:tcBorders>
          </w:tcPr>
          <w:p w:rsidR="00872CE4" w:rsidRPr="00481B8D" w:rsidRDefault="00872CE4" w:rsidP="00EB4F43">
            <w:pPr>
              <w:pStyle w:val="Contenudetableau"/>
              <w:rPr>
                <w:b/>
              </w:rPr>
            </w:pPr>
            <w:r w:rsidRPr="00481B8D">
              <w:rPr>
                <w:b/>
                <w:sz w:val="22"/>
                <w:szCs w:val="22"/>
              </w:rPr>
              <w:t>Total</w:t>
            </w:r>
          </w:p>
        </w:tc>
        <w:tc>
          <w:tcPr>
            <w:tcW w:w="9031" w:type="dxa"/>
            <w:tcBorders>
              <w:top w:val="single" w:sz="4" w:space="0" w:color="auto"/>
              <w:left w:val="single" w:sz="4" w:space="0" w:color="auto"/>
              <w:bottom w:val="single" w:sz="4" w:space="0" w:color="auto"/>
              <w:right w:val="single" w:sz="4" w:space="0" w:color="auto"/>
            </w:tcBorders>
            <w:vAlign w:val="center"/>
          </w:tcPr>
          <w:p w:rsidR="00872CE4" w:rsidRPr="00481B8D" w:rsidRDefault="00872CE4" w:rsidP="00EB4F43">
            <w:pPr>
              <w:pStyle w:val="Contenudetableau"/>
              <w:jc w:val="center"/>
            </w:pPr>
            <w:r w:rsidRPr="00481B8D">
              <w:t>2 450</w:t>
            </w:r>
          </w:p>
        </w:tc>
      </w:tr>
    </w:tbl>
    <w:p w:rsidR="00872CE4" w:rsidRPr="00481B8D" w:rsidRDefault="00872CE4" w:rsidP="00603A56"/>
    <w:p w:rsidR="00872CE4" w:rsidRPr="00481B8D" w:rsidRDefault="00872CE4" w:rsidP="00603A56"/>
    <w:p w:rsidR="00872CE4" w:rsidRPr="00481B8D" w:rsidRDefault="00872CE4" w:rsidP="00603A56">
      <w:pPr>
        <w:jc w:val="center"/>
      </w:pPr>
    </w:p>
    <w:p w:rsidR="00872CE4" w:rsidRPr="00481B8D" w:rsidRDefault="00872CE4" w:rsidP="00603A56">
      <w:pPr>
        <w:jc w:val="center"/>
      </w:pPr>
    </w:p>
    <w:p w:rsidR="00872CE4" w:rsidRPr="00481B8D" w:rsidRDefault="00872CE4" w:rsidP="00603A56"/>
    <w:p w:rsidR="00872CE4" w:rsidRPr="00481B8D" w:rsidRDefault="00872CE4" w:rsidP="003D0441"/>
    <w:sectPr w:rsidR="00872CE4" w:rsidRPr="00481B8D" w:rsidSect="00342A7A">
      <w:footnotePr>
        <w:pos w:val="beneathText"/>
      </w:footnotePr>
      <w:pgSz w:w="16837" w:h="11905" w:orient="landscape"/>
      <w:pgMar w:top="1134" w:right="1134"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CE4" w:rsidRDefault="00872CE4">
      <w:r>
        <w:separator/>
      </w:r>
    </w:p>
  </w:endnote>
  <w:endnote w:type="continuationSeparator" w:id="0">
    <w:p w:rsidR="00872CE4" w:rsidRDefault="00872C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iberation Sans">
    <w:panose1 w:val="020B0604020202020204"/>
    <w:charset w:val="00"/>
    <w:family w:val="swiss"/>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E4" w:rsidRDefault="00872CE4" w:rsidP="00F70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2CE4" w:rsidRDefault="00872CE4" w:rsidP="003D044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E4" w:rsidRDefault="00872CE4" w:rsidP="00F705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872CE4" w:rsidRPr="008267B6" w:rsidRDefault="00872CE4" w:rsidP="003D0441">
    <w:pPr>
      <w:pStyle w:val="Footer"/>
      <w:ind w:right="360"/>
      <w:jc w:val="center"/>
      <w:rPr>
        <w:b/>
        <w:sz w:val="32"/>
        <w:szCs w:val="3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CE4" w:rsidRDefault="00872CE4">
      <w:r>
        <w:separator/>
      </w:r>
    </w:p>
  </w:footnote>
  <w:footnote w:type="continuationSeparator" w:id="0">
    <w:p w:rsidR="00872CE4" w:rsidRDefault="00872C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E4" w:rsidRDefault="00872CE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E4" w:rsidRPr="008267B6" w:rsidRDefault="00872CE4" w:rsidP="008267B6">
    <w:pPr>
      <w:pStyle w:val="Header"/>
      <w:jc w:val="center"/>
      <w:rPr>
        <w:b/>
        <w:sz w:val="32"/>
        <w:szCs w:val="3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CE4" w:rsidRDefault="00872CE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1B249E72"/>
    <w:multiLevelType w:val="singleLevel"/>
    <w:tmpl w:val="40B6E85D"/>
    <w:lvl w:ilvl="0">
      <w:start w:val="1"/>
      <w:numFmt w:val="bullet"/>
      <w:lvlText w:val="·"/>
      <w:lvlJc w:val="left"/>
      <w:rPr>
        <w:rFonts w:ascii="Times New Roman" w:hAnsi="Times New Roman"/>
      </w:rPr>
    </w:lvl>
  </w:abstractNum>
  <w:abstractNum w:abstractNumId="2">
    <w:nsid w:val="7C0817AA"/>
    <w:multiLevelType w:val="hybridMultilevel"/>
    <w:tmpl w:val="5C2442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33ED"/>
    <w:rsid w:val="000006D0"/>
    <w:rsid w:val="000065BA"/>
    <w:rsid w:val="000074D7"/>
    <w:rsid w:val="00010BCE"/>
    <w:rsid w:val="000125F6"/>
    <w:rsid w:val="00017258"/>
    <w:rsid w:val="000202EA"/>
    <w:rsid w:val="0002164C"/>
    <w:rsid w:val="00041B01"/>
    <w:rsid w:val="00053B16"/>
    <w:rsid w:val="00055837"/>
    <w:rsid w:val="000B34E9"/>
    <w:rsid w:val="000D30D1"/>
    <w:rsid w:val="000F5450"/>
    <w:rsid w:val="00132FC4"/>
    <w:rsid w:val="001446CC"/>
    <w:rsid w:val="00165FD4"/>
    <w:rsid w:val="0017786A"/>
    <w:rsid w:val="00185469"/>
    <w:rsid w:val="00195E10"/>
    <w:rsid w:val="00196915"/>
    <w:rsid w:val="001B684A"/>
    <w:rsid w:val="001C5CAF"/>
    <w:rsid w:val="001D098D"/>
    <w:rsid w:val="001D3842"/>
    <w:rsid w:val="001E1995"/>
    <w:rsid w:val="001E2782"/>
    <w:rsid w:val="001E6C4F"/>
    <w:rsid w:val="001F1576"/>
    <w:rsid w:val="00206D14"/>
    <w:rsid w:val="0022287D"/>
    <w:rsid w:val="00232776"/>
    <w:rsid w:val="0025283E"/>
    <w:rsid w:val="00265802"/>
    <w:rsid w:val="00275F41"/>
    <w:rsid w:val="002810CF"/>
    <w:rsid w:val="002A4195"/>
    <w:rsid w:val="002C2285"/>
    <w:rsid w:val="002D2402"/>
    <w:rsid w:val="002E183A"/>
    <w:rsid w:val="002E6D85"/>
    <w:rsid w:val="002F375F"/>
    <w:rsid w:val="002F42C5"/>
    <w:rsid w:val="002F76E7"/>
    <w:rsid w:val="003045C0"/>
    <w:rsid w:val="00324DC7"/>
    <w:rsid w:val="0033450C"/>
    <w:rsid w:val="0033727D"/>
    <w:rsid w:val="00342A7A"/>
    <w:rsid w:val="00344D55"/>
    <w:rsid w:val="0035615C"/>
    <w:rsid w:val="00361EC1"/>
    <w:rsid w:val="00370638"/>
    <w:rsid w:val="00374BFB"/>
    <w:rsid w:val="0037515C"/>
    <w:rsid w:val="00393204"/>
    <w:rsid w:val="0039369D"/>
    <w:rsid w:val="00394984"/>
    <w:rsid w:val="003A73B2"/>
    <w:rsid w:val="003C0A8D"/>
    <w:rsid w:val="003C3C06"/>
    <w:rsid w:val="003C69F3"/>
    <w:rsid w:val="003D0441"/>
    <w:rsid w:val="003D44C7"/>
    <w:rsid w:val="003D7D82"/>
    <w:rsid w:val="003E6F76"/>
    <w:rsid w:val="00404CB9"/>
    <w:rsid w:val="004646E3"/>
    <w:rsid w:val="004648A3"/>
    <w:rsid w:val="0047077C"/>
    <w:rsid w:val="004713E5"/>
    <w:rsid w:val="00473AEF"/>
    <w:rsid w:val="0048076F"/>
    <w:rsid w:val="00481B8D"/>
    <w:rsid w:val="00490230"/>
    <w:rsid w:val="00491A31"/>
    <w:rsid w:val="00494732"/>
    <w:rsid w:val="004A276B"/>
    <w:rsid w:val="004B04EC"/>
    <w:rsid w:val="004C0DCD"/>
    <w:rsid w:val="004D4D40"/>
    <w:rsid w:val="004E0370"/>
    <w:rsid w:val="00510223"/>
    <w:rsid w:val="00511A71"/>
    <w:rsid w:val="005473D2"/>
    <w:rsid w:val="00571262"/>
    <w:rsid w:val="00575CA3"/>
    <w:rsid w:val="00577504"/>
    <w:rsid w:val="005B4A87"/>
    <w:rsid w:val="005C429B"/>
    <w:rsid w:val="005D159F"/>
    <w:rsid w:val="005E1CCA"/>
    <w:rsid w:val="005E66F9"/>
    <w:rsid w:val="00603A56"/>
    <w:rsid w:val="00605D72"/>
    <w:rsid w:val="00616BFE"/>
    <w:rsid w:val="006477D9"/>
    <w:rsid w:val="0065344F"/>
    <w:rsid w:val="00663205"/>
    <w:rsid w:val="006675C8"/>
    <w:rsid w:val="00687AD5"/>
    <w:rsid w:val="00690C90"/>
    <w:rsid w:val="006A23D8"/>
    <w:rsid w:val="006A7884"/>
    <w:rsid w:val="006B710E"/>
    <w:rsid w:val="006C6508"/>
    <w:rsid w:val="006C6BF0"/>
    <w:rsid w:val="006D091F"/>
    <w:rsid w:val="0074679F"/>
    <w:rsid w:val="00747413"/>
    <w:rsid w:val="007843A4"/>
    <w:rsid w:val="00795AF7"/>
    <w:rsid w:val="007A0B0A"/>
    <w:rsid w:val="007A42C8"/>
    <w:rsid w:val="007B50BE"/>
    <w:rsid w:val="007C492F"/>
    <w:rsid w:val="007D2C40"/>
    <w:rsid w:val="00804CB8"/>
    <w:rsid w:val="00821296"/>
    <w:rsid w:val="008267B6"/>
    <w:rsid w:val="00836E4D"/>
    <w:rsid w:val="008374A9"/>
    <w:rsid w:val="008523C1"/>
    <w:rsid w:val="0085416D"/>
    <w:rsid w:val="00870666"/>
    <w:rsid w:val="00872CE4"/>
    <w:rsid w:val="00873F5B"/>
    <w:rsid w:val="00882A71"/>
    <w:rsid w:val="008907E6"/>
    <w:rsid w:val="008938FB"/>
    <w:rsid w:val="008947A6"/>
    <w:rsid w:val="008A181D"/>
    <w:rsid w:val="008A4E5D"/>
    <w:rsid w:val="008C5386"/>
    <w:rsid w:val="008D352A"/>
    <w:rsid w:val="008D4F2D"/>
    <w:rsid w:val="008D727B"/>
    <w:rsid w:val="008E413E"/>
    <w:rsid w:val="008E48E4"/>
    <w:rsid w:val="008E6050"/>
    <w:rsid w:val="008E6E43"/>
    <w:rsid w:val="008E78E4"/>
    <w:rsid w:val="008F127C"/>
    <w:rsid w:val="008F1657"/>
    <w:rsid w:val="009133ED"/>
    <w:rsid w:val="009258A4"/>
    <w:rsid w:val="009412CB"/>
    <w:rsid w:val="009504A3"/>
    <w:rsid w:val="0096380D"/>
    <w:rsid w:val="009638F1"/>
    <w:rsid w:val="00970BF6"/>
    <w:rsid w:val="00973A7B"/>
    <w:rsid w:val="009905D0"/>
    <w:rsid w:val="00990D01"/>
    <w:rsid w:val="009936A4"/>
    <w:rsid w:val="009A48F1"/>
    <w:rsid w:val="009B01CD"/>
    <w:rsid w:val="009C29BD"/>
    <w:rsid w:val="009E0728"/>
    <w:rsid w:val="009E1B2A"/>
    <w:rsid w:val="00A04DEF"/>
    <w:rsid w:val="00A1420C"/>
    <w:rsid w:val="00A20949"/>
    <w:rsid w:val="00A242DF"/>
    <w:rsid w:val="00A37A0D"/>
    <w:rsid w:val="00A40D57"/>
    <w:rsid w:val="00A46D58"/>
    <w:rsid w:val="00A51C3C"/>
    <w:rsid w:val="00A70254"/>
    <w:rsid w:val="00A85592"/>
    <w:rsid w:val="00A95293"/>
    <w:rsid w:val="00AA1C68"/>
    <w:rsid w:val="00AA41F9"/>
    <w:rsid w:val="00AB7E36"/>
    <w:rsid w:val="00AC5ECC"/>
    <w:rsid w:val="00AD279C"/>
    <w:rsid w:val="00AD4726"/>
    <w:rsid w:val="00AD67BB"/>
    <w:rsid w:val="00B0131E"/>
    <w:rsid w:val="00B01E48"/>
    <w:rsid w:val="00B3027D"/>
    <w:rsid w:val="00B438F9"/>
    <w:rsid w:val="00B5768A"/>
    <w:rsid w:val="00B6124D"/>
    <w:rsid w:val="00B85232"/>
    <w:rsid w:val="00BA1BA6"/>
    <w:rsid w:val="00BA488F"/>
    <w:rsid w:val="00BB6A9D"/>
    <w:rsid w:val="00BC3E44"/>
    <w:rsid w:val="00BC4A22"/>
    <w:rsid w:val="00BD1519"/>
    <w:rsid w:val="00BD2976"/>
    <w:rsid w:val="00BE0BBC"/>
    <w:rsid w:val="00BE388B"/>
    <w:rsid w:val="00BE6378"/>
    <w:rsid w:val="00BF4590"/>
    <w:rsid w:val="00C044BE"/>
    <w:rsid w:val="00C11122"/>
    <w:rsid w:val="00C21D0A"/>
    <w:rsid w:val="00C231CA"/>
    <w:rsid w:val="00C325E6"/>
    <w:rsid w:val="00C43EC0"/>
    <w:rsid w:val="00C445E5"/>
    <w:rsid w:val="00C475D2"/>
    <w:rsid w:val="00C5121B"/>
    <w:rsid w:val="00C5405A"/>
    <w:rsid w:val="00C61716"/>
    <w:rsid w:val="00C91749"/>
    <w:rsid w:val="00CA260A"/>
    <w:rsid w:val="00CA590D"/>
    <w:rsid w:val="00CA635E"/>
    <w:rsid w:val="00CA6939"/>
    <w:rsid w:val="00CB7737"/>
    <w:rsid w:val="00CC4DEA"/>
    <w:rsid w:val="00CC6C17"/>
    <w:rsid w:val="00CE4618"/>
    <w:rsid w:val="00CE662B"/>
    <w:rsid w:val="00CF4AD2"/>
    <w:rsid w:val="00D119BE"/>
    <w:rsid w:val="00D170FD"/>
    <w:rsid w:val="00D30779"/>
    <w:rsid w:val="00D44954"/>
    <w:rsid w:val="00D45E8E"/>
    <w:rsid w:val="00D466CC"/>
    <w:rsid w:val="00D523B8"/>
    <w:rsid w:val="00D5720A"/>
    <w:rsid w:val="00D643C6"/>
    <w:rsid w:val="00D700EA"/>
    <w:rsid w:val="00D86346"/>
    <w:rsid w:val="00D93EFA"/>
    <w:rsid w:val="00D9761F"/>
    <w:rsid w:val="00DA0C64"/>
    <w:rsid w:val="00DA1FF2"/>
    <w:rsid w:val="00DA2729"/>
    <w:rsid w:val="00DC3C74"/>
    <w:rsid w:val="00DE285A"/>
    <w:rsid w:val="00DF04A1"/>
    <w:rsid w:val="00E02195"/>
    <w:rsid w:val="00E12D72"/>
    <w:rsid w:val="00E167EB"/>
    <w:rsid w:val="00E1791C"/>
    <w:rsid w:val="00E30027"/>
    <w:rsid w:val="00E36562"/>
    <w:rsid w:val="00E52EF7"/>
    <w:rsid w:val="00E7070A"/>
    <w:rsid w:val="00E76325"/>
    <w:rsid w:val="00E81662"/>
    <w:rsid w:val="00E818DB"/>
    <w:rsid w:val="00E85CE8"/>
    <w:rsid w:val="00E87BB5"/>
    <w:rsid w:val="00E93153"/>
    <w:rsid w:val="00EB0CFF"/>
    <w:rsid w:val="00EB3A41"/>
    <w:rsid w:val="00EB4F43"/>
    <w:rsid w:val="00EC3BD2"/>
    <w:rsid w:val="00EC7FF5"/>
    <w:rsid w:val="00EF0CAE"/>
    <w:rsid w:val="00F002CE"/>
    <w:rsid w:val="00F05E6A"/>
    <w:rsid w:val="00F22048"/>
    <w:rsid w:val="00F232F3"/>
    <w:rsid w:val="00F25A90"/>
    <w:rsid w:val="00F27F81"/>
    <w:rsid w:val="00F32A36"/>
    <w:rsid w:val="00F36C84"/>
    <w:rsid w:val="00F705AA"/>
    <w:rsid w:val="00F74D48"/>
    <w:rsid w:val="00F806D2"/>
    <w:rsid w:val="00F8527D"/>
    <w:rsid w:val="00F960C3"/>
    <w:rsid w:val="00FB5DB6"/>
    <w:rsid w:val="00FC6B39"/>
    <w:rsid w:val="00FD6923"/>
    <w:rsid w:val="00FF75D6"/>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BBC"/>
    <w:pPr>
      <w:suppressAutoHyphens/>
    </w:pPr>
    <w:rPr>
      <w:sz w:val="24"/>
      <w:szCs w:val="24"/>
      <w:lang w:eastAsia="ar-SA"/>
    </w:rPr>
  </w:style>
  <w:style w:type="paragraph" w:styleId="Heading1">
    <w:name w:val="heading 1"/>
    <w:basedOn w:val="Normal"/>
    <w:next w:val="Normal"/>
    <w:link w:val="Heading1Char"/>
    <w:uiPriority w:val="99"/>
    <w:qFormat/>
    <w:rsid w:val="00BE0BBC"/>
    <w:pPr>
      <w:keepNext/>
      <w:tabs>
        <w:tab w:val="num" w:pos="432"/>
      </w:tabs>
      <w:spacing w:before="240"/>
      <w:ind w:left="432" w:hanging="432"/>
      <w:jc w:val="center"/>
      <w:outlineLvl w:val="0"/>
    </w:pPr>
    <w:rPr>
      <w:rFonts w:cs="Arial"/>
      <w:bCs/>
      <w:caps/>
      <w:kern w:val="1"/>
    </w:rPr>
  </w:style>
  <w:style w:type="paragraph" w:styleId="Heading2">
    <w:name w:val="heading 2"/>
    <w:basedOn w:val="Normal"/>
    <w:next w:val="Normal"/>
    <w:link w:val="Heading2Char"/>
    <w:uiPriority w:val="99"/>
    <w:qFormat/>
    <w:rsid w:val="00BE0BBC"/>
    <w:pPr>
      <w:keepNext/>
      <w:tabs>
        <w:tab w:val="num" w:pos="576"/>
      </w:tabs>
      <w:spacing w:before="240"/>
      <w:ind w:left="576" w:hanging="576"/>
      <w:jc w:val="center"/>
      <w:outlineLvl w:val="1"/>
    </w:pPr>
    <w:rPr>
      <w:bCs/>
      <w:iCs/>
      <w:smallCaps/>
    </w:rPr>
  </w:style>
  <w:style w:type="paragraph" w:styleId="Heading3">
    <w:name w:val="heading 3"/>
    <w:basedOn w:val="Normal"/>
    <w:next w:val="Normal"/>
    <w:link w:val="Heading3Char"/>
    <w:uiPriority w:val="99"/>
    <w:qFormat/>
    <w:rsid w:val="00BE0BBC"/>
    <w:pPr>
      <w:keepNext/>
      <w:tabs>
        <w:tab w:val="num" w:pos="720"/>
      </w:tabs>
      <w:spacing w:before="120"/>
      <w:ind w:left="720" w:hanging="720"/>
      <w:jc w:val="center"/>
      <w:outlineLvl w:val="2"/>
    </w:pPr>
    <w:rPr>
      <w:rFonts w:cs="Arial"/>
      <w:bCs/>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283E"/>
    <w:rPr>
      <w:rFonts w:ascii="Cambria" w:hAnsi="Cambria" w:cs="Times New Roman"/>
      <w:b/>
      <w:bCs/>
      <w:kern w:val="32"/>
      <w:sz w:val="32"/>
      <w:szCs w:val="32"/>
      <w:lang w:eastAsia="ar-SA" w:bidi="ar-SA"/>
    </w:rPr>
  </w:style>
  <w:style w:type="character" w:customStyle="1" w:styleId="Heading2Char">
    <w:name w:val="Heading 2 Char"/>
    <w:basedOn w:val="DefaultParagraphFont"/>
    <w:link w:val="Heading2"/>
    <w:uiPriority w:val="99"/>
    <w:semiHidden/>
    <w:locked/>
    <w:rsid w:val="0025283E"/>
    <w:rPr>
      <w:rFonts w:ascii="Cambria" w:hAnsi="Cambria" w:cs="Times New Roman"/>
      <w:b/>
      <w:bCs/>
      <w:i/>
      <w:iCs/>
      <w:sz w:val="28"/>
      <w:szCs w:val="28"/>
      <w:lang w:eastAsia="ar-SA" w:bidi="ar-SA"/>
    </w:rPr>
  </w:style>
  <w:style w:type="character" w:customStyle="1" w:styleId="Heading3Char">
    <w:name w:val="Heading 3 Char"/>
    <w:basedOn w:val="DefaultParagraphFont"/>
    <w:link w:val="Heading3"/>
    <w:uiPriority w:val="99"/>
    <w:semiHidden/>
    <w:locked/>
    <w:rsid w:val="0025283E"/>
    <w:rPr>
      <w:rFonts w:ascii="Cambria" w:hAnsi="Cambria" w:cs="Times New Roman"/>
      <w:b/>
      <w:bCs/>
      <w:sz w:val="26"/>
      <w:szCs w:val="26"/>
      <w:lang w:eastAsia="ar-SA" w:bidi="ar-SA"/>
    </w:rPr>
  </w:style>
  <w:style w:type="character" w:customStyle="1" w:styleId="Absatz-Standardschriftart">
    <w:name w:val="Absatz-Standardschriftart"/>
    <w:uiPriority w:val="99"/>
    <w:rsid w:val="00BE0BBC"/>
  </w:style>
  <w:style w:type="character" w:customStyle="1" w:styleId="WW-Absatz-Standardschriftart">
    <w:name w:val="WW-Absatz-Standardschriftart"/>
    <w:uiPriority w:val="99"/>
    <w:rsid w:val="00BE0BBC"/>
  </w:style>
  <w:style w:type="character" w:customStyle="1" w:styleId="WW-Absatz-Standardschriftart1">
    <w:name w:val="WW-Absatz-Standardschriftart1"/>
    <w:uiPriority w:val="99"/>
    <w:rsid w:val="00BE0BBC"/>
  </w:style>
  <w:style w:type="character" w:customStyle="1" w:styleId="WW-Absatz-Standardschriftart11">
    <w:name w:val="WW-Absatz-Standardschriftart11"/>
    <w:uiPriority w:val="99"/>
    <w:rsid w:val="00BE0BBC"/>
  </w:style>
  <w:style w:type="character" w:customStyle="1" w:styleId="WW-Absatz-Standardschriftart111">
    <w:name w:val="WW-Absatz-Standardschriftart111"/>
    <w:uiPriority w:val="99"/>
    <w:rsid w:val="00BE0BBC"/>
  </w:style>
  <w:style w:type="character" w:customStyle="1" w:styleId="WW-Absatz-Standardschriftart1111">
    <w:name w:val="WW-Absatz-Standardschriftart1111"/>
    <w:uiPriority w:val="99"/>
    <w:rsid w:val="00BE0BBC"/>
  </w:style>
  <w:style w:type="character" w:customStyle="1" w:styleId="WW-Absatz-Standardschriftart11111">
    <w:name w:val="WW-Absatz-Standardschriftart11111"/>
    <w:uiPriority w:val="99"/>
    <w:rsid w:val="00BE0BBC"/>
  </w:style>
  <w:style w:type="character" w:customStyle="1" w:styleId="WW-Absatz-Standardschriftart111111">
    <w:name w:val="WW-Absatz-Standardschriftart111111"/>
    <w:uiPriority w:val="99"/>
    <w:rsid w:val="00BE0BBC"/>
  </w:style>
  <w:style w:type="character" w:customStyle="1" w:styleId="WW8Num5z0">
    <w:name w:val="WW8Num5z0"/>
    <w:uiPriority w:val="99"/>
    <w:rsid w:val="00BE0BBC"/>
    <w:rPr>
      <w:rFonts w:ascii="Symbol" w:hAnsi="Symbol"/>
    </w:rPr>
  </w:style>
  <w:style w:type="character" w:customStyle="1" w:styleId="WW8Num6z0">
    <w:name w:val="WW8Num6z0"/>
    <w:uiPriority w:val="99"/>
    <w:rsid w:val="00BE0BBC"/>
    <w:rPr>
      <w:rFonts w:ascii="Symbol" w:hAnsi="Symbol"/>
    </w:rPr>
  </w:style>
  <w:style w:type="character" w:customStyle="1" w:styleId="WW8Num7z0">
    <w:name w:val="WW8Num7z0"/>
    <w:uiPriority w:val="99"/>
    <w:rsid w:val="00BE0BBC"/>
    <w:rPr>
      <w:rFonts w:ascii="Symbol" w:hAnsi="Symbol"/>
    </w:rPr>
  </w:style>
  <w:style w:type="character" w:customStyle="1" w:styleId="WW8Num8z0">
    <w:name w:val="WW8Num8z0"/>
    <w:uiPriority w:val="99"/>
    <w:rsid w:val="00BE0BBC"/>
    <w:rPr>
      <w:rFonts w:ascii="Symbol" w:hAnsi="Symbol"/>
    </w:rPr>
  </w:style>
  <w:style w:type="character" w:customStyle="1" w:styleId="WW8Num10z0">
    <w:name w:val="WW8Num10z0"/>
    <w:uiPriority w:val="99"/>
    <w:rsid w:val="00BE0BBC"/>
    <w:rPr>
      <w:rFonts w:ascii="Symbol" w:hAnsi="Symbol"/>
    </w:rPr>
  </w:style>
  <w:style w:type="character" w:customStyle="1" w:styleId="WW8Num12z0">
    <w:name w:val="WW8Num12z0"/>
    <w:uiPriority w:val="99"/>
    <w:rsid w:val="00BE0BBC"/>
    <w:rPr>
      <w:rFonts w:ascii="Symbol" w:hAnsi="Symbol"/>
    </w:rPr>
  </w:style>
  <w:style w:type="character" w:customStyle="1" w:styleId="WW8Num12z1">
    <w:name w:val="WW8Num12z1"/>
    <w:uiPriority w:val="99"/>
    <w:rsid w:val="00BE0BBC"/>
    <w:rPr>
      <w:rFonts w:ascii="Courier New" w:hAnsi="Courier New"/>
    </w:rPr>
  </w:style>
  <w:style w:type="character" w:customStyle="1" w:styleId="WW8Num12z2">
    <w:name w:val="WW8Num12z2"/>
    <w:uiPriority w:val="99"/>
    <w:rsid w:val="00BE0BBC"/>
    <w:rPr>
      <w:rFonts w:ascii="Wingdings" w:hAnsi="Wingdings"/>
    </w:rPr>
  </w:style>
  <w:style w:type="character" w:customStyle="1" w:styleId="WW8Num14z0">
    <w:name w:val="WW8Num14z0"/>
    <w:uiPriority w:val="99"/>
    <w:rsid w:val="00BE0BBC"/>
    <w:rPr>
      <w:rFonts w:ascii="Symbol" w:hAnsi="Symbol"/>
    </w:rPr>
  </w:style>
  <w:style w:type="character" w:customStyle="1" w:styleId="WW8Num14z1">
    <w:name w:val="WW8Num14z1"/>
    <w:uiPriority w:val="99"/>
    <w:rsid w:val="00BE0BBC"/>
    <w:rPr>
      <w:rFonts w:ascii="Courier New" w:hAnsi="Courier New"/>
    </w:rPr>
  </w:style>
  <w:style w:type="character" w:customStyle="1" w:styleId="WW8Num14z2">
    <w:name w:val="WW8Num14z2"/>
    <w:uiPriority w:val="99"/>
    <w:rsid w:val="00BE0BBC"/>
    <w:rPr>
      <w:rFonts w:ascii="Wingdings" w:hAnsi="Wingdings"/>
    </w:rPr>
  </w:style>
  <w:style w:type="character" w:customStyle="1" w:styleId="SNTimbreCar">
    <w:name w:val="SNTimbre Car"/>
    <w:basedOn w:val="DefaultParagraphFont"/>
    <w:uiPriority w:val="99"/>
    <w:rsid w:val="00BE0BBC"/>
    <w:rPr>
      <w:rFonts w:eastAsia="Times New Roman" w:cs="Times New Roman"/>
      <w:sz w:val="24"/>
      <w:szCs w:val="24"/>
      <w:lang w:val="fr-FR" w:eastAsia="ar-SA" w:bidi="ar-SA"/>
    </w:rPr>
  </w:style>
  <w:style w:type="character" w:customStyle="1" w:styleId="SNDatearrtCar">
    <w:name w:val="SNDate arrêté Car"/>
    <w:basedOn w:val="DefaultParagraphFont"/>
    <w:uiPriority w:val="99"/>
    <w:rsid w:val="00BE0BBC"/>
    <w:rPr>
      <w:rFonts w:cs="Times New Roman"/>
      <w:sz w:val="24"/>
      <w:szCs w:val="24"/>
      <w:lang w:val="fr-FR" w:eastAsia="ar-SA" w:bidi="ar-SA"/>
    </w:rPr>
  </w:style>
  <w:style w:type="character" w:customStyle="1" w:styleId="SNArticleCar">
    <w:name w:val="SNArticle Car"/>
    <w:basedOn w:val="DefaultParagraphFont"/>
    <w:uiPriority w:val="99"/>
    <w:rsid w:val="00BE0BBC"/>
    <w:rPr>
      <w:rFonts w:cs="Times New Roman"/>
      <w:b/>
      <w:sz w:val="24"/>
      <w:szCs w:val="24"/>
      <w:lang w:val="fr-FR" w:eastAsia="ar-SA" w:bidi="ar-SA"/>
    </w:rPr>
  </w:style>
  <w:style w:type="character" w:styleId="Strong">
    <w:name w:val="Strong"/>
    <w:basedOn w:val="DefaultParagraphFont"/>
    <w:uiPriority w:val="99"/>
    <w:qFormat/>
    <w:rsid w:val="00BE0BBC"/>
    <w:rPr>
      <w:rFonts w:cs="Times New Roman"/>
      <w:b/>
    </w:rPr>
  </w:style>
  <w:style w:type="character" w:customStyle="1" w:styleId="Caractresdenumrotation">
    <w:name w:val="Caractères de numérotation"/>
    <w:uiPriority w:val="99"/>
    <w:rsid w:val="00BE0BBC"/>
  </w:style>
  <w:style w:type="paragraph" w:styleId="Title">
    <w:name w:val="Title"/>
    <w:basedOn w:val="Normal"/>
    <w:next w:val="BodyText"/>
    <w:link w:val="TitleChar"/>
    <w:uiPriority w:val="99"/>
    <w:qFormat/>
    <w:rsid w:val="00BE0BBC"/>
    <w:pPr>
      <w:keepNext/>
      <w:spacing w:before="240" w:after="120"/>
    </w:pPr>
    <w:rPr>
      <w:rFonts w:ascii="Liberation Sans" w:hAnsi="Liberation Sans" w:cs="Tahoma"/>
      <w:sz w:val="28"/>
      <w:szCs w:val="28"/>
    </w:rPr>
  </w:style>
  <w:style w:type="character" w:customStyle="1" w:styleId="TitleChar">
    <w:name w:val="Title Char"/>
    <w:basedOn w:val="DefaultParagraphFont"/>
    <w:link w:val="Title"/>
    <w:uiPriority w:val="99"/>
    <w:locked/>
    <w:rsid w:val="0025283E"/>
    <w:rPr>
      <w:rFonts w:ascii="Cambria" w:hAnsi="Cambria" w:cs="Times New Roman"/>
      <w:b/>
      <w:bCs/>
      <w:kern w:val="28"/>
      <w:sz w:val="32"/>
      <w:szCs w:val="32"/>
      <w:lang w:eastAsia="ar-SA" w:bidi="ar-SA"/>
    </w:rPr>
  </w:style>
  <w:style w:type="paragraph" w:styleId="BodyText">
    <w:name w:val="Body Text"/>
    <w:basedOn w:val="Normal"/>
    <w:link w:val="BodyTextChar"/>
    <w:uiPriority w:val="99"/>
    <w:rsid w:val="00BE0BBC"/>
    <w:pPr>
      <w:spacing w:after="120"/>
      <w:jc w:val="both"/>
    </w:pPr>
  </w:style>
  <w:style w:type="character" w:customStyle="1" w:styleId="BodyTextChar">
    <w:name w:val="Body Text Char"/>
    <w:basedOn w:val="DefaultParagraphFont"/>
    <w:link w:val="BodyText"/>
    <w:uiPriority w:val="99"/>
    <w:semiHidden/>
    <w:locked/>
    <w:rsid w:val="0025283E"/>
    <w:rPr>
      <w:rFonts w:cs="Times New Roman"/>
      <w:sz w:val="24"/>
      <w:szCs w:val="24"/>
      <w:lang w:eastAsia="ar-SA" w:bidi="ar-SA"/>
    </w:rPr>
  </w:style>
  <w:style w:type="paragraph" w:styleId="List">
    <w:name w:val="List"/>
    <w:basedOn w:val="BodyText"/>
    <w:uiPriority w:val="99"/>
    <w:rsid w:val="00BE0BBC"/>
    <w:rPr>
      <w:rFonts w:ascii="Liberation Sans" w:hAnsi="Liberation Sans" w:cs="Tahoma"/>
    </w:rPr>
  </w:style>
  <w:style w:type="paragraph" w:styleId="Caption">
    <w:name w:val="caption"/>
    <w:basedOn w:val="Normal"/>
    <w:uiPriority w:val="99"/>
    <w:qFormat/>
    <w:rsid w:val="00BE0BBC"/>
    <w:pPr>
      <w:suppressLineNumbers/>
      <w:spacing w:before="120" w:after="120"/>
    </w:pPr>
    <w:rPr>
      <w:rFonts w:ascii="Liberation Sans" w:hAnsi="Liberation Sans" w:cs="Tahoma"/>
      <w:i/>
      <w:iCs/>
    </w:rPr>
  </w:style>
  <w:style w:type="paragraph" w:customStyle="1" w:styleId="Index">
    <w:name w:val="Index"/>
    <w:basedOn w:val="Normal"/>
    <w:uiPriority w:val="99"/>
    <w:rsid w:val="00BE0BBC"/>
    <w:pPr>
      <w:suppressLineNumbers/>
    </w:pPr>
    <w:rPr>
      <w:rFonts w:ascii="Liberation Sans" w:hAnsi="Liberation Sans" w:cs="Tahoma"/>
    </w:rPr>
  </w:style>
  <w:style w:type="paragraph" w:customStyle="1" w:styleId="SNREPUBLIQUE">
    <w:name w:val="SNREPUBLIQUE"/>
    <w:basedOn w:val="Normal"/>
    <w:uiPriority w:val="99"/>
    <w:rsid w:val="00BE0BBC"/>
    <w:pPr>
      <w:jc w:val="center"/>
    </w:pPr>
    <w:rPr>
      <w:b/>
      <w:bCs/>
      <w:szCs w:val="20"/>
    </w:rPr>
  </w:style>
  <w:style w:type="paragraph" w:customStyle="1" w:styleId="SNSignature">
    <w:name w:val="SNSignature"/>
    <w:basedOn w:val="Normal"/>
    <w:uiPriority w:val="99"/>
    <w:rsid w:val="00BE0BBC"/>
    <w:pPr>
      <w:ind w:firstLine="720"/>
    </w:pPr>
  </w:style>
  <w:style w:type="paragraph" w:customStyle="1" w:styleId="puce1">
    <w:name w:val="puce1"/>
    <w:basedOn w:val="Normal"/>
    <w:uiPriority w:val="99"/>
    <w:rsid w:val="00BE0BBC"/>
    <w:pPr>
      <w:widowControl w:val="0"/>
      <w:tabs>
        <w:tab w:val="left" w:pos="1429"/>
      </w:tabs>
      <w:spacing w:before="240"/>
      <w:ind w:left="1429" w:hanging="360"/>
    </w:pPr>
  </w:style>
  <w:style w:type="paragraph" w:customStyle="1" w:styleId="puce2">
    <w:name w:val="puce2"/>
    <w:basedOn w:val="Normal"/>
    <w:uiPriority w:val="99"/>
    <w:rsid w:val="00BE0BBC"/>
    <w:pPr>
      <w:widowControl w:val="0"/>
      <w:tabs>
        <w:tab w:val="left" w:pos="2149"/>
      </w:tabs>
      <w:spacing w:before="240"/>
      <w:ind w:left="2149" w:hanging="360"/>
    </w:pPr>
  </w:style>
  <w:style w:type="paragraph" w:customStyle="1" w:styleId="puce3">
    <w:name w:val="puce3"/>
    <w:basedOn w:val="Normal"/>
    <w:uiPriority w:val="99"/>
    <w:rsid w:val="00BE0BBC"/>
    <w:pPr>
      <w:widowControl w:val="0"/>
      <w:tabs>
        <w:tab w:val="left" w:pos="2869"/>
      </w:tabs>
      <w:spacing w:before="240"/>
      <w:ind w:left="2869" w:hanging="360"/>
    </w:pPr>
  </w:style>
  <w:style w:type="paragraph" w:customStyle="1" w:styleId="num1">
    <w:name w:val="num1"/>
    <w:basedOn w:val="Normal"/>
    <w:uiPriority w:val="99"/>
    <w:rsid w:val="00BE0BBC"/>
    <w:pPr>
      <w:widowControl w:val="0"/>
      <w:tabs>
        <w:tab w:val="left" w:pos="1429"/>
      </w:tabs>
      <w:spacing w:before="240"/>
      <w:ind w:left="1429" w:hanging="360"/>
    </w:pPr>
  </w:style>
  <w:style w:type="paragraph" w:customStyle="1" w:styleId="num2">
    <w:name w:val="num2"/>
    <w:basedOn w:val="Normal"/>
    <w:uiPriority w:val="99"/>
    <w:rsid w:val="00BE0BBC"/>
    <w:pPr>
      <w:widowControl w:val="0"/>
      <w:tabs>
        <w:tab w:val="left" w:pos="2149"/>
      </w:tabs>
      <w:spacing w:before="240"/>
      <w:ind w:left="2149" w:hanging="360"/>
    </w:pPr>
  </w:style>
  <w:style w:type="paragraph" w:customStyle="1" w:styleId="num3">
    <w:name w:val="num3"/>
    <w:basedOn w:val="Normal"/>
    <w:uiPriority w:val="99"/>
    <w:rsid w:val="00BE0BBC"/>
    <w:pPr>
      <w:widowControl w:val="0"/>
      <w:tabs>
        <w:tab w:val="left" w:pos="2869"/>
      </w:tabs>
      <w:spacing w:before="240"/>
      <w:ind w:left="2869" w:hanging="180"/>
    </w:pPr>
  </w:style>
  <w:style w:type="paragraph" w:customStyle="1" w:styleId="Direction">
    <w:name w:val="Direction"/>
    <w:basedOn w:val="Normal"/>
    <w:uiPriority w:val="99"/>
    <w:rsid w:val="00BE0BBC"/>
    <w:pPr>
      <w:spacing w:before="720"/>
      <w:jc w:val="center"/>
    </w:pPr>
    <w:rPr>
      <w:b/>
    </w:rPr>
  </w:style>
  <w:style w:type="paragraph" w:customStyle="1" w:styleId="SNConsultation">
    <w:name w:val="SNConsultation"/>
    <w:basedOn w:val="Normal"/>
    <w:uiPriority w:val="99"/>
    <w:rsid w:val="00BE0BBC"/>
    <w:pPr>
      <w:widowControl w:val="0"/>
      <w:spacing w:before="120" w:after="120"/>
      <w:ind w:firstLine="709"/>
      <w:jc w:val="both"/>
    </w:pPr>
  </w:style>
  <w:style w:type="paragraph" w:customStyle="1" w:styleId="SNNature">
    <w:name w:val="SNNature"/>
    <w:basedOn w:val="Normal"/>
    <w:next w:val="SNtitre"/>
    <w:uiPriority w:val="99"/>
    <w:rsid w:val="00BE0BBC"/>
    <w:pPr>
      <w:widowControl w:val="0"/>
      <w:suppressLineNumbers/>
      <w:spacing w:before="720" w:after="120"/>
      <w:jc w:val="center"/>
    </w:pPr>
    <w:rPr>
      <w:b/>
      <w:bCs/>
    </w:rPr>
  </w:style>
  <w:style w:type="paragraph" w:customStyle="1" w:styleId="SNtitre">
    <w:name w:val="SNtitre"/>
    <w:basedOn w:val="Normal"/>
    <w:next w:val="SNNORCentr"/>
    <w:uiPriority w:val="99"/>
    <w:rsid w:val="00BE0BBC"/>
    <w:pPr>
      <w:widowControl w:val="0"/>
      <w:suppressLineNumbers/>
      <w:spacing w:after="360"/>
      <w:jc w:val="center"/>
    </w:pPr>
    <w:rPr>
      <w:b/>
    </w:rPr>
  </w:style>
  <w:style w:type="paragraph" w:customStyle="1" w:styleId="SNNORCentr">
    <w:name w:val="SNNOR+Centré"/>
    <w:next w:val="SNAutorit"/>
    <w:uiPriority w:val="99"/>
    <w:rsid w:val="00BE0BBC"/>
    <w:pPr>
      <w:suppressAutoHyphens/>
      <w:jc w:val="center"/>
    </w:pPr>
    <w:rPr>
      <w:bCs/>
      <w:sz w:val="24"/>
      <w:szCs w:val="20"/>
      <w:lang w:eastAsia="ar-SA"/>
    </w:rPr>
  </w:style>
  <w:style w:type="paragraph" w:customStyle="1" w:styleId="SNAutorit">
    <w:name w:val="SNAutorité"/>
    <w:basedOn w:val="Normal"/>
    <w:uiPriority w:val="99"/>
    <w:rsid w:val="00BE0BBC"/>
    <w:pPr>
      <w:spacing w:before="720" w:after="240"/>
      <w:ind w:firstLine="720"/>
    </w:pPr>
    <w:rPr>
      <w:b/>
    </w:rPr>
  </w:style>
  <w:style w:type="paragraph" w:customStyle="1" w:styleId="SNTimbre">
    <w:name w:val="SNTimbre"/>
    <w:basedOn w:val="Normal"/>
    <w:uiPriority w:val="99"/>
    <w:rsid w:val="00BE0BBC"/>
    <w:pPr>
      <w:widowControl w:val="0"/>
      <w:snapToGrid w:val="0"/>
      <w:spacing w:before="120"/>
      <w:jc w:val="center"/>
    </w:pPr>
  </w:style>
  <w:style w:type="paragraph" w:customStyle="1" w:styleId="SNRapport">
    <w:name w:val="SNRapport"/>
    <w:basedOn w:val="Normal"/>
    <w:uiPriority w:val="99"/>
    <w:rsid w:val="00BE0BBC"/>
    <w:pPr>
      <w:spacing w:before="240" w:after="120"/>
      <w:ind w:firstLine="720"/>
    </w:pPr>
  </w:style>
  <w:style w:type="paragraph" w:customStyle="1" w:styleId="SNVisa">
    <w:name w:val="SNVisa"/>
    <w:basedOn w:val="Normal"/>
    <w:uiPriority w:val="99"/>
    <w:rsid w:val="00BE0BBC"/>
    <w:pPr>
      <w:spacing w:before="120" w:after="120"/>
      <w:ind w:firstLine="720"/>
    </w:pPr>
  </w:style>
  <w:style w:type="paragraph" w:customStyle="1" w:styleId="SNDatearrt">
    <w:name w:val="SNDate arrêté"/>
    <w:basedOn w:val="Normal"/>
    <w:next w:val="SNContreseing"/>
    <w:uiPriority w:val="99"/>
    <w:rsid w:val="00BE0BBC"/>
    <w:pPr>
      <w:spacing w:before="480" w:after="1680"/>
      <w:ind w:firstLine="720"/>
    </w:pPr>
  </w:style>
  <w:style w:type="paragraph" w:customStyle="1" w:styleId="SNContreseing">
    <w:name w:val="SNContreseing"/>
    <w:basedOn w:val="Normal"/>
    <w:next w:val="Normal"/>
    <w:uiPriority w:val="99"/>
    <w:rsid w:val="00BE0BBC"/>
    <w:pPr>
      <w:spacing w:before="480"/>
      <w:ind w:firstLine="720"/>
    </w:pPr>
  </w:style>
  <w:style w:type="paragraph" w:customStyle="1" w:styleId="SNActe">
    <w:name w:val="SNActe"/>
    <w:basedOn w:val="Normal"/>
    <w:uiPriority w:val="99"/>
    <w:rsid w:val="00BE0BBC"/>
    <w:pPr>
      <w:spacing w:before="480" w:after="360"/>
      <w:jc w:val="center"/>
    </w:pPr>
    <w:rPr>
      <w:b/>
    </w:rPr>
  </w:style>
  <w:style w:type="paragraph" w:customStyle="1" w:styleId="SNArticle">
    <w:name w:val="SNArticle"/>
    <w:basedOn w:val="Normal"/>
    <w:next w:val="BodyText"/>
    <w:uiPriority w:val="99"/>
    <w:rsid w:val="00BE0BBC"/>
    <w:pPr>
      <w:spacing w:before="240" w:after="240"/>
      <w:jc w:val="center"/>
    </w:pPr>
    <w:rPr>
      <w:b/>
    </w:rPr>
  </w:style>
  <w:style w:type="paragraph" w:customStyle="1" w:styleId="SNConsidrant">
    <w:name w:val="SNConsidérant"/>
    <w:basedOn w:val="Normal"/>
    <w:uiPriority w:val="99"/>
    <w:rsid w:val="00BE0BBC"/>
    <w:pPr>
      <w:ind w:firstLine="720"/>
    </w:pPr>
  </w:style>
  <w:style w:type="paragraph" w:customStyle="1" w:styleId="SNConsultationCE">
    <w:name w:val="SNConsultationCE"/>
    <w:basedOn w:val="SNConsultation"/>
    <w:uiPriority w:val="99"/>
    <w:rsid w:val="00BE0BBC"/>
  </w:style>
  <w:style w:type="paragraph" w:customStyle="1" w:styleId="SNConsultationCM">
    <w:name w:val="SNConsultationCM"/>
    <w:basedOn w:val="SNConsultation"/>
    <w:uiPriority w:val="99"/>
    <w:rsid w:val="00BE0BBC"/>
  </w:style>
  <w:style w:type="paragraph" w:customStyle="1" w:styleId="SNDirection">
    <w:name w:val="SNDirection"/>
    <w:basedOn w:val="Normal"/>
    <w:uiPriority w:val="99"/>
    <w:rsid w:val="00BE0BBC"/>
    <w:pPr>
      <w:spacing w:before="720"/>
      <w:jc w:val="center"/>
    </w:pPr>
    <w:rPr>
      <w:b/>
    </w:rPr>
  </w:style>
  <w:style w:type="paragraph" w:customStyle="1" w:styleId="SNIntitul">
    <w:name w:val="SNIntitulé"/>
    <w:basedOn w:val="Normal"/>
    <w:uiPriority w:val="99"/>
    <w:rsid w:val="00BE0BBC"/>
    <w:pPr>
      <w:jc w:val="center"/>
    </w:pPr>
  </w:style>
  <w:style w:type="paragraph" w:customStyle="1" w:styleId="Titre1objet">
    <w:name w:val="Titre 1 objet"/>
    <w:basedOn w:val="Heading1"/>
    <w:next w:val="Normal"/>
    <w:uiPriority w:val="99"/>
    <w:rsid w:val="00BE0BBC"/>
    <w:pPr>
      <w:tabs>
        <w:tab w:val="clear" w:pos="432"/>
      </w:tabs>
      <w:spacing w:before="0" w:after="120"/>
      <w:ind w:left="0" w:firstLine="0"/>
    </w:pPr>
    <w:rPr>
      <w:b/>
    </w:rPr>
  </w:style>
  <w:style w:type="paragraph" w:customStyle="1" w:styleId="SNExcution">
    <w:name w:val="SNExécution"/>
    <w:basedOn w:val="Normal"/>
    <w:uiPriority w:val="99"/>
    <w:rsid w:val="00BE0BBC"/>
  </w:style>
  <w:style w:type="paragraph" w:customStyle="1" w:styleId="SNLibell">
    <w:name w:val="SNLibellé"/>
    <w:basedOn w:val="Normal"/>
    <w:uiPriority w:val="99"/>
    <w:rsid w:val="00BE0BBC"/>
  </w:style>
  <w:style w:type="paragraph" w:customStyle="1" w:styleId="SNRfrence">
    <w:name w:val="SNRéférence"/>
    <w:basedOn w:val="Normal"/>
    <w:uiPriority w:val="99"/>
    <w:rsid w:val="00BE0BBC"/>
  </w:style>
  <w:style w:type="paragraph" w:styleId="BalloonText">
    <w:name w:val="Balloon Text"/>
    <w:basedOn w:val="Normal"/>
    <w:link w:val="BalloonTextChar"/>
    <w:uiPriority w:val="99"/>
    <w:rsid w:val="00BE0BB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5283E"/>
    <w:rPr>
      <w:rFonts w:cs="Times New Roman"/>
      <w:sz w:val="2"/>
      <w:lang w:eastAsia="ar-SA" w:bidi="ar-SA"/>
    </w:rPr>
  </w:style>
  <w:style w:type="paragraph" w:customStyle="1" w:styleId="Titre2objet">
    <w:name w:val="Titre 2 objet"/>
    <w:basedOn w:val="Heading2"/>
    <w:uiPriority w:val="99"/>
    <w:rsid w:val="00BE0BBC"/>
    <w:pPr>
      <w:tabs>
        <w:tab w:val="clear" w:pos="576"/>
      </w:tabs>
      <w:spacing w:before="0" w:after="120"/>
      <w:ind w:left="0" w:firstLine="0"/>
    </w:pPr>
    <w:rPr>
      <w:b/>
    </w:rPr>
  </w:style>
  <w:style w:type="paragraph" w:customStyle="1" w:styleId="Style1">
    <w:name w:val="Style1"/>
    <w:basedOn w:val="Heading3"/>
    <w:next w:val="Normal"/>
    <w:uiPriority w:val="99"/>
    <w:rsid w:val="00BE0BBC"/>
    <w:pPr>
      <w:tabs>
        <w:tab w:val="clear" w:pos="720"/>
      </w:tabs>
      <w:spacing w:before="0" w:after="120"/>
      <w:ind w:left="0" w:firstLine="0"/>
    </w:pPr>
    <w:rPr>
      <w:b/>
    </w:rPr>
  </w:style>
  <w:style w:type="paragraph" w:customStyle="1" w:styleId="Titre3objet">
    <w:name w:val="Titre 3 objet"/>
    <w:basedOn w:val="Heading3"/>
    <w:next w:val="Normal"/>
    <w:uiPriority w:val="99"/>
    <w:rsid w:val="00BE0BBC"/>
    <w:pPr>
      <w:tabs>
        <w:tab w:val="clear" w:pos="720"/>
      </w:tabs>
      <w:spacing w:before="0" w:after="120"/>
      <w:ind w:left="0" w:firstLine="0"/>
    </w:pPr>
    <w:rPr>
      <w:b/>
    </w:rPr>
  </w:style>
  <w:style w:type="paragraph" w:customStyle="1" w:styleId="Contenudetableau">
    <w:name w:val="Contenu de tableau"/>
    <w:basedOn w:val="Normal"/>
    <w:uiPriority w:val="99"/>
    <w:rsid w:val="00BE0BBC"/>
    <w:pPr>
      <w:suppressLineNumbers/>
    </w:pPr>
  </w:style>
  <w:style w:type="paragraph" w:customStyle="1" w:styleId="Titredetableau">
    <w:name w:val="Titre de tableau"/>
    <w:basedOn w:val="Contenudetableau"/>
    <w:uiPriority w:val="99"/>
    <w:rsid w:val="00BE0BBC"/>
    <w:pPr>
      <w:jc w:val="center"/>
    </w:pPr>
    <w:rPr>
      <w:b/>
      <w:bCs/>
    </w:rPr>
  </w:style>
  <w:style w:type="character" w:styleId="Hyperlink">
    <w:name w:val="Hyperlink"/>
    <w:basedOn w:val="DefaultParagraphFont"/>
    <w:uiPriority w:val="99"/>
    <w:rsid w:val="008E6050"/>
    <w:rPr>
      <w:rFonts w:cs="Times New Roman"/>
      <w:color w:val="0000FF"/>
      <w:u w:val="single"/>
    </w:rPr>
  </w:style>
  <w:style w:type="paragraph" w:styleId="Header">
    <w:name w:val="header"/>
    <w:basedOn w:val="Normal"/>
    <w:link w:val="HeaderChar"/>
    <w:uiPriority w:val="99"/>
    <w:rsid w:val="008267B6"/>
    <w:pPr>
      <w:tabs>
        <w:tab w:val="center" w:pos="4536"/>
        <w:tab w:val="right" w:pos="9072"/>
      </w:tabs>
    </w:pPr>
  </w:style>
  <w:style w:type="character" w:customStyle="1" w:styleId="HeaderChar">
    <w:name w:val="Header Char"/>
    <w:basedOn w:val="DefaultParagraphFont"/>
    <w:link w:val="Header"/>
    <w:uiPriority w:val="99"/>
    <w:semiHidden/>
    <w:locked/>
    <w:rsid w:val="0025283E"/>
    <w:rPr>
      <w:rFonts w:cs="Times New Roman"/>
      <w:sz w:val="24"/>
      <w:szCs w:val="24"/>
      <w:lang w:eastAsia="ar-SA" w:bidi="ar-SA"/>
    </w:rPr>
  </w:style>
  <w:style w:type="paragraph" w:styleId="Footer">
    <w:name w:val="footer"/>
    <w:basedOn w:val="Normal"/>
    <w:link w:val="FooterChar"/>
    <w:uiPriority w:val="99"/>
    <w:rsid w:val="008267B6"/>
    <w:pPr>
      <w:tabs>
        <w:tab w:val="center" w:pos="4536"/>
        <w:tab w:val="right" w:pos="9072"/>
      </w:tabs>
    </w:pPr>
  </w:style>
  <w:style w:type="character" w:customStyle="1" w:styleId="FooterChar">
    <w:name w:val="Footer Char"/>
    <w:basedOn w:val="DefaultParagraphFont"/>
    <w:link w:val="Footer"/>
    <w:uiPriority w:val="99"/>
    <w:semiHidden/>
    <w:locked/>
    <w:rsid w:val="0025283E"/>
    <w:rPr>
      <w:rFonts w:cs="Times New Roman"/>
      <w:sz w:val="24"/>
      <w:szCs w:val="24"/>
      <w:lang w:eastAsia="ar-SA" w:bidi="ar-SA"/>
    </w:rPr>
  </w:style>
  <w:style w:type="paragraph" w:styleId="Revision">
    <w:name w:val="Revision"/>
    <w:hidden/>
    <w:uiPriority w:val="99"/>
    <w:semiHidden/>
    <w:rsid w:val="00C61716"/>
    <w:rPr>
      <w:sz w:val="24"/>
      <w:szCs w:val="24"/>
      <w:lang w:eastAsia="ar-SA"/>
    </w:rPr>
  </w:style>
  <w:style w:type="character" w:customStyle="1" w:styleId="Policepardfaut1">
    <w:name w:val="Police par défaut1"/>
    <w:uiPriority w:val="99"/>
    <w:rsid w:val="00342A7A"/>
  </w:style>
  <w:style w:type="character" w:customStyle="1" w:styleId="Appelnotedebasdep1">
    <w:name w:val="Appel note de bas de p.1"/>
    <w:basedOn w:val="Policepardfaut1"/>
    <w:uiPriority w:val="99"/>
    <w:rsid w:val="00342A7A"/>
    <w:rPr>
      <w:rFonts w:cs="Times New Roman"/>
      <w:position w:val="24"/>
      <w:sz w:val="16"/>
    </w:rPr>
  </w:style>
  <w:style w:type="paragraph" w:styleId="FootnoteText">
    <w:name w:val="footnote text"/>
    <w:basedOn w:val="Normal"/>
    <w:link w:val="FootnoteTextChar"/>
    <w:uiPriority w:val="99"/>
    <w:rsid w:val="00342A7A"/>
    <w:pPr>
      <w:widowControl w:val="0"/>
      <w:suppressLineNumbers/>
      <w:spacing w:line="100" w:lineRule="atLeast"/>
      <w:ind w:left="283" w:hanging="283"/>
      <w:textAlignment w:val="baseline"/>
    </w:pPr>
    <w:rPr>
      <w:rFonts w:ascii="Liberation Sans" w:hAnsi="Liberation Sans" w:cs="Tahoma"/>
      <w:kern w:val="1"/>
      <w:sz w:val="20"/>
      <w:szCs w:val="20"/>
      <w:lang w:eastAsia="fr-FR"/>
    </w:rPr>
  </w:style>
  <w:style w:type="character" w:customStyle="1" w:styleId="FootnoteTextChar">
    <w:name w:val="Footnote Text Char"/>
    <w:basedOn w:val="DefaultParagraphFont"/>
    <w:link w:val="FootnoteText"/>
    <w:uiPriority w:val="99"/>
    <w:locked/>
    <w:rsid w:val="00342A7A"/>
    <w:rPr>
      <w:rFonts w:ascii="Liberation Sans" w:hAnsi="Liberation Sans" w:cs="Tahoma"/>
      <w:kern w:val="1"/>
    </w:rPr>
  </w:style>
  <w:style w:type="character" w:styleId="CommentReference">
    <w:name w:val="annotation reference"/>
    <w:basedOn w:val="DefaultParagraphFont"/>
    <w:uiPriority w:val="99"/>
    <w:rsid w:val="0022287D"/>
    <w:rPr>
      <w:rFonts w:cs="Times New Roman"/>
      <w:sz w:val="16"/>
      <w:szCs w:val="16"/>
    </w:rPr>
  </w:style>
  <w:style w:type="paragraph" w:styleId="CommentText">
    <w:name w:val="annotation text"/>
    <w:basedOn w:val="Normal"/>
    <w:link w:val="CommentTextChar"/>
    <w:uiPriority w:val="99"/>
    <w:rsid w:val="0022287D"/>
    <w:rPr>
      <w:sz w:val="20"/>
      <w:szCs w:val="20"/>
    </w:rPr>
  </w:style>
  <w:style w:type="character" w:customStyle="1" w:styleId="CommentTextChar">
    <w:name w:val="Comment Text Char"/>
    <w:basedOn w:val="DefaultParagraphFont"/>
    <w:link w:val="CommentText"/>
    <w:uiPriority w:val="99"/>
    <w:locked/>
    <w:rsid w:val="0022287D"/>
    <w:rPr>
      <w:rFonts w:cs="Times New Roman"/>
      <w:lang w:eastAsia="ar-SA" w:bidi="ar-SA"/>
    </w:rPr>
  </w:style>
  <w:style w:type="paragraph" w:styleId="CommentSubject">
    <w:name w:val="annotation subject"/>
    <w:basedOn w:val="CommentText"/>
    <w:next w:val="CommentText"/>
    <w:link w:val="CommentSubjectChar"/>
    <w:uiPriority w:val="99"/>
    <w:rsid w:val="0022287D"/>
    <w:rPr>
      <w:b/>
      <w:bCs/>
    </w:rPr>
  </w:style>
  <w:style w:type="character" w:customStyle="1" w:styleId="CommentSubjectChar">
    <w:name w:val="Comment Subject Char"/>
    <w:basedOn w:val="CommentTextChar"/>
    <w:link w:val="CommentSubject"/>
    <w:uiPriority w:val="99"/>
    <w:locked/>
    <w:rsid w:val="0022287D"/>
    <w:rPr>
      <w:b/>
      <w:bCs/>
    </w:rPr>
  </w:style>
  <w:style w:type="character" w:styleId="PageNumber">
    <w:name w:val="page number"/>
    <w:basedOn w:val="DefaultParagraphFont"/>
    <w:uiPriority w:val="99"/>
    <w:rsid w:val="003D0441"/>
    <w:rPr>
      <w:rFonts w:cs="Times New Roman"/>
    </w:rPr>
  </w:style>
</w:styles>
</file>

<file path=word/webSettings.xml><?xml version="1.0" encoding="utf-8"?>
<w:webSettings xmlns:r="http://schemas.openxmlformats.org/officeDocument/2006/relationships" xmlns:w="http://schemas.openxmlformats.org/wordprocessingml/2006/main">
  <w:divs>
    <w:div w:id="1461071690">
      <w:marLeft w:val="0"/>
      <w:marRight w:val="0"/>
      <w:marTop w:val="0"/>
      <w:marBottom w:val="0"/>
      <w:divBdr>
        <w:top w:val="none" w:sz="0" w:space="0" w:color="auto"/>
        <w:left w:val="none" w:sz="0" w:space="0" w:color="auto"/>
        <w:bottom w:val="none" w:sz="0" w:space="0" w:color="auto"/>
        <w:right w:val="none" w:sz="0" w:space="0" w:color="auto"/>
      </w:divBdr>
    </w:div>
    <w:div w:id="14610716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ifrance.gouv.f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822</TotalTime>
  <Pages>10</Pages>
  <Words>2071</Words>
  <Characters>11393</Characters>
  <Application>Microsoft Office Outlook</Application>
  <DocSecurity>0</DocSecurity>
  <Lines>0</Lines>
  <Paragraphs>0</Paragraphs>
  <ScaleCrop>false</ScaleCrop>
  <Company>particulier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subject/>
  <dc:creator>Morane RUELLAND</dc:creator>
  <cp:keywords/>
  <dc:description/>
  <cp:lastModifiedBy>MEDDE</cp:lastModifiedBy>
  <cp:revision>72</cp:revision>
  <cp:lastPrinted>2016-07-08T11:38:00Z</cp:lastPrinted>
  <dcterms:created xsi:type="dcterms:W3CDTF">2016-02-09T16:18:00Z</dcterms:created>
  <dcterms:modified xsi:type="dcterms:W3CDTF">2016-07-08T11:39:00Z</dcterms:modified>
</cp:coreProperties>
</file>