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13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27"/>
        <w:gridCol w:w="968"/>
        <w:gridCol w:w="1487"/>
      </w:tblGrid>
      <w:tr w:rsidR="00B76313" w:rsidTr="00B8000E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B76313" w:rsidRDefault="00B76313" w:rsidP="00B8000E">
            <w:pPr>
              <w:pStyle w:val="SNREPUBLIQUE"/>
              <w:rPr>
                <w:rFonts w:cs="Tahoma"/>
              </w:rPr>
            </w:pPr>
            <w:r>
              <w:t>RÉPUBLIQUE FRANÇAISE</w:t>
            </w:r>
          </w:p>
        </w:tc>
      </w:tr>
      <w:tr w:rsidR="00B76313" w:rsidTr="00B8000E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B76313" w:rsidRDefault="00B76313" w:rsidP="00B8000E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</w:tr>
      <w:tr w:rsidR="00B76313" w:rsidTr="00B8000E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B76313" w:rsidRDefault="0002649F" w:rsidP="00B8000E">
            <w:pPr>
              <w:jc w:val="center"/>
            </w:pPr>
            <w:r>
              <w:t>Ministère de l’environnement</w:t>
            </w:r>
            <w:r w:rsidR="00B76313">
              <w:t>,</w:t>
            </w:r>
          </w:p>
          <w:p w:rsidR="00B76313" w:rsidRDefault="00B76313" w:rsidP="00B8000E">
            <w:pPr>
              <w:jc w:val="center"/>
            </w:pPr>
            <w:r>
              <w:t>de l’énergie</w:t>
            </w:r>
          </w:p>
          <w:p w:rsidR="00B76313" w:rsidRDefault="00B76313" w:rsidP="00B8000E">
            <w:pPr>
              <w:jc w:val="center"/>
            </w:pPr>
            <w:r>
              <w:t>et de la mer</w:t>
            </w:r>
          </w:p>
          <w:p w:rsidR="00B76313" w:rsidRDefault="00B76313" w:rsidP="00B8000E"/>
          <w:p w:rsidR="00B76313" w:rsidRDefault="00B76313" w:rsidP="00B8000E">
            <w:pPr>
              <w:jc w:val="center"/>
            </w:pPr>
            <w:r>
              <w:t>TRANSPORTS, MER ET PECHE</w:t>
            </w:r>
          </w:p>
        </w:tc>
      </w:tr>
      <w:tr w:rsidR="00B76313" w:rsidTr="00B8000E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</w:tr>
      <w:tr w:rsidR="00B76313" w:rsidTr="00B8000E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B76313" w:rsidRDefault="00B76313" w:rsidP="00B8000E">
            <w:pPr>
              <w:snapToGrid w:val="0"/>
            </w:pPr>
          </w:p>
        </w:tc>
      </w:tr>
    </w:tbl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76313" w:rsidRDefault="00187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2D3B">
        <w:rPr>
          <w:rFonts w:ascii="Arial" w:hAnsi="Arial" w:cs="Arial"/>
          <w:b/>
          <w:bCs/>
        </w:rPr>
        <w:t xml:space="preserve">Arrêté </w:t>
      </w:r>
      <w:r w:rsidR="00936B94">
        <w:rPr>
          <w:rFonts w:ascii="Arial" w:hAnsi="Arial" w:cs="Arial"/>
          <w:b/>
          <w:bCs/>
        </w:rPr>
        <w:t>du</w:t>
      </w:r>
    </w:p>
    <w:p w:rsidR="001878FF" w:rsidRDefault="003E12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m</w:t>
      </w:r>
      <w:r w:rsidR="00B76313">
        <w:rPr>
          <w:rFonts w:ascii="Arial" w:hAnsi="Arial" w:cs="Arial"/>
          <w:b/>
          <w:bCs/>
        </w:rPr>
        <w:t>odifiant</w:t>
      </w:r>
      <w:proofErr w:type="gramEnd"/>
      <w:r w:rsidR="00B76313">
        <w:rPr>
          <w:rFonts w:ascii="Arial" w:hAnsi="Arial" w:cs="Arial"/>
          <w:b/>
          <w:bCs/>
        </w:rPr>
        <w:t xml:space="preserve"> l’arrêté </w:t>
      </w:r>
      <w:r w:rsidR="001878FF" w:rsidRPr="00D20C59">
        <w:rPr>
          <w:rFonts w:ascii="Arial" w:hAnsi="Arial" w:cs="Arial"/>
          <w:b/>
          <w:bCs/>
        </w:rPr>
        <w:t>du 28 août 2014</w:t>
      </w:r>
      <w:r w:rsidR="001878FF" w:rsidRPr="004A2D3B">
        <w:rPr>
          <w:rFonts w:ascii="Arial" w:hAnsi="Arial" w:cs="Arial"/>
          <w:b/>
          <w:bCs/>
        </w:rPr>
        <w:t xml:space="preserve"> encadrant </w:t>
      </w:r>
      <w:r w:rsidR="001878FF">
        <w:rPr>
          <w:rFonts w:ascii="Arial" w:hAnsi="Arial" w:cs="Arial"/>
          <w:b/>
          <w:bCs/>
        </w:rPr>
        <w:t>la pêche professionnelle au filet dans le secteur de la baie de Granville et certaines eaux adjacentes</w:t>
      </w:r>
    </w:p>
    <w:p w:rsidR="000C262F" w:rsidRDefault="000C262F" w:rsidP="00B763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78FF" w:rsidRDefault="000C262F" w:rsidP="000C262F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NOR : </w:t>
      </w:r>
      <w:r w:rsidRPr="000C262F">
        <w:rPr>
          <w:rFonts w:ascii="Arial" w:hAnsi="Arial" w:cs="Arial"/>
        </w:rPr>
        <w:t>DEVM1621059A</w:t>
      </w: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Publics concernés : personnes morales, personnes physiques, services déconcentrés.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Objet : réglementer la pêche professionnelle au filet dans le secteur de la baie de Granville et certaines eaux adjacentes.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Entrée en vigueur : le lendemain de sa publication.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Notice : le présent arrêté réglemente la pêche professionnelle au filet dans le secteur de la baie de Granville et certaines eaux adjacentes.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07EC">
        <w:rPr>
          <w:rFonts w:ascii="Arial" w:hAnsi="Arial" w:cs="Arial"/>
        </w:rPr>
        <w:t xml:space="preserve">Références : le présent arrêté peut être consulté sur le site </w:t>
      </w:r>
      <w:proofErr w:type="spellStart"/>
      <w:r w:rsidRPr="008207EC">
        <w:rPr>
          <w:rFonts w:ascii="Arial" w:hAnsi="Arial" w:cs="Arial"/>
        </w:rPr>
        <w:t>Légifrance</w:t>
      </w:r>
      <w:proofErr w:type="spellEnd"/>
      <w:r w:rsidRPr="008207EC">
        <w:rPr>
          <w:rFonts w:ascii="Arial" w:hAnsi="Arial" w:cs="Arial"/>
        </w:rPr>
        <w:t xml:space="preserve"> </w:t>
      </w:r>
      <w:r w:rsidR="0002649F" w:rsidRPr="008207EC">
        <w:rPr>
          <w:rFonts w:ascii="Arial" w:hAnsi="Arial" w:cs="Arial"/>
        </w:rPr>
        <w:t>(http</w:t>
      </w:r>
      <w:r w:rsidRPr="008207EC">
        <w:rPr>
          <w:rFonts w:ascii="Arial" w:hAnsi="Arial" w:cs="Arial"/>
        </w:rPr>
        <w:t>://www.legifrance.gouv.fr).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CBA">
        <w:rPr>
          <w:rFonts w:ascii="Arial" w:hAnsi="Arial" w:cs="Arial"/>
        </w:rPr>
        <w:t> 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CBA">
        <w:rPr>
          <w:rFonts w:ascii="Arial" w:hAnsi="Arial" w:cs="Arial"/>
        </w:rPr>
        <w:t>La ministre de l’</w:t>
      </w:r>
      <w:r w:rsidR="0002649F" w:rsidRPr="00312CBA">
        <w:rPr>
          <w:rFonts w:ascii="Arial" w:hAnsi="Arial" w:cs="Arial"/>
        </w:rPr>
        <w:t>e</w:t>
      </w:r>
      <w:r w:rsidR="0002649F">
        <w:rPr>
          <w:rFonts w:ascii="Arial" w:hAnsi="Arial" w:cs="Arial"/>
        </w:rPr>
        <w:t>nvironnement</w:t>
      </w:r>
      <w:r w:rsidRPr="00312C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 l’énergie</w:t>
      </w:r>
      <w:r w:rsidRPr="00312CBA">
        <w:rPr>
          <w:rFonts w:ascii="Arial" w:hAnsi="Arial" w:cs="Arial"/>
        </w:rPr>
        <w:t xml:space="preserve"> et de </w:t>
      </w:r>
      <w:r>
        <w:rPr>
          <w:rFonts w:ascii="Arial" w:hAnsi="Arial" w:cs="Arial"/>
        </w:rPr>
        <w:t>la mer</w:t>
      </w:r>
      <w:r w:rsidRPr="00312CBA">
        <w:rPr>
          <w:rFonts w:ascii="Arial" w:hAnsi="Arial" w:cs="Arial"/>
        </w:rPr>
        <w:t>,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traité instituant la Communauté économique européenne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règlement (CEE) n° 850/98 du Conseil du 30 mars 1998 visant à la conservation des ressources de pêche par le biais de mesures techniques de protection des juvéniles d’organismes marins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règlement (CE) n° 1224/2009 du Conseil du 20 novembre 2009 instituant un régime communautaire de contrôle afin d’assurer le respect des règles de la politique commune de la pêche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règlement (UE) n° 1380/2013 du Parlement européen et du Conseil du 11 décembre 2013 relatif à la politique commune de la pêche, modifiant les règlements (CE) n° 1954/2003 et (CE) n° 1224/2009 du Conseil, et abrogeant les règlements (CE) n° 2371/2002 et (CE) n° 639/2004 du Conseil et la décision 2004/585/CE du Conseil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code rural et de la pêche maritime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décret n° 2004-75 du 15 janvier 2004 portant publication de l’accord relatif à la pêche dans la baie de Granville entre la République française et le Royaume-Uni de Grande-Bretagne et d’Irlande du Nord (ensemble quatre échanges de notes), signé à Saint-Hélier le 4 juillet 2000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décret n° 2009-1484 du 3 décembre 2009 relatif aux directions départementales interministérielles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décret n° 2010-130 du 11 février 2010 relatif à l’organisation et aux missions des directions interrégionales de la mer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décret n° 2011-776 du 28 juin 2011 fixant les règles d’organisation et de fonctionnement du Comité national des pêches maritimes et des élevages marins ainsi que des comités régionaux et départemen</w:t>
      </w:r>
      <w:r w:rsidR="00D33985">
        <w:rPr>
          <w:rFonts w:ascii="Arial" w:hAnsi="Arial" w:cs="Arial"/>
        </w:rPr>
        <w:t xml:space="preserve">taux et interdépartementaux des </w:t>
      </w:r>
      <w:r>
        <w:rPr>
          <w:rFonts w:ascii="Arial" w:hAnsi="Arial" w:cs="Arial"/>
        </w:rPr>
        <w:t>pêches maritimes et des élevages marins ;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l’arrêté du 2 décembre 2005 portant création d’un permis d’accès pour l’exercice de la </w:t>
      </w:r>
      <w:r w:rsidRPr="00625E39">
        <w:rPr>
          <w:rFonts w:ascii="Arial" w:hAnsi="Arial" w:cs="Arial"/>
        </w:rPr>
        <w:t>pêche professionnelle dans le secteur de la baie de Granville ;</w:t>
      </w: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 </w:t>
      </w: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Vu les recommandations du comité consultatif conjoint de la baie de Granville en date d</w:t>
      </w:r>
      <w:r w:rsidR="00AC1A05">
        <w:rPr>
          <w:rFonts w:ascii="Arial" w:hAnsi="Arial" w:cs="Arial"/>
        </w:rPr>
        <w:t>es</w:t>
      </w:r>
      <w:r w:rsidRPr="00625E39">
        <w:rPr>
          <w:rFonts w:ascii="Arial" w:hAnsi="Arial" w:cs="Arial"/>
        </w:rPr>
        <w:t xml:space="preserve"> </w:t>
      </w:r>
      <w:r w:rsidR="00AC1A05">
        <w:rPr>
          <w:rFonts w:ascii="Arial" w:hAnsi="Arial" w:cs="Arial"/>
        </w:rPr>
        <w:t>11 et 12 février 2016</w:t>
      </w:r>
      <w:r w:rsidR="00566A09">
        <w:rPr>
          <w:rFonts w:ascii="Arial" w:hAnsi="Arial" w:cs="Arial"/>
        </w:rPr>
        <w:t> ;</w:t>
      </w: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 </w:t>
      </w:r>
    </w:p>
    <w:p w:rsidR="001878FF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 xml:space="preserve">Vu la décision de la commission administrative mixte de la baie de Granville en date du </w:t>
      </w:r>
      <w:r w:rsidR="00CD0DEA" w:rsidRPr="00625E39">
        <w:rPr>
          <w:rFonts w:ascii="Arial" w:hAnsi="Arial" w:cs="Arial"/>
        </w:rPr>
        <w:t>6 juillet 2016</w:t>
      </w:r>
      <w:r w:rsidRPr="00625E39">
        <w:rPr>
          <w:rFonts w:ascii="Arial" w:hAnsi="Arial" w:cs="Arial"/>
        </w:rPr>
        <w:t xml:space="preserve"> ;</w:t>
      </w:r>
    </w:p>
    <w:p w:rsidR="00AC1A05" w:rsidRDefault="00AC1A05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A05" w:rsidRPr="00312CBA" w:rsidRDefault="00AC1A05" w:rsidP="00AC1A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CBA">
        <w:rPr>
          <w:rFonts w:ascii="Arial" w:hAnsi="Arial" w:cs="Arial"/>
        </w:rPr>
        <w:t xml:space="preserve">Vu l’avis du Comité national des pêches maritimes et </w:t>
      </w:r>
      <w:r>
        <w:rPr>
          <w:rFonts w:ascii="Arial" w:hAnsi="Arial" w:cs="Arial"/>
        </w:rPr>
        <w:t>des élevages marins en date du 21 juillet 2016</w:t>
      </w:r>
      <w:r w:rsidRPr="00312CBA">
        <w:rPr>
          <w:rFonts w:ascii="Arial" w:hAnsi="Arial" w:cs="Arial"/>
        </w:rPr>
        <w:t>,</w:t>
      </w:r>
    </w:p>
    <w:p w:rsidR="00AC1A05" w:rsidRPr="00625E39" w:rsidRDefault="00AC1A05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 </w:t>
      </w:r>
    </w:p>
    <w:p w:rsidR="001878FF" w:rsidRPr="00625E39" w:rsidRDefault="001878FF" w:rsidP="00B774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 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Arrête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CBA">
        <w:rPr>
          <w:rFonts w:ascii="Arial" w:hAnsi="Arial" w:cs="Arial"/>
        </w:rPr>
        <w:t> </w:t>
      </w:r>
    </w:p>
    <w:p w:rsidR="00B76313" w:rsidRPr="008207EC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CBA">
        <w:rPr>
          <w:rFonts w:ascii="Arial" w:hAnsi="Arial" w:cs="Arial"/>
        </w:rPr>
        <w:t> </w:t>
      </w:r>
      <w:r w:rsidRPr="008207EC">
        <w:rPr>
          <w:rFonts w:ascii="Arial" w:hAnsi="Arial" w:cs="Arial"/>
        </w:rPr>
        <w:t>L’article 1 est modifié comme suit :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13" w:rsidRPr="00312CBA" w:rsidRDefault="003E12AD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 </w:t>
      </w:r>
      <w:r w:rsidR="00B76313" w:rsidRPr="00312CBA">
        <w:rPr>
          <w:rFonts w:ascii="Arial" w:hAnsi="Arial" w:cs="Arial"/>
          <w:b/>
          <w:bCs/>
        </w:rPr>
        <w:t>Article 1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6313" w:rsidRDefault="00B76313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2CBA">
        <w:rPr>
          <w:rFonts w:ascii="Arial" w:hAnsi="Arial" w:cs="Arial"/>
          <w:b/>
        </w:rPr>
        <w:t>Champ d’application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 xml:space="preserve">La pose et l’usage de tout type de filet de pêche maillant ou emmêlant (code engin GN, GNC, GND, GNS, GTN et GTR) sont interdits du 1er septembre 0 heure au </w:t>
      </w:r>
      <w:r w:rsidRPr="00B77462">
        <w:rPr>
          <w:rFonts w:ascii="Arial" w:hAnsi="Arial" w:cs="Arial"/>
        </w:rPr>
        <w:t>24 octobre</w:t>
      </w:r>
      <w:r w:rsidRPr="005139B3">
        <w:rPr>
          <w:rFonts w:ascii="Arial" w:hAnsi="Arial" w:cs="Arial"/>
        </w:rPr>
        <w:t xml:space="preserve"> 0 heure dans la partie du secteur de la baie de Granville défini à l’article 1er de l’accord</w:t>
      </w:r>
      <w:r w:rsidRPr="00625E39">
        <w:rPr>
          <w:rFonts w:ascii="Arial" w:hAnsi="Arial" w:cs="Arial"/>
        </w:rPr>
        <w:t xml:space="preserve"> du 4 juillet 2000 susvisé (ci-après dénommé “l’accord”) et dans les eaux sous juridiction française, définies comme suit dans le référentiel géodésique WGS 1984 :  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La ligne délimitant cette zone commence à :  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85">
        <w:rPr>
          <w:rFonts w:ascii="Arial" w:hAnsi="Arial" w:cs="Arial"/>
        </w:rPr>
        <w:t>Au sud</w:t>
      </w:r>
      <w:r w:rsidRPr="00625E39">
        <w:rPr>
          <w:rFonts w:ascii="Arial" w:hAnsi="Arial" w:cs="Arial"/>
        </w:rPr>
        <w:t> : Un point situé à l’endroit où le méridien de longitude 02°20</w:t>
      </w:r>
      <w:r>
        <w:rPr>
          <w:rFonts w:ascii="Arial" w:hAnsi="Arial" w:cs="Arial"/>
        </w:rPr>
        <w:t>’</w:t>
      </w:r>
      <w:r w:rsidRPr="00625E39">
        <w:rPr>
          <w:rFonts w:ascii="Arial" w:hAnsi="Arial" w:cs="Arial"/>
        </w:rPr>
        <w:t xml:space="preserve">W coupe la ligne joignant la pointe du cap Fréhel à la pointe du </w:t>
      </w:r>
      <w:proofErr w:type="spellStart"/>
      <w:r w:rsidRPr="00625E39">
        <w:rPr>
          <w:rFonts w:ascii="Arial" w:hAnsi="Arial" w:cs="Arial"/>
        </w:rPr>
        <w:t>Grouin</w:t>
      </w:r>
      <w:proofErr w:type="spellEnd"/>
      <w:r w:rsidRPr="00625E39">
        <w:rPr>
          <w:rFonts w:ascii="Arial" w:hAnsi="Arial" w:cs="Arial"/>
        </w:rPr>
        <w:t>.  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625E39">
        <w:rPr>
          <w:rFonts w:ascii="Arial" w:hAnsi="Arial" w:cs="Arial"/>
        </w:rPr>
        <w:t>en suivant la dite ligne, en direction de l’est, un point situé à l’intersection du méridien de longitude 01°55</w:t>
      </w:r>
      <w:r>
        <w:rPr>
          <w:rFonts w:ascii="Arial" w:hAnsi="Arial" w:cs="Arial"/>
        </w:rPr>
        <w:t>’</w:t>
      </w:r>
      <w:r w:rsidRPr="00625E39">
        <w:rPr>
          <w:rFonts w:ascii="Arial" w:hAnsi="Arial" w:cs="Arial"/>
        </w:rPr>
        <w:t>W.  </w:t>
      </w:r>
    </w:p>
    <w:p w:rsidR="00D33985" w:rsidRP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85">
        <w:rPr>
          <w:rFonts w:ascii="Arial" w:hAnsi="Arial" w:cs="Arial"/>
        </w:rPr>
        <w:t>Limite Est</w:t>
      </w:r>
      <w:r w:rsidRPr="00625E39">
        <w:rPr>
          <w:rFonts w:ascii="Arial" w:hAnsi="Arial" w:cs="Arial"/>
        </w:rPr>
        <w:t> : A partir de ce point, la ligne suit, en direction du nord, le méridien 1°55</w:t>
      </w:r>
      <w:r>
        <w:rPr>
          <w:rFonts w:ascii="Arial" w:hAnsi="Arial" w:cs="Arial"/>
        </w:rPr>
        <w:t>’</w:t>
      </w:r>
      <w:r w:rsidRPr="00625E39">
        <w:rPr>
          <w:rFonts w:ascii="Arial" w:hAnsi="Arial" w:cs="Arial"/>
        </w:rPr>
        <w:t>W  jusqu‘au parallèle 48°56,30</w:t>
      </w:r>
      <w:r>
        <w:rPr>
          <w:rFonts w:ascii="Arial" w:hAnsi="Arial" w:cs="Arial"/>
        </w:rPr>
        <w:t>0</w:t>
      </w:r>
      <w:r w:rsidRPr="00625E39">
        <w:rPr>
          <w:rFonts w:ascii="Arial" w:hAnsi="Arial" w:cs="Arial"/>
        </w:rPr>
        <w:t>’N.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>A partir de ce point, la ligne suit la limite extérieure du champ d’application des Accords de la Baie de Granville répertoriée par les points numéros 7 à 15 dudit accord.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85">
        <w:rPr>
          <w:rFonts w:ascii="Arial" w:hAnsi="Arial" w:cs="Arial"/>
        </w:rPr>
        <w:t>Limite Nord</w:t>
      </w:r>
      <w:r w:rsidRPr="00625E39">
        <w:rPr>
          <w:rFonts w:ascii="Arial" w:hAnsi="Arial" w:cs="Arial"/>
        </w:rPr>
        <w:t xml:space="preserve"> : A partir du point 15, la ligne suit le parallèle vers l’ouest jusqu’au point G14. </w:t>
      </w: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85" w:rsidRPr="00625E39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85">
        <w:rPr>
          <w:rFonts w:ascii="Arial" w:hAnsi="Arial" w:cs="Arial"/>
        </w:rPr>
        <w:t>Limite Ouest</w:t>
      </w:r>
      <w:r w:rsidRPr="00625E39">
        <w:rPr>
          <w:rFonts w:ascii="Arial" w:hAnsi="Arial" w:cs="Arial"/>
        </w:rPr>
        <w:t> : A partir du point G14, la limite suit la limite des eaux territoriales entre le Royaume-Uni et la France jusqu’au méridien 02°00,08</w:t>
      </w:r>
      <w:r>
        <w:rPr>
          <w:rFonts w:ascii="Arial" w:hAnsi="Arial" w:cs="Arial"/>
        </w:rPr>
        <w:t>3’</w:t>
      </w:r>
      <w:r w:rsidRPr="00625E39">
        <w:rPr>
          <w:rFonts w:ascii="Arial" w:hAnsi="Arial" w:cs="Arial"/>
        </w:rPr>
        <w:t>W (point 2 dudit accord), puis suit ce méridien vers le sud jusqu’à la ligne située à 3 milles marins de distance de la ligne de base à partir de laquelle les eaux territoriales de Jersey sont mesurées (point 1 dudit accord), qu’elle suit jusqu’à la position 49°05,27</w:t>
      </w:r>
      <w:r>
        <w:rPr>
          <w:rFonts w:ascii="Arial" w:hAnsi="Arial" w:cs="Arial"/>
        </w:rPr>
        <w:t>3’</w:t>
      </w:r>
      <w:r w:rsidRPr="00625E3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et </w:t>
      </w:r>
      <w:r w:rsidRPr="00625E39">
        <w:rPr>
          <w:rFonts w:ascii="Arial" w:hAnsi="Arial" w:cs="Arial"/>
        </w:rPr>
        <w:t>02°02,08</w:t>
      </w:r>
      <w:r>
        <w:rPr>
          <w:rFonts w:ascii="Arial" w:hAnsi="Arial" w:cs="Arial"/>
        </w:rPr>
        <w:t>3’</w:t>
      </w:r>
      <w:r w:rsidRPr="00625E39">
        <w:rPr>
          <w:rFonts w:ascii="Arial" w:hAnsi="Arial" w:cs="Arial"/>
        </w:rPr>
        <w:t>W (point 51 dudit accord), puis elle suit le méridien de longitude 02°02,08</w:t>
      </w:r>
      <w:r>
        <w:rPr>
          <w:rFonts w:ascii="Arial" w:hAnsi="Arial" w:cs="Arial"/>
        </w:rPr>
        <w:t>3’</w:t>
      </w:r>
      <w:r w:rsidRPr="00625E39">
        <w:rPr>
          <w:rFonts w:ascii="Arial" w:hAnsi="Arial" w:cs="Arial"/>
        </w:rPr>
        <w:t>W vers le sud, jusqu’à ce qu’elle atteigne la position 49°04,47</w:t>
      </w:r>
      <w:r>
        <w:rPr>
          <w:rFonts w:ascii="Arial" w:hAnsi="Arial" w:cs="Arial"/>
        </w:rPr>
        <w:t>2’</w:t>
      </w:r>
      <w:r w:rsidRPr="00625E39">
        <w:rPr>
          <w:rFonts w:ascii="Arial" w:hAnsi="Arial" w:cs="Arial"/>
        </w:rPr>
        <w:t>N et 02°02,08</w:t>
      </w:r>
      <w:r>
        <w:rPr>
          <w:rFonts w:ascii="Arial" w:hAnsi="Arial" w:cs="Arial"/>
        </w:rPr>
        <w:t>3’</w:t>
      </w:r>
      <w:r w:rsidRPr="00625E39">
        <w:rPr>
          <w:rFonts w:ascii="Arial" w:hAnsi="Arial" w:cs="Arial"/>
        </w:rPr>
        <w:t>W (point 42 dudit accord).  </w:t>
      </w:r>
    </w:p>
    <w:p w:rsid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5E39">
        <w:rPr>
          <w:rFonts w:ascii="Arial" w:hAnsi="Arial" w:cs="Arial"/>
        </w:rPr>
        <w:t xml:space="preserve">A partir de ce point, la ligne suit, dans </w:t>
      </w:r>
      <w:r>
        <w:rPr>
          <w:rFonts w:ascii="Arial" w:hAnsi="Arial" w:cs="Arial"/>
        </w:rPr>
        <w:t xml:space="preserve">une direction nord-ouest, la ligne située à 3 milles marins de distance de la ligne de base à partir de laquelle les eaux territoriales de Jersey sont mesurées, jusqu’à ce que cette ligne atteigne la position 49°12,442’N et 02°19,654’W (point 40 </w:t>
      </w:r>
      <w:r w:rsidRPr="00FC1954">
        <w:rPr>
          <w:rFonts w:ascii="Arial" w:hAnsi="Arial" w:cs="Arial"/>
        </w:rPr>
        <w:t>dudit accor</w:t>
      </w:r>
      <w:r>
        <w:rPr>
          <w:rFonts w:ascii="Arial" w:hAnsi="Arial" w:cs="Arial"/>
        </w:rPr>
        <w:t>d).  </w:t>
      </w:r>
    </w:p>
    <w:p w:rsid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 ce point, la ligne suit en direction de l’ouest jusqu’à l’intersection de la ligne située à 6 milles marins de distance de la ligne de base à partir de laquelle les eaux territoriales de Jersey sont mesurées, à la position 49°12,442’N et 02°24,684’W (point 39 </w:t>
      </w:r>
      <w:r w:rsidRPr="00FC1954">
        <w:rPr>
          <w:rFonts w:ascii="Arial" w:hAnsi="Arial" w:cs="Arial"/>
        </w:rPr>
        <w:t>dudit accor</w:t>
      </w:r>
      <w:r>
        <w:rPr>
          <w:rFonts w:ascii="Arial" w:hAnsi="Arial" w:cs="Arial"/>
        </w:rPr>
        <w:t>d).</w:t>
      </w:r>
    </w:p>
    <w:p w:rsid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ce point, la ligne suit ladite ligne en direction du sud jusqu’à l’intersection du méridien de longitude 02°20’W.  </w:t>
      </w:r>
    </w:p>
    <w:p w:rsidR="003E12AD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 ce point, la ligne suit, en direction </w:t>
      </w:r>
      <w:bookmarkStart w:id="0" w:name="_GoBack"/>
      <w:bookmarkEnd w:id="0"/>
      <w:r>
        <w:rPr>
          <w:rFonts w:ascii="Arial" w:hAnsi="Arial" w:cs="Arial"/>
        </w:rPr>
        <w:t>du sud, le méridien de longitude 02°20’W jusqu’au point de départ.</w:t>
      </w:r>
      <w:r w:rsidR="003E12AD">
        <w:rPr>
          <w:rFonts w:ascii="Arial" w:hAnsi="Arial" w:cs="Arial"/>
        </w:rPr>
        <w:t> »</w:t>
      </w:r>
    </w:p>
    <w:p w:rsid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33985" w:rsidRDefault="00D33985" w:rsidP="00D33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878FF" w:rsidRPr="00625E39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5E39">
        <w:rPr>
          <w:rFonts w:ascii="Arial" w:hAnsi="Arial" w:cs="Arial"/>
        </w:rPr>
        <w:t> </w:t>
      </w: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25E39">
        <w:rPr>
          <w:rFonts w:ascii="Arial" w:hAnsi="Arial" w:cs="Arial"/>
        </w:rPr>
        <w:t>Fait le</w:t>
      </w:r>
      <w:proofErr w:type="gramEnd"/>
      <w:r w:rsidRPr="00625E39">
        <w:rPr>
          <w:rFonts w:ascii="Arial" w:hAnsi="Arial" w:cs="Arial"/>
        </w:rPr>
        <w:t xml:space="preserve"> </w:t>
      </w:r>
    </w:p>
    <w:p w:rsidR="003E12AD" w:rsidRDefault="003E12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12AD" w:rsidRPr="00625E39" w:rsidRDefault="003E12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78FF" w:rsidRDefault="001878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76313" w:rsidRPr="00312CBA" w:rsidRDefault="00B76313" w:rsidP="00B76313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</w:rPr>
      </w:pPr>
      <w:r w:rsidRPr="00312CBA">
        <w:rPr>
          <w:rFonts w:ascii="Arial" w:hAnsi="Arial" w:cs="Arial"/>
        </w:rPr>
        <w:t>Pour la ministre et par délégation : </w:t>
      </w:r>
    </w:p>
    <w:p w:rsidR="00B76313" w:rsidRPr="00312CBA" w:rsidRDefault="00B76313" w:rsidP="000C262F">
      <w:pPr>
        <w:widowControl w:val="0"/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Le directeur</w:t>
      </w:r>
      <w:r w:rsidRPr="00312CBA">
        <w:rPr>
          <w:rFonts w:ascii="Arial" w:hAnsi="Arial" w:cs="Arial"/>
        </w:rPr>
        <w:t xml:space="preserve"> des pêches maritimes et de l’aquaculture, </w:t>
      </w:r>
    </w:p>
    <w:p w:rsidR="00B76313" w:rsidRPr="000C262F" w:rsidRDefault="00B76313" w:rsidP="00B763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262F">
        <w:rPr>
          <w:rFonts w:ascii="Arial" w:hAnsi="Arial" w:cs="Arial"/>
        </w:rPr>
        <w:t xml:space="preserve">F. </w:t>
      </w:r>
      <w:proofErr w:type="spellStart"/>
      <w:r w:rsidRPr="000C262F">
        <w:rPr>
          <w:rFonts w:ascii="Arial" w:hAnsi="Arial" w:cs="Arial"/>
        </w:rPr>
        <w:t>Gueudar</w:t>
      </w:r>
      <w:proofErr w:type="spellEnd"/>
      <w:r w:rsidRPr="000C262F">
        <w:rPr>
          <w:rFonts w:ascii="Arial" w:hAnsi="Arial" w:cs="Arial"/>
        </w:rPr>
        <w:t xml:space="preserve"> Delahaye</w:t>
      </w:r>
    </w:p>
    <w:p w:rsidR="00AC1A05" w:rsidRDefault="001878FF" w:rsidP="00625E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C1A05" w:rsidRDefault="00AC1A0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5E6C" w:rsidRDefault="00EF5E6C" w:rsidP="00625E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EF5E6C" w:rsidSect="00A62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18" w:rsidRDefault="00AA6E18" w:rsidP="00AA6E18">
      <w:r>
        <w:separator/>
      </w:r>
    </w:p>
  </w:endnote>
  <w:endnote w:type="continuationSeparator" w:id="1">
    <w:p w:rsidR="00AA6E18" w:rsidRDefault="00AA6E18" w:rsidP="00AA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18" w:rsidRDefault="00AA6E18" w:rsidP="00AA6E18">
      <w:r>
        <w:separator/>
      </w:r>
    </w:p>
  </w:footnote>
  <w:footnote w:type="continuationSeparator" w:id="1">
    <w:p w:rsidR="00AA6E18" w:rsidRDefault="00AA6E18" w:rsidP="00AA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18" w:rsidRDefault="00AA6E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7EC6"/>
    <w:multiLevelType w:val="singleLevel"/>
    <w:tmpl w:val="1373A182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878FF"/>
    <w:rsid w:val="0002649F"/>
    <w:rsid w:val="0007598F"/>
    <w:rsid w:val="000C262F"/>
    <w:rsid w:val="000D2F95"/>
    <w:rsid w:val="00177EB5"/>
    <w:rsid w:val="00185427"/>
    <w:rsid w:val="001878FF"/>
    <w:rsid w:val="001A6B0B"/>
    <w:rsid w:val="00253E94"/>
    <w:rsid w:val="002931DC"/>
    <w:rsid w:val="00312287"/>
    <w:rsid w:val="0036294E"/>
    <w:rsid w:val="003B7D2D"/>
    <w:rsid w:val="003C2EB4"/>
    <w:rsid w:val="003D3C93"/>
    <w:rsid w:val="003E12AD"/>
    <w:rsid w:val="003E1A63"/>
    <w:rsid w:val="00423738"/>
    <w:rsid w:val="00427B69"/>
    <w:rsid w:val="00431743"/>
    <w:rsid w:val="00464BAC"/>
    <w:rsid w:val="004A2D3B"/>
    <w:rsid w:val="004D7740"/>
    <w:rsid w:val="005139B3"/>
    <w:rsid w:val="00524ED7"/>
    <w:rsid w:val="00541853"/>
    <w:rsid w:val="0055220C"/>
    <w:rsid w:val="00566A09"/>
    <w:rsid w:val="005B5A74"/>
    <w:rsid w:val="005C7D81"/>
    <w:rsid w:val="005D1612"/>
    <w:rsid w:val="006037AC"/>
    <w:rsid w:val="006160FA"/>
    <w:rsid w:val="00625E39"/>
    <w:rsid w:val="006E3299"/>
    <w:rsid w:val="00702713"/>
    <w:rsid w:val="008611D5"/>
    <w:rsid w:val="0090225E"/>
    <w:rsid w:val="00936B94"/>
    <w:rsid w:val="00A32BFE"/>
    <w:rsid w:val="00A6260E"/>
    <w:rsid w:val="00A651EF"/>
    <w:rsid w:val="00A94167"/>
    <w:rsid w:val="00AA6E18"/>
    <w:rsid w:val="00AC05EE"/>
    <w:rsid w:val="00AC1A05"/>
    <w:rsid w:val="00B35DDF"/>
    <w:rsid w:val="00B43617"/>
    <w:rsid w:val="00B71D94"/>
    <w:rsid w:val="00B729CA"/>
    <w:rsid w:val="00B76313"/>
    <w:rsid w:val="00B77462"/>
    <w:rsid w:val="00B96E33"/>
    <w:rsid w:val="00BF0AA6"/>
    <w:rsid w:val="00C50D83"/>
    <w:rsid w:val="00CD0DEA"/>
    <w:rsid w:val="00CD4A2D"/>
    <w:rsid w:val="00D20C59"/>
    <w:rsid w:val="00D33985"/>
    <w:rsid w:val="00D91A4E"/>
    <w:rsid w:val="00DB2DDA"/>
    <w:rsid w:val="00E02190"/>
    <w:rsid w:val="00E331FF"/>
    <w:rsid w:val="00E42F42"/>
    <w:rsid w:val="00E87269"/>
    <w:rsid w:val="00EA63A5"/>
    <w:rsid w:val="00EF5E6C"/>
    <w:rsid w:val="00EF72C0"/>
    <w:rsid w:val="00FC1954"/>
    <w:rsid w:val="00FF2CF5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0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42F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2F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2F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F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F4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2F42"/>
    <w:pPr>
      <w:spacing w:after="0" w:line="240" w:lineRule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F42"/>
    <w:rPr>
      <w:rFonts w:ascii="Tahoma" w:hAnsi="Tahoma" w:cs="Tahoma"/>
      <w:sz w:val="16"/>
      <w:szCs w:val="16"/>
    </w:rPr>
  </w:style>
  <w:style w:type="paragraph" w:customStyle="1" w:styleId="SNREPUBLIQUE">
    <w:name w:val="SNREPUBLIQUE"/>
    <w:basedOn w:val="Normal"/>
    <w:rsid w:val="00B76313"/>
    <w:pPr>
      <w:suppressAutoHyphens/>
      <w:jc w:val="center"/>
    </w:pPr>
    <w:rPr>
      <w:b/>
      <w:bCs/>
      <w:szCs w:val="20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AA6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6E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A6E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E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42F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2F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2F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F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F4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2F42"/>
    <w:pPr>
      <w:spacing w:after="0" w:line="240" w:lineRule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30 mai 2016</vt:lpstr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30 mai 2016</dc:title>
  <dc:creator>comite</dc:creator>
  <cp:lastModifiedBy>MEDDE</cp:lastModifiedBy>
  <cp:revision>2</cp:revision>
  <cp:lastPrinted>2016-07-13T14:48:00Z</cp:lastPrinted>
  <dcterms:created xsi:type="dcterms:W3CDTF">2016-07-25T13:41:00Z</dcterms:created>
  <dcterms:modified xsi:type="dcterms:W3CDTF">2016-07-25T13:41:00Z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Mon May 30 10:22:27 CEST 2016</vt:lpwstr>
  </property>
  <property fmtid="{D5CDD505-2E9C-101B-9397-08002B2CF9AE}" pid="3" name="jforVersion">
    <vt:lpwstr>jfor V0.7.2rc1 - see http://www.jfor.org</vt:lpwstr>
  </property>
</Properties>
</file>