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A6D2" w14:textId="77777777" w:rsidR="000B7817" w:rsidRDefault="000B7817" w:rsidP="00354560">
      <w:pPr>
        <w:pStyle w:val="Corpsdetexte"/>
      </w:pPr>
    </w:p>
    <w:p w14:paraId="5B56D0C1" w14:textId="3ED3F987" w:rsidR="000B7817" w:rsidRPr="000B7817" w:rsidRDefault="000B7817" w:rsidP="000B7817">
      <w:pPr>
        <w:pStyle w:val="Corpsdetexte"/>
        <w:jc w:val="center"/>
        <w:rPr>
          <w:b/>
          <w:u w:val="single"/>
        </w:rPr>
      </w:pPr>
      <w:r w:rsidRPr="000B7817">
        <w:rPr>
          <w:b/>
          <w:u w:val="single"/>
        </w:rPr>
        <w:t xml:space="preserve">Note de présentation du </w:t>
      </w:r>
      <w:r w:rsidR="00A71A8C">
        <w:rPr>
          <w:b/>
          <w:u w:val="single"/>
        </w:rPr>
        <w:t xml:space="preserve">projet de </w:t>
      </w:r>
      <w:r w:rsidRPr="000B7817">
        <w:rPr>
          <w:b/>
          <w:u w:val="single"/>
        </w:rPr>
        <w:t xml:space="preserve">décret portant </w:t>
      </w:r>
      <w:r w:rsidR="00215E90">
        <w:rPr>
          <w:b/>
          <w:u w:val="single"/>
        </w:rPr>
        <w:t>diverses dispositions</w:t>
      </w:r>
      <w:r w:rsidR="004F4FC8">
        <w:rPr>
          <w:b/>
          <w:u w:val="single"/>
        </w:rPr>
        <w:t xml:space="preserve"> relatives à l’évaluation environnementale des projets</w:t>
      </w:r>
    </w:p>
    <w:p w14:paraId="2C936FBB" w14:textId="77777777" w:rsidR="000B7817" w:rsidRDefault="000B7817" w:rsidP="00354560">
      <w:pPr>
        <w:pStyle w:val="Corpsdetexte"/>
      </w:pPr>
    </w:p>
    <w:p w14:paraId="01B103AA" w14:textId="6909BDC5" w:rsidR="00FE0829" w:rsidRDefault="00354560" w:rsidP="00FE0829">
      <w:pPr>
        <w:pStyle w:val="Corpsdetexte"/>
        <w:spacing w:after="0"/>
      </w:pPr>
      <w:r>
        <w:t>L</w:t>
      </w:r>
      <w:r w:rsidR="004F4FC8">
        <w:t>’article R.</w:t>
      </w:r>
      <w:r w:rsidR="00FE0829">
        <w:t xml:space="preserve"> </w:t>
      </w:r>
      <w:r w:rsidR="004F4FC8">
        <w:t xml:space="preserve">122-2 du code de l’environnement </w:t>
      </w:r>
      <w:r w:rsidR="00037B7E">
        <w:t>transpose</w:t>
      </w:r>
      <w:r w:rsidR="00BC68DE">
        <w:t xml:space="preserve"> le champ d’application de</w:t>
      </w:r>
      <w:r w:rsidR="00037B7E">
        <w:t xml:space="preserve"> la directive 2011/92/UE </w:t>
      </w:r>
      <w:r w:rsidR="00BC68DE">
        <w:t>concernant l’évaluation des incidences de certains projets publics ou privés sur l’environnement, champ d’application défini dans deux annexes de la directive</w:t>
      </w:r>
      <w:r w:rsidR="00FE0829">
        <w:t xml:space="preserve">. Les projets énumérés à l’annexe I de la directive sont soumis à évaluation environnementale systématique sans </w:t>
      </w:r>
      <w:r w:rsidR="00BC68DE">
        <w:t>possibilité d’adaptation</w:t>
      </w:r>
      <w:r w:rsidR="00FE0829">
        <w:t xml:space="preserve"> </w:t>
      </w:r>
      <w:r w:rsidR="009E32D7">
        <w:t>tandis que</w:t>
      </w:r>
      <w:r w:rsidR="00FE0829">
        <w:t xml:space="preserve"> ceux énumérés à l’annexe II de la directive peuvent être soumis à évaluation environnementale :</w:t>
      </w:r>
    </w:p>
    <w:p w14:paraId="5417C991" w14:textId="0C24A289" w:rsidR="00FE0829" w:rsidRDefault="00FE0829" w:rsidP="00FE0829">
      <w:pPr>
        <w:pStyle w:val="Corpsdetexte"/>
        <w:numPr>
          <w:ilvl w:val="0"/>
          <w:numId w:val="23"/>
        </w:numPr>
        <w:spacing w:after="0"/>
      </w:pPr>
      <w:proofErr w:type="gramStart"/>
      <w:r>
        <w:t>sur</w:t>
      </w:r>
      <w:proofErr w:type="gramEnd"/>
      <w:r>
        <w:t xml:space="preserve"> la base d’un examen au cas par cas ;</w:t>
      </w:r>
    </w:p>
    <w:p w14:paraId="14BF5BC1" w14:textId="77777777" w:rsidR="00FE0829" w:rsidRDefault="00FE0829" w:rsidP="00FE0829">
      <w:pPr>
        <w:pStyle w:val="Corpsdetexte"/>
        <w:numPr>
          <w:ilvl w:val="0"/>
          <w:numId w:val="23"/>
        </w:numPr>
        <w:spacing w:after="0"/>
      </w:pPr>
      <w:proofErr w:type="gramStart"/>
      <w:r>
        <w:t>sur</w:t>
      </w:r>
      <w:proofErr w:type="gramEnd"/>
      <w:r>
        <w:t xml:space="preserve"> la base de seuils ou critères fixés par l’Etat membre ;</w:t>
      </w:r>
    </w:p>
    <w:p w14:paraId="42808AF5" w14:textId="35C221E2" w:rsidR="00FE0829" w:rsidRDefault="00BC68DE" w:rsidP="00FE0829">
      <w:pPr>
        <w:pStyle w:val="Corpsdetexte"/>
        <w:numPr>
          <w:ilvl w:val="0"/>
          <w:numId w:val="23"/>
        </w:numPr>
        <w:spacing w:after="0"/>
      </w:pPr>
      <w:proofErr w:type="gramStart"/>
      <w:r>
        <w:t>sur</w:t>
      </w:r>
      <w:proofErr w:type="gramEnd"/>
      <w:r>
        <w:t xml:space="preserve"> la base d’une conjugaison des deux approches (seuils et critères et examen au cas par cas)</w:t>
      </w:r>
      <w:r w:rsidR="00FE0829">
        <w:t>.</w:t>
      </w:r>
    </w:p>
    <w:p w14:paraId="1095EFC3" w14:textId="77777777" w:rsidR="00BC68DE" w:rsidRDefault="00BC68DE" w:rsidP="009E32D7">
      <w:pPr>
        <w:pStyle w:val="Corpsdetexte"/>
      </w:pPr>
    </w:p>
    <w:p w14:paraId="41627AF7" w14:textId="739AA37B" w:rsidR="009E32D7" w:rsidRPr="009E32D7" w:rsidRDefault="00FE0829" w:rsidP="009E32D7">
      <w:pPr>
        <w:pStyle w:val="Corpsdetexte"/>
      </w:pPr>
      <w:r>
        <w:t>L</w:t>
      </w:r>
      <w:r w:rsidR="00037B7E">
        <w:t xml:space="preserve">e tableau annexé à cet </w:t>
      </w:r>
      <w:r>
        <w:t>l’article R. 122-2</w:t>
      </w:r>
      <w:r w:rsidR="00037B7E">
        <w:t xml:space="preserve"> énumère les rubriques </w:t>
      </w:r>
      <w:r w:rsidR="00DB163B">
        <w:t>des catégories de projets soumis à une évaluation environnementale systématique ou à un examen au cas par cas</w:t>
      </w:r>
      <w:r w:rsidR="00037B7E">
        <w:t>.</w:t>
      </w:r>
    </w:p>
    <w:p w14:paraId="40414042" w14:textId="1ABE59BD" w:rsidR="002F3D01" w:rsidRDefault="002F3D01" w:rsidP="0098510C">
      <w:pPr>
        <w:pStyle w:val="Corpsdetexte"/>
        <w:spacing w:after="0"/>
      </w:pPr>
      <w:r>
        <w:t>L’annexe I de la directive 2011/92/UE, énumérant les projets soumis à évaluation environnementale systématique, sans modalités de transposition</w:t>
      </w:r>
      <w:r w:rsidR="009E32D7">
        <w:t>,</w:t>
      </w:r>
      <w:r w:rsidR="00FE0829">
        <w:t xml:space="preserve"> mentionne</w:t>
      </w:r>
      <w:r>
        <w:t xml:space="preserve"> les installations destinées à l’élevage intensif de volailles ou de porcs disposant de plus : </w:t>
      </w:r>
    </w:p>
    <w:p w14:paraId="1016BF61" w14:textId="270C82D7" w:rsidR="002F3D01" w:rsidRDefault="002F3D01" w:rsidP="0098510C">
      <w:pPr>
        <w:pStyle w:val="Corpsdetexte"/>
        <w:numPr>
          <w:ilvl w:val="1"/>
          <w:numId w:val="23"/>
        </w:numPr>
        <w:spacing w:after="0"/>
      </w:pPr>
      <w:proofErr w:type="gramStart"/>
      <w:r>
        <w:t>de</w:t>
      </w:r>
      <w:proofErr w:type="gramEnd"/>
      <w:r>
        <w:t xml:space="preserve"> 85 000 emplacements pour les poulets et 60 000 pour les poules ;</w:t>
      </w:r>
    </w:p>
    <w:p w14:paraId="2AABC87C" w14:textId="7A6FF50A" w:rsidR="002F3D01" w:rsidRDefault="002F3D01" w:rsidP="0098510C">
      <w:pPr>
        <w:pStyle w:val="Corpsdetexte"/>
        <w:numPr>
          <w:ilvl w:val="1"/>
          <w:numId w:val="23"/>
        </w:numPr>
        <w:spacing w:after="0"/>
      </w:pPr>
      <w:proofErr w:type="gramStart"/>
      <w:r>
        <w:t>de</w:t>
      </w:r>
      <w:proofErr w:type="gramEnd"/>
      <w:r>
        <w:t xml:space="preserve"> 3 000 emplacements pour porcs de production (de plus de 30 kilogrammes) ;</w:t>
      </w:r>
    </w:p>
    <w:p w14:paraId="7A8F9D9E" w14:textId="3E476CE7" w:rsidR="002F3D01" w:rsidRDefault="002F3D01" w:rsidP="0098510C">
      <w:pPr>
        <w:pStyle w:val="Corpsdetexte"/>
        <w:numPr>
          <w:ilvl w:val="1"/>
          <w:numId w:val="23"/>
        </w:numPr>
        <w:spacing w:after="0"/>
      </w:pPr>
      <w:proofErr w:type="gramStart"/>
      <w:r>
        <w:t>de</w:t>
      </w:r>
      <w:proofErr w:type="gramEnd"/>
      <w:r>
        <w:t xml:space="preserve"> 900 emplacements pour truies.</w:t>
      </w:r>
    </w:p>
    <w:p w14:paraId="5529B7F4" w14:textId="77777777" w:rsidR="00BC68DE" w:rsidRDefault="00BC68DE" w:rsidP="00BC68DE">
      <w:pPr>
        <w:pStyle w:val="Corpsdetexte"/>
        <w:spacing w:after="0"/>
        <w:ind w:left="1080"/>
      </w:pPr>
    </w:p>
    <w:p w14:paraId="0EDBC0C2" w14:textId="344C9628" w:rsidR="00046B21" w:rsidRDefault="00046B21" w:rsidP="0098510C">
      <w:pPr>
        <w:pStyle w:val="Corpsdetexte"/>
      </w:pPr>
      <w:r>
        <w:t>L</w:t>
      </w:r>
      <w:r w:rsidR="0098510C">
        <w:t xml:space="preserve">es installations destinées à l’élevage intensif de volailles ou de porcs </w:t>
      </w:r>
      <w:r>
        <w:t>faisant l’objet d’une autorisation environnementale au titre d’article L.</w:t>
      </w:r>
      <w:r w:rsidR="00FF00DC">
        <w:t xml:space="preserve"> </w:t>
      </w:r>
      <w:r>
        <w:t xml:space="preserve">181-1 du code de l’environnement </w:t>
      </w:r>
      <w:r w:rsidR="0098510C">
        <w:t>étaient jusqu’à présent toutes soumises à évaluation environnementale systématique</w:t>
      </w:r>
      <w:r>
        <w:t xml:space="preserve"> </w:t>
      </w:r>
      <w:r w:rsidR="004E32DB">
        <w:t>(a</w:t>
      </w:r>
      <w:r>
        <w:t>) de la rubrique 1 relative aux installations classées pour la</w:t>
      </w:r>
      <w:r w:rsidR="004E32DB">
        <w:t xml:space="preserve"> </w:t>
      </w:r>
      <w:r>
        <w:t>protection de l’environnement (ICPE))</w:t>
      </w:r>
      <w:r w:rsidR="0098510C">
        <w:t xml:space="preserve">. </w:t>
      </w:r>
      <w:r w:rsidR="004E32DB">
        <w:t>Cela permettait d’avoir des seuils identiques pour l’autorisation environnementale</w:t>
      </w:r>
      <w:r w:rsidR="00EA0E05">
        <w:t xml:space="preserve"> -</w:t>
      </w:r>
      <w:r w:rsidR="004E32DB">
        <w:t xml:space="preserve"> seuils qui découlaient de la transposition </w:t>
      </w:r>
      <w:r w:rsidR="00CC5227">
        <w:t xml:space="preserve">de la directive 2010/75/UE relative aux émissions industrielles (IED) </w:t>
      </w:r>
      <w:r w:rsidR="00EA0E05">
        <w:t>et qui étaient repris à l’identique dans la nomenclature des ICPE depuis 2013 -</w:t>
      </w:r>
      <w:r w:rsidR="004E32DB">
        <w:t xml:space="preserve"> et pour l’évaluation environnementale. </w:t>
      </w:r>
    </w:p>
    <w:p w14:paraId="61049ACF" w14:textId="1C194400" w:rsidR="0098510C" w:rsidRDefault="0098510C" w:rsidP="0098510C">
      <w:pPr>
        <w:pStyle w:val="Corpsdetexte"/>
      </w:pPr>
      <w:r>
        <w:t>Ce décret a pour objectif d</w:t>
      </w:r>
      <w:r w:rsidR="00A71A8C">
        <w:t xml:space="preserve">e soumettre à évaluation environnementale systématique les seuls projets relevant de l’annexe 1 de la directive. </w:t>
      </w:r>
      <w:r w:rsidR="00744A28">
        <w:t>Cela pour conséquence de faire passer les seuils de l’évaluation environnementale systématique :</w:t>
      </w:r>
    </w:p>
    <w:p w14:paraId="7799B8BA" w14:textId="26DB0A88" w:rsidR="00744A28" w:rsidRDefault="00744A28" w:rsidP="00815004">
      <w:pPr>
        <w:pStyle w:val="Paragraphedeliste"/>
        <w:numPr>
          <w:ilvl w:val="0"/>
          <w:numId w:val="24"/>
        </w:numPr>
        <w:tabs>
          <w:tab w:val="left" w:pos="284"/>
        </w:tabs>
        <w:jc w:val="both"/>
      </w:pPr>
      <w:proofErr w:type="gramStart"/>
      <w:r>
        <w:t>de</w:t>
      </w:r>
      <w:proofErr w:type="gramEnd"/>
      <w:r>
        <w:t xml:space="preserve"> 40 000 à 85 000 emplacements pour les élevages intensifs de volaille ;</w:t>
      </w:r>
    </w:p>
    <w:p w14:paraId="268CA715" w14:textId="3C2FDA40" w:rsidR="00744A28" w:rsidRDefault="00744A28" w:rsidP="00815004">
      <w:pPr>
        <w:pStyle w:val="Paragraphedeliste"/>
        <w:numPr>
          <w:ilvl w:val="0"/>
          <w:numId w:val="24"/>
        </w:numPr>
        <w:tabs>
          <w:tab w:val="left" w:pos="284"/>
        </w:tabs>
        <w:jc w:val="both"/>
      </w:pPr>
      <w:proofErr w:type="gramStart"/>
      <w:r>
        <w:t>de</w:t>
      </w:r>
      <w:proofErr w:type="gramEnd"/>
      <w:r>
        <w:t xml:space="preserve"> 2 000 à 3000 emplacements pour les porcs de production ; </w:t>
      </w:r>
    </w:p>
    <w:p w14:paraId="0243433A" w14:textId="12D490BC" w:rsidR="00744A28" w:rsidRDefault="00744A28" w:rsidP="00815004">
      <w:pPr>
        <w:pStyle w:val="Paragraphedeliste"/>
        <w:numPr>
          <w:ilvl w:val="0"/>
          <w:numId w:val="24"/>
        </w:numPr>
        <w:tabs>
          <w:tab w:val="left" w:pos="284"/>
        </w:tabs>
        <w:jc w:val="both"/>
      </w:pPr>
      <w:proofErr w:type="gramStart"/>
      <w:r>
        <w:t>de</w:t>
      </w:r>
      <w:proofErr w:type="gramEnd"/>
      <w:r>
        <w:t xml:space="preserve"> 750 à 900 emplacements pour les truies.</w:t>
      </w:r>
    </w:p>
    <w:p w14:paraId="5DA29594" w14:textId="7525B01F" w:rsidR="00377531" w:rsidRDefault="00377531" w:rsidP="00293B59">
      <w:pPr>
        <w:tabs>
          <w:tab w:val="left" w:pos="284"/>
        </w:tabs>
        <w:jc w:val="both"/>
      </w:pPr>
    </w:p>
    <w:p w14:paraId="41E28FD8" w14:textId="5C855705" w:rsidR="00CC5227" w:rsidRDefault="00CC5227" w:rsidP="00815004">
      <w:pPr>
        <w:pStyle w:val="Corpsdetexte"/>
      </w:pPr>
      <w:r>
        <w:t>Les autres projets, c’est-à-dire les projets d’élevage intensifs de volaille, de procs et de truies en dessous de ces seuils, ainsi que les élevages de bovins les plus importants (de plus de 800 veaux ou bovins à l’engraissement ou de plus de 400 vaches laitières) seront désormais soumis à un examen au cas par cas.</w:t>
      </w:r>
    </w:p>
    <w:p w14:paraId="45B621AE" w14:textId="2557EA59" w:rsidR="0098510C" w:rsidRDefault="002F3D01" w:rsidP="00AC46D9">
      <w:pPr>
        <w:pStyle w:val="Corpsdetexte"/>
      </w:pPr>
      <w:r>
        <w:t xml:space="preserve">Le décret modifie </w:t>
      </w:r>
      <w:r w:rsidR="007B70FF">
        <w:t>également</w:t>
      </w:r>
      <w:r w:rsidR="00D307AA">
        <w:t xml:space="preserve"> </w:t>
      </w:r>
      <w:r>
        <w:t>la rubrique concernant les activités de stockage géologique de CO</w:t>
      </w:r>
      <w:r w:rsidRPr="00EA569B">
        <w:rPr>
          <w:vertAlign w:val="subscript"/>
        </w:rPr>
        <w:t>2</w:t>
      </w:r>
      <w:r>
        <w:rPr>
          <w:vertAlign w:val="subscript"/>
        </w:rPr>
        <w:t xml:space="preserve"> </w:t>
      </w:r>
      <w:r>
        <w:t>en soumettant les essais d’injection et de soutirage de CO</w:t>
      </w:r>
      <w:r w:rsidRPr="002C68B6">
        <w:rPr>
          <w:vertAlign w:val="subscript"/>
        </w:rPr>
        <w:t>2</w:t>
      </w:r>
      <w:r>
        <w:t xml:space="preserve"> en formation géologique lors de la phase de recherche à examen au cas par cas.</w:t>
      </w:r>
    </w:p>
    <w:p w14:paraId="6163D07C" w14:textId="32F63DB9" w:rsidR="0098510C" w:rsidRPr="002F3D01" w:rsidRDefault="0098510C" w:rsidP="00AC46D9">
      <w:pPr>
        <w:pStyle w:val="Corpsdetexte"/>
      </w:pPr>
      <w:r>
        <w:lastRenderedPageBreak/>
        <w:t xml:space="preserve">Les opérations d’aménagements fonciers et agricoles </w:t>
      </w:r>
      <w:proofErr w:type="gramStart"/>
      <w:r>
        <w:t>forestiers mentionnées</w:t>
      </w:r>
      <w:proofErr w:type="gramEnd"/>
      <w:r>
        <w:t xml:space="preserve"> au 1° de l’article L</w:t>
      </w:r>
      <w:r w:rsidR="00C66BB5">
        <w:t>. </w:t>
      </w:r>
      <w:r>
        <w:t>121-1 du code rural et de la pêche maritime, y compris leurs travaux connexes</w:t>
      </w:r>
      <w:r w:rsidR="00D307AA">
        <w:t>,</w:t>
      </w:r>
      <w:r>
        <w:t xml:space="preserve"> étaient soumis à évaluation environnementale systématique</w:t>
      </w:r>
      <w:r w:rsidR="00FE0829">
        <w:t xml:space="preserve"> dans la nomenclature de l’article R.</w:t>
      </w:r>
      <w:r w:rsidR="006729B5">
        <w:t xml:space="preserve"> </w:t>
      </w:r>
      <w:r w:rsidR="00FE0829">
        <w:t>122-2 suite à</w:t>
      </w:r>
      <w:r>
        <w:t xml:space="preserve"> la transposition de la rubrique 1.a) Projets de remembrement rural de l’annexe II de la directive 2011/92/UE</w:t>
      </w:r>
      <w:r w:rsidR="00FE0829">
        <w:t>. C</w:t>
      </w:r>
      <w:r w:rsidR="00D307AA">
        <w:t>es</w:t>
      </w:r>
      <w:r w:rsidR="001405DE">
        <w:t xml:space="preserve"> </w:t>
      </w:r>
      <w:r w:rsidR="00FE0829">
        <w:t>opérations seront désormais soumises à examen au cas par cas.</w:t>
      </w:r>
    </w:p>
    <w:p w14:paraId="45107EAC" w14:textId="263E3B48" w:rsidR="00DB163B" w:rsidRDefault="006729B5" w:rsidP="00AC46D9">
      <w:pPr>
        <w:pStyle w:val="Corpsdetexte"/>
      </w:pPr>
      <w:r>
        <w:t xml:space="preserve">Suite à la mise en œuvre de la « clause filet » par </w:t>
      </w:r>
      <w:r w:rsidR="00BD1DEB">
        <w:t xml:space="preserve">le </w:t>
      </w:r>
      <w:r w:rsidR="00BD1DEB" w:rsidRPr="00BD1DEB">
        <w:t>décret n° 2022-422 du 25 mars 2022</w:t>
      </w:r>
      <w:r>
        <w:t xml:space="preserve">, </w:t>
      </w:r>
      <w:r w:rsidR="000470F4">
        <w:t xml:space="preserve">le projet de </w:t>
      </w:r>
      <w:r w:rsidR="00AC46D9">
        <w:t xml:space="preserve">décret </w:t>
      </w:r>
      <w:r w:rsidR="000470F4">
        <w:t xml:space="preserve">réintroduit </w:t>
      </w:r>
      <w:r w:rsidR="004D7C6C">
        <w:t xml:space="preserve">à </w:t>
      </w:r>
      <w:r w:rsidR="00AC46D9">
        <w:t>la rubrique 44 </w:t>
      </w:r>
      <w:r>
        <w:t xml:space="preserve">un seuil </w:t>
      </w:r>
      <w:r w:rsidR="00AC46D9">
        <w:t xml:space="preserve">de 1 000 personnes. </w:t>
      </w:r>
    </w:p>
    <w:p w14:paraId="1674D881" w14:textId="1738053D" w:rsidR="002814C3" w:rsidRPr="009E32D7" w:rsidRDefault="000470F4" w:rsidP="00354560">
      <w:pPr>
        <w:pStyle w:val="Corpsdetexte"/>
      </w:pPr>
      <w:r>
        <w:t xml:space="preserve">Enfin, le projet de </w:t>
      </w:r>
      <w:r w:rsidR="00FE0829" w:rsidRPr="009E32D7">
        <w:t xml:space="preserve">décret </w:t>
      </w:r>
      <w:r w:rsidR="00E30AA4">
        <w:t>procède</w:t>
      </w:r>
      <w:r w:rsidR="00E30AA4" w:rsidRPr="009E32D7">
        <w:t xml:space="preserve"> </w:t>
      </w:r>
      <w:r w:rsidR="00FE0829" w:rsidRPr="009E32D7">
        <w:t xml:space="preserve">également </w:t>
      </w:r>
      <w:r w:rsidR="00E30AA4">
        <w:t xml:space="preserve">à une correction d’erreur matérielle à </w:t>
      </w:r>
      <w:r w:rsidR="00FE0829" w:rsidRPr="009E32D7">
        <w:t xml:space="preserve">la </w:t>
      </w:r>
      <w:r w:rsidR="00E30AA4">
        <w:t>ligne f</w:t>
      </w:r>
      <w:r>
        <w:t>)</w:t>
      </w:r>
      <w:r w:rsidR="00E30AA4">
        <w:t xml:space="preserve"> </w:t>
      </w:r>
      <w:r>
        <w:t xml:space="preserve">de la rubrique 27, </w:t>
      </w:r>
      <w:r w:rsidR="00E30AA4" w:rsidRPr="009E32D7">
        <w:t>la colonne de l’examen au cas par cas</w:t>
      </w:r>
      <w:r w:rsidR="009E32D7" w:rsidRPr="009E32D7">
        <w:t>.</w:t>
      </w:r>
    </w:p>
    <w:sectPr w:rsidR="002814C3" w:rsidRPr="009E32D7">
      <w:headerReference w:type="default" r:id="rId8"/>
      <w:pgSz w:w="11906" w:h="16838"/>
      <w:pgMar w:top="1134"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103C5" w14:textId="77777777" w:rsidR="005579EB" w:rsidRDefault="005579EB" w:rsidP="00BD7ADC">
      <w:r>
        <w:separator/>
      </w:r>
    </w:p>
  </w:endnote>
  <w:endnote w:type="continuationSeparator" w:id="0">
    <w:p w14:paraId="7BE2BA79" w14:textId="77777777" w:rsidR="005579EB" w:rsidRDefault="005579EB" w:rsidP="00BD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6545" w14:textId="77777777" w:rsidR="005579EB" w:rsidRDefault="005579EB" w:rsidP="00BD7ADC">
      <w:r>
        <w:separator/>
      </w:r>
    </w:p>
  </w:footnote>
  <w:footnote w:type="continuationSeparator" w:id="0">
    <w:p w14:paraId="51976576" w14:textId="77777777" w:rsidR="005579EB" w:rsidRDefault="005579EB" w:rsidP="00BD7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75C6" w14:textId="176F2E86" w:rsidR="00BD7ADC" w:rsidRDefault="006F4130">
    <w:pPr>
      <w:pStyle w:val="En-tte"/>
    </w:pPr>
    <w:r>
      <w:t xml:space="preserve">MTECT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58475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9E7D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0216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22F5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C484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7872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8893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67E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563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9671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3B7738"/>
    <w:multiLevelType w:val="hybridMultilevel"/>
    <w:tmpl w:val="BE8202AC"/>
    <w:lvl w:ilvl="0" w:tplc="CEF2B7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05661FB"/>
    <w:multiLevelType w:val="hybridMultilevel"/>
    <w:tmpl w:val="BE8202AC"/>
    <w:lvl w:ilvl="0" w:tplc="CEF2B7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3A546FE"/>
    <w:multiLevelType w:val="hybridMultilevel"/>
    <w:tmpl w:val="1A967370"/>
    <w:lvl w:ilvl="0" w:tplc="082A6E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F376F5"/>
    <w:multiLevelType w:val="hybridMultilevel"/>
    <w:tmpl w:val="BD6EBE36"/>
    <w:lvl w:ilvl="0" w:tplc="9196AD66">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1EE1607B"/>
    <w:multiLevelType w:val="hybridMultilevel"/>
    <w:tmpl w:val="BE8202AC"/>
    <w:lvl w:ilvl="0" w:tplc="CEF2B7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7C2199"/>
    <w:multiLevelType w:val="hybridMultilevel"/>
    <w:tmpl w:val="4C5E4122"/>
    <w:lvl w:ilvl="0" w:tplc="B7EA17FA">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68D1E78"/>
    <w:multiLevelType w:val="hybridMultilevel"/>
    <w:tmpl w:val="BE8202AC"/>
    <w:lvl w:ilvl="0" w:tplc="CEF2B7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CC41B93"/>
    <w:multiLevelType w:val="hybridMultilevel"/>
    <w:tmpl w:val="BE8202AC"/>
    <w:lvl w:ilvl="0" w:tplc="CEF2B7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3F73D86"/>
    <w:multiLevelType w:val="hybridMultilevel"/>
    <w:tmpl w:val="9B50F3EE"/>
    <w:lvl w:ilvl="0" w:tplc="D344623C">
      <w:start w:val="1"/>
      <w:numFmt w:val="bullet"/>
      <w:lvlText w:val=""/>
      <w:lvlJc w:val="left"/>
      <w:pPr>
        <w:tabs>
          <w:tab w:val="num" w:pos="1429"/>
        </w:tabs>
        <w:ind w:left="1429" w:hanging="360"/>
      </w:pPr>
      <w:rPr>
        <w:rFonts w:ascii="Symbol" w:hAnsi="Symbol"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5">
      <w:start w:val="1"/>
      <w:numFmt w:val="bullet"/>
      <w:lvlText w:val=""/>
      <w:lvlJc w:val="left"/>
      <w:pPr>
        <w:tabs>
          <w:tab w:val="num" w:pos="2869"/>
        </w:tabs>
        <w:ind w:left="2869" w:hanging="360"/>
      </w:pPr>
      <w:rPr>
        <w:rFonts w:ascii="Wingdings" w:hAnsi="Wingdings" w:hint="default"/>
      </w:rPr>
    </w:lvl>
    <w:lvl w:ilvl="3" w:tplc="040C0001">
      <w:start w:val="1"/>
      <w:numFmt w:val="bullet"/>
      <w:lvlText w:val=""/>
      <w:lvlJc w:val="left"/>
      <w:pPr>
        <w:tabs>
          <w:tab w:val="num" w:pos="3589"/>
        </w:tabs>
        <w:ind w:left="3589" w:hanging="360"/>
      </w:pPr>
      <w:rPr>
        <w:rFonts w:ascii="Symbol" w:hAnsi="Symbol" w:hint="default"/>
      </w:rPr>
    </w:lvl>
    <w:lvl w:ilvl="4" w:tplc="040C0003">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B375ABB"/>
    <w:multiLevelType w:val="hybridMultilevel"/>
    <w:tmpl w:val="F626A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264F6B"/>
    <w:multiLevelType w:val="hybridMultilevel"/>
    <w:tmpl w:val="56E64AF2"/>
    <w:lvl w:ilvl="0" w:tplc="EE68B1D6">
      <w:start w:val="1"/>
      <w:numFmt w:val="decimal"/>
      <w:lvlText w:val="%1."/>
      <w:lvlJc w:val="left"/>
      <w:pPr>
        <w:tabs>
          <w:tab w:val="num" w:pos="1429"/>
        </w:tabs>
        <w:ind w:left="1429" w:hanging="360"/>
      </w:pPr>
    </w:lvl>
    <w:lvl w:ilvl="1" w:tplc="040C0019">
      <w:start w:val="1"/>
      <w:numFmt w:val="lowerLetter"/>
      <w:lvlText w:val="%2."/>
      <w:lvlJc w:val="left"/>
      <w:pPr>
        <w:tabs>
          <w:tab w:val="num" w:pos="2149"/>
        </w:tabs>
        <w:ind w:left="2149" w:hanging="360"/>
      </w:pPr>
    </w:lvl>
    <w:lvl w:ilvl="2" w:tplc="040C001B">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21" w15:restartNumberingAfterBreak="0">
    <w:nsid w:val="55950BF5"/>
    <w:multiLevelType w:val="hybridMultilevel"/>
    <w:tmpl w:val="5038DC62"/>
    <w:lvl w:ilvl="0" w:tplc="2A905020">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636450"/>
    <w:multiLevelType w:val="hybridMultilevel"/>
    <w:tmpl w:val="BE8202AC"/>
    <w:lvl w:ilvl="0" w:tplc="CEF2B7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C24A42"/>
    <w:multiLevelType w:val="hybridMultilevel"/>
    <w:tmpl w:val="BE8202AC"/>
    <w:lvl w:ilvl="0" w:tplc="CEF2B7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18"/>
  </w:num>
  <w:num w:numId="3">
    <w:abstractNumId w:val="2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5"/>
  </w:num>
  <w:num w:numId="15">
    <w:abstractNumId w:val="16"/>
  </w:num>
  <w:num w:numId="16">
    <w:abstractNumId w:val="23"/>
  </w:num>
  <w:num w:numId="17">
    <w:abstractNumId w:val="11"/>
  </w:num>
  <w:num w:numId="18">
    <w:abstractNumId w:val="17"/>
  </w:num>
  <w:num w:numId="19">
    <w:abstractNumId w:val="14"/>
  </w:num>
  <w:num w:numId="20">
    <w:abstractNumId w:val="10"/>
  </w:num>
  <w:num w:numId="21">
    <w:abstractNumId w:val="22"/>
  </w:num>
  <w:num w:numId="22">
    <w:abstractNumId w:val="12"/>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32F"/>
    <w:rsid w:val="00012764"/>
    <w:rsid w:val="00037B7E"/>
    <w:rsid w:val="00046B21"/>
    <w:rsid w:val="000470F4"/>
    <w:rsid w:val="00047D6E"/>
    <w:rsid w:val="000711F9"/>
    <w:rsid w:val="000715FF"/>
    <w:rsid w:val="000A2C17"/>
    <w:rsid w:val="000B7817"/>
    <w:rsid w:val="000C152D"/>
    <w:rsid w:val="000C5746"/>
    <w:rsid w:val="000D5B95"/>
    <w:rsid w:val="000E5800"/>
    <w:rsid w:val="00123714"/>
    <w:rsid w:val="00124A31"/>
    <w:rsid w:val="001405DE"/>
    <w:rsid w:val="001651E9"/>
    <w:rsid w:val="001C7361"/>
    <w:rsid w:val="001D720B"/>
    <w:rsid w:val="001E345F"/>
    <w:rsid w:val="001F0737"/>
    <w:rsid w:val="00202FAD"/>
    <w:rsid w:val="00215E90"/>
    <w:rsid w:val="00272674"/>
    <w:rsid w:val="002814C3"/>
    <w:rsid w:val="002831BA"/>
    <w:rsid w:val="00293B59"/>
    <w:rsid w:val="002A0B09"/>
    <w:rsid w:val="002A2ABF"/>
    <w:rsid w:val="002A3A5E"/>
    <w:rsid w:val="002B7EFA"/>
    <w:rsid w:val="002C68B6"/>
    <w:rsid w:val="002C78AD"/>
    <w:rsid w:val="002D1EBA"/>
    <w:rsid w:val="002D75A1"/>
    <w:rsid w:val="002E4CF9"/>
    <w:rsid w:val="002F0F19"/>
    <w:rsid w:val="002F3D01"/>
    <w:rsid w:val="003054BA"/>
    <w:rsid w:val="00354560"/>
    <w:rsid w:val="0035488A"/>
    <w:rsid w:val="003621F4"/>
    <w:rsid w:val="003771F1"/>
    <w:rsid w:val="00377531"/>
    <w:rsid w:val="00385322"/>
    <w:rsid w:val="003A5F6F"/>
    <w:rsid w:val="003B48D4"/>
    <w:rsid w:val="003D64BE"/>
    <w:rsid w:val="003F1949"/>
    <w:rsid w:val="003F501C"/>
    <w:rsid w:val="0041070C"/>
    <w:rsid w:val="00431BDA"/>
    <w:rsid w:val="00431FE7"/>
    <w:rsid w:val="00435E7D"/>
    <w:rsid w:val="0046120C"/>
    <w:rsid w:val="00466FB1"/>
    <w:rsid w:val="00494348"/>
    <w:rsid w:val="00497401"/>
    <w:rsid w:val="004B218D"/>
    <w:rsid w:val="004B28E7"/>
    <w:rsid w:val="004D657B"/>
    <w:rsid w:val="004D7C6C"/>
    <w:rsid w:val="004E32DB"/>
    <w:rsid w:val="004F4FC8"/>
    <w:rsid w:val="00503D8E"/>
    <w:rsid w:val="00516726"/>
    <w:rsid w:val="005178A2"/>
    <w:rsid w:val="0055597D"/>
    <w:rsid w:val="005579EB"/>
    <w:rsid w:val="005671B7"/>
    <w:rsid w:val="00574FB0"/>
    <w:rsid w:val="00581BC7"/>
    <w:rsid w:val="00582291"/>
    <w:rsid w:val="00586031"/>
    <w:rsid w:val="005A4553"/>
    <w:rsid w:val="005C39CD"/>
    <w:rsid w:val="005D5E9C"/>
    <w:rsid w:val="005F5ECC"/>
    <w:rsid w:val="00642267"/>
    <w:rsid w:val="00647924"/>
    <w:rsid w:val="006729B5"/>
    <w:rsid w:val="006846FD"/>
    <w:rsid w:val="006A3FEB"/>
    <w:rsid w:val="006A4EBF"/>
    <w:rsid w:val="006B1108"/>
    <w:rsid w:val="006C0086"/>
    <w:rsid w:val="006D7503"/>
    <w:rsid w:val="006E514E"/>
    <w:rsid w:val="006F4130"/>
    <w:rsid w:val="0072075A"/>
    <w:rsid w:val="007241B3"/>
    <w:rsid w:val="00737800"/>
    <w:rsid w:val="00744A28"/>
    <w:rsid w:val="00782962"/>
    <w:rsid w:val="007B514B"/>
    <w:rsid w:val="007B70FF"/>
    <w:rsid w:val="007C31D1"/>
    <w:rsid w:val="007E1E59"/>
    <w:rsid w:val="007E1E85"/>
    <w:rsid w:val="00815004"/>
    <w:rsid w:val="00817200"/>
    <w:rsid w:val="00820102"/>
    <w:rsid w:val="008205AB"/>
    <w:rsid w:val="00823736"/>
    <w:rsid w:val="00831364"/>
    <w:rsid w:val="008364CA"/>
    <w:rsid w:val="00851270"/>
    <w:rsid w:val="00867DA1"/>
    <w:rsid w:val="00881575"/>
    <w:rsid w:val="00885656"/>
    <w:rsid w:val="0089062B"/>
    <w:rsid w:val="00894E8C"/>
    <w:rsid w:val="008C5F09"/>
    <w:rsid w:val="008C742C"/>
    <w:rsid w:val="008D49AC"/>
    <w:rsid w:val="00904A5D"/>
    <w:rsid w:val="009240ED"/>
    <w:rsid w:val="0094032F"/>
    <w:rsid w:val="009806F4"/>
    <w:rsid w:val="0098242B"/>
    <w:rsid w:val="0098510C"/>
    <w:rsid w:val="009E1CB4"/>
    <w:rsid w:val="009E32D7"/>
    <w:rsid w:val="00A10BC6"/>
    <w:rsid w:val="00A1280C"/>
    <w:rsid w:val="00A4133A"/>
    <w:rsid w:val="00A71A8C"/>
    <w:rsid w:val="00A7554E"/>
    <w:rsid w:val="00AA3BD8"/>
    <w:rsid w:val="00AA4D42"/>
    <w:rsid w:val="00AC154D"/>
    <w:rsid w:val="00AC46D9"/>
    <w:rsid w:val="00AC4AC5"/>
    <w:rsid w:val="00B25D7B"/>
    <w:rsid w:val="00B62A82"/>
    <w:rsid w:val="00B932DE"/>
    <w:rsid w:val="00BC68DE"/>
    <w:rsid w:val="00BD1DEB"/>
    <w:rsid w:val="00BD7ADC"/>
    <w:rsid w:val="00C1257C"/>
    <w:rsid w:val="00C1561A"/>
    <w:rsid w:val="00C21DD0"/>
    <w:rsid w:val="00C26CCD"/>
    <w:rsid w:val="00C274C6"/>
    <w:rsid w:val="00C32FE3"/>
    <w:rsid w:val="00C37FEB"/>
    <w:rsid w:val="00C421C1"/>
    <w:rsid w:val="00C66BB5"/>
    <w:rsid w:val="00C7139D"/>
    <w:rsid w:val="00C81432"/>
    <w:rsid w:val="00C9098B"/>
    <w:rsid w:val="00CC5227"/>
    <w:rsid w:val="00CD09CB"/>
    <w:rsid w:val="00CE6120"/>
    <w:rsid w:val="00CE700C"/>
    <w:rsid w:val="00CF0740"/>
    <w:rsid w:val="00CF20FA"/>
    <w:rsid w:val="00CF60F2"/>
    <w:rsid w:val="00D05ED7"/>
    <w:rsid w:val="00D146F8"/>
    <w:rsid w:val="00D24BBC"/>
    <w:rsid w:val="00D307AA"/>
    <w:rsid w:val="00D35762"/>
    <w:rsid w:val="00D51504"/>
    <w:rsid w:val="00D7239D"/>
    <w:rsid w:val="00D74268"/>
    <w:rsid w:val="00D74DFC"/>
    <w:rsid w:val="00D86C59"/>
    <w:rsid w:val="00D90D81"/>
    <w:rsid w:val="00DB163B"/>
    <w:rsid w:val="00DB6856"/>
    <w:rsid w:val="00DD6852"/>
    <w:rsid w:val="00E05EE2"/>
    <w:rsid w:val="00E30AA4"/>
    <w:rsid w:val="00E36A2F"/>
    <w:rsid w:val="00E607AA"/>
    <w:rsid w:val="00E62B16"/>
    <w:rsid w:val="00E7327C"/>
    <w:rsid w:val="00EA0E05"/>
    <w:rsid w:val="00EA1EC3"/>
    <w:rsid w:val="00EA569B"/>
    <w:rsid w:val="00EB04AA"/>
    <w:rsid w:val="00EC5B38"/>
    <w:rsid w:val="00EE7892"/>
    <w:rsid w:val="00F42371"/>
    <w:rsid w:val="00F61BB7"/>
    <w:rsid w:val="00F63131"/>
    <w:rsid w:val="00F869CB"/>
    <w:rsid w:val="00F91FD5"/>
    <w:rsid w:val="00F94478"/>
    <w:rsid w:val="00F957B7"/>
    <w:rsid w:val="00F96ED7"/>
    <w:rsid w:val="00FA462E"/>
    <w:rsid w:val="00FB4714"/>
    <w:rsid w:val="00FB60F5"/>
    <w:rsid w:val="00FD15C9"/>
    <w:rsid w:val="00FE0829"/>
    <w:rsid w:val="00FE69B7"/>
    <w:rsid w:val="00FF0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3700"/>
  <w15:chartTrackingRefBased/>
  <w15:docId w15:val="{781FA395-A0C7-4E81-8A59-8BDD4A0F5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autoRedefine/>
    <w:qFormat/>
    <w:rsid w:val="008205AB"/>
    <w:pPr>
      <w:keepNext/>
      <w:spacing w:before="240"/>
      <w:jc w:val="center"/>
      <w:outlineLvl w:val="0"/>
    </w:pPr>
    <w:rPr>
      <w:rFonts w:cs="Arial"/>
      <w:bCs/>
      <w:caps/>
      <w:kern w:val="32"/>
    </w:rPr>
  </w:style>
  <w:style w:type="paragraph" w:styleId="Titre2">
    <w:name w:val="heading 2"/>
    <w:basedOn w:val="Normal"/>
    <w:next w:val="Normal"/>
    <w:autoRedefine/>
    <w:qFormat/>
    <w:rsid w:val="008205AB"/>
    <w:pPr>
      <w:keepNext/>
      <w:spacing w:before="240"/>
      <w:jc w:val="center"/>
      <w:outlineLvl w:val="1"/>
    </w:pPr>
    <w:rPr>
      <w:bCs/>
      <w:iCs/>
      <w:smallCaps/>
    </w:rPr>
  </w:style>
  <w:style w:type="paragraph" w:styleId="Titre3">
    <w:name w:val="heading 3"/>
    <w:basedOn w:val="Normal"/>
    <w:next w:val="Normal"/>
    <w:autoRedefine/>
    <w:qFormat/>
    <w:rsid w:val="008205AB"/>
    <w:pPr>
      <w:keepNext/>
      <w:spacing w:before="120"/>
      <w:jc w:val="center"/>
      <w:outlineLvl w:val="2"/>
    </w:pPr>
    <w:rPr>
      <w:rFonts w:cs="Arial"/>
      <w:bCs/>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REPUBLIQUE">
    <w:name w:val="SNREPUBLIQUE"/>
    <w:basedOn w:val="Normal"/>
    <w:rsid w:val="00586031"/>
    <w:pPr>
      <w:jc w:val="center"/>
    </w:pPr>
    <w:rPr>
      <w:b/>
      <w:bCs/>
      <w:szCs w:val="20"/>
    </w:rPr>
  </w:style>
  <w:style w:type="paragraph" w:styleId="Corpsdetexte">
    <w:name w:val="Body Text"/>
    <w:basedOn w:val="Normal"/>
    <w:rsid w:val="00F63131"/>
    <w:pPr>
      <w:spacing w:after="120"/>
      <w:jc w:val="both"/>
    </w:pPr>
  </w:style>
  <w:style w:type="paragraph" w:customStyle="1" w:styleId="puce1">
    <w:name w:val="puce1"/>
    <w:basedOn w:val="Normal"/>
    <w:pPr>
      <w:widowControl w:val="0"/>
      <w:tabs>
        <w:tab w:val="num" w:pos="1429"/>
      </w:tabs>
      <w:suppressAutoHyphens/>
      <w:spacing w:before="240"/>
      <w:ind w:left="1429" w:hanging="360"/>
    </w:pPr>
    <w:rPr>
      <w:rFonts w:eastAsia="Lucida Sans Unicode"/>
    </w:rPr>
  </w:style>
  <w:style w:type="paragraph" w:customStyle="1" w:styleId="puce2">
    <w:name w:val="puce2"/>
    <w:basedOn w:val="Normal"/>
    <w:pPr>
      <w:widowControl w:val="0"/>
      <w:tabs>
        <w:tab w:val="num" w:pos="2149"/>
      </w:tabs>
      <w:suppressAutoHyphens/>
      <w:spacing w:before="240"/>
      <w:ind w:left="2149" w:hanging="360"/>
    </w:pPr>
    <w:rPr>
      <w:rFonts w:eastAsia="Lucida Sans Unicode"/>
    </w:rPr>
  </w:style>
  <w:style w:type="paragraph" w:customStyle="1" w:styleId="puce3">
    <w:name w:val="puce3"/>
    <w:basedOn w:val="Normal"/>
    <w:pPr>
      <w:widowControl w:val="0"/>
      <w:tabs>
        <w:tab w:val="num" w:pos="2869"/>
      </w:tabs>
      <w:suppressAutoHyphens/>
      <w:spacing w:before="240"/>
      <w:ind w:left="2869" w:hanging="360"/>
    </w:pPr>
    <w:rPr>
      <w:rFonts w:eastAsia="Lucida Sans Unicode"/>
    </w:rPr>
  </w:style>
  <w:style w:type="paragraph" w:customStyle="1" w:styleId="num1">
    <w:name w:val="num1"/>
    <w:basedOn w:val="Normal"/>
    <w:pPr>
      <w:widowControl w:val="0"/>
      <w:tabs>
        <w:tab w:val="num" w:pos="1429"/>
      </w:tabs>
      <w:suppressAutoHyphens/>
      <w:spacing w:before="240"/>
      <w:ind w:left="1429" w:hanging="360"/>
    </w:pPr>
    <w:rPr>
      <w:rFonts w:eastAsia="Lucida Sans Unicode"/>
    </w:rPr>
  </w:style>
  <w:style w:type="paragraph" w:customStyle="1" w:styleId="num2">
    <w:name w:val="num2"/>
    <w:basedOn w:val="Normal"/>
    <w:pPr>
      <w:widowControl w:val="0"/>
      <w:tabs>
        <w:tab w:val="num" w:pos="2149"/>
      </w:tabs>
      <w:suppressAutoHyphens/>
      <w:spacing w:before="240"/>
      <w:ind w:left="2149" w:hanging="360"/>
    </w:pPr>
    <w:rPr>
      <w:rFonts w:eastAsia="Lucida Sans Unicode"/>
    </w:rPr>
  </w:style>
  <w:style w:type="paragraph" w:customStyle="1" w:styleId="num3">
    <w:name w:val="num3"/>
    <w:basedOn w:val="Normal"/>
    <w:pPr>
      <w:widowControl w:val="0"/>
      <w:tabs>
        <w:tab w:val="num" w:pos="2869"/>
      </w:tabs>
      <w:suppressAutoHyphens/>
      <w:spacing w:before="240"/>
      <w:ind w:left="2869" w:hanging="180"/>
    </w:pPr>
    <w:rPr>
      <w:rFonts w:eastAsia="Lucida Sans Unicode"/>
    </w:rPr>
  </w:style>
  <w:style w:type="paragraph" w:customStyle="1" w:styleId="SNConsultation">
    <w:name w:val="SNConsultation"/>
    <w:basedOn w:val="Normal"/>
    <w:autoRedefine/>
    <w:pPr>
      <w:widowControl w:val="0"/>
      <w:suppressAutoHyphens/>
      <w:spacing w:before="120" w:after="120"/>
      <w:ind w:firstLine="709"/>
      <w:jc w:val="both"/>
    </w:pPr>
    <w:rPr>
      <w:rFonts w:eastAsia="Lucida Sans Unicode"/>
    </w:rPr>
  </w:style>
  <w:style w:type="paragraph" w:customStyle="1" w:styleId="SNNature">
    <w:name w:val="SNNature"/>
    <w:basedOn w:val="Normal"/>
    <w:next w:val="SNtitre"/>
    <w:autoRedefine/>
    <w:rsid w:val="006A4EBF"/>
    <w:pPr>
      <w:widowControl w:val="0"/>
      <w:suppressLineNumbers/>
      <w:suppressAutoHyphens/>
      <w:spacing w:before="720" w:after="120"/>
      <w:jc w:val="center"/>
    </w:pPr>
    <w:rPr>
      <w:rFonts w:eastAsia="Lucida Sans Unicode"/>
      <w:b/>
      <w:bCs/>
    </w:rPr>
  </w:style>
  <w:style w:type="paragraph" w:customStyle="1" w:styleId="SNtitre">
    <w:name w:val="SNtitre"/>
    <w:basedOn w:val="Normal"/>
    <w:next w:val="SNNORCentr"/>
    <w:autoRedefine/>
    <w:rsid w:val="00642267"/>
    <w:pPr>
      <w:widowControl w:val="0"/>
      <w:suppressLineNumbers/>
      <w:suppressAutoHyphens/>
      <w:spacing w:after="360"/>
      <w:jc w:val="center"/>
    </w:pPr>
    <w:rPr>
      <w:rFonts w:eastAsia="Lucida Sans Unicode"/>
      <w:b/>
    </w:rPr>
  </w:style>
  <w:style w:type="paragraph" w:customStyle="1" w:styleId="SNNORCentr">
    <w:name w:val="SNNOR+Centré"/>
    <w:next w:val="SNAutorit"/>
    <w:rsid w:val="006A4EBF"/>
    <w:pPr>
      <w:jc w:val="center"/>
    </w:pPr>
    <w:rPr>
      <w:bCs/>
      <w:sz w:val="24"/>
    </w:rPr>
  </w:style>
  <w:style w:type="paragraph" w:customStyle="1" w:styleId="SNAutorit">
    <w:name w:val="SNAutorité"/>
    <w:basedOn w:val="Normal"/>
    <w:autoRedefine/>
    <w:pPr>
      <w:spacing w:before="720" w:after="240"/>
      <w:ind w:firstLine="720"/>
    </w:pPr>
    <w:rPr>
      <w:b/>
    </w:rPr>
  </w:style>
  <w:style w:type="paragraph" w:customStyle="1" w:styleId="SNSignatureprnomnomDroite">
    <w:name w:val="SNSignature prénom+nom Droite"/>
    <w:basedOn w:val="SNSignatureDroite"/>
    <w:next w:val="SNSignatureGauche"/>
    <w:rsid w:val="00782962"/>
    <w:pPr>
      <w:spacing w:after="120"/>
      <w:ind w:left="5041"/>
    </w:pPr>
  </w:style>
  <w:style w:type="paragraph" w:customStyle="1" w:styleId="SNSignatureDroite">
    <w:name w:val="SNSignatureDroite"/>
    <w:basedOn w:val="Normal"/>
    <w:next w:val="SNSignatureprnomnomDroite"/>
    <w:autoRedefine/>
    <w:rsid w:val="00EA1EC3"/>
    <w:pPr>
      <w:spacing w:before="120" w:after="1680"/>
      <w:ind w:left="5040"/>
      <w:jc w:val="right"/>
    </w:pPr>
    <w:rPr>
      <w:color w:val="000000"/>
    </w:rPr>
  </w:style>
  <w:style w:type="paragraph" w:customStyle="1" w:styleId="SNSignatureGauche">
    <w:name w:val="SNSignatureGauche"/>
    <w:basedOn w:val="Normal"/>
    <w:next w:val="SNSignatureprnomnomGauche"/>
    <w:autoRedefine/>
    <w:rsid w:val="002B7EFA"/>
    <w:pPr>
      <w:spacing w:before="120" w:after="1680"/>
      <w:ind w:left="720" w:right="4494"/>
    </w:pPr>
  </w:style>
  <w:style w:type="paragraph" w:customStyle="1" w:styleId="SNSignatureprnomnomGauche">
    <w:name w:val="SNSignature prénom+nom Gauche"/>
    <w:basedOn w:val="SNSignatureGauche"/>
    <w:next w:val="SNSignatureDroite"/>
    <w:rsid w:val="00EA1EC3"/>
    <w:pPr>
      <w:spacing w:after="120"/>
    </w:pPr>
    <w:rPr>
      <w:color w:val="000000"/>
    </w:rPr>
  </w:style>
  <w:style w:type="paragraph" w:customStyle="1" w:styleId="SNTimbre">
    <w:name w:val="SNTimbre"/>
    <w:basedOn w:val="Normal"/>
    <w:link w:val="SNTimbreCar"/>
    <w:autoRedefine/>
    <w:pPr>
      <w:widowControl w:val="0"/>
      <w:suppressAutoHyphens/>
      <w:snapToGrid w:val="0"/>
      <w:spacing w:before="120"/>
      <w:jc w:val="center"/>
    </w:pPr>
    <w:rPr>
      <w:rFonts w:eastAsia="Lucida Sans Unicode"/>
    </w:rPr>
  </w:style>
  <w:style w:type="character" w:customStyle="1" w:styleId="SNTimbreCar">
    <w:name w:val="SNTimbre Car"/>
    <w:link w:val="SNTimbre"/>
    <w:rsid w:val="000C5746"/>
    <w:rPr>
      <w:rFonts w:eastAsia="Lucida Sans Unicode"/>
      <w:sz w:val="24"/>
      <w:szCs w:val="24"/>
      <w:lang w:val="fr-FR" w:bidi="ar-SA"/>
    </w:rPr>
  </w:style>
  <w:style w:type="paragraph" w:customStyle="1" w:styleId="SNRapport">
    <w:name w:val="SNRapport"/>
    <w:basedOn w:val="Normal"/>
    <w:autoRedefine/>
    <w:pPr>
      <w:spacing w:before="240" w:after="120"/>
      <w:ind w:firstLine="720"/>
    </w:pPr>
  </w:style>
  <w:style w:type="paragraph" w:customStyle="1" w:styleId="SNVisa">
    <w:name w:val="SNVisa"/>
    <w:basedOn w:val="Normal"/>
    <w:autoRedefine/>
    <w:pPr>
      <w:spacing w:before="120" w:after="120"/>
      <w:ind w:firstLine="720"/>
    </w:pPr>
  </w:style>
  <w:style w:type="paragraph" w:customStyle="1" w:styleId="SNDate">
    <w:name w:val="SNDate"/>
    <w:basedOn w:val="Normal"/>
    <w:next w:val="SNContreseing"/>
    <w:link w:val="SNDateCar"/>
    <w:autoRedefine/>
    <w:rsid w:val="003054BA"/>
    <w:pPr>
      <w:spacing w:before="480" w:after="2760"/>
      <w:ind w:firstLine="720"/>
    </w:pPr>
  </w:style>
  <w:style w:type="paragraph" w:customStyle="1" w:styleId="SNContreseing">
    <w:name w:val="SNContreseing"/>
    <w:basedOn w:val="Normal"/>
    <w:next w:val="SNSignatureGauche"/>
    <w:autoRedefine/>
    <w:rsid w:val="00431FE7"/>
    <w:pPr>
      <w:spacing w:before="480"/>
      <w:ind w:firstLine="720"/>
    </w:pPr>
  </w:style>
  <w:style w:type="character" w:customStyle="1" w:styleId="SNDateCar">
    <w:name w:val="SNDate Car"/>
    <w:link w:val="SNDate"/>
    <w:rsid w:val="003054BA"/>
    <w:rPr>
      <w:sz w:val="24"/>
      <w:szCs w:val="24"/>
      <w:lang w:val="fr-FR" w:eastAsia="fr-FR" w:bidi="ar-SA"/>
    </w:rPr>
  </w:style>
  <w:style w:type="paragraph" w:customStyle="1" w:styleId="SNActe">
    <w:name w:val="SNActe"/>
    <w:basedOn w:val="Normal"/>
    <w:autoRedefine/>
    <w:rsid w:val="00831364"/>
    <w:pPr>
      <w:spacing w:before="480" w:after="360"/>
      <w:jc w:val="center"/>
    </w:pPr>
    <w:rPr>
      <w:b/>
    </w:rPr>
  </w:style>
  <w:style w:type="paragraph" w:customStyle="1" w:styleId="SNArticle">
    <w:name w:val="SNArticle"/>
    <w:basedOn w:val="Normal"/>
    <w:next w:val="Corpsdetexte"/>
    <w:link w:val="SNArticleCar"/>
    <w:autoRedefine/>
    <w:pPr>
      <w:spacing w:before="240" w:after="240"/>
      <w:jc w:val="center"/>
    </w:pPr>
    <w:rPr>
      <w:b/>
    </w:rPr>
  </w:style>
  <w:style w:type="character" w:customStyle="1" w:styleId="SNArticleCar">
    <w:name w:val="SNArticle Car"/>
    <w:link w:val="SNArticle"/>
    <w:rsid w:val="000C5746"/>
    <w:rPr>
      <w:b/>
      <w:sz w:val="24"/>
      <w:szCs w:val="24"/>
      <w:lang w:val="fr-FR" w:eastAsia="fr-FR" w:bidi="ar-SA"/>
    </w:rPr>
  </w:style>
  <w:style w:type="paragraph" w:customStyle="1" w:styleId="SNConsidrant">
    <w:name w:val="SNConsidérant"/>
    <w:basedOn w:val="Normal"/>
    <w:autoRedefine/>
    <w:pPr>
      <w:ind w:firstLine="720"/>
    </w:pPr>
  </w:style>
  <w:style w:type="paragraph" w:customStyle="1" w:styleId="SNConsultationCE">
    <w:name w:val="SNConsultationCE"/>
    <w:basedOn w:val="SNConsultation"/>
    <w:autoRedefine/>
  </w:style>
  <w:style w:type="paragraph" w:customStyle="1" w:styleId="SNConsultationCM">
    <w:name w:val="SNConsultationCM"/>
    <w:basedOn w:val="SNConsultation"/>
    <w:autoRedefine/>
  </w:style>
  <w:style w:type="paragraph" w:customStyle="1" w:styleId="SNDirection">
    <w:name w:val="SNDirection"/>
    <w:basedOn w:val="Normal"/>
    <w:autoRedefine/>
    <w:pPr>
      <w:spacing w:before="720"/>
      <w:jc w:val="center"/>
    </w:pPr>
    <w:rPr>
      <w:b/>
    </w:rPr>
  </w:style>
  <w:style w:type="paragraph" w:customStyle="1" w:styleId="SNListePrincipale">
    <w:name w:val="SNListePrincipale"/>
    <w:basedOn w:val="Normal"/>
  </w:style>
  <w:style w:type="paragraph" w:customStyle="1" w:styleId="SNIntitul">
    <w:name w:val="SNIntitulé"/>
    <w:basedOn w:val="Normal"/>
    <w:autoRedefine/>
    <w:pPr>
      <w:jc w:val="center"/>
    </w:pPr>
  </w:style>
  <w:style w:type="paragraph" w:customStyle="1" w:styleId="SNTitreRapport">
    <w:name w:val="SNTitreRapport"/>
    <w:basedOn w:val="SNActe"/>
    <w:autoRedefine/>
  </w:style>
  <w:style w:type="paragraph" w:customStyle="1" w:styleId="SNExcution">
    <w:name w:val="SNExécution"/>
    <w:basedOn w:val="Normal"/>
    <w:autoRedefine/>
  </w:style>
  <w:style w:type="paragraph" w:customStyle="1" w:styleId="SNAdoption">
    <w:name w:val="SNAdoption"/>
    <w:basedOn w:val="Normal"/>
    <w:autoRedefine/>
  </w:style>
  <w:style w:type="paragraph" w:customStyle="1" w:styleId="SNLibell">
    <w:name w:val="SNLibellé"/>
    <w:basedOn w:val="Normal"/>
    <w:autoRedefine/>
  </w:style>
  <w:style w:type="character" w:customStyle="1" w:styleId="SNenProjet">
    <w:name w:val="SNenProjet"/>
    <w:basedOn w:val="Policepardfaut"/>
  </w:style>
  <w:style w:type="paragraph" w:styleId="Textedebulles">
    <w:name w:val="Balloon Text"/>
    <w:basedOn w:val="Normal"/>
    <w:link w:val="TextedebullesCar"/>
    <w:uiPriority w:val="99"/>
    <w:semiHidden/>
    <w:rsid w:val="0094032F"/>
    <w:rPr>
      <w:rFonts w:ascii="Tahoma" w:hAnsi="Tahoma" w:cs="Tahoma"/>
      <w:sz w:val="16"/>
      <w:szCs w:val="16"/>
    </w:rPr>
  </w:style>
  <w:style w:type="paragraph" w:customStyle="1" w:styleId="Titre1objet">
    <w:name w:val="Titre 1 objet"/>
    <w:basedOn w:val="Titre1"/>
    <w:rsid w:val="008205AB"/>
    <w:pPr>
      <w:spacing w:before="0" w:after="120"/>
    </w:pPr>
    <w:rPr>
      <w:b/>
    </w:rPr>
  </w:style>
  <w:style w:type="paragraph" w:customStyle="1" w:styleId="Titre2objet">
    <w:name w:val="Titre 2 objet"/>
    <w:basedOn w:val="Titre2"/>
    <w:next w:val="Normal"/>
    <w:rsid w:val="008205AB"/>
    <w:pPr>
      <w:spacing w:before="0" w:after="120"/>
    </w:pPr>
    <w:rPr>
      <w:b/>
    </w:rPr>
  </w:style>
  <w:style w:type="paragraph" w:customStyle="1" w:styleId="titre3objet">
    <w:name w:val="titre 3 objet"/>
    <w:basedOn w:val="Titre3"/>
    <w:next w:val="Normal"/>
    <w:rsid w:val="008205AB"/>
    <w:pPr>
      <w:spacing w:before="0" w:after="120"/>
    </w:pPr>
    <w:rPr>
      <w:b/>
    </w:rPr>
  </w:style>
  <w:style w:type="character" w:styleId="Marquedecommentaire">
    <w:name w:val="annotation reference"/>
    <w:uiPriority w:val="99"/>
    <w:semiHidden/>
    <w:unhideWhenUsed/>
    <w:rsid w:val="005F5ECC"/>
    <w:rPr>
      <w:sz w:val="16"/>
      <w:szCs w:val="16"/>
    </w:rPr>
  </w:style>
  <w:style w:type="paragraph" w:styleId="Commentaire">
    <w:name w:val="annotation text"/>
    <w:basedOn w:val="Normal"/>
    <w:link w:val="CommentaireCar"/>
    <w:uiPriority w:val="99"/>
    <w:semiHidden/>
    <w:unhideWhenUsed/>
    <w:rsid w:val="005F5ECC"/>
    <w:rPr>
      <w:sz w:val="20"/>
      <w:szCs w:val="20"/>
    </w:rPr>
  </w:style>
  <w:style w:type="character" w:customStyle="1" w:styleId="CommentaireCar">
    <w:name w:val="Commentaire Car"/>
    <w:basedOn w:val="Policepardfaut"/>
    <w:link w:val="Commentaire"/>
    <w:uiPriority w:val="99"/>
    <w:semiHidden/>
    <w:rsid w:val="005F5ECC"/>
  </w:style>
  <w:style w:type="paragraph" w:styleId="Objetducommentaire">
    <w:name w:val="annotation subject"/>
    <w:basedOn w:val="Commentaire"/>
    <w:next w:val="Commentaire"/>
    <w:link w:val="ObjetducommentaireCar"/>
    <w:uiPriority w:val="99"/>
    <w:semiHidden/>
    <w:unhideWhenUsed/>
    <w:rsid w:val="005F5ECC"/>
    <w:rPr>
      <w:b/>
      <w:bCs/>
    </w:rPr>
  </w:style>
  <w:style w:type="character" w:customStyle="1" w:styleId="ObjetducommentaireCar">
    <w:name w:val="Objet du commentaire Car"/>
    <w:link w:val="Objetducommentaire"/>
    <w:uiPriority w:val="99"/>
    <w:semiHidden/>
    <w:rsid w:val="005F5ECC"/>
    <w:rPr>
      <w:b/>
      <w:bCs/>
    </w:rPr>
  </w:style>
  <w:style w:type="table" w:styleId="Grilledutableau">
    <w:name w:val="Table Grid"/>
    <w:basedOn w:val="TableauNormal"/>
    <w:uiPriority w:val="39"/>
    <w:rsid w:val="006D7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D7ADC"/>
    <w:pPr>
      <w:tabs>
        <w:tab w:val="center" w:pos="4536"/>
        <w:tab w:val="right" w:pos="9072"/>
      </w:tabs>
    </w:pPr>
  </w:style>
  <w:style w:type="character" w:customStyle="1" w:styleId="En-tteCar">
    <w:name w:val="En-tête Car"/>
    <w:link w:val="En-tte"/>
    <w:uiPriority w:val="99"/>
    <w:rsid w:val="00BD7ADC"/>
    <w:rPr>
      <w:sz w:val="24"/>
      <w:szCs w:val="24"/>
    </w:rPr>
  </w:style>
  <w:style w:type="paragraph" w:styleId="Pieddepage">
    <w:name w:val="footer"/>
    <w:basedOn w:val="Normal"/>
    <w:link w:val="PieddepageCar"/>
    <w:uiPriority w:val="99"/>
    <w:unhideWhenUsed/>
    <w:rsid w:val="00BD7ADC"/>
    <w:pPr>
      <w:tabs>
        <w:tab w:val="center" w:pos="4536"/>
        <w:tab w:val="right" w:pos="9072"/>
      </w:tabs>
    </w:pPr>
  </w:style>
  <w:style w:type="character" w:customStyle="1" w:styleId="PieddepageCar">
    <w:name w:val="Pied de page Car"/>
    <w:link w:val="Pieddepage"/>
    <w:uiPriority w:val="99"/>
    <w:rsid w:val="00BD7ADC"/>
    <w:rPr>
      <w:sz w:val="24"/>
      <w:szCs w:val="24"/>
    </w:rPr>
  </w:style>
  <w:style w:type="character" w:customStyle="1" w:styleId="TextedebullesCar">
    <w:name w:val="Texte de bulles Car"/>
    <w:basedOn w:val="Policepardfaut"/>
    <w:link w:val="Textedebulles"/>
    <w:uiPriority w:val="99"/>
    <w:semiHidden/>
    <w:rsid w:val="00744A28"/>
    <w:rPr>
      <w:rFonts w:ascii="Tahoma" w:hAnsi="Tahoma" w:cs="Tahoma"/>
      <w:sz w:val="16"/>
      <w:szCs w:val="16"/>
    </w:rPr>
  </w:style>
  <w:style w:type="paragraph" w:styleId="Paragraphedeliste">
    <w:name w:val="List Paragraph"/>
    <w:basedOn w:val="Normal"/>
    <w:uiPriority w:val="34"/>
    <w:qFormat/>
    <w:rsid w:val="00FF0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96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79974-A375-4330-918D-C976181CE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solon.dot</Template>
  <TotalTime>306</TotalTime>
  <Pages>2</Pages>
  <Words>616</Words>
  <Characters>3260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SPM</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SPM</dc:creator>
  <cp:keywords/>
  <dc:description/>
  <cp:lastModifiedBy>BAHUAU Auriane</cp:lastModifiedBy>
  <cp:revision>28</cp:revision>
  <cp:lastPrinted>2011-02-03T15:54:00Z</cp:lastPrinted>
  <dcterms:created xsi:type="dcterms:W3CDTF">2024-02-16T14:28:00Z</dcterms:created>
  <dcterms:modified xsi:type="dcterms:W3CDTF">2024-02-21T11:16:00Z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-368239911</vt:i4>
  </property>
  <property fmtid="{D5CDD505-2E9C-101B-9397-08002B2CF9AE}" pid="3" name="_EmailSubject">
    <vt:lpwstr>Feuilles de style définitives</vt:lpwstr>
  </property>
  <property fmtid="{D5CDD505-2E9C-101B-9397-08002B2CF9AE}" pid="4" name="_AuthorEmail">
    <vt:lpwstr>stephane.bouchard@sgg.pm.gouv.fr</vt:lpwstr>
  </property>
  <property fmtid="{D5CDD505-2E9C-101B-9397-08002B2CF9AE}" pid="5" name="_AuthorEmailDisplayName">
    <vt:lpwstr>BOUCHARD Stephane</vt:lpwstr>
  </property>
  <property fmtid="{D5CDD505-2E9C-101B-9397-08002B2CF9AE}" pid="6" name="_ReviewingToolsShownOnce">
    <vt:lpwstr/>
  </property>
</Properties>
</file>