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8E7" w:rsidRDefault="006D38E7" w:rsidP="006D38E7">
      <w:pPr>
        <w:spacing w:before="100" w:beforeAutospacing="1" w:after="301" w:line="276" w:lineRule="auto"/>
        <w:jc w:val="center"/>
        <w:rPr>
          <w:rFonts w:ascii="Marianne" w:eastAsia="Times New Roman" w:hAnsi="Marianne" w:cs="Calibri"/>
          <w:b/>
          <w:bCs/>
          <w:color w:val="000000"/>
          <w:sz w:val="28"/>
          <w:szCs w:val="28"/>
          <w:lang w:eastAsia="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36.8pt;width:112.5pt;height:81.6pt;z-index:251659264;mso-position-horizontal-relative:text;mso-position-vertical-relative:text;mso-width-relative:page;mso-height-relative:page">
            <v:imagedata r:id="rId6" o:title="MIN_Transition_Energetique_RVB" chromakey="white"/>
          </v:shape>
        </w:pict>
      </w:r>
    </w:p>
    <w:p w:rsidR="00151200" w:rsidRPr="00151200" w:rsidRDefault="00151200" w:rsidP="00E724DC">
      <w:pPr>
        <w:spacing w:before="100" w:beforeAutospacing="1" w:after="301" w:line="276" w:lineRule="auto"/>
        <w:jc w:val="center"/>
        <w:rPr>
          <w:rFonts w:ascii="Marianne" w:eastAsia="Times New Roman" w:hAnsi="Marianne" w:cs="Calibri"/>
          <w:color w:val="000000"/>
          <w:lang w:eastAsia="fr-FR"/>
        </w:rPr>
      </w:pPr>
      <w:r w:rsidRPr="00151200">
        <w:rPr>
          <w:rFonts w:ascii="Marianne" w:eastAsia="Times New Roman" w:hAnsi="Marianne" w:cs="Calibri"/>
          <w:b/>
          <w:bCs/>
          <w:color w:val="000000"/>
          <w:sz w:val="28"/>
          <w:szCs w:val="28"/>
          <w:lang w:eastAsia="fr-FR"/>
        </w:rPr>
        <w:t>Synthèse des observations du public</w:t>
      </w:r>
    </w:p>
    <w:tbl>
      <w:tblPr>
        <w:tblW w:w="9064" w:type="dxa"/>
        <w:tblCellSpacing w:w="0" w:type="dxa"/>
        <w:tblCellMar>
          <w:top w:w="75" w:type="dxa"/>
          <w:left w:w="75" w:type="dxa"/>
          <w:bottom w:w="75" w:type="dxa"/>
          <w:right w:w="75" w:type="dxa"/>
        </w:tblCellMar>
        <w:tblLook w:val="04A0" w:firstRow="1" w:lastRow="0" w:firstColumn="1" w:lastColumn="0" w:noHBand="0" w:noVBand="1"/>
      </w:tblPr>
      <w:tblGrid>
        <w:gridCol w:w="9064"/>
      </w:tblGrid>
      <w:tr w:rsidR="00151200" w:rsidRPr="00151200" w:rsidTr="000D3F25">
        <w:trPr>
          <w:trHeight w:val="720"/>
          <w:tblCellSpacing w:w="0" w:type="dxa"/>
        </w:trPr>
        <w:tc>
          <w:tcPr>
            <w:tcW w:w="9064" w:type="dxa"/>
            <w:tcBorders>
              <w:top w:val="single" w:sz="6" w:space="0" w:color="000000"/>
              <w:left w:val="single" w:sz="6" w:space="0" w:color="000000"/>
              <w:bottom w:val="single" w:sz="6" w:space="0" w:color="000000"/>
              <w:right w:val="single" w:sz="6" w:space="0" w:color="000000"/>
            </w:tcBorders>
            <w:tcMar>
              <w:top w:w="0" w:type="dxa"/>
              <w:left w:w="68" w:type="dxa"/>
              <w:bottom w:w="0" w:type="dxa"/>
              <w:right w:w="68" w:type="dxa"/>
            </w:tcMar>
            <w:hideMark/>
          </w:tcPr>
          <w:p w:rsidR="00151200" w:rsidRPr="00151200" w:rsidRDefault="00151200" w:rsidP="000D3F25">
            <w:pPr>
              <w:spacing w:before="120" w:after="120" w:line="276" w:lineRule="auto"/>
              <w:jc w:val="center"/>
              <w:rPr>
                <w:rFonts w:ascii="Marianne" w:eastAsia="Times New Roman" w:hAnsi="Marianne" w:cs="Calibri"/>
                <w:color w:val="000000"/>
                <w:lang w:eastAsia="fr-FR"/>
              </w:rPr>
            </w:pPr>
            <w:r w:rsidRPr="00151200">
              <w:rPr>
                <w:rFonts w:ascii="Marianne" w:eastAsia="Times New Roman" w:hAnsi="Marianne" w:cs="Calibri"/>
                <w:b/>
                <w:bCs/>
                <w:color w:val="000000"/>
                <w:sz w:val="30"/>
                <w:szCs w:val="30"/>
                <w:lang w:eastAsia="fr-FR"/>
              </w:rPr>
              <w:t xml:space="preserve">Projets de décret </w:t>
            </w:r>
            <w:r w:rsidR="000D3F25">
              <w:rPr>
                <w:rFonts w:ascii="Marianne" w:eastAsia="Times New Roman" w:hAnsi="Marianne" w:cs="Calibri"/>
                <w:b/>
                <w:bCs/>
                <w:color w:val="000000"/>
                <w:sz w:val="30"/>
                <w:szCs w:val="30"/>
                <w:lang w:eastAsia="fr-FR"/>
              </w:rPr>
              <w:t xml:space="preserve">et d’arrêté </w:t>
            </w:r>
            <w:r w:rsidRPr="00151200">
              <w:rPr>
                <w:rFonts w:ascii="Marianne" w:eastAsia="Times New Roman" w:hAnsi="Marianne" w:cs="Calibri"/>
                <w:b/>
                <w:bCs/>
                <w:color w:val="000000"/>
                <w:sz w:val="30"/>
                <w:szCs w:val="30"/>
                <w:lang w:eastAsia="fr-FR"/>
              </w:rPr>
              <w:t xml:space="preserve">relatifs </w:t>
            </w:r>
            <w:r w:rsidR="000D3F25" w:rsidRPr="000D3F25">
              <w:rPr>
                <w:rFonts w:ascii="Marianne" w:eastAsia="Times New Roman" w:hAnsi="Marianne" w:cs="Calibri"/>
                <w:b/>
                <w:bCs/>
                <w:color w:val="000000"/>
                <w:sz w:val="30"/>
                <w:szCs w:val="30"/>
                <w:lang w:eastAsia="fr-FR"/>
              </w:rPr>
              <w:t>aux mesures d’urgence définies en application des articles L. 321-17-1 et L. 321-17-2 du code de l’énergie</w:t>
            </w:r>
          </w:p>
        </w:tc>
      </w:tr>
    </w:tbl>
    <w:p w:rsidR="00151200" w:rsidRPr="00151200" w:rsidRDefault="00151200" w:rsidP="00E724DC">
      <w:pPr>
        <w:spacing w:before="238" w:after="119" w:line="276" w:lineRule="auto"/>
        <w:jc w:val="both"/>
        <w:rPr>
          <w:rFonts w:ascii="Marianne" w:eastAsia="Times New Roman" w:hAnsi="Marianne" w:cs="Calibri"/>
          <w:color w:val="000000"/>
          <w:lang w:eastAsia="fr-FR"/>
        </w:rPr>
      </w:pPr>
      <w:r w:rsidRPr="00151200">
        <w:rPr>
          <w:rFonts w:ascii="Marianne" w:eastAsia="Times New Roman" w:hAnsi="Marianne" w:cs="Calibri"/>
          <w:color w:val="000000"/>
          <w:sz w:val="20"/>
          <w:szCs w:val="20"/>
          <w:lang w:eastAsia="fr-FR"/>
        </w:rPr>
        <w:t xml:space="preserve">Une consultation du public a été menée par voie électronique sur le site Internet du ministère </w:t>
      </w:r>
      <w:bookmarkStart w:id="0" w:name="_GoBack"/>
      <w:bookmarkEnd w:id="0"/>
      <w:r w:rsidRPr="00151200">
        <w:rPr>
          <w:rFonts w:ascii="Marianne" w:eastAsia="Times New Roman" w:hAnsi="Marianne" w:cs="Calibri"/>
          <w:color w:val="000000"/>
          <w:sz w:val="20"/>
          <w:szCs w:val="20"/>
          <w:lang w:eastAsia="fr-FR"/>
        </w:rPr>
        <w:t xml:space="preserve">du </w:t>
      </w:r>
      <w:r w:rsidR="000D3F25">
        <w:rPr>
          <w:rFonts w:ascii="Marianne" w:eastAsia="Times New Roman" w:hAnsi="Marianne" w:cs="Calibri"/>
          <w:color w:val="000000"/>
          <w:sz w:val="20"/>
          <w:szCs w:val="20"/>
          <w:lang w:eastAsia="fr-FR"/>
        </w:rPr>
        <w:t>26 octobre 2022</w:t>
      </w:r>
      <w:r w:rsidRPr="00151200">
        <w:rPr>
          <w:rFonts w:ascii="Marianne" w:eastAsia="Times New Roman" w:hAnsi="Marianne" w:cs="Calibri"/>
          <w:color w:val="000000"/>
          <w:sz w:val="20"/>
          <w:szCs w:val="20"/>
          <w:lang w:eastAsia="fr-FR"/>
        </w:rPr>
        <w:t xml:space="preserve"> au </w:t>
      </w:r>
      <w:r w:rsidR="000D3F25">
        <w:rPr>
          <w:rFonts w:ascii="Marianne" w:eastAsia="Times New Roman" w:hAnsi="Marianne" w:cs="Calibri"/>
          <w:color w:val="000000"/>
          <w:sz w:val="20"/>
          <w:szCs w:val="20"/>
          <w:lang w:eastAsia="fr-FR"/>
        </w:rPr>
        <w:t>15 novembre 2022</w:t>
      </w:r>
      <w:r w:rsidRPr="00151200">
        <w:rPr>
          <w:rFonts w:ascii="Marianne" w:eastAsia="Times New Roman" w:hAnsi="Marianne" w:cs="Calibri"/>
          <w:color w:val="000000"/>
          <w:sz w:val="20"/>
          <w:szCs w:val="20"/>
          <w:lang w:eastAsia="fr-FR"/>
        </w:rPr>
        <w:t xml:space="preserve"> inclus sur le</w:t>
      </w:r>
      <w:r w:rsidR="000D3F25">
        <w:rPr>
          <w:rFonts w:ascii="Marianne" w:eastAsia="Times New Roman" w:hAnsi="Marianne" w:cs="Calibri"/>
          <w:color w:val="000000"/>
          <w:sz w:val="20"/>
          <w:szCs w:val="20"/>
          <w:lang w:eastAsia="fr-FR"/>
        </w:rPr>
        <w:t>s</w:t>
      </w:r>
      <w:r w:rsidRPr="00151200">
        <w:rPr>
          <w:rFonts w:ascii="Marianne" w:eastAsia="Times New Roman" w:hAnsi="Marianne" w:cs="Calibri"/>
          <w:color w:val="000000"/>
          <w:sz w:val="20"/>
          <w:szCs w:val="20"/>
          <w:lang w:eastAsia="fr-FR"/>
        </w:rPr>
        <w:t xml:space="preserve"> projet</w:t>
      </w:r>
      <w:r w:rsidR="000D3F25">
        <w:rPr>
          <w:rFonts w:ascii="Marianne" w:eastAsia="Times New Roman" w:hAnsi="Marianne" w:cs="Calibri"/>
          <w:color w:val="000000"/>
          <w:sz w:val="20"/>
          <w:szCs w:val="20"/>
          <w:lang w:eastAsia="fr-FR"/>
        </w:rPr>
        <w:t>s</w:t>
      </w:r>
      <w:r w:rsidRPr="00151200">
        <w:rPr>
          <w:rFonts w:ascii="Marianne" w:eastAsia="Times New Roman" w:hAnsi="Marianne" w:cs="Calibri"/>
          <w:color w:val="000000"/>
          <w:sz w:val="20"/>
          <w:szCs w:val="20"/>
          <w:lang w:eastAsia="fr-FR"/>
        </w:rPr>
        <w:t xml:space="preserve"> de texte</w:t>
      </w:r>
      <w:r w:rsidR="000D3F25">
        <w:rPr>
          <w:rFonts w:ascii="Marianne" w:eastAsia="Times New Roman" w:hAnsi="Marianne" w:cs="Calibri"/>
          <w:color w:val="000000"/>
          <w:sz w:val="20"/>
          <w:szCs w:val="20"/>
          <w:lang w:eastAsia="fr-FR"/>
        </w:rPr>
        <w:t>s</w:t>
      </w:r>
      <w:r w:rsidRPr="00151200">
        <w:rPr>
          <w:rFonts w:ascii="Marianne" w:eastAsia="Times New Roman" w:hAnsi="Marianne" w:cs="Calibri"/>
          <w:color w:val="000000"/>
          <w:sz w:val="20"/>
          <w:szCs w:val="20"/>
          <w:lang w:eastAsia="fr-FR"/>
        </w:rPr>
        <w:t xml:space="preserve"> susmentionné</w:t>
      </w:r>
      <w:r w:rsidR="000D3F25">
        <w:rPr>
          <w:rFonts w:ascii="Marianne" w:eastAsia="Times New Roman" w:hAnsi="Marianne" w:cs="Calibri"/>
          <w:color w:val="000000"/>
          <w:sz w:val="20"/>
          <w:szCs w:val="20"/>
          <w:lang w:eastAsia="fr-FR"/>
        </w:rPr>
        <w:t>s</w:t>
      </w:r>
      <w:r w:rsidRPr="00151200">
        <w:rPr>
          <w:rFonts w:ascii="Marianne" w:eastAsia="Times New Roman" w:hAnsi="Marianne" w:cs="Calibri"/>
          <w:color w:val="000000"/>
          <w:sz w:val="20"/>
          <w:szCs w:val="20"/>
          <w:lang w:eastAsia="fr-FR"/>
        </w:rPr>
        <w:t>.</w:t>
      </w:r>
    </w:p>
    <w:p w:rsidR="00151200" w:rsidRPr="00151200" w:rsidRDefault="00151200" w:rsidP="000D3F25">
      <w:pPr>
        <w:spacing w:before="100" w:beforeAutospacing="1" w:after="120" w:line="276" w:lineRule="auto"/>
        <w:jc w:val="both"/>
        <w:rPr>
          <w:rFonts w:ascii="Marianne" w:eastAsia="Times New Roman" w:hAnsi="Marianne" w:cs="Calibri"/>
          <w:color w:val="000000"/>
          <w:lang w:eastAsia="fr-FR"/>
        </w:rPr>
      </w:pPr>
      <w:r w:rsidRPr="00151200">
        <w:rPr>
          <w:rFonts w:ascii="Marianne" w:eastAsia="Times New Roman" w:hAnsi="Marianne" w:cs="Calibri"/>
          <w:color w:val="000000"/>
          <w:sz w:val="20"/>
          <w:szCs w:val="20"/>
          <w:lang w:eastAsia="fr-FR"/>
        </w:rPr>
        <w:t>Le public pouvait déposer ses commentaires et avis en suivant le lien suivant :</w:t>
      </w:r>
    </w:p>
    <w:p w:rsidR="000D3F25" w:rsidRDefault="006D38E7" w:rsidP="000D3F25">
      <w:pPr>
        <w:spacing w:after="119" w:line="276" w:lineRule="auto"/>
        <w:jc w:val="both"/>
      </w:pPr>
      <w:hyperlink r:id="rId7" w:history="1">
        <w:r w:rsidR="000D3F25">
          <w:rPr>
            <w:rStyle w:val="Lienhypertexte"/>
          </w:rPr>
          <w:t>https://www.consultations-publiques.developpement-durable.gouv.fr/projets-de-decret-et-d-arrete-relatifs-aux-mesures-a2754.html</w:t>
        </w:r>
      </w:hyperlink>
    </w:p>
    <w:p w:rsidR="000D3F25" w:rsidRDefault="000D3F25" w:rsidP="000D3F25">
      <w:pPr>
        <w:spacing w:after="0" w:line="276" w:lineRule="auto"/>
        <w:jc w:val="both"/>
        <w:rPr>
          <w:rFonts w:ascii="Marianne" w:eastAsia="Times New Roman" w:hAnsi="Marianne" w:cs="Calibri"/>
          <w:i/>
          <w:iCs/>
          <w:color w:val="000000"/>
          <w:sz w:val="24"/>
          <w:szCs w:val="24"/>
          <w:lang w:eastAsia="fr-FR"/>
        </w:rPr>
      </w:pPr>
    </w:p>
    <w:p w:rsidR="00151200" w:rsidRPr="000D3F25" w:rsidRDefault="00151200" w:rsidP="000D3F25">
      <w:pPr>
        <w:spacing w:before="100" w:beforeAutospacing="1" w:after="119" w:line="276" w:lineRule="auto"/>
        <w:ind w:firstLine="708"/>
        <w:jc w:val="both"/>
        <w:rPr>
          <w:rFonts w:ascii="Marianne" w:eastAsia="Times New Roman" w:hAnsi="Marianne" w:cs="Calibri"/>
          <w:color w:val="000000"/>
          <w:u w:val="single"/>
          <w:lang w:eastAsia="fr-FR"/>
        </w:rPr>
      </w:pPr>
      <w:r w:rsidRPr="000D3F25">
        <w:rPr>
          <w:rFonts w:ascii="Marianne" w:eastAsia="Times New Roman" w:hAnsi="Marianne" w:cs="Calibri"/>
          <w:i/>
          <w:iCs/>
          <w:color w:val="000000"/>
          <w:sz w:val="24"/>
          <w:szCs w:val="24"/>
          <w:u w:val="single"/>
          <w:lang w:eastAsia="fr-FR"/>
        </w:rPr>
        <w:t xml:space="preserve">Nombre et </w:t>
      </w:r>
      <w:r w:rsidR="000D3F25">
        <w:rPr>
          <w:rFonts w:ascii="Marianne" w:eastAsia="Times New Roman" w:hAnsi="Marianne" w:cs="Calibri"/>
          <w:i/>
          <w:iCs/>
          <w:color w:val="000000"/>
          <w:sz w:val="24"/>
          <w:szCs w:val="24"/>
          <w:u w:val="single"/>
          <w:lang w:eastAsia="fr-FR"/>
        </w:rPr>
        <w:t>nature des observations reçues</w:t>
      </w:r>
    </w:p>
    <w:p w:rsidR="00151200" w:rsidRPr="00151200" w:rsidRDefault="00E724DC" w:rsidP="00E724DC">
      <w:pPr>
        <w:spacing w:before="238" w:after="119" w:line="276" w:lineRule="auto"/>
        <w:jc w:val="both"/>
        <w:rPr>
          <w:rFonts w:ascii="Marianne" w:eastAsia="Times New Roman" w:hAnsi="Marianne" w:cs="Calibri"/>
          <w:color w:val="000000"/>
          <w:lang w:eastAsia="fr-FR"/>
        </w:rPr>
      </w:pPr>
      <w:r w:rsidRPr="00E724DC">
        <w:rPr>
          <w:rFonts w:ascii="Marianne" w:eastAsia="Times New Roman" w:hAnsi="Marianne" w:cs="Calibri"/>
          <w:color w:val="000000"/>
          <w:sz w:val="20"/>
          <w:szCs w:val="20"/>
          <w:lang w:eastAsia="fr-FR"/>
        </w:rPr>
        <w:t>9</w:t>
      </w:r>
      <w:r w:rsidR="00151200" w:rsidRPr="00151200">
        <w:rPr>
          <w:rFonts w:ascii="Marianne" w:eastAsia="Times New Roman" w:hAnsi="Marianne" w:cs="Calibri"/>
          <w:color w:val="000000"/>
          <w:sz w:val="20"/>
          <w:szCs w:val="20"/>
          <w:lang w:eastAsia="fr-FR"/>
        </w:rPr>
        <w:t xml:space="preserve"> contributions ont été déposées sur le site de la consultation. </w:t>
      </w:r>
    </w:p>
    <w:p w:rsidR="00151200" w:rsidRPr="00151200" w:rsidRDefault="00151200" w:rsidP="000D3F25">
      <w:pPr>
        <w:spacing w:before="238" w:after="0" w:line="276" w:lineRule="auto"/>
        <w:jc w:val="both"/>
        <w:rPr>
          <w:rFonts w:ascii="Marianne" w:eastAsia="Times New Roman" w:hAnsi="Marianne" w:cs="Calibri"/>
          <w:color w:val="000000"/>
          <w:lang w:eastAsia="fr-FR"/>
        </w:rPr>
      </w:pPr>
      <w:r w:rsidRPr="00151200">
        <w:rPr>
          <w:rFonts w:ascii="Marianne" w:eastAsia="Times New Roman" w:hAnsi="Marianne" w:cs="Calibri"/>
          <w:color w:val="000000"/>
          <w:sz w:val="20"/>
          <w:szCs w:val="20"/>
          <w:lang w:eastAsia="fr-FR"/>
        </w:rPr>
        <w:t xml:space="preserve">Sur ces </w:t>
      </w:r>
      <w:r w:rsidR="00E724DC" w:rsidRPr="00E724DC">
        <w:rPr>
          <w:rFonts w:ascii="Marianne" w:eastAsia="Times New Roman" w:hAnsi="Marianne" w:cs="Calibri"/>
          <w:color w:val="000000"/>
          <w:sz w:val="20"/>
          <w:szCs w:val="20"/>
          <w:lang w:eastAsia="fr-FR"/>
        </w:rPr>
        <w:t xml:space="preserve">9 </w:t>
      </w:r>
      <w:r w:rsidRPr="00151200">
        <w:rPr>
          <w:rFonts w:ascii="Marianne" w:eastAsia="Times New Roman" w:hAnsi="Marianne" w:cs="Calibri"/>
          <w:color w:val="000000"/>
          <w:sz w:val="20"/>
          <w:szCs w:val="20"/>
          <w:lang w:eastAsia="fr-FR"/>
        </w:rPr>
        <w:t>contributions</w:t>
      </w:r>
      <w:r w:rsidRPr="00151200">
        <w:rPr>
          <w:rFonts w:ascii="Calibri" w:eastAsia="Times New Roman" w:hAnsi="Calibri" w:cs="Calibri"/>
          <w:color w:val="000000"/>
          <w:sz w:val="20"/>
          <w:szCs w:val="20"/>
          <w:lang w:eastAsia="fr-FR"/>
        </w:rPr>
        <w:t> </w:t>
      </w:r>
      <w:r w:rsidRPr="00151200">
        <w:rPr>
          <w:rFonts w:ascii="Marianne" w:eastAsia="Times New Roman" w:hAnsi="Marianne" w:cs="Calibri"/>
          <w:color w:val="000000"/>
          <w:sz w:val="20"/>
          <w:szCs w:val="20"/>
          <w:lang w:eastAsia="fr-FR"/>
        </w:rPr>
        <w:t>:</w:t>
      </w:r>
    </w:p>
    <w:p w:rsidR="00151200" w:rsidRPr="00151200" w:rsidRDefault="00E724DC" w:rsidP="000D3F25">
      <w:pPr>
        <w:numPr>
          <w:ilvl w:val="0"/>
          <w:numId w:val="1"/>
        </w:numPr>
        <w:spacing w:after="119" w:line="276" w:lineRule="auto"/>
        <w:ind w:left="714" w:hanging="357"/>
        <w:jc w:val="both"/>
        <w:rPr>
          <w:rFonts w:ascii="Marianne" w:eastAsia="Times New Roman" w:hAnsi="Marianne" w:cs="Calibri"/>
          <w:color w:val="000000"/>
          <w:lang w:eastAsia="fr-FR"/>
        </w:rPr>
      </w:pPr>
      <w:r w:rsidRPr="00E724DC">
        <w:rPr>
          <w:rFonts w:ascii="Marianne" w:eastAsia="Times New Roman" w:hAnsi="Marianne" w:cs="Calibri"/>
          <w:color w:val="000000"/>
          <w:sz w:val="20"/>
          <w:szCs w:val="20"/>
          <w:lang w:eastAsia="fr-FR"/>
        </w:rPr>
        <w:t>Aucune ne remet en question l’intérêt des mesures dont l’application est détaillée par le projet de décret.</w:t>
      </w:r>
    </w:p>
    <w:p w:rsidR="00151200" w:rsidRPr="00854AC1" w:rsidRDefault="00854AC1" w:rsidP="00E724DC">
      <w:pPr>
        <w:numPr>
          <w:ilvl w:val="0"/>
          <w:numId w:val="1"/>
        </w:numPr>
        <w:spacing w:before="100" w:beforeAutospacing="1" w:after="119" w:line="276" w:lineRule="auto"/>
        <w:jc w:val="both"/>
        <w:rPr>
          <w:rFonts w:ascii="Marianne" w:eastAsia="Times New Roman" w:hAnsi="Marianne" w:cs="Calibri"/>
          <w:color w:val="000000"/>
          <w:lang w:eastAsia="fr-FR"/>
        </w:rPr>
      </w:pPr>
      <w:r>
        <w:rPr>
          <w:rFonts w:ascii="Marianne" w:eastAsia="Times New Roman" w:hAnsi="Marianne" w:cs="Calibri"/>
          <w:color w:val="000000"/>
          <w:sz w:val="20"/>
          <w:szCs w:val="20"/>
          <w:lang w:eastAsia="fr-FR"/>
        </w:rPr>
        <w:t xml:space="preserve">4 </w:t>
      </w:r>
      <w:r w:rsidR="00151200" w:rsidRPr="00151200">
        <w:rPr>
          <w:rFonts w:ascii="Marianne" w:eastAsia="Times New Roman" w:hAnsi="Marianne" w:cs="Calibri"/>
          <w:color w:val="000000"/>
          <w:sz w:val="20"/>
          <w:szCs w:val="20"/>
          <w:lang w:eastAsia="fr-FR"/>
        </w:rPr>
        <w:t xml:space="preserve">contributions </w:t>
      </w:r>
      <w:r>
        <w:rPr>
          <w:rFonts w:ascii="Marianne" w:eastAsia="Times New Roman" w:hAnsi="Marianne" w:cs="Calibri"/>
          <w:color w:val="000000"/>
          <w:sz w:val="20"/>
          <w:szCs w:val="20"/>
          <w:lang w:eastAsia="fr-FR"/>
        </w:rPr>
        <w:t>évoquent 8 points de rédaction du projet de texte</w:t>
      </w:r>
      <w:r w:rsidR="00151200" w:rsidRPr="00151200">
        <w:rPr>
          <w:rFonts w:ascii="Marianne" w:eastAsia="Times New Roman" w:hAnsi="Marianne" w:cs="Calibri"/>
          <w:color w:val="000000"/>
          <w:sz w:val="20"/>
          <w:szCs w:val="20"/>
          <w:lang w:eastAsia="fr-FR"/>
        </w:rPr>
        <w:t>.</w:t>
      </w:r>
    </w:p>
    <w:p w:rsidR="00854AC1" w:rsidRPr="00151200" w:rsidRDefault="00854AC1" w:rsidP="00E724DC">
      <w:pPr>
        <w:numPr>
          <w:ilvl w:val="0"/>
          <w:numId w:val="1"/>
        </w:numPr>
        <w:spacing w:before="100" w:beforeAutospacing="1" w:after="119" w:line="276" w:lineRule="auto"/>
        <w:jc w:val="both"/>
        <w:rPr>
          <w:rFonts w:ascii="Marianne" w:eastAsia="Times New Roman" w:hAnsi="Marianne" w:cs="Calibri"/>
          <w:color w:val="000000"/>
          <w:lang w:eastAsia="fr-FR"/>
        </w:rPr>
      </w:pPr>
      <w:r>
        <w:rPr>
          <w:rFonts w:ascii="Marianne" w:eastAsia="Times New Roman" w:hAnsi="Marianne" w:cs="Calibri"/>
          <w:color w:val="000000"/>
          <w:sz w:val="20"/>
          <w:szCs w:val="20"/>
          <w:lang w:eastAsia="fr-FR"/>
        </w:rPr>
        <w:t>5 contributions sont des observations liées à l’application des mesures d’urgence prévues aux articles L. 321-17-1 et L. 321-17-2 du code de l’énergie et au dispositif de sanction.</w:t>
      </w:r>
    </w:p>
    <w:p w:rsidR="000D3F25" w:rsidRDefault="000D3F25" w:rsidP="000D3F25">
      <w:pPr>
        <w:spacing w:before="278" w:after="198" w:line="240" w:lineRule="auto"/>
        <w:jc w:val="both"/>
        <w:rPr>
          <w:rFonts w:ascii="Marianne" w:eastAsia="Times New Roman" w:hAnsi="Marianne" w:cs="Calibri"/>
          <w:i/>
          <w:iCs/>
          <w:color w:val="000000"/>
          <w:sz w:val="24"/>
          <w:szCs w:val="24"/>
          <w:lang w:eastAsia="fr-FR"/>
        </w:rPr>
      </w:pPr>
    </w:p>
    <w:p w:rsidR="00151200" w:rsidRPr="000D3F25" w:rsidRDefault="00151200" w:rsidP="000D3F25">
      <w:pPr>
        <w:spacing w:before="278" w:after="198" w:line="240" w:lineRule="auto"/>
        <w:ind w:firstLine="708"/>
        <w:jc w:val="both"/>
        <w:rPr>
          <w:rFonts w:ascii="Marianne" w:eastAsia="Times New Roman" w:hAnsi="Marianne" w:cs="Calibri"/>
          <w:color w:val="000000"/>
          <w:u w:val="single"/>
          <w:lang w:eastAsia="fr-FR"/>
        </w:rPr>
      </w:pPr>
      <w:r w:rsidRPr="000D3F25">
        <w:rPr>
          <w:rFonts w:ascii="Marianne" w:eastAsia="Times New Roman" w:hAnsi="Marianne" w:cs="Calibri"/>
          <w:i/>
          <w:iCs/>
          <w:color w:val="000000"/>
          <w:sz w:val="24"/>
          <w:szCs w:val="24"/>
          <w:u w:val="single"/>
          <w:lang w:eastAsia="fr-FR"/>
        </w:rPr>
        <w:t>Synthè</w:t>
      </w:r>
      <w:r w:rsidR="000D3F25">
        <w:rPr>
          <w:rFonts w:ascii="Marianne" w:eastAsia="Times New Roman" w:hAnsi="Marianne" w:cs="Calibri"/>
          <w:i/>
          <w:iCs/>
          <w:color w:val="000000"/>
          <w:sz w:val="24"/>
          <w:szCs w:val="24"/>
          <w:u w:val="single"/>
          <w:lang w:eastAsia="fr-FR"/>
        </w:rPr>
        <w:t>se des modifications demandées</w:t>
      </w:r>
    </w:p>
    <w:p w:rsidR="00151200" w:rsidRPr="00151200" w:rsidRDefault="00151200" w:rsidP="00E724DC">
      <w:pPr>
        <w:spacing w:before="238" w:after="119" w:line="276" w:lineRule="auto"/>
        <w:jc w:val="both"/>
        <w:rPr>
          <w:rFonts w:ascii="Marianne" w:eastAsia="Times New Roman" w:hAnsi="Marianne" w:cs="Calibri"/>
          <w:color w:val="000000"/>
          <w:lang w:eastAsia="fr-FR"/>
        </w:rPr>
      </w:pPr>
      <w:r w:rsidRPr="00151200">
        <w:rPr>
          <w:rFonts w:ascii="Marianne" w:eastAsia="Times New Roman" w:hAnsi="Marianne" w:cs="Calibri"/>
          <w:color w:val="000000"/>
          <w:sz w:val="20"/>
          <w:szCs w:val="20"/>
          <w:lang w:eastAsia="fr-FR"/>
        </w:rPr>
        <w:t xml:space="preserve">La </w:t>
      </w:r>
      <w:r w:rsidR="00E724DC" w:rsidRPr="00E724DC">
        <w:rPr>
          <w:rFonts w:ascii="Marianne" w:eastAsia="Times New Roman" w:hAnsi="Marianne" w:cs="Calibri"/>
          <w:color w:val="000000"/>
          <w:sz w:val="20"/>
          <w:szCs w:val="20"/>
          <w:lang w:eastAsia="fr-FR"/>
        </w:rPr>
        <w:t>majorité des contributions porte</w:t>
      </w:r>
      <w:r w:rsidRPr="00151200">
        <w:rPr>
          <w:rFonts w:ascii="Marianne" w:eastAsia="Times New Roman" w:hAnsi="Marianne" w:cs="Calibri"/>
          <w:color w:val="000000"/>
          <w:sz w:val="20"/>
          <w:szCs w:val="20"/>
          <w:lang w:eastAsia="fr-FR"/>
        </w:rPr>
        <w:t xml:space="preserve"> sur l</w:t>
      </w:r>
      <w:r w:rsidR="00E724DC" w:rsidRPr="00E724DC">
        <w:rPr>
          <w:rFonts w:ascii="Marianne" w:eastAsia="Times New Roman" w:hAnsi="Marianne" w:cs="Calibri"/>
          <w:color w:val="000000"/>
          <w:sz w:val="20"/>
          <w:szCs w:val="20"/>
          <w:lang w:eastAsia="fr-FR"/>
        </w:rPr>
        <w:t>a liste d</w:t>
      </w:r>
      <w:r w:rsidRPr="00151200">
        <w:rPr>
          <w:rFonts w:ascii="Marianne" w:eastAsia="Times New Roman" w:hAnsi="Marianne" w:cs="Calibri"/>
          <w:color w:val="000000"/>
          <w:sz w:val="20"/>
          <w:szCs w:val="20"/>
          <w:lang w:eastAsia="fr-FR"/>
        </w:rPr>
        <w:t xml:space="preserve">es </w:t>
      </w:r>
      <w:r w:rsidR="00E724DC" w:rsidRPr="00E724DC">
        <w:rPr>
          <w:rFonts w:ascii="Marianne" w:eastAsia="Times New Roman" w:hAnsi="Marianne" w:cs="Calibri"/>
          <w:color w:val="000000"/>
          <w:sz w:val="20"/>
          <w:szCs w:val="20"/>
          <w:lang w:eastAsia="fr-FR"/>
        </w:rPr>
        <w:t>sites exemptés de l’obligation prévue par l’article L. 321-17-2 du code de l’énergie</w:t>
      </w:r>
      <w:r w:rsidR="000D3F25">
        <w:rPr>
          <w:rFonts w:ascii="Marianne" w:eastAsia="Times New Roman" w:hAnsi="Marianne" w:cs="Calibri"/>
          <w:color w:val="000000"/>
          <w:sz w:val="20"/>
          <w:szCs w:val="20"/>
          <w:lang w:eastAsia="fr-FR"/>
        </w:rPr>
        <w:t xml:space="preserve"> et sur les dispositions relatives aux sanctions</w:t>
      </w:r>
      <w:r w:rsidRPr="00151200">
        <w:rPr>
          <w:rFonts w:ascii="Marianne" w:eastAsia="Times New Roman" w:hAnsi="Marianne" w:cs="Calibri"/>
          <w:color w:val="000000"/>
          <w:sz w:val="20"/>
          <w:szCs w:val="20"/>
          <w:lang w:eastAsia="fr-FR"/>
        </w:rPr>
        <w:t xml:space="preserve">. </w:t>
      </w:r>
    </w:p>
    <w:p w:rsidR="00151200" w:rsidRDefault="00151200" w:rsidP="00E724DC">
      <w:pPr>
        <w:spacing w:before="238" w:after="119" w:line="276" w:lineRule="auto"/>
        <w:jc w:val="both"/>
        <w:rPr>
          <w:rFonts w:ascii="Marianne" w:eastAsia="Times New Roman" w:hAnsi="Marianne" w:cs="Calibri"/>
          <w:color w:val="000000"/>
          <w:sz w:val="20"/>
          <w:szCs w:val="20"/>
          <w:lang w:eastAsia="fr-FR"/>
        </w:rPr>
      </w:pPr>
      <w:r w:rsidRPr="00151200">
        <w:rPr>
          <w:rFonts w:ascii="Marianne" w:eastAsia="Times New Roman" w:hAnsi="Marianne" w:cs="Calibri"/>
          <w:color w:val="000000"/>
          <w:sz w:val="20"/>
          <w:szCs w:val="20"/>
          <w:lang w:eastAsia="fr-FR"/>
        </w:rPr>
        <w:t>Conformément au dernier alinéa du II de l’article L. 123-19-1 du code de l’environnement, la présente</w:t>
      </w:r>
      <w:r w:rsidR="009F6B20">
        <w:rPr>
          <w:rFonts w:ascii="Marianne" w:eastAsia="Times New Roman" w:hAnsi="Marianne" w:cs="Calibri"/>
          <w:color w:val="000000"/>
          <w:sz w:val="20"/>
          <w:szCs w:val="20"/>
          <w:lang w:eastAsia="fr-FR"/>
        </w:rPr>
        <w:t xml:space="preserve"> synthèse indique en annexe les </w:t>
      </w:r>
      <w:r w:rsidR="00E724DC" w:rsidRPr="00E724DC">
        <w:rPr>
          <w:rFonts w:ascii="Marianne" w:eastAsia="Times New Roman" w:hAnsi="Marianne" w:cs="Calibri"/>
          <w:color w:val="000000"/>
          <w:sz w:val="20"/>
          <w:szCs w:val="20"/>
          <w:lang w:eastAsia="fr-FR"/>
        </w:rPr>
        <w:t>observation</w:t>
      </w:r>
      <w:r w:rsidR="009F6B20">
        <w:rPr>
          <w:rFonts w:ascii="Marianne" w:eastAsia="Times New Roman" w:hAnsi="Marianne" w:cs="Calibri"/>
          <w:color w:val="000000"/>
          <w:sz w:val="20"/>
          <w:szCs w:val="20"/>
          <w:lang w:eastAsia="fr-FR"/>
        </w:rPr>
        <w:t>s</w:t>
      </w:r>
      <w:r w:rsidRPr="00151200">
        <w:rPr>
          <w:rFonts w:ascii="Marianne" w:eastAsia="Times New Roman" w:hAnsi="Marianne" w:cs="Calibri"/>
          <w:color w:val="000000"/>
          <w:sz w:val="20"/>
          <w:szCs w:val="20"/>
          <w:lang w:eastAsia="fr-FR"/>
        </w:rPr>
        <w:t xml:space="preserve"> du public dont il a été tenu compte.</w:t>
      </w:r>
      <w:r w:rsidR="00E724DC" w:rsidRPr="00E724DC">
        <w:rPr>
          <w:rFonts w:ascii="Marianne" w:eastAsia="Times New Roman" w:hAnsi="Marianne" w:cs="Calibri"/>
          <w:color w:val="000000"/>
          <w:sz w:val="20"/>
          <w:szCs w:val="20"/>
          <w:lang w:eastAsia="fr-FR"/>
        </w:rPr>
        <w:t xml:space="preserve"> L’administration motive dans cette même annexe les raisons qui conduisent à ne pas donner suite aux autres observations.</w:t>
      </w:r>
      <w:r w:rsidRPr="00151200">
        <w:rPr>
          <w:rFonts w:ascii="Marianne" w:eastAsia="Times New Roman" w:hAnsi="Marianne" w:cs="Calibri"/>
          <w:color w:val="000000"/>
          <w:sz w:val="20"/>
          <w:szCs w:val="20"/>
          <w:lang w:eastAsia="fr-FR"/>
        </w:rPr>
        <w:t xml:space="preserve"> </w:t>
      </w:r>
    </w:p>
    <w:p w:rsidR="00854AC1" w:rsidRPr="00151200" w:rsidRDefault="00854AC1" w:rsidP="00E724DC">
      <w:pPr>
        <w:spacing w:before="238" w:after="119" w:line="276" w:lineRule="auto"/>
        <w:jc w:val="both"/>
        <w:rPr>
          <w:rFonts w:ascii="Marianne" w:eastAsia="Times New Roman" w:hAnsi="Marianne" w:cs="Calibri"/>
          <w:color w:val="000000"/>
          <w:lang w:eastAsia="fr-FR"/>
        </w:rPr>
      </w:pPr>
    </w:p>
    <w:p w:rsidR="00151200" w:rsidRPr="00151200" w:rsidRDefault="00854AC1" w:rsidP="00151200">
      <w:pPr>
        <w:spacing w:before="100" w:beforeAutospacing="1" w:after="198" w:line="276" w:lineRule="auto"/>
        <w:rPr>
          <w:rFonts w:ascii="Marianne" w:eastAsia="Times New Roman" w:hAnsi="Marianne" w:cs="Calibri"/>
          <w:color w:val="000000"/>
          <w:sz w:val="20"/>
          <w:szCs w:val="20"/>
          <w:lang w:eastAsia="fr-FR"/>
        </w:rPr>
      </w:pPr>
      <w:r w:rsidRPr="00854AC1">
        <w:rPr>
          <w:rFonts w:ascii="Marianne" w:eastAsia="Times New Roman" w:hAnsi="Marianne" w:cs="Calibri"/>
          <w:color w:val="000000"/>
          <w:sz w:val="20"/>
          <w:szCs w:val="20"/>
          <w:lang w:eastAsia="fr-FR"/>
        </w:rPr>
        <w:t>Fait à la défense, le</w:t>
      </w:r>
    </w:p>
    <w:p w:rsidR="00151200" w:rsidRPr="00151200" w:rsidRDefault="00151200" w:rsidP="00151200">
      <w:pPr>
        <w:keepNext/>
        <w:pageBreakBefore/>
        <w:spacing w:after="119" w:line="276" w:lineRule="auto"/>
        <w:jc w:val="center"/>
        <w:outlineLvl w:val="0"/>
        <w:rPr>
          <w:rFonts w:ascii="Calibri" w:eastAsia="Times New Roman" w:hAnsi="Calibri" w:cs="Calibri"/>
          <w:b/>
          <w:bCs/>
          <w:i/>
          <w:iCs/>
          <w:color w:val="000000"/>
          <w:kern w:val="36"/>
          <w:lang w:eastAsia="fr-FR"/>
        </w:rPr>
      </w:pPr>
      <w:r w:rsidRPr="00151200">
        <w:rPr>
          <w:rFonts w:ascii="Calibri" w:eastAsia="Times New Roman" w:hAnsi="Calibri" w:cs="Calibri"/>
          <w:b/>
          <w:bCs/>
          <w:i/>
          <w:iCs/>
          <w:color w:val="000000"/>
          <w:kern w:val="36"/>
          <w:lang w:eastAsia="fr-FR"/>
        </w:rPr>
        <w:lastRenderedPageBreak/>
        <w:t xml:space="preserve">Annexe : observations du public </w:t>
      </w:r>
      <w:r w:rsidR="00A364D0">
        <w:rPr>
          <w:rFonts w:ascii="Calibri" w:eastAsia="Times New Roman" w:hAnsi="Calibri" w:cs="Calibri"/>
          <w:b/>
          <w:bCs/>
          <w:i/>
          <w:iCs/>
          <w:color w:val="000000"/>
          <w:kern w:val="36"/>
          <w:lang w:eastAsia="fr-FR"/>
        </w:rPr>
        <w:t>et suite donnée par l’administration</w:t>
      </w:r>
    </w:p>
    <w:tbl>
      <w:tblPr>
        <w:tblStyle w:val="Grilledutableau"/>
        <w:tblW w:w="0" w:type="auto"/>
        <w:tblLook w:val="04A0" w:firstRow="1" w:lastRow="0" w:firstColumn="1" w:lastColumn="0" w:noHBand="0" w:noVBand="1"/>
      </w:tblPr>
      <w:tblGrid>
        <w:gridCol w:w="886"/>
        <w:gridCol w:w="2360"/>
        <w:gridCol w:w="3343"/>
        <w:gridCol w:w="2473"/>
      </w:tblGrid>
      <w:tr w:rsidR="00F5514D" w:rsidTr="003E5572">
        <w:tc>
          <w:tcPr>
            <w:tcW w:w="886" w:type="dxa"/>
          </w:tcPr>
          <w:p w:rsidR="00151200" w:rsidRDefault="00151200">
            <w:r>
              <w:t>N°</w:t>
            </w:r>
          </w:p>
        </w:tc>
        <w:tc>
          <w:tcPr>
            <w:tcW w:w="2086" w:type="dxa"/>
          </w:tcPr>
          <w:p w:rsidR="00151200" w:rsidRDefault="00F5514D">
            <w:r>
              <w:t>Contributeur</w:t>
            </w:r>
          </w:p>
        </w:tc>
        <w:tc>
          <w:tcPr>
            <w:tcW w:w="3544" w:type="dxa"/>
          </w:tcPr>
          <w:p w:rsidR="00151200" w:rsidRDefault="00F5514D">
            <w:r>
              <w:t>Proposition rédactionnelle</w:t>
            </w:r>
          </w:p>
        </w:tc>
        <w:tc>
          <w:tcPr>
            <w:tcW w:w="2546" w:type="dxa"/>
          </w:tcPr>
          <w:p w:rsidR="00151200" w:rsidRDefault="00F5514D">
            <w:r>
              <w:t>Suite donnée</w:t>
            </w:r>
          </w:p>
        </w:tc>
      </w:tr>
      <w:tr w:rsidR="00F5514D" w:rsidTr="003E5572">
        <w:tc>
          <w:tcPr>
            <w:tcW w:w="886" w:type="dxa"/>
          </w:tcPr>
          <w:p w:rsidR="00151200" w:rsidRDefault="00414BC6">
            <w:r>
              <w:t>881220</w:t>
            </w:r>
          </w:p>
        </w:tc>
        <w:tc>
          <w:tcPr>
            <w:tcW w:w="2086" w:type="dxa"/>
          </w:tcPr>
          <w:p w:rsidR="00151200" w:rsidRDefault="00F5514D">
            <w:r>
              <w:t>EDF</w:t>
            </w:r>
          </w:p>
          <w:p w:rsidR="00F5514D" w:rsidRDefault="00F5514D">
            <w:r w:rsidRPr="00F5514D">
              <w:t>marc.stoltz@edf.fr</w:t>
            </w:r>
          </w:p>
        </w:tc>
        <w:tc>
          <w:tcPr>
            <w:tcW w:w="3544" w:type="dxa"/>
          </w:tcPr>
          <w:p w:rsidR="00151200" w:rsidRDefault="00F5514D">
            <w:r>
              <w:t>Ajouter à l’article D.321-30 la mention : « </w:t>
            </w:r>
            <w:r w:rsidRPr="00F5514D">
              <w:t>Les installations nucléaires de base visées à l’article L593-2 du code de l’environnement ;</w:t>
            </w:r>
            <w:r>
              <w:t> »</w:t>
            </w:r>
          </w:p>
        </w:tc>
        <w:tc>
          <w:tcPr>
            <w:tcW w:w="2546" w:type="dxa"/>
          </w:tcPr>
          <w:p w:rsidR="00151200" w:rsidRDefault="00E724DC">
            <w:r>
              <w:t>MENTION REPRISE</w:t>
            </w:r>
          </w:p>
        </w:tc>
      </w:tr>
      <w:tr w:rsidR="00F5514D" w:rsidTr="003E5572">
        <w:tc>
          <w:tcPr>
            <w:tcW w:w="886" w:type="dxa"/>
          </w:tcPr>
          <w:p w:rsidR="00151200" w:rsidRDefault="00F5514D">
            <w:r>
              <w:t>881220</w:t>
            </w:r>
          </w:p>
        </w:tc>
        <w:tc>
          <w:tcPr>
            <w:tcW w:w="2086" w:type="dxa"/>
          </w:tcPr>
          <w:p w:rsidR="00151200" w:rsidRDefault="00F5514D">
            <w:r>
              <w:t>EDF</w:t>
            </w:r>
          </w:p>
          <w:p w:rsidR="00F5514D" w:rsidRDefault="00F5514D">
            <w:r w:rsidRPr="00F5514D">
              <w:t>marc.stoltz@edf.fr</w:t>
            </w:r>
          </w:p>
        </w:tc>
        <w:tc>
          <w:tcPr>
            <w:tcW w:w="3544" w:type="dxa"/>
          </w:tcPr>
          <w:p w:rsidR="00151200" w:rsidRDefault="00F5514D" w:rsidP="00F5514D">
            <w:r>
              <w:t>Modifier le dernier alinéa et le remplacer par : « </w:t>
            </w:r>
            <w:r w:rsidRPr="00F5514D">
              <w:t>L’exploitant d’une installation de production ou de stockage d’électricité n’est pas tenu de mettre à</w:t>
            </w:r>
            <w:r>
              <w:t xml:space="preserve"> </w:t>
            </w:r>
            <w:r w:rsidRPr="00F5514D">
              <w:t>disposition la puissance nécessaire au secours de tous les dispositifs requis pour garantir la</w:t>
            </w:r>
            <w:r>
              <w:t xml:space="preserve"> </w:t>
            </w:r>
            <w:r w:rsidRPr="00F5514D">
              <w:t>pérennité, la mise en sécurité du matériel, la fiabilité et la disponibilité du moyen de production</w:t>
            </w:r>
            <w:r>
              <w:t xml:space="preserve"> </w:t>
            </w:r>
            <w:r w:rsidRPr="00F5514D">
              <w:t>concerné et tous les dispositifs assurant une fonction de redémarrage de manière autonome.</w:t>
            </w:r>
            <w:r>
              <w:t> »</w:t>
            </w:r>
          </w:p>
        </w:tc>
        <w:tc>
          <w:tcPr>
            <w:tcW w:w="2546" w:type="dxa"/>
          </w:tcPr>
          <w:p w:rsidR="00E724DC" w:rsidRDefault="00E724DC" w:rsidP="00C36434">
            <w:r>
              <w:t>NON REPRIS</w:t>
            </w:r>
          </w:p>
          <w:p w:rsidR="00E724DC" w:rsidRDefault="00E724DC" w:rsidP="00C36434"/>
          <w:p w:rsidR="00151200" w:rsidRDefault="00285976" w:rsidP="00C36434">
            <w:r>
              <w:t xml:space="preserve">La proposition revient à exclure tous les moyens de secours alors que l’objet de la mesure est justement de mobiliser certains moyens de secours en cas d’émission d’un signal </w:t>
            </w:r>
            <w:proofErr w:type="spellStart"/>
            <w:r>
              <w:t>écowatt</w:t>
            </w:r>
            <w:proofErr w:type="spellEnd"/>
            <w:r>
              <w:t xml:space="preserve"> rouge.</w:t>
            </w:r>
          </w:p>
        </w:tc>
      </w:tr>
      <w:tr w:rsidR="00F5514D" w:rsidTr="003E5572">
        <w:tc>
          <w:tcPr>
            <w:tcW w:w="886" w:type="dxa"/>
          </w:tcPr>
          <w:p w:rsidR="00151200" w:rsidRDefault="00F5514D">
            <w:r>
              <w:t>881849</w:t>
            </w:r>
          </w:p>
        </w:tc>
        <w:tc>
          <w:tcPr>
            <w:tcW w:w="2086" w:type="dxa"/>
          </w:tcPr>
          <w:p w:rsidR="00F5514D" w:rsidRDefault="00F5514D">
            <w:proofErr w:type="spellStart"/>
            <w:proofErr w:type="gramStart"/>
            <w:r>
              <w:t>anne</w:t>
            </w:r>
            <w:proofErr w:type="gramEnd"/>
            <w:r>
              <w:t>-sophie.chamoy</w:t>
            </w:r>
            <w:proofErr w:type="spellEnd"/>
            <w:r>
              <w:t>@</w:t>
            </w:r>
          </w:p>
          <w:p w:rsidR="00151200" w:rsidRDefault="00F5514D">
            <w:r w:rsidRPr="00F5514D">
              <w:t>energy-pool.eu</w:t>
            </w:r>
          </w:p>
        </w:tc>
        <w:tc>
          <w:tcPr>
            <w:tcW w:w="3544" w:type="dxa"/>
          </w:tcPr>
          <w:p w:rsidR="00151200" w:rsidRDefault="00E724DC" w:rsidP="00E724DC">
            <w:pPr>
              <w:jc w:val="center"/>
            </w:pPr>
            <w:r>
              <w:t>-</w:t>
            </w:r>
          </w:p>
          <w:p w:rsidR="00A364D0" w:rsidRDefault="00A364D0" w:rsidP="00A364D0"/>
        </w:tc>
        <w:tc>
          <w:tcPr>
            <w:tcW w:w="2546" w:type="dxa"/>
          </w:tcPr>
          <w:p w:rsidR="003A6796" w:rsidRPr="003A6796" w:rsidRDefault="003A6796" w:rsidP="003A6796">
            <w:r w:rsidRPr="003A6796">
              <w:t>Réponse aux observations :</w:t>
            </w:r>
          </w:p>
          <w:p w:rsidR="003A6796" w:rsidRPr="003A6796" w:rsidRDefault="003A6796" w:rsidP="003A6796"/>
          <w:p w:rsidR="003A6796" w:rsidRDefault="003A6796" w:rsidP="003A6796">
            <w:r w:rsidRPr="003A6796">
              <w:t>La phase de contradiction prévue en cas de sanction envisagée permettra de justifier les raisons de l’indisponibilité d’une offre. Une sanction ne serait prononcée qu’à condition que cette phase de contradiction conclut que la capacité d’effacement, d’ajustement ou de mobilisation d’un moyen de secours était techniquement disponible.</w:t>
            </w:r>
            <w:r>
              <w:t xml:space="preserve"> Les causes extérieures d’une indisponibilité seront ainsi prises en considération.</w:t>
            </w:r>
          </w:p>
          <w:p w:rsidR="003A6796" w:rsidRDefault="003A6796" w:rsidP="003A6796"/>
          <w:p w:rsidR="003A6796" w:rsidRPr="00C64D60" w:rsidRDefault="003A6796" w:rsidP="003A6796">
            <w:pPr>
              <w:rPr>
                <w:i/>
              </w:rPr>
            </w:pPr>
            <w:r>
              <w:t xml:space="preserve">Afin de tenir compte des différentes situations possibles, les sanctions doivent pouvoir s’appliquer soit au </w:t>
            </w:r>
            <w:r>
              <w:lastRenderedPageBreak/>
              <w:t>gestionnaire d’un site qui n’aurait pas déclaré ses capacités techniques disponibles, soit à un agrégateur qui n’aurait pas valorisé auprès de RTE la capacité technique disponible.</w:t>
            </w:r>
          </w:p>
        </w:tc>
      </w:tr>
      <w:tr w:rsidR="00F5514D" w:rsidTr="003E5572">
        <w:tc>
          <w:tcPr>
            <w:tcW w:w="886" w:type="dxa"/>
          </w:tcPr>
          <w:p w:rsidR="00151200" w:rsidRDefault="00F5514D">
            <w:r>
              <w:lastRenderedPageBreak/>
              <w:t>881850</w:t>
            </w:r>
          </w:p>
        </w:tc>
        <w:tc>
          <w:tcPr>
            <w:tcW w:w="2086" w:type="dxa"/>
          </w:tcPr>
          <w:p w:rsidR="003445AA" w:rsidRDefault="003445AA">
            <w:r>
              <w:t>Luciole</w:t>
            </w:r>
          </w:p>
          <w:p w:rsidR="00F5514D" w:rsidRDefault="00F5514D">
            <w:proofErr w:type="spellStart"/>
            <w:proofErr w:type="gramStart"/>
            <w:r w:rsidRPr="00F5514D">
              <w:t>natacha.hakwik</w:t>
            </w:r>
            <w:proofErr w:type="spellEnd"/>
            <w:proofErr w:type="gramEnd"/>
            <w:r w:rsidRPr="00F5514D">
              <w:t>@</w:t>
            </w:r>
          </w:p>
          <w:p w:rsidR="00151200" w:rsidRDefault="00F5514D">
            <w:proofErr w:type="spellStart"/>
            <w:r w:rsidRPr="00F5514D">
              <w:t>luciole.energy</w:t>
            </w:r>
            <w:proofErr w:type="spellEnd"/>
          </w:p>
        </w:tc>
        <w:tc>
          <w:tcPr>
            <w:tcW w:w="3544" w:type="dxa"/>
          </w:tcPr>
          <w:p w:rsidR="00151200" w:rsidRDefault="00E724DC" w:rsidP="00E724DC">
            <w:pPr>
              <w:jc w:val="center"/>
            </w:pPr>
            <w:r>
              <w:t>-</w:t>
            </w:r>
          </w:p>
        </w:tc>
        <w:tc>
          <w:tcPr>
            <w:tcW w:w="2546" w:type="dxa"/>
          </w:tcPr>
          <w:p w:rsidR="003A6796" w:rsidRPr="003A6796" w:rsidRDefault="003A6796" w:rsidP="003A6796">
            <w:r w:rsidRPr="003A6796">
              <w:t>Réponse aux observations :</w:t>
            </w:r>
          </w:p>
          <w:p w:rsidR="003A6796" w:rsidRPr="003A6796" w:rsidRDefault="003A6796" w:rsidP="003A6796"/>
          <w:p w:rsidR="00151200" w:rsidRDefault="003A6796" w:rsidP="003A6796">
            <w:r w:rsidRPr="003A6796">
              <w:t>La phase de contradiction prévue en cas de sanction envisagée permettra de justifier les raisons de l’indisponibilité d’une offre. Une sanction ne serait prononcée qu’à condition que cette phase de contradiction conclut que la capacité d’effacement, d’ajustement ou de mobilisation d’un moyen de secours était techniquement disponible.</w:t>
            </w:r>
            <w:r>
              <w:t xml:space="preserve"> Les causes extérieures d’une indisponibilité seront ainsi prises en considération.</w:t>
            </w:r>
          </w:p>
          <w:p w:rsidR="003A6796" w:rsidRDefault="003A6796" w:rsidP="003A6796"/>
          <w:p w:rsidR="003A6796" w:rsidRPr="00C64D60" w:rsidRDefault="003A6796" w:rsidP="003A6796">
            <w:pPr>
              <w:rPr>
                <w:i/>
              </w:rPr>
            </w:pPr>
            <w:r>
              <w:t>Afin de tenir compte des différentes situations possibles, les sanctions doivent pouvoir s’appliquer soit au gestionnaire d’un site qui n’aurait pas déclaré ses capacités techniques disponibles, soit à un agrégateur qui n’aurait pas valorisé auprès de RTE la capacité technique disponible.</w:t>
            </w:r>
          </w:p>
        </w:tc>
      </w:tr>
      <w:tr w:rsidR="00F5514D" w:rsidTr="003E5572">
        <w:tc>
          <w:tcPr>
            <w:tcW w:w="886" w:type="dxa"/>
          </w:tcPr>
          <w:p w:rsidR="00151200" w:rsidRDefault="00F5514D">
            <w:r>
              <w:t>881852</w:t>
            </w:r>
          </w:p>
        </w:tc>
        <w:tc>
          <w:tcPr>
            <w:tcW w:w="2086" w:type="dxa"/>
          </w:tcPr>
          <w:p w:rsidR="00F5514D" w:rsidRDefault="00F5514D">
            <w:proofErr w:type="spellStart"/>
            <w:proofErr w:type="gramStart"/>
            <w:r w:rsidRPr="00F5514D">
              <w:t>noemie.royer</w:t>
            </w:r>
            <w:proofErr w:type="spellEnd"/>
            <w:proofErr w:type="gramEnd"/>
            <w:r w:rsidRPr="00F5514D">
              <w:t>@</w:t>
            </w:r>
          </w:p>
          <w:p w:rsidR="00151200" w:rsidRDefault="00F5514D">
            <w:r w:rsidRPr="00F5514D">
              <w:t>sharklasers.com</w:t>
            </w:r>
          </w:p>
        </w:tc>
        <w:tc>
          <w:tcPr>
            <w:tcW w:w="3544" w:type="dxa"/>
          </w:tcPr>
          <w:p w:rsidR="00151200" w:rsidRDefault="00C36434" w:rsidP="003445AA">
            <w:r>
              <w:t xml:space="preserve">Abus de langage - </w:t>
            </w:r>
            <w:r w:rsidR="00F5514D">
              <w:t>Utilisation du mot « tension »</w:t>
            </w:r>
            <w:r w:rsidR="003445AA">
              <w:t xml:space="preserve"> - Ne pas utiliser les mots « forte tension » pour désigner une menace sur l’équilibre offre-demande</w:t>
            </w:r>
          </w:p>
        </w:tc>
        <w:tc>
          <w:tcPr>
            <w:tcW w:w="2546" w:type="dxa"/>
          </w:tcPr>
          <w:p w:rsidR="00E724DC" w:rsidRDefault="00E724DC" w:rsidP="003445AA">
            <w:r>
              <w:t>NON REPRIS</w:t>
            </w:r>
          </w:p>
          <w:p w:rsidR="00E724DC" w:rsidRDefault="00E724DC" w:rsidP="003445AA"/>
          <w:p w:rsidR="00151200" w:rsidRDefault="003445AA" w:rsidP="003445AA">
            <w:r>
              <w:t>Le décret reprend la formulation des articles L.</w:t>
            </w:r>
            <w:r w:rsidR="000D3F25">
              <w:t xml:space="preserve"> </w:t>
            </w:r>
            <w:r>
              <w:t>321-17-1 et L.</w:t>
            </w:r>
            <w:r w:rsidR="000D3F25">
              <w:t xml:space="preserve"> </w:t>
            </w:r>
            <w:r>
              <w:t>321-17-2 du code de l’énergie</w:t>
            </w:r>
            <w:r w:rsidR="00E724DC">
              <w:t>.</w:t>
            </w:r>
          </w:p>
        </w:tc>
      </w:tr>
      <w:tr w:rsidR="00F5514D" w:rsidTr="003E5572">
        <w:tc>
          <w:tcPr>
            <w:tcW w:w="886" w:type="dxa"/>
          </w:tcPr>
          <w:p w:rsidR="00151200" w:rsidRDefault="003445AA">
            <w:r>
              <w:t>881964</w:t>
            </w:r>
          </w:p>
        </w:tc>
        <w:tc>
          <w:tcPr>
            <w:tcW w:w="2086" w:type="dxa"/>
          </w:tcPr>
          <w:p w:rsidR="00151200" w:rsidRDefault="003445AA">
            <w:r>
              <w:t>Véolia Eau France</w:t>
            </w:r>
          </w:p>
          <w:p w:rsidR="003445AA" w:rsidRDefault="003445AA">
            <w:proofErr w:type="spellStart"/>
            <w:proofErr w:type="gramStart"/>
            <w:r w:rsidRPr="003445AA">
              <w:t>patrick.faisques</w:t>
            </w:r>
            <w:proofErr w:type="spellEnd"/>
            <w:proofErr w:type="gramEnd"/>
            <w:r w:rsidRPr="003445AA">
              <w:t>@</w:t>
            </w:r>
          </w:p>
          <w:p w:rsidR="003445AA" w:rsidRDefault="003445AA">
            <w:r w:rsidRPr="003445AA">
              <w:t>veolia.com</w:t>
            </w:r>
          </w:p>
        </w:tc>
        <w:tc>
          <w:tcPr>
            <w:tcW w:w="3544" w:type="dxa"/>
          </w:tcPr>
          <w:p w:rsidR="009A242F" w:rsidRDefault="009A242F" w:rsidP="009A242F">
            <w:r>
              <w:t>Préciser que dans le cas où l’on est Opérateur d’Importance Vitale, l’article D321-30</w:t>
            </w:r>
          </w:p>
          <w:p w:rsidR="009A242F" w:rsidRDefault="009A242F" w:rsidP="009A242F">
            <w:proofErr w:type="gramStart"/>
            <w:r>
              <w:t>concerne</w:t>
            </w:r>
            <w:proofErr w:type="gramEnd"/>
            <w:r>
              <w:t xml:space="preserve"> l’ensemble des installations gérées par cet opérateur, qu’elles soient PIV (Point d’Importance</w:t>
            </w:r>
          </w:p>
          <w:p w:rsidR="00151200" w:rsidRDefault="009A242F" w:rsidP="009A242F">
            <w:r>
              <w:t>Vitale) ou non</w:t>
            </w:r>
          </w:p>
        </w:tc>
        <w:tc>
          <w:tcPr>
            <w:tcW w:w="2546" w:type="dxa"/>
          </w:tcPr>
          <w:p w:rsidR="002440DC" w:rsidRPr="003A6796" w:rsidRDefault="002440DC" w:rsidP="002440DC">
            <w:r w:rsidRPr="003A6796">
              <w:t>Réponse aux observations :</w:t>
            </w:r>
          </w:p>
          <w:p w:rsidR="002440DC" w:rsidRDefault="002440DC" w:rsidP="002440DC"/>
          <w:p w:rsidR="00151200" w:rsidRDefault="002440DC" w:rsidP="002440DC">
            <w:r w:rsidRPr="002440DC">
              <w:t xml:space="preserve">Les sites des </w:t>
            </w:r>
            <w:r>
              <w:t>opérateurs d’importance vitale</w:t>
            </w:r>
            <w:r w:rsidRPr="002440DC">
              <w:t xml:space="preserve">, y compris ceux qui ne sont pas </w:t>
            </w:r>
            <w:r>
              <w:t>identifiés comme point d’importance vitale</w:t>
            </w:r>
            <w:r w:rsidRPr="002440DC">
              <w:t>, font partie des catégories de consommateurs exemptées.</w:t>
            </w:r>
          </w:p>
        </w:tc>
      </w:tr>
      <w:tr w:rsidR="00C64D60" w:rsidRPr="003445AA" w:rsidTr="003E5572">
        <w:tc>
          <w:tcPr>
            <w:tcW w:w="886" w:type="dxa"/>
          </w:tcPr>
          <w:p w:rsidR="00C64D60" w:rsidRDefault="00C64D60" w:rsidP="00C64D60">
            <w:r>
              <w:t>881966</w:t>
            </w:r>
          </w:p>
        </w:tc>
        <w:tc>
          <w:tcPr>
            <w:tcW w:w="2086" w:type="dxa"/>
          </w:tcPr>
          <w:p w:rsidR="00C64D60" w:rsidRPr="000D3F25" w:rsidRDefault="00C64D60" w:rsidP="00C64D60">
            <w:pPr>
              <w:rPr>
                <w:lang w:val="it-IT"/>
              </w:rPr>
            </w:pPr>
            <w:r w:rsidRPr="000D3F25">
              <w:rPr>
                <w:lang w:val="it-IT"/>
              </w:rPr>
              <w:t>Microsoft France</w:t>
            </w:r>
          </w:p>
          <w:p w:rsidR="00C64D60" w:rsidRPr="000D3F25" w:rsidRDefault="00C64D60" w:rsidP="00C64D60">
            <w:pPr>
              <w:rPr>
                <w:lang w:val="it-IT"/>
              </w:rPr>
            </w:pPr>
            <w:r w:rsidRPr="000D3F25">
              <w:rPr>
                <w:lang w:val="it-IT"/>
              </w:rPr>
              <w:t>cgeissmann@</w:t>
            </w:r>
          </w:p>
          <w:p w:rsidR="00C64D60" w:rsidRPr="000D3F25" w:rsidRDefault="00C64D60" w:rsidP="00C64D60">
            <w:pPr>
              <w:rPr>
                <w:lang w:val="it-IT"/>
              </w:rPr>
            </w:pPr>
            <w:r w:rsidRPr="000D3F25">
              <w:rPr>
                <w:lang w:val="it-IT"/>
              </w:rPr>
              <w:t>microsoft.com</w:t>
            </w:r>
          </w:p>
        </w:tc>
        <w:tc>
          <w:tcPr>
            <w:tcW w:w="3544" w:type="dxa"/>
          </w:tcPr>
          <w:p w:rsidR="00C64D60" w:rsidRPr="003445AA" w:rsidRDefault="00C64D60" w:rsidP="00C64D60">
            <w:r w:rsidRPr="00C64D60">
              <w:t>I</w:t>
            </w:r>
            <w:r>
              <w:t xml:space="preserve">nclure dans la liste des entités exemptées des mesures de l’article L.321-17-2 les data </w:t>
            </w:r>
            <w:proofErr w:type="spellStart"/>
            <w:r>
              <w:t>centers</w:t>
            </w:r>
            <w:proofErr w:type="spellEnd"/>
            <w:r>
              <w:t xml:space="preserve"> pouvant raisonnablement démontrer que les services qu’ils fournissent sont critiques pour le bon fonctionnement des entités listées dans le projet de décret.</w:t>
            </w:r>
          </w:p>
        </w:tc>
        <w:tc>
          <w:tcPr>
            <w:tcW w:w="2546" w:type="dxa"/>
          </w:tcPr>
          <w:p w:rsidR="00C64D60" w:rsidRDefault="00C64D60" w:rsidP="00C64D60">
            <w:r>
              <w:t>NON REPRIS</w:t>
            </w:r>
          </w:p>
          <w:p w:rsidR="00C64D60" w:rsidRDefault="00C64D60" w:rsidP="00C64D60"/>
          <w:p w:rsidR="00C64D60" w:rsidRDefault="00C64D60" w:rsidP="00C64D60">
            <w:r>
              <w:t>Le raisonnement qui consiste à exempter un site dès lors qu’il a un lien avec l’un des sites exemptés par ailleurs conduirait à vider la mesure de sa substance.</w:t>
            </w:r>
          </w:p>
          <w:p w:rsidR="003E5572" w:rsidRDefault="003E5572" w:rsidP="00C64D60"/>
          <w:p w:rsidR="003E5572" w:rsidRPr="003445AA" w:rsidRDefault="003E5572" w:rsidP="00C64D60">
            <w:r>
              <w:t xml:space="preserve">Certains </w:t>
            </w:r>
            <w:proofErr w:type="spellStart"/>
            <w:r>
              <w:t>datacenters</w:t>
            </w:r>
            <w:proofErr w:type="spellEnd"/>
            <w:r>
              <w:t xml:space="preserve"> sont déjà couverts par les exemptions listées.</w:t>
            </w:r>
          </w:p>
        </w:tc>
      </w:tr>
      <w:tr w:rsidR="00C64D60" w:rsidRPr="003445AA" w:rsidTr="003E5572">
        <w:tc>
          <w:tcPr>
            <w:tcW w:w="886" w:type="dxa"/>
          </w:tcPr>
          <w:p w:rsidR="00C64D60" w:rsidRDefault="00C64D60" w:rsidP="00C64D60">
            <w:r>
              <w:t>882006</w:t>
            </w:r>
          </w:p>
        </w:tc>
        <w:tc>
          <w:tcPr>
            <w:tcW w:w="2086" w:type="dxa"/>
          </w:tcPr>
          <w:p w:rsidR="00C64D60" w:rsidRDefault="00C64D60" w:rsidP="00C64D60">
            <w:r>
              <w:t>Alliance française des industries du numérique</w:t>
            </w:r>
          </w:p>
          <w:p w:rsidR="00C64D60" w:rsidRPr="003445AA" w:rsidRDefault="00C64D60" w:rsidP="00C64D60">
            <w:r w:rsidRPr="003445AA">
              <w:t>llafarge@afnum.fr</w:t>
            </w:r>
          </w:p>
        </w:tc>
        <w:tc>
          <w:tcPr>
            <w:tcW w:w="3544" w:type="dxa"/>
          </w:tcPr>
          <w:p w:rsidR="00C64D60" w:rsidRPr="003445AA" w:rsidRDefault="00C64D60" w:rsidP="003E5572">
            <w:r>
              <w:t xml:space="preserve">Inclure </w:t>
            </w:r>
            <w:r w:rsidR="003E5572">
              <w:t xml:space="preserve">à l’article D.321-10 du code de l’énergie, soit </w:t>
            </w:r>
            <w:r>
              <w:t xml:space="preserve">la liste des sites exemptés </w:t>
            </w:r>
            <w:r w:rsidR="003E5572">
              <w:t xml:space="preserve">de l’obligation prévue par l’article L. 321-17-2 du même code, les </w:t>
            </w:r>
            <w:proofErr w:type="spellStart"/>
            <w:r w:rsidR="003E5572">
              <w:t>datacenters</w:t>
            </w:r>
            <w:proofErr w:type="spellEnd"/>
          </w:p>
        </w:tc>
        <w:tc>
          <w:tcPr>
            <w:tcW w:w="2546" w:type="dxa"/>
          </w:tcPr>
          <w:p w:rsidR="00C64D60" w:rsidRDefault="00C64D60" w:rsidP="00C64D60">
            <w:r>
              <w:t>NON REPRIS</w:t>
            </w:r>
          </w:p>
          <w:p w:rsidR="00C64D60" w:rsidRDefault="00C64D60" w:rsidP="00C64D60"/>
          <w:p w:rsidR="00C64D60" w:rsidRDefault="00C64D60" w:rsidP="00C64D60">
            <w:r>
              <w:t>Le raisonnement qui consiste à exempter un site dès lors qu’il a un lien avec l’un des sites exemptés par ailleurs conduirait à vider la mesure de sa substance.</w:t>
            </w:r>
          </w:p>
          <w:p w:rsidR="003E5572" w:rsidRDefault="003E5572" w:rsidP="00C64D60"/>
          <w:p w:rsidR="003E5572" w:rsidRPr="003445AA" w:rsidRDefault="003E5572" w:rsidP="00C64D60">
            <w:r>
              <w:t xml:space="preserve">Certains </w:t>
            </w:r>
            <w:proofErr w:type="spellStart"/>
            <w:r>
              <w:t>datacenters</w:t>
            </w:r>
            <w:proofErr w:type="spellEnd"/>
            <w:r>
              <w:t xml:space="preserve"> sont déjà couverts par les exemptions listées.</w:t>
            </w:r>
          </w:p>
        </w:tc>
      </w:tr>
      <w:tr w:rsidR="00C64D60" w:rsidRPr="003445AA" w:rsidTr="003E5572">
        <w:tc>
          <w:tcPr>
            <w:tcW w:w="886" w:type="dxa"/>
          </w:tcPr>
          <w:p w:rsidR="00C64D60" w:rsidRDefault="00C64D60" w:rsidP="00C64D60">
            <w:r>
              <w:t>882006</w:t>
            </w:r>
          </w:p>
        </w:tc>
        <w:tc>
          <w:tcPr>
            <w:tcW w:w="2086" w:type="dxa"/>
          </w:tcPr>
          <w:p w:rsidR="00C64D60" w:rsidRDefault="00C64D60" w:rsidP="00C64D60">
            <w:r>
              <w:t>Alliance française des industries du numérique</w:t>
            </w:r>
          </w:p>
          <w:p w:rsidR="00C64D60" w:rsidRPr="003445AA" w:rsidRDefault="00C64D60" w:rsidP="00C64D60">
            <w:r w:rsidRPr="003445AA">
              <w:t>llafarge@afnum.fr</w:t>
            </w:r>
          </w:p>
        </w:tc>
        <w:tc>
          <w:tcPr>
            <w:tcW w:w="3544" w:type="dxa"/>
          </w:tcPr>
          <w:p w:rsidR="00C64D60" w:rsidRPr="003445AA" w:rsidRDefault="00C64D60" w:rsidP="00C64D60">
            <w:r>
              <w:t>Préciser que le seuil de 1MW correspond, pour les groupes électrogènes, à la puissance électrique et non à la puissance unitaire thermique</w:t>
            </w:r>
          </w:p>
        </w:tc>
        <w:tc>
          <w:tcPr>
            <w:tcW w:w="2546" w:type="dxa"/>
          </w:tcPr>
          <w:p w:rsidR="00C64D60" w:rsidRPr="003445AA" w:rsidRDefault="009F6B20" w:rsidP="00C64D60">
            <w:r>
              <w:t>PRECISION APPORTEE</w:t>
            </w:r>
          </w:p>
        </w:tc>
      </w:tr>
      <w:tr w:rsidR="00C64D60" w:rsidRPr="003445AA" w:rsidTr="003E5572">
        <w:tc>
          <w:tcPr>
            <w:tcW w:w="886" w:type="dxa"/>
          </w:tcPr>
          <w:p w:rsidR="00C64D60" w:rsidRDefault="00C64D60" w:rsidP="00C64D60">
            <w:r>
              <w:t>882006</w:t>
            </w:r>
          </w:p>
        </w:tc>
        <w:tc>
          <w:tcPr>
            <w:tcW w:w="2086" w:type="dxa"/>
          </w:tcPr>
          <w:p w:rsidR="00C64D60" w:rsidRDefault="00C64D60" w:rsidP="00C64D60">
            <w:r>
              <w:t>Alliance française des industries du numérique</w:t>
            </w:r>
          </w:p>
          <w:p w:rsidR="00C64D60" w:rsidRPr="003445AA" w:rsidRDefault="00C64D60" w:rsidP="00C64D60">
            <w:r w:rsidRPr="003445AA">
              <w:t>llafarge@afnum.fr</w:t>
            </w:r>
          </w:p>
        </w:tc>
        <w:tc>
          <w:tcPr>
            <w:tcW w:w="3544" w:type="dxa"/>
          </w:tcPr>
          <w:p w:rsidR="00C64D60" w:rsidRDefault="00C64D60" w:rsidP="00C64D60">
            <w:r>
              <w:t>Préciser l’articulation entre les obligations prévues aux articles L.321-17-1 et L.321-17-2 du code de l’énergie</w:t>
            </w:r>
          </w:p>
        </w:tc>
        <w:tc>
          <w:tcPr>
            <w:tcW w:w="2546" w:type="dxa"/>
          </w:tcPr>
          <w:p w:rsidR="00C64D60" w:rsidRPr="003445AA" w:rsidRDefault="00C64D60" w:rsidP="00C64D60">
            <w:r>
              <w:t>NON REPRIS. PRECISION APPORTEE DANS LA COMMUNICATION SUR LES MESURES</w:t>
            </w:r>
          </w:p>
        </w:tc>
      </w:tr>
      <w:tr w:rsidR="00C64D60" w:rsidRPr="003445AA" w:rsidTr="003E5572">
        <w:tc>
          <w:tcPr>
            <w:tcW w:w="886" w:type="dxa"/>
          </w:tcPr>
          <w:p w:rsidR="00C64D60" w:rsidRDefault="00C64D60" w:rsidP="00C64D60">
            <w:r>
              <w:t>882015</w:t>
            </w:r>
          </w:p>
        </w:tc>
        <w:tc>
          <w:tcPr>
            <w:tcW w:w="2086" w:type="dxa"/>
          </w:tcPr>
          <w:p w:rsidR="00C64D60" w:rsidRDefault="00C64D60" w:rsidP="00C64D60">
            <w:proofErr w:type="spellStart"/>
            <w:r>
              <w:t>Voltalis</w:t>
            </w:r>
            <w:proofErr w:type="spellEnd"/>
          </w:p>
          <w:p w:rsidR="00C64D60" w:rsidRDefault="00C64D60" w:rsidP="00C64D60">
            <w:proofErr w:type="spellStart"/>
            <w:proofErr w:type="gramStart"/>
            <w:r w:rsidRPr="00BA3B1F">
              <w:t>benjamin.bailly</w:t>
            </w:r>
            <w:proofErr w:type="spellEnd"/>
            <w:proofErr w:type="gramEnd"/>
            <w:r w:rsidRPr="00BA3B1F">
              <w:t>@</w:t>
            </w:r>
          </w:p>
          <w:p w:rsidR="00C64D60" w:rsidRDefault="00C64D60" w:rsidP="00C64D60">
            <w:r w:rsidRPr="00BA3B1F">
              <w:t>voltalis.com</w:t>
            </w:r>
          </w:p>
        </w:tc>
        <w:tc>
          <w:tcPr>
            <w:tcW w:w="3544" w:type="dxa"/>
          </w:tcPr>
          <w:p w:rsidR="00C64D60" w:rsidRDefault="009A242F" w:rsidP="00C64D60">
            <w:r>
              <w:t>Caractère disproportionné des pénalités financières</w:t>
            </w:r>
          </w:p>
        </w:tc>
        <w:tc>
          <w:tcPr>
            <w:tcW w:w="2546" w:type="dxa"/>
          </w:tcPr>
          <w:p w:rsidR="002440DC" w:rsidRPr="003A6796" w:rsidRDefault="002440DC" w:rsidP="002440DC">
            <w:r w:rsidRPr="003A6796">
              <w:t>Réponse aux observations :</w:t>
            </w:r>
          </w:p>
          <w:p w:rsidR="00C64D60" w:rsidRPr="003445AA" w:rsidRDefault="002440DC" w:rsidP="00E6036D">
            <w:r>
              <w:t>La proportionnalité du dispositif de sanction a été confirmé par la CRE dans son avis du 10 novembre 2022 sur les projets de texte.</w:t>
            </w:r>
            <w:r w:rsidR="00E6036D">
              <w:t xml:space="preserve"> </w:t>
            </w:r>
          </w:p>
        </w:tc>
      </w:tr>
      <w:tr w:rsidR="00C64D60" w:rsidRPr="003445AA" w:rsidTr="003E5572">
        <w:tc>
          <w:tcPr>
            <w:tcW w:w="886" w:type="dxa"/>
          </w:tcPr>
          <w:p w:rsidR="00C64D60" w:rsidRDefault="00C64D60" w:rsidP="00C64D60">
            <w:r>
              <w:t>882016</w:t>
            </w:r>
          </w:p>
        </w:tc>
        <w:tc>
          <w:tcPr>
            <w:tcW w:w="2086" w:type="dxa"/>
          </w:tcPr>
          <w:p w:rsidR="00C64D60" w:rsidRPr="00BA3B1F" w:rsidRDefault="00C64D60" w:rsidP="00C64D60">
            <w:r w:rsidRPr="00BA3B1F">
              <w:t>Fédération française des télécoms</w:t>
            </w:r>
          </w:p>
          <w:p w:rsidR="00C64D60" w:rsidRDefault="00C64D60" w:rsidP="00C64D60">
            <w:r w:rsidRPr="00BA3B1F">
              <w:t>agaldin@fftelecoms.org</w:t>
            </w:r>
          </w:p>
        </w:tc>
        <w:tc>
          <w:tcPr>
            <w:tcW w:w="3544" w:type="dxa"/>
          </w:tcPr>
          <w:p w:rsidR="00C64D60" w:rsidRPr="00BA3B1F" w:rsidRDefault="00C64D60" w:rsidP="00C64D60">
            <w:r>
              <w:t>C</w:t>
            </w:r>
            <w:r w:rsidRPr="00BA3B1F">
              <w:t>larifier l’alinéa concernant les communications électroniques dans l’article</w:t>
            </w:r>
            <w:r>
              <w:t xml:space="preserve"> </w:t>
            </w:r>
            <w:r w:rsidRPr="00BA3B1F">
              <w:t xml:space="preserve">D.321-30 </w:t>
            </w:r>
            <w:r>
              <w:t xml:space="preserve">comme suit </w:t>
            </w:r>
            <w:r w:rsidRPr="00BA3B1F">
              <w:t>: « […] L’ensemble des installations des opérateurs désignés opérateurs d’importance vitale en</w:t>
            </w:r>
            <w:r>
              <w:t xml:space="preserve"> </w:t>
            </w:r>
            <w:r w:rsidRPr="00BA3B1F">
              <w:t>application de l’article R. 1332-1 du code de la défense, les installations qui desservent les centres de</w:t>
            </w:r>
            <w:r>
              <w:t xml:space="preserve"> </w:t>
            </w:r>
            <w:r w:rsidRPr="00BA3B1F">
              <w:t>réception des communications d’urgence, ainsi que toutes les installations essentielles au fonctionnement</w:t>
            </w:r>
          </w:p>
          <w:p w:rsidR="00C64D60" w:rsidRDefault="00C64D60" w:rsidP="00C64D60">
            <w:r w:rsidRPr="00BA3B1F">
              <w:t xml:space="preserve">de tout opérateur de </w:t>
            </w:r>
            <w:r>
              <w:t>c</w:t>
            </w:r>
            <w:r w:rsidRPr="00BA3B1F">
              <w:t>ommunications électroniques ouvert au public au sens de l’article L.32 du CPCE ».</w:t>
            </w:r>
          </w:p>
        </w:tc>
        <w:tc>
          <w:tcPr>
            <w:tcW w:w="2546" w:type="dxa"/>
          </w:tcPr>
          <w:p w:rsidR="00C64D60" w:rsidRDefault="00C64D60" w:rsidP="00C64D60">
            <w:r>
              <w:t>NON REPRIS</w:t>
            </w:r>
          </w:p>
          <w:p w:rsidR="00C64D60" w:rsidRDefault="00C64D60" w:rsidP="00C64D60"/>
          <w:p w:rsidR="00C64D60" w:rsidRPr="003445AA" w:rsidRDefault="0092368A" w:rsidP="00C64D60">
            <w:r>
              <w:t xml:space="preserve">Le raisonnement qui consiste à exempter un site dès lors qu’il a un lien avec l’un des sites exemptés par ailleurs </w:t>
            </w:r>
            <w:r w:rsidR="00E6036D">
              <w:t xml:space="preserve">ou qu’il permet le bon fonctionnement de services à la population </w:t>
            </w:r>
            <w:r>
              <w:t>conduirait à vider la mesure de sa substance.</w:t>
            </w:r>
          </w:p>
        </w:tc>
      </w:tr>
    </w:tbl>
    <w:p w:rsidR="00E55277" w:rsidRDefault="00E55277" w:rsidP="003445AA">
      <w:pPr>
        <w:spacing w:after="0" w:line="240" w:lineRule="auto"/>
      </w:pPr>
    </w:p>
    <w:p w:rsidR="003A6796" w:rsidRPr="003445AA" w:rsidRDefault="003A6796" w:rsidP="003A6796"/>
    <w:p w:rsidR="00C36434" w:rsidRPr="003445AA" w:rsidRDefault="00C36434" w:rsidP="003445AA">
      <w:pPr>
        <w:spacing w:after="0" w:line="240" w:lineRule="auto"/>
      </w:pPr>
    </w:p>
    <w:sectPr w:rsidR="00C36434" w:rsidRPr="00344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7E33"/>
    <w:multiLevelType w:val="multilevel"/>
    <w:tmpl w:val="940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94BAE"/>
    <w:multiLevelType w:val="multilevel"/>
    <w:tmpl w:val="4768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49"/>
    <w:rsid w:val="000D3F25"/>
    <w:rsid w:val="00151200"/>
    <w:rsid w:val="002440DC"/>
    <w:rsid w:val="00285976"/>
    <w:rsid w:val="003445AA"/>
    <w:rsid w:val="003A6796"/>
    <w:rsid w:val="003E5572"/>
    <w:rsid w:val="00414BC6"/>
    <w:rsid w:val="006D38E7"/>
    <w:rsid w:val="00854AC1"/>
    <w:rsid w:val="0092368A"/>
    <w:rsid w:val="009A242F"/>
    <w:rsid w:val="009F6B20"/>
    <w:rsid w:val="00A364D0"/>
    <w:rsid w:val="00B87249"/>
    <w:rsid w:val="00BA3B1F"/>
    <w:rsid w:val="00C36434"/>
    <w:rsid w:val="00C64D60"/>
    <w:rsid w:val="00E55277"/>
    <w:rsid w:val="00E6036D"/>
    <w:rsid w:val="00E724DC"/>
    <w:rsid w:val="00F55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667ABE"/>
  <w15:chartTrackingRefBased/>
  <w15:docId w15:val="{B45BF396-C59A-44B6-B25D-ABEB6C0D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51200"/>
    <w:pPr>
      <w:keepNext/>
      <w:spacing w:after="119" w:line="276" w:lineRule="auto"/>
      <w:jc w:val="center"/>
      <w:outlineLvl w:val="0"/>
    </w:pPr>
    <w:rPr>
      <w:rFonts w:ascii="Times New Roman" w:eastAsia="Times New Roman" w:hAnsi="Times New Roman" w:cs="Times New Roman"/>
      <w:b/>
      <w:bCs/>
      <w:color w:val="000000"/>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1200"/>
    <w:rPr>
      <w:rFonts w:ascii="Times New Roman" w:eastAsia="Times New Roman" w:hAnsi="Times New Roman" w:cs="Times New Roman"/>
      <w:b/>
      <w:bCs/>
      <w:color w:val="000000"/>
      <w:kern w:val="36"/>
      <w:sz w:val="48"/>
      <w:szCs w:val="48"/>
      <w:lang w:eastAsia="fr-FR"/>
    </w:rPr>
  </w:style>
  <w:style w:type="paragraph" w:styleId="NormalWeb">
    <w:name w:val="Normal (Web)"/>
    <w:basedOn w:val="Normal"/>
    <w:uiPriority w:val="99"/>
    <w:semiHidden/>
    <w:unhideWhenUsed/>
    <w:rsid w:val="00151200"/>
    <w:pPr>
      <w:spacing w:before="100" w:beforeAutospacing="1" w:after="119" w:line="276" w:lineRule="auto"/>
    </w:pPr>
    <w:rPr>
      <w:rFonts w:ascii="Times New Roman" w:eastAsia="Times New Roman" w:hAnsi="Times New Roman" w:cs="Times New Roman"/>
      <w:color w:val="000000"/>
      <w:sz w:val="24"/>
      <w:szCs w:val="24"/>
      <w:lang w:eastAsia="fr-FR"/>
    </w:rPr>
  </w:style>
  <w:style w:type="paragraph" w:customStyle="1" w:styleId="western">
    <w:name w:val="western"/>
    <w:basedOn w:val="Normal"/>
    <w:rsid w:val="00151200"/>
    <w:pPr>
      <w:spacing w:before="100" w:beforeAutospacing="1" w:after="119" w:line="276" w:lineRule="auto"/>
    </w:pPr>
    <w:rPr>
      <w:rFonts w:ascii="Calibri" w:eastAsia="Times New Roman" w:hAnsi="Calibri" w:cs="Calibri"/>
      <w:color w:val="000000"/>
      <w:lang w:eastAsia="fr-FR"/>
    </w:rPr>
  </w:style>
  <w:style w:type="table" w:styleId="Grilledutableau">
    <w:name w:val="Table Grid"/>
    <w:basedOn w:val="TableauNormal"/>
    <w:uiPriority w:val="39"/>
    <w:rsid w:val="0015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0D3F25"/>
    <w:rPr>
      <w:color w:val="0000FF"/>
      <w:u w:val="single"/>
    </w:rPr>
  </w:style>
  <w:style w:type="character" w:styleId="Lienhypertextesuivivisit">
    <w:name w:val="FollowedHyperlink"/>
    <w:basedOn w:val="Policepardfaut"/>
    <w:uiPriority w:val="99"/>
    <w:semiHidden/>
    <w:unhideWhenUsed/>
    <w:rsid w:val="000D3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7367">
      <w:bodyDiv w:val="1"/>
      <w:marLeft w:val="0"/>
      <w:marRight w:val="0"/>
      <w:marTop w:val="0"/>
      <w:marBottom w:val="0"/>
      <w:divBdr>
        <w:top w:val="none" w:sz="0" w:space="0" w:color="auto"/>
        <w:left w:val="none" w:sz="0" w:space="0" w:color="auto"/>
        <w:bottom w:val="none" w:sz="0" w:space="0" w:color="auto"/>
        <w:right w:val="none" w:sz="0" w:space="0" w:color="auto"/>
      </w:divBdr>
      <w:divsChild>
        <w:div w:id="181744530">
          <w:marLeft w:val="0"/>
          <w:marRight w:val="0"/>
          <w:marTop w:val="0"/>
          <w:marBottom w:val="0"/>
          <w:divBdr>
            <w:top w:val="none" w:sz="0" w:space="0" w:color="auto"/>
            <w:left w:val="none" w:sz="0" w:space="0" w:color="auto"/>
            <w:bottom w:val="none" w:sz="0" w:space="0" w:color="auto"/>
            <w:right w:val="none" w:sz="0" w:space="0" w:color="auto"/>
          </w:divBdr>
        </w:div>
      </w:divsChild>
    </w:div>
    <w:div w:id="488326679">
      <w:bodyDiv w:val="1"/>
      <w:marLeft w:val="0"/>
      <w:marRight w:val="0"/>
      <w:marTop w:val="0"/>
      <w:marBottom w:val="0"/>
      <w:divBdr>
        <w:top w:val="none" w:sz="0" w:space="0" w:color="auto"/>
        <w:left w:val="none" w:sz="0" w:space="0" w:color="auto"/>
        <w:bottom w:val="none" w:sz="0" w:space="0" w:color="auto"/>
        <w:right w:val="none" w:sz="0" w:space="0" w:color="auto"/>
      </w:divBdr>
    </w:div>
    <w:div w:id="1863737733">
      <w:bodyDiv w:val="1"/>
      <w:marLeft w:val="0"/>
      <w:marRight w:val="0"/>
      <w:marTop w:val="0"/>
      <w:marBottom w:val="0"/>
      <w:divBdr>
        <w:top w:val="none" w:sz="0" w:space="0" w:color="auto"/>
        <w:left w:val="none" w:sz="0" w:space="0" w:color="auto"/>
        <w:bottom w:val="none" w:sz="0" w:space="0" w:color="auto"/>
        <w:right w:val="none" w:sz="0" w:space="0" w:color="auto"/>
      </w:divBdr>
      <w:divsChild>
        <w:div w:id="1193690980">
          <w:marLeft w:val="0"/>
          <w:marRight w:val="0"/>
          <w:marTop w:val="0"/>
          <w:marBottom w:val="0"/>
          <w:divBdr>
            <w:top w:val="none" w:sz="0" w:space="0" w:color="auto"/>
            <w:left w:val="none" w:sz="0" w:space="0" w:color="auto"/>
            <w:bottom w:val="none" w:sz="0" w:space="0" w:color="auto"/>
            <w:right w:val="none" w:sz="0" w:space="0" w:color="auto"/>
          </w:divBdr>
        </w:div>
      </w:divsChild>
    </w:div>
    <w:div w:id="2074813979">
      <w:bodyDiv w:val="1"/>
      <w:marLeft w:val="0"/>
      <w:marRight w:val="0"/>
      <w:marTop w:val="0"/>
      <w:marBottom w:val="0"/>
      <w:divBdr>
        <w:top w:val="none" w:sz="0" w:space="0" w:color="auto"/>
        <w:left w:val="none" w:sz="0" w:space="0" w:color="auto"/>
        <w:bottom w:val="none" w:sz="0" w:space="0" w:color="auto"/>
        <w:right w:val="none" w:sz="0" w:space="0" w:color="auto"/>
      </w:divBdr>
      <w:divsChild>
        <w:div w:id="280260717">
          <w:marLeft w:val="0"/>
          <w:marRight w:val="0"/>
          <w:marTop w:val="0"/>
          <w:marBottom w:val="0"/>
          <w:divBdr>
            <w:top w:val="none" w:sz="0" w:space="0" w:color="auto"/>
            <w:left w:val="none" w:sz="0" w:space="0" w:color="auto"/>
            <w:bottom w:val="none" w:sz="0" w:space="0" w:color="auto"/>
            <w:right w:val="none" w:sz="0" w:space="0" w:color="auto"/>
          </w:divBdr>
        </w:div>
        <w:div w:id="744691570">
          <w:marLeft w:val="0"/>
          <w:marRight w:val="0"/>
          <w:marTop w:val="0"/>
          <w:marBottom w:val="0"/>
          <w:divBdr>
            <w:top w:val="none" w:sz="0" w:space="0" w:color="auto"/>
            <w:left w:val="none" w:sz="0" w:space="0" w:color="auto"/>
            <w:bottom w:val="none" w:sz="0" w:space="0" w:color="auto"/>
            <w:right w:val="none" w:sz="0" w:space="0" w:color="auto"/>
          </w:divBdr>
        </w:div>
      </w:divsChild>
    </w:div>
    <w:div w:id="2076853145">
      <w:bodyDiv w:val="1"/>
      <w:marLeft w:val="0"/>
      <w:marRight w:val="0"/>
      <w:marTop w:val="0"/>
      <w:marBottom w:val="0"/>
      <w:divBdr>
        <w:top w:val="none" w:sz="0" w:space="0" w:color="auto"/>
        <w:left w:val="none" w:sz="0" w:space="0" w:color="auto"/>
        <w:bottom w:val="none" w:sz="0" w:space="0" w:color="auto"/>
        <w:right w:val="none" w:sz="0" w:space="0" w:color="auto"/>
      </w:divBdr>
      <w:divsChild>
        <w:div w:id="353845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sultations-publiques.developpement-durable.gouv.fr/projets-de-decret-et-d-arrete-relatifs-aux-mesures-a275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6139-6DDA-417E-9A2A-EAEFB505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1179</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Biset Simon</dc:creator>
  <cp:keywords/>
  <dc:description/>
  <cp:lastModifiedBy>Biset Simon</cp:lastModifiedBy>
  <cp:revision>8</cp:revision>
  <dcterms:created xsi:type="dcterms:W3CDTF">2022-11-23T15:47:00Z</dcterms:created>
  <dcterms:modified xsi:type="dcterms:W3CDTF">2022-11-28T13:32:00Z</dcterms:modified>
</cp:coreProperties>
</file>